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EFF" w:rsidRDefault="00EC19A6">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27A6EA0CD2948678C966E703F469C2B" style="width:450.8pt;height:366.25pt">
            <v:imagedata r:id="rId12" o:title=""/>
          </v:shape>
        </w:pict>
      </w:r>
    </w:p>
    <w:p w:rsidR="00CC3EFF" w:rsidRDefault="00CC3EFF">
      <w:pPr>
        <w:rPr>
          <w:noProof/>
        </w:rPr>
        <w:sectPr w:rsidR="00CC3EFF">
          <w:footerReference w:type="default" r:id="rId13"/>
          <w:pgSz w:w="11907" w:h="16839"/>
          <w:pgMar w:top="1134" w:right="1417" w:bottom="1134" w:left="1417" w:header="709" w:footer="709" w:gutter="0"/>
          <w:pgNumType w:start="1"/>
          <w:cols w:space="720"/>
          <w:docGrid w:linePitch="360"/>
        </w:sectPr>
      </w:pPr>
    </w:p>
    <w:p w:rsidR="00CC3EFF" w:rsidRDefault="00EC19A6">
      <w:pPr>
        <w:pStyle w:val="Exposdesmotifstitre"/>
        <w:rPr>
          <w:noProof/>
        </w:rPr>
      </w:pPr>
      <w:r>
        <w:rPr>
          <w:noProof/>
        </w:rPr>
        <w:lastRenderedPageBreak/>
        <w:t>EXPUNERE DE MOTIVE</w:t>
      </w:r>
    </w:p>
    <w:p w:rsidR="00CC3EFF" w:rsidRDefault="00EC19A6">
      <w:pPr>
        <w:pStyle w:val="ManualHeading1"/>
        <w:rPr>
          <w:noProof/>
        </w:rPr>
      </w:pPr>
      <w:r>
        <w:rPr>
          <w:noProof/>
        </w:rPr>
        <w:t>1.</w:t>
      </w:r>
      <w:r>
        <w:rPr>
          <w:noProof/>
        </w:rPr>
        <w:tab/>
        <w:t>CONTEXTUL PROPUNERII</w:t>
      </w:r>
    </w:p>
    <w:p w:rsidR="00CC3EFF" w:rsidRDefault="00EC19A6">
      <w:pPr>
        <w:pStyle w:val="ManualHeading2"/>
        <w:rPr>
          <w:noProof/>
        </w:rPr>
      </w:pPr>
      <w:r>
        <w:rPr>
          <w:noProof/>
        </w:rPr>
        <w:t>1.1.</w:t>
      </w:r>
      <w:r>
        <w:rPr>
          <w:noProof/>
        </w:rPr>
        <w:tab/>
        <w:t>Contextul general</w:t>
      </w:r>
    </w:p>
    <w:p w:rsidR="00CC3EFF" w:rsidRDefault="00EC19A6">
      <w:pPr>
        <w:spacing w:after="0"/>
        <w:rPr>
          <w:noProof/>
        </w:rPr>
      </w:pPr>
      <w:r>
        <w:rPr>
          <w:noProof/>
        </w:rPr>
        <w:t xml:space="preserve">Întreprinderile au considerat în mod </w:t>
      </w:r>
      <w:r>
        <w:rPr>
          <w:noProof/>
        </w:rPr>
        <w:t>tradițional planificarea fiscală ca fiind legitimă pe motiv că utilizează mecanisme juridice pentru a-și reduce obligațiile fiscale. Cu toate acestea, planificarea fiscală a devenit mai complexă în ultimii ani, dezvoltându-se de la o jurisdicție la alta și</w:t>
      </w:r>
      <w:r>
        <w:rPr>
          <w:noProof/>
        </w:rPr>
        <w:t xml:space="preserve"> transferând profiturile impozabile către statele cu regimuri fiscale avantajoase. Această formă „agresivă” de planificare fiscală se poate manifesta în diverse moduri, de exemplu prin exploatarea detaliilor tehnice ale unui regim fiscal sau a neconcordanț</w:t>
      </w:r>
      <w:r>
        <w:rPr>
          <w:noProof/>
        </w:rPr>
        <w:t>elor dintre două sau mai multe regimuri fiscale pentru a reduce sau a evita obligațiile fiscale. Printre consecințele sale se numără deducerile duble (aceeași cheltuială se deduce atât în statul sursă, cât și în statul de rezidență) și dubla neimpozitare (</w:t>
      </w:r>
      <w:r>
        <w:rPr>
          <w:noProof/>
        </w:rPr>
        <w:t>veniturile nu sunt impozitate nici în statul de origine, nici în statul de rezidență al beneficiarului)</w:t>
      </w:r>
      <w:r>
        <w:rPr>
          <w:rStyle w:val="FootnoteReference"/>
          <w:noProof/>
        </w:rPr>
        <w:footnoteReference w:id="1"/>
      </w:r>
      <w:r>
        <w:rPr>
          <w:noProof/>
        </w:rPr>
        <w:t>. Astfel de practici sunt, în numeroase cazuri, sprijinite de deciziile emise de administrațiile naționale, care confirmă unei societăți modul în care o</w:t>
      </w:r>
      <w:r>
        <w:rPr>
          <w:noProof/>
        </w:rPr>
        <w:t xml:space="preserve"> tranzacție specifică va fi impozitată în temeiul legislației existente și, prin urmare, oferă certitudine juridică structurii create. Deși statele membre sunt obligate să se asigure că emit decizii fiscale în conformitate cu legislația UE și națională exi</w:t>
      </w:r>
      <w:r>
        <w:rPr>
          <w:noProof/>
        </w:rPr>
        <w:t xml:space="preserve">stentă, o lipsă de transparență în ceea ce privește astfel de decizii ar putea avea un impact asupra altor țări care au legături cu beneficiarii deciziilor. </w:t>
      </w:r>
    </w:p>
    <w:p w:rsidR="00CC3EFF" w:rsidRDefault="00EC19A6">
      <w:pPr>
        <w:rPr>
          <w:noProof/>
        </w:rPr>
      </w:pPr>
      <w:r>
        <w:rPr>
          <w:noProof/>
        </w:rPr>
        <w:t>Evaziunea fiscală licită, precum și frauda fiscală și evaziunea fiscală ilicită au o dimensiune tr</w:t>
      </w:r>
      <w:r>
        <w:rPr>
          <w:noProof/>
        </w:rPr>
        <w:t>ansfrontalieră importantă. Globalizarea și mobilitatea tot mai mare a contribuabililor pot îngreuna evaluarea corectă de către statele membre a bazelor impozabile. Acest fenomen poate afecta funcționarea sistemelor de impozitare și poate genera evaziune fi</w:t>
      </w:r>
      <w:r>
        <w:rPr>
          <w:noProof/>
        </w:rPr>
        <w:t xml:space="preserve">scală licită și ilicită, punând astfel în pericol funcționarea pieței interne. </w:t>
      </w:r>
    </w:p>
    <w:p w:rsidR="00CC3EFF" w:rsidRDefault="00EC19A6">
      <w:pPr>
        <w:rPr>
          <w:noProof/>
        </w:rPr>
      </w:pPr>
      <w:r>
        <w:rPr>
          <w:noProof/>
        </w:rPr>
        <w:t>Prin urmare, statele membre nu pot soluționa în mod eficient această problemă decât dacă convin să întreprindă acțiuni comune. De aceea, îmbunătățirea cooperării administrative</w:t>
      </w:r>
      <w:r>
        <w:rPr>
          <w:noProof/>
        </w:rPr>
        <w:t xml:space="preserve"> între administrațiile fiscale ale statelor membre este un obiectiv-cheie al strategiei Comisiei.</w:t>
      </w:r>
    </w:p>
    <w:p w:rsidR="00CC3EFF" w:rsidRDefault="00EC19A6">
      <w:pPr>
        <w:rPr>
          <w:noProof/>
          <w:szCs w:val="24"/>
        </w:rPr>
      </w:pPr>
      <w:r>
        <w:rPr>
          <w:noProof/>
        </w:rPr>
        <w:t xml:space="preserve">Directiva 2011/16/UE a Consiliului a fost adoptată pentru a înlocui o directivă anterioară care tratează asistența între statele membre (Directiva 77/799/CEE </w:t>
      </w:r>
      <w:r>
        <w:rPr>
          <w:noProof/>
        </w:rPr>
        <w:t>a Consiliului), ca răspuns la nevoia statelor membre de cooperare administrativă sporită în domeniul fiscal.</w:t>
      </w:r>
    </w:p>
    <w:p w:rsidR="00CC3EFF" w:rsidRDefault="00EC19A6">
      <w:pPr>
        <w:rPr>
          <w:noProof/>
        </w:rPr>
      </w:pPr>
      <w:r>
        <w:rPr>
          <w:noProof/>
        </w:rPr>
        <w:t>Scopul prezentei propuneri este de a garanta că Directiva 2011/16/UE prevede o cooperare administrativă cuprinzătoare și eficace între administrați</w:t>
      </w:r>
      <w:r>
        <w:rPr>
          <w:noProof/>
        </w:rPr>
        <w:t>ile fiscale, prevăzând schimbul automat obligatoriu de informații privind deciziile transfrontaliere în avans și acordurile de preț în avans, un tip specific de decizii transfrontaliere în avans utilizate în domeniul prețurilor de transfer. Structurile cre</w:t>
      </w:r>
      <w:r>
        <w:rPr>
          <w:noProof/>
        </w:rPr>
        <w:t>ate în funcție de sistemul de impozitare, care conduc la un nivel scăzut de impozitare a venitului în statul membru care emite decizia, pot cauza reducerea considerabilă a veniturilor impozitate în alte state membre implicate, erodând astfel bazele impozab</w:t>
      </w:r>
      <w:r>
        <w:rPr>
          <w:noProof/>
        </w:rPr>
        <w:t xml:space="preserve">ile ale acestora. </w:t>
      </w:r>
    </w:p>
    <w:p w:rsidR="00CC3EFF" w:rsidRDefault="00EC19A6">
      <w:pPr>
        <w:rPr>
          <w:noProof/>
        </w:rPr>
      </w:pPr>
      <w:r>
        <w:rPr>
          <w:noProof/>
        </w:rPr>
        <w:t>Propunerea obligă statele membre să schimbe în mod automat informații de bază privind deciziile transfrontaliere în avans și acordurile de preț în avans cu toate celelalte state membre. Acest lucru se bazează pe principiul conform căruia</w:t>
      </w:r>
      <w:r>
        <w:rPr>
          <w:noProof/>
        </w:rPr>
        <w:t xml:space="preserve"> alte state membre sunt mai în măsură să evalueze impactul potențial și pertinența unor astfel de decizii decât statul membru care emite decizia. În cazurile corespunzătoare, statele membre care primesc informațiile pot solicita informații suplimentare mai</w:t>
      </w:r>
      <w:r>
        <w:rPr>
          <w:noProof/>
        </w:rPr>
        <w:t xml:space="preserve"> detaliate. </w:t>
      </w:r>
    </w:p>
    <w:p w:rsidR="00CC3EFF" w:rsidRDefault="00EC19A6">
      <w:pPr>
        <w:rPr>
          <w:noProof/>
        </w:rPr>
      </w:pPr>
      <w:r>
        <w:rPr>
          <w:noProof/>
        </w:rPr>
        <w:lastRenderedPageBreak/>
        <w:t>Propunerea a fost special concepută pentru a permite ca schimbul automat de informații privind deciziile să se bazeze pe normele existente din Directiva 2011/16/UE referitoare la modalitățile practice pentru schimbul de informații, inclusiv ut</w:t>
      </w:r>
      <w:r>
        <w:rPr>
          <w:noProof/>
        </w:rPr>
        <w:t>ilizarea de formulare-tip. Ea este, de asemenea, în concordanță cu evoluțiile de pe plan internațional la nivelul OCDE și cu lucrările legate de BEPS ale acestei organizații.</w:t>
      </w:r>
    </w:p>
    <w:p w:rsidR="00CC3EFF" w:rsidRDefault="00EC19A6">
      <w:pPr>
        <w:rPr>
          <w:noProof/>
        </w:rPr>
      </w:pPr>
      <w:r>
        <w:rPr>
          <w:noProof/>
        </w:rPr>
        <w:t>În cursul anului 2012, Grupul de lucru pentru codul de conduită în domeniul impoz</w:t>
      </w:r>
      <w:r>
        <w:rPr>
          <w:noProof/>
        </w:rPr>
        <w:t>itării întreprinderilor</w:t>
      </w:r>
      <w:r>
        <w:rPr>
          <w:rStyle w:val="FootnoteReference"/>
          <w:noProof/>
        </w:rPr>
        <w:footnoteReference w:id="2"/>
      </w:r>
      <w:r>
        <w:rPr>
          <w:noProof/>
        </w:rPr>
        <w:t xml:space="preserve"> a analizat evoluțiile procedurilor aplicate de statele membre în ceea ce privește deciziile fiscale. Grupul a identificat tipurile de decizii transfrontaliere cu privire la care informațiile ar trebui schimbate spontan și a recoman</w:t>
      </w:r>
      <w:r>
        <w:rPr>
          <w:noProof/>
        </w:rPr>
        <w:t>dat dezvoltarea unui „model de instrucțiuni” care ar putea fi utilizat ca referință de către statele membre pentru aplicare pe plan intern</w:t>
      </w:r>
      <w:r>
        <w:rPr>
          <w:rStyle w:val="FootnoteReference"/>
          <w:noProof/>
        </w:rPr>
        <w:footnoteReference w:id="3"/>
      </w:r>
      <w:r>
        <w:rPr>
          <w:noProof/>
        </w:rPr>
        <w:t xml:space="preserve">. Modelul de instrucțiuni precizează că informațiile privind deciziile transfrontaliere ar trebui trimise spontan în </w:t>
      </w:r>
      <w:r>
        <w:rPr>
          <w:noProof/>
        </w:rPr>
        <w:t xml:space="preserve">conformitate cu articolul 9 din Directiva 2011/16/UE, utilizând formulare-tip electronice, prin mijloacele electronice prevăzute în directivă, cel târziu la o lună după adoptarea deciziei în conformitate cu termenul prevăzut la articolul 10 din directivă. </w:t>
      </w:r>
      <w:r>
        <w:rPr>
          <w:noProof/>
        </w:rPr>
        <w:t>Totodată, modelul prevede obligația statelor membre de a asigura canale de comunicare corespunzătoare pe această temă între statele membre și formare și orientare de bună calitate pentru emitenții deciziilor. El oferă de asemenea orientări privind conținut</w:t>
      </w:r>
      <w:r>
        <w:rPr>
          <w:noProof/>
        </w:rPr>
        <w:t>ul informațiilor care trebuie furnizate în mod spontan. Cu toate acestea, modelul de instrucțiuni nu este obligatoriu din punct de vedere juridic. În practică, există puține schimburi de informații între statele membre cu privire la deciziile lor fiscale î</w:t>
      </w:r>
      <w:r>
        <w:rPr>
          <w:noProof/>
        </w:rPr>
        <w:t xml:space="preserve">n avans sau la acordurile privind prețurile de transfer, chiar și în cazurile în care acestea au un impact asupra altor țări. </w:t>
      </w:r>
    </w:p>
    <w:p w:rsidR="00CC3EFF" w:rsidRDefault="00EC19A6">
      <w:pPr>
        <w:rPr>
          <w:noProof/>
        </w:rPr>
      </w:pPr>
      <w:r>
        <w:rPr>
          <w:noProof/>
        </w:rPr>
        <w:t>Prin urmare, o abordare mai sistematică și obligatorie a schimbului de informații privind deciziile pare necesară în cadrul UE, p</w:t>
      </w:r>
      <w:r>
        <w:rPr>
          <w:noProof/>
        </w:rPr>
        <w:t xml:space="preserve">entru a se garanta că, în cazul în care un stat membru emite o decizie fiscală în avans sau un acord privind prețurile de transfer, orice alt stat membru afectat este în măsură să ia orice măsuri corespunzătoare necesare. </w:t>
      </w:r>
    </w:p>
    <w:p w:rsidR="00CC3EFF" w:rsidRDefault="00EC19A6">
      <w:pPr>
        <w:rPr>
          <w:noProof/>
        </w:rPr>
      </w:pPr>
      <w:r>
        <w:rPr>
          <w:noProof/>
        </w:rPr>
        <w:t>Comisia s-a angajat să prezinte o</w:t>
      </w:r>
      <w:r>
        <w:rPr>
          <w:noProof/>
        </w:rPr>
        <w:t xml:space="preserve"> astfel de propunere pentru schimbul automat de informații privind deciziile transfrontaliere la 16 decembrie 2014, iar acest lucru se reflectă în programul de lucru al Comisiei pentru 2015</w:t>
      </w:r>
      <w:r>
        <w:rPr>
          <w:rStyle w:val="FootnoteReference"/>
          <w:noProof/>
        </w:rPr>
        <w:footnoteReference w:id="4"/>
      </w:r>
      <w:r>
        <w:rPr>
          <w:noProof/>
        </w:rPr>
        <w:t>.</w:t>
      </w:r>
    </w:p>
    <w:p w:rsidR="00CC3EFF" w:rsidRDefault="00EC19A6">
      <w:pPr>
        <w:pStyle w:val="ManualHeading1"/>
        <w:rPr>
          <w:noProof/>
        </w:rPr>
      </w:pPr>
      <w:r>
        <w:rPr>
          <w:noProof/>
        </w:rPr>
        <w:t>2.</w:t>
      </w:r>
      <w:r>
        <w:rPr>
          <w:noProof/>
        </w:rPr>
        <w:tab/>
        <w:t>REZULTATELE CONSULTĂRILOR CU PĂRȚILE INTERESATE ȘI ALE EVALUĂ</w:t>
      </w:r>
      <w:r>
        <w:rPr>
          <w:noProof/>
        </w:rPr>
        <w:t>RILOR IMPACTULUI</w:t>
      </w:r>
    </w:p>
    <w:p w:rsidR="00CC3EFF" w:rsidRDefault="00EC19A6">
      <w:pPr>
        <w:pStyle w:val="ManualHeading2"/>
        <w:rPr>
          <w:noProof/>
        </w:rPr>
      </w:pPr>
      <w:r>
        <w:rPr>
          <w:noProof/>
        </w:rPr>
        <w:t>2.1.</w:t>
      </w:r>
      <w:r>
        <w:rPr>
          <w:noProof/>
        </w:rPr>
        <w:tab/>
        <w:t>Consultări în contextul Planului de acțiune privind frauda fiscală și evaziunea fiscală și al recomandărilor [COM (2012) 722] și în cadrul altor foruri</w:t>
      </w:r>
    </w:p>
    <w:p w:rsidR="00CC3EFF" w:rsidRDefault="00EC19A6">
      <w:pPr>
        <w:rPr>
          <w:noProof/>
        </w:rPr>
      </w:pPr>
      <w:r>
        <w:rPr>
          <w:noProof/>
        </w:rPr>
        <w:t>La 21 mai 2013, Parlamentul European a adoptat o rezoluție</w:t>
      </w:r>
      <w:r>
        <w:rPr>
          <w:rStyle w:val="FootnoteReference"/>
          <w:noProof/>
        </w:rPr>
        <w:footnoteReference w:id="5"/>
      </w:r>
      <w:r>
        <w:rPr>
          <w:noProof/>
        </w:rPr>
        <w:t xml:space="preserve"> prin care salută Planu</w:t>
      </w:r>
      <w:r>
        <w:rPr>
          <w:noProof/>
        </w:rPr>
        <w:t>l de acțiune și recomandările Comisiei, îndeamnă statele membre să își respecte angajamentele și să adopte Planul de acțiune și subliniază faptul că UE ar trebui să își asume un rol de lider în cadrul discuțiilor de la nivel mondial referitoare la lupta îm</w:t>
      </w:r>
      <w:r>
        <w:rPr>
          <w:noProof/>
        </w:rPr>
        <w:t>potriva fraudei, a evaziunii și a paradisurilor fiscale și, în special, în legătură cu promovarea schimbului de informații.</w:t>
      </w:r>
    </w:p>
    <w:p w:rsidR="00CC3EFF" w:rsidRDefault="00EC19A6">
      <w:pPr>
        <w:rPr>
          <w:noProof/>
        </w:rPr>
      </w:pPr>
      <w:r>
        <w:rPr>
          <w:noProof/>
        </w:rPr>
        <w:t>Comitetul Economic și Social European a adoptat un aviz la 17 aprilie 2013</w:t>
      </w:r>
      <w:r>
        <w:rPr>
          <w:rStyle w:val="FootnoteReference"/>
          <w:noProof/>
        </w:rPr>
        <w:footnoteReference w:id="6"/>
      </w:r>
      <w:r>
        <w:rPr>
          <w:noProof/>
        </w:rPr>
        <w:t xml:space="preserve">. Comitetul a aprobat Planul de acțiune al Comisiei și a sprijinit eforturile acesteia de a găsi soluții practice cu privire la reducerea fraudei și a evaziunii fiscale. </w:t>
      </w:r>
    </w:p>
    <w:p w:rsidR="00CC3EFF" w:rsidRDefault="00EC19A6">
      <w:pPr>
        <w:rPr>
          <w:noProof/>
        </w:rPr>
      </w:pPr>
      <w:r>
        <w:rPr>
          <w:noProof/>
        </w:rPr>
        <w:t xml:space="preserve">În ultimii ani, statele membre au lucrat în cadrul Grupului de lucru pentru codul de </w:t>
      </w:r>
      <w:r>
        <w:rPr>
          <w:noProof/>
        </w:rPr>
        <w:t>conduită pentru a îmbunătăți schimbul de informații privind deciziile transfrontaliere și în domeniul prețurilor de transfer. Concluziile acestui Grup pentru codul de conduită au fost comunicate Consiliului în mod regulat sub formă de rapoarte</w:t>
      </w:r>
      <w:r>
        <w:rPr>
          <w:rStyle w:val="FootnoteReference"/>
          <w:noProof/>
        </w:rPr>
        <w:footnoteReference w:id="7"/>
      </w:r>
      <w:r>
        <w:rPr>
          <w:noProof/>
        </w:rPr>
        <w:t xml:space="preserve">. </w:t>
      </w:r>
    </w:p>
    <w:p w:rsidR="00CC3EFF" w:rsidRDefault="00EC19A6">
      <w:pPr>
        <w:pStyle w:val="ManualHeading2"/>
        <w:rPr>
          <w:noProof/>
        </w:rPr>
      </w:pPr>
      <w:r>
        <w:rPr>
          <w:noProof/>
        </w:rPr>
        <w:t>2.2.</w:t>
      </w:r>
      <w:r>
        <w:rPr>
          <w:noProof/>
        </w:rPr>
        <w:tab/>
        <w:t>Stat</w:t>
      </w:r>
      <w:r>
        <w:rPr>
          <w:noProof/>
        </w:rPr>
        <w:t>ele membre</w:t>
      </w:r>
    </w:p>
    <w:p w:rsidR="00CC3EFF" w:rsidRDefault="00EC19A6">
      <w:pPr>
        <w:rPr>
          <w:noProof/>
        </w:rPr>
      </w:pPr>
      <w:r>
        <w:rPr>
          <w:noProof/>
        </w:rPr>
        <w:t>Prezenta directivă se bazează pe modelul de instrucțiuni convenit între statele membre în 2014 și, prin urmare, reflectă eforturile depuse deja de delegații statelor membre în mai multe foruri europene. Statele membre discută de mai mult timp cu</w:t>
      </w:r>
      <w:r>
        <w:rPr>
          <w:noProof/>
        </w:rPr>
        <w:t xml:space="preserve"> privire la principiul schimbului de informații privind deciziile fiscale, însă până în prezent nu a fost creat un cadru eficient pentru un astfel de schimb. </w:t>
      </w:r>
    </w:p>
    <w:p w:rsidR="00CC3EFF" w:rsidRDefault="00EC19A6">
      <w:pPr>
        <w:pStyle w:val="ManualHeading2"/>
        <w:rPr>
          <w:noProof/>
        </w:rPr>
      </w:pPr>
      <w:r>
        <w:rPr>
          <w:noProof/>
        </w:rPr>
        <w:t>2.3.</w:t>
      </w:r>
      <w:r>
        <w:rPr>
          <w:noProof/>
        </w:rPr>
        <w:tab/>
        <w:t>Subsidiaritate și proporționalitate</w:t>
      </w:r>
    </w:p>
    <w:p w:rsidR="00CC3EFF" w:rsidRDefault="00EC19A6">
      <w:pPr>
        <w:rPr>
          <w:noProof/>
        </w:rPr>
      </w:pPr>
      <w:r>
        <w:rPr>
          <w:noProof/>
        </w:rPr>
        <w:t xml:space="preserve">Prezenta propunere respectă principiile subsidiarității </w:t>
      </w:r>
      <w:r>
        <w:rPr>
          <w:noProof/>
        </w:rPr>
        <w:t>ș</w:t>
      </w:r>
      <w:r>
        <w:rPr>
          <w:noProof/>
        </w:rPr>
        <w:t>i proporționalității, prevăzute la articolul 5 alineatele (3) și (4) din Tratatul privind Uniunea Europeană.</w:t>
      </w:r>
    </w:p>
    <w:p w:rsidR="00CC3EFF" w:rsidRDefault="00EC19A6">
      <w:pPr>
        <w:rPr>
          <w:noProof/>
        </w:rPr>
      </w:pPr>
      <w:r>
        <w:rPr>
          <w:noProof/>
        </w:rPr>
        <w:t>Articolul 115 din TFUE prevede apropierea actelor cu putere de lege și a actelor administrative ale statelor membre care au incidență directă asup</w:t>
      </w:r>
      <w:r>
        <w:rPr>
          <w:noProof/>
        </w:rPr>
        <w:t xml:space="preserve">ra instituirii sau a funcționării pieței interne și care fac ca apropierea legislațiilor să devină necesară. </w:t>
      </w:r>
    </w:p>
    <w:p w:rsidR="00CC3EFF" w:rsidRDefault="00EC19A6">
      <w:pPr>
        <w:rPr>
          <w:noProof/>
        </w:rPr>
      </w:pPr>
      <w:r>
        <w:rPr>
          <w:noProof/>
        </w:rPr>
        <w:t xml:space="preserve">Obiectivul de a garanta că toate statele membre dispun de suficiente informații privind deciziile transfrontaliere în avans și acordurile de preț </w:t>
      </w:r>
      <w:r>
        <w:rPr>
          <w:noProof/>
        </w:rPr>
        <w:t>în avans nu poate fi realizat în mod satisfăcător prin acțiuni necoordonate puse în aplicare de fiecare stat membru în mod individual. Prin urmare, schimbul de informații cu privire la decizii care ar putea afecta bazele impozabile ale mai multor state mem</w:t>
      </w:r>
      <w:r>
        <w:rPr>
          <w:noProof/>
        </w:rPr>
        <w:t>bre necesită o abordare comună și obligatorie. În plus, elementul transfrontalier este inerent în cadrul acțiunii propuse. O informare eficientă cu privire la deciziile transfrontaliere în avans și la acordurile de preț în avans nu poate fi realizată așada</w:t>
      </w:r>
      <w:r>
        <w:rPr>
          <w:noProof/>
        </w:rPr>
        <w:t>r decât printr-o acțiune la nivelul Uniunii.</w:t>
      </w:r>
    </w:p>
    <w:p w:rsidR="00CC3EFF" w:rsidRDefault="00EC19A6">
      <w:pPr>
        <w:autoSpaceDE w:val="0"/>
        <w:autoSpaceDN w:val="0"/>
        <w:adjustRightInd w:val="0"/>
        <w:rPr>
          <w:noProof/>
        </w:rPr>
      </w:pPr>
      <w:r>
        <w:rPr>
          <w:noProof/>
        </w:rPr>
        <w:t xml:space="preserve">Deși modelul de instrucțiuni poate fi considerat o îmbunătățire, o bază legislativă este considerată mai eficientă. În plus, atât timp cât statul membru emitent este cel care trebuie să evalueze, pe baza </w:t>
      </w:r>
      <w:r>
        <w:rPr>
          <w:noProof/>
        </w:rPr>
        <w:t>propriului cadru juridic, relevanța unei anumite decizii pentru alte state membre, lipsa de transparență va persista. Contribuabilii pot profita de lipsa unor norme comune pentru schimbul de informații pentru a crea structuri care deplasează profiturile că</w:t>
      </w:r>
      <w:r>
        <w:rPr>
          <w:noProof/>
        </w:rPr>
        <w:t>tre țările cu impozite reduse, care ar putea să nu fie țările în care sunt realizate activitățile economice generatoare de profituri și în care se creează valoarea.</w:t>
      </w:r>
      <w:r>
        <w:rPr>
          <w:rStyle w:val="FootnoteReference"/>
          <w:noProof/>
        </w:rPr>
        <w:t xml:space="preserve"> </w:t>
      </w:r>
      <w:r>
        <w:rPr>
          <w:rStyle w:val="FootnoteReference"/>
          <w:noProof/>
        </w:rPr>
        <w:footnoteReference w:id="8"/>
      </w:r>
      <w:r>
        <w:rPr>
          <w:noProof/>
        </w:rPr>
        <w:t xml:space="preserve"> Dat fiind că deciziile fiscale sunt adesea emise pentru structuri transfrontaliere, state</w:t>
      </w:r>
      <w:r>
        <w:rPr>
          <w:noProof/>
        </w:rPr>
        <w:t>le membre depind unele de altele pentru a obține o imagine completă a situației. Din acest motiv, dacă statele membre cooperează, ele sunt mai în măsură decât fiecare stat membru la nivel individual să asigure eficacitatea și integralitatea sistemului de s</w:t>
      </w:r>
      <w:r>
        <w:rPr>
          <w:noProof/>
        </w:rPr>
        <w:t xml:space="preserve">chimb de informații cu privire la deciziile fiscale. O abordare armonizată la nivelul UE ar fi mai eficientă pentru a asigura transparența fiscală și cooperarea dintre administrațiile fiscale pentru combaterea evaziunii fiscale licite. </w:t>
      </w:r>
    </w:p>
    <w:p w:rsidR="00CC3EFF" w:rsidRDefault="00EC19A6">
      <w:pPr>
        <w:rPr>
          <w:noProof/>
        </w:rPr>
      </w:pPr>
      <w:r>
        <w:rPr>
          <w:noProof/>
        </w:rPr>
        <w:t xml:space="preserve">Problema specifică </w:t>
      </w:r>
      <w:r>
        <w:rPr>
          <w:noProof/>
        </w:rPr>
        <w:t>identificată drept obiect al unui răspuns politic este lipsa de transparență privind deciziile fiscale cu relevanță transfrontalieră, care are efecte negative, în special în ceea ce privește funcționarea adecvată a pieței interne. Răspunsul politic se limi</w:t>
      </w:r>
      <w:r>
        <w:rPr>
          <w:noProof/>
        </w:rPr>
        <w:t xml:space="preserve">tează la deciziile care implică un element transfrontalier. El constă într-o abordare în două etape, conform căreia un set de informații de bază definite în directivă ar trebui să fie furnizat tuturor statelor membre ale UE. Schimbul de informații trebuie </w:t>
      </w:r>
      <w:r>
        <w:rPr>
          <w:noProof/>
        </w:rPr>
        <w:t>să asigure un echilibru între o cât mai mare concizie și furnizarea de informații suficiente pentru a-i permite statului membru destinatar să evalueze dacă ar trebui să solicite mai multe informații. Într-o a doua etapă, statele membre care pot demonstra c</w:t>
      </w:r>
      <w:r>
        <w:rPr>
          <w:noProof/>
        </w:rPr>
        <w:t>ă informațiile sunt în mod previzibil relevante pentru ele pot solicita informații mai detaliate în conformitate cu dispozițiile în vigoare ale directivei. Astfel, propunerea reprezintă răspunsul cel mai adecvat la problemele identificate, deoarece se limi</w:t>
      </w:r>
      <w:r>
        <w:rPr>
          <w:noProof/>
        </w:rPr>
        <w:t xml:space="preserve">tează la deciziile fiscale în avans și la acordurile de preț în avans cu un element transfrontalier. Ea se bazează totodată pe schimbul automat de informații de bază, pentru a permite fiecărui stat membru să determine dacă ar trebui să solicite informații </w:t>
      </w:r>
      <w:r>
        <w:rPr>
          <w:noProof/>
        </w:rPr>
        <w:t xml:space="preserve">suplimentare mai detaliate. Prin urmare, modificările propuse nu depășesc ceea ce este necesar pentru a trata problemele în cauză și pentru a atinge, în acest fel, obiectivele din tratate referitoare la o funcționare corectă și eficientă a pieței interne. </w:t>
      </w:r>
    </w:p>
    <w:p w:rsidR="00CC3EFF" w:rsidRDefault="00EC19A6">
      <w:pPr>
        <w:pStyle w:val="ManualHeading2"/>
        <w:rPr>
          <w:noProof/>
        </w:rPr>
      </w:pPr>
      <w:r>
        <w:rPr>
          <w:noProof/>
        </w:rPr>
        <w:t>2.4.</w:t>
      </w:r>
      <w:r>
        <w:rPr>
          <w:noProof/>
        </w:rPr>
        <w:tab/>
        <w:t>Documentul de lucru al serviciilor Comisiei</w:t>
      </w:r>
    </w:p>
    <w:p w:rsidR="00CC3EFF" w:rsidRDefault="00EC19A6">
      <w:pPr>
        <w:rPr>
          <w:noProof/>
        </w:rPr>
      </w:pPr>
      <w:r>
        <w:rPr>
          <w:noProof/>
        </w:rPr>
        <w:t>Documentul de lucru al serviciilor Comisiei care însoțește prezenta propunere evaluează opțiunile de politică pe baza criteriilor de eficacitate, eficiență, coerență, efecte sociale și drepturi fundamentale</w:t>
      </w:r>
      <w:r>
        <w:rPr>
          <w:noProof/>
        </w:rPr>
        <w:t xml:space="preserve">. Comisia a efectuat o analiză a opțiunilor pentru a sprijini opțiunea de politică aleasă. </w:t>
      </w:r>
    </w:p>
    <w:p w:rsidR="00CC3EFF" w:rsidRDefault="00EC19A6">
      <w:pPr>
        <w:pStyle w:val="ManualHeading1"/>
        <w:rPr>
          <w:noProof/>
        </w:rPr>
      </w:pPr>
      <w:r>
        <w:rPr>
          <w:noProof/>
        </w:rPr>
        <w:t>3.</w:t>
      </w:r>
      <w:r>
        <w:rPr>
          <w:noProof/>
        </w:rPr>
        <w:tab/>
        <w:t>ELEMENTELE JURIDICE ALE PROPUNERII</w:t>
      </w:r>
    </w:p>
    <w:p w:rsidR="00CC3EFF" w:rsidRDefault="00EC19A6">
      <w:pPr>
        <w:rPr>
          <w:noProof/>
        </w:rPr>
      </w:pPr>
      <w:r>
        <w:rPr>
          <w:noProof/>
        </w:rPr>
        <w:t>Obiectivul acestei propuneri este de a asigura faptul că informațiile privind deciziile transfrontaliere în avans și acorduril</w:t>
      </w:r>
      <w:r>
        <w:rPr>
          <w:noProof/>
        </w:rPr>
        <w:t xml:space="preserve">e de preț în avans sunt schimbate în mod automat între statele membre atunci când sunt îndeplinite condițiile prevăzute în noul articol 8a. </w:t>
      </w:r>
    </w:p>
    <w:p w:rsidR="00CC3EFF" w:rsidRDefault="00EC19A6">
      <w:pPr>
        <w:rPr>
          <w:noProof/>
        </w:rPr>
      </w:pPr>
      <w:r>
        <w:rPr>
          <w:noProof/>
        </w:rPr>
        <w:t>În acest scop, propunerea modifică Directiva 2011/16/UE, astfel cum a fost modificată prin Directiva 2014/107/UE</w:t>
      </w:r>
      <w:r>
        <w:rPr>
          <w:rStyle w:val="FootnoteReference"/>
          <w:noProof/>
        </w:rPr>
        <w:footnoteReference w:id="9"/>
      </w:r>
      <w:r>
        <w:rPr>
          <w:noProof/>
        </w:rPr>
        <w:t xml:space="preserve">, </w:t>
      </w:r>
      <w:r>
        <w:rPr>
          <w:noProof/>
        </w:rPr>
        <w:t>prin introducerea unei dispoziții specifice referitoare la schimbul automat de informații privind deciziile transfrontaliere în avans și acordurile de preț în avans.</w:t>
      </w:r>
    </w:p>
    <w:p w:rsidR="00CC3EFF" w:rsidRDefault="00EC19A6">
      <w:pPr>
        <w:rPr>
          <w:noProof/>
        </w:rPr>
      </w:pPr>
      <w:r>
        <w:rPr>
          <w:noProof/>
        </w:rPr>
        <w:t>În mod concret, articolul 1 punctul (3) din propunerea de directivă introduce un nou artic</w:t>
      </w:r>
      <w:r>
        <w:rPr>
          <w:noProof/>
        </w:rPr>
        <w:t>ol 8a în directiva în vigoare, care stabilește domeniul de aplicare și condițiile pentru schimbul automat obligatoriu de informații referitoare la tipurile de decizii fiscale și de acorduri privind prețurile de transfer definite în directiva propusă, intro</w:t>
      </w:r>
      <w:r>
        <w:rPr>
          <w:noProof/>
        </w:rPr>
        <w:t>duse prin articolul 1 punctul (1) din propunere. Articolul 8a alineatul (1) prevede că autoritățile competente ale unui stat membru trebuie să comunice, prin schimb automat, informații despre anumite decizii fiscale pe care le emit sau le modifică autorită</w:t>
      </w:r>
      <w:r>
        <w:rPr>
          <w:noProof/>
        </w:rPr>
        <w:t>ț</w:t>
      </w:r>
      <w:r>
        <w:rPr>
          <w:noProof/>
        </w:rPr>
        <w:t>ilor competente ale tuturor celorlalte state membre. Această obligație se extinde la deciziile emise în perioada de zece ani care precedă data la care intră în vigoare directiva propusă și care sunt încă valabile la data intrării în vigoare a directivei [</w:t>
      </w:r>
      <w:r>
        <w:rPr>
          <w:noProof/>
        </w:rPr>
        <w:t>articolul 8a alineatul (2)].</w:t>
      </w:r>
    </w:p>
    <w:p w:rsidR="00CC3EFF" w:rsidRDefault="00EC19A6">
      <w:pPr>
        <w:rPr>
          <w:noProof/>
        </w:rPr>
      </w:pPr>
      <w:r>
        <w:rPr>
          <w:noProof/>
        </w:rPr>
        <w:t>Articolul 1 punctul (6) din directiva propusă permite crearea de către Comisie a unui registru central securizat în ceea ce privește informațiile comunicate în contextul acestei propuneri. Acest registru central ar facilita sch</w:t>
      </w:r>
      <w:r>
        <w:rPr>
          <w:noProof/>
        </w:rPr>
        <w:t xml:space="preserve">imbul de informații și ar sprijini statele membre pentru a studia și a reacționa la deciziile schimbate între ele. </w:t>
      </w:r>
    </w:p>
    <w:p w:rsidR="00CC3EFF" w:rsidRDefault="00EC19A6">
      <w:pPr>
        <w:rPr>
          <w:noProof/>
        </w:rPr>
      </w:pPr>
      <w:r>
        <w:rPr>
          <w:noProof/>
        </w:rPr>
        <w:t>Directiva propusă actualizează totodată normele directivei din 2011 privind furnizarea de feedback, modalitățile practice pentru schimbul de</w:t>
      </w:r>
      <w:r>
        <w:rPr>
          <w:noProof/>
        </w:rPr>
        <w:t xml:space="preserve"> informații și evaluarea cooperării administrative pentru a le extinde la schimbul automat de informații privind deciziile transfrontaliere în avans și acordurile de preț în avans.</w:t>
      </w:r>
    </w:p>
    <w:p w:rsidR="00CC3EFF" w:rsidRDefault="00EC19A6">
      <w:pPr>
        <w:rPr>
          <w:noProof/>
        </w:rPr>
      </w:pPr>
      <w:r>
        <w:rPr>
          <w:noProof/>
        </w:rPr>
        <w:t>Obiectul acestor modificări se încadrează în același temei juridic ca și Di</w:t>
      </w:r>
      <w:r>
        <w:rPr>
          <w:noProof/>
        </w:rPr>
        <w:t>rectiva 2011/16/UE, și anume articolul 115 din Tratatul privind funcționarea Uniunii Europene (TFUE), care urmărește să asigure funcționarea corespunzătoare a pieței interne.</w:t>
      </w:r>
    </w:p>
    <w:p w:rsidR="00CC3EFF" w:rsidRDefault="00EC19A6">
      <w:pPr>
        <w:pStyle w:val="ManualHeading1"/>
        <w:rPr>
          <w:noProof/>
        </w:rPr>
      </w:pPr>
      <w:r>
        <w:rPr>
          <w:noProof/>
        </w:rPr>
        <w:t>4.</w:t>
      </w:r>
      <w:r>
        <w:rPr>
          <w:noProof/>
        </w:rPr>
        <w:tab/>
        <w:t>IMPLICAȚII BUGETARE</w:t>
      </w:r>
    </w:p>
    <w:p w:rsidR="00CC3EFF" w:rsidRDefault="00EC19A6">
      <w:pPr>
        <w:rPr>
          <w:noProof/>
        </w:rPr>
      </w:pPr>
      <w:r>
        <w:rPr>
          <w:noProof/>
        </w:rPr>
        <w:t xml:space="preserve">Impactul propunerii asupra bugetului UE este prezentat în </w:t>
      </w:r>
      <w:r>
        <w:rPr>
          <w:noProof/>
        </w:rPr>
        <w:t>fișa financiară care însoțește propunerea și va fi acoperit în limita resurselor disponibile. Costurile instrumentelor IT suplimentare și ale eventualului registru central pe care Comisia ar putea să îl dezvolte în viitor pentru a facilita comunicarea de i</w:t>
      </w:r>
      <w:r>
        <w:rPr>
          <w:noProof/>
        </w:rPr>
        <w:t>nformații între statele membre și pentru a asigura stocarea acestora ar urma să fie finanțate de programul FISCALIS 2020 prevăzut în Regulamentul (UE) nr. 1286/2013, care oferă sprijin financiar pentru activități menite să îmbunătățească cooperarea adminis</w:t>
      </w:r>
      <w:r>
        <w:rPr>
          <w:noProof/>
        </w:rPr>
        <w:t>trativă între autoritățile fiscale din UE.</w:t>
      </w:r>
    </w:p>
    <w:p w:rsidR="00CC3EFF" w:rsidRDefault="00CC3EFF">
      <w:pPr>
        <w:rPr>
          <w:noProof/>
        </w:rPr>
        <w:sectPr w:rsidR="00CC3EFF">
          <w:footerReference w:type="default" r:id="rId14"/>
          <w:footerReference w:type="first" r:id="rId15"/>
          <w:pgSz w:w="11907" w:h="16839"/>
          <w:pgMar w:top="1134" w:right="1417" w:bottom="1134" w:left="1417" w:header="709" w:footer="709" w:gutter="0"/>
          <w:cols w:space="708"/>
          <w:docGrid w:linePitch="360"/>
        </w:sectPr>
      </w:pPr>
    </w:p>
    <w:p w:rsidR="00CC3EFF" w:rsidRDefault="00EC19A6">
      <w:pPr>
        <w:pStyle w:val="Rfrenceinterinstitutionnelle"/>
        <w:rPr>
          <w:noProof/>
        </w:rPr>
      </w:pPr>
      <w:r>
        <w:rPr>
          <w:noProof/>
        </w:rPr>
        <w:t>2015/0068 (CNS)</w:t>
      </w:r>
    </w:p>
    <w:p w:rsidR="00CC3EFF" w:rsidRDefault="00EC19A6">
      <w:pPr>
        <w:pStyle w:val="Statut"/>
        <w:rPr>
          <w:noProof/>
        </w:rPr>
      </w:pPr>
      <w:r>
        <w:rPr>
          <w:noProof/>
        </w:rPr>
        <w:t>Propunere de</w:t>
      </w:r>
    </w:p>
    <w:p w:rsidR="00CC3EFF" w:rsidRDefault="00EC19A6">
      <w:pPr>
        <w:pStyle w:val="Typedudocument"/>
        <w:rPr>
          <w:noProof/>
        </w:rPr>
      </w:pPr>
      <w:r>
        <w:rPr>
          <w:noProof/>
        </w:rPr>
        <w:t>DIRECTIVĂ A CONSILIULUI</w:t>
      </w:r>
    </w:p>
    <w:p w:rsidR="00CC3EFF" w:rsidRDefault="00EC19A6">
      <w:pPr>
        <w:pStyle w:val="Titreobjet"/>
        <w:rPr>
          <w:noProof/>
        </w:rPr>
      </w:pPr>
      <w:r>
        <w:rPr>
          <w:noProof/>
        </w:rPr>
        <w:t xml:space="preserve">de modificare a Directivei 2011/16/UE în ceea ce privește </w:t>
      </w:r>
      <w:r>
        <w:rPr>
          <w:noProof/>
        </w:rPr>
        <w:t>schimbul automat obligatoriu de informații în domeniul fiscal</w:t>
      </w:r>
    </w:p>
    <w:p w:rsidR="00CC3EFF" w:rsidRDefault="00EC19A6">
      <w:pPr>
        <w:pStyle w:val="Institutionquiagit"/>
        <w:rPr>
          <w:noProof/>
        </w:rPr>
      </w:pPr>
      <w:r>
        <w:rPr>
          <w:noProof/>
        </w:rPr>
        <w:t>CONSILIUL UNIUNII EUROPENE,</w:t>
      </w:r>
    </w:p>
    <w:p w:rsidR="00CC3EFF" w:rsidRDefault="00EC19A6">
      <w:pPr>
        <w:rPr>
          <w:noProof/>
        </w:rPr>
      </w:pPr>
      <w:r>
        <w:rPr>
          <w:noProof/>
        </w:rPr>
        <w:t>având în vedere Tratatul privind funcționarea Uniunii Europene, în special articolul 115,</w:t>
      </w:r>
    </w:p>
    <w:p w:rsidR="00CC3EFF" w:rsidRDefault="00EC19A6">
      <w:pPr>
        <w:rPr>
          <w:noProof/>
        </w:rPr>
      </w:pPr>
      <w:r>
        <w:rPr>
          <w:noProof/>
        </w:rPr>
        <w:t>având în vedere propunerea Comisiei Europene,</w:t>
      </w:r>
    </w:p>
    <w:p w:rsidR="00CC3EFF" w:rsidRDefault="00EC19A6">
      <w:pPr>
        <w:rPr>
          <w:noProof/>
        </w:rPr>
      </w:pPr>
      <w:r>
        <w:rPr>
          <w:noProof/>
        </w:rPr>
        <w:t xml:space="preserve">după transmiterea proiectului </w:t>
      </w:r>
      <w:r>
        <w:rPr>
          <w:noProof/>
        </w:rPr>
        <w:t>de act legislativ către parlamentele naționale,</w:t>
      </w:r>
    </w:p>
    <w:p w:rsidR="00CC3EFF" w:rsidRDefault="00EC19A6">
      <w:pPr>
        <w:rPr>
          <w:noProof/>
        </w:rPr>
      </w:pPr>
      <w:r>
        <w:rPr>
          <w:noProof/>
        </w:rPr>
        <w:t>având în vedere avizul Parlamentului European</w:t>
      </w:r>
      <w:r>
        <w:rPr>
          <w:rStyle w:val="FootnoteReference"/>
          <w:noProof/>
        </w:rPr>
        <w:footnoteReference w:id="10"/>
      </w:r>
      <w:r>
        <w:rPr>
          <w:noProof/>
        </w:rPr>
        <w:t xml:space="preserve">, </w:t>
      </w:r>
    </w:p>
    <w:p w:rsidR="00CC3EFF" w:rsidRDefault="00EC19A6">
      <w:pPr>
        <w:rPr>
          <w:noProof/>
        </w:rPr>
      </w:pPr>
      <w:r>
        <w:rPr>
          <w:noProof/>
        </w:rPr>
        <w:t>având în vedere avizul Comitetului Economic și Social European</w:t>
      </w:r>
      <w:r>
        <w:rPr>
          <w:rStyle w:val="FootnoteReference"/>
          <w:noProof/>
        </w:rPr>
        <w:footnoteReference w:id="11"/>
      </w:r>
      <w:r>
        <w:rPr>
          <w:noProof/>
        </w:rPr>
        <w:t xml:space="preserve">, </w:t>
      </w:r>
    </w:p>
    <w:p w:rsidR="00CC3EFF" w:rsidRDefault="00EC19A6">
      <w:pPr>
        <w:rPr>
          <w:noProof/>
        </w:rPr>
      </w:pPr>
      <w:r>
        <w:rPr>
          <w:noProof/>
        </w:rPr>
        <w:t>având în vedere avizul Comitetului Regiunilor</w:t>
      </w:r>
      <w:r>
        <w:rPr>
          <w:rStyle w:val="FootnoteReference"/>
          <w:noProof/>
        </w:rPr>
        <w:footnoteReference w:id="12"/>
      </w:r>
      <w:r>
        <w:rPr>
          <w:noProof/>
        </w:rPr>
        <w:t xml:space="preserve">, </w:t>
      </w:r>
    </w:p>
    <w:p w:rsidR="00CC3EFF" w:rsidRDefault="00EC19A6">
      <w:pPr>
        <w:rPr>
          <w:noProof/>
        </w:rPr>
      </w:pPr>
      <w:r>
        <w:rPr>
          <w:noProof/>
        </w:rPr>
        <w:t>hotărând în conformitate cu o procedură legi</w:t>
      </w:r>
      <w:r>
        <w:rPr>
          <w:noProof/>
        </w:rPr>
        <w:t>slativă specială,</w:t>
      </w:r>
    </w:p>
    <w:p w:rsidR="00CC3EFF" w:rsidRDefault="00EC19A6">
      <w:pPr>
        <w:rPr>
          <w:noProof/>
        </w:rPr>
      </w:pPr>
      <w:r>
        <w:rPr>
          <w:noProof/>
        </w:rPr>
        <w:t>întrucât:</w:t>
      </w:r>
    </w:p>
    <w:p w:rsidR="00CC3EFF" w:rsidRDefault="00EC19A6">
      <w:pPr>
        <w:pStyle w:val="ManualConsidrant"/>
        <w:rPr>
          <w:noProof/>
        </w:rPr>
      </w:pPr>
      <w:r>
        <w:t>(1)</w:t>
      </w:r>
      <w:r>
        <w:tab/>
      </w:r>
      <w:r>
        <w:rPr>
          <w:noProof/>
        </w:rPr>
        <w:t>Problemele generate de evaziunea fiscală la nivel transfrontalier, de planificarea fiscală agresivă și de concurența fiscală dăunătoare s-au agravat considerabil, devenind un subiect de preocupare major în Uniune și la nivel</w:t>
      </w:r>
      <w:r>
        <w:rPr>
          <w:noProof/>
        </w:rPr>
        <w:t xml:space="preserve"> mondial. Erodarea bazei impozabile reduce considerabil veniturile fiscale naționale, ceea ce împiedică statele membre să aplice politici fiscale favorabile creșterii. În mod concret, deciziile privind structurile create în funcție de sistemul de impozitar</w:t>
      </w:r>
      <w:r>
        <w:rPr>
          <w:noProof/>
        </w:rPr>
        <w:t xml:space="preserve">e conduc la un nivel scăzut de impozitare a unor venituri artificial de ridicate în țara care emite decizia în avans și pot cauza reducerea artificială a veniturilor impozitate în orice alte țări implicate. Creșterea transparenței este așadar o necesitate </w:t>
      </w:r>
      <w:r>
        <w:rPr>
          <w:noProof/>
        </w:rPr>
        <w:t>urgentă. În acest scop, instrumentele și mecanismele instituite de Directiva 2011/16/UE a Consiliului</w:t>
      </w:r>
      <w:r>
        <w:rPr>
          <w:rStyle w:val="FootnoteReference"/>
          <w:noProof/>
        </w:rPr>
        <w:footnoteReference w:id="13"/>
      </w:r>
      <w:r>
        <w:rPr>
          <w:noProof/>
        </w:rPr>
        <w:t xml:space="preserve"> trebuie consolidate. </w:t>
      </w:r>
    </w:p>
    <w:p w:rsidR="00CC3EFF" w:rsidRDefault="00EC19A6">
      <w:pPr>
        <w:pStyle w:val="ManualConsidrant"/>
        <w:rPr>
          <w:noProof/>
        </w:rPr>
      </w:pPr>
      <w:r>
        <w:t>(2)</w:t>
      </w:r>
      <w:r>
        <w:tab/>
      </w:r>
      <w:r>
        <w:rPr>
          <w:noProof/>
        </w:rPr>
        <w:t>În concluziile sale din 18 decembrie 2014, Consiliul European a subliniat nevoia urgentă de intensificare a eforturilor de combatere a evaziunii fiscale și a planificării fiscale agresive, atât la nivel mondial, cât și la nivelul Uniunii. Subliniind import</w:t>
      </w:r>
      <w:r>
        <w:rPr>
          <w:noProof/>
        </w:rPr>
        <w:t xml:space="preserve">anța transparenței, Consiliul European a salutat intenția Comisiei de a prezenta o propunere privind schimbul automat de informații referitoare la deciziile fiscale în Uniune. </w:t>
      </w:r>
    </w:p>
    <w:p w:rsidR="00CC3EFF" w:rsidRDefault="00EC19A6">
      <w:pPr>
        <w:pStyle w:val="ManualConsidrant"/>
        <w:rPr>
          <w:noProof/>
        </w:rPr>
      </w:pPr>
      <w:r>
        <w:t>(3)</w:t>
      </w:r>
      <w:r>
        <w:tab/>
      </w:r>
      <w:r>
        <w:rPr>
          <w:noProof/>
        </w:rPr>
        <w:t>Directiva 2011/16/UE prevede obligativitatea schimbului spontan de informaț</w:t>
      </w:r>
      <w:r>
        <w:rPr>
          <w:noProof/>
        </w:rPr>
        <w:t>ii între statele membre în cinci cazuri specifice și în anumite termene. Schimbul spontan de informații în cazurile în care autoritatea competentă a unui stat membru are dovezi pe baza cărora presupune că pot exista pierderi fiscale într-un alt stat membru</w:t>
      </w:r>
      <w:r>
        <w:rPr>
          <w:noProof/>
        </w:rPr>
        <w:t xml:space="preserve"> se aplică deja deciziilor fiscale pe care un stat membru le emite unui anumit contribuabil în ceea ce privește interpretarea sau aplicarea dispozițiilor fiscale în viitor și care au o dimensiune transfrontalieră.</w:t>
      </w:r>
    </w:p>
    <w:p w:rsidR="00CC3EFF" w:rsidRDefault="00EC19A6">
      <w:pPr>
        <w:pStyle w:val="ManualConsidrant"/>
        <w:rPr>
          <w:noProof/>
        </w:rPr>
      </w:pPr>
      <w:r>
        <w:t>(4)</w:t>
      </w:r>
      <w:r>
        <w:tab/>
      </w:r>
      <w:r>
        <w:rPr>
          <w:noProof/>
        </w:rPr>
        <w:t>Cu toate acestea, eficiența schimbului</w:t>
      </w:r>
      <w:r>
        <w:rPr>
          <w:noProof/>
        </w:rPr>
        <w:t xml:space="preserve"> spontan de informații privind deciziile transfrontaliere în avans și acordurile de preț în avans este împiedicată de o serie de dificultăți practice importante, cum ar fi marja de apreciere de care dispune statul membru emitent pentru a decide care alte s</w:t>
      </w:r>
      <w:r>
        <w:rPr>
          <w:noProof/>
        </w:rPr>
        <w:t>tate membre ar trebui informate.</w:t>
      </w:r>
    </w:p>
    <w:p w:rsidR="00CC3EFF" w:rsidRDefault="00EC19A6">
      <w:pPr>
        <w:pStyle w:val="ManualConsidrant"/>
        <w:rPr>
          <w:noProof/>
        </w:rPr>
      </w:pPr>
      <w:r>
        <w:t>(5)</w:t>
      </w:r>
      <w:r>
        <w:tab/>
      </w:r>
      <w:r>
        <w:rPr>
          <w:noProof/>
        </w:rPr>
        <w:t>Posibilitatea ca furnizarea de informații să fie refuzată în cazul în care ar conduce la divulgarea unui secret comercial, industrial sau profesional sau a unui procedeu comercial ori a unor informații a căror divulgare</w:t>
      </w:r>
      <w:r>
        <w:rPr>
          <w:noProof/>
        </w:rPr>
        <w:t xml:space="preserve"> ar fi contrară ordinii publice nu ar trebui să se aplice dispozițiilor privind schimbul automat obligatoriu de informații privind deciziile transfrontaliere în avans și acordurile de preț în avans, pentru a nu reduce eficacitatea acestor schimburi. Caract</w:t>
      </w:r>
      <w:r>
        <w:rPr>
          <w:noProof/>
        </w:rPr>
        <w:t>erul limitat al informațiilor care trebuie comunicate tuturor statelor membre ar trebui să asigure o protecție suficientă a intereselor comerciale respective.</w:t>
      </w:r>
    </w:p>
    <w:p w:rsidR="00CC3EFF" w:rsidRDefault="00EC19A6">
      <w:pPr>
        <w:pStyle w:val="ManualConsidrant"/>
        <w:rPr>
          <w:noProof/>
        </w:rPr>
      </w:pPr>
      <w:r>
        <w:t>(6)</w:t>
      </w:r>
      <w:r>
        <w:tab/>
      </w:r>
      <w:r>
        <w:rPr>
          <w:noProof/>
        </w:rPr>
        <w:t>Pentru a profita de beneficiile oferite de schimbul automat obligatoriu de informații privind</w:t>
      </w:r>
      <w:r>
        <w:rPr>
          <w:noProof/>
        </w:rPr>
        <w:t xml:space="preserve"> deciziile transfrontaliere în avans și acordurile de preț în avans, informațiile ar trebui comunicate în cel mai scurt timp după emitere și, prin urmare, ar trebui stabilite intervale regulate de comunicare a informațiilor. </w:t>
      </w:r>
    </w:p>
    <w:p w:rsidR="00CC3EFF" w:rsidRDefault="00EC19A6">
      <w:pPr>
        <w:pStyle w:val="ManualConsidrant"/>
        <w:rPr>
          <w:noProof/>
        </w:rPr>
      </w:pPr>
      <w:r>
        <w:t>(7)</w:t>
      </w:r>
      <w:r>
        <w:tab/>
      </w:r>
      <w:r>
        <w:rPr>
          <w:noProof/>
        </w:rPr>
        <w:t>Schimbul automat obligator</w:t>
      </w:r>
      <w:r>
        <w:rPr>
          <w:noProof/>
        </w:rPr>
        <w:t>iu de informații privind deciziile transfrontaliere în avans și acordurile de preț în avans ar trebui să includă, în fiecare caz, comunicarea unui set definit de informații de bază către toate statele membre. Comisia ar trebui să adopte toate măsurile nece</w:t>
      </w:r>
      <w:r>
        <w:rPr>
          <w:noProof/>
        </w:rPr>
        <w:t>sare pentru a standardiza comunicarea unor astfel de informații în conformitate cu procedura prevăzută în Directiva 2011/16/UE pentru stabilirea unui formular-tip care să fie utilizat pentru schimbul de informații. Această procedură ar trebui, de asemenea,</w:t>
      </w:r>
      <w:r>
        <w:rPr>
          <w:noProof/>
        </w:rPr>
        <w:t xml:space="preserve"> să fie utilizată pentru adoptarea oricăror măsuri și modalități practice necesare pentru punerea în aplicare a schimbului de informații. </w:t>
      </w:r>
    </w:p>
    <w:p w:rsidR="00CC3EFF" w:rsidRDefault="00EC19A6">
      <w:pPr>
        <w:pStyle w:val="ManualConsidrant"/>
        <w:rPr>
          <w:noProof/>
        </w:rPr>
      </w:pPr>
      <w:r>
        <w:t>(8)</w:t>
      </w:r>
      <w:r>
        <w:tab/>
      </w:r>
      <w:r>
        <w:rPr>
          <w:noProof/>
        </w:rPr>
        <w:t>Statele membre ar trebui să facă schimb cu informații de bază care trebuie comunicate și Comisiei. Acest lucru ar</w:t>
      </w:r>
      <w:r>
        <w:rPr>
          <w:noProof/>
        </w:rPr>
        <w:t xml:space="preserve"> permite Comisiei, în orice moment, să monitorizeze și să evalueze aplicarea efectivă a schimbului automat de informații privind deciziile transfrontaliere în avans și acordurile de preț în avans. Această comunicare nu va scuti un stat membru de obligațiil</w:t>
      </w:r>
      <w:r>
        <w:rPr>
          <w:noProof/>
        </w:rPr>
        <w:t xml:space="preserve">e sale de a notifica toate ajutoarele de stat Comisiei. </w:t>
      </w:r>
    </w:p>
    <w:p w:rsidR="00CC3EFF" w:rsidRDefault="00EC19A6">
      <w:pPr>
        <w:pStyle w:val="ManualConsidrant"/>
        <w:rPr>
          <w:noProof/>
        </w:rPr>
      </w:pPr>
      <w:r>
        <w:t>(9)</w:t>
      </w:r>
      <w:r>
        <w:tab/>
      </w:r>
      <w:r>
        <w:rPr>
          <w:noProof/>
        </w:rPr>
        <w:t xml:space="preserve">Feedbackul oferit de statul membru care primește informațiile statului membru care le transmite este un element necesar al funcționării unui sistem eficient de schimb automat de informații. Prin </w:t>
      </w:r>
      <w:r>
        <w:rPr>
          <w:noProof/>
        </w:rPr>
        <w:t>urmare, este oportun să se prevadă măsuri care să permită furnizarea unui feedback în cazurile în care informațiile au fost utilizate și nu se poate furniza feedback în temeiul altor dispoziții din Directiva 2011/16/UE.</w:t>
      </w:r>
    </w:p>
    <w:p w:rsidR="00CC3EFF" w:rsidRDefault="00EC19A6">
      <w:pPr>
        <w:pStyle w:val="ManualConsidrant"/>
        <w:rPr>
          <w:noProof/>
        </w:rPr>
      </w:pPr>
      <w:r>
        <w:t>(10)</w:t>
      </w:r>
      <w:r>
        <w:tab/>
      </w:r>
      <w:r>
        <w:rPr>
          <w:noProof/>
        </w:rPr>
        <w:t>Un stat membru ar trebui să fie</w:t>
      </w:r>
      <w:r>
        <w:rPr>
          <w:noProof/>
        </w:rPr>
        <w:t xml:space="preserve"> în măsură să se bazeze pe articolul 5 din Directiva 2011/16/UE în ceea ce privește schimbul de informații la cerere pentru a obține informații suplimentare, inclusiv textul integral al deciziilor transfrontaliere în avans sau al acordurilor de preț în ava</w:t>
      </w:r>
      <w:r>
        <w:rPr>
          <w:noProof/>
        </w:rPr>
        <w:t>ns, de la statul membru care a emis astfel de decizii sau acorduri.</w:t>
      </w:r>
    </w:p>
    <w:p w:rsidR="00CC3EFF" w:rsidRDefault="00EC19A6">
      <w:pPr>
        <w:pStyle w:val="ManualConsidrant"/>
        <w:rPr>
          <w:noProof/>
        </w:rPr>
      </w:pPr>
      <w:r>
        <w:t>(11)</w:t>
      </w:r>
      <w:r>
        <w:tab/>
      </w:r>
      <w:r>
        <w:rPr>
          <w:noProof/>
        </w:rPr>
        <w:t>Statele membre ar trebui să ia toate măsurile necesare pentru a elimina orice obstacol care ar putea împiedica schimbul automat obligatoriu eficace și cât mai larg posibil de informaț</w:t>
      </w:r>
      <w:r>
        <w:rPr>
          <w:noProof/>
        </w:rPr>
        <w:t xml:space="preserve">ii privind deciziile transfrontaliere în avans și acordurile de preț în avans. </w:t>
      </w:r>
    </w:p>
    <w:p w:rsidR="00CC3EFF" w:rsidRDefault="00EC19A6">
      <w:pPr>
        <w:pStyle w:val="ManualConsidrant"/>
        <w:rPr>
          <w:noProof/>
        </w:rPr>
      </w:pPr>
      <w:r>
        <w:t>(12)</w:t>
      </w:r>
      <w:r>
        <w:tab/>
      </w:r>
      <w:r>
        <w:rPr>
          <w:noProof/>
        </w:rPr>
        <w:t>Pentru a spori eficiența utilizării resurselor, a facilita schimbul de informații și a evita necesitatea ca fiecare stat membru să efectueze modificări similare ale sistem</w:t>
      </w:r>
      <w:r>
        <w:rPr>
          <w:noProof/>
        </w:rPr>
        <w:t>ului său de stocare a informațiilor, ar trebui să se prevadă instituirea unui registru central, accesibil tuturor statelor membre și Comisiei, în care statele membre ar urma să încarce și să stocheze informațiile, în loc să le transmită prin e-mail. Modali</w:t>
      </w:r>
      <w:r>
        <w:rPr>
          <w:noProof/>
        </w:rPr>
        <w:t>tățile practice necesare pentru crearea unui astfel de registru ar trebui adoptate de Comisie în conformitate cu procedura menționată la articolul 26 alineatul (2) din Directiva 2011/16/UE.</w:t>
      </w:r>
    </w:p>
    <w:p w:rsidR="00CC3EFF" w:rsidRDefault="00EC19A6">
      <w:pPr>
        <w:pStyle w:val="ManualConsidrant"/>
        <w:rPr>
          <w:noProof/>
        </w:rPr>
      </w:pPr>
      <w:r>
        <w:t>(13)</w:t>
      </w:r>
      <w:r>
        <w:tab/>
      </w:r>
      <w:r>
        <w:rPr>
          <w:noProof/>
        </w:rPr>
        <w:t>Având în vedere natura și amploarea modificărilor introduse p</w:t>
      </w:r>
      <w:r>
        <w:rPr>
          <w:noProof/>
        </w:rPr>
        <w:t>rin Directiva 2014/107/UE și prin prezenta directivă, termenul pentru prezentarea informațiilor, a statisticilor și a rapoartelor prevăzute de Directiva 2011/16/UE ar trebui prelungit. Această prelungire ar trebui să asigure faptul că informațiile care tre</w:t>
      </w:r>
      <w:r>
        <w:rPr>
          <w:noProof/>
        </w:rPr>
        <w:t>buie furnizate pot lua în considerare experiența rezultată din modificările respective. Prelungirea ar trebui să se aplice atât statisticilor și altor informații care trebuie prezentate de către statele membre înainte de 1 iulie 2016, cât și raportului și,</w:t>
      </w:r>
      <w:r>
        <w:rPr>
          <w:noProof/>
        </w:rPr>
        <w:t xml:space="preserve"> dacă este cazul, propunerii care urmează să fie prezentate de Comisie până la 1 iulie 2017.</w:t>
      </w:r>
    </w:p>
    <w:p w:rsidR="00CC3EFF" w:rsidRDefault="00EC19A6">
      <w:pPr>
        <w:pStyle w:val="ManualConsidrant"/>
        <w:rPr>
          <w:noProof/>
        </w:rPr>
      </w:pPr>
      <w:r>
        <w:t>(14)</w:t>
      </w:r>
      <w:r>
        <w:tab/>
      </w:r>
      <w:r>
        <w:rPr>
          <w:noProof/>
        </w:rPr>
        <w:t>În spiritul abordării progresive propuse în Directiva 2011/16/UE, este necesar să se adapteze termenele existente pentru schimbul automat obligatoriu de infor</w:t>
      </w:r>
      <w:r>
        <w:rPr>
          <w:noProof/>
        </w:rPr>
        <w:t xml:space="preserve">mații prevăzut la articolul 8 alineatul (1) din Directiva 2011/16/UE, astfel încât informațiile disponibile cu privire la categorii să fie comunicate în termen de nouă luni de la încheierea anului fiscal la care se referă. </w:t>
      </w:r>
    </w:p>
    <w:p w:rsidR="00CC3EFF" w:rsidRDefault="00EC19A6">
      <w:pPr>
        <w:pStyle w:val="ManualConsidrant"/>
        <w:rPr>
          <w:noProof/>
        </w:rPr>
      </w:pPr>
      <w:r>
        <w:t>(15)</w:t>
      </w:r>
      <w:r>
        <w:tab/>
      </w:r>
      <w:r>
        <w:rPr>
          <w:noProof/>
        </w:rPr>
        <w:t>Dispozițiile existente priv</w:t>
      </w:r>
      <w:r>
        <w:rPr>
          <w:noProof/>
        </w:rPr>
        <w:t>ind confidențialitatea ar trebui modificate pentru a reflecta extinderea schimbului automat obligatoriu de informații la deciziile transfrontaliere în avans și la acordurile de preț în avans.</w:t>
      </w:r>
    </w:p>
    <w:p w:rsidR="00CC3EFF" w:rsidRDefault="00EC19A6">
      <w:pPr>
        <w:pStyle w:val="ManualConsidrant"/>
        <w:rPr>
          <w:noProof/>
        </w:rPr>
      </w:pPr>
      <w:r>
        <w:t>(16)</w:t>
      </w:r>
      <w:r>
        <w:tab/>
      </w:r>
      <w:r>
        <w:rPr>
          <w:noProof/>
        </w:rPr>
        <w:t>Prezenta directivă respectă drepturile fundamentale și prin</w:t>
      </w:r>
      <w:r>
        <w:rPr>
          <w:noProof/>
        </w:rPr>
        <w:t>cipiile recunoscute în special de Carta drepturilor fundamentale a Uniunii Europene. În mod concret, prezenta directivă urmărește să asigure respectarea deplină a dreptului la protecția datelor cu caracter personal și a libertății de a desfășura o activita</w:t>
      </w:r>
      <w:r>
        <w:rPr>
          <w:noProof/>
        </w:rPr>
        <w:t xml:space="preserve">te comercială. </w:t>
      </w:r>
    </w:p>
    <w:p w:rsidR="00CC3EFF" w:rsidRDefault="00EC19A6">
      <w:pPr>
        <w:pStyle w:val="ManualConsidrant"/>
        <w:rPr>
          <w:noProof/>
        </w:rPr>
      </w:pPr>
      <w:r>
        <w:t>(17)</w:t>
      </w:r>
      <w:r>
        <w:tab/>
      </w:r>
      <w:r>
        <w:rPr>
          <w:noProof/>
        </w:rPr>
        <w:t>Deoarece obiectivul prezentei directive, și anume instituirea unei cooperări administrative eficiente între statele membre în condiții compatibile cu buna funcționare a pieței interne, nu poate fi atins în mod satisfăcător de către sta</w:t>
      </w:r>
      <w:r>
        <w:rPr>
          <w:noProof/>
        </w:rPr>
        <w:t>tele membre, ci, din motive de uniformitate și eficacitate, poate fi îndeplinit mai bine la nivelul Uniunii, Uniunea poate adopta măsuri în conformitate cu principiul subsidiarității prevăzut la articolul 5 din Tratatul privind Uniunea Europeană. În confor</w:t>
      </w:r>
      <w:r>
        <w:rPr>
          <w:noProof/>
        </w:rPr>
        <w:t xml:space="preserve">mitate cu principiul proporționalității, prevăzut la articolul menționat, prezenta directivă nu depășește ceea ce este necesar pentru atingerea acestui obiectiv. </w:t>
      </w:r>
    </w:p>
    <w:p w:rsidR="00CC3EFF" w:rsidRDefault="00EC19A6">
      <w:pPr>
        <w:pStyle w:val="ManualConsidrant"/>
        <w:rPr>
          <w:noProof/>
        </w:rPr>
      </w:pPr>
      <w:r>
        <w:t>(18)</w:t>
      </w:r>
      <w:r>
        <w:tab/>
      </w:r>
      <w:r>
        <w:rPr>
          <w:noProof/>
        </w:rPr>
        <w:t>În conformitate cu Declarația politică comună din 28 septembrie 2011 a statelor membre ș</w:t>
      </w:r>
      <w:r>
        <w:rPr>
          <w:noProof/>
        </w:rPr>
        <w:t>i a Comisiei privind documentele explicative</w:t>
      </w:r>
      <w:r>
        <w:rPr>
          <w:rStyle w:val="FootnoteReference"/>
          <w:noProof/>
        </w:rPr>
        <w:footnoteReference w:id="14"/>
      </w:r>
      <w:r>
        <w:rPr>
          <w:noProof/>
        </w:rPr>
        <w:t>, statele membre s-au angajat ca, în cazurile justificate, să transmită împreună cu notificarea măsurilor de transpunere unul sau mai multe documente în care să explice relația dintre componentele unei directive</w:t>
      </w:r>
      <w:r>
        <w:rPr>
          <w:noProof/>
        </w:rPr>
        <w:t xml:space="preserve"> și părțile corespunzătoare din instrumentele naționale de transpunere. În ceea ce privește prezenta directivă, legiuitorul consideră că este justificată transmiterea unor astfel de documente.</w:t>
      </w:r>
    </w:p>
    <w:p w:rsidR="00CC3EFF" w:rsidRDefault="00EC19A6">
      <w:pPr>
        <w:pStyle w:val="ManualConsidrant"/>
        <w:rPr>
          <w:noProof/>
        </w:rPr>
      </w:pPr>
      <w:r>
        <w:t>(19)</w:t>
      </w:r>
      <w:r>
        <w:tab/>
      </w:r>
      <w:r>
        <w:rPr>
          <w:noProof/>
        </w:rPr>
        <w:t>Directiva 2011/16/UE ar trebui, prin urmare, modificată în</w:t>
      </w:r>
      <w:r>
        <w:rPr>
          <w:noProof/>
        </w:rPr>
        <w:t xml:space="preserve"> consecință,</w:t>
      </w:r>
    </w:p>
    <w:p w:rsidR="00CC3EFF" w:rsidRDefault="00EC19A6">
      <w:pPr>
        <w:pStyle w:val="Formuledadoption"/>
        <w:rPr>
          <w:noProof/>
        </w:rPr>
      </w:pPr>
      <w:r>
        <w:rPr>
          <w:noProof/>
        </w:rPr>
        <w:t>ADOPTĂ PREZENTA DIRECTIVĂ:</w:t>
      </w:r>
    </w:p>
    <w:p w:rsidR="00CC3EFF" w:rsidRDefault="00EC19A6">
      <w:pPr>
        <w:pStyle w:val="Titrearticle"/>
        <w:rPr>
          <w:noProof/>
        </w:rPr>
      </w:pPr>
      <w:r>
        <w:rPr>
          <w:noProof/>
        </w:rPr>
        <w:t>Articolul 1</w:t>
      </w:r>
    </w:p>
    <w:p w:rsidR="00CC3EFF" w:rsidRDefault="00EC19A6">
      <w:pPr>
        <w:rPr>
          <w:noProof/>
        </w:rPr>
      </w:pPr>
      <w:r>
        <w:rPr>
          <w:noProof/>
        </w:rPr>
        <w:t>Directiva 2011/16/UE se modifică după cum urmează:</w:t>
      </w:r>
    </w:p>
    <w:p w:rsidR="00CC3EFF" w:rsidRDefault="00EC19A6">
      <w:pPr>
        <w:rPr>
          <w:b/>
          <w:noProof/>
        </w:rPr>
      </w:pPr>
      <w:r>
        <w:rPr>
          <w:noProof/>
        </w:rPr>
        <w:t>(1)</w:t>
      </w:r>
      <w:r>
        <w:rPr>
          <w:noProof/>
        </w:rPr>
        <w:tab/>
        <w:t>Articolul 3 se modifică după cum urmează:</w:t>
      </w:r>
    </w:p>
    <w:p w:rsidR="00CC3EFF" w:rsidRDefault="00EC19A6">
      <w:pPr>
        <w:rPr>
          <w:b/>
          <w:noProof/>
        </w:rPr>
      </w:pPr>
      <w:r>
        <w:rPr>
          <w:noProof/>
        </w:rPr>
        <w:tab/>
        <w:t>(a) Punctul 9 se înlocuiește cu următorul text:</w:t>
      </w:r>
    </w:p>
    <w:p w:rsidR="00CC3EFF" w:rsidRDefault="00EC19A6">
      <w:pPr>
        <w:ind w:left="720"/>
        <w:rPr>
          <w:noProof/>
        </w:rPr>
      </w:pPr>
      <w:r>
        <w:rPr>
          <w:noProof/>
        </w:rPr>
        <w:t xml:space="preserve">„9. «schimb automat» înseamnă, </w:t>
      </w:r>
    </w:p>
    <w:p w:rsidR="00CC3EFF" w:rsidRDefault="00EC19A6">
      <w:pPr>
        <w:ind w:left="720"/>
        <w:rPr>
          <w:noProof/>
        </w:rPr>
      </w:pPr>
      <w:r>
        <w:rPr>
          <w:noProof/>
        </w:rPr>
        <w:t xml:space="preserve">(a) în scopul articolului </w:t>
      </w:r>
      <w:r>
        <w:rPr>
          <w:noProof/>
        </w:rPr>
        <w:t>8 alineatul (1) și al articolului 8a, comunicarea sistematică a informațiilor predefinite către alt stat membru, fără cerere prealabilă, la intervale regulate prestabilite. În scopul articolului 8 alineatul (1), trimiterea la informațiile disponibile se re</w:t>
      </w:r>
      <w:r>
        <w:rPr>
          <w:noProof/>
        </w:rPr>
        <w:t>feră la informații din dosarele fiscale ale statelor membre care comunică informațiile respective, care pot fi accesate în conformitate cu procedurile de colectare și procesare a informațiilor din acel stat membru;</w:t>
      </w:r>
    </w:p>
    <w:p w:rsidR="00CC3EFF" w:rsidRDefault="00EC19A6">
      <w:pPr>
        <w:ind w:left="720"/>
        <w:rPr>
          <w:noProof/>
        </w:rPr>
      </w:pPr>
      <w:r>
        <w:rPr>
          <w:noProof/>
        </w:rPr>
        <w:t>(b) în scopul articolului 8 alineatul (3a</w:t>
      </w:r>
      <w:r>
        <w:rPr>
          <w:noProof/>
        </w:rPr>
        <w:t>), comunicarea sistematică a informațiilor predefinite referitoare la rezidenții din alte state membre către statul membru de rezidență relevant, fără cerere prealabilă, la intervale regulate prestabilite. În contextul articolului 8 alineatele (3a) și (7a)</w:t>
      </w:r>
      <w:r>
        <w:rPr>
          <w:noProof/>
        </w:rPr>
        <w:t>, al articolului 21 alineatul (2) și al articolului 25 alineatele (2) și (3), orice termen scris cu inițială majusculă are sensul atribuit conform definițiilor corespunzătoare prevăzute în anexa I;</w:t>
      </w:r>
    </w:p>
    <w:p w:rsidR="00CC3EFF" w:rsidRDefault="00EC19A6">
      <w:pPr>
        <w:ind w:left="720"/>
        <w:rPr>
          <w:noProof/>
        </w:rPr>
      </w:pPr>
      <w:r>
        <w:rPr>
          <w:noProof/>
        </w:rPr>
        <w:t>(c) în scopul oricăror alte dispoziții în afară de articol</w:t>
      </w:r>
      <w:r>
        <w:rPr>
          <w:noProof/>
        </w:rPr>
        <w:t>ul 8 alineatele (1) și (3a) și de articolul 8a, comunicarea sistematică de informații predefinite furnizate în conformitate cu literele (a) și (b) de la prezentul punct.”</w:t>
      </w:r>
    </w:p>
    <w:p w:rsidR="00CC3EFF" w:rsidRDefault="00EC19A6">
      <w:pPr>
        <w:ind w:left="720"/>
        <w:rPr>
          <w:b/>
          <w:noProof/>
        </w:rPr>
      </w:pPr>
      <w:r>
        <w:rPr>
          <w:noProof/>
        </w:rPr>
        <w:t>(b) Se adaugă următoarele puncte 14, 15 și 16:</w:t>
      </w:r>
    </w:p>
    <w:p w:rsidR="00CC3EFF" w:rsidRDefault="00EC19A6">
      <w:pPr>
        <w:ind w:left="720"/>
        <w:rPr>
          <w:noProof/>
        </w:rPr>
      </w:pPr>
      <w:r>
        <w:rPr>
          <w:noProof/>
        </w:rPr>
        <w:t>„14. «decizie transfrontalieră în avan</w:t>
      </w:r>
      <w:r>
        <w:rPr>
          <w:noProof/>
        </w:rPr>
        <w:t>s» înseamnă orice acord, comunicare sau orice alt instrument sau acțiune cu efecte similare, inclusiv o decizie emisă în contextul unui audit fiscal, care:</w:t>
      </w:r>
    </w:p>
    <w:p w:rsidR="00CC3EFF" w:rsidRDefault="00EC19A6">
      <w:pPr>
        <w:ind w:left="720"/>
        <w:rPr>
          <w:noProof/>
        </w:rPr>
      </w:pPr>
      <w:r>
        <w:rPr>
          <w:noProof/>
        </w:rPr>
        <w:t>(a) este adresată de către sau în numele guvernului sau al autorității fiscale a unui stat membru sa</w:t>
      </w:r>
      <w:r>
        <w:rPr>
          <w:noProof/>
        </w:rPr>
        <w:t xml:space="preserve">u al oricărei subdiviziuni teritoriale sau administrative a acestuia, către orice persoană; </w:t>
      </w:r>
    </w:p>
    <w:p w:rsidR="00CC3EFF" w:rsidRDefault="00EC19A6">
      <w:pPr>
        <w:ind w:left="720"/>
        <w:rPr>
          <w:noProof/>
        </w:rPr>
      </w:pPr>
      <w:r>
        <w:rPr>
          <w:noProof/>
        </w:rPr>
        <w:t>(b) se referă la interpretarea sau aplicarea unei dispoziții legale sau administrative privind administrarea sau aplicarea legilor naționale referitoare la impozit</w:t>
      </w:r>
      <w:r>
        <w:rPr>
          <w:noProof/>
        </w:rPr>
        <w:t>ele din statul membru sau din subdiviziunile sale teritoriale sau administrative;</w:t>
      </w:r>
    </w:p>
    <w:p w:rsidR="00CC3EFF" w:rsidRDefault="00EC19A6">
      <w:pPr>
        <w:ind w:left="720"/>
        <w:rPr>
          <w:noProof/>
        </w:rPr>
      </w:pPr>
      <w:r>
        <w:rPr>
          <w:noProof/>
        </w:rPr>
        <w:t>(c) se referă la o tranzacție transfrontalieră sau la întrebarea dacă activitățile desfășurate de o persoană juridică în celălalt stat membru creează sau nu un sediu permanen</w:t>
      </w:r>
      <w:r>
        <w:rPr>
          <w:noProof/>
        </w:rPr>
        <w:t xml:space="preserve">t și </w:t>
      </w:r>
    </w:p>
    <w:p w:rsidR="00CC3EFF" w:rsidRDefault="00EC19A6">
      <w:pPr>
        <w:ind w:left="720"/>
        <w:rPr>
          <w:noProof/>
        </w:rPr>
      </w:pPr>
      <w:r>
        <w:rPr>
          <w:noProof/>
        </w:rPr>
        <w:t>(d) este emisă anterior tranzacțiilor sau activităților din celălalt stat membru care au potențialul de a crea un sediu permanent sau anterior depunerii declarației fiscale pentru perioada în care a avut loc tranzacția sau seria de tranzacții sau act</w:t>
      </w:r>
      <w:r>
        <w:rPr>
          <w:noProof/>
        </w:rPr>
        <w:t xml:space="preserve">ivități. </w:t>
      </w:r>
    </w:p>
    <w:p w:rsidR="00CC3EFF" w:rsidRDefault="00EC19A6">
      <w:pPr>
        <w:ind w:left="720"/>
        <w:rPr>
          <w:noProof/>
        </w:rPr>
      </w:pPr>
      <w:r>
        <w:rPr>
          <w:noProof/>
        </w:rPr>
        <w:t>Tranzacțiile transfrontaliere pot include, fără a se limita la acestea, realizarea de investiții, furnizarea de bunuri, servicii, finanțare sau utilizarea unor active corporale sau necorporale și nu trebuie neapărat să implice în mod direct perso</w:t>
      </w:r>
      <w:r>
        <w:rPr>
          <w:noProof/>
        </w:rPr>
        <w:t>ana căreia i se adresează decizia transfrontalieră în avans;</w:t>
      </w:r>
    </w:p>
    <w:p w:rsidR="00CC3EFF" w:rsidRDefault="00EC19A6">
      <w:pPr>
        <w:ind w:left="720"/>
        <w:rPr>
          <w:noProof/>
        </w:rPr>
      </w:pPr>
      <w:r>
        <w:rPr>
          <w:noProof/>
        </w:rPr>
        <w:t xml:space="preserve">15. «acord de preț în avans» înseamnă orice acord, comunicare sau orice alt instrument sau acțiune cu efecte similare, inclusiv un acord emis în contextul unui audit fiscal, adresat de către sau </w:t>
      </w:r>
      <w:r>
        <w:rPr>
          <w:noProof/>
        </w:rPr>
        <w:t>în numele guvernului sau al autorității fiscale din unul sau mai multe state membre, inclusiv al oricărei subdiviziuni teritoriale sau administrative, către orice persoană și care stabilește, anterior tranzacțiilor transfrontaliere între întreprinderi asoc</w:t>
      </w:r>
      <w:r>
        <w:rPr>
          <w:noProof/>
        </w:rPr>
        <w:t>iate, un set corespunzător de criterii pentru stabilirea prețurilor de transfer pentru aceste tranzacții sau determină atribuirea profiturilor către un sediu permanent.</w:t>
      </w:r>
    </w:p>
    <w:p w:rsidR="00CC3EFF" w:rsidRDefault="00EC19A6">
      <w:pPr>
        <w:ind w:left="720"/>
        <w:rPr>
          <w:noProof/>
        </w:rPr>
      </w:pPr>
      <w:r>
        <w:rPr>
          <w:noProof/>
        </w:rPr>
        <w:t>Întreprinderile sunt întreprinderi asociate atunci când o întreprindere participă direc</w:t>
      </w:r>
      <w:r>
        <w:rPr>
          <w:noProof/>
        </w:rPr>
        <w:t xml:space="preserve">t sau indirect la conducerea, la controlul sau la capitalul unei alte întreprinderi sau când aceleași persoane participă direct sau indirect la conducerea, la controlul sau la capitalul întreprinderilor. </w:t>
      </w:r>
    </w:p>
    <w:p w:rsidR="00CC3EFF" w:rsidRDefault="00EC19A6">
      <w:pPr>
        <w:ind w:left="720"/>
        <w:rPr>
          <w:noProof/>
        </w:rPr>
      </w:pPr>
      <w:r>
        <w:rPr>
          <w:noProof/>
        </w:rPr>
        <w:t xml:space="preserve">Prețurile de transfer sunt prețurile la care o </w:t>
      </w:r>
      <w:r>
        <w:rPr>
          <w:noProof/>
        </w:rPr>
        <w:t>întreprindere transferă bunuri corporale și necorporale sau oferă servicii întreprinderilor asociate, iar «stabilirea prețurilor de transfer» se interpretează în consecință;</w:t>
      </w:r>
    </w:p>
    <w:p w:rsidR="00CC3EFF" w:rsidRDefault="00EC19A6">
      <w:pPr>
        <w:ind w:left="720"/>
        <w:rPr>
          <w:noProof/>
        </w:rPr>
      </w:pPr>
      <w:r>
        <w:rPr>
          <w:noProof/>
        </w:rPr>
        <w:t>16. În sensul punctului 14, «tranzacție transfrontalieră» înseamnă o tranzacție sa</w:t>
      </w:r>
      <w:r>
        <w:rPr>
          <w:noProof/>
        </w:rPr>
        <w:t xml:space="preserve">u o serie de tranzacții în care: </w:t>
      </w:r>
    </w:p>
    <w:p w:rsidR="00CC3EFF" w:rsidRDefault="00EC19A6">
      <w:pPr>
        <w:ind w:left="720"/>
        <w:rPr>
          <w:noProof/>
        </w:rPr>
      </w:pPr>
      <w:r>
        <w:rPr>
          <w:noProof/>
        </w:rPr>
        <w:t>(a) nu toate părțile la tranzacție sau la seria de tranzacții au rezidența fiscală în statul membru care emite decizia transfrontalieră în avans sau</w:t>
      </w:r>
    </w:p>
    <w:p w:rsidR="00CC3EFF" w:rsidRDefault="00EC19A6">
      <w:pPr>
        <w:ind w:left="720"/>
        <w:rPr>
          <w:noProof/>
        </w:rPr>
      </w:pPr>
      <w:r>
        <w:rPr>
          <w:noProof/>
        </w:rPr>
        <w:t>(b) oricare dintre părțile la tranzacție sau la seria de tranzacții are î</w:t>
      </w:r>
      <w:r>
        <w:rPr>
          <w:noProof/>
        </w:rPr>
        <w:t xml:space="preserve">n același timp rezidența fiscală în mai mult de o jurisdicție sau </w:t>
      </w:r>
    </w:p>
    <w:p w:rsidR="00CC3EFF" w:rsidRDefault="00EC19A6">
      <w:pPr>
        <w:ind w:left="720"/>
        <w:rPr>
          <w:noProof/>
        </w:rPr>
      </w:pPr>
      <w:r>
        <w:rPr>
          <w:noProof/>
        </w:rPr>
        <w:t>(c) una dintre părțile la tranzacție sau la seria de tranzacții își desfășoară activitatea într-un alt stat membru prin intermediul unui sediu permanent și tranzacția sau seria de tranzacți</w:t>
      </w:r>
      <w:r>
        <w:rPr>
          <w:noProof/>
        </w:rPr>
        <w:t xml:space="preserve">i constituie o parte sau totalitatea activității sediului permanent. O tranzacție sau o serie de tranzacții transfrontaliere include, de asemenea, măsurile luate de către o singură persoană juridică în ceea ce privește activitățile comerciale din alt stat </w:t>
      </w:r>
      <w:r>
        <w:rPr>
          <w:noProof/>
        </w:rPr>
        <w:t>membru pe care persoana respectivă le desfășoară prin intermediul unui sediu permanent.</w:t>
      </w:r>
    </w:p>
    <w:p w:rsidR="00CC3EFF" w:rsidRDefault="00EC19A6">
      <w:pPr>
        <w:ind w:left="720"/>
        <w:rPr>
          <w:noProof/>
        </w:rPr>
      </w:pPr>
      <w:r>
        <w:rPr>
          <w:noProof/>
        </w:rPr>
        <w:t>În sensul punctului 15, «tranzacție transfrontalieră» înseamnă o tranzacție sau o serie de tranzacții care implică întreprinderi asociate care nu își au toate rezidența</w:t>
      </w:r>
      <w:r>
        <w:rPr>
          <w:noProof/>
        </w:rPr>
        <w:t xml:space="preserve"> fiscală pe teritoriul unui singur stat membru.” </w:t>
      </w:r>
    </w:p>
    <w:p w:rsidR="00CC3EFF" w:rsidRDefault="00EC19A6">
      <w:pPr>
        <w:ind w:left="720" w:hanging="720"/>
        <w:rPr>
          <w:b/>
          <w:noProof/>
        </w:rPr>
      </w:pPr>
      <w:r>
        <w:rPr>
          <w:noProof/>
        </w:rPr>
        <w:t>(2)</w:t>
      </w:r>
      <w:r>
        <w:rPr>
          <w:noProof/>
        </w:rPr>
        <w:tab/>
        <w:t>Articolul 8 se modifică după cum urmează:</w:t>
      </w:r>
      <w:r>
        <w:rPr>
          <w:b/>
          <w:noProof/>
        </w:rPr>
        <w:t xml:space="preserve"> </w:t>
      </w:r>
    </w:p>
    <w:p w:rsidR="00CC3EFF" w:rsidRDefault="00EC19A6">
      <w:pPr>
        <w:ind w:left="720" w:hanging="720"/>
        <w:rPr>
          <w:noProof/>
        </w:rPr>
      </w:pPr>
      <w:r>
        <w:rPr>
          <w:noProof/>
        </w:rPr>
        <w:tab/>
        <w:t>(a) Alineatele (4) și (5) se elimină.</w:t>
      </w:r>
    </w:p>
    <w:p w:rsidR="00CC3EFF" w:rsidRDefault="00EC19A6">
      <w:pPr>
        <w:ind w:left="720"/>
        <w:rPr>
          <w:noProof/>
        </w:rPr>
      </w:pPr>
      <w:r>
        <w:rPr>
          <w:noProof/>
        </w:rPr>
        <w:t>(b) Alineatul (6) se înlocuiește cu următorul text:</w:t>
      </w:r>
    </w:p>
    <w:p w:rsidR="00CC3EFF" w:rsidRDefault="00EC19A6">
      <w:pPr>
        <w:ind w:left="720"/>
        <w:rPr>
          <w:noProof/>
        </w:rPr>
      </w:pPr>
      <w:r>
        <w:rPr>
          <w:noProof/>
        </w:rPr>
        <w:t xml:space="preserve">„6. Comunicarea informațiilor se desfășoară după cum urmează: </w:t>
      </w:r>
    </w:p>
    <w:p w:rsidR="00CC3EFF" w:rsidRDefault="00EC19A6">
      <w:pPr>
        <w:ind w:left="720"/>
        <w:rPr>
          <w:noProof/>
        </w:rPr>
      </w:pPr>
      <w:r>
        <w:rPr>
          <w:noProof/>
        </w:rPr>
        <w:t xml:space="preserve">(a) </w:t>
      </w:r>
      <w:r>
        <w:rPr>
          <w:noProof/>
        </w:rPr>
        <w:t>pentru categoriile prevăzute la alineatul (1): cel puțin o dată pe an, în termen de nouă luni de la sfârșitul anului fiscal din statul membru la care se referă informațiile;</w:t>
      </w:r>
    </w:p>
    <w:p w:rsidR="00CC3EFF" w:rsidRDefault="00EC19A6">
      <w:pPr>
        <w:ind w:left="720"/>
        <w:rPr>
          <w:noProof/>
        </w:rPr>
      </w:pPr>
      <w:r>
        <w:rPr>
          <w:noProof/>
        </w:rPr>
        <w:t>(b) pentru informațiile prevăzute la alineatul (3a): anual, în termen de nouă luni</w:t>
      </w:r>
      <w:r>
        <w:rPr>
          <w:noProof/>
        </w:rPr>
        <w:t xml:space="preserve"> de la sfârșitul anului calendaristic sau al altei perioade de raportare adecvate la care se referă informațiile.”</w:t>
      </w:r>
    </w:p>
    <w:p w:rsidR="00CC3EFF" w:rsidRDefault="00EC19A6">
      <w:pPr>
        <w:tabs>
          <w:tab w:val="left" w:pos="709"/>
        </w:tabs>
        <w:ind w:left="709" w:hanging="709"/>
        <w:rPr>
          <w:b/>
          <w:noProof/>
        </w:rPr>
      </w:pPr>
      <w:r>
        <w:rPr>
          <w:b/>
          <w:noProof/>
        </w:rPr>
        <w:t xml:space="preserve"> </w:t>
      </w:r>
      <w:r>
        <w:rPr>
          <w:noProof/>
        </w:rPr>
        <w:t>(3)</w:t>
      </w:r>
      <w:r>
        <w:rPr>
          <w:noProof/>
        </w:rPr>
        <w:tab/>
        <w:t>Se introduc următoarele articole 8a și 8b:</w:t>
      </w:r>
    </w:p>
    <w:p w:rsidR="00CC3EFF" w:rsidRDefault="00EC19A6">
      <w:pPr>
        <w:ind w:left="720"/>
        <w:rPr>
          <w:noProof/>
        </w:rPr>
      </w:pPr>
      <w:r>
        <w:rPr>
          <w:noProof/>
        </w:rPr>
        <w:t>„Articolul 8a</w:t>
      </w:r>
    </w:p>
    <w:p w:rsidR="00CC3EFF" w:rsidRDefault="00EC19A6">
      <w:pPr>
        <w:ind w:left="720"/>
        <w:rPr>
          <w:b/>
          <w:noProof/>
        </w:rPr>
      </w:pPr>
      <w:r>
        <w:rPr>
          <w:b/>
          <w:noProof/>
        </w:rPr>
        <w:t>Domeniul de aplicare și condițiile schimbului automat obligatoriu de informații</w:t>
      </w:r>
      <w:r>
        <w:rPr>
          <w:b/>
          <w:noProof/>
        </w:rPr>
        <w:t xml:space="preserve"> privind deciziile transfrontaliere în avans și acordurile de preț în avans</w:t>
      </w:r>
    </w:p>
    <w:p w:rsidR="00CC3EFF" w:rsidRDefault="00EC19A6">
      <w:pPr>
        <w:ind w:left="720"/>
        <w:rPr>
          <w:noProof/>
        </w:rPr>
      </w:pPr>
      <w:r>
        <w:rPr>
          <w:noProof/>
        </w:rPr>
        <w:t>1. Autoritatea competentă a unui stat membru care emite sau modifică o decizie transfrontalieră în avans sau un acord de preț în avans după data intrării în vigoare a prezentei dir</w:t>
      </w:r>
      <w:r>
        <w:rPr>
          <w:noProof/>
        </w:rPr>
        <w:t xml:space="preserve">ective trebuie să comunice, prin schimb automat, informații în acest sens autorităților competente ale tuturor celorlalte state membre, precum și Comisiei Europene. </w:t>
      </w:r>
    </w:p>
    <w:p w:rsidR="00CC3EFF" w:rsidRDefault="00EC19A6">
      <w:pPr>
        <w:ind w:left="720"/>
        <w:rPr>
          <w:noProof/>
        </w:rPr>
      </w:pPr>
      <w:r>
        <w:rPr>
          <w:noProof/>
        </w:rPr>
        <w:t>2. Autoritatea competentă a unui stat membru comunică, de asemenea, autorităților competen</w:t>
      </w:r>
      <w:r>
        <w:rPr>
          <w:noProof/>
        </w:rPr>
        <w:t>te ale tuturor celorlalte state membre și Comisiei Europene informații cu privire la deciziile transfrontaliere în avans și la acordurile de preț în avans emise într-o perioadă care începe cu zece ani înainte de data intrării în vigoare, dar care sunt încă</w:t>
      </w:r>
      <w:r>
        <w:rPr>
          <w:noProof/>
        </w:rPr>
        <w:t xml:space="preserve"> valabile la data intrării în vigoare a prezentei directive. </w:t>
      </w:r>
    </w:p>
    <w:p w:rsidR="00CC3EFF" w:rsidRDefault="00EC19A6">
      <w:pPr>
        <w:ind w:left="720"/>
        <w:rPr>
          <w:noProof/>
        </w:rPr>
      </w:pPr>
      <w:r>
        <w:rPr>
          <w:noProof/>
        </w:rPr>
        <w:t>3. Alineatul (1) nu se aplică în cazul în care o decizie transfrontalieră în avans implică și se referă exclusiv la afacerile fiscale ale uneia sau mai multor persoane fizice.</w:t>
      </w:r>
    </w:p>
    <w:p w:rsidR="00CC3EFF" w:rsidRDefault="00EC19A6">
      <w:pPr>
        <w:ind w:left="720"/>
        <w:rPr>
          <w:noProof/>
        </w:rPr>
      </w:pPr>
      <w:r>
        <w:rPr>
          <w:noProof/>
        </w:rPr>
        <w:t>4. Schimbul de inf</w:t>
      </w:r>
      <w:r>
        <w:rPr>
          <w:noProof/>
        </w:rPr>
        <w:t xml:space="preserve">ormații se desfășoară după cum urmează: </w:t>
      </w:r>
    </w:p>
    <w:p w:rsidR="00CC3EFF" w:rsidRDefault="00EC19A6">
      <w:pPr>
        <w:ind w:left="720"/>
        <w:rPr>
          <w:noProof/>
        </w:rPr>
      </w:pPr>
      <w:r>
        <w:rPr>
          <w:noProof/>
        </w:rPr>
        <w:t>(a) în ceea ce privește informațiile comunicate în conformitate cu alineatul (1): în termen de o lună de la încheierea trimestrului în care a fost emisă sau modificată decizia transfrontalieră în avans sau acordul d</w:t>
      </w:r>
      <w:r>
        <w:rPr>
          <w:noProof/>
        </w:rPr>
        <w:t>e preț în avans;</w:t>
      </w:r>
    </w:p>
    <w:p w:rsidR="00CC3EFF" w:rsidRDefault="00EC19A6">
      <w:pPr>
        <w:ind w:left="720"/>
        <w:rPr>
          <w:noProof/>
        </w:rPr>
      </w:pPr>
      <w:r>
        <w:rPr>
          <w:noProof/>
        </w:rPr>
        <w:t>(b) în ceea ce privește informațiile comunicate în conformitate cu alineatul (2): înainte de 31 decembrie 2016.</w:t>
      </w:r>
    </w:p>
    <w:p w:rsidR="00CC3EFF" w:rsidRDefault="00EC19A6">
      <w:pPr>
        <w:ind w:left="720"/>
        <w:rPr>
          <w:noProof/>
        </w:rPr>
      </w:pPr>
      <w:r>
        <w:rPr>
          <w:noProof/>
        </w:rPr>
        <w:t>5. Informațiile care trebuie comunicate de către un stat membru în conformitate cu prezentul articol trebuie să includă cel puț</w:t>
      </w:r>
      <w:r>
        <w:rPr>
          <w:noProof/>
        </w:rPr>
        <w:t xml:space="preserve">in următoarele: </w:t>
      </w:r>
    </w:p>
    <w:p w:rsidR="00CC3EFF" w:rsidRDefault="00EC19A6">
      <w:pPr>
        <w:ind w:left="720"/>
        <w:rPr>
          <w:noProof/>
        </w:rPr>
      </w:pPr>
      <w:r>
        <w:rPr>
          <w:noProof/>
        </w:rPr>
        <w:t>(a) identitatea contribuabilului și, dacă este cazul, a grupului de întreprinderi din care acesta face parte;</w:t>
      </w:r>
    </w:p>
    <w:p w:rsidR="00CC3EFF" w:rsidRDefault="00EC19A6">
      <w:pPr>
        <w:ind w:left="720"/>
        <w:rPr>
          <w:noProof/>
        </w:rPr>
      </w:pPr>
      <w:r>
        <w:rPr>
          <w:noProof/>
        </w:rPr>
        <w:t>(b) conținutul deciziei transfrontaliere în avans sau al acordului de preț în avans, inclusiv o descriere a activităților comerci</w:t>
      </w:r>
      <w:r>
        <w:rPr>
          <w:noProof/>
        </w:rPr>
        <w:t xml:space="preserve">ale sau a tranzacției sau seriei de tranzacții relevante; </w:t>
      </w:r>
    </w:p>
    <w:p w:rsidR="00CC3EFF" w:rsidRDefault="00EC19A6">
      <w:pPr>
        <w:ind w:left="720"/>
        <w:rPr>
          <w:noProof/>
        </w:rPr>
      </w:pPr>
      <w:r>
        <w:rPr>
          <w:noProof/>
        </w:rPr>
        <w:t xml:space="preserve">(c) descrierea setului de criterii utilizate pentru a stabili prețurile de transfer sau prețul de transfer în sine, în cazul unui acord de preț în avans; </w:t>
      </w:r>
    </w:p>
    <w:p w:rsidR="00CC3EFF" w:rsidRDefault="00EC19A6">
      <w:pPr>
        <w:ind w:left="720"/>
        <w:rPr>
          <w:noProof/>
        </w:rPr>
      </w:pPr>
      <w:r>
        <w:rPr>
          <w:noProof/>
        </w:rPr>
        <w:t xml:space="preserve">(d) identificarea celorlalte state membre </w:t>
      </w:r>
      <w:r>
        <w:rPr>
          <w:noProof/>
        </w:rPr>
        <w:t xml:space="preserve">care ar putea fi vizate direct sau indirect de decizia transfrontalieră în avans sau de acordul de preț în avans; </w:t>
      </w:r>
    </w:p>
    <w:p w:rsidR="00CC3EFF" w:rsidRDefault="00EC19A6">
      <w:pPr>
        <w:ind w:left="720"/>
        <w:rPr>
          <w:noProof/>
        </w:rPr>
      </w:pPr>
      <w:r>
        <w:rPr>
          <w:noProof/>
        </w:rPr>
        <w:t>(e) identificarea oricărei persoane, alta decât o persoană fizică, din celelalte state membre care ar putea fi afectată direct sau indirect d</w:t>
      </w:r>
      <w:r>
        <w:rPr>
          <w:noProof/>
        </w:rPr>
        <w:t>e decizia transfrontalieră în avans sau de acordul de preț în avans (indicând statul membru de care sunt legate persoanele afectate).</w:t>
      </w:r>
    </w:p>
    <w:p w:rsidR="00CC3EFF" w:rsidRDefault="00EC19A6">
      <w:pPr>
        <w:ind w:left="720"/>
        <w:rPr>
          <w:noProof/>
        </w:rPr>
      </w:pPr>
      <w:r>
        <w:rPr>
          <w:noProof/>
        </w:rPr>
        <w:t>6. Pentru a facilita schimbul, Comisia adoptă măsurile și modalitățile practice necesare pentru punerea în aplicare a prez</w:t>
      </w:r>
      <w:r>
        <w:rPr>
          <w:noProof/>
        </w:rPr>
        <w:t xml:space="preserve">entului articol, inclusiv măsuri de standardizare a comunicării setului de informații prevăzut la alineatul (5) din prezentul articol, în cadrul procedurii de stabilire a formularului-tip prevăzut la articolul 20 alineatul (5). </w:t>
      </w:r>
    </w:p>
    <w:p w:rsidR="00CC3EFF" w:rsidRDefault="00EC19A6">
      <w:pPr>
        <w:ind w:left="720"/>
        <w:rPr>
          <w:noProof/>
        </w:rPr>
      </w:pPr>
      <w:r>
        <w:rPr>
          <w:noProof/>
        </w:rPr>
        <w:t>7. Autoritatea competentă c</w:t>
      </w:r>
      <w:r>
        <w:rPr>
          <w:noProof/>
        </w:rPr>
        <w:t>ăreia i se comunică informațiile în temeiul alineatului (1) confirmă, dacă este posibil prin mijloace electronice, primirea acestor informații autorității competente care le-a furnizat, fără întârziere și, în orice caz, în termen de cel mult șapte zile luc</w:t>
      </w:r>
      <w:r>
        <w:rPr>
          <w:noProof/>
        </w:rPr>
        <w:t xml:space="preserve">rătoare de la primire. </w:t>
      </w:r>
    </w:p>
    <w:p w:rsidR="00CC3EFF" w:rsidRDefault="00EC19A6">
      <w:pPr>
        <w:ind w:left="720"/>
        <w:rPr>
          <w:noProof/>
        </w:rPr>
      </w:pPr>
      <w:r>
        <w:rPr>
          <w:noProof/>
        </w:rPr>
        <w:t>8. Statele membre pot, în conformitate cu articolul 5, să solicite informații suplimentare, inclusiv textul integral al unei decizii transfrontaliere în avans sau al unui acord de preț în avans, din partea statului membru care a emi</w:t>
      </w:r>
      <w:r>
        <w:rPr>
          <w:noProof/>
        </w:rPr>
        <w:t>s decizia sau acordul respectiv.</w:t>
      </w:r>
    </w:p>
    <w:p w:rsidR="00CC3EFF" w:rsidRDefault="00EC19A6">
      <w:pPr>
        <w:ind w:left="720"/>
        <w:rPr>
          <w:noProof/>
        </w:rPr>
      </w:pPr>
      <w:r>
        <w:rPr>
          <w:noProof/>
        </w:rPr>
        <w:t>9. Articolul 17 alineatul (4) nu se aplică informațiilor schimbate în conformitate cu alineatele (1) și (2) din prezentul articol.</w:t>
      </w:r>
    </w:p>
    <w:p w:rsidR="00CC3EFF" w:rsidRDefault="00EC19A6">
      <w:pPr>
        <w:ind w:left="720"/>
        <w:rPr>
          <w:noProof/>
        </w:rPr>
      </w:pPr>
      <w:r>
        <w:rPr>
          <w:noProof/>
        </w:rPr>
        <w:t>Articolul 8b</w:t>
      </w:r>
    </w:p>
    <w:p w:rsidR="00CC3EFF" w:rsidRDefault="00EC19A6">
      <w:pPr>
        <w:ind w:left="720"/>
        <w:rPr>
          <w:b/>
          <w:noProof/>
        </w:rPr>
      </w:pPr>
      <w:r>
        <w:rPr>
          <w:b/>
          <w:noProof/>
        </w:rPr>
        <w:t>Statistici privind schimburile automate</w:t>
      </w:r>
    </w:p>
    <w:p w:rsidR="00CC3EFF" w:rsidRDefault="00EC19A6">
      <w:pPr>
        <w:ind w:left="720"/>
        <w:rPr>
          <w:noProof/>
        </w:rPr>
      </w:pPr>
      <w:r>
        <w:rPr>
          <w:noProof/>
        </w:rPr>
        <w:t>1. Înainte de 1 octombrie 2017, statele</w:t>
      </w:r>
      <w:r>
        <w:rPr>
          <w:noProof/>
        </w:rPr>
        <w:t xml:space="preserve"> membre pun la dispoziția Comisiei în fiecare an statistici cu privire la volumul schimburilor automate prevăzute la articolele 8 și 8a și, în măsura posibilului, informații cu privire la costurile și beneficiile administrative și de altă natură relevante </w:t>
      </w:r>
      <w:r>
        <w:rPr>
          <w:noProof/>
        </w:rPr>
        <w:t>legate de schimburile care au avut loc și orice potențiale modificări, atât pentru administrațiile fiscale, cât și pentru terți.</w:t>
      </w:r>
    </w:p>
    <w:p w:rsidR="00CC3EFF" w:rsidRDefault="00EC19A6">
      <w:pPr>
        <w:ind w:left="720"/>
        <w:rPr>
          <w:noProof/>
        </w:rPr>
      </w:pPr>
      <w:r>
        <w:rPr>
          <w:noProof/>
        </w:rPr>
        <w:t>2. Înainte de 1 octombrie 2018, Comisia înaintează un raport care furnizează o privire de ansamblu și o evaluare a statisticilo</w:t>
      </w:r>
      <w:r>
        <w:rPr>
          <w:noProof/>
        </w:rPr>
        <w:t>r și a informațiilor primite în temeiul alineatului (1) al prezentului articol, referitor la aspecte precum costurile și beneficiile administrative și de altă natură relevante ale schimbului automat de informații, precum și la aspecte practice legate de ac</w:t>
      </w:r>
      <w:r>
        <w:rPr>
          <w:noProof/>
        </w:rPr>
        <w:t>esta. Dacă este oportun, Comisia prezintă Consiliului o propunere privind categoriile de venit și capital și/sau condițiile prevăzute la articolul 8 alineatul (1), inclusiv condiția ca informațiile referitoare la rezidenții din alte state membre să fie dis</w:t>
      </w:r>
      <w:r>
        <w:rPr>
          <w:noProof/>
        </w:rPr>
        <w:t>ponibile.”</w:t>
      </w:r>
    </w:p>
    <w:p w:rsidR="00CC3EFF" w:rsidRDefault="00EC19A6">
      <w:pPr>
        <w:rPr>
          <w:b/>
          <w:noProof/>
        </w:rPr>
      </w:pPr>
      <w:r>
        <w:rPr>
          <w:noProof/>
        </w:rPr>
        <w:t>(4)</w:t>
      </w:r>
      <w:r>
        <w:rPr>
          <w:noProof/>
        </w:rPr>
        <w:tab/>
        <w:t>La articolul 14 se adaugă următorul alineat (3):</w:t>
      </w:r>
    </w:p>
    <w:p w:rsidR="00CC3EFF" w:rsidRDefault="00EC19A6">
      <w:pPr>
        <w:ind w:left="720"/>
        <w:rPr>
          <w:noProof/>
        </w:rPr>
      </w:pPr>
      <w:r>
        <w:rPr>
          <w:noProof/>
        </w:rPr>
        <w:t>„3. În cazul în care un stat membru face uz de orice informații comunicate de către un alt stat membru în conformitate cu articolul 8a, acesta trebuie să transmită feedback cu privire la infor</w:t>
      </w:r>
      <w:r>
        <w:rPr>
          <w:noProof/>
        </w:rPr>
        <w:t>mațiile primite către autoritatea competentă care a furnizat informațiile, în cel mai scurt timp posibil și nu mai târziu de trei luni de la momentul în care se cunoaște rezultatul utilizării informațiilor solicitate, cu excepția cazului în care a fost dej</w:t>
      </w:r>
      <w:r>
        <w:rPr>
          <w:noProof/>
        </w:rPr>
        <w:t>a furnizat un feedback în conformitate cu alineatul (1) al prezentului articol. Comisia stabilește măsurile practice în conformitate cu procedura menționată la articolul 26 alineatul (2).”</w:t>
      </w:r>
    </w:p>
    <w:p w:rsidR="00CC3EFF" w:rsidRDefault="00EC19A6">
      <w:pPr>
        <w:rPr>
          <w:b/>
          <w:noProof/>
        </w:rPr>
      </w:pPr>
      <w:r>
        <w:rPr>
          <w:noProof/>
        </w:rPr>
        <w:t>(5)</w:t>
      </w:r>
      <w:r>
        <w:rPr>
          <w:noProof/>
        </w:rPr>
        <w:tab/>
        <w:t>La articolul 20 se adaugă următorul alineat (5):</w:t>
      </w:r>
    </w:p>
    <w:p w:rsidR="00CC3EFF" w:rsidRDefault="00EC19A6">
      <w:pPr>
        <w:ind w:left="720"/>
        <w:rPr>
          <w:noProof/>
        </w:rPr>
      </w:pPr>
      <w:r>
        <w:rPr>
          <w:noProof/>
        </w:rPr>
        <w:t>„5. Schimbul a</w:t>
      </w:r>
      <w:r>
        <w:rPr>
          <w:noProof/>
        </w:rPr>
        <w:t>utomat de informații privind deciziile transfrontaliere în avans și acordurile de preț în avans în temeiul articolului 8a se efectuează utilizând un formular-tip de îndată ce acest formular este adoptat de Comisie în conformitate cu procedura menționată la</w:t>
      </w:r>
      <w:r>
        <w:rPr>
          <w:noProof/>
        </w:rPr>
        <w:t xml:space="preserve"> articolul 26 alineatul (2).”</w:t>
      </w:r>
    </w:p>
    <w:p w:rsidR="00CC3EFF" w:rsidRDefault="00EC19A6">
      <w:pPr>
        <w:rPr>
          <w:b/>
          <w:noProof/>
        </w:rPr>
      </w:pPr>
      <w:r>
        <w:rPr>
          <w:noProof/>
        </w:rPr>
        <w:t>(6)</w:t>
      </w:r>
      <w:r>
        <w:rPr>
          <w:noProof/>
        </w:rPr>
        <w:tab/>
        <w:t>La articolul 21 se adaugă următorul alineat (5):</w:t>
      </w:r>
    </w:p>
    <w:p w:rsidR="00CC3EFF" w:rsidRDefault="00EC19A6">
      <w:pPr>
        <w:ind w:left="720"/>
        <w:rPr>
          <w:noProof/>
        </w:rPr>
      </w:pPr>
      <w:r>
        <w:rPr>
          <w:noProof/>
        </w:rPr>
        <w:t>„5. Comisia înființează un registru central în care informațiile care urmează să fie comunicate în contextul articolului 8a din prezenta directivă pot fi înregistrate în ved</w:t>
      </w:r>
      <w:r>
        <w:rPr>
          <w:noProof/>
        </w:rPr>
        <w:t>erea efectuării schimbului automat prevăzut la articolul 8a alineatele (1) și (2). Comisia are acces la informațiile înregistrate în acest registru. Modalitățile practice necesare se adoptă de Comisie în conformitate cu procedura menționată la articolul 26</w:t>
      </w:r>
      <w:r>
        <w:rPr>
          <w:noProof/>
        </w:rPr>
        <w:t xml:space="preserve"> alineatul (2).”</w:t>
      </w:r>
    </w:p>
    <w:p w:rsidR="00CC3EFF" w:rsidRDefault="00EC19A6">
      <w:pPr>
        <w:rPr>
          <w:noProof/>
        </w:rPr>
      </w:pPr>
      <w:r>
        <w:rPr>
          <w:noProof/>
        </w:rPr>
        <w:t>(7)</w:t>
      </w:r>
      <w:r>
        <w:rPr>
          <w:noProof/>
        </w:rPr>
        <w:tab/>
        <w:t>Articolul 23 se modifică după cum urmează:</w:t>
      </w:r>
    </w:p>
    <w:p w:rsidR="00CC3EFF" w:rsidRDefault="00EC19A6">
      <w:pPr>
        <w:ind w:firstLine="720"/>
        <w:rPr>
          <w:noProof/>
        </w:rPr>
      </w:pPr>
      <w:r>
        <w:rPr>
          <w:noProof/>
        </w:rPr>
        <w:t>(a) Alineatul (3) se înlocuiește cu următorul text:</w:t>
      </w:r>
    </w:p>
    <w:p w:rsidR="00CC3EFF" w:rsidRDefault="00EC19A6">
      <w:pPr>
        <w:ind w:left="720"/>
        <w:rPr>
          <w:noProof/>
        </w:rPr>
      </w:pPr>
      <w:r>
        <w:rPr>
          <w:noProof/>
        </w:rPr>
        <w:t>„3. Statele membre transmit Comisiei o evaluare anuală a eficacității schimbului automat de informații prevăzut la articolele 8 și 8a, precu</w:t>
      </w:r>
      <w:r>
        <w:rPr>
          <w:noProof/>
        </w:rPr>
        <w:t>m și rezultatele practice obținute. Formularul și condițiile de transmitere a evaluării anuale se adoptă de către Comisie în conformitate cu procedura menționată la articolul 26 alineatul (2).”</w:t>
      </w:r>
    </w:p>
    <w:p w:rsidR="00CC3EFF" w:rsidRDefault="00EC19A6">
      <w:pPr>
        <w:rPr>
          <w:b/>
          <w:noProof/>
        </w:rPr>
      </w:pPr>
      <w:r>
        <w:rPr>
          <w:noProof/>
        </w:rPr>
        <w:t>(b) Alineatele (5) și (6) se elimină.</w:t>
      </w:r>
    </w:p>
    <w:p w:rsidR="00CC3EFF" w:rsidRDefault="00EC19A6">
      <w:pPr>
        <w:rPr>
          <w:b/>
          <w:noProof/>
        </w:rPr>
      </w:pPr>
      <w:r>
        <w:rPr>
          <w:noProof/>
        </w:rPr>
        <w:t>(8)</w:t>
      </w:r>
      <w:r>
        <w:rPr>
          <w:noProof/>
        </w:rPr>
        <w:tab/>
        <w:t xml:space="preserve">Se inserează </w:t>
      </w:r>
      <w:r>
        <w:rPr>
          <w:noProof/>
        </w:rPr>
        <w:t>următorul articol 23a :</w:t>
      </w:r>
    </w:p>
    <w:p w:rsidR="00CC3EFF" w:rsidRDefault="00EC19A6">
      <w:pPr>
        <w:ind w:left="720"/>
        <w:rPr>
          <w:noProof/>
        </w:rPr>
      </w:pPr>
      <w:r>
        <w:rPr>
          <w:noProof/>
        </w:rPr>
        <w:t>„Articolul 23a</w:t>
      </w:r>
    </w:p>
    <w:p w:rsidR="00CC3EFF" w:rsidRDefault="00EC19A6">
      <w:pPr>
        <w:ind w:left="720"/>
        <w:rPr>
          <w:noProof/>
        </w:rPr>
      </w:pPr>
      <w:r>
        <w:rPr>
          <w:noProof/>
        </w:rPr>
        <w:t>Confidențialitatea informațiilor</w:t>
      </w:r>
    </w:p>
    <w:p w:rsidR="00CC3EFF" w:rsidRDefault="00EC19A6">
      <w:pPr>
        <w:ind w:left="720"/>
        <w:rPr>
          <w:noProof/>
        </w:rPr>
      </w:pPr>
      <w:r>
        <w:rPr>
          <w:noProof/>
        </w:rPr>
        <w:t>1. În conformitate cu dispozițiile aplicabile autorităților din Uniune, Comisia păstrează confidențialitatea informațiilor care îi sunt comunicate în temeiul prezentei directive.</w:t>
      </w:r>
    </w:p>
    <w:p w:rsidR="00CC3EFF" w:rsidRDefault="00EC19A6">
      <w:pPr>
        <w:ind w:left="720"/>
        <w:rPr>
          <w:noProof/>
        </w:rPr>
      </w:pPr>
      <w:r>
        <w:rPr>
          <w:noProof/>
        </w:rPr>
        <w:t>2. In</w:t>
      </w:r>
      <w:r>
        <w:rPr>
          <w:noProof/>
        </w:rPr>
        <w:t>formațiile comunicate Comisiei de un stat membru în temeiul articolului 23, precum și orice raport sau document elaborat de Comisie pe baza acestor informații pot fi transmise altor state membre. Astfel de informații transmise intră sub incidența secretulu</w:t>
      </w:r>
      <w:r>
        <w:rPr>
          <w:noProof/>
        </w:rPr>
        <w:t>i de serviciu și beneficiază de protecția acordată informațiilor asemănătoare conform legislației interne a statului membru care le-a primit.</w:t>
      </w:r>
    </w:p>
    <w:p w:rsidR="00CC3EFF" w:rsidRDefault="00EC19A6">
      <w:pPr>
        <w:ind w:left="720"/>
        <w:rPr>
          <w:noProof/>
        </w:rPr>
      </w:pPr>
      <w:r>
        <w:rPr>
          <w:noProof/>
        </w:rPr>
        <w:t xml:space="preserve">Rapoartele și documentele întocmite de Comisie, menționate în primul paragraf, pot fi utilizate de statele membre </w:t>
      </w:r>
      <w:r>
        <w:rPr>
          <w:noProof/>
        </w:rPr>
        <w:t>doar în scopuri analitice, dar nu se publică și nici nu se pun la dispoziția unei alte persoane sau a unui alt organism fără acordul expres al Comisiei.”</w:t>
      </w:r>
    </w:p>
    <w:p w:rsidR="00CC3EFF" w:rsidRDefault="00EC19A6">
      <w:pPr>
        <w:rPr>
          <w:b/>
          <w:noProof/>
        </w:rPr>
      </w:pPr>
      <w:r>
        <w:rPr>
          <w:noProof/>
        </w:rPr>
        <w:t>(9)</w:t>
      </w:r>
      <w:r>
        <w:rPr>
          <w:noProof/>
        </w:rPr>
        <w:tab/>
        <w:t>La articolul 25 se introduce următorul alineat (1a):</w:t>
      </w:r>
    </w:p>
    <w:p w:rsidR="00CC3EFF" w:rsidRDefault="00EC19A6">
      <w:pPr>
        <w:ind w:left="720"/>
        <w:rPr>
          <w:noProof/>
        </w:rPr>
      </w:pPr>
      <w:r>
        <w:rPr>
          <w:noProof/>
        </w:rPr>
        <w:t xml:space="preserve">„1a. Regulamentul (CE) nr. 45/2001 se aplică </w:t>
      </w:r>
      <w:r>
        <w:rPr>
          <w:noProof/>
        </w:rPr>
        <w:t>în cazul oricărei prelucrări de date cu caracter personal în conformitate cu prezenta directivă de către instituțiile și organismele Uniunii. Cu toate acestea, în scopul aplicării corecte a prezentei directive, domeniul de aplicare al obligațiilor și drept</w:t>
      </w:r>
      <w:r>
        <w:rPr>
          <w:noProof/>
        </w:rPr>
        <w:t>urilor prevăzute la articolul 11, articolul 12 alineatul (1) și articolele 13 - 17 din Regulamentul (CE) nr. 45/2001 este limitat în măsura în care acest lucru este necesar pentru protejarea intereselor menționate la articolul 20 alineatul (1) litera (b) d</w:t>
      </w:r>
      <w:r>
        <w:rPr>
          <w:noProof/>
        </w:rPr>
        <w:t>in regulamentul respectiv.”</w:t>
      </w:r>
    </w:p>
    <w:p w:rsidR="00CC3EFF" w:rsidRDefault="00EC19A6">
      <w:pPr>
        <w:pStyle w:val="Titrearticle"/>
        <w:rPr>
          <w:noProof/>
        </w:rPr>
      </w:pPr>
      <w:r>
        <w:rPr>
          <w:noProof/>
        </w:rPr>
        <w:t>Articolul 2</w:t>
      </w:r>
    </w:p>
    <w:p w:rsidR="00CC3EFF" w:rsidRDefault="00EC19A6">
      <w:pPr>
        <w:pStyle w:val="ManualNumPar1"/>
        <w:ind w:left="709" w:hanging="709"/>
        <w:rPr>
          <w:noProof/>
        </w:rPr>
      </w:pPr>
      <w:r>
        <w:rPr>
          <w:noProof/>
        </w:rPr>
        <w:t>1.</w:t>
      </w:r>
      <w:r>
        <w:rPr>
          <w:noProof/>
        </w:rPr>
        <w:tab/>
        <w:t>Statele membre adoptă și publică, până la 31 decembrie 2015, actele cu putere de lege și actele administrative necesare pentru a se conforma prezentei directive. Statele membre comunică de îndată Comisiei textul a</w:t>
      </w:r>
      <w:r>
        <w:rPr>
          <w:noProof/>
        </w:rPr>
        <w:t>cestor acte.</w:t>
      </w:r>
    </w:p>
    <w:p w:rsidR="00CC3EFF" w:rsidRDefault="00EC19A6">
      <w:pPr>
        <w:pStyle w:val="Text1"/>
        <w:ind w:left="709"/>
        <w:rPr>
          <w:noProof/>
        </w:rPr>
      </w:pPr>
      <w:r>
        <w:rPr>
          <w:noProof/>
        </w:rPr>
        <w:t>Statele membre aplică aceste acte începând cu 1 ianuarie 2016.</w:t>
      </w:r>
    </w:p>
    <w:p w:rsidR="00CC3EFF" w:rsidRDefault="00EC19A6">
      <w:pPr>
        <w:pStyle w:val="Text1"/>
        <w:ind w:left="709"/>
        <w:rPr>
          <w:noProof/>
        </w:rPr>
      </w:pPr>
      <w:r>
        <w:rPr>
          <w:noProof/>
        </w:rPr>
        <w:t>Atunci când statele membre adoptă aceste acte, ele cuprind o trimitere la prezenta directivă sau sunt însoțite de o astfel de trimitere la data publicării lor oficiale. Statele mem</w:t>
      </w:r>
      <w:r>
        <w:rPr>
          <w:noProof/>
        </w:rPr>
        <w:t>bre stabilesc modalitatea de efectuare a acestei trimiteri.</w:t>
      </w:r>
    </w:p>
    <w:p w:rsidR="00CC3EFF" w:rsidRDefault="00EC19A6">
      <w:pPr>
        <w:pStyle w:val="ManualNumPar1"/>
        <w:ind w:left="709" w:hanging="709"/>
        <w:rPr>
          <w:noProof/>
        </w:rPr>
      </w:pPr>
      <w:r>
        <w:rPr>
          <w:noProof/>
        </w:rPr>
        <w:t>2.</w:t>
      </w:r>
      <w:r>
        <w:rPr>
          <w:noProof/>
        </w:rPr>
        <w:tab/>
        <w:t>Statele membre comunică Comisiei textul principalelor dispoziții de drept intern pe care le adoptă în domeniul reglementat de prezenta directivă.</w:t>
      </w:r>
    </w:p>
    <w:p w:rsidR="00CC3EFF" w:rsidRDefault="00EC19A6">
      <w:pPr>
        <w:pStyle w:val="Titrearticle"/>
        <w:rPr>
          <w:noProof/>
        </w:rPr>
      </w:pPr>
      <w:r>
        <w:rPr>
          <w:noProof/>
        </w:rPr>
        <w:t>Articolul 3</w:t>
      </w:r>
    </w:p>
    <w:p w:rsidR="00CC3EFF" w:rsidRDefault="00EC19A6">
      <w:pPr>
        <w:rPr>
          <w:noProof/>
        </w:rPr>
      </w:pPr>
      <w:r>
        <w:rPr>
          <w:noProof/>
        </w:rPr>
        <w:t xml:space="preserve">Prezenta directivă intră în vigoare în a douăzecea zi de la data publicării în </w:t>
      </w:r>
      <w:r>
        <w:rPr>
          <w:i/>
          <w:noProof/>
        </w:rPr>
        <w:t>Jurnalul Oficial al Uniunii Europene</w:t>
      </w:r>
      <w:r>
        <w:rPr>
          <w:noProof/>
        </w:rPr>
        <w:t>.</w:t>
      </w:r>
    </w:p>
    <w:p w:rsidR="00CC3EFF" w:rsidRDefault="00EC19A6">
      <w:pPr>
        <w:pStyle w:val="Titrearticle"/>
        <w:rPr>
          <w:noProof/>
        </w:rPr>
      </w:pPr>
      <w:r>
        <w:rPr>
          <w:noProof/>
        </w:rPr>
        <w:t>Articolul 4</w:t>
      </w:r>
    </w:p>
    <w:p w:rsidR="00CC3EFF" w:rsidRDefault="00EC19A6">
      <w:pPr>
        <w:rPr>
          <w:noProof/>
        </w:rPr>
      </w:pPr>
      <w:r>
        <w:rPr>
          <w:noProof/>
        </w:rPr>
        <w:t>Prezenta directivă se adresează statelor membre.</w:t>
      </w:r>
    </w:p>
    <w:p w:rsidR="00CC3EFF" w:rsidRDefault="00EC19A6">
      <w:pPr>
        <w:pStyle w:val="Fait"/>
        <w:rPr>
          <w:noProof/>
        </w:rPr>
      </w:pPr>
      <w:r>
        <w:rPr>
          <w:noProof/>
        </w:rPr>
        <w:t>Adoptată la Bruxelles,</w:t>
      </w:r>
    </w:p>
    <w:p w:rsidR="00CC3EFF" w:rsidRDefault="00EC19A6">
      <w:pPr>
        <w:pStyle w:val="Institutionquisigne"/>
        <w:rPr>
          <w:noProof/>
        </w:rPr>
      </w:pPr>
      <w:r>
        <w:rPr>
          <w:noProof/>
        </w:rPr>
        <w:tab/>
        <w:t>Pentru Consiliu</w:t>
      </w:r>
    </w:p>
    <w:p w:rsidR="00CC3EFF" w:rsidRDefault="00EC19A6">
      <w:pPr>
        <w:pStyle w:val="Personnequisigne"/>
        <w:rPr>
          <w:noProof/>
        </w:rPr>
      </w:pPr>
      <w:r>
        <w:rPr>
          <w:noProof/>
        </w:rPr>
        <w:tab/>
        <w:t>Președintele</w:t>
      </w:r>
    </w:p>
    <w:p w:rsidR="00CC3EFF" w:rsidRDefault="00CC3EFF">
      <w:pPr>
        <w:rPr>
          <w:noProof/>
        </w:rPr>
        <w:sectPr w:rsidR="00CC3EFF">
          <w:pgSz w:w="11907" w:h="16839"/>
          <w:pgMar w:top="1134" w:right="1417" w:bottom="1134" w:left="1417" w:header="709" w:footer="709" w:gutter="0"/>
          <w:cols w:space="708"/>
          <w:docGrid w:linePitch="360"/>
        </w:sectPr>
      </w:pPr>
    </w:p>
    <w:p w:rsidR="00CC3EFF" w:rsidRDefault="00EC19A6">
      <w:pPr>
        <w:pStyle w:val="Fichefinanciretitre"/>
        <w:rPr>
          <w:noProof/>
        </w:rPr>
      </w:pPr>
      <w:r>
        <w:rPr>
          <w:noProof/>
        </w:rPr>
        <w:t>FIȘĂ F</w:t>
      </w:r>
      <w:r>
        <w:rPr>
          <w:noProof/>
        </w:rPr>
        <w:t>INANCIARĂ LEGISLATIVĂ</w:t>
      </w:r>
    </w:p>
    <w:p w:rsidR="00CC3EFF" w:rsidRDefault="00EC19A6">
      <w:pPr>
        <w:pStyle w:val="ManualHeading1"/>
        <w:rPr>
          <w:noProof/>
        </w:rPr>
      </w:pPr>
      <w:r>
        <w:rPr>
          <w:noProof/>
        </w:rPr>
        <w:t>1.</w:t>
      </w:r>
      <w:r>
        <w:rPr>
          <w:noProof/>
        </w:rPr>
        <w:tab/>
        <w:t xml:space="preserve">CADRUL PROPUNERII/INIȚIATIVEI </w:t>
      </w:r>
    </w:p>
    <w:p w:rsidR="00CC3EFF" w:rsidRDefault="00EC19A6">
      <w:pPr>
        <w:pStyle w:val="ManualHeading2"/>
        <w:rPr>
          <w:b w:val="0"/>
          <w:noProof/>
        </w:rPr>
      </w:pPr>
      <w:r>
        <w:rPr>
          <w:noProof/>
        </w:rPr>
        <w:tab/>
      </w:r>
      <w:r>
        <w:rPr>
          <w:b w:val="0"/>
          <w:noProof/>
        </w:rPr>
        <w:t>1.1.</w:t>
      </w:r>
      <w:r>
        <w:rPr>
          <w:noProof/>
        </w:rPr>
        <w:tab/>
      </w:r>
      <w:r>
        <w:rPr>
          <w:b w:val="0"/>
          <w:noProof/>
        </w:rPr>
        <w:t xml:space="preserve">Titlul propunerii/inițiativei </w:t>
      </w:r>
    </w:p>
    <w:p w:rsidR="00CC3EFF" w:rsidRDefault="00EC19A6">
      <w:pPr>
        <w:pStyle w:val="ManualHeading2"/>
        <w:rPr>
          <w:b w:val="0"/>
          <w:noProof/>
        </w:rPr>
      </w:pPr>
      <w:r>
        <w:rPr>
          <w:noProof/>
        </w:rPr>
        <w:tab/>
      </w:r>
      <w:r>
        <w:rPr>
          <w:b w:val="0"/>
          <w:noProof/>
        </w:rPr>
        <w:t>1.2.</w:t>
      </w:r>
      <w:r>
        <w:rPr>
          <w:noProof/>
        </w:rPr>
        <w:tab/>
      </w:r>
      <w:r>
        <w:rPr>
          <w:b w:val="0"/>
          <w:noProof/>
        </w:rPr>
        <w:t>Domeniul (domeniile) de politică în cauză în structura ABM/ABB</w:t>
      </w:r>
    </w:p>
    <w:p w:rsidR="00CC3EFF" w:rsidRDefault="00EC19A6">
      <w:pPr>
        <w:pStyle w:val="ManualHeading2"/>
        <w:rPr>
          <w:b w:val="0"/>
          <w:noProof/>
        </w:rPr>
      </w:pPr>
      <w:r>
        <w:rPr>
          <w:noProof/>
        </w:rPr>
        <w:tab/>
      </w:r>
      <w:r>
        <w:rPr>
          <w:b w:val="0"/>
          <w:noProof/>
        </w:rPr>
        <w:t>1.3.</w:t>
      </w:r>
      <w:r>
        <w:rPr>
          <w:noProof/>
        </w:rPr>
        <w:tab/>
      </w:r>
      <w:r>
        <w:rPr>
          <w:b w:val="0"/>
          <w:noProof/>
        </w:rPr>
        <w:t xml:space="preserve">Tipul propunerii/inițiativei </w:t>
      </w:r>
    </w:p>
    <w:p w:rsidR="00CC3EFF" w:rsidRDefault="00EC19A6">
      <w:pPr>
        <w:pStyle w:val="ManualHeading2"/>
        <w:rPr>
          <w:b w:val="0"/>
          <w:noProof/>
        </w:rPr>
      </w:pPr>
      <w:r>
        <w:rPr>
          <w:noProof/>
        </w:rPr>
        <w:tab/>
      </w:r>
      <w:r>
        <w:rPr>
          <w:b w:val="0"/>
          <w:noProof/>
        </w:rPr>
        <w:t>1.4.</w:t>
      </w:r>
      <w:r>
        <w:rPr>
          <w:noProof/>
        </w:rPr>
        <w:tab/>
      </w:r>
      <w:r>
        <w:rPr>
          <w:b w:val="0"/>
          <w:noProof/>
        </w:rPr>
        <w:t xml:space="preserve">Obiectiv(e) </w:t>
      </w:r>
    </w:p>
    <w:p w:rsidR="00CC3EFF" w:rsidRDefault="00EC19A6">
      <w:pPr>
        <w:pStyle w:val="ManualHeading2"/>
        <w:rPr>
          <w:b w:val="0"/>
          <w:noProof/>
        </w:rPr>
      </w:pPr>
      <w:r>
        <w:rPr>
          <w:noProof/>
        </w:rPr>
        <w:tab/>
      </w:r>
      <w:r>
        <w:rPr>
          <w:b w:val="0"/>
          <w:noProof/>
        </w:rPr>
        <w:t>1.5.</w:t>
      </w:r>
      <w:r>
        <w:rPr>
          <w:noProof/>
        </w:rPr>
        <w:tab/>
      </w:r>
      <w:r>
        <w:rPr>
          <w:b w:val="0"/>
          <w:noProof/>
        </w:rPr>
        <w:t xml:space="preserve">Motivele propunerii/inițiativei </w:t>
      </w:r>
    </w:p>
    <w:p w:rsidR="00CC3EFF" w:rsidRDefault="00EC19A6">
      <w:pPr>
        <w:pStyle w:val="ManualHeading2"/>
        <w:rPr>
          <w:b w:val="0"/>
          <w:noProof/>
        </w:rPr>
      </w:pPr>
      <w:r>
        <w:rPr>
          <w:noProof/>
        </w:rPr>
        <w:tab/>
      </w:r>
      <w:r>
        <w:rPr>
          <w:b w:val="0"/>
          <w:noProof/>
        </w:rPr>
        <w:t>1.6.</w:t>
      </w:r>
      <w:r>
        <w:rPr>
          <w:noProof/>
        </w:rPr>
        <w:tab/>
      </w:r>
      <w:r>
        <w:rPr>
          <w:b w:val="0"/>
          <w:noProof/>
        </w:rPr>
        <w:t xml:space="preserve">Durata și impactul financiar </w:t>
      </w:r>
    </w:p>
    <w:p w:rsidR="00CC3EFF" w:rsidRDefault="00EC19A6">
      <w:pPr>
        <w:pStyle w:val="ManualHeading2"/>
        <w:rPr>
          <w:b w:val="0"/>
          <w:noProof/>
        </w:rPr>
      </w:pPr>
      <w:r>
        <w:rPr>
          <w:noProof/>
        </w:rPr>
        <w:tab/>
      </w:r>
      <w:r>
        <w:rPr>
          <w:b w:val="0"/>
          <w:noProof/>
        </w:rPr>
        <w:t>1.7.</w:t>
      </w:r>
      <w:r>
        <w:rPr>
          <w:noProof/>
        </w:rPr>
        <w:tab/>
      </w:r>
      <w:r>
        <w:rPr>
          <w:b w:val="0"/>
          <w:noProof/>
        </w:rPr>
        <w:t xml:space="preserve">Modul (modurile) de gestiune preconizat(e) </w:t>
      </w:r>
    </w:p>
    <w:p w:rsidR="00CC3EFF" w:rsidRDefault="00EC19A6">
      <w:pPr>
        <w:pStyle w:val="ManualHeading1"/>
        <w:rPr>
          <w:noProof/>
        </w:rPr>
      </w:pPr>
      <w:r>
        <w:rPr>
          <w:noProof/>
        </w:rPr>
        <w:t>2.</w:t>
      </w:r>
      <w:r>
        <w:rPr>
          <w:noProof/>
        </w:rPr>
        <w:tab/>
        <w:t xml:space="preserve">MĂSURI DE GESTIONARE </w:t>
      </w:r>
    </w:p>
    <w:p w:rsidR="00CC3EFF" w:rsidRDefault="00EC19A6">
      <w:pPr>
        <w:pStyle w:val="ManualHeading2"/>
        <w:rPr>
          <w:b w:val="0"/>
          <w:noProof/>
        </w:rPr>
      </w:pPr>
      <w:r>
        <w:rPr>
          <w:noProof/>
        </w:rPr>
        <w:tab/>
      </w:r>
      <w:r>
        <w:rPr>
          <w:b w:val="0"/>
          <w:noProof/>
        </w:rPr>
        <w:t>2.1.</w:t>
      </w:r>
      <w:r>
        <w:rPr>
          <w:noProof/>
        </w:rPr>
        <w:tab/>
      </w:r>
      <w:r>
        <w:rPr>
          <w:b w:val="0"/>
          <w:noProof/>
        </w:rPr>
        <w:t xml:space="preserve">Dispoziții în materie de monitorizare și de raportare </w:t>
      </w:r>
    </w:p>
    <w:p w:rsidR="00CC3EFF" w:rsidRDefault="00EC19A6">
      <w:pPr>
        <w:pStyle w:val="ManualHeading2"/>
        <w:rPr>
          <w:b w:val="0"/>
          <w:noProof/>
        </w:rPr>
      </w:pPr>
      <w:r>
        <w:rPr>
          <w:noProof/>
        </w:rPr>
        <w:tab/>
      </w:r>
      <w:r>
        <w:rPr>
          <w:b w:val="0"/>
          <w:noProof/>
        </w:rPr>
        <w:t>2.2.</w:t>
      </w:r>
      <w:r>
        <w:rPr>
          <w:noProof/>
        </w:rPr>
        <w:tab/>
      </w:r>
      <w:r>
        <w:rPr>
          <w:b w:val="0"/>
          <w:noProof/>
        </w:rPr>
        <w:t xml:space="preserve">Sistemul de gestiune și de control </w:t>
      </w:r>
    </w:p>
    <w:p w:rsidR="00CC3EFF" w:rsidRDefault="00EC19A6">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rsidR="00CC3EFF" w:rsidRDefault="00EC19A6">
      <w:pPr>
        <w:pStyle w:val="ManualHeading1"/>
        <w:rPr>
          <w:noProof/>
        </w:rPr>
      </w:pPr>
      <w:r>
        <w:rPr>
          <w:noProof/>
        </w:rPr>
        <w:t>3.</w:t>
      </w:r>
      <w:r>
        <w:rPr>
          <w:noProof/>
        </w:rPr>
        <w:tab/>
        <w:t xml:space="preserve">IMPACTUL FINANCIAR ESTIMAT AL PROPUNERII/INIȚIATIVEI </w:t>
      </w:r>
    </w:p>
    <w:p w:rsidR="00CC3EFF" w:rsidRDefault="00EC19A6">
      <w:pPr>
        <w:pStyle w:val="ManualHeading2"/>
        <w:rPr>
          <w:b w:val="0"/>
          <w:noProof/>
        </w:rPr>
      </w:pPr>
      <w:r>
        <w:rPr>
          <w:noProof/>
        </w:rPr>
        <w:tab/>
      </w:r>
      <w:r>
        <w:rPr>
          <w:b w:val="0"/>
          <w:noProof/>
        </w:rPr>
        <w:t>3.1.</w:t>
      </w:r>
      <w:r>
        <w:rPr>
          <w:noProof/>
        </w:rPr>
        <w:tab/>
      </w:r>
      <w:r>
        <w:rPr>
          <w:b w:val="0"/>
          <w:noProof/>
        </w:rPr>
        <w:t xml:space="preserve">Rubrica (rubricile) din cadrul financiar multianual și linia (liniile) bugetară (bugetare) de cheltuieli afectată (afectate) </w:t>
      </w:r>
    </w:p>
    <w:p w:rsidR="00CC3EFF" w:rsidRDefault="00EC19A6">
      <w:pPr>
        <w:pStyle w:val="ManualHeading2"/>
        <w:rPr>
          <w:noProof/>
        </w:rPr>
      </w:pPr>
      <w:r>
        <w:rPr>
          <w:noProof/>
        </w:rPr>
        <w:tab/>
      </w:r>
      <w:r>
        <w:rPr>
          <w:b w:val="0"/>
          <w:noProof/>
        </w:rPr>
        <w:t>3.2.</w:t>
      </w:r>
      <w:r>
        <w:rPr>
          <w:noProof/>
        </w:rPr>
        <w:tab/>
      </w:r>
      <w:r>
        <w:rPr>
          <w:b w:val="0"/>
          <w:noProof/>
        </w:rPr>
        <w:t>Impactul es</w:t>
      </w:r>
      <w:r>
        <w:rPr>
          <w:b w:val="0"/>
          <w:noProof/>
        </w:rPr>
        <w:t>timat asupra cheltuielilor</w:t>
      </w:r>
      <w:r>
        <w:rPr>
          <w:noProof/>
        </w:rPr>
        <w:t xml:space="preserve"> </w:t>
      </w:r>
    </w:p>
    <w:p w:rsidR="00CC3EFF" w:rsidRDefault="00EC19A6">
      <w:pPr>
        <w:pStyle w:val="ManualHeading3"/>
        <w:rPr>
          <w:noProof/>
        </w:rPr>
      </w:pPr>
      <w:r>
        <w:rPr>
          <w:noProof/>
        </w:rPr>
        <w:tab/>
        <w:t>3.2.1.</w:t>
      </w:r>
      <w:r>
        <w:rPr>
          <w:noProof/>
        </w:rPr>
        <w:tab/>
        <w:t xml:space="preserve">Sinteza impactului estimat asupra cheltuielilor </w:t>
      </w:r>
    </w:p>
    <w:p w:rsidR="00CC3EFF" w:rsidRDefault="00EC19A6">
      <w:pPr>
        <w:pStyle w:val="ManualHeading3"/>
        <w:rPr>
          <w:noProof/>
        </w:rPr>
      </w:pPr>
      <w:r>
        <w:rPr>
          <w:noProof/>
        </w:rPr>
        <w:tab/>
        <w:t>3.2.2.</w:t>
      </w:r>
      <w:r>
        <w:rPr>
          <w:noProof/>
        </w:rPr>
        <w:tab/>
        <w:t xml:space="preserve">Impactul estimat asupra creditelor operaționale </w:t>
      </w:r>
    </w:p>
    <w:p w:rsidR="00CC3EFF" w:rsidRDefault="00EC19A6">
      <w:pPr>
        <w:pStyle w:val="ManualHeading3"/>
        <w:rPr>
          <w:noProof/>
        </w:rPr>
      </w:pPr>
      <w:r>
        <w:rPr>
          <w:noProof/>
        </w:rPr>
        <w:tab/>
        <w:t>3.2.3.</w:t>
      </w:r>
      <w:r>
        <w:rPr>
          <w:noProof/>
        </w:rPr>
        <w:tab/>
        <w:t>Impactul estimat asupra creditelor cu caracter administrativ</w:t>
      </w:r>
    </w:p>
    <w:p w:rsidR="00CC3EFF" w:rsidRDefault="00EC19A6">
      <w:pPr>
        <w:pStyle w:val="ManualHeading3"/>
        <w:rPr>
          <w:noProof/>
        </w:rPr>
      </w:pPr>
      <w:r>
        <w:rPr>
          <w:noProof/>
        </w:rPr>
        <w:tab/>
        <w:t>3.2.4.</w:t>
      </w:r>
      <w:r>
        <w:rPr>
          <w:noProof/>
        </w:rPr>
        <w:tab/>
        <w:t>Compatibilitatea cu actualul cadru fi</w:t>
      </w:r>
      <w:r>
        <w:rPr>
          <w:noProof/>
        </w:rPr>
        <w:t>nanciar multianual</w:t>
      </w:r>
    </w:p>
    <w:p w:rsidR="00CC3EFF" w:rsidRDefault="00EC19A6">
      <w:pPr>
        <w:pStyle w:val="ManualHeading3"/>
        <w:rPr>
          <w:noProof/>
        </w:rPr>
      </w:pPr>
      <w:r>
        <w:rPr>
          <w:noProof/>
        </w:rPr>
        <w:tab/>
        <w:t>3.2.5.</w:t>
      </w:r>
      <w:r>
        <w:rPr>
          <w:noProof/>
        </w:rPr>
        <w:tab/>
        <w:t xml:space="preserve">Contribuția terților </w:t>
      </w:r>
    </w:p>
    <w:p w:rsidR="00CC3EFF" w:rsidRDefault="00EC19A6">
      <w:pPr>
        <w:pStyle w:val="ManualHeading2"/>
        <w:jc w:val="left"/>
        <w:rPr>
          <w:b w:val="0"/>
          <w:noProof/>
        </w:rPr>
        <w:sectPr w:rsidR="00CC3EFF">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Impactul estimat asupra veniturilor</w:t>
      </w:r>
    </w:p>
    <w:p w:rsidR="00CC3EFF" w:rsidRDefault="00EC19A6">
      <w:pPr>
        <w:jc w:val="center"/>
        <w:rPr>
          <w:noProof/>
        </w:rPr>
      </w:pPr>
      <w:r>
        <w:rPr>
          <w:b/>
          <w:noProof/>
          <w:u w:val="single"/>
        </w:rPr>
        <w:t>FIȘĂ FINANCIARĂ LEGISLATIVĂ</w:t>
      </w:r>
    </w:p>
    <w:p w:rsidR="00CC3EFF" w:rsidRDefault="00EC19A6">
      <w:pPr>
        <w:pStyle w:val="ManualHeading1"/>
        <w:rPr>
          <w:noProof/>
        </w:rPr>
      </w:pPr>
      <w:r>
        <w:t>1.</w:t>
      </w:r>
      <w:r>
        <w:tab/>
      </w:r>
      <w:r>
        <w:rPr>
          <w:noProof/>
        </w:rPr>
        <w:t xml:space="preserve">CADRUL PROPUNERII/INIȚIATIVEI </w:t>
      </w:r>
    </w:p>
    <w:p w:rsidR="00CC3EFF" w:rsidRDefault="00EC19A6">
      <w:pPr>
        <w:pStyle w:val="ManualHeading2"/>
        <w:rPr>
          <w:noProof/>
        </w:rPr>
      </w:pPr>
      <w:r>
        <w:t>1.1.</w:t>
      </w:r>
      <w:r>
        <w:tab/>
      </w:r>
      <w:r>
        <w:rPr>
          <w:noProof/>
        </w:rPr>
        <w:t xml:space="preserve">Titlul propunerii/inițiativei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Propunere de Directivă a Consiliului de modificare a Directivei 2011/16/UE </w:t>
      </w:r>
      <w:r>
        <w:rPr>
          <w:noProof/>
        </w:rPr>
        <w:tab/>
      </w:r>
      <w:r>
        <w:rPr>
          <w:noProof/>
        </w:rPr>
        <w:br/>
        <w:t>în ceea ce privește schimbul de informații în domeniul fiscal</w:t>
      </w:r>
    </w:p>
    <w:p w:rsidR="00CC3EFF" w:rsidRDefault="00EC19A6">
      <w:pPr>
        <w:pStyle w:val="ManualHeading2"/>
        <w:rPr>
          <w:noProof/>
          <w:szCs w:val="24"/>
        </w:rPr>
      </w:pPr>
      <w:r>
        <w:t>1.2.</w:t>
      </w:r>
      <w:r>
        <w:tab/>
      </w:r>
      <w:r>
        <w:rPr>
          <w:noProof/>
        </w:rPr>
        <w:t>Domeniul (domeniile) de politică în cauză în structura ABM/ABB</w:t>
      </w:r>
      <w:r>
        <w:rPr>
          <w:rStyle w:val="FootnoteReference"/>
          <w:noProof/>
        </w:rPr>
        <w:footnoteReference w:id="15"/>
      </w:r>
      <w:r>
        <w:rPr>
          <w:i/>
          <w:noProof/>
        </w:rPr>
        <w:t xml:space="preserv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14</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14.03</w:t>
      </w:r>
    </w:p>
    <w:p w:rsidR="00CC3EFF" w:rsidRDefault="00EC19A6">
      <w:pPr>
        <w:pStyle w:val="ManualHeading2"/>
        <w:rPr>
          <w:bCs/>
          <w:noProof/>
          <w:szCs w:val="24"/>
        </w:rPr>
      </w:pPr>
      <w:r>
        <w:t>1.3.</w:t>
      </w:r>
      <w:r>
        <w:tab/>
      </w:r>
      <w:r>
        <w:rPr>
          <w:noProof/>
        </w:rPr>
        <w:t xml:space="preserve">Tipul propunerii/inițiativei </w:t>
      </w:r>
    </w:p>
    <w:p w:rsidR="00CC3EFF" w:rsidRDefault="00EC19A6">
      <w:pPr>
        <w:pStyle w:val="Text1"/>
        <w:rPr>
          <w:b/>
          <w:noProof/>
          <w:sz w:val="22"/>
        </w:rPr>
      </w:pPr>
      <w:r>
        <w:rPr>
          <w:noProof/>
          <w:sz w:val="22"/>
        </w:rPr>
        <w:sym w:font="Wingdings" w:char="F0FD"/>
      </w:r>
      <w:r>
        <w:rPr>
          <w:noProof/>
        </w:rPr>
        <w:t xml:space="preserve"> P</w:t>
      </w:r>
      <w:r>
        <w:rPr>
          <w:noProof/>
        </w:rPr>
        <w:t xml:space="preserve">ropunerea/inițiativa se referă la </w:t>
      </w:r>
      <w:r>
        <w:rPr>
          <w:b/>
          <w:noProof/>
        </w:rPr>
        <w:t>o acțiune nouă</w:t>
      </w:r>
      <w:r>
        <w:rPr>
          <w:b/>
          <w:noProof/>
          <w:sz w:val="22"/>
        </w:rPr>
        <w:t xml:space="preserve"> </w:t>
      </w:r>
    </w:p>
    <w:p w:rsidR="00CC3EFF" w:rsidRDefault="00EC19A6">
      <w:pPr>
        <w:pStyle w:val="Text1"/>
        <w:rPr>
          <w:noProof/>
          <w:sz w:val="22"/>
        </w:rPr>
      </w:pPr>
      <w:r>
        <w:rPr>
          <w:noProof/>
          <w:sz w:val="22"/>
        </w:rPr>
        <w:sym w:font="Wingdings" w:char="F0A8"/>
      </w:r>
      <w:r>
        <w:rPr>
          <w:noProof/>
        </w:rPr>
        <w:t xml:space="preserve"> Propunerea/inițiativa se referă la </w:t>
      </w:r>
      <w:r>
        <w:rPr>
          <w:b/>
          <w:noProof/>
        </w:rPr>
        <w:t>o acțiune nouă ca urmare a unui proiect-pilot/a unei acțiuni pregătitoare</w:t>
      </w:r>
      <w:r>
        <w:rPr>
          <w:rStyle w:val="FootnoteReference"/>
          <w:b/>
          <w:noProof/>
        </w:rPr>
        <w:footnoteReference w:id="16"/>
      </w:r>
      <w:r>
        <w:rPr>
          <w:noProof/>
          <w:sz w:val="22"/>
        </w:rPr>
        <w:t xml:space="preserve"> </w:t>
      </w:r>
    </w:p>
    <w:p w:rsidR="00CC3EFF" w:rsidRDefault="00EC19A6">
      <w:pPr>
        <w:pStyle w:val="Text1"/>
        <w:rPr>
          <w:noProof/>
          <w:sz w:val="22"/>
        </w:rPr>
      </w:pPr>
      <w:r>
        <w:rPr>
          <w:noProof/>
          <w:sz w:val="22"/>
        </w:rPr>
        <w:sym w:font="Wingdings" w:char="F0A8"/>
      </w:r>
      <w:r>
        <w:rPr>
          <w:noProof/>
        </w:rPr>
        <w:t xml:space="preserve"> Propunerea/inițiativa se referă la </w:t>
      </w:r>
      <w:r>
        <w:rPr>
          <w:b/>
          <w:noProof/>
        </w:rPr>
        <w:t>prelungirea unei acțiuni existente</w:t>
      </w:r>
      <w:r>
        <w:rPr>
          <w:noProof/>
          <w:sz w:val="22"/>
        </w:rPr>
        <w:t xml:space="preserve"> </w:t>
      </w:r>
    </w:p>
    <w:p w:rsidR="00CC3EFF" w:rsidRDefault="00EC19A6">
      <w:pPr>
        <w:pStyle w:val="Text1"/>
        <w:rPr>
          <w:noProof/>
        </w:rPr>
      </w:pPr>
      <w:r>
        <w:rPr>
          <w:noProof/>
          <w:sz w:val="22"/>
        </w:rPr>
        <w:sym w:font="Wingdings" w:char="F0A8"/>
      </w:r>
      <w:r>
        <w:rPr>
          <w:noProof/>
        </w:rPr>
        <w:t xml:space="preserve"> Propunerea/inițiativa se referă la </w:t>
      </w:r>
      <w:r>
        <w:rPr>
          <w:b/>
          <w:noProof/>
        </w:rPr>
        <w:t>o acțiune reorientată către o acțiune nouă</w:t>
      </w:r>
      <w:r>
        <w:rPr>
          <w:noProof/>
        </w:rPr>
        <w:t xml:space="preserve"> </w:t>
      </w:r>
    </w:p>
    <w:p w:rsidR="00CC3EFF" w:rsidRDefault="00EC19A6">
      <w:pPr>
        <w:pStyle w:val="ManualHeading2"/>
        <w:rPr>
          <w:bCs/>
          <w:noProof/>
          <w:szCs w:val="24"/>
        </w:rPr>
      </w:pPr>
      <w:r>
        <w:t>1.4.</w:t>
      </w:r>
      <w:r>
        <w:tab/>
      </w:r>
      <w:r>
        <w:rPr>
          <w:noProof/>
        </w:rPr>
        <w:t>Obiectiv(e)</w:t>
      </w:r>
    </w:p>
    <w:p w:rsidR="00CC3EFF" w:rsidRDefault="00EC19A6">
      <w:pPr>
        <w:pStyle w:val="ManualHeading3"/>
        <w:rPr>
          <w:noProof/>
        </w:rPr>
      </w:pPr>
      <w:r>
        <w:t>1.4.1.</w:t>
      </w:r>
      <w:r>
        <w:tab/>
      </w:r>
      <w:r>
        <w:rPr>
          <w:noProof/>
        </w:rPr>
        <w:t xml:space="preserve">Obiectiv(e) strategic(e) multianual(e) al(e) Comisiei vizat(e) de propunere/inițiativă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Programul de lucru al Comisiei pentru 2015 enumeră printre prior</w:t>
      </w:r>
      <w:r>
        <w:rPr>
          <w:noProof/>
        </w:rPr>
        <w:t>itățile sale o abordare mai echitabilă a impozitării, inclusiv prin asigurarea „schimbului automat de informații privind deciziile fiscale”, care constituie obiectivul prezentei propuneri.</w:t>
      </w:r>
    </w:p>
    <w:p w:rsidR="00CC3EFF" w:rsidRDefault="00EC19A6">
      <w:pPr>
        <w:pStyle w:val="ManualHeading3"/>
        <w:rPr>
          <w:bCs/>
          <w:noProof/>
          <w:szCs w:val="24"/>
        </w:rPr>
      </w:pPr>
      <w:r>
        <w:t>1.4.2.</w:t>
      </w:r>
      <w:r>
        <w:tab/>
      </w:r>
      <w:r>
        <w:rPr>
          <w:noProof/>
        </w:rPr>
        <w:t>Obiectiv(e) specific(e) și activitatea (activitățile) ABM/AB</w:t>
      </w:r>
      <w:r>
        <w:rPr>
          <w:noProof/>
        </w:rPr>
        <w:t xml:space="preserve">B în cauză </w:t>
      </w:r>
    </w:p>
    <w:p w:rsidR="00CC3EFF" w:rsidRDefault="00EC19A6">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Obiectiv specific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Obiectivul specific al programului FISCALIS este de a sprijini lupta împotriva fraudei fiscale, a evaziunii fiscale și a planificării fiscale agresive și punerea în aplicare a dreptului Uniunii în domeniul impozitării prin as</w:t>
      </w:r>
      <w:r>
        <w:rPr>
          <w:noProof/>
        </w:rPr>
        <w:t>igurarea schimbului de informații, prin sprijinirea cooperării administrative și, atunci când este necesar și oportun, prin consolidarea capacității administrative a țărilor participante, cu scopul de a contribui la reducerea sarcinii administrative a auto</w:t>
      </w:r>
      <w:r>
        <w:rPr>
          <w:noProof/>
        </w:rPr>
        <w:t>rităților fiscale și a costurilor de asigurare a conformității aplicabile contribuabililor.</w:t>
      </w:r>
    </w:p>
    <w:p w:rsidR="00CC3EFF" w:rsidRDefault="00EC19A6">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(activitățile) ABM/ABB în cauză</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ABB 3</w:t>
      </w:r>
    </w:p>
    <w:p w:rsidR="00CC3EFF" w:rsidRDefault="00EC19A6">
      <w:pPr>
        <w:pStyle w:val="ManualHeading3"/>
        <w:rPr>
          <w:bCs/>
          <w:noProof/>
          <w:szCs w:val="24"/>
        </w:rPr>
      </w:pPr>
      <w:r>
        <w:rPr>
          <w:noProof/>
        </w:rPr>
        <w:br w:type="page"/>
      </w:r>
      <w:r>
        <w:t>1.4.3.</w:t>
      </w:r>
      <w:r>
        <w:tab/>
      </w:r>
      <w:r>
        <w:rPr>
          <w:noProof/>
        </w:rPr>
        <w:t>Rezultatul (rezultatele) și impactul preconizate</w:t>
      </w:r>
    </w:p>
    <w:p w:rsidR="00CC3EFF" w:rsidRDefault="00EC19A6">
      <w:pPr>
        <w:pStyle w:val="Text1"/>
        <w:rPr>
          <w:i/>
          <w:noProof/>
          <w:sz w:val="20"/>
        </w:rPr>
      </w:pPr>
      <w:r>
        <w:rPr>
          <w:i/>
          <w:noProof/>
          <w:sz w:val="20"/>
        </w:rPr>
        <w:t xml:space="preserve">A se preciza efectele pe care propunerea/inițiativa ar </w:t>
      </w:r>
      <w:r>
        <w:rPr>
          <w:i/>
          <w:noProof/>
          <w:sz w:val="20"/>
        </w:rPr>
        <w:t>trebui să le aibă asupra beneficiarilor vizați/ grupurilor vizate.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În primul rând, schimbul automat de informații între statele membre privind deciziile fiscale va însemna că toate statele membre vor fi în măsură să evalueze corespunzător dacă deciziile fi</w:t>
      </w:r>
      <w:r>
        <w:rPr>
          <w:noProof/>
        </w:rPr>
        <w:t xml:space="preserve">scale ale unui alt stat membru au impact asupra lor (chiar în mod neintenționat) și vor fi în măsură să reacționeze în mod corespunzător.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În al doilea rând, faptul că există mai multă transparență cu privire la deciziile fiscale ar trebui să creeze un sti</w:t>
      </w:r>
      <w:r>
        <w:rPr>
          <w:noProof/>
        </w:rPr>
        <w:t xml:space="preserve">mulent mai puternic pentru garantarea unei concurențe fiscale mai echitabile. Schimbul automat de informații privind deciziile fiscale poate, de asemenea, să descurajeze planificarea fiscală agresivă practicată de întreprinderi pe baza deciziilor fiscale, </w:t>
      </w:r>
      <w:r>
        <w:rPr>
          <w:noProof/>
        </w:rPr>
        <w:t xml:space="preserve">întrucât și alte state membre vor dispune de informațiile necesare pentru a depista și a reacționa la aranjamente artificiale și la transferul profiturilor. </w:t>
      </w:r>
    </w:p>
    <w:p w:rsidR="00CC3EFF" w:rsidRDefault="00EC19A6">
      <w:pPr>
        <w:pStyle w:val="ManualHeading3"/>
        <w:rPr>
          <w:bCs/>
          <w:noProof/>
          <w:szCs w:val="24"/>
        </w:rPr>
      </w:pPr>
      <w:r>
        <w:t>1.4.4.</w:t>
      </w:r>
      <w:r>
        <w:tab/>
      </w:r>
      <w:r>
        <w:rPr>
          <w:noProof/>
        </w:rPr>
        <w:t xml:space="preserve">Indicatori de rezultat și de impact </w:t>
      </w:r>
    </w:p>
    <w:p w:rsidR="00CC3EFF" w:rsidRDefault="00EC19A6">
      <w:pPr>
        <w:pStyle w:val="Text1"/>
        <w:rPr>
          <w:i/>
          <w:noProof/>
          <w:sz w:val="20"/>
        </w:rPr>
      </w:pPr>
      <w:r>
        <w:rPr>
          <w:i/>
          <w:noProof/>
          <w:sz w:val="20"/>
        </w:rPr>
        <w:t>A se preciza indicatorii care permit monitorizarea pun</w:t>
      </w:r>
      <w:r>
        <w:rPr>
          <w:i/>
          <w:noProof/>
          <w:sz w:val="20"/>
        </w:rPr>
        <w:t>erii în aplicare a propunerii/inițiativei.</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Propunerea va fi reglementată de cerințele prevăzute de directiva pe care o modifică (și anume, Directiva 2011/16) pentru i) punerea la dispoziție de către statele membre, pe o bază anuală, de statistici referitoa</w:t>
      </w:r>
      <w:r>
        <w:rPr>
          <w:noProof/>
        </w:rPr>
        <w:t>re la schimbul de informații, ii) elaborarea unui raport de către Comisie pe baza acestor statistici și iii) punerea la dispoziție de către statele membre, pe o bază anuală, a unei evaluări a eficacității schimbului automat de informații.</w:t>
      </w:r>
    </w:p>
    <w:p w:rsidR="00CC3EFF" w:rsidRDefault="00EC19A6">
      <w:pPr>
        <w:pStyle w:val="ManualHeading2"/>
        <w:rPr>
          <w:bCs/>
          <w:noProof/>
          <w:szCs w:val="24"/>
        </w:rPr>
      </w:pPr>
      <w:r>
        <w:t>1.5.</w:t>
      </w:r>
      <w:r>
        <w:tab/>
      </w:r>
      <w:r>
        <w:rPr>
          <w:noProof/>
        </w:rPr>
        <w:t>Motivele pro</w:t>
      </w:r>
      <w:r>
        <w:rPr>
          <w:noProof/>
        </w:rPr>
        <w:t xml:space="preserve">punerii/inițiativei </w:t>
      </w:r>
    </w:p>
    <w:p w:rsidR="00CC3EFF" w:rsidRDefault="00EC19A6">
      <w:pPr>
        <w:pStyle w:val="ManualHeading3"/>
        <w:rPr>
          <w:noProof/>
        </w:rPr>
      </w:pPr>
      <w:r>
        <w:t>1.5.1.</w:t>
      </w:r>
      <w:r>
        <w:tab/>
      </w:r>
      <w:r>
        <w:rPr>
          <w:noProof/>
        </w:rPr>
        <w:t xml:space="preserve">Cerință (cerințe) de îndeplinit pe termen scurt sau lung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Deși directiva privind cooperarea administrativă (2011/16) prevede obligația unui stat membru care emite o decizie fiscală de a oferi informații oricărui alt stat membru </w:t>
      </w:r>
      <w:r>
        <w:rPr>
          <w:noProof/>
        </w:rPr>
        <w:t>interesat, este la latitudinea statului membru care emite decizia să hotărască pentru care alte state membre informațiile ar putea fi relevante. Cu toate acestea, statul membru care emite decizia poate să nu fie întotdeauna în măsură să știe care alte stat</w:t>
      </w:r>
      <w:r>
        <w:rPr>
          <w:noProof/>
        </w:rPr>
        <w:t xml:space="preserve">e membre ar putea fi afectate. În plus, în prezent există mai multe derogări de la obligația de comunicare a informațiilor. Această propunere ar impune unui stat membru care emite decizii obligația de a furniza informații în mod automat tuturor celorlalte </w:t>
      </w:r>
      <w:r>
        <w:rPr>
          <w:noProof/>
        </w:rPr>
        <w:t>state membre, astfel încât decizia privind relevanța să fie luată de un stat membru destinatar, mai degrabă decât de statul membru emitent și ar elimina actualele derogări de la obligația de comunicare a informațiilor.</w:t>
      </w:r>
    </w:p>
    <w:p w:rsidR="00CC3EFF" w:rsidRDefault="00EC19A6">
      <w:pPr>
        <w:pStyle w:val="ManualHeading3"/>
        <w:rPr>
          <w:bCs/>
          <w:noProof/>
          <w:szCs w:val="24"/>
        </w:rPr>
      </w:pPr>
      <w:r>
        <w:t>1.5.2.</w:t>
      </w:r>
      <w:r>
        <w:tab/>
      </w:r>
      <w:r>
        <w:rPr>
          <w:noProof/>
        </w:rPr>
        <w:t>Valoarea adăugată a implicării</w:t>
      </w:r>
      <w:r>
        <w:rPr>
          <w:noProof/>
        </w:rPr>
        <w:t xml:space="preserve"> UE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Acțiunea individuală a statelor membre ar putea să nu aibă ca rezultat o informare completă cu privire la deciziile emise de alte state membre, chiar și atunci când aceste decizii se referă la baza lor impozabilă. O abordare obligatorie din punct de ve</w:t>
      </w:r>
      <w:r>
        <w:rPr>
          <w:noProof/>
        </w:rPr>
        <w:t>dere juridic la nivelul UE este singura modalitate de a asigura transparența și cooperarea deplină în acest domeniu.</w:t>
      </w:r>
    </w:p>
    <w:p w:rsidR="00CC3EFF" w:rsidRDefault="00EC19A6">
      <w:pPr>
        <w:pStyle w:val="ManualHeading3"/>
        <w:rPr>
          <w:bCs/>
          <w:noProof/>
          <w:szCs w:val="24"/>
        </w:rPr>
      </w:pPr>
      <w:r>
        <w:t>1.5.3.</w:t>
      </w:r>
      <w:r>
        <w:tab/>
      </w:r>
      <w:r>
        <w:rPr>
          <w:noProof/>
        </w:rPr>
        <w:t>Învățăminte desprinse din experiențe anterioare similare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Abordarea actuală, care nu prevede un schimb automat de informații privind </w:t>
      </w:r>
      <w:r>
        <w:rPr>
          <w:noProof/>
        </w:rPr>
        <w:t>deciziile fiscale, nu a avut ca rezultat, până în prezent, asigurarea transparenței în acest domeniu. La momentul de față, unii contribuabili profită de lipsa transparenței pentru a crea structuri care deplasează profiturile către țările cu impozite reduse</w:t>
      </w:r>
      <w:r>
        <w:rPr>
          <w:noProof/>
        </w:rPr>
        <w:t>, care ar putea să nu fie țările în care sunt realizate activitățile economice generatoare de profituri și în care se creează valoarea. Schimbul automat de informații între administrațiile fiscale care se aplică în alte domenii fiscale, cum ar fi pentru ve</w:t>
      </w:r>
      <w:r>
        <w:rPr>
          <w:noProof/>
        </w:rPr>
        <w:t>niturile din economii, a avut rezultate bune. Schimbul automat este acceptat în prezent la nivel global ca fiind cel mai bun instrument disponibil al administrațiilor fiscale pentru a combate evaziunea fiscală licită și ilicită.</w:t>
      </w:r>
    </w:p>
    <w:p w:rsidR="00CC3EFF" w:rsidRDefault="00EC19A6">
      <w:pPr>
        <w:pStyle w:val="ManualHeading3"/>
        <w:rPr>
          <w:bCs/>
          <w:noProof/>
          <w:szCs w:val="24"/>
        </w:rPr>
      </w:pPr>
      <w:r>
        <w:t>1.5.4.</w:t>
      </w:r>
      <w:r>
        <w:tab/>
      </w:r>
      <w:r>
        <w:rPr>
          <w:noProof/>
        </w:rPr>
        <w:t xml:space="preserve">Compatibilitatea și </w:t>
      </w:r>
      <w:r>
        <w:rPr>
          <w:noProof/>
        </w:rPr>
        <w:t>posibila sinergie cu alte instrumente corespunzătoare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Având în vedere că propunerea este destinată să modifice directiva privind cooperarea administrativă (2011/16), procedurile, mecanismele și instrumentele IT deja instituite sau aflate în curs de elabora</w:t>
      </w:r>
      <w:r>
        <w:rPr>
          <w:noProof/>
        </w:rPr>
        <w:t xml:space="preserve">re în temeiul directivei respective vor fi disponibile pentru utilizare în scopurile prezentei propuneri. </w:t>
      </w:r>
    </w:p>
    <w:p w:rsidR="00CC3EFF" w:rsidRDefault="00EC19A6">
      <w:pPr>
        <w:pStyle w:val="ManualHeading2"/>
        <w:rPr>
          <w:bCs/>
          <w:noProof/>
          <w:szCs w:val="24"/>
        </w:rPr>
      </w:pPr>
      <w:r>
        <w:rPr>
          <w:noProof/>
        </w:rPr>
        <w:br w:type="page"/>
      </w:r>
      <w:r>
        <w:t>1.6.</w:t>
      </w:r>
      <w:r>
        <w:tab/>
      </w:r>
      <w:r>
        <w:rPr>
          <w:noProof/>
        </w:rPr>
        <w:t xml:space="preserve">Durata și impactul financiar </w:t>
      </w:r>
    </w:p>
    <w:p w:rsidR="00CC3EFF" w:rsidRDefault="00EC19A6">
      <w:pPr>
        <w:pStyle w:val="Text1"/>
        <w:rPr>
          <w:noProof/>
        </w:rPr>
      </w:pPr>
      <w:r>
        <w:rPr>
          <w:noProof/>
        </w:rPr>
        <w:sym w:font="Wingdings" w:char="F0A8"/>
      </w:r>
      <w:r>
        <w:rPr>
          <w:noProof/>
        </w:rPr>
        <w:t xml:space="preserve"> Propunere/inițiativă pe </w:t>
      </w:r>
      <w:r>
        <w:rPr>
          <w:b/>
          <w:noProof/>
        </w:rPr>
        <w:t xml:space="preserve">durată determinată </w:t>
      </w:r>
    </w:p>
    <w:p w:rsidR="00CC3EFF" w:rsidRDefault="00EC19A6">
      <w:pPr>
        <w:pStyle w:val="ListDash2"/>
        <w:rPr>
          <w:noProof/>
        </w:rPr>
      </w:pPr>
      <w:r>
        <w:rPr>
          <w:noProof/>
        </w:rPr>
        <w:sym w:font="Wingdings" w:char="F0A8"/>
      </w:r>
      <w:r>
        <w:rPr>
          <w:noProof/>
        </w:rPr>
        <w:tab/>
        <w:t>Propunere/inițiativă în vigoare din [ZZ/LL]AAAA până la [ZZ/LL]AA</w:t>
      </w:r>
      <w:r>
        <w:rPr>
          <w:noProof/>
        </w:rPr>
        <w:t xml:space="preserve">AA </w:t>
      </w:r>
    </w:p>
    <w:p w:rsidR="00CC3EFF" w:rsidRDefault="00EC19A6">
      <w:pPr>
        <w:pStyle w:val="ListDash2"/>
        <w:rPr>
          <w:noProof/>
        </w:rPr>
      </w:pPr>
      <w:r>
        <w:rPr>
          <w:noProof/>
        </w:rPr>
        <w:sym w:font="Wingdings" w:char="F0A8"/>
      </w:r>
      <w:r>
        <w:rPr>
          <w:noProof/>
        </w:rPr>
        <w:tab/>
        <w:t xml:space="preserve">Impact financiar din AAAA până în AAAA </w:t>
      </w:r>
    </w:p>
    <w:p w:rsidR="00CC3EFF" w:rsidRDefault="00EC19A6">
      <w:pPr>
        <w:pStyle w:val="Text1"/>
        <w:rPr>
          <w:noProof/>
        </w:rPr>
      </w:pPr>
      <w:r>
        <w:rPr>
          <w:noProof/>
        </w:rPr>
        <w:sym w:font="Wingdings" w:char="F0FD"/>
      </w:r>
      <w:r>
        <w:rPr>
          <w:noProof/>
        </w:rPr>
        <w:t xml:space="preserve"> Propunere/inițiativă pe </w:t>
      </w:r>
      <w:r>
        <w:rPr>
          <w:b/>
          <w:noProof/>
        </w:rPr>
        <w:t>durată nedeterminată</w:t>
      </w:r>
    </w:p>
    <w:p w:rsidR="00CC3EFF" w:rsidRDefault="00EC19A6">
      <w:pPr>
        <w:pStyle w:val="ListDash1"/>
        <w:rPr>
          <w:rFonts w:eastAsia="Calibri"/>
          <w:noProof/>
        </w:rPr>
      </w:pPr>
      <w:r>
        <w:rPr>
          <w:noProof/>
        </w:rPr>
        <w:t>punere în aplicare cu o perioadă de creștere în intensitate din AAAA până în AAAA,</w:t>
      </w:r>
    </w:p>
    <w:p w:rsidR="00CC3EFF" w:rsidRDefault="00EC19A6">
      <w:pPr>
        <w:pStyle w:val="ListDash1"/>
        <w:rPr>
          <w:rFonts w:eastAsia="Calibri"/>
          <w:noProof/>
        </w:rPr>
      </w:pPr>
      <w:r>
        <w:rPr>
          <w:noProof/>
        </w:rPr>
        <w:t>Propunerea va produce efecte de la 1 ianuarie 2016</w:t>
      </w:r>
    </w:p>
    <w:p w:rsidR="00CC3EFF" w:rsidRDefault="00EC19A6">
      <w:pPr>
        <w:pStyle w:val="ListDash1"/>
        <w:rPr>
          <w:noProof/>
        </w:rPr>
      </w:pPr>
      <w:r>
        <w:rPr>
          <w:noProof/>
        </w:rPr>
        <w:t>urmată de o perioadă de funcț</w:t>
      </w:r>
      <w:r>
        <w:rPr>
          <w:noProof/>
        </w:rPr>
        <w:t>ionare la capacitate maximă.</w:t>
      </w:r>
    </w:p>
    <w:p w:rsidR="00CC3EFF" w:rsidRDefault="00EC19A6">
      <w:pPr>
        <w:pStyle w:val="ManualHeading2"/>
        <w:rPr>
          <w:bCs/>
          <w:noProof/>
          <w:szCs w:val="24"/>
        </w:rPr>
      </w:pPr>
      <w:r>
        <w:t>1.7.</w:t>
      </w:r>
      <w:r>
        <w:tab/>
      </w:r>
      <w:r>
        <w:rPr>
          <w:noProof/>
        </w:rPr>
        <w:t>Modul (modurile) de gestiune preconizat(e)</w:t>
      </w:r>
      <w:r>
        <w:rPr>
          <w:rStyle w:val="FootnoteReference"/>
          <w:noProof/>
        </w:rPr>
        <w:footnoteReference w:id="17"/>
      </w:r>
      <w:r>
        <w:rPr>
          <w:rStyle w:val="FootnoteReference"/>
          <w:noProof/>
        </w:rPr>
        <w:t xml:space="preserve"> </w:t>
      </w:r>
    </w:p>
    <w:p w:rsidR="00CC3EFF" w:rsidRDefault="00EC19A6">
      <w:pPr>
        <w:pStyle w:val="Text1"/>
        <w:rPr>
          <w:noProof/>
        </w:rPr>
      </w:pPr>
      <w:r>
        <w:rPr>
          <w:noProof/>
        </w:rPr>
        <w:sym w:font="Wingdings" w:char="F0FD"/>
      </w:r>
      <w:r>
        <w:rPr>
          <w:noProof/>
        </w:rPr>
        <w:t xml:space="preserve"> </w:t>
      </w:r>
      <w:r>
        <w:rPr>
          <w:b/>
          <w:noProof/>
        </w:rPr>
        <w:t>Gestiune directă</w:t>
      </w:r>
      <w:r>
        <w:rPr>
          <w:noProof/>
        </w:rPr>
        <w:t xml:space="preserve"> asigurată de către Comisie</w:t>
      </w:r>
    </w:p>
    <w:p w:rsidR="00CC3EFF" w:rsidRDefault="00EC19A6">
      <w:pPr>
        <w:pStyle w:val="ListDash2"/>
        <w:rPr>
          <w:rFonts w:cs="EUAlbertina"/>
          <w:noProof/>
        </w:rPr>
      </w:pPr>
      <w:r>
        <w:rPr>
          <w:noProof/>
        </w:rPr>
        <w:sym w:font="Wingdings" w:char="F0FD"/>
      </w:r>
      <w:r>
        <w:rPr>
          <w:noProof/>
        </w:rPr>
        <w:t xml:space="preserve"> prin intermediul serviciilor sale, inclusiv al personalului din delegațiile Uniunii; </w:t>
      </w:r>
      <w:r>
        <w:rPr>
          <w:noProof/>
        </w:rPr>
        <w:tab/>
      </w:r>
      <w:r>
        <w:rPr>
          <w:noProof/>
        </w:rPr>
        <w:br/>
      </w:r>
      <w:r>
        <w:rPr>
          <w:noProof/>
        </w:rPr>
        <w:tab/>
        <w:t>programul Fiscalis 2020 este gestionat în</w:t>
      </w:r>
      <w:r>
        <w:rPr>
          <w:noProof/>
        </w:rPr>
        <w:t xml:space="preserve"> mod direct</w:t>
      </w:r>
    </w:p>
    <w:p w:rsidR="00CC3EFF" w:rsidRDefault="00EC19A6">
      <w:pPr>
        <w:pStyle w:val="ListDash2"/>
        <w:rPr>
          <w:noProof/>
        </w:rPr>
      </w:pPr>
      <w:r>
        <w:rPr>
          <w:noProof/>
        </w:rPr>
        <w:sym w:font="Wingdings" w:char="F0A8"/>
      </w:r>
      <w:r>
        <w:rPr>
          <w:noProof/>
        </w:rPr>
        <w:tab/>
        <w:t xml:space="preserve">prin intermediul agențiilor executive; </w:t>
      </w:r>
    </w:p>
    <w:p w:rsidR="00CC3EFF" w:rsidRDefault="00EC19A6">
      <w:pPr>
        <w:pStyle w:val="Text1"/>
        <w:rPr>
          <w:noProof/>
        </w:rPr>
      </w:pPr>
      <w:r>
        <w:rPr>
          <w:noProof/>
        </w:rPr>
        <w:sym w:font="Wingdings" w:char="F0A8"/>
      </w:r>
      <w:r>
        <w:rPr>
          <w:noProof/>
        </w:rPr>
        <w:t xml:space="preserve"> </w:t>
      </w:r>
      <w:r>
        <w:rPr>
          <w:b/>
          <w:noProof/>
        </w:rPr>
        <w:t>Gestiune partajată</w:t>
      </w:r>
      <w:r>
        <w:rPr>
          <w:noProof/>
        </w:rPr>
        <w:t xml:space="preserve"> cu statele membre </w:t>
      </w:r>
    </w:p>
    <w:p w:rsidR="00CC3EFF" w:rsidRDefault="00EC19A6">
      <w:pPr>
        <w:pStyle w:val="Text1"/>
        <w:rPr>
          <w:noProof/>
        </w:rPr>
      </w:pPr>
      <w:r>
        <w:rPr>
          <w:noProof/>
        </w:rPr>
        <w:sym w:font="Wingdings" w:char="F0A8"/>
      </w:r>
      <w:r>
        <w:rPr>
          <w:noProof/>
        </w:rPr>
        <w:t xml:space="preserve"> </w:t>
      </w:r>
      <w:r>
        <w:rPr>
          <w:b/>
          <w:noProof/>
        </w:rPr>
        <w:t>Gestiune indirectă</w:t>
      </w:r>
      <w:r>
        <w:rPr>
          <w:noProof/>
        </w:rPr>
        <w:t>, cu delegarea sarcinilor de execuție bugetară:</w:t>
      </w:r>
    </w:p>
    <w:p w:rsidR="00CC3EFF" w:rsidRDefault="00EC19A6">
      <w:pPr>
        <w:pStyle w:val="ListDash2"/>
        <w:rPr>
          <w:noProof/>
        </w:rPr>
      </w:pPr>
      <w:r>
        <w:rPr>
          <w:noProof/>
        </w:rPr>
        <w:sym w:font="Wingdings" w:char="F0A8"/>
      </w:r>
      <w:r>
        <w:rPr>
          <w:noProof/>
        </w:rPr>
        <w:t xml:space="preserve"> țărilor terțe sau organismelor pe care le-au desemnat acestea;</w:t>
      </w:r>
    </w:p>
    <w:p w:rsidR="00CC3EFF" w:rsidRDefault="00EC19A6">
      <w:pPr>
        <w:pStyle w:val="ListDash2"/>
        <w:rPr>
          <w:noProof/>
        </w:rPr>
      </w:pPr>
      <w:r>
        <w:rPr>
          <w:noProof/>
        </w:rPr>
        <w:sym w:font="Wingdings" w:char="F0A8"/>
      </w:r>
      <w:r>
        <w:rPr>
          <w:noProof/>
        </w:rPr>
        <w:t xml:space="preserve"> organizațiilor internaționa</w:t>
      </w:r>
      <w:r>
        <w:rPr>
          <w:noProof/>
        </w:rPr>
        <w:t>le și agențiilor acestora (a se preciza);</w:t>
      </w:r>
    </w:p>
    <w:p w:rsidR="00CC3EFF" w:rsidRDefault="00EC19A6">
      <w:pPr>
        <w:pStyle w:val="ListDash2"/>
        <w:rPr>
          <w:noProof/>
        </w:rPr>
      </w:pPr>
      <w:r>
        <w:rPr>
          <w:noProof/>
        </w:rPr>
        <w:sym w:font="Wingdings" w:char="F0A8"/>
      </w:r>
      <w:r>
        <w:rPr>
          <w:noProof/>
        </w:rPr>
        <w:t xml:space="preserve"> BEI și Fondului european de investiții;</w:t>
      </w:r>
    </w:p>
    <w:p w:rsidR="00CC3EFF" w:rsidRDefault="00EC19A6">
      <w:pPr>
        <w:pStyle w:val="ListDash2"/>
        <w:rPr>
          <w:noProof/>
        </w:rPr>
      </w:pPr>
      <w:r>
        <w:rPr>
          <w:noProof/>
        </w:rPr>
        <w:sym w:font="Wingdings" w:char="F0A8"/>
      </w:r>
      <w:r>
        <w:rPr>
          <w:noProof/>
        </w:rPr>
        <w:t xml:space="preserve"> organismelor menționate la articolele 208 și 209 din Regulamentul financiar;</w:t>
      </w:r>
    </w:p>
    <w:p w:rsidR="00CC3EFF" w:rsidRDefault="00EC19A6">
      <w:pPr>
        <w:pStyle w:val="ListDash2"/>
        <w:rPr>
          <w:noProof/>
        </w:rPr>
      </w:pPr>
      <w:r>
        <w:rPr>
          <w:noProof/>
        </w:rPr>
        <w:sym w:font="Wingdings" w:char="F0A8"/>
      </w:r>
      <w:r>
        <w:rPr>
          <w:noProof/>
        </w:rPr>
        <w:t xml:space="preserve"> organismelor de drept public;</w:t>
      </w:r>
    </w:p>
    <w:p w:rsidR="00CC3EFF" w:rsidRDefault="00EC19A6">
      <w:pPr>
        <w:pStyle w:val="ListDash2"/>
        <w:rPr>
          <w:noProof/>
        </w:rPr>
      </w:pPr>
      <w:r>
        <w:rPr>
          <w:noProof/>
        </w:rPr>
        <w:sym w:font="Wingdings" w:char="F0A8"/>
      </w:r>
      <w:r>
        <w:rPr>
          <w:noProof/>
        </w:rPr>
        <w:t xml:space="preserve"> organismelor de drept privat cu misiune de serviciu public, cu condiția să prezinte garanții financiare adecvate;</w:t>
      </w:r>
    </w:p>
    <w:p w:rsidR="00CC3EFF" w:rsidRDefault="00EC19A6">
      <w:pPr>
        <w:pStyle w:val="ListDash2"/>
        <w:rPr>
          <w:noProof/>
        </w:rPr>
      </w:pPr>
      <w:r>
        <w:rPr>
          <w:noProof/>
        </w:rPr>
        <w:sym w:font="Wingdings" w:char="F0A8"/>
      </w:r>
      <w:r>
        <w:rPr>
          <w:noProof/>
        </w:rPr>
        <w:t xml:space="preserve"> organismelor de drept privat dintr-un stat membru care sunt responsabile cu punerea în aplicare a unui parteneriat public-privat și care pr</w:t>
      </w:r>
      <w:r>
        <w:rPr>
          <w:noProof/>
        </w:rPr>
        <w:t>ezintă garanții financiare adecvate;</w:t>
      </w:r>
    </w:p>
    <w:p w:rsidR="00CC3EFF" w:rsidRDefault="00EC19A6">
      <w:pPr>
        <w:pStyle w:val="ListDash2"/>
        <w:rPr>
          <w:noProof/>
        </w:rPr>
      </w:pPr>
      <w:r>
        <w:rPr>
          <w:noProof/>
        </w:rPr>
        <w:sym w:font="Wingdings" w:char="F0A8"/>
      </w:r>
      <w:r>
        <w:rPr>
          <w:noProof/>
        </w:rPr>
        <w:t xml:space="preserve"> persoanelor cărora li se încredințează executarea unor acțiuni specifice în cadrul PESC, în temeiul titlului V din TUE, identificate în actul de bază relevant.</w:t>
      </w:r>
    </w:p>
    <w:p w:rsidR="00CC3EFF" w:rsidRDefault="00EC19A6">
      <w:pPr>
        <w:pStyle w:val="ListDash2"/>
        <w:rPr>
          <w:i/>
          <w:noProof/>
          <w:sz w:val="18"/>
          <w:u w:val="single"/>
        </w:rPr>
      </w:pPr>
      <w:r>
        <w:rPr>
          <w:i/>
          <w:noProof/>
          <w:sz w:val="18"/>
        </w:rPr>
        <w:t>Dacă se indică mai multe moduri de gestiune, a se furniza</w:t>
      </w:r>
      <w:r>
        <w:rPr>
          <w:i/>
          <w:noProof/>
          <w:sz w:val="18"/>
        </w:rPr>
        <w:t xml:space="preserve"> detalii suplimentare în secțiunea „Observații“.</w:t>
      </w:r>
    </w:p>
    <w:p w:rsidR="00CC3EFF" w:rsidRDefault="00EC19A6">
      <w:pPr>
        <w:rPr>
          <w:noProof/>
        </w:rPr>
      </w:pPr>
      <w:r>
        <w:rPr>
          <w:noProof/>
        </w:rPr>
        <w:t xml:space="preserve">Observații </w:t>
      </w:r>
    </w:p>
    <w:p w:rsidR="00CC3EFF" w:rsidRDefault="00EC19A6">
      <w:pPr>
        <w:pBdr>
          <w:top w:val="single" w:sz="4" w:space="1" w:color="auto"/>
          <w:left w:val="single" w:sz="4" w:space="4" w:color="auto"/>
          <w:bottom w:val="single" w:sz="4" w:space="1" w:color="auto"/>
          <w:right w:val="single" w:sz="4" w:space="4" w:color="auto"/>
        </w:pBdr>
        <w:rPr>
          <w:noProof/>
        </w:rPr>
      </w:pPr>
      <w:r>
        <w:rPr>
          <w:noProof/>
        </w:rPr>
        <w:t xml:space="preserve">Prezenta propunerea nu ar determina nicio modificare în ceea ce privește gestionarea. În temeiul articolului 21 din Directiva 2011/16, Comisia, în cadrul procedurii comitetelor, în colaborare cu </w:t>
      </w:r>
      <w:r>
        <w:rPr>
          <w:noProof/>
        </w:rPr>
        <w:t>statele membre, elaborează formulare și formate standardizate pentru schimbul de informații. În ceea ce privește rețeaua CCN necesară pentru a permite schimbul de informații între statele membre, Comisia este însărcinată să efectueze orice adaptare a rețel</w:t>
      </w:r>
      <w:r>
        <w:rPr>
          <w:noProof/>
        </w:rPr>
        <w:t xml:space="preserve">ei CCN necesară pentru a permite schimbul de informații de acest tip, în timp ce statele membre sunt responsabile pentru orice adaptare a sistemelor lor care este necesară pentru a permite ca informațiile în cauză să fie transmise prin intermediul rețelei </w:t>
      </w:r>
      <w:r>
        <w:rPr>
          <w:noProof/>
        </w:rPr>
        <w:t>CCN.</w:t>
      </w:r>
    </w:p>
    <w:p w:rsidR="00CC3EFF" w:rsidRDefault="00CC3EFF">
      <w:pPr>
        <w:rPr>
          <w:noProof/>
        </w:rPr>
        <w:sectPr w:rsidR="00CC3EFF">
          <w:pgSz w:w="11907" w:h="16840" w:code="9"/>
          <w:pgMar w:top="1134" w:right="1418" w:bottom="1134" w:left="1418" w:header="709" w:footer="709" w:gutter="0"/>
          <w:cols w:space="708"/>
          <w:docGrid w:linePitch="360"/>
        </w:sectPr>
      </w:pPr>
    </w:p>
    <w:p w:rsidR="00CC3EFF" w:rsidRDefault="00EC19A6">
      <w:pPr>
        <w:pStyle w:val="ManualHeading1"/>
        <w:rPr>
          <w:bCs/>
          <w:noProof/>
          <w:szCs w:val="24"/>
        </w:rPr>
      </w:pPr>
      <w:r>
        <w:t>2.</w:t>
      </w:r>
      <w:r>
        <w:tab/>
      </w:r>
      <w:r>
        <w:rPr>
          <w:noProof/>
        </w:rPr>
        <w:t xml:space="preserve">MĂSURI DE GESTIONARE </w:t>
      </w:r>
    </w:p>
    <w:p w:rsidR="00CC3EFF" w:rsidRDefault="00EC19A6">
      <w:pPr>
        <w:pStyle w:val="ManualHeading2"/>
        <w:rPr>
          <w:noProof/>
        </w:rPr>
      </w:pPr>
      <w:r>
        <w:t>2.1.</w:t>
      </w:r>
      <w:r>
        <w:tab/>
      </w:r>
      <w:r>
        <w:rPr>
          <w:noProof/>
        </w:rPr>
        <w:t xml:space="preserve">Dispoziții în materie de monitorizare și de raportare </w:t>
      </w:r>
    </w:p>
    <w:p w:rsidR="00CC3EFF" w:rsidRDefault="00EC19A6">
      <w:pPr>
        <w:pStyle w:val="Text1"/>
        <w:rPr>
          <w:i/>
          <w:noProof/>
          <w:sz w:val="20"/>
          <w:u w:val="single"/>
        </w:rPr>
      </w:pPr>
      <w:r>
        <w:rPr>
          <w:i/>
          <w:noProof/>
          <w:sz w:val="20"/>
        </w:rPr>
        <w:t>A se preciza frecvența și condițiile aferente acestor dispoziții.</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În cadrul programului FISCALIS, monitorizarea și raportarea sunt efectuate </w:t>
      </w:r>
      <w:r>
        <w:rPr>
          <w:noProof/>
        </w:rPr>
        <w:t>după cum urmează.</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Activitățile pregătitoare necesare pentru această inițiativă și alte acțiuni comune și activități de formare comune sunt monitorizate în mod regulat cu ajutorul contribuțiilor colectate de la participanți și de la managerii acțiunii. Cont</w:t>
      </w:r>
      <w:r>
        <w:rPr>
          <w:noProof/>
        </w:rPr>
        <w:t>ribuțiile sunt colectate prin intermediul unor formulare standardizate și sunt incluse în indicatorii stabiliți în cadrul de evaluare a performanțelor programului Fiscalis 2020 (PMF). Alte cheltuieli legate de schimbul de informații sunt monitorizate în co</w:t>
      </w:r>
      <w:r>
        <w:rPr>
          <w:noProof/>
        </w:rPr>
        <w:t>nformitate cu mecanismul descris în secțiunea 1.4.4, fiind la rândul lor consolidate în PMF.</w:t>
      </w:r>
    </w:p>
    <w:p w:rsidR="00CC3EFF" w:rsidRDefault="00EC19A6">
      <w:pPr>
        <w:pStyle w:val="ManualHeading2"/>
        <w:rPr>
          <w:bCs/>
          <w:noProof/>
          <w:szCs w:val="24"/>
        </w:rPr>
      </w:pPr>
      <w:r>
        <w:t>2.2.</w:t>
      </w:r>
      <w:r>
        <w:tab/>
      </w:r>
      <w:r>
        <w:rPr>
          <w:noProof/>
        </w:rPr>
        <w:t xml:space="preserve">Sistemul de gestiune și de control </w:t>
      </w:r>
    </w:p>
    <w:p w:rsidR="00CC3EFF" w:rsidRDefault="00EC19A6">
      <w:pPr>
        <w:pStyle w:val="ManualHeading3"/>
        <w:rPr>
          <w:noProof/>
        </w:rPr>
      </w:pPr>
      <w:r>
        <w:t>2.2.1.</w:t>
      </w:r>
      <w:r>
        <w:tab/>
      </w:r>
      <w:r>
        <w:rPr>
          <w:noProof/>
        </w:rPr>
        <w:t xml:space="preserve">Riscul (riscurile) identificat(e).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Riscurile potențiale pentru punerea în aplicare a inițiativei cu sprijinul Fisc</w:t>
      </w:r>
      <w:r>
        <w:rPr>
          <w:noProof/>
        </w:rPr>
        <w:t>alis 2020 se referă la:</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Punerea în aplicare a acordului de grant semnat cu consorțiul format din statele membre și țările candidate.</w:t>
      </w:r>
    </w:p>
    <w:p w:rsidR="00CC3EFF" w:rsidRDefault="00EC19A6">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Punerea în aplicare a contractelor de achiziții publice încheiate în cadrul programului. </w:t>
      </w:r>
    </w:p>
    <w:p w:rsidR="00CC3EFF" w:rsidRDefault="00EC19A6">
      <w:pPr>
        <w:pStyle w:val="ManualHeading3"/>
        <w:rPr>
          <w:bCs/>
          <w:noProof/>
          <w:szCs w:val="24"/>
        </w:rPr>
      </w:pPr>
      <w:r>
        <w:t>2.2.2.</w:t>
      </w:r>
      <w:r>
        <w:tab/>
      </w:r>
      <w:r>
        <w:rPr>
          <w:noProof/>
        </w:rPr>
        <w:t>Informații privind sistemu</w:t>
      </w:r>
      <w:r>
        <w:rPr>
          <w:noProof/>
        </w:rPr>
        <w:t>l de control intern instituit</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Structura sistemului de control intern este identică cu cea aferentă programului Fiscalis 2020, care va acoperi toate cheltuielile operaționale ale inițiativei.</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Elementele principale ale strategiei de control aplicate sunt:</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Pe</w:t>
      </w:r>
      <w:r>
        <w:rPr>
          <w:noProof/>
        </w:rPr>
        <w:t xml:space="preserve">ntru contractele de achiziții publice: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Se aplică procedurile de control pentru achiziții publice definite în regulamentul financiar. Orice contract de achiziții publice se realizează în conformitate cu procedura consacrată de verificare de către serviciil</w:t>
      </w:r>
      <w:r>
        <w:rPr>
          <w:noProof/>
        </w:rPr>
        <w:t>e Comisiei pentru efectuarea plății, ținând cont de obligațiile contractuale și de buna gestionare financiară și generală. În toate contractele încheiate între Comisie și beneficiari sunt prevăzute măsuri antifraudă (controale, rapoarte etc.). Se elaboreaz</w:t>
      </w:r>
      <w:r>
        <w:rPr>
          <w:noProof/>
        </w:rPr>
        <w:t>ă caiete de sarcini detaliate, care stau la baza fiecărui contract specific. Procesul de acceptare respectă cu strictețe metodologia TAXUD TEMPO: prestațiile sunt analizate, modificate dacă este necesar și, în cele din urmă, admise (sau respinse) în mod ex</w:t>
      </w:r>
      <w:r>
        <w:rPr>
          <w:noProof/>
        </w:rPr>
        <w:t xml:space="preserve">plicit. Nu se plătește nicio factură fără o „scrisoare de acceptare”.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Verificarea tehnică pentru achiziții publice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DG TAXUD efectuează controale privind prestațiile și supraveghează operațiunile și serviciile prestate de contractanți. De asemenea, efectue</w:t>
      </w:r>
      <w:r>
        <w:rPr>
          <w:noProof/>
        </w:rPr>
        <w:t>ază în mod regulat audituri de calitate și de securitate la nivelul contractanților. Auditurile de calitate verifică gradul în care procesele efective ale contractanților respectă normele și procedurile definite în planurile de calitate ale acestora. Audit</w:t>
      </w:r>
      <w:r>
        <w:rPr>
          <w:noProof/>
        </w:rPr>
        <w:t xml:space="preserve">urile de securitate se concentrează pe procese, proceduri și configurații specifice.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Pe lângă controalele menționate mai sus, DG TAXUD execută controale financiare tradiționale: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Verificarea ex ante a angajamentelor: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În DG TAXUD, toate angajamentele sunt</w:t>
      </w:r>
      <w:r>
        <w:rPr>
          <w:noProof/>
        </w:rPr>
        <w:t xml:space="preserve"> verificate de către șeful unității Resurse umane și finanțe. Prin urmare, 100 % din sumele angajate sunt acoperite de verificarea ex ante. Această procedură oferă un nivel ridicat de garantare a legalității și regularității tranzacțiilor.</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Verificarea ex ante a plăților: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100 % din plăți sunt verificate ex ante. În plus, cel puțin o plată (din toate categoriile de cheltuieli) pe săptămână este selectată aleatoriu pentru o verificare ex ante suplimentară efectuată de către șeful unității Resu</w:t>
      </w:r>
      <w:r>
        <w:rPr>
          <w:noProof/>
        </w:rPr>
        <w:t>rse umane și finanțe. Nu există niciun obiectiv legat de acoperire, deoarece scopul acestei verificări este de a verifica plățile în mod „aleatoriu” pentru a verifica dacă toate plățile au fost pregătite în conformitate cu cerințele. Restul plăților sunt p</w:t>
      </w:r>
      <w:r>
        <w:rPr>
          <w:noProof/>
        </w:rPr>
        <w:t>relucrate zilnic în conformitate cu regulile în vigoare.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Declarațiile ordonatorului de credite subdelegat (AOSD):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 xml:space="preserve">Toți ordonatorii de credite subdelegați semnează declarații care susțin raportul anual de activitate pentru anul în cauză. Aceste declarații </w:t>
      </w:r>
      <w:r>
        <w:rPr>
          <w:noProof/>
        </w:rPr>
        <w:t>acoperă operațiunile din cadrul programului. Ordonatorii de credite subdelegați declară că operațiunile legate de execuția bugetară au fost efectuate în conformitate cu principiile bunei gestiuni financiare, că sistemele de gestionare și de control existen</w:t>
      </w:r>
      <w:r>
        <w:rPr>
          <w:noProof/>
        </w:rPr>
        <w:t xml:space="preserve">te oferă suficiente garanții privind legalitatea și regularitatea operațiunilor și că riscurile asociate acestor operațiuni au fost corect identificate și înregistrate și că au fost puse în aplicare acțiuni de atenuare. </w:t>
      </w:r>
    </w:p>
    <w:p w:rsidR="00CC3EFF" w:rsidRDefault="00EC19A6">
      <w:pPr>
        <w:pStyle w:val="ManualHeading3"/>
        <w:rPr>
          <w:noProof/>
        </w:rPr>
      </w:pPr>
      <w:r>
        <w:t>2.2.3.</w:t>
      </w:r>
      <w:r>
        <w:tab/>
      </w:r>
      <w:r>
        <w:rPr>
          <w:noProof/>
        </w:rPr>
        <w:t>Estimarea costurilor și a be</w:t>
      </w:r>
      <w:r>
        <w:rPr>
          <w:noProof/>
        </w:rPr>
        <w:t xml:space="preserve">neficiilor controalelor și evaluarea nivelului estimat al riscului de eroare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Controalele stabilite permit DG TAXUD să aibă garanții suficiente cu privire la calitatea și regularitatea cheltuielilor și să reducă riscul de neconformitate. Măsurile strategie</w:t>
      </w:r>
      <w:r>
        <w:rPr>
          <w:noProof/>
        </w:rPr>
        <w:t>i de control menționate mai sus reduc riscurile potențiale sub ținta de 2% și se adresează tuturor beneficiarilor. Orice măsuri suplimentare pentru a reduce și mai mult riscul ar conduce la costuri disproporționat de ridicate și, prin urmare, nu sunt avute</w:t>
      </w:r>
      <w:r>
        <w:rPr>
          <w:noProof/>
        </w:rPr>
        <w:t xml:space="preserve"> în vedere. </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Costurile totale ocazionate de punerea în aplicare a strategiei de control de mai sus - pentru toate cheltuielile din cadrul programului Fiscalis 2020 - sunt limitate la 1,6% din plățile totale efectuate. Se preconizează că vor rămâne la acela</w:t>
      </w:r>
      <w:r>
        <w:rPr>
          <w:noProof/>
        </w:rPr>
        <w:t>ș</w:t>
      </w:r>
      <w:r>
        <w:rPr>
          <w:noProof/>
        </w:rPr>
        <w:t>i nivel pentru această inițiativă.</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Strategia de control a programului este considerată eficientă în scopul reducerii riscului de neconformitate practic la zero și proporțională cu riscurile pe care le comportă.</w:t>
      </w:r>
    </w:p>
    <w:p w:rsidR="00CC3EFF" w:rsidRDefault="00EC19A6">
      <w:pPr>
        <w:pStyle w:val="ManualHeading2"/>
        <w:rPr>
          <w:bCs/>
          <w:noProof/>
          <w:szCs w:val="24"/>
        </w:rPr>
      </w:pPr>
      <w:r>
        <w:t>2.3.</w:t>
      </w:r>
      <w:r>
        <w:tab/>
      </w:r>
      <w:r>
        <w:rPr>
          <w:noProof/>
        </w:rPr>
        <w:t xml:space="preserve">Măsuri de prevenire a fraudelor și a neregulilor </w:t>
      </w:r>
    </w:p>
    <w:p w:rsidR="00CC3EFF" w:rsidRDefault="00EC19A6">
      <w:pPr>
        <w:pStyle w:val="Text1"/>
        <w:rPr>
          <w:i/>
          <w:noProof/>
          <w:sz w:val="20"/>
        </w:rPr>
      </w:pPr>
      <w:r>
        <w:rPr>
          <w:i/>
          <w:noProof/>
          <w:sz w:val="20"/>
        </w:rPr>
        <w:t>A se preciza măsurile de prevenire și de protecție existente sau preconizate.</w:t>
      </w:r>
    </w:p>
    <w:p w:rsidR="00CC3EFF" w:rsidRDefault="00EC19A6">
      <w:pPr>
        <w:pStyle w:val="Text1"/>
        <w:pBdr>
          <w:top w:val="single" w:sz="4" w:space="1" w:color="auto"/>
          <w:left w:val="single" w:sz="4" w:space="4" w:color="auto"/>
          <w:bottom w:val="single" w:sz="4" w:space="1" w:color="auto"/>
          <w:right w:val="single" w:sz="4" w:space="4" w:color="auto"/>
        </w:pBdr>
        <w:rPr>
          <w:noProof/>
        </w:rPr>
      </w:pPr>
      <w:r>
        <w:rPr>
          <w:noProof/>
        </w:rPr>
        <w:t>Oficiul European de Luptă Antifraudă (OLAF) poate efectua investigații, inclusiv verificări și inspecții la fața locului, în con</w:t>
      </w:r>
      <w:r>
        <w:rPr>
          <w:noProof/>
        </w:rPr>
        <w:t>formitate cu dispozițiile și procedurile prevăzute de Regulamentul (CE) nr. 1073/1999 al Parlamentului European și al Consiliului (1) și de Regulamentul (Euratom, CE) nr. 2185/96 al Consiliului (2) pentru a stabili existența fraudei, a corupției sau a oric</w:t>
      </w:r>
      <w:r>
        <w:rPr>
          <w:noProof/>
        </w:rPr>
        <w:t>ăror alte activități ilegale care afectează interesele financiare ale Uniunii în legătură cu un acord de grant sau o decizie de acordare a unui grant sau un contract finanțat prin prezentul regulament.</w:t>
      </w:r>
    </w:p>
    <w:p w:rsidR="00CC3EFF" w:rsidRDefault="00CC3EFF">
      <w:pPr>
        <w:rPr>
          <w:noProof/>
        </w:rPr>
        <w:sectPr w:rsidR="00CC3EFF">
          <w:pgSz w:w="11907" w:h="16840" w:code="9"/>
          <w:pgMar w:top="1134" w:right="1418" w:bottom="1134" w:left="1418" w:header="709" w:footer="709" w:gutter="0"/>
          <w:cols w:space="708"/>
          <w:docGrid w:linePitch="360"/>
        </w:sectPr>
      </w:pPr>
    </w:p>
    <w:p w:rsidR="00CC3EFF" w:rsidRDefault="00EC19A6">
      <w:pPr>
        <w:pStyle w:val="ManualHeading1"/>
        <w:rPr>
          <w:bCs/>
          <w:noProof/>
          <w:szCs w:val="24"/>
        </w:rPr>
      </w:pPr>
      <w:r>
        <w:t>3.</w:t>
      </w:r>
      <w:r>
        <w:tab/>
      </w:r>
      <w:r>
        <w:rPr>
          <w:noProof/>
        </w:rPr>
        <w:t xml:space="preserve">IMPACTUL FINANCIAR ESTIMAT </w:t>
      </w:r>
      <w:r>
        <w:rPr>
          <w:noProof/>
        </w:rPr>
        <w:t xml:space="preserve">AL PROPUNERII/INIȚIATIVEI </w:t>
      </w:r>
    </w:p>
    <w:p w:rsidR="00CC3EFF" w:rsidRDefault="00EC19A6">
      <w:pPr>
        <w:pStyle w:val="ManualHeading2"/>
        <w:rPr>
          <w:noProof/>
        </w:rPr>
      </w:pPr>
      <w:r>
        <w:t>3.1.</w:t>
      </w:r>
      <w:r>
        <w:tab/>
      </w:r>
      <w:r>
        <w:rPr>
          <w:noProof/>
        </w:rPr>
        <w:t xml:space="preserve">Rubrica (rubricile) din cadrul financiar multianual și linia (liniile) bugetară (bugetare) de cheltuieli afectată (afectate) </w:t>
      </w:r>
    </w:p>
    <w:p w:rsidR="00CC3EFF" w:rsidRDefault="00EC19A6">
      <w:pPr>
        <w:pStyle w:val="ListBullet1"/>
        <w:rPr>
          <w:noProof/>
        </w:rPr>
      </w:pPr>
      <w:r>
        <w:rPr>
          <w:noProof/>
        </w:rPr>
        <w:t>Linii bugetare existente - acoperite în întregime prin programul Fiscalis 2020</w:t>
      </w:r>
    </w:p>
    <w:p w:rsidR="00CC3EFF" w:rsidRDefault="00EC19A6">
      <w:pPr>
        <w:pStyle w:val="Text1"/>
        <w:rPr>
          <w:noProof/>
        </w:rPr>
      </w:pPr>
      <w:r>
        <w:rPr>
          <w:noProof/>
          <w:u w:val="single"/>
        </w:rPr>
        <w:t>În ordinea</w:t>
      </w:r>
      <w:r>
        <w:rPr>
          <w:noProof/>
        </w:rPr>
        <w:t xml:space="preserve"> rubricil</w:t>
      </w:r>
      <w:r>
        <w:rPr>
          <w:noProof/>
        </w:rPr>
        <w:t>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CC3EFF">
        <w:tc>
          <w:tcPr>
            <w:tcW w:w="1080" w:type="dxa"/>
            <w:vMerge w:val="restart"/>
            <w:vAlign w:val="center"/>
          </w:tcPr>
          <w:p w:rsidR="00CC3EFF" w:rsidRDefault="00EC19A6">
            <w:pPr>
              <w:spacing w:before="60" w:after="60"/>
              <w:jc w:val="center"/>
              <w:rPr>
                <w:noProof/>
              </w:rPr>
            </w:pPr>
            <w:r>
              <w:rPr>
                <w:noProof/>
                <w:sz w:val="18"/>
              </w:rPr>
              <w:t>Rubrica din cadrul financiar multianual</w:t>
            </w:r>
          </w:p>
        </w:tc>
        <w:tc>
          <w:tcPr>
            <w:tcW w:w="3960" w:type="dxa"/>
            <w:vAlign w:val="center"/>
          </w:tcPr>
          <w:p w:rsidR="00CC3EFF" w:rsidRDefault="00EC19A6">
            <w:pPr>
              <w:spacing w:before="60" w:after="60"/>
              <w:jc w:val="center"/>
              <w:rPr>
                <w:noProof/>
              </w:rPr>
            </w:pPr>
            <w:r>
              <w:rPr>
                <w:noProof/>
                <w:sz w:val="20"/>
              </w:rPr>
              <w:t>Linia bugetară</w:t>
            </w:r>
          </w:p>
        </w:tc>
        <w:tc>
          <w:tcPr>
            <w:tcW w:w="1080" w:type="dxa"/>
            <w:vAlign w:val="center"/>
          </w:tcPr>
          <w:p w:rsidR="00CC3EFF" w:rsidRDefault="00EC19A6">
            <w:pPr>
              <w:spacing w:before="60" w:after="60"/>
              <w:jc w:val="center"/>
              <w:rPr>
                <w:noProof/>
              </w:rPr>
            </w:pPr>
            <w:r>
              <w:rPr>
                <w:noProof/>
                <w:sz w:val="18"/>
                <w:szCs w:val="18"/>
              </w:rPr>
              <w:t>Tipul</w:t>
            </w:r>
            <w:r>
              <w:rPr>
                <w:noProof/>
              </w:rPr>
              <w:t xml:space="preserve"> </w:t>
            </w:r>
            <w:r>
              <w:rPr>
                <w:noProof/>
              </w:rPr>
              <w:br/>
            </w:r>
            <w:r>
              <w:rPr>
                <w:noProof/>
                <w:sz w:val="18"/>
              </w:rPr>
              <w:t>cheltuielilor</w:t>
            </w:r>
          </w:p>
        </w:tc>
        <w:tc>
          <w:tcPr>
            <w:tcW w:w="4440" w:type="dxa"/>
            <w:gridSpan w:val="4"/>
            <w:vAlign w:val="center"/>
          </w:tcPr>
          <w:p w:rsidR="00CC3EFF" w:rsidRDefault="00EC19A6">
            <w:pPr>
              <w:spacing w:before="60" w:after="60"/>
              <w:jc w:val="center"/>
              <w:rPr>
                <w:noProof/>
              </w:rPr>
            </w:pPr>
            <w:r>
              <w:rPr>
                <w:noProof/>
                <w:sz w:val="20"/>
              </w:rPr>
              <w:t xml:space="preserve">Contribuție </w:t>
            </w:r>
          </w:p>
        </w:tc>
      </w:tr>
      <w:tr w:rsidR="00CC3EFF">
        <w:tc>
          <w:tcPr>
            <w:tcW w:w="1080" w:type="dxa"/>
            <w:vMerge/>
            <w:vAlign w:val="center"/>
          </w:tcPr>
          <w:p w:rsidR="00CC3EFF" w:rsidRDefault="00CC3EFF">
            <w:pPr>
              <w:jc w:val="center"/>
              <w:rPr>
                <w:noProof/>
              </w:rPr>
            </w:pPr>
          </w:p>
        </w:tc>
        <w:tc>
          <w:tcPr>
            <w:tcW w:w="3960" w:type="dxa"/>
            <w:vAlign w:val="center"/>
          </w:tcPr>
          <w:p w:rsidR="00CC3EFF" w:rsidRDefault="00EC19A6">
            <w:pPr>
              <w:rPr>
                <w:noProof/>
              </w:rPr>
            </w:pPr>
            <w:r>
              <w:rPr>
                <w:noProof/>
                <w:sz w:val="20"/>
                <w:szCs w:val="20"/>
              </w:rPr>
              <w:t>Număr</w:t>
            </w:r>
            <w:r>
              <w:rPr>
                <w:noProof/>
              </w:rPr>
              <w:t xml:space="preserve"> </w:t>
            </w:r>
            <w:r>
              <w:rPr>
                <w:noProof/>
              </w:rPr>
              <w:br/>
              <w:t>1A Competitivitate pentru creștere și locuri de muncă</w:t>
            </w:r>
          </w:p>
        </w:tc>
        <w:tc>
          <w:tcPr>
            <w:tcW w:w="1080" w:type="dxa"/>
            <w:vAlign w:val="center"/>
          </w:tcPr>
          <w:p w:rsidR="00CC3EFF" w:rsidRDefault="00EC19A6">
            <w:pPr>
              <w:jc w:val="center"/>
              <w:rPr>
                <w:noProof/>
              </w:rPr>
            </w:pPr>
            <w:r>
              <w:rPr>
                <w:noProof/>
                <w:sz w:val="18"/>
                <w:szCs w:val="18"/>
              </w:rPr>
              <w:t>Dif./Nedif</w:t>
            </w:r>
            <w:r>
              <w:rPr>
                <w:noProof/>
              </w:rPr>
              <w:t>.</w:t>
            </w:r>
            <w:r>
              <w:rPr>
                <w:rStyle w:val="FootnoteReference"/>
                <w:noProof/>
              </w:rPr>
              <w:footnoteReference w:id="18"/>
            </w:r>
          </w:p>
        </w:tc>
        <w:tc>
          <w:tcPr>
            <w:tcW w:w="956" w:type="dxa"/>
            <w:vAlign w:val="center"/>
          </w:tcPr>
          <w:p w:rsidR="00CC3EFF" w:rsidRDefault="00EC19A6">
            <w:pPr>
              <w:jc w:val="center"/>
              <w:rPr>
                <w:noProof/>
              </w:rPr>
            </w:pPr>
            <w:r>
              <w:rPr>
                <w:noProof/>
                <w:sz w:val="18"/>
              </w:rPr>
              <w:t>Ț</w:t>
            </w:r>
            <w:r>
              <w:rPr>
                <w:noProof/>
                <w:sz w:val="18"/>
              </w:rPr>
              <w:t>ări AELS</w:t>
            </w:r>
            <w:r>
              <w:rPr>
                <w:rStyle w:val="FootnoteReference"/>
                <w:noProof/>
                <w:sz w:val="18"/>
              </w:rPr>
              <w:footnoteReference w:id="19"/>
            </w:r>
          </w:p>
          <w:p w:rsidR="00CC3EFF" w:rsidRDefault="00CC3EFF">
            <w:pPr>
              <w:spacing w:before="0" w:after="0"/>
              <w:jc w:val="center"/>
              <w:rPr>
                <w:b/>
                <w:noProof/>
                <w:sz w:val="18"/>
              </w:rPr>
            </w:pPr>
          </w:p>
        </w:tc>
        <w:tc>
          <w:tcPr>
            <w:tcW w:w="1080" w:type="dxa"/>
            <w:vAlign w:val="center"/>
          </w:tcPr>
          <w:p w:rsidR="00CC3EFF" w:rsidRDefault="00EC19A6">
            <w:pPr>
              <w:jc w:val="center"/>
              <w:rPr>
                <w:noProof/>
              </w:rPr>
            </w:pPr>
            <w:r>
              <w:rPr>
                <w:noProof/>
                <w:sz w:val="18"/>
              </w:rPr>
              <w:t>Ț</w:t>
            </w:r>
            <w:r>
              <w:rPr>
                <w:noProof/>
                <w:sz w:val="18"/>
              </w:rPr>
              <w:t>ări candidate</w:t>
            </w:r>
            <w:r>
              <w:rPr>
                <w:rStyle w:val="FootnoteReference"/>
                <w:noProof/>
                <w:sz w:val="18"/>
              </w:rPr>
              <w:footnoteReference w:id="20"/>
            </w:r>
          </w:p>
          <w:p w:rsidR="00CC3EFF" w:rsidRDefault="00CC3EFF">
            <w:pPr>
              <w:spacing w:before="0" w:after="0"/>
              <w:jc w:val="center"/>
              <w:rPr>
                <w:noProof/>
                <w:sz w:val="18"/>
              </w:rPr>
            </w:pPr>
          </w:p>
        </w:tc>
        <w:tc>
          <w:tcPr>
            <w:tcW w:w="956" w:type="dxa"/>
            <w:vAlign w:val="center"/>
          </w:tcPr>
          <w:p w:rsidR="00CC3EFF" w:rsidRDefault="00EC19A6">
            <w:pPr>
              <w:jc w:val="center"/>
              <w:rPr>
                <w:noProof/>
                <w:sz w:val="18"/>
              </w:rPr>
            </w:pPr>
            <w:r>
              <w:rPr>
                <w:noProof/>
                <w:sz w:val="18"/>
              </w:rPr>
              <w:t>Ț</w:t>
            </w:r>
            <w:r>
              <w:rPr>
                <w:noProof/>
                <w:sz w:val="18"/>
              </w:rPr>
              <w:t>ări terțe</w:t>
            </w:r>
          </w:p>
        </w:tc>
        <w:tc>
          <w:tcPr>
            <w:tcW w:w="1448" w:type="dxa"/>
            <w:vAlign w:val="center"/>
          </w:tcPr>
          <w:p w:rsidR="00CC3EFF" w:rsidRDefault="00EC19A6">
            <w:pPr>
              <w:jc w:val="center"/>
              <w:rPr>
                <w:noProof/>
              </w:rPr>
            </w:pPr>
            <w:r>
              <w:rPr>
                <w:noProof/>
                <w:sz w:val="16"/>
              </w:rPr>
              <w:t xml:space="preserve">În sensul articolului 21 alineatul (2) litera (b) din Regulamentul financiar </w:t>
            </w:r>
          </w:p>
        </w:tc>
      </w:tr>
      <w:tr w:rsidR="00CC3EFF">
        <w:tc>
          <w:tcPr>
            <w:tcW w:w="1080" w:type="dxa"/>
            <w:vAlign w:val="center"/>
          </w:tcPr>
          <w:p w:rsidR="00CC3EFF" w:rsidRDefault="00CC3EFF">
            <w:pPr>
              <w:jc w:val="center"/>
              <w:rPr>
                <w:noProof/>
                <w:color w:val="0000FF"/>
              </w:rPr>
            </w:pPr>
          </w:p>
        </w:tc>
        <w:tc>
          <w:tcPr>
            <w:tcW w:w="3960" w:type="dxa"/>
            <w:vAlign w:val="center"/>
          </w:tcPr>
          <w:p w:rsidR="00CC3EFF" w:rsidRDefault="00EC19A6">
            <w:pPr>
              <w:spacing w:before="60"/>
              <w:rPr>
                <w:noProof/>
              </w:rPr>
            </w:pPr>
            <w:r>
              <w:rPr>
                <w:noProof/>
              </w:rPr>
              <w:t>14.0301 (Îmbunătățirea funcționării sistemelor de impozitare)</w:t>
            </w:r>
          </w:p>
        </w:tc>
        <w:tc>
          <w:tcPr>
            <w:tcW w:w="1080" w:type="dxa"/>
            <w:vAlign w:val="center"/>
          </w:tcPr>
          <w:p w:rsidR="00CC3EFF" w:rsidRDefault="00EC19A6">
            <w:pPr>
              <w:jc w:val="center"/>
              <w:rPr>
                <w:noProof/>
                <w:color w:val="0000FF"/>
              </w:rPr>
            </w:pPr>
            <w:r>
              <w:rPr>
                <w:noProof/>
              </w:rPr>
              <w:t>Dif.</w:t>
            </w:r>
          </w:p>
        </w:tc>
        <w:tc>
          <w:tcPr>
            <w:tcW w:w="956" w:type="dxa"/>
          </w:tcPr>
          <w:p w:rsidR="00CC3EFF" w:rsidRDefault="00EC19A6">
            <w:pPr>
              <w:jc w:val="center"/>
              <w:rPr>
                <w:noProof/>
                <w:color w:val="0000FF"/>
              </w:rPr>
            </w:pPr>
            <w:r>
              <w:rPr>
                <w:noProof/>
              </w:rPr>
              <w:t>NU</w:t>
            </w:r>
          </w:p>
        </w:tc>
        <w:tc>
          <w:tcPr>
            <w:tcW w:w="1080" w:type="dxa"/>
          </w:tcPr>
          <w:p w:rsidR="00CC3EFF" w:rsidRDefault="00EC19A6">
            <w:pPr>
              <w:jc w:val="center"/>
              <w:rPr>
                <w:noProof/>
                <w:color w:val="0000FF"/>
              </w:rPr>
            </w:pPr>
            <w:r>
              <w:rPr>
                <w:noProof/>
              </w:rPr>
              <w:t>NU</w:t>
            </w:r>
          </w:p>
        </w:tc>
        <w:tc>
          <w:tcPr>
            <w:tcW w:w="956" w:type="dxa"/>
          </w:tcPr>
          <w:p w:rsidR="00CC3EFF" w:rsidRDefault="00EC19A6">
            <w:pPr>
              <w:jc w:val="center"/>
              <w:rPr>
                <w:noProof/>
                <w:color w:val="0000FF"/>
              </w:rPr>
            </w:pPr>
            <w:r>
              <w:rPr>
                <w:noProof/>
              </w:rPr>
              <w:t>NU</w:t>
            </w:r>
          </w:p>
        </w:tc>
        <w:tc>
          <w:tcPr>
            <w:tcW w:w="1448" w:type="dxa"/>
          </w:tcPr>
          <w:p w:rsidR="00CC3EFF" w:rsidRDefault="00EC19A6">
            <w:pPr>
              <w:jc w:val="center"/>
              <w:rPr>
                <w:noProof/>
                <w:color w:val="0000FF"/>
              </w:rPr>
            </w:pPr>
            <w:r>
              <w:rPr>
                <w:noProof/>
              </w:rPr>
              <w:t>NU</w:t>
            </w:r>
          </w:p>
        </w:tc>
      </w:tr>
    </w:tbl>
    <w:p w:rsidR="00CC3EFF" w:rsidRDefault="00EC19A6">
      <w:pPr>
        <w:pStyle w:val="ListBullet1"/>
        <w:rPr>
          <w:noProof/>
        </w:rPr>
      </w:pPr>
      <w:r>
        <w:rPr>
          <w:noProof/>
        </w:rPr>
        <w:t xml:space="preserve">Noile linii bugetare solicitate </w:t>
      </w:r>
    </w:p>
    <w:p w:rsidR="00CC3EFF" w:rsidRDefault="00EC19A6">
      <w:pPr>
        <w:pStyle w:val="Text1"/>
        <w:rPr>
          <w:i/>
          <w:noProof/>
          <w:sz w:val="20"/>
        </w:rPr>
      </w:pPr>
      <w:r>
        <w:rPr>
          <w:i/>
          <w:noProof/>
          <w:u w:val="single"/>
        </w:rPr>
        <w:t>În ordinea</w:t>
      </w:r>
      <w:r>
        <w:rPr>
          <w:i/>
          <w:noProof/>
        </w:rPr>
        <w:t xml:space="preserve"> rubricilor din cadrul financiar multianual și a liniilor bugetare</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CC3EFF">
        <w:tc>
          <w:tcPr>
            <w:tcW w:w="1080" w:type="dxa"/>
            <w:vMerge w:val="restart"/>
            <w:vAlign w:val="center"/>
          </w:tcPr>
          <w:p w:rsidR="00CC3EFF" w:rsidRDefault="00EC19A6">
            <w:pPr>
              <w:spacing w:before="60" w:after="60"/>
              <w:jc w:val="center"/>
              <w:rPr>
                <w:noProof/>
                <w:sz w:val="18"/>
                <w:szCs w:val="18"/>
              </w:rPr>
            </w:pPr>
            <w:r>
              <w:rPr>
                <w:noProof/>
                <w:sz w:val="18"/>
              </w:rPr>
              <w:t>Rubrica din cadrul financiar multianual</w:t>
            </w:r>
          </w:p>
        </w:tc>
        <w:tc>
          <w:tcPr>
            <w:tcW w:w="3960" w:type="dxa"/>
            <w:vAlign w:val="center"/>
          </w:tcPr>
          <w:p w:rsidR="00CC3EFF" w:rsidRDefault="00EC19A6">
            <w:pPr>
              <w:spacing w:before="60" w:after="60"/>
              <w:jc w:val="center"/>
              <w:rPr>
                <w:noProof/>
              </w:rPr>
            </w:pPr>
            <w:r>
              <w:rPr>
                <w:noProof/>
                <w:sz w:val="20"/>
              </w:rPr>
              <w:t>Linia bugetară</w:t>
            </w:r>
          </w:p>
        </w:tc>
        <w:tc>
          <w:tcPr>
            <w:tcW w:w="1080" w:type="dxa"/>
            <w:vAlign w:val="center"/>
          </w:tcPr>
          <w:p w:rsidR="00CC3EFF" w:rsidRDefault="00EC19A6">
            <w:pPr>
              <w:spacing w:before="60" w:after="60"/>
              <w:jc w:val="center"/>
              <w:rPr>
                <w:noProof/>
              </w:rPr>
            </w:pPr>
            <w:r>
              <w:rPr>
                <w:noProof/>
                <w:sz w:val="18"/>
                <w:szCs w:val="18"/>
              </w:rPr>
              <w:t>Tipul</w:t>
            </w:r>
            <w:r>
              <w:rPr>
                <w:noProof/>
              </w:rPr>
              <w:br/>
            </w:r>
            <w:r>
              <w:rPr>
                <w:noProof/>
                <w:sz w:val="18"/>
              </w:rPr>
              <w:t>cheltuielilor</w:t>
            </w:r>
          </w:p>
        </w:tc>
        <w:tc>
          <w:tcPr>
            <w:tcW w:w="4440" w:type="dxa"/>
            <w:gridSpan w:val="4"/>
            <w:vAlign w:val="center"/>
          </w:tcPr>
          <w:p w:rsidR="00CC3EFF" w:rsidRDefault="00EC19A6">
            <w:pPr>
              <w:spacing w:before="60" w:after="60"/>
              <w:jc w:val="center"/>
              <w:rPr>
                <w:noProof/>
              </w:rPr>
            </w:pPr>
            <w:r>
              <w:rPr>
                <w:noProof/>
                <w:sz w:val="20"/>
              </w:rPr>
              <w:t xml:space="preserve">Contribuție </w:t>
            </w:r>
          </w:p>
        </w:tc>
      </w:tr>
      <w:tr w:rsidR="00CC3EFF">
        <w:tc>
          <w:tcPr>
            <w:tcW w:w="1080" w:type="dxa"/>
            <w:vMerge/>
            <w:vAlign w:val="center"/>
          </w:tcPr>
          <w:p w:rsidR="00CC3EFF" w:rsidRDefault="00CC3EFF">
            <w:pPr>
              <w:jc w:val="center"/>
              <w:rPr>
                <w:noProof/>
              </w:rPr>
            </w:pPr>
          </w:p>
        </w:tc>
        <w:tc>
          <w:tcPr>
            <w:tcW w:w="3960" w:type="dxa"/>
            <w:vAlign w:val="center"/>
          </w:tcPr>
          <w:p w:rsidR="00CC3EFF" w:rsidRDefault="00EC19A6">
            <w:pPr>
              <w:rPr>
                <w:noProof/>
              </w:rPr>
            </w:pPr>
            <w:r>
              <w:rPr>
                <w:noProof/>
                <w:sz w:val="20"/>
                <w:szCs w:val="20"/>
              </w:rPr>
              <w:t>Număr</w:t>
            </w:r>
            <w:r>
              <w:rPr>
                <w:noProof/>
              </w:rPr>
              <w:br/>
            </w:r>
            <w:r>
              <w:rPr>
                <w:noProof/>
                <w:sz w:val="20"/>
              </w:rPr>
              <w:t>[Rubrica………………………………………]</w:t>
            </w:r>
          </w:p>
        </w:tc>
        <w:tc>
          <w:tcPr>
            <w:tcW w:w="1080" w:type="dxa"/>
            <w:vAlign w:val="center"/>
          </w:tcPr>
          <w:p w:rsidR="00CC3EFF" w:rsidRDefault="00EC19A6">
            <w:pPr>
              <w:jc w:val="center"/>
              <w:rPr>
                <w:noProof/>
              </w:rPr>
            </w:pPr>
            <w:r>
              <w:rPr>
                <w:noProof/>
                <w:sz w:val="18"/>
              </w:rPr>
              <w:t>Dif./Nedif.</w:t>
            </w:r>
          </w:p>
        </w:tc>
        <w:tc>
          <w:tcPr>
            <w:tcW w:w="956" w:type="dxa"/>
            <w:vAlign w:val="center"/>
          </w:tcPr>
          <w:p w:rsidR="00CC3EFF" w:rsidRDefault="00EC19A6">
            <w:pPr>
              <w:jc w:val="center"/>
              <w:rPr>
                <w:noProof/>
                <w:sz w:val="18"/>
              </w:rPr>
            </w:pPr>
            <w:r>
              <w:rPr>
                <w:noProof/>
                <w:sz w:val="18"/>
              </w:rPr>
              <w:t>Ț</w:t>
            </w:r>
            <w:r>
              <w:rPr>
                <w:noProof/>
                <w:sz w:val="18"/>
              </w:rPr>
              <w:t>ări AELS</w:t>
            </w:r>
          </w:p>
        </w:tc>
        <w:tc>
          <w:tcPr>
            <w:tcW w:w="1080" w:type="dxa"/>
            <w:vAlign w:val="center"/>
          </w:tcPr>
          <w:p w:rsidR="00CC3EFF" w:rsidRDefault="00EC19A6">
            <w:pPr>
              <w:jc w:val="center"/>
              <w:rPr>
                <w:noProof/>
                <w:sz w:val="18"/>
              </w:rPr>
            </w:pPr>
            <w:r>
              <w:rPr>
                <w:noProof/>
                <w:sz w:val="18"/>
              </w:rPr>
              <w:t>Ț</w:t>
            </w:r>
            <w:r>
              <w:rPr>
                <w:noProof/>
                <w:sz w:val="18"/>
              </w:rPr>
              <w:t>ări candidate</w:t>
            </w:r>
          </w:p>
        </w:tc>
        <w:tc>
          <w:tcPr>
            <w:tcW w:w="956" w:type="dxa"/>
            <w:vAlign w:val="center"/>
          </w:tcPr>
          <w:p w:rsidR="00CC3EFF" w:rsidRDefault="00EC19A6">
            <w:pPr>
              <w:jc w:val="center"/>
              <w:rPr>
                <w:noProof/>
                <w:sz w:val="18"/>
              </w:rPr>
            </w:pPr>
            <w:r>
              <w:rPr>
                <w:noProof/>
                <w:sz w:val="18"/>
              </w:rPr>
              <w:t>Ț</w:t>
            </w:r>
            <w:r>
              <w:rPr>
                <w:noProof/>
                <w:sz w:val="18"/>
              </w:rPr>
              <w:t>ări terțe</w:t>
            </w:r>
          </w:p>
        </w:tc>
        <w:tc>
          <w:tcPr>
            <w:tcW w:w="1448" w:type="dxa"/>
            <w:vAlign w:val="center"/>
          </w:tcPr>
          <w:p w:rsidR="00CC3EFF" w:rsidRDefault="00EC19A6">
            <w:pPr>
              <w:jc w:val="center"/>
              <w:rPr>
                <w:noProof/>
              </w:rPr>
            </w:pPr>
            <w:r>
              <w:rPr>
                <w:noProof/>
                <w:sz w:val="16"/>
              </w:rPr>
              <w:t xml:space="preserve">În sensul articolului 21 alineatul (2) litera (b) din Regulamentul financiar </w:t>
            </w:r>
          </w:p>
        </w:tc>
      </w:tr>
      <w:tr w:rsidR="00CC3EFF">
        <w:tc>
          <w:tcPr>
            <w:tcW w:w="1080" w:type="dxa"/>
            <w:vAlign w:val="center"/>
          </w:tcPr>
          <w:p w:rsidR="00CC3EFF" w:rsidRDefault="00CC3EFF">
            <w:pPr>
              <w:jc w:val="center"/>
              <w:rPr>
                <w:noProof/>
                <w:color w:val="0000FF"/>
              </w:rPr>
            </w:pPr>
          </w:p>
        </w:tc>
        <w:tc>
          <w:tcPr>
            <w:tcW w:w="3960" w:type="dxa"/>
            <w:vAlign w:val="center"/>
          </w:tcPr>
          <w:p w:rsidR="00CC3EFF" w:rsidRDefault="00EC19A6">
            <w:pPr>
              <w:spacing w:before="60"/>
              <w:rPr>
                <w:noProof/>
              </w:rPr>
            </w:pPr>
            <w:r>
              <w:rPr>
                <w:noProof/>
                <w:sz w:val="22"/>
              </w:rPr>
              <w:t>[XX.YY.YY.YY]</w:t>
            </w:r>
          </w:p>
          <w:p w:rsidR="00CC3EFF" w:rsidRDefault="00CC3EFF">
            <w:pPr>
              <w:spacing w:after="60"/>
              <w:rPr>
                <w:noProof/>
                <w:color w:val="0000FF"/>
              </w:rPr>
            </w:pPr>
          </w:p>
        </w:tc>
        <w:tc>
          <w:tcPr>
            <w:tcW w:w="1080" w:type="dxa"/>
            <w:vAlign w:val="center"/>
          </w:tcPr>
          <w:p w:rsidR="00CC3EFF" w:rsidRDefault="00CC3EFF">
            <w:pPr>
              <w:jc w:val="center"/>
              <w:rPr>
                <w:noProof/>
                <w:color w:val="0000FF"/>
              </w:rPr>
            </w:pPr>
          </w:p>
        </w:tc>
        <w:tc>
          <w:tcPr>
            <w:tcW w:w="956" w:type="dxa"/>
            <w:vAlign w:val="center"/>
          </w:tcPr>
          <w:p w:rsidR="00CC3EFF" w:rsidRDefault="00EC19A6">
            <w:pPr>
              <w:jc w:val="center"/>
              <w:rPr>
                <w:noProof/>
              </w:rPr>
            </w:pPr>
            <w:r>
              <w:rPr>
                <w:noProof/>
                <w:sz w:val="22"/>
              </w:rPr>
              <w:t>DA/NU</w:t>
            </w:r>
          </w:p>
        </w:tc>
        <w:tc>
          <w:tcPr>
            <w:tcW w:w="1080" w:type="dxa"/>
            <w:vAlign w:val="center"/>
          </w:tcPr>
          <w:p w:rsidR="00CC3EFF" w:rsidRDefault="00EC19A6">
            <w:pPr>
              <w:jc w:val="center"/>
              <w:rPr>
                <w:noProof/>
                <w:color w:val="0000FF"/>
                <w:sz w:val="18"/>
              </w:rPr>
            </w:pPr>
            <w:r>
              <w:rPr>
                <w:noProof/>
                <w:sz w:val="22"/>
              </w:rPr>
              <w:t>DA/NU</w:t>
            </w:r>
          </w:p>
        </w:tc>
        <w:tc>
          <w:tcPr>
            <w:tcW w:w="956" w:type="dxa"/>
            <w:vAlign w:val="center"/>
          </w:tcPr>
          <w:p w:rsidR="00CC3EFF" w:rsidRDefault="00EC19A6">
            <w:pPr>
              <w:jc w:val="center"/>
              <w:rPr>
                <w:noProof/>
                <w:color w:val="0000FF"/>
                <w:sz w:val="18"/>
              </w:rPr>
            </w:pPr>
            <w:r>
              <w:rPr>
                <w:noProof/>
                <w:sz w:val="22"/>
              </w:rPr>
              <w:t>DA/NU</w:t>
            </w:r>
          </w:p>
        </w:tc>
        <w:tc>
          <w:tcPr>
            <w:tcW w:w="1448" w:type="dxa"/>
            <w:vAlign w:val="center"/>
          </w:tcPr>
          <w:p w:rsidR="00CC3EFF" w:rsidRDefault="00EC19A6">
            <w:pPr>
              <w:jc w:val="center"/>
              <w:rPr>
                <w:noProof/>
              </w:rPr>
            </w:pPr>
            <w:r>
              <w:rPr>
                <w:noProof/>
                <w:sz w:val="22"/>
              </w:rPr>
              <w:t>DA/NU</w:t>
            </w:r>
          </w:p>
        </w:tc>
      </w:tr>
    </w:tbl>
    <w:p w:rsidR="00CC3EFF" w:rsidRDefault="00CC3EFF">
      <w:pPr>
        <w:rPr>
          <w:noProof/>
        </w:rPr>
        <w:sectPr w:rsidR="00CC3EFF">
          <w:pgSz w:w="11907" w:h="16840" w:code="1"/>
          <w:pgMar w:top="1134" w:right="1418" w:bottom="1134" w:left="1418" w:header="709" w:footer="709" w:gutter="0"/>
          <w:cols w:space="708"/>
          <w:docGrid w:linePitch="360"/>
        </w:sectPr>
      </w:pPr>
    </w:p>
    <w:p w:rsidR="00CC3EFF" w:rsidRDefault="00EC19A6">
      <w:pPr>
        <w:pStyle w:val="ManualHeading2"/>
        <w:rPr>
          <w:bCs/>
          <w:noProof/>
          <w:szCs w:val="24"/>
        </w:rPr>
      </w:pPr>
      <w:r>
        <w:t>3.2.</w:t>
      </w:r>
      <w:r>
        <w:tab/>
      </w:r>
      <w:r>
        <w:rPr>
          <w:noProof/>
        </w:rPr>
        <w:t xml:space="preserve">Impactul estimat asupra cheltuielilor </w:t>
      </w:r>
    </w:p>
    <w:p w:rsidR="00CC3EFF" w:rsidRDefault="00EC19A6">
      <w:pPr>
        <w:pStyle w:val="Text1"/>
        <w:rPr>
          <w:noProof/>
        </w:rPr>
      </w:pPr>
      <w:r>
        <w:rPr>
          <w:noProof/>
          <w:highlight w:val="lightGray"/>
        </w:rPr>
        <w:t xml:space="preserve">[Această secțiune ar trebui completată utilizând </w:t>
      </w:r>
      <w:hyperlink r:id="rId16">
        <w:r>
          <w:rPr>
            <w:rStyle w:val="Hyperlink"/>
            <w:b/>
            <w:noProof/>
            <w:color w:val="auto"/>
            <w:highlight w:val="lightGray"/>
          </w:rPr>
          <w:t>foaia de calcul cuprinzând datele din buget care au caracter administrativ</w:t>
        </w:r>
      </w:hyperlink>
      <w:r>
        <w:rPr>
          <w:noProof/>
          <w:highlight w:val="lightGray"/>
        </w:rPr>
        <w:t xml:space="preserve"> (al doilea document din anexa la prezenta fișă financiară) și ar trebui încărcată în CISNET pentru cons</w:t>
      </w:r>
      <w:r>
        <w:rPr>
          <w:noProof/>
          <w:highlight w:val="lightGray"/>
        </w:rPr>
        <w:t>ultarea interservicii.]</w:t>
      </w:r>
    </w:p>
    <w:p w:rsidR="00CC3EFF" w:rsidRDefault="00EC19A6">
      <w:pPr>
        <w:pStyle w:val="ManualHeading3"/>
        <w:rPr>
          <w:noProof/>
        </w:rPr>
      </w:pPr>
      <w:r>
        <w:t>3.2.1.</w:t>
      </w:r>
      <w:r>
        <w:tab/>
      </w:r>
      <w:r>
        <w:rPr>
          <w:noProof/>
        </w:rPr>
        <w:t xml:space="preserve">Sinteza impactului estimat asupra cheltuielilor </w:t>
      </w:r>
    </w:p>
    <w:p w:rsidR="00CC3EFF" w:rsidRDefault="00EC19A6">
      <w:pPr>
        <w:pStyle w:val="Text1"/>
        <w:rPr>
          <w:i/>
          <w:noProof/>
        </w:rPr>
      </w:pPr>
      <w:r>
        <w:rPr>
          <w:i/>
          <w:noProof/>
        </w:rPr>
        <w:t>Cererile menționate mai jos sunt incluse în pachetul financiar al programului FISCALIS 2020. Nu sunt necesare credite suplimentare.</w:t>
      </w:r>
    </w:p>
    <w:p w:rsidR="00CC3EFF" w:rsidRDefault="00EC19A6">
      <w:pPr>
        <w:jc w:val="right"/>
        <w:rPr>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CC3EFF">
        <w:trPr>
          <w:jc w:val="center"/>
        </w:trPr>
        <w:tc>
          <w:tcPr>
            <w:tcW w:w="4744" w:type="dxa"/>
            <w:shd w:val="thinDiagStripe" w:color="C0C0C0" w:fill="auto"/>
            <w:vAlign w:val="center"/>
          </w:tcPr>
          <w:p w:rsidR="00CC3EFF" w:rsidRDefault="00EC19A6">
            <w:pPr>
              <w:spacing w:before="60" w:after="60"/>
              <w:jc w:val="center"/>
              <w:rPr>
                <w:b/>
                <w:noProof/>
              </w:rPr>
            </w:pPr>
            <w:r>
              <w:rPr>
                <w:b/>
                <w:noProof/>
              </w:rPr>
              <w:t xml:space="preserve">Rubrica din </w:t>
            </w:r>
            <w:r>
              <w:rPr>
                <w:b/>
                <w:noProof/>
              </w:rPr>
              <w:t>cadrul financiar</w:t>
            </w:r>
            <w:r>
              <w:rPr>
                <w:noProof/>
                <w:sz w:val="22"/>
              </w:rPr>
              <w:br/>
            </w:r>
            <w:r>
              <w:rPr>
                <w:b/>
                <w:noProof/>
                <w:sz w:val="22"/>
              </w:rPr>
              <w:t xml:space="preserve">multianual </w:t>
            </w:r>
          </w:p>
        </w:tc>
        <w:tc>
          <w:tcPr>
            <w:tcW w:w="1080" w:type="dxa"/>
            <w:vAlign w:val="center"/>
          </w:tcPr>
          <w:p w:rsidR="00CC3EFF" w:rsidRDefault="00EC19A6">
            <w:pPr>
              <w:spacing w:before="60" w:after="60"/>
              <w:jc w:val="center"/>
              <w:rPr>
                <w:noProof/>
              </w:rPr>
            </w:pPr>
            <w:r>
              <w:rPr>
                <w:noProof/>
                <w:sz w:val="22"/>
              </w:rPr>
              <w:t>Număr</w:t>
            </w:r>
          </w:p>
        </w:tc>
        <w:tc>
          <w:tcPr>
            <w:tcW w:w="7817" w:type="dxa"/>
            <w:vAlign w:val="center"/>
          </w:tcPr>
          <w:p w:rsidR="00CC3EFF" w:rsidRDefault="00EC19A6">
            <w:pPr>
              <w:spacing w:before="60" w:after="60"/>
              <w:rPr>
                <w:noProof/>
              </w:rPr>
            </w:pPr>
            <w:r>
              <w:rPr>
                <w:noProof/>
              </w:rPr>
              <w:t>1A Competitivitate pentru creștere și locuri de muncă</w:t>
            </w:r>
          </w:p>
        </w:tc>
      </w:tr>
    </w:tbl>
    <w:p w:rsidR="00CC3EFF" w:rsidRDefault="00CC3EFF">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CC3EFF">
        <w:tc>
          <w:tcPr>
            <w:tcW w:w="3960" w:type="dxa"/>
            <w:vAlign w:val="center"/>
          </w:tcPr>
          <w:p w:rsidR="00CC3EFF" w:rsidRDefault="00EC19A6">
            <w:pPr>
              <w:jc w:val="center"/>
              <w:rPr>
                <w:noProof/>
              </w:rPr>
            </w:pPr>
            <w:r>
              <w:rPr>
                <w:noProof/>
                <w:sz w:val="22"/>
              </w:rPr>
              <w:t xml:space="preserve">DG: </w:t>
            </w:r>
            <w:r>
              <w:rPr>
                <w:noProof/>
              </w:rPr>
              <w:t>TAXUD</w:t>
            </w:r>
          </w:p>
        </w:tc>
        <w:tc>
          <w:tcPr>
            <w:tcW w:w="1560" w:type="dxa"/>
            <w:gridSpan w:val="2"/>
          </w:tcPr>
          <w:p w:rsidR="00CC3EFF" w:rsidRDefault="00CC3EFF">
            <w:pPr>
              <w:rPr>
                <w:noProof/>
                <w:sz w:val="20"/>
              </w:rPr>
            </w:pPr>
          </w:p>
        </w:tc>
        <w:tc>
          <w:tcPr>
            <w:tcW w:w="534" w:type="dxa"/>
          </w:tcPr>
          <w:p w:rsidR="00CC3EFF" w:rsidRDefault="00CC3EFF">
            <w:pPr>
              <w:jc w:val="center"/>
              <w:rPr>
                <w:noProof/>
                <w:sz w:val="20"/>
              </w:rPr>
            </w:pPr>
          </w:p>
        </w:tc>
        <w:tc>
          <w:tcPr>
            <w:tcW w:w="868" w:type="dxa"/>
            <w:vAlign w:val="center"/>
          </w:tcPr>
          <w:p w:rsidR="00CC3EFF" w:rsidRDefault="00EC19A6">
            <w:pPr>
              <w:jc w:val="center"/>
              <w:rPr>
                <w:noProof/>
                <w:sz w:val="20"/>
              </w:rPr>
            </w:pPr>
            <w:r>
              <w:rPr>
                <w:noProof/>
                <w:sz w:val="20"/>
                <w:szCs w:val="20"/>
              </w:rPr>
              <w:t>Anul</w:t>
            </w:r>
            <w:r>
              <w:rPr>
                <w:noProof/>
              </w:rPr>
              <w:br/>
            </w:r>
            <w:r>
              <w:rPr>
                <w:noProof/>
                <w:sz w:val="20"/>
              </w:rPr>
              <w:t>2016</w:t>
            </w:r>
            <w:r>
              <w:rPr>
                <w:rStyle w:val="FootnoteReference"/>
                <w:noProof/>
                <w:sz w:val="20"/>
              </w:rPr>
              <w:footnoteReference w:id="21"/>
            </w:r>
          </w:p>
        </w:tc>
        <w:tc>
          <w:tcPr>
            <w:tcW w:w="868" w:type="dxa"/>
            <w:vAlign w:val="center"/>
          </w:tcPr>
          <w:p w:rsidR="00CC3EFF" w:rsidRDefault="00EC19A6">
            <w:pPr>
              <w:jc w:val="center"/>
              <w:rPr>
                <w:noProof/>
                <w:sz w:val="20"/>
              </w:rPr>
            </w:pPr>
            <w:r>
              <w:rPr>
                <w:noProof/>
                <w:sz w:val="20"/>
                <w:szCs w:val="20"/>
              </w:rPr>
              <w:t>Anul</w:t>
            </w:r>
            <w:r>
              <w:rPr>
                <w:noProof/>
              </w:rPr>
              <w:br/>
            </w:r>
            <w:r>
              <w:rPr>
                <w:b/>
                <w:noProof/>
                <w:sz w:val="20"/>
              </w:rPr>
              <w:t>2017</w:t>
            </w:r>
          </w:p>
        </w:tc>
        <w:tc>
          <w:tcPr>
            <w:tcW w:w="868" w:type="dxa"/>
            <w:vAlign w:val="center"/>
          </w:tcPr>
          <w:p w:rsidR="00CC3EFF" w:rsidRDefault="00EC19A6">
            <w:pPr>
              <w:jc w:val="center"/>
              <w:rPr>
                <w:noProof/>
                <w:sz w:val="20"/>
              </w:rPr>
            </w:pPr>
            <w:r>
              <w:rPr>
                <w:noProof/>
                <w:sz w:val="20"/>
                <w:szCs w:val="20"/>
              </w:rPr>
              <w:t>Anul</w:t>
            </w:r>
            <w:r>
              <w:rPr>
                <w:noProof/>
              </w:rPr>
              <w:br/>
            </w:r>
            <w:r>
              <w:rPr>
                <w:b/>
                <w:noProof/>
                <w:sz w:val="20"/>
              </w:rPr>
              <w:t>2018</w:t>
            </w:r>
          </w:p>
        </w:tc>
        <w:tc>
          <w:tcPr>
            <w:tcW w:w="868" w:type="dxa"/>
            <w:vAlign w:val="center"/>
          </w:tcPr>
          <w:p w:rsidR="00CC3EFF" w:rsidRDefault="00EC19A6">
            <w:pPr>
              <w:jc w:val="center"/>
              <w:rPr>
                <w:noProof/>
                <w:sz w:val="20"/>
              </w:rPr>
            </w:pPr>
            <w:r>
              <w:rPr>
                <w:noProof/>
                <w:sz w:val="20"/>
                <w:szCs w:val="20"/>
              </w:rPr>
              <w:t>Anul</w:t>
            </w:r>
            <w:r>
              <w:rPr>
                <w:noProof/>
              </w:rPr>
              <w:br/>
            </w:r>
            <w:r>
              <w:rPr>
                <w:b/>
                <w:noProof/>
                <w:sz w:val="20"/>
              </w:rPr>
              <w:t>2019</w:t>
            </w:r>
          </w:p>
        </w:tc>
        <w:tc>
          <w:tcPr>
            <w:tcW w:w="2604" w:type="dxa"/>
            <w:gridSpan w:val="3"/>
            <w:vAlign w:val="center"/>
          </w:tcPr>
          <w:p w:rsidR="00CC3EFF" w:rsidRDefault="00EC19A6">
            <w:pPr>
              <w:jc w:val="center"/>
              <w:rPr>
                <w:b/>
                <w:noProof/>
                <w:sz w:val="18"/>
              </w:rPr>
            </w:pPr>
            <w:r>
              <w:rPr>
                <w:b/>
                <w:noProof/>
                <w:sz w:val="20"/>
              </w:rPr>
              <w:t xml:space="preserve">2020 </w:t>
            </w:r>
          </w:p>
        </w:tc>
        <w:tc>
          <w:tcPr>
            <w:tcW w:w="1777" w:type="dxa"/>
            <w:vAlign w:val="center"/>
          </w:tcPr>
          <w:p w:rsidR="00CC3EFF" w:rsidRDefault="00EC19A6">
            <w:pPr>
              <w:jc w:val="center"/>
              <w:rPr>
                <w:b/>
                <w:noProof/>
                <w:sz w:val="20"/>
              </w:rPr>
            </w:pPr>
            <w:r>
              <w:rPr>
                <w:b/>
                <w:noProof/>
                <w:sz w:val="20"/>
              </w:rPr>
              <w:t>TOTAL</w:t>
            </w:r>
          </w:p>
        </w:tc>
      </w:tr>
      <w:tr w:rsidR="00CC3EFF">
        <w:trPr>
          <w:trHeight w:val="213"/>
        </w:trPr>
        <w:tc>
          <w:tcPr>
            <w:tcW w:w="6054" w:type="dxa"/>
            <w:gridSpan w:val="4"/>
            <w:vAlign w:val="center"/>
          </w:tcPr>
          <w:p w:rsidR="00CC3EFF" w:rsidRDefault="00EC19A6">
            <w:pPr>
              <w:spacing w:before="20" w:after="20"/>
              <w:rPr>
                <w:noProof/>
                <w:sz w:val="21"/>
                <w:szCs w:val="21"/>
              </w:rPr>
            </w:pPr>
            <w:r>
              <w:rPr>
                <w:noProof/>
                <w:sz w:val="21"/>
                <w:szCs w:val="21"/>
              </w:rPr>
              <w:sym w:font="Wingdings" w:char="F09F"/>
            </w:r>
            <w:r>
              <w:rPr>
                <w:noProof/>
                <w:sz w:val="21"/>
                <w:szCs w:val="21"/>
              </w:rPr>
              <w:t xml:space="preserve"> Credite operaționale</w:t>
            </w:r>
          </w:p>
        </w:tc>
        <w:tc>
          <w:tcPr>
            <w:tcW w:w="868" w:type="dxa"/>
            <w:vAlign w:val="center"/>
          </w:tcPr>
          <w:p w:rsidR="00CC3EFF" w:rsidRDefault="00CC3EFF">
            <w:pPr>
              <w:rPr>
                <w:noProof/>
                <w:sz w:val="20"/>
              </w:rPr>
            </w:pPr>
          </w:p>
        </w:tc>
        <w:tc>
          <w:tcPr>
            <w:tcW w:w="868" w:type="dxa"/>
            <w:vAlign w:val="center"/>
          </w:tcPr>
          <w:p w:rsidR="00CC3EFF" w:rsidRDefault="00CC3EFF">
            <w:pPr>
              <w:rPr>
                <w:noProof/>
                <w:sz w:val="20"/>
              </w:rPr>
            </w:pPr>
          </w:p>
        </w:tc>
        <w:tc>
          <w:tcPr>
            <w:tcW w:w="868" w:type="dxa"/>
            <w:vAlign w:val="center"/>
          </w:tcPr>
          <w:p w:rsidR="00CC3EFF" w:rsidRDefault="00CC3EFF">
            <w:pPr>
              <w:rPr>
                <w:noProof/>
                <w:sz w:val="20"/>
              </w:rPr>
            </w:pPr>
          </w:p>
        </w:tc>
        <w:tc>
          <w:tcPr>
            <w:tcW w:w="868" w:type="dxa"/>
            <w:vAlign w:val="center"/>
          </w:tcPr>
          <w:p w:rsidR="00CC3EFF" w:rsidRDefault="00CC3EFF">
            <w:pPr>
              <w:rPr>
                <w:noProof/>
                <w:sz w:val="20"/>
              </w:rPr>
            </w:pPr>
          </w:p>
        </w:tc>
        <w:tc>
          <w:tcPr>
            <w:tcW w:w="868" w:type="dxa"/>
            <w:vAlign w:val="center"/>
          </w:tcPr>
          <w:p w:rsidR="00CC3EFF" w:rsidRDefault="00CC3EFF">
            <w:pPr>
              <w:rPr>
                <w:noProof/>
                <w:sz w:val="20"/>
              </w:rPr>
            </w:pPr>
          </w:p>
        </w:tc>
        <w:tc>
          <w:tcPr>
            <w:tcW w:w="868" w:type="dxa"/>
            <w:vAlign w:val="center"/>
          </w:tcPr>
          <w:p w:rsidR="00CC3EFF" w:rsidRDefault="00CC3EFF">
            <w:pPr>
              <w:rPr>
                <w:noProof/>
                <w:sz w:val="20"/>
              </w:rPr>
            </w:pPr>
          </w:p>
        </w:tc>
        <w:tc>
          <w:tcPr>
            <w:tcW w:w="868" w:type="dxa"/>
            <w:vAlign w:val="center"/>
          </w:tcPr>
          <w:p w:rsidR="00CC3EFF" w:rsidRDefault="00CC3EFF">
            <w:pPr>
              <w:rPr>
                <w:b/>
                <w:noProof/>
                <w:sz w:val="20"/>
              </w:rPr>
            </w:pPr>
          </w:p>
        </w:tc>
        <w:tc>
          <w:tcPr>
            <w:tcW w:w="1777" w:type="dxa"/>
            <w:vAlign w:val="center"/>
          </w:tcPr>
          <w:p w:rsidR="00CC3EFF" w:rsidRDefault="00CC3EFF">
            <w:pPr>
              <w:rPr>
                <w:b/>
                <w:noProof/>
                <w:sz w:val="20"/>
              </w:rPr>
            </w:pPr>
          </w:p>
        </w:tc>
      </w:tr>
      <w:tr w:rsidR="00CC3EFF">
        <w:trPr>
          <w:trHeight w:val="277"/>
        </w:trPr>
        <w:tc>
          <w:tcPr>
            <w:tcW w:w="3960" w:type="dxa"/>
            <w:vMerge w:val="restart"/>
            <w:vAlign w:val="center"/>
          </w:tcPr>
          <w:p w:rsidR="00CC3EFF" w:rsidRDefault="00EC19A6">
            <w:pPr>
              <w:rPr>
                <w:noProof/>
              </w:rPr>
            </w:pPr>
            <w:r>
              <w:rPr>
                <w:noProof/>
                <w:sz w:val="20"/>
                <w:szCs w:val="20"/>
              </w:rPr>
              <w:t>Numărul liniei bugetare</w:t>
            </w:r>
            <w:r>
              <w:rPr>
                <w:noProof/>
              </w:rPr>
              <w:t xml:space="preserve"> 14.0301</w:t>
            </w:r>
          </w:p>
        </w:tc>
        <w:tc>
          <w:tcPr>
            <w:tcW w:w="1440" w:type="dxa"/>
            <w:vAlign w:val="center"/>
          </w:tcPr>
          <w:p w:rsidR="00CC3EFF" w:rsidRDefault="00EC19A6">
            <w:pPr>
              <w:spacing w:before="20" w:after="20"/>
              <w:rPr>
                <w:noProof/>
                <w:sz w:val="18"/>
              </w:rPr>
            </w:pPr>
            <w:r>
              <w:rPr>
                <w:noProof/>
                <w:sz w:val="18"/>
              </w:rPr>
              <w:t>Angajamente</w:t>
            </w:r>
          </w:p>
        </w:tc>
        <w:tc>
          <w:tcPr>
            <w:tcW w:w="654" w:type="dxa"/>
            <w:gridSpan w:val="2"/>
            <w:vAlign w:val="center"/>
          </w:tcPr>
          <w:p w:rsidR="00CC3EFF" w:rsidRDefault="00EC19A6">
            <w:pPr>
              <w:spacing w:before="20" w:after="20"/>
              <w:jc w:val="center"/>
              <w:rPr>
                <w:noProof/>
                <w:sz w:val="14"/>
              </w:rPr>
            </w:pPr>
            <w:r>
              <w:rPr>
                <w:noProof/>
                <w:sz w:val="14"/>
              </w:rPr>
              <w:t>(1)</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c>
          <w:tcPr>
            <w:tcW w:w="3960" w:type="dxa"/>
            <w:vMerge/>
          </w:tcPr>
          <w:p w:rsidR="00CC3EFF" w:rsidRDefault="00CC3EFF">
            <w:pPr>
              <w:jc w:val="center"/>
              <w:rPr>
                <w:noProof/>
                <w:sz w:val="20"/>
              </w:rPr>
            </w:pPr>
          </w:p>
        </w:tc>
        <w:tc>
          <w:tcPr>
            <w:tcW w:w="1440" w:type="dxa"/>
            <w:vAlign w:val="center"/>
          </w:tcPr>
          <w:p w:rsidR="00CC3EFF" w:rsidRDefault="00EC19A6">
            <w:pPr>
              <w:spacing w:before="20" w:after="20"/>
              <w:rPr>
                <w:noProof/>
                <w:sz w:val="18"/>
              </w:rPr>
            </w:pPr>
            <w:r>
              <w:rPr>
                <w:noProof/>
                <w:sz w:val="18"/>
              </w:rPr>
              <w:t>Plăți</w:t>
            </w:r>
          </w:p>
        </w:tc>
        <w:tc>
          <w:tcPr>
            <w:tcW w:w="654" w:type="dxa"/>
            <w:gridSpan w:val="2"/>
            <w:vAlign w:val="center"/>
          </w:tcPr>
          <w:p w:rsidR="00CC3EFF" w:rsidRDefault="00EC19A6">
            <w:pPr>
              <w:spacing w:before="20" w:after="20"/>
              <w:jc w:val="center"/>
              <w:rPr>
                <w:noProof/>
                <w:sz w:val="14"/>
              </w:rPr>
            </w:pPr>
            <w:r>
              <w:rPr>
                <w:noProof/>
                <w:sz w:val="14"/>
              </w:rPr>
              <w:t>(2)</w:t>
            </w:r>
          </w:p>
        </w:tc>
        <w:tc>
          <w:tcPr>
            <w:tcW w:w="868" w:type="dxa"/>
            <w:vAlign w:val="center"/>
          </w:tcPr>
          <w:p w:rsidR="00CC3EFF" w:rsidRDefault="00EC19A6">
            <w:pPr>
              <w:spacing w:before="20" w:after="20"/>
              <w:jc w:val="right"/>
              <w:rPr>
                <w:noProof/>
              </w:rPr>
            </w:pPr>
            <w:r>
              <w:rPr>
                <w:noProof/>
              </w:rPr>
              <w:t>0,000</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c>
          <w:tcPr>
            <w:tcW w:w="3960" w:type="dxa"/>
            <w:vMerge w:val="restart"/>
            <w:vAlign w:val="center"/>
          </w:tcPr>
          <w:p w:rsidR="00CC3EFF" w:rsidRDefault="00EC19A6">
            <w:pPr>
              <w:rPr>
                <w:noProof/>
              </w:rPr>
            </w:pPr>
            <w:r>
              <w:rPr>
                <w:noProof/>
                <w:sz w:val="20"/>
              </w:rPr>
              <w:t>Numărul liniei bugetare</w:t>
            </w:r>
          </w:p>
        </w:tc>
        <w:tc>
          <w:tcPr>
            <w:tcW w:w="1440" w:type="dxa"/>
            <w:vAlign w:val="center"/>
          </w:tcPr>
          <w:p w:rsidR="00CC3EFF" w:rsidRDefault="00EC19A6">
            <w:pPr>
              <w:spacing w:before="20" w:after="20"/>
              <w:rPr>
                <w:noProof/>
                <w:sz w:val="18"/>
              </w:rPr>
            </w:pPr>
            <w:r>
              <w:rPr>
                <w:noProof/>
                <w:sz w:val="18"/>
              </w:rPr>
              <w:t>Angajamente</w:t>
            </w:r>
          </w:p>
        </w:tc>
        <w:tc>
          <w:tcPr>
            <w:tcW w:w="654" w:type="dxa"/>
            <w:gridSpan w:val="2"/>
            <w:vAlign w:val="center"/>
          </w:tcPr>
          <w:p w:rsidR="00CC3EFF" w:rsidRDefault="00EC19A6">
            <w:pPr>
              <w:spacing w:before="20" w:after="20"/>
              <w:jc w:val="center"/>
              <w:rPr>
                <w:noProof/>
                <w:sz w:val="14"/>
              </w:rPr>
            </w:pPr>
            <w:r>
              <w:rPr>
                <w:noProof/>
                <w:sz w:val="14"/>
              </w:rPr>
              <w:t>(1a)</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spacing w:before="20" w:after="20"/>
              <w:jc w:val="right"/>
              <w:rPr>
                <w:noProof/>
              </w:rPr>
            </w:pPr>
          </w:p>
        </w:tc>
      </w:tr>
      <w:tr w:rsidR="00CC3EFF">
        <w:tc>
          <w:tcPr>
            <w:tcW w:w="3960" w:type="dxa"/>
            <w:vMerge/>
          </w:tcPr>
          <w:p w:rsidR="00CC3EFF" w:rsidRDefault="00CC3EFF">
            <w:pPr>
              <w:jc w:val="center"/>
              <w:rPr>
                <w:noProof/>
                <w:sz w:val="20"/>
              </w:rPr>
            </w:pPr>
          </w:p>
        </w:tc>
        <w:tc>
          <w:tcPr>
            <w:tcW w:w="1440" w:type="dxa"/>
            <w:vAlign w:val="center"/>
          </w:tcPr>
          <w:p w:rsidR="00CC3EFF" w:rsidRDefault="00EC19A6">
            <w:pPr>
              <w:spacing w:before="20" w:after="20"/>
              <w:rPr>
                <w:noProof/>
                <w:sz w:val="18"/>
              </w:rPr>
            </w:pPr>
            <w:r>
              <w:rPr>
                <w:noProof/>
                <w:sz w:val="18"/>
              </w:rPr>
              <w:t>Plăți</w:t>
            </w:r>
          </w:p>
        </w:tc>
        <w:tc>
          <w:tcPr>
            <w:tcW w:w="654" w:type="dxa"/>
            <w:gridSpan w:val="2"/>
            <w:vAlign w:val="center"/>
          </w:tcPr>
          <w:p w:rsidR="00CC3EFF" w:rsidRDefault="00EC19A6">
            <w:pPr>
              <w:spacing w:before="20" w:after="20"/>
              <w:jc w:val="center"/>
              <w:rPr>
                <w:noProof/>
                <w:sz w:val="14"/>
              </w:rPr>
            </w:pPr>
            <w:r>
              <w:rPr>
                <w:noProof/>
                <w:sz w:val="14"/>
              </w:rPr>
              <w:t>(2a)</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spacing w:before="20" w:after="20"/>
              <w:jc w:val="right"/>
              <w:rPr>
                <w:noProof/>
              </w:rPr>
            </w:pPr>
          </w:p>
        </w:tc>
      </w:tr>
      <w:tr w:rsidR="00CC3EFF">
        <w:trPr>
          <w:trHeight w:val="231"/>
        </w:trPr>
        <w:tc>
          <w:tcPr>
            <w:tcW w:w="6054" w:type="dxa"/>
            <w:gridSpan w:val="4"/>
            <w:vAlign w:val="center"/>
          </w:tcPr>
          <w:p w:rsidR="00CC3EFF" w:rsidRDefault="00EC19A6">
            <w:pPr>
              <w:spacing w:before="20" w:after="20"/>
              <w:rPr>
                <w:noProof/>
              </w:rPr>
            </w:pPr>
            <w:r>
              <w:rPr>
                <w:noProof/>
                <w:sz w:val="21"/>
              </w:rPr>
              <w:t>Credite cu caracter administrativ finanțate din bugetul</w:t>
            </w:r>
            <w:r>
              <w:rPr>
                <w:noProof/>
                <w:sz w:val="21"/>
              </w:rPr>
              <w:t xml:space="preserve"> anumitor programe</w:t>
            </w:r>
            <w:r>
              <w:rPr>
                <w:rStyle w:val="FootnoteReference"/>
                <w:noProof/>
                <w:sz w:val="21"/>
              </w:rPr>
              <w:footnoteReference w:id="22"/>
            </w:r>
            <w:r>
              <w:rPr>
                <w:noProof/>
                <w:sz w:val="21"/>
              </w:rPr>
              <w:t xml:space="preserve"> </w:t>
            </w:r>
          </w:p>
          <w:p w:rsidR="00CC3EFF" w:rsidRDefault="00CC3EFF">
            <w:pPr>
              <w:spacing w:before="0" w:after="0"/>
              <w:rPr>
                <w:noProof/>
              </w:rPr>
            </w:pP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rPr>
                <w:noProof/>
              </w:rPr>
            </w:pPr>
          </w:p>
        </w:tc>
      </w:tr>
      <w:tr w:rsidR="00CC3EFF">
        <w:trPr>
          <w:trHeight w:val="319"/>
        </w:trPr>
        <w:tc>
          <w:tcPr>
            <w:tcW w:w="3960" w:type="dxa"/>
            <w:vAlign w:val="center"/>
          </w:tcPr>
          <w:p w:rsidR="00CC3EFF" w:rsidRDefault="00EC19A6">
            <w:pPr>
              <w:spacing w:before="60" w:after="60"/>
              <w:rPr>
                <w:noProof/>
              </w:rPr>
            </w:pPr>
            <w:r>
              <w:rPr>
                <w:noProof/>
                <w:sz w:val="20"/>
              </w:rPr>
              <w:t>Numărul liniei bugetare</w:t>
            </w:r>
          </w:p>
        </w:tc>
        <w:tc>
          <w:tcPr>
            <w:tcW w:w="1440" w:type="dxa"/>
            <w:vAlign w:val="center"/>
          </w:tcPr>
          <w:p w:rsidR="00CC3EFF" w:rsidRDefault="00CC3EFF">
            <w:pPr>
              <w:spacing w:before="40" w:after="40"/>
              <w:jc w:val="right"/>
              <w:rPr>
                <w:noProof/>
                <w:sz w:val="18"/>
              </w:rPr>
            </w:pPr>
          </w:p>
        </w:tc>
        <w:tc>
          <w:tcPr>
            <w:tcW w:w="654" w:type="dxa"/>
            <w:gridSpan w:val="2"/>
            <w:vAlign w:val="center"/>
          </w:tcPr>
          <w:p w:rsidR="00CC3EFF" w:rsidRDefault="00EC19A6">
            <w:pPr>
              <w:spacing w:before="40" w:after="40"/>
              <w:jc w:val="center"/>
              <w:rPr>
                <w:noProof/>
                <w:sz w:val="14"/>
              </w:rPr>
            </w:pPr>
            <w:r>
              <w:rPr>
                <w:noProof/>
                <w:sz w:val="14"/>
              </w:rPr>
              <w:t>(3)</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spacing w:before="40" w:after="40"/>
              <w:jc w:val="right"/>
              <w:rPr>
                <w:noProof/>
              </w:rPr>
            </w:pPr>
          </w:p>
        </w:tc>
      </w:tr>
      <w:tr w:rsidR="00CC3EFF">
        <w:tc>
          <w:tcPr>
            <w:tcW w:w="3960" w:type="dxa"/>
            <w:vMerge w:val="restart"/>
            <w:vAlign w:val="center"/>
          </w:tcPr>
          <w:p w:rsidR="00CC3EFF" w:rsidRDefault="00EC19A6">
            <w:pPr>
              <w:jc w:val="center"/>
              <w:rPr>
                <w:b/>
                <w:noProof/>
              </w:rPr>
            </w:pPr>
            <w:r>
              <w:rPr>
                <w:b/>
                <w:noProof/>
              </w:rPr>
              <w:t>TOTAL credite</w:t>
            </w:r>
            <w:r>
              <w:rPr>
                <w:noProof/>
              </w:rPr>
              <w:br/>
            </w:r>
            <w:r>
              <w:rPr>
                <w:b/>
                <w:noProof/>
                <w:sz w:val="22"/>
              </w:rPr>
              <w:t>pentru DG TAXUD</w:t>
            </w:r>
          </w:p>
        </w:tc>
        <w:tc>
          <w:tcPr>
            <w:tcW w:w="1440" w:type="dxa"/>
            <w:vAlign w:val="center"/>
          </w:tcPr>
          <w:p w:rsidR="00CC3EFF" w:rsidRDefault="00EC19A6">
            <w:pPr>
              <w:rPr>
                <w:noProof/>
                <w:sz w:val="18"/>
              </w:rPr>
            </w:pPr>
            <w:r>
              <w:rPr>
                <w:noProof/>
                <w:sz w:val="18"/>
              </w:rPr>
              <w:t>Angajamente</w:t>
            </w:r>
          </w:p>
        </w:tc>
        <w:tc>
          <w:tcPr>
            <w:tcW w:w="654" w:type="dxa"/>
            <w:gridSpan w:val="2"/>
            <w:vAlign w:val="center"/>
          </w:tcPr>
          <w:p w:rsidR="00CC3EFF" w:rsidRDefault="00EC19A6">
            <w:pPr>
              <w:jc w:val="center"/>
              <w:rPr>
                <w:noProof/>
                <w:sz w:val="14"/>
              </w:rPr>
            </w:pPr>
            <w:r>
              <w:rPr>
                <w:noProof/>
                <w:sz w:val="14"/>
              </w:rPr>
              <w:t>=1+1a +3</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c>
          <w:tcPr>
            <w:tcW w:w="3960" w:type="dxa"/>
            <w:vMerge/>
          </w:tcPr>
          <w:p w:rsidR="00CC3EFF" w:rsidRDefault="00CC3EFF">
            <w:pPr>
              <w:rPr>
                <w:noProof/>
                <w:sz w:val="20"/>
              </w:rPr>
            </w:pPr>
          </w:p>
        </w:tc>
        <w:tc>
          <w:tcPr>
            <w:tcW w:w="1440" w:type="dxa"/>
            <w:vAlign w:val="center"/>
          </w:tcPr>
          <w:p w:rsidR="00CC3EFF" w:rsidRDefault="00EC19A6">
            <w:pPr>
              <w:rPr>
                <w:noProof/>
                <w:sz w:val="18"/>
              </w:rPr>
            </w:pPr>
            <w:r>
              <w:rPr>
                <w:noProof/>
                <w:sz w:val="18"/>
              </w:rPr>
              <w:t>Plăți</w:t>
            </w:r>
          </w:p>
        </w:tc>
        <w:tc>
          <w:tcPr>
            <w:tcW w:w="654" w:type="dxa"/>
            <w:gridSpan w:val="2"/>
            <w:vAlign w:val="center"/>
          </w:tcPr>
          <w:p w:rsidR="00CC3EFF" w:rsidRDefault="00EC19A6">
            <w:pPr>
              <w:jc w:val="center"/>
              <w:rPr>
                <w:noProof/>
                <w:sz w:val="14"/>
              </w:rPr>
            </w:pPr>
            <w:r>
              <w:rPr>
                <w:noProof/>
                <w:sz w:val="14"/>
              </w:rPr>
              <w:t>=2+2a</w:t>
            </w:r>
          </w:p>
          <w:p w:rsidR="00CC3EFF" w:rsidRDefault="00EC19A6">
            <w:pPr>
              <w:jc w:val="center"/>
              <w:rPr>
                <w:noProof/>
                <w:sz w:val="14"/>
              </w:rPr>
            </w:pPr>
            <w:r>
              <w:rPr>
                <w:noProof/>
                <w:sz w:val="14"/>
              </w:rPr>
              <w:t>+3</w:t>
            </w:r>
          </w:p>
        </w:tc>
        <w:tc>
          <w:tcPr>
            <w:tcW w:w="868" w:type="dxa"/>
            <w:vAlign w:val="center"/>
          </w:tcPr>
          <w:p w:rsidR="00CC3EFF" w:rsidRDefault="00EC19A6">
            <w:pPr>
              <w:spacing w:before="20" w:after="20"/>
              <w:jc w:val="right"/>
              <w:rPr>
                <w:noProof/>
              </w:rPr>
            </w:pPr>
            <w:r>
              <w:rPr>
                <w:noProof/>
              </w:rPr>
              <w:t>0,000</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bl>
    <w:p w:rsidR="00CC3EFF" w:rsidRDefault="00EC19A6">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CC3EFF">
        <w:trPr>
          <w:trHeight w:val="277"/>
        </w:trPr>
        <w:tc>
          <w:tcPr>
            <w:tcW w:w="3960" w:type="dxa"/>
            <w:vMerge w:val="restart"/>
            <w:vAlign w:val="center"/>
          </w:tcPr>
          <w:p w:rsidR="00CC3EFF" w:rsidRDefault="00EC19A6">
            <w:pPr>
              <w:spacing w:before="20" w:after="20"/>
              <w:rPr>
                <w:noProof/>
                <w:sz w:val="21"/>
                <w:szCs w:val="21"/>
              </w:rPr>
            </w:pPr>
            <w:r>
              <w:rPr>
                <w:noProof/>
              </w:rPr>
              <w:br w:type="page"/>
            </w:r>
            <w:r>
              <w:rPr>
                <w:noProof/>
                <w:sz w:val="21"/>
                <w:szCs w:val="21"/>
              </w:rPr>
              <w:sym w:font="Wingdings" w:char="F09F"/>
            </w:r>
            <w:r>
              <w:rPr>
                <w:noProof/>
                <w:sz w:val="21"/>
                <w:szCs w:val="21"/>
              </w:rPr>
              <w:t xml:space="preserve"> TOTAL credite operaționale</w:t>
            </w:r>
          </w:p>
        </w:tc>
        <w:tc>
          <w:tcPr>
            <w:tcW w:w="1440" w:type="dxa"/>
            <w:vAlign w:val="center"/>
          </w:tcPr>
          <w:p w:rsidR="00CC3EFF" w:rsidRDefault="00EC19A6">
            <w:pPr>
              <w:spacing w:beforeLines="20" w:before="48" w:afterLines="20" w:after="48"/>
              <w:rPr>
                <w:noProof/>
                <w:sz w:val="18"/>
              </w:rPr>
            </w:pPr>
            <w:r>
              <w:rPr>
                <w:noProof/>
                <w:sz w:val="18"/>
              </w:rPr>
              <w:t>Angajamente</w:t>
            </w:r>
          </w:p>
        </w:tc>
        <w:tc>
          <w:tcPr>
            <w:tcW w:w="654" w:type="dxa"/>
            <w:vAlign w:val="center"/>
          </w:tcPr>
          <w:p w:rsidR="00CC3EFF" w:rsidRDefault="00EC19A6">
            <w:pPr>
              <w:spacing w:beforeLines="20" w:before="48" w:afterLines="20" w:after="48"/>
              <w:jc w:val="center"/>
              <w:rPr>
                <w:noProof/>
                <w:sz w:val="14"/>
              </w:rPr>
            </w:pPr>
            <w:r>
              <w:rPr>
                <w:noProof/>
                <w:sz w:val="14"/>
              </w:rPr>
              <w:t>(4)</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c>
          <w:tcPr>
            <w:tcW w:w="3960" w:type="dxa"/>
            <w:vMerge/>
          </w:tcPr>
          <w:p w:rsidR="00CC3EFF" w:rsidRDefault="00CC3EFF">
            <w:pPr>
              <w:jc w:val="center"/>
              <w:rPr>
                <w:noProof/>
                <w:sz w:val="20"/>
              </w:rPr>
            </w:pPr>
          </w:p>
        </w:tc>
        <w:tc>
          <w:tcPr>
            <w:tcW w:w="1440" w:type="dxa"/>
            <w:vAlign w:val="center"/>
          </w:tcPr>
          <w:p w:rsidR="00CC3EFF" w:rsidRDefault="00EC19A6">
            <w:pPr>
              <w:spacing w:beforeLines="20" w:before="48" w:afterLines="20" w:after="48"/>
              <w:rPr>
                <w:noProof/>
                <w:sz w:val="18"/>
              </w:rPr>
            </w:pPr>
            <w:r>
              <w:rPr>
                <w:noProof/>
                <w:sz w:val="18"/>
              </w:rPr>
              <w:t>Plăți</w:t>
            </w:r>
          </w:p>
        </w:tc>
        <w:tc>
          <w:tcPr>
            <w:tcW w:w="654" w:type="dxa"/>
            <w:vAlign w:val="center"/>
          </w:tcPr>
          <w:p w:rsidR="00CC3EFF" w:rsidRDefault="00EC19A6">
            <w:pPr>
              <w:spacing w:beforeLines="20" w:before="48" w:afterLines="20" w:after="48"/>
              <w:jc w:val="center"/>
              <w:rPr>
                <w:noProof/>
                <w:sz w:val="14"/>
              </w:rPr>
            </w:pPr>
            <w:r>
              <w:rPr>
                <w:noProof/>
                <w:sz w:val="14"/>
              </w:rPr>
              <w:t>(5)</w:t>
            </w:r>
          </w:p>
        </w:tc>
        <w:tc>
          <w:tcPr>
            <w:tcW w:w="868" w:type="dxa"/>
            <w:vAlign w:val="center"/>
          </w:tcPr>
          <w:p w:rsidR="00CC3EFF" w:rsidRDefault="00EC19A6">
            <w:pPr>
              <w:spacing w:before="20" w:after="20"/>
              <w:jc w:val="right"/>
              <w:rPr>
                <w:noProof/>
              </w:rPr>
            </w:pPr>
            <w:r>
              <w:rPr>
                <w:noProof/>
              </w:rPr>
              <w:t>0,000</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rPr>
          <w:trHeight w:val="533"/>
        </w:trPr>
        <w:tc>
          <w:tcPr>
            <w:tcW w:w="5400" w:type="dxa"/>
            <w:gridSpan w:val="2"/>
            <w:vAlign w:val="center"/>
          </w:tcPr>
          <w:p w:rsidR="00CC3EFF" w:rsidRDefault="00EC19A6">
            <w:pPr>
              <w:spacing w:before="20" w:after="20"/>
              <w:rPr>
                <w:noProof/>
              </w:rPr>
            </w:pPr>
            <w:r>
              <w:rPr>
                <w:noProof/>
                <w:sz w:val="21"/>
                <w:szCs w:val="21"/>
              </w:rPr>
              <w:sym w:font="Wingdings" w:char="F09F"/>
            </w:r>
            <w:r>
              <w:rPr>
                <w:noProof/>
                <w:sz w:val="21"/>
                <w:szCs w:val="21"/>
              </w:rPr>
              <w:t xml:space="preserve"> TOTAL credite cu caracter administrativ finanțate din bugetul anumitor programe</w:t>
            </w:r>
          </w:p>
        </w:tc>
        <w:tc>
          <w:tcPr>
            <w:tcW w:w="654" w:type="dxa"/>
            <w:vAlign w:val="center"/>
          </w:tcPr>
          <w:p w:rsidR="00CC3EFF" w:rsidRDefault="00EC19A6">
            <w:pPr>
              <w:spacing w:beforeLines="20" w:before="48" w:afterLines="20" w:after="48"/>
              <w:jc w:val="center"/>
              <w:rPr>
                <w:noProof/>
                <w:sz w:val="14"/>
              </w:rPr>
            </w:pPr>
            <w:r>
              <w:rPr>
                <w:noProof/>
                <w:sz w:val="14"/>
              </w:rPr>
              <w:t>(6)</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spacing w:before="20" w:after="20"/>
              <w:jc w:val="right"/>
              <w:rPr>
                <w:b/>
                <w:noProof/>
                <w:sz w:val="20"/>
              </w:rPr>
            </w:pPr>
          </w:p>
        </w:tc>
      </w:tr>
      <w:tr w:rsidR="00CC3EFF">
        <w:tc>
          <w:tcPr>
            <w:tcW w:w="3960" w:type="dxa"/>
            <w:vMerge w:val="restart"/>
            <w:shd w:val="thinDiagStripe" w:color="C0C0C0" w:fill="auto"/>
            <w:vAlign w:val="center"/>
          </w:tcPr>
          <w:p w:rsidR="00CC3EFF" w:rsidRDefault="00EC19A6">
            <w:pPr>
              <w:jc w:val="center"/>
              <w:rPr>
                <w:b/>
                <w:noProof/>
              </w:rPr>
            </w:pPr>
            <w:r>
              <w:rPr>
                <w:b/>
                <w:noProof/>
                <w:sz w:val="22"/>
              </w:rPr>
              <w:t>TOTAL credite în cadrul RUBRICII</w:t>
            </w:r>
            <w:r>
              <w:rPr>
                <w:noProof/>
                <w:sz w:val="22"/>
              </w:rPr>
              <w:t xml:space="preserve"> 1A</w:t>
            </w:r>
            <w:r>
              <w:rPr>
                <w:noProof/>
              </w:rPr>
              <w:br/>
            </w:r>
            <w:r>
              <w:rPr>
                <w:noProof/>
                <w:sz w:val="22"/>
              </w:rPr>
              <w:t>din cadrul financiar multianual</w:t>
            </w:r>
          </w:p>
        </w:tc>
        <w:tc>
          <w:tcPr>
            <w:tcW w:w="1440" w:type="dxa"/>
            <w:vAlign w:val="center"/>
          </w:tcPr>
          <w:p w:rsidR="00CC3EFF" w:rsidRDefault="00EC19A6">
            <w:pPr>
              <w:rPr>
                <w:noProof/>
                <w:sz w:val="18"/>
              </w:rPr>
            </w:pPr>
            <w:r>
              <w:rPr>
                <w:noProof/>
                <w:sz w:val="18"/>
              </w:rPr>
              <w:t>Angajamente</w:t>
            </w:r>
          </w:p>
        </w:tc>
        <w:tc>
          <w:tcPr>
            <w:tcW w:w="654" w:type="dxa"/>
            <w:vAlign w:val="center"/>
          </w:tcPr>
          <w:p w:rsidR="00CC3EFF" w:rsidRDefault="00EC19A6">
            <w:pPr>
              <w:jc w:val="center"/>
              <w:rPr>
                <w:noProof/>
                <w:sz w:val="14"/>
              </w:rPr>
            </w:pPr>
            <w:r>
              <w:rPr>
                <w:noProof/>
                <w:sz w:val="14"/>
              </w:rPr>
              <w:t>=4+ 6</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r w:rsidR="00CC3EFF">
        <w:tc>
          <w:tcPr>
            <w:tcW w:w="3960" w:type="dxa"/>
            <w:vMerge/>
            <w:shd w:val="thinDiagStripe" w:color="C0C0C0" w:fill="auto"/>
          </w:tcPr>
          <w:p w:rsidR="00CC3EFF" w:rsidRDefault="00CC3EFF">
            <w:pPr>
              <w:rPr>
                <w:noProof/>
                <w:sz w:val="20"/>
              </w:rPr>
            </w:pPr>
          </w:p>
        </w:tc>
        <w:tc>
          <w:tcPr>
            <w:tcW w:w="1440" w:type="dxa"/>
            <w:vAlign w:val="center"/>
          </w:tcPr>
          <w:p w:rsidR="00CC3EFF" w:rsidRDefault="00EC19A6">
            <w:pPr>
              <w:rPr>
                <w:noProof/>
                <w:sz w:val="18"/>
              </w:rPr>
            </w:pPr>
            <w:r>
              <w:rPr>
                <w:noProof/>
                <w:sz w:val="18"/>
              </w:rPr>
              <w:t>Plăți</w:t>
            </w:r>
          </w:p>
        </w:tc>
        <w:tc>
          <w:tcPr>
            <w:tcW w:w="654" w:type="dxa"/>
            <w:vAlign w:val="center"/>
          </w:tcPr>
          <w:p w:rsidR="00CC3EFF" w:rsidRDefault="00EC19A6">
            <w:pPr>
              <w:jc w:val="center"/>
              <w:rPr>
                <w:noProof/>
                <w:sz w:val="14"/>
              </w:rPr>
            </w:pPr>
            <w:r>
              <w:rPr>
                <w:noProof/>
                <w:sz w:val="14"/>
              </w:rPr>
              <w:t>=5+ 6</w:t>
            </w:r>
          </w:p>
        </w:tc>
        <w:tc>
          <w:tcPr>
            <w:tcW w:w="868" w:type="dxa"/>
            <w:vAlign w:val="center"/>
          </w:tcPr>
          <w:p w:rsidR="00CC3EFF" w:rsidRDefault="00EC19A6">
            <w:pPr>
              <w:spacing w:before="20" w:after="20"/>
              <w:jc w:val="right"/>
              <w:rPr>
                <w:noProof/>
              </w:rPr>
            </w:pPr>
            <w:r>
              <w:rPr>
                <w:noProof/>
              </w:rPr>
              <w:t>0,000</w:t>
            </w:r>
          </w:p>
        </w:tc>
        <w:tc>
          <w:tcPr>
            <w:tcW w:w="868" w:type="dxa"/>
            <w:vAlign w:val="center"/>
          </w:tcPr>
          <w:p w:rsidR="00CC3EFF" w:rsidRDefault="00EC19A6">
            <w:pPr>
              <w:spacing w:before="20" w:after="20"/>
              <w:jc w:val="right"/>
              <w:rPr>
                <w:noProof/>
              </w:rPr>
            </w:pPr>
            <w:r>
              <w:rPr>
                <w:noProof/>
              </w:rPr>
              <w:t>0,300</w:t>
            </w:r>
          </w:p>
        </w:tc>
        <w:tc>
          <w:tcPr>
            <w:tcW w:w="868" w:type="dxa"/>
            <w:vAlign w:val="center"/>
          </w:tcPr>
          <w:p w:rsidR="00CC3EFF" w:rsidRDefault="00EC19A6">
            <w:pPr>
              <w:spacing w:before="20" w:after="20"/>
              <w:jc w:val="right"/>
              <w:rPr>
                <w:noProof/>
              </w:rPr>
            </w:pPr>
            <w:r>
              <w:rPr>
                <w:noProof/>
              </w:rPr>
              <w:t>1,000</w:t>
            </w:r>
          </w:p>
        </w:tc>
        <w:tc>
          <w:tcPr>
            <w:tcW w:w="868" w:type="dxa"/>
            <w:vAlign w:val="center"/>
          </w:tcPr>
          <w:p w:rsidR="00CC3EFF" w:rsidRDefault="00EC19A6">
            <w:pPr>
              <w:spacing w:before="20" w:after="20"/>
              <w:jc w:val="right"/>
              <w:rPr>
                <w:noProof/>
              </w:rPr>
            </w:pPr>
            <w:r>
              <w:rPr>
                <w:noProof/>
              </w:rPr>
              <w:t>0,400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EC19A6">
            <w:pPr>
              <w:spacing w:before="20" w:after="20"/>
              <w:jc w:val="right"/>
              <w:rPr>
                <w:noProof/>
              </w:rPr>
            </w:pPr>
            <w:r>
              <w:rPr>
                <w:noProof/>
              </w:rPr>
              <w:t>0,200</w:t>
            </w:r>
          </w:p>
        </w:tc>
        <w:tc>
          <w:tcPr>
            <w:tcW w:w="868" w:type="dxa"/>
            <w:vAlign w:val="center"/>
          </w:tcPr>
          <w:p w:rsidR="00CC3EFF" w:rsidRDefault="00CC3EFF">
            <w:pPr>
              <w:spacing w:before="20" w:after="20"/>
              <w:jc w:val="right"/>
              <w:rPr>
                <w:noProof/>
              </w:rPr>
            </w:pPr>
          </w:p>
        </w:tc>
        <w:tc>
          <w:tcPr>
            <w:tcW w:w="1777" w:type="dxa"/>
            <w:vAlign w:val="center"/>
          </w:tcPr>
          <w:p w:rsidR="00CC3EFF" w:rsidRDefault="00EC19A6">
            <w:pPr>
              <w:spacing w:before="20" w:after="20"/>
              <w:jc w:val="right"/>
              <w:rPr>
                <w:noProof/>
              </w:rPr>
            </w:pPr>
            <w:r>
              <w:rPr>
                <w:noProof/>
              </w:rPr>
              <w:t>2100</w:t>
            </w:r>
          </w:p>
        </w:tc>
      </w:tr>
    </w:tbl>
    <w:p w:rsidR="00CC3EFF" w:rsidRDefault="00EC19A6">
      <w:pPr>
        <w:spacing w:after="40"/>
        <w:rPr>
          <w:b/>
          <w:noProof/>
          <w:sz w:val="22"/>
          <w:u w:val="single"/>
        </w:rPr>
      </w:pPr>
      <w:r>
        <w:rPr>
          <w:b/>
          <w:noProof/>
          <w:sz w:val="22"/>
          <w:u w:val="single"/>
        </w:rPr>
        <w:t xml:space="preserve">În cazul în care propunerea/inițiativa afectează </w:t>
      </w:r>
      <w:r>
        <w:rPr>
          <w:b/>
          <w:noProof/>
          <w:sz w:val="22"/>
          <w:u w:val="single"/>
        </w:rPr>
        <w:t>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CC3EFF">
        <w:trPr>
          <w:trHeight w:val="277"/>
        </w:trPr>
        <w:tc>
          <w:tcPr>
            <w:tcW w:w="3960" w:type="dxa"/>
            <w:vMerge w:val="restart"/>
            <w:tcBorders>
              <w:top w:val="single" w:sz="4" w:space="0" w:color="FF0000"/>
              <w:left w:val="single" w:sz="4" w:space="0" w:color="auto"/>
              <w:bottom w:val="single" w:sz="4" w:space="0" w:color="FF0000"/>
            </w:tcBorders>
            <w:vAlign w:val="center"/>
          </w:tcPr>
          <w:p w:rsidR="00CC3EFF" w:rsidRDefault="00EC19A6">
            <w:pPr>
              <w:spacing w:before="20" w:after="20"/>
              <w:rPr>
                <w:noProof/>
              </w:rPr>
            </w:pPr>
            <w:r>
              <w:rPr>
                <w:noProof/>
                <w:sz w:val="21"/>
                <w:szCs w:val="21"/>
              </w:rPr>
              <w:sym w:font="Wingdings" w:char="F09F"/>
            </w:r>
            <w:r>
              <w:rPr>
                <w:noProof/>
                <w:sz w:val="21"/>
                <w:szCs w:val="21"/>
              </w:rPr>
              <w:t xml:space="preserve"> TOTAL credite operaționale</w:t>
            </w:r>
          </w:p>
        </w:tc>
        <w:tc>
          <w:tcPr>
            <w:tcW w:w="1440" w:type="dxa"/>
            <w:tcBorders>
              <w:top w:val="single" w:sz="4" w:space="0" w:color="FF0000"/>
            </w:tcBorders>
            <w:vAlign w:val="center"/>
          </w:tcPr>
          <w:p w:rsidR="00CC3EFF" w:rsidRDefault="00EC19A6">
            <w:pPr>
              <w:spacing w:beforeLines="20" w:before="48" w:afterLines="20" w:after="48"/>
              <w:rPr>
                <w:noProof/>
                <w:sz w:val="18"/>
              </w:rPr>
            </w:pPr>
            <w:r>
              <w:rPr>
                <w:noProof/>
                <w:sz w:val="18"/>
              </w:rPr>
              <w:t>Angajamente</w:t>
            </w:r>
          </w:p>
        </w:tc>
        <w:tc>
          <w:tcPr>
            <w:tcW w:w="654" w:type="dxa"/>
            <w:tcBorders>
              <w:top w:val="single" w:sz="4" w:space="0" w:color="FF0000"/>
            </w:tcBorders>
            <w:vAlign w:val="center"/>
          </w:tcPr>
          <w:p w:rsidR="00CC3EFF" w:rsidRDefault="00EC19A6">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868" w:type="dxa"/>
            <w:tcBorders>
              <w:top w:val="single" w:sz="4" w:space="0" w:color="FF0000"/>
            </w:tcBorders>
            <w:vAlign w:val="center"/>
          </w:tcPr>
          <w:p w:rsidR="00CC3EFF" w:rsidRDefault="00EC19A6">
            <w:pPr>
              <w:spacing w:before="20" w:after="20"/>
              <w:jc w:val="right"/>
              <w:rPr>
                <w:noProof/>
              </w:rPr>
            </w:pPr>
            <w:r>
              <w:rPr>
                <w:noProof/>
              </w:rPr>
              <w:t>p.m.</w:t>
            </w:r>
          </w:p>
        </w:tc>
        <w:tc>
          <w:tcPr>
            <w:tcW w:w="1777" w:type="dxa"/>
            <w:tcBorders>
              <w:top w:val="single" w:sz="4" w:space="0" w:color="FF0000"/>
              <w:right w:val="single" w:sz="4" w:space="0" w:color="auto"/>
            </w:tcBorders>
            <w:vAlign w:val="center"/>
          </w:tcPr>
          <w:p w:rsidR="00CC3EFF" w:rsidRDefault="00CC3EFF">
            <w:pPr>
              <w:spacing w:before="20" w:after="20"/>
              <w:jc w:val="right"/>
              <w:rPr>
                <w:b/>
                <w:noProof/>
                <w:sz w:val="20"/>
              </w:rPr>
            </w:pPr>
          </w:p>
        </w:tc>
      </w:tr>
      <w:tr w:rsidR="00CC3EFF">
        <w:tc>
          <w:tcPr>
            <w:tcW w:w="3960" w:type="dxa"/>
            <w:vMerge/>
            <w:tcBorders>
              <w:top w:val="single" w:sz="4" w:space="0" w:color="FF0000"/>
              <w:left w:val="single" w:sz="4" w:space="0" w:color="auto"/>
              <w:bottom w:val="single" w:sz="4" w:space="0" w:color="FF0000"/>
            </w:tcBorders>
          </w:tcPr>
          <w:p w:rsidR="00CC3EFF" w:rsidRDefault="00CC3EFF">
            <w:pPr>
              <w:jc w:val="center"/>
              <w:rPr>
                <w:noProof/>
                <w:sz w:val="20"/>
              </w:rPr>
            </w:pPr>
          </w:p>
        </w:tc>
        <w:tc>
          <w:tcPr>
            <w:tcW w:w="1440" w:type="dxa"/>
            <w:vAlign w:val="center"/>
          </w:tcPr>
          <w:p w:rsidR="00CC3EFF" w:rsidRDefault="00EC19A6">
            <w:pPr>
              <w:spacing w:beforeLines="20" w:before="48" w:afterLines="20" w:after="48"/>
              <w:rPr>
                <w:noProof/>
                <w:sz w:val="18"/>
              </w:rPr>
            </w:pPr>
            <w:r>
              <w:rPr>
                <w:noProof/>
                <w:sz w:val="18"/>
              </w:rPr>
              <w:t>Plăți</w:t>
            </w:r>
          </w:p>
        </w:tc>
        <w:tc>
          <w:tcPr>
            <w:tcW w:w="654" w:type="dxa"/>
            <w:vAlign w:val="center"/>
          </w:tcPr>
          <w:p w:rsidR="00CC3EFF" w:rsidRDefault="00EC19A6">
            <w:pPr>
              <w:spacing w:beforeLines="20" w:before="48" w:afterLines="20" w:after="48"/>
              <w:jc w:val="center"/>
              <w:rPr>
                <w:noProof/>
                <w:sz w:val="14"/>
              </w:rPr>
            </w:pPr>
            <w:r>
              <w:rPr>
                <w:noProof/>
                <w:sz w:val="14"/>
              </w:rPr>
              <w:t>(5)</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tcBorders>
              <w:right w:val="single" w:sz="4" w:space="0" w:color="auto"/>
            </w:tcBorders>
            <w:vAlign w:val="center"/>
          </w:tcPr>
          <w:p w:rsidR="00CC3EFF" w:rsidRDefault="00CC3EFF">
            <w:pPr>
              <w:spacing w:before="20" w:after="20"/>
              <w:jc w:val="right"/>
              <w:rPr>
                <w:b/>
                <w:noProof/>
                <w:sz w:val="20"/>
              </w:rPr>
            </w:pPr>
          </w:p>
        </w:tc>
      </w:tr>
      <w:tr w:rsidR="00CC3EFF">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CC3EFF" w:rsidRDefault="00EC19A6">
            <w:pPr>
              <w:spacing w:before="20" w:after="20"/>
              <w:rPr>
                <w:noProof/>
              </w:rPr>
            </w:pPr>
            <w:r>
              <w:rPr>
                <w:noProof/>
                <w:sz w:val="21"/>
                <w:szCs w:val="21"/>
              </w:rPr>
              <w:sym w:font="Wingdings" w:char="F09F"/>
            </w:r>
            <w:r>
              <w:rPr>
                <w:noProof/>
                <w:sz w:val="21"/>
                <w:szCs w:val="21"/>
              </w:rPr>
              <w:t xml:space="preserve"> TOTAL credite cu caracter administrativ finanțate din bugetul anumitor programe</w:t>
            </w:r>
          </w:p>
        </w:tc>
        <w:tc>
          <w:tcPr>
            <w:tcW w:w="654" w:type="dxa"/>
            <w:vAlign w:val="center"/>
          </w:tcPr>
          <w:p w:rsidR="00CC3EFF" w:rsidRDefault="00EC19A6">
            <w:pPr>
              <w:spacing w:beforeLines="20" w:before="48" w:afterLines="20" w:after="48"/>
              <w:jc w:val="center"/>
              <w:rPr>
                <w:noProof/>
                <w:sz w:val="14"/>
              </w:rPr>
            </w:pPr>
            <w:r>
              <w:rPr>
                <w:noProof/>
                <w:sz w:val="14"/>
              </w:rPr>
              <w:t>(6)</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vAlign w:val="center"/>
          </w:tcPr>
          <w:p w:rsidR="00CC3EFF" w:rsidRDefault="00CC3EFF">
            <w:pPr>
              <w:spacing w:before="20" w:after="20"/>
              <w:jc w:val="right"/>
              <w:rPr>
                <w:b/>
                <w:noProof/>
                <w:sz w:val="20"/>
              </w:rPr>
            </w:pPr>
          </w:p>
        </w:tc>
      </w:tr>
      <w:tr w:rsidR="00CC3EFF">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CC3EFF" w:rsidRDefault="00EC19A6">
            <w:pPr>
              <w:jc w:val="center"/>
              <w:rPr>
                <w:b/>
                <w:noProof/>
              </w:rPr>
            </w:pPr>
            <w:r>
              <w:rPr>
                <w:b/>
                <w:noProof/>
                <w:sz w:val="22"/>
              </w:rPr>
              <w:t>TOTAL credite</w:t>
            </w:r>
            <w:r>
              <w:rPr>
                <w:noProof/>
                <w:sz w:val="22"/>
              </w:rPr>
              <w:br/>
            </w:r>
            <w:r>
              <w:rPr>
                <w:b/>
                <w:noProof/>
                <w:sz w:val="22"/>
              </w:rPr>
              <w:t>în cadrul RUBRICILOR 1-4</w:t>
            </w:r>
            <w:r>
              <w:rPr>
                <w:noProof/>
              </w:rPr>
              <w:br/>
            </w:r>
            <w:r>
              <w:rPr>
                <w:noProof/>
                <w:sz w:val="22"/>
              </w:rPr>
              <w:t>din cadrul financiar multianual</w:t>
            </w:r>
            <w:r>
              <w:rPr>
                <w:noProof/>
                <w:sz w:val="22"/>
              </w:rPr>
              <w:br/>
            </w:r>
            <w:r>
              <w:rPr>
                <w:noProof/>
                <w:sz w:val="20"/>
              </w:rPr>
              <w:t>(suma de referință)</w:t>
            </w:r>
          </w:p>
        </w:tc>
        <w:tc>
          <w:tcPr>
            <w:tcW w:w="1440" w:type="dxa"/>
            <w:vAlign w:val="center"/>
          </w:tcPr>
          <w:p w:rsidR="00CC3EFF" w:rsidRDefault="00EC19A6">
            <w:pPr>
              <w:rPr>
                <w:noProof/>
                <w:sz w:val="18"/>
              </w:rPr>
            </w:pPr>
            <w:r>
              <w:rPr>
                <w:noProof/>
                <w:sz w:val="18"/>
              </w:rPr>
              <w:t>Angajamente</w:t>
            </w:r>
          </w:p>
        </w:tc>
        <w:tc>
          <w:tcPr>
            <w:tcW w:w="654" w:type="dxa"/>
            <w:vAlign w:val="center"/>
          </w:tcPr>
          <w:p w:rsidR="00CC3EFF" w:rsidRDefault="00EC19A6">
            <w:pPr>
              <w:jc w:val="center"/>
              <w:rPr>
                <w:noProof/>
                <w:sz w:val="14"/>
              </w:rPr>
            </w:pPr>
            <w:r>
              <w:rPr>
                <w:noProof/>
                <w:sz w:val="14"/>
              </w:rPr>
              <w:t>=4+ 6</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868" w:type="dxa"/>
            <w:vAlign w:val="center"/>
          </w:tcPr>
          <w:p w:rsidR="00CC3EFF" w:rsidRDefault="00EC19A6">
            <w:pPr>
              <w:spacing w:before="20" w:after="20"/>
              <w:jc w:val="right"/>
              <w:rPr>
                <w:noProof/>
              </w:rPr>
            </w:pPr>
            <w:r>
              <w:rPr>
                <w:noProof/>
              </w:rPr>
              <w:t>p.m.</w:t>
            </w:r>
          </w:p>
        </w:tc>
        <w:tc>
          <w:tcPr>
            <w:tcW w:w="1777" w:type="dxa"/>
            <w:tcBorders>
              <w:right w:val="single" w:sz="4" w:space="0" w:color="auto"/>
            </w:tcBorders>
            <w:vAlign w:val="center"/>
          </w:tcPr>
          <w:p w:rsidR="00CC3EFF" w:rsidRDefault="00CC3EFF">
            <w:pPr>
              <w:spacing w:before="20" w:after="20"/>
              <w:jc w:val="right"/>
              <w:rPr>
                <w:b/>
                <w:noProof/>
                <w:sz w:val="20"/>
              </w:rPr>
            </w:pPr>
          </w:p>
        </w:tc>
      </w:tr>
      <w:tr w:rsidR="00CC3EFF">
        <w:tc>
          <w:tcPr>
            <w:tcW w:w="3960" w:type="dxa"/>
            <w:vMerge/>
            <w:tcBorders>
              <w:top w:val="single" w:sz="4" w:space="0" w:color="FF0000"/>
              <w:left w:val="single" w:sz="4" w:space="0" w:color="auto"/>
              <w:bottom w:val="single" w:sz="4" w:space="0" w:color="FF0000"/>
            </w:tcBorders>
            <w:shd w:val="thinDiagStripe" w:color="C0C0C0" w:fill="auto"/>
          </w:tcPr>
          <w:p w:rsidR="00CC3EFF" w:rsidRDefault="00CC3EFF">
            <w:pPr>
              <w:rPr>
                <w:noProof/>
                <w:sz w:val="20"/>
              </w:rPr>
            </w:pPr>
          </w:p>
        </w:tc>
        <w:tc>
          <w:tcPr>
            <w:tcW w:w="1440" w:type="dxa"/>
            <w:tcBorders>
              <w:bottom w:val="single" w:sz="4" w:space="0" w:color="FF0000"/>
            </w:tcBorders>
            <w:vAlign w:val="center"/>
          </w:tcPr>
          <w:p w:rsidR="00CC3EFF" w:rsidRDefault="00EC19A6">
            <w:pPr>
              <w:rPr>
                <w:noProof/>
                <w:sz w:val="18"/>
              </w:rPr>
            </w:pPr>
            <w:r>
              <w:rPr>
                <w:noProof/>
                <w:sz w:val="18"/>
              </w:rPr>
              <w:t>Plăți</w:t>
            </w:r>
          </w:p>
        </w:tc>
        <w:tc>
          <w:tcPr>
            <w:tcW w:w="654" w:type="dxa"/>
            <w:tcBorders>
              <w:bottom w:val="single" w:sz="4" w:space="0" w:color="FF0000"/>
            </w:tcBorders>
            <w:vAlign w:val="center"/>
          </w:tcPr>
          <w:p w:rsidR="00CC3EFF" w:rsidRDefault="00EC19A6">
            <w:pPr>
              <w:jc w:val="center"/>
              <w:rPr>
                <w:noProof/>
                <w:sz w:val="14"/>
              </w:rPr>
            </w:pPr>
            <w:r>
              <w:rPr>
                <w:noProof/>
                <w:sz w:val="14"/>
              </w:rPr>
              <w:t>=5+ 6</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868" w:type="dxa"/>
            <w:tcBorders>
              <w:bottom w:val="single" w:sz="4" w:space="0" w:color="FF0000"/>
            </w:tcBorders>
            <w:vAlign w:val="center"/>
          </w:tcPr>
          <w:p w:rsidR="00CC3EFF" w:rsidRDefault="00EC19A6">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rsidR="00CC3EFF" w:rsidRDefault="00CC3EFF">
            <w:pPr>
              <w:spacing w:before="20" w:after="20"/>
              <w:jc w:val="right"/>
              <w:rPr>
                <w:b/>
                <w:noProof/>
                <w:sz w:val="20"/>
              </w:rPr>
            </w:pPr>
          </w:p>
        </w:tc>
      </w:tr>
    </w:tbl>
    <w:p w:rsidR="00CC3EFF" w:rsidRDefault="00CC3EFF">
      <w:pPr>
        <w:rPr>
          <w:noProof/>
        </w:rPr>
      </w:pPr>
    </w:p>
    <w:p w:rsidR="00CC3EFF" w:rsidRDefault="00EC19A6">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CC3EFF">
        <w:trPr>
          <w:jc w:val="center"/>
        </w:trPr>
        <w:tc>
          <w:tcPr>
            <w:tcW w:w="4744" w:type="dxa"/>
            <w:shd w:val="thinDiagStripe" w:color="C0C0C0" w:fill="auto"/>
            <w:vAlign w:val="center"/>
          </w:tcPr>
          <w:p w:rsidR="00CC3EFF" w:rsidRDefault="00EC19A6">
            <w:pPr>
              <w:spacing w:before="60" w:after="60"/>
              <w:jc w:val="center"/>
              <w:rPr>
                <w:b/>
                <w:noProof/>
              </w:rPr>
            </w:pPr>
            <w:r>
              <w:rPr>
                <w:noProof/>
              </w:rPr>
              <w:br w:type="page"/>
            </w:r>
            <w:r>
              <w:rPr>
                <w:b/>
                <w:noProof/>
              </w:rPr>
              <w:t>Rubrica din cadrul financiar</w:t>
            </w:r>
            <w:r>
              <w:rPr>
                <w:noProof/>
                <w:sz w:val="22"/>
              </w:rPr>
              <w:br/>
            </w:r>
            <w:r>
              <w:rPr>
                <w:b/>
                <w:noProof/>
                <w:sz w:val="22"/>
              </w:rPr>
              <w:t xml:space="preserve">multianual </w:t>
            </w:r>
          </w:p>
        </w:tc>
        <w:tc>
          <w:tcPr>
            <w:tcW w:w="1080" w:type="dxa"/>
            <w:shd w:val="thinDiagStripe" w:color="C0C0C0" w:fill="auto"/>
            <w:vAlign w:val="center"/>
          </w:tcPr>
          <w:p w:rsidR="00CC3EFF" w:rsidRDefault="00EC19A6">
            <w:pPr>
              <w:spacing w:before="60" w:after="60"/>
              <w:jc w:val="center"/>
              <w:rPr>
                <w:noProof/>
              </w:rPr>
            </w:pPr>
            <w:r>
              <w:rPr>
                <w:b/>
                <w:noProof/>
                <w:sz w:val="22"/>
              </w:rPr>
              <w:t>5</w:t>
            </w:r>
          </w:p>
        </w:tc>
        <w:tc>
          <w:tcPr>
            <w:tcW w:w="7817" w:type="dxa"/>
            <w:vAlign w:val="center"/>
          </w:tcPr>
          <w:p w:rsidR="00CC3EFF" w:rsidRDefault="00EC19A6">
            <w:pPr>
              <w:spacing w:before="60" w:after="60"/>
              <w:rPr>
                <w:noProof/>
              </w:rPr>
            </w:pPr>
            <w:r>
              <w:rPr>
                <w:noProof/>
                <w:sz w:val="22"/>
              </w:rPr>
              <w:t>„Cheltuieli administrative”</w:t>
            </w:r>
          </w:p>
        </w:tc>
      </w:tr>
    </w:tbl>
    <w:p w:rsidR="00CC3EFF" w:rsidRDefault="00EC19A6">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CC3EFF">
        <w:tc>
          <w:tcPr>
            <w:tcW w:w="3960" w:type="dxa"/>
            <w:tcBorders>
              <w:top w:val="nil"/>
              <w:left w:val="nil"/>
              <w:right w:val="nil"/>
            </w:tcBorders>
            <w:vAlign w:val="center"/>
          </w:tcPr>
          <w:p w:rsidR="00CC3EFF" w:rsidRDefault="00CC3EFF">
            <w:pPr>
              <w:jc w:val="center"/>
              <w:rPr>
                <w:noProof/>
              </w:rPr>
            </w:pPr>
          </w:p>
        </w:tc>
        <w:tc>
          <w:tcPr>
            <w:tcW w:w="1560" w:type="dxa"/>
            <w:tcBorders>
              <w:top w:val="nil"/>
              <w:left w:val="nil"/>
              <w:right w:val="nil"/>
            </w:tcBorders>
          </w:tcPr>
          <w:p w:rsidR="00CC3EFF" w:rsidRDefault="00CC3EFF">
            <w:pPr>
              <w:rPr>
                <w:noProof/>
                <w:sz w:val="20"/>
              </w:rPr>
            </w:pPr>
          </w:p>
        </w:tc>
        <w:tc>
          <w:tcPr>
            <w:tcW w:w="534" w:type="dxa"/>
            <w:tcBorders>
              <w:top w:val="nil"/>
              <w:left w:val="nil"/>
            </w:tcBorders>
          </w:tcPr>
          <w:p w:rsidR="00CC3EFF" w:rsidRDefault="00CC3EFF">
            <w:pPr>
              <w:jc w:val="center"/>
              <w:rPr>
                <w:noProof/>
                <w:sz w:val="20"/>
              </w:rPr>
            </w:pP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2016</w:t>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2017</w:t>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2018</w:t>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2019</w:t>
            </w:r>
          </w:p>
        </w:tc>
        <w:tc>
          <w:tcPr>
            <w:tcW w:w="2604" w:type="dxa"/>
            <w:gridSpan w:val="3"/>
            <w:vAlign w:val="center"/>
          </w:tcPr>
          <w:p w:rsidR="00CC3EFF" w:rsidRDefault="00EC19A6">
            <w:pPr>
              <w:jc w:val="center"/>
              <w:rPr>
                <w:b/>
                <w:noProof/>
                <w:sz w:val="18"/>
              </w:rPr>
            </w:pPr>
            <w:r>
              <w:rPr>
                <w:noProof/>
                <w:sz w:val="20"/>
              </w:rPr>
              <w:t xml:space="preserve">Anul </w:t>
            </w:r>
            <w:r>
              <w:rPr>
                <w:b/>
                <w:noProof/>
                <w:sz w:val="20"/>
              </w:rPr>
              <w:t>2020</w:t>
            </w:r>
          </w:p>
        </w:tc>
        <w:tc>
          <w:tcPr>
            <w:tcW w:w="1777" w:type="dxa"/>
            <w:vAlign w:val="center"/>
          </w:tcPr>
          <w:p w:rsidR="00CC3EFF" w:rsidRDefault="00EC19A6">
            <w:pPr>
              <w:jc w:val="center"/>
              <w:rPr>
                <w:b/>
                <w:noProof/>
                <w:sz w:val="20"/>
              </w:rPr>
            </w:pPr>
            <w:r>
              <w:rPr>
                <w:b/>
                <w:noProof/>
                <w:sz w:val="20"/>
              </w:rPr>
              <w:t>TOTAL</w:t>
            </w:r>
          </w:p>
        </w:tc>
      </w:tr>
      <w:tr w:rsidR="00CC3EFF">
        <w:trPr>
          <w:gridAfter w:val="10"/>
          <w:wAfter w:w="9947" w:type="dxa"/>
        </w:trPr>
        <w:tc>
          <w:tcPr>
            <w:tcW w:w="3960" w:type="dxa"/>
            <w:vAlign w:val="center"/>
          </w:tcPr>
          <w:p w:rsidR="00CC3EFF" w:rsidRDefault="00EC19A6">
            <w:pPr>
              <w:spacing w:before="60" w:after="60"/>
              <w:jc w:val="center"/>
              <w:rPr>
                <w:noProof/>
              </w:rPr>
            </w:pPr>
            <w:r>
              <w:rPr>
                <w:noProof/>
                <w:sz w:val="22"/>
              </w:rPr>
              <w:t xml:space="preserve">DG: </w:t>
            </w:r>
            <w:r>
              <w:rPr>
                <w:noProof/>
              </w:rPr>
              <w:t>TAXUD</w:t>
            </w:r>
          </w:p>
        </w:tc>
      </w:tr>
      <w:tr w:rsidR="00CC3EFF">
        <w:trPr>
          <w:trHeight w:val="313"/>
        </w:trPr>
        <w:tc>
          <w:tcPr>
            <w:tcW w:w="6054" w:type="dxa"/>
            <w:gridSpan w:val="3"/>
            <w:vAlign w:val="center"/>
          </w:tcPr>
          <w:p w:rsidR="00CC3EFF" w:rsidRDefault="00EC19A6">
            <w:pPr>
              <w:spacing w:before="20" w:after="20"/>
              <w:rPr>
                <w:noProof/>
              </w:rPr>
            </w:pPr>
            <w:r>
              <w:rPr>
                <w:noProof/>
                <w:sz w:val="22"/>
              </w:rPr>
              <w:sym w:font="Wingdings" w:char="F09F"/>
            </w:r>
            <w:r>
              <w:rPr>
                <w:noProof/>
              </w:rPr>
              <w:t xml:space="preserve"> Resurse umane</w:t>
            </w:r>
          </w:p>
        </w:tc>
        <w:tc>
          <w:tcPr>
            <w:tcW w:w="868" w:type="dxa"/>
            <w:vAlign w:val="center"/>
          </w:tcPr>
          <w:p w:rsidR="00CC3EFF" w:rsidRDefault="00EC19A6">
            <w:pPr>
              <w:spacing w:before="20" w:after="20"/>
              <w:jc w:val="right"/>
              <w:rPr>
                <w:noProof/>
              </w:rPr>
            </w:pPr>
            <w:r>
              <w:rPr>
                <w:noProof/>
              </w:rPr>
              <w:t>0,528</w:t>
            </w:r>
          </w:p>
        </w:tc>
        <w:tc>
          <w:tcPr>
            <w:tcW w:w="868" w:type="dxa"/>
            <w:vAlign w:val="center"/>
          </w:tcPr>
          <w:p w:rsidR="00CC3EFF" w:rsidRDefault="00EC19A6">
            <w:pPr>
              <w:spacing w:before="20" w:after="20"/>
              <w:jc w:val="right"/>
              <w:rPr>
                <w:noProof/>
              </w:rPr>
            </w:pPr>
            <w:r>
              <w:rPr>
                <w:noProof/>
              </w:rPr>
              <w:t>0,528</w:t>
            </w:r>
          </w:p>
        </w:tc>
        <w:tc>
          <w:tcPr>
            <w:tcW w:w="868" w:type="dxa"/>
            <w:vAlign w:val="center"/>
          </w:tcPr>
          <w:p w:rsidR="00CC3EFF" w:rsidRDefault="00EC19A6">
            <w:pPr>
              <w:spacing w:before="20" w:after="20"/>
              <w:jc w:val="right"/>
              <w:rPr>
                <w:noProof/>
              </w:rPr>
            </w:pPr>
            <w:r>
              <w:rPr>
                <w:noProof/>
              </w:rPr>
              <w:t>0,528</w:t>
            </w:r>
          </w:p>
        </w:tc>
        <w:tc>
          <w:tcPr>
            <w:tcW w:w="868" w:type="dxa"/>
            <w:vAlign w:val="center"/>
          </w:tcPr>
          <w:p w:rsidR="00CC3EFF" w:rsidRDefault="00EC19A6">
            <w:pPr>
              <w:spacing w:before="20" w:after="20"/>
              <w:jc w:val="right"/>
              <w:rPr>
                <w:noProof/>
              </w:rPr>
            </w:pPr>
            <w:r>
              <w:rPr>
                <w:noProof/>
              </w:rPr>
              <w:t>0,528</w:t>
            </w:r>
          </w:p>
        </w:tc>
        <w:tc>
          <w:tcPr>
            <w:tcW w:w="868" w:type="dxa"/>
            <w:vAlign w:val="center"/>
          </w:tcPr>
          <w:p w:rsidR="00CC3EFF" w:rsidRDefault="00EC19A6">
            <w:pPr>
              <w:spacing w:before="20" w:after="20"/>
              <w:jc w:val="right"/>
              <w:rPr>
                <w:noProof/>
              </w:rPr>
            </w:pPr>
            <w:r>
              <w:rPr>
                <w:noProof/>
              </w:rPr>
              <w:t>0,528</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CC3EFF">
            <w:pPr>
              <w:spacing w:before="20" w:after="20"/>
              <w:jc w:val="right"/>
              <w:rPr>
                <w:noProof/>
              </w:rPr>
            </w:pPr>
          </w:p>
        </w:tc>
      </w:tr>
      <w:tr w:rsidR="00CC3EFF">
        <w:trPr>
          <w:trHeight w:val="351"/>
        </w:trPr>
        <w:tc>
          <w:tcPr>
            <w:tcW w:w="6054" w:type="dxa"/>
            <w:gridSpan w:val="3"/>
            <w:vAlign w:val="center"/>
          </w:tcPr>
          <w:p w:rsidR="00CC3EFF" w:rsidRDefault="00EC19A6">
            <w:pPr>
              <w:spacing w:before="20" w:after="20"/>
              <w:rPr>
                <w:noProof/>
              </w:rPr>
            </w:pPr>
            <w:r>
              <w:rPr>
                <w:noProof/>
                <w:sz w:val="22"/>
              </w:rPr>
              <w:sym w:font="Wingdings" w:char="F09F"/>
            </w:r>
            <w:r>
              <w:rPr>
                <w:noProof/>
              </w:rPr>
              <w:t xml:space="preserve"> Alte cheltuieli administrative</w:t>
            </w:r>
          </w:p>
        </w:tc>
        <w:tc>
          <w:tcPr>
            <w:tcW w:w="868" w:type="dxa"/>
            <w:vAlign w:val="center"/>
          </w:tcPr>
          <w:p w:rsidR="00CC3EFF" w:rsidRDefault="00EC19A6">
            <w:pPr>
              <w:spacing w:before="20" w:after="20"/>
              <w:jc w:val="right"/>
              <w:rPr>
                <w:noProof/>
              </w:rPr>
            </w:pPr>
            <w:r>
              <w:rPr>
                <w:noProof/>
              </w:rPr>
              <w:t>0,030</w:t>
            </w:r>
          </w:p>
        </w:tc>
        <w:tc>
          <w:tcPr>
            <w:tcW w:w="868" w:type="dxa"/>
            <w:vAlign w:val="center"/>
          </w:tcPr>
          <w:p w:rsidR="00CC3EFF" w:rsidRDefault="00EC19A6">
            <w:pPr>
              <w:spacing w:before="20" w:after="20"/>
              <w:jc w:val="right"/>
              <w:rPr>
                <w:noProof/>
              </w:rPr>
            </w:pPr>
            <w:r>
              <w:rPr>
                <w:noProof/>
              </w:rPr>
              <w:t>0,030</w:t>
            </w:r>
          </w:p>
        </w:tc>
        <w:tc>
          <w:tcPr>
            <w:tcW w:w="868" w:type="dxa"/>
            <w:vAlign w:val="center"/>
          </w:tcPr>
          <w:p w:rsidR="00CC3EFF" w:rsidRDefault="00EC19A6">
            <w:pPr>
              <w:spacing w:before="20" w:after="20"/>
              <w:jc w:val="right"/>
              <w:rPr>
                <w:noProof/>
              </w:rPr>
            </w:pPr>
            <w:r>
              <w:rPr>
                <w:noProof/>
              </w:rPr>
              <w:t>0,030</w:t>
            </w:r>
          </w:p>
        </w:tc>
        <w:tc>
          <w:tcPr>
            <w:tcW w:w="868" w:type="dxa"/>
            <w:vAlign w:val="center"/>
          </w:tcPr>
          <w:p w:rsidR="00CC3EFF" w:rsidRDefault="00EC19A6">
            <w:pPr>
              <w:spacing w:before="20" w:after="20"/>
              <w:jc w:val="right"/>
              <w:rPr>
                <w:noProof/>
              </w:rPr>
            </w:pPr>
            <w:r>
              <w:rPr>
                <w:noProof/>
              </w:rPr>
              <w:t>0,030</w:t>
            </w:r>
          </w:p>
        </w:tc>
        <w:tc>
          <w:tcPr>
            <w:tcW w:w="868" w:type="dxa"/>
            <w:vAlign w:val="center"/>
          </w:tcPr>
          <w:p w:rsidR="00CC3EFF" w:rsidRDefault="00EC19A6">
            <w:pPr>
              <w:spacing w:before="20" w:after="20"/>
              <w:jc w:val="right"/>
              <w:rPr>
                <w:noProof/>
              </w:rPr>
            </w:pPr>
            <w:r>
              <w:rPr>
                <w:noProof/>
              </w:rPr>
              <w:t>0,030</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CC3EFF">
            <w:pPr>
              <w:spacing w:before="20" w:after="20"/>
              <w:jc w:val="right"/>
              <w:rPr>
                <w:noProof/>
              </w:rPr>
            </w:pPr>
          </w:p>
        </w:tc>
      </w:tr>
      <w:tr w:rsidR="00CC3EFF">
        <w:tc>
          <w:tcPr>
            <w:tcW w:w="3960" w:type="dxa"/>
            <w:vAlign w:val="center"/>
          </w:tcPr>
          <w:p w:rsidR="00CC3EFF" w:rsidRDefault="00EC19A6">
            <w:pPr>
              <w:jc w:val="center"/>
              <w:rPr>
                <w:b/>
                <w:noProof/>
                <w:sz w:val="22"/>
              </w:rPr>
            </w:pPr>
            <w:r>
              <w:rPr>
                <w:b/>
                <w:noProof/>
                <w:sz w:val="22"/>
              </w:rPr>
              <w:t>TOTAL DG</w:t>
            </w:r>
            <w:r>
              <w:rPr>
                <w:noProof/>
                <w:sz w:val="22"/>
              </w:rPr>
              <w:t xml:space="preserve"> TAXUD</w:t>
            </w:r>
          </w:p>
        </w:tc>
        <w:tc>
          <w:tcPr>
            <w:tcW w:w="2094" w:type="dxa"/>
            <w:gridSpan w:val="2"/>
            <w:vAlign w:val="center"/>
          </w:tcPr>
          <w:p w:rsidR="00CC3EFF" w:rsidRDefault="00EC19A6">
            <w:pPr>
              <w:rPr>
                <w:noProof/>
                <w:sz w:val="14"/>
              </w:rPr>
            </w:pPr>
            <w:r>
              <w:rPr>
                <w:noProof/>
                <w:sz w:val="18"/>
              </w:rPr>
              <w:t xml:space="preserve">Credite </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CC3EFF">
            <w:pPr>
              <w:spacing w:before="20" w:after="20"/>
              <w:jc w:val="right"/>
              <w:rPr>
                <w:noProof/>
              </w:rPr>
            </w:pPr>
          </w:p>
        </w:tc>
      </w:tr>
    </w:tbl>
    <w:p w:rsidR="00CC3EFF" w:rsidRDefault="00CC3EFF">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CC3EFF">
        <w:tc>
          <w:tcPr>
            <w:tcW w:w="3960" w:type="dxa"/>
            <w:shd w:val="thinDiagStripe" w:color="C0C0C0" w:fill="auto"/>
            <w:vAlign w:val="center"/>
          </w:tcPr>
          <w:p w:rsidR="00CC3EFF" w:rsidRDefault="00EC19A6">
            <w:pPr>
              <w:jc w:val="center"/>
              <w:rPr>
                <w:b/>
                <w:noProof/>
              </w:rPr>
            </w:pPr>
            <w:r>
              <w:rPr>
                <w:b/>
                <w:noProof/>
                <w:sz w:val="22"/>
              </w:rPr>
              <w:t>TOTAL credite</w:t>
            </w:r>
            <w:r>
              <w:rPr>
                <w:b/>
                <w:noProof/>
                <w:sz w:val="22"/>
              </w:rPr>
              <w:br/>
              <w:t>în cadrul RUBRICII 5</w:t>
            </w:r>
            <w:r>
              <w:rPr>
                <w:noProof/>
              </w:rPr>
              <w:br/>
            </w:r>
            <w:r>
              <w:rPr>
                <w:noProof/>
                <w:sz w:val="22"/>
              </w:rPr>
              <w:t>din cadrul financiar multianual</w:t>
            </w:r>
            <w:r>
              <w:rPr>
                <w:b/>
                <w:noProof/>
                <w:sz w:val="22"/>
              </w:rPr>
              <w:t xml:space="preserve"> </w:t>
            </w:r>
          </w:p>
        </w:tc>
        <w:tc>
          <w:tcPr>
            <w:tcW w:w="2094" w:type="dxa"/>
            <w:vAlign w:val="center"/>
          </w:tcPr>
          <w:p w:rsidR="00CC3EFF" w:rsidRDefault="00EC19A6">
            <w:pPr>
              <w:spacing w:before="40" w:after="40"/>
              <w:rPr>
                <w:noProof/>
              </w:rPr>
            </w:pPr>
            <w:r>
              <w:rPr>
                <w:noProof/>
                <w:sz w:val="18"/>
              </w:rPr>
              <w:t>(Total angajamente = Total plăți)</w:t>
            </w:r>
          </w:p>
        </w:tc>
        <w:tc>
          <w:tcPr>
            <w:tcW w:w="868" w:type="dxa"/>
            <w:vAlign w:val="center"/>
          </w:tcPr>
          <w:p w:rsidR="00CC3EFF" w:rsidRDefault="00EC19A6">
            <w:pPr>
              <w:spacing w:before="20" w:after="20"/>
              <w:jc w:val="right"/>
              <w:rPr>
                <w:noProof/>
                <w:sz w:val="20"/>
              </w:rPr>
            </w:pPr>
            <w:r>
              <w:rPr>
                <w:noProof/>
              </w:rPr>
              <w:t>0,558</w:t>
            </w:r>
          </w:p>
        </w:tc>
        <w:tc>
          <w:tcPr>
            <w:tcW w:w="868" w:type="dxa"/>
            <w:vAlign w:val="center"/>
          </w:tcPr>
          <w:p w:rsidR="00CC3EFF" w:rsidRDefault="00EC19A6">
            <w:pPr>
              <w:spacing w:before="20" w:after="20"/>
              <w:jc w:val="right"/>
              <w:rPr>
                <w:noProof/>
                <w:sz w:val="20"/>
              </w:rPr>
            </w:pPr>
            <w:r>
              <w:rPr>
                <w:noProof/>
              </w:rPr>
              <w:t>0,558</w:t>
            </w:r>
          </w:p>
        </w:tc>
        <w:tc>
          <w:tcPr>
            <w:tcW w:w="868" w:type="dxa"/>
            <w:vAlign w:val="center"/>
          </w:tcPr>
          <w:p w:rsidR="00CC3EFF" w:rsidRDefault="00EC19A6">
            <w:pPr>
              <w:spacing w:before="20" w:after="20"/>
              <w:jc w:val="right"/>
              <w:rPr>
                <w:noProof/>
                <w:sz w:val="20"/>
              </w:rPr>
            </w:pPr>
            <w:r>
              <w:rPr>
                <w:noProof/>
              </w:rPr>
              <w:t>0,558</w:t>
            </w:r>
          </w:p>
        </w:tc>
        <w:tc>
          <w:tcPr>
            <w:tcW w:w="868" w:type="dxa"/>
            <w:vAlign w:val="center"/>
          </w:tcPr>
          <w:p w:rsidR="00CC3EFF" w:rsidRDefault="00EC19A6">
            <w:pPr>
              <w:spacing w:before="20" w:after="20"/>
              <w:jc w:val="right"/>
              <w:rPr>
                <w:noProof/>
                <w:sz w:val="20"/>
              </w:rPr>
            </w:pPr>
            <w:r>
              <w:rPr>
                <w:noProof/>
              </w:rPr>
              <w:t>0,558</w:t>
            </w:r>
          </w:p>
        </w:tc>
        <w:tc>
          <w:tcPr>
            <w:tcW w:w="868" w:type="dxa"/>
            <w:vAlign w:val="center"/>
          </w:tcPr>
          <w:p w:rsidR="00CC3EFF" w:rsidRDefault="00EC19A6">
            <w:pPr>
              <w:spacing w:before="20" w:after="20"/>
              <w:jc w:val="right"/>
              <w:rPr>
                <w:noProof/>
                <w:sz w:val="20"/>
              </w:rPr>
            </w:pPr>
            <w:r>
              <w:rPr>
                <w:noProof/>
              </w:rPr>
              <w:t>0,558</w:t>
            </w:r>
          </w:p>
        </w:tc>
        <w:tc>
          <w:tcPr>
            <w:tcW w:w="868" w:type="dxa"/>
            <w:vAlign w:val="center"/>
          </w:tcPr>
          <w:p w:rsidR="00CC3EFF" w:rsidRDefault="00CC3EFF">
            <w:pPr>
              <w:spacing w:before="20" w:after="20"/>
              <w:jc w:val="right"/>
              <w:rPr>
                <w:noProof/>
                <w:sz w:val="20"/>
              </w:rPr>
            </w:pPr>
          </w:p>
        </w:tc>
        <w:tc>
          <w:tcPr>
            <w:tcW w:w="868" w:type="dxa"/>
            <w:vAlign w:val="center"/>
          </w:tcPr>
          <w:p w:rsidR="00CC3EFF" w:rsidRDefault="00CC3EFF">
            <w:pPr>
              <w:spacing w:before="20" w:after="20"/>
              <w:jc w:val="right"/>
              <w:rPr>
                <w:b/>
                <w:noProof/>
                <w:sz w:val="20"/>
              </w:rPr>
            </w:pPr>
          </w:p>
        </w:tc>
        <w:tc>
          <w:tcPr>
            <w:tcW w:w="1777" w:type="dxa"/>
            <w:vAlign w:val="center"/>
          </w:tcPr>
          <w:p w:rsidR="00CC3EFF" w:rsidRDefault="00CC3EFF">
            <w:pPr>
              <w:spacing w:before="20" w:after="20"/>
              <w:jc w:val="right"/>
              <w:rPr>
                <w:b/>
                <w:noProof/>
                <w:sz w:val="20"/>
              </w:rPr>
            </w:pPr>
          </w:p>
        </w:tc>
      </w:tr>
    </w:tbl>
    <w:p w:rsidR="00CC3EFF" w:rsidRDefault="00EC19A6">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CC3EFF">
        <w:tc>
          <w:tcPr>
            <w:tcW w:w="3960" w:type="dxa"/>
            <w:tcBorders>
              <w:top w:val="nil"/>
              <w:left w:val="nil"/>
              <w:right w:val="nil"/>
            </w:tcBorders>
            <w:vAlign w:val="center"/>
          </w:tcPr>
          <w:p w:rsidR="00CC3EFF" w:rsidRDefault="00CC3EFF">
            <w:pPr>
              <w:jc w:val="center"/>
              <w:rPr>
                <w:noProof/>
              </w:rPr>
            </w:pPr>
          </w:p>
        </w:tc>
        <w:tc>
          <w:tcPr>
            <w:tcW w:w="1560" w:type="dxa"/>
            <w:tcBorders>
              <w:top w:val="nil"/>
              <w:left w:val="nil"/>
              <w:right w:val="nil"/>
            </w:tcBorders>
          </w:tcPr>
          <w:p w:rsidR="00CC3EFF" w:rsidRDefault="00CC3EFF">
            <w:pPr>
              <w:rPr>
                <w:noProof/>
                <w:sz w:val="20"/>
              </w:rPr>
            </w:pPr>
          </w:p>
        </w:tc>
        <w:tc>
          <w:tcPr>
            <w:tcW w:w="534" w:type="dxa"/>
            <w:tcBorders>
              <w:top w:val="nil"/>
              <w:left w:val="nil"/>
            </w:tcBorders>
          </w:tcPr>
          <w:p w:rsidR="00CC3EFF" w:rsidRDefault="00CC3EFF">
            <w:pPr>
              <w:jc w:val="center"/>
              <w:rPr>
                <w:noProof/>
                <w:sz w:val="20"/>
              </w:rPr>
            </w:pP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2016</w:t>
            </w:r>
            <w:r>
              <w:rPr>
                <w:rStyle w:val="FootnoteReference"/>
                <w:b/>
                <w:noProof/>
                <w:sz w:val="20"/>
              </w:rPr>
              <w:footnoteReference w:id="23"/>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2017</w:t>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2018</w:t>
            </w:r>
          </w:p>
        </w:tc>
        <w:tc>
          <w:tcPr>
            <w:tcW w:w="868" w:type="dxa"/>
            <w:vAlign w:val="center"/>
          </w:tcPr>
          <w:p w:rsidR="00CC3EFF" w:rsidRDefault="00EC19A6">
            <w:pPr>
              <w:jc w:val="center"/>
              <w:rPr>
                <w:noProof/>
                <w:sz w:val="20"/>
              </w:rPr>
            </w:pPr>
            <w:r>
              <w:rPr>
                <w:noProof/>
                <w:sz w:val="20"/>
                <w:szCs w:val="20"/>
              </w:rPr>
              <w:t>Anul</w:t>
            </w:r>
            <w:r>
              <w:rPr>
                <w:noProof/>
              </w:rPr>
              <w:t xml:space="preserve"> </w:t>
            </w:r>
            <w:r>
              <w:rPr>
                <w:b/>
                <w:noProof/>
                <w:sz w:val="20"/>
              </w:rPr>
              <w:t>2019</w:t>
            </w:r>
          </w:p>
        </w:tc>
        <w:tc>
          <w:tcPr>
            <w:tcW w:w="2604" w:type="dxa"/>
            <w:gridSpan w:val="3"/>
            <w:vAlign w:val="center"/>
          </w:tcPr>
          <w:p w:rsidR="00CC3EFF" w:rsidRDefault="00EC19A6">
            <w:pPr>
              <w:jc w:val="center"/>
              <w:rPr>
                <w:b/>
                <w:noProof/>
                <w:sz w:val="18"/>
              </w:rPr>
            </w:pPr>
            <w:r>
              <w:rPr>
                <w:noProof/>
              </w:rPr>
              <w:t xml:space="preserve">Anul </w:t>
            </w:r>
            <w:r>
              <w:rPr>
                <w:b/>
                <w:noProof/>
              </w:rPr>
              <w:t>2020</w:t>
            </w:r>
          </w:p>
        </w:tc>
        <w:tc>
          <w:tcPr>
            <w:tcW w:w="1777" w:type="dxa"/>
            <w:vAlign w:val="center"/>
          </w:tcPr>
          <w:p w:rsidR="00CC3EFF" w:rsidRDefault="00EC19A6">
            <w:pPr>
              <w:jc w:val="center"/>
              <w:rPr>
                <w:b/>
                <w:noProof/>
                <w:sz w:val="20"/>
              </w:rPr>
            </w:pPr>
            <w:r>
              <w:rPr>
                <w:b/>
                <w:noProof/>
                <w:sz w:val="20"/>
              </w:rPr>
              <w:t>TOTAL</w:t>
            </w:r>
          </w:p>
        </w:tc>
      </w:tr>
      <w:tr w:rsidR="00CC3EFF">
        <w:tc>
          <w:tcPr>
            <w:tcW w:w="3960" w:type="dxa"/>
            <w:vMerge w:val="restart"/>
            <w:shd w:val="clear" w:color="auto" w:fill="C0C0C0"/>
            <w:vAlign w:val="center"/>
          </w:tcPr>
          <w:p w:rsidR="00CC3EFF" w:rsidRDefault="00EC19A6">
            <w:pPr>
              <w:jc w:val="center"/>
              <w:rPr>
                <w:b/>
                <w:noProof/>
              </w:rPr>
            </w:pPr>
            <w:r>
              <w:rPr>
                <w:b/>
                <w:noProof/>
                <w:sz w:val="22"/>
              </w:rPr>
              <w:t>TOTAL credite</w:t>
            </w:r>
            <w:r>
              <w:rPr>
                <w:noProof/>
                <w:sz w:val="22"/>
              </w:rPr>
              <w:br/>
            </w:r>
            <w:r>
              <w:rPr>
                <w:b/>
                <w:noProof/>
                <w:sz w:val="22"/>
              </w:rPr>
              <w:t>în cadrul RUBRICILOR 1-5</w:t>
            </w:r>
            <w:r>
              <w:rPr>
                <w:noProof/>
              </w:rPr>
              <w:br/>
            </w:r>
            <w:r>
              <w:rPr>
                <w:noProof/>
                <w:sz w:val="22"/>
              </w:rPr>
              <w:t>din cadrul financiar multianual</w:t>
            </w:r>
            <w:r>
              <w:rPr>
                <w:b/>
                <w:noProof/>
                <w:sz w:val="22"/>
              </w:rPr>
              <w:t xml:space="preserve"> </w:t>
            </w:r>
          </w:p>
        </w:tc>
        <w:tc>
          <w:tcPr>
            <w:tcW w:w="2094" w:type="dxa"/>
            <w:gridSpan w:val="2"/>
            <w:vAlign w:val="center"/>
          </w:tcPr>
          <w:p w:rsidR="00CC3EFF" w:rsidRDefault="00EC19A6">
            <w:pPr>
              <w:rPr>
                <w:noProof/>
                <w:sz w:val="14"/>
              </w:rPr>
            </w:pPr>
            <w:r>
              <w:rPr>
                <w:noProof/>
                <w:sz w:val="18"/>
              </w:rPr>
              <w:t>Angajamente</w:t>
            </w:r>
          </w:p>
        </w:tc>
        <w:tc>
          <w:tcPr>
            <w:tcW w:w="868" w:type="dxa"/>
            <w:vAlign w:val="center"/>
          </w:tcPr>
          <w:p w:rsidR="00CC3EFF" w:rsidRDefault="00EC19A6">
            <w:pPr>
              <w:spacing w:before="20" w:after="20"/>
              <w:jc w:val="right"/>
              <w:rPr>
                <w:noProof/>
              </w:rPr>
            </w:pPr>
            <w:r>
              <w:rPr>
                <w:noProof/>
              </w:rPr>
              <w:t>0,858</w:t>
            </w:r>
          </w:p>
        </w:tc>
        <w:tc>
          <w:tcPr>
            <w:tcW w:w="868" w:type="dxa"/>
            <w:vAlign w:val="center"/>
          </w:tcPr>
          <w:p w:rsidR="00CC3EFF" w:rsidRDefault="00EC19A6">
            <w:pPr>
              <w:spacing w:before="20" w:after="20"/>
              <w:jc w:val="right"/>
              <w:rPr>
                <w:noProof/>
              </w:rPr>
            </w:pPr>
            <w:r>
              <w:rPr>
                <w:noProof/>
              </w:rPr>
              <w:t>1,558</w:t>
            </w:r>
          </w:p>
        </w:tc>
        <w:tc>
          <w:tcPr>
            <w:tcW w:w="868" w:type="dxa"/>
            <w:vAlign w:val="center"/>
          </w:tcPr>
          <w:p w:rsidR="00CC3EFF" w:rsidRDefault="00EC19A6">
            <w:pPr>
              <w:spacing w:before="20" w:after="20"/>
              <w:jc w:val="right"/>
              <w:rPr>
                <w:noProof/>
              </w:rPr>
            </w:pPr>
            <w:r>
              <w:rPr>
                <w:noProof/>
              </w:rPr>
              <w:t>0,958</w:t>
            </w:r>
          </w:p>
        </w:tc>
        <w:tc>
          <w:tcPr>
            <w:tcW w:w="868" w:type="dxa"/>
            <w:vAlign w:val="center"/>
          </w:tcPr>
          <w:p w:rsidR="00CC3EFF" w:rsidRDefault="00EC19A6">
            <w:pPr>
              <w:spacing w:before="20" w:after="20"/>
              <w:jc w:val="right"/>
              <w:rPr>
                <w:noProof/>
              </w:rPr>
            </w:pPr>
            <w:r>
              <w:rPr>
                <w:noProof/>
              </w:rPr>
              <w:t>0,758</w:t>
            </w:r>
          </w:p>
        </w:tc>
        <w:tc>
          <w:tcPr>
            <w:tcW w:w="868" w:type="dxa"/>
            <w:vAlign w:val="center"/>
          </w:tcPr>
          <w:p w:rsidR="00CC3EFF" w:rsidRDefault="00EC19A6">
            <w:pPr>
              <w:spacing w:before="20" w:after="20"/>
              <w:jc w:val="right"/>
              <w:rPr>
                <w:noProof/>
              </w:rPr>
            </w:pPr>
            <w:r>
              <w:rPr>
                <w:noProof/>
              </w:rPr>
              <w:t>0,758</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CC3EFF">
            <w:pPr>
              <w:spacing w:before="20" w:after="20"/>
              <w:jc w:val="right"/>
              <w:rPr>
                <w:noProof/>
              </w:rPr>
            </w:pPr>
          </w:p>
        </w:tc>
      </w:tr>
      <w:tr w:rsidR="00CC3EFF">
        <w:tc>
          <w:tcPr>
            <w:tcW w:w="3960" w:type="dxa"/>
            <w:vMerge/>
            <w:shd w:val="clear" w:color="auto" w:fill="C0C0C0"/>
          </w:tcPr>
          <w:p w:rsidR="00CC3EFF" w:rsidRDefault="00CC3EFF">
            <w:pPr>
              <w:rPr>
                <w:noProof/>
                <w:sz w:val="20"/>
              </w:rPr>
            </w:pPr>
          </w:p>
        </w:tc>
        <w:tc>
          <w:tcPr>
            <w:tcW w:w="2094" w:type="dxa"/>
            <w:gridSpan w:val="2"/>
            <w:vAlign w:val="center"/>
          </w:tcPr>
          <w:p w:rsidR="00CC3EFF" w:rsidRDefault="00EC19A6">
            <w:pPr>
              <w:rPr>
                <w:noProof/>
                <w:sz w:val="14"/>
              </w:rPr>
            </w:pPr>
            <w:r>
              <w:rPr>
                <w:noProof/>
                <w:sz w:val="18"/>
              </w:rPr>
              <w:t>Plăți</w:t>
            </w:r>
          </w:p>
        </w:tc>
        <w:tc>
          <w:tcPr>
            <w:tcW w:w="868" w:type="dxa"/>
            <w:vAlign w:val="center"/>
          </w:tcPr>
          <w:p w:rsidR="00CC3EFF" w:rsidRDefault="00EC19A6">
            <w:pPr>
              <w:spacing w:before="20" w:after="20"/>
              <w:jc w:val="right"/>
              <w:rPr>
                <w:noProof/>
              </w:rPr>
            </w:pPr>
            <w:r>
              <w:rPr>
                <w:noProof/>
              </w:rPr>
              <w:t>0,558</w:t>
            </w:r>
          </w:p>
        </w:tc>
        <w:tc>
          <w:tcPr>
            <w:tcW w:w="868" w:type="dxa"/>
            <w:vAlign w:val="center"/>
          </w:tcPr>
          <w:p w:rsidR="00CC3EFF" w:rsidRDefault="00EC19A6">
            <w:pPr>
              <w:spacing w:before="20" w:after="20"/>
              <w:jc w:val="right"/>
              <w:rPr>
                <w:noProof/>
              </w:rPr>
            </w:pPr>
            <w:r>
              <w:rPr>
                <w:noProof/>
              </w:rPr>
              <w:t>0,858</w:t>
            </w:r>
          </w:p>
        </w:tc>
        <w:tc>
          <w:tcPr>
            <w:tcW w:w="868" w:type="dxa"/>
            <w:vAlign w:val="center"/>
          </w:tcPr>
          <w:p w:rsidR="00CC3EFF" w:rsidRDefault="00EC19A6">
            <w:pPr>
              <w:spacing w:before="20" w:after="20"/>
              <w:jc w:val="right"/>
              <w:rPr>
                <w:noProof/>
              </w:rPr>
            </w:pPr>
            <w:r>
              <w:rPr>
                <w:noProof/>
              </w:rPr>
              <w:t>1,558</w:t>
            </w:r>
          </w:p>
        </w:tc>
        <w:tc>
          <w:tcPr>
            <w:tcW w:w="868" w:type="dxa"/>
            <w:vAlign w:val="center"/>
          </w:tcPr>
          <w:p w:rsidR="00CC3EFF" w:rsidRDefault="00EC19A6">
            <w:pPr>
              <w:spacing w:before="20" w:after="20"/>
              <w:jc w:val="right"/>
              <w:rPr>
                <w:noProof/>
              </w:rPr>
            </w:pPr>
            <w:r>
              <w:rPr>
                <w:noProof/>
              </w:rPr>
              <w:t>0,958</w:t>
            </w:r>
          </w:p>
        </w:tc>
        <w:tc>
          <w:tcPr>
            <w:tcW w:w="868" w:type="dxa"/>
            <w:vAlign w:val="center"/>
          </w:tcPr>
          <w:p w:rsidR="00CC3EFF" w:rsidRDefault="00EC19A6">
            <w:pPr>
              <w:spacing w:before="20" w:after="20"/>
              <w:jc w:val="right"/>
              <w:rPr>
                <w:noProof/>
              </w:rPr>
            </w:pPr>
            <w:r>
              <w:rPr>
                <w:noProof/>
              </w:rPr>
              <w:t>0,758</w:t>
            </w:r>
          </w:p>
        </w:tc>
        <w:tc>
          <w:tcPr>
            <w:tcW w:w="868" w:type="dxa"/>
            <w:vAlign w:val="center"/>
          </w:tcPr>
          <w:p w:rsidR="00CC3EFF" w:rsidRDefault="00CC3EFF">
            <w:pPr>
              <w:spacing w:before="20" w:after="20"/>
              <w:jc w:val="right"/>
              <w:rPr>
                <w:noProof/>
              </w:rPr>
            </w:pPr>
          </w:p>
        </w:tc>
        <w:tc>
          <w:tcPr>
            <w:tcW w:w="868" w:type="dxa"/>
            <w:vAlign w:val="center"/>
          </w:tcPr>
          <w:p w:rsidR="00CC3EFF" w:rsidRDefault="00CC3EFF">
            <w:pPr>
              <w:spacing w:before="20" w:after="20"/>
              <w:jc w:val="right"/>
              <w:rPr>
                <w:noProof/>
              </w:rPr>
            </w:pPr>
          </w:p>
        </w:tc>
        <w:tc>
          <w:tcPr>
            <w:tcW w:w="1777" w:type="dxa"/>
            <w:vAlign w:val="center"/>
          </w:tcPr>
          <w:p w:rsidR="00CC3EFF" w:rsidRDefault="00CC3EFF">
            <w:pPr>
              <w:spacing w:before="20" w:after="20"/>
              <w:jc w:val="right"/>
              <w:rPr>
                <w:noProof/>
              </w:rPr>
            </w:pPr>
          </w:p>
        </w:tc>
      </w:tr>
    </w:tbl>
    <w:p w:rsidR="00CC3EFF" w:rsidRDefault="00CC3EFF">
      <w:pPr>
        <w:rPr>
          <w:noProof/>
        </w:rPr>
        <w:sectPr w:rsidR="00CC3EFF">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p>
    <w:p w:rsidR="00CC3EFF" w:rsidRDefault="00EC19A6">
      <w:pPr>
        <w:pStyle w:val="ManualHeading3"/>
        <w:rPr>
          <w:bCs/>
          <w:noProof/>
          <w:szCs w:val="24"/>
        </w:rPr>
      </w:pPr>
      <w:r>
        <w:t>3.2.2.</w:t>
      </w:r>
      <w:r>
        <w:tab/>
      </w:r>
      <w:r>
        <w:rPr>
          <w:noProof/>
        </w:rPr>
        <w:t xml:space="preserve">Impactul estimat asupra creditelor operaționale </w:t>
      </w:r>
    </w:p>
    <w:p w:rsidR="00CC3EFF" w:rsidRDefault="00EC19A6">
      <w:pPr>
        <w:pStyle w:val="ListDash1"/>
        <w:rPr>
          <w:noProof/>
        </w:rPr>
      </w:pPr>
      <w:r>
        <w:rPr>
          <w:noProof/>
        </w:rPr>
        <w:sym w:font="Wingdings" w:char="F0A8"/>
      </w:r>
      <w:r>
        <w:rPr>
          <w:noProof/>
        </w:rPr>
        <w:tab/>
        <w:t xml:space="preserve">Propunerea/inițiativa nu implică utilizarea de credite operaționale </w:t>
      </w:r>
    </w:p>
    <w:p w:rsidR="00CC3EFF" w:rsidRDefault="00EC19A6">
      <w:pPr>
        <w:pStyle w:val="ListDash1"/>
        <w:rPr>
          <w:noProof/>
        </w:rPr>
      </w:pPr>
      <w:r>
        <w:rPr>
          <w:noProof/>
        </w:rPr>
        <w:sym w:font="Wingdings" w:char="F0FD"/>
      </w:r>
      <w:r>
        <w:rPr>
          <w:noProof/>
        </w:rPr>
        <w:tab/>
        <w:t xml:space="preserve">Propunerea/inițiativa implică utilizarea de </w:t>
      </w:r>
      <w:r>
        <w:rPr>
          <w:noProof/>
        </w:rPr>
        <w:t>credite operaționale, conform explicațiilor de mai jos:</w:t>
      </w:r>
    </w:p>
    <w:p w:rsidR="00CC3EFF" w:rsidRDefault="00EC19A6">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CC3EFF">
        <w:trPr>
          <w:jc w:val="center"/>
        </w:trPr>
        <w:tc>
          <w:tcPr>
            <w:tcW w:w="1423" w:type="dxa"/>
            <w:vMerge w:val="restart"/>
            <w:vAlign w:val="center"/>
          </w:tcPr>
          <w:p w:rsidR="00CC3EFF" w:rsidRDefault="00EC19A6">
            <w:pPr>
              <w:ind w:right="-29"/>
              <w:jc w:val="center"/>
              <w:rPr>
                <w:b/>
                <w:noProof/>
                <w:sz w:val="18"/>
                <w:szCs w:val="18"/>
              </w:rPr>
            </w:pPr>
            <w:r>
              <w:rPr>
                <w:b/>
                <w:noProof/>
                <w:sz w:val="18"/>
              </w:rPr>
              <w:t xml:space="preserve">A se indica obiectivele și realizările </w:t>
            </w:r>
          </w:p>
          <w:p w:rsidR="00CC3EFF" w:rsidRDefault="00CC3EFF">
            <w:pPr>
              <w:ind w:right="-29"/>
              <w:jc w:val="center"/>
              <w:rPr>
                <w:b/>
                <w:noProof/>
                <w:sz w:val="18"/>
                <w:szCs w:val="18"/>
              </w:rPr>
            </w:pPr>
          </w:p>
          <w:p w:rsidR="00CC3EFF" w:rsidRDefault="00EC19A6">
            <w:pPr>
              <w:ind w:right="-29"/>
              <w:jc w:val="center"/>
              <w:rPr>
                <w:noProof/>
                <w:sz w:val="18"/>
                <w:szCs w:val="18"/>
              </w:rPr>
            </w:pPr>
            <w:r>
              <w:rPr>
                <w:noProof/>
                <w:sz w:val="18"/>
              </w:rPr>
              <w:sym w:font="Wingdings" w:char="F0F2"/>
            </w:r>
          </w:p>
        </w:tc>
        <w:tc>
          <w:tcPr>
            <w:tcW w:w="720" w:type="dxa"/>
            <w:vAlign w:val="center"/>
          </w:tcPr>
          <w:p w:rsidR="00CC3EFF" w:rsidRDefault="00CC3EFF">
            <w:pPr>
              <w:ind w:right="-29"/>
              <w:jc w:val="center"/>
              <w:rPr>
                <w:noProof/>
                <w:sz w:val="18"/>
                <w:szCs w:val="18"/>
              </w:rPr>
            </w:pPr>
          </w:p>
        </w:tc>
        <w:tc>
          <w:tcPr>
            <w:tcW w:w="701" w:type="dxa"/>
            <w:vAlign w:val="center"/>
          </w:tcPr>
          <w:p w:rsidR="00CC3EFF" w:rsidRDefault="00CC3EFF">
            <w:pPr>
              <w:ind w:right="-29"/>
              <w:jc w:val="center"/>
              <w:rPr>
                <w:noProof/>
                <w:sz w:val="18"/>
                <w:szCs w:val="18"/>
              </w:rPr>
            </w:pPr>
          </w:p>
        </w:tc>
        <w:tc>
          <w:tcPr>
            <w:tcW w:w="1224" w:type="dxa"/>
            <w:gridSpan w:val="2"/>
            <w:tcBorders>
              <w:left w:val="nil"/>
            </w:tcBorders>
            <w:vAlign w:val="center"/>
          </w:tcPr>
          <w:p w:rsidR="00CC3EFF" w:rsidRDefault="00EC19A6">
            <w:pPr>
              <w:ind w:right="-29"/>
              <w:jc w:val="center"/>
              <w:rPr>
                <w:noProof/>
                <w:sz w:val="18"/>
                <w:szCs w:val="18"/>
              </w:rPr>
            </w:pPr>
            <w:r>
              <w:rPr>
                <w:noProof/>
                <w:sz w:val="18"/>
                <w:szCs w:val="18"/>
              </w:rPr>
              <w:t>Anul</w:t>
            </w:r>
            <w:r>
              <w:rPr>
                <w:noProof/>
              </w:rPr>
              <w:t xml:space="preserve"> </w:t>
            </w:r>
            <w:r>
              <w:rPr>
                <w:b/>
                <w:noProof/>
                <w:sz w:val="18"/>
              </w:rPr>
              <w:t>2016</w:t>
            </w:r>
          </w:p>
        </w:tc>
        <w:tc>
          <w:tcPr>
            <w:tcW w:w="1260" w:type="dxa"/>
            <w:gridSpan w:val="2"/>
            <w:vAlign w:val="center"/>
          </w:tcPr>
          <w:p w:rsidR="00CC3EFF" w:rsidRDefault="00EC19A6">
            <w:pPr>
              <w:ind w:right="-29"/>
              <w:jc w:val="center"/>
              <w:rPr>
                <w:noProof/>
                <w:sz w:val="18"/>
                <w:szCs w:val="18"/>
              </w:rPr>
            </w:pPr>
            <w:r>
              <w:rPr>
                <w:noProof/>
                <w:sz w:val="18"/>
                <w:szCs w:val="18"/>
              </w:rPr>
              <w:t>Anul</w:t>
            </w:r>
            <w:r>
              <w:rPr>
                <w:noProof/>
              </w:rPr>
              <w:t xml:space="preserve"> </w:t>
            </w:r>
            <w:r>
              <w:rPr>
                <w:b/>
                <w:noProof/>
                <w:sz w:val="18"/>
              </w:rPr>
              <w:t>2017</w:t>
            </w:r>
          </w:p>
        </w:tc>
        <w:tc>
          <w:tcPr>
            <w:tcW w:w="1440" w:type="dxa"/>
            <w:gridSpan w:val="2"/>
            <w:vAlign w:val="center"/>
          </w:tcPr>
          <w:p w:rsidR="00CC3EFF" w:rsidRDefault="00EC19A6">
            <w:pPr>
              <w:ind w:right="-29"/>
              <w:jc w:val="center"/>
              <w:rPr>
                <w:noProof/>
                <w:sz w:val="18"/>
                <w:szCs w:val="18"/>
              </w:rPr>
            </w:pPr>
            <w:r>
              <w:rPr>
                <w:noProof/>
                <w:sz w:val="18"/>
                <w:szCs w:val="18"/>
              </w:rPr>
              <w:t>Anul</w:t>
            </w:r>
            <w:r>
              <w:rPr>
                <w:noProof/>
              </w:rPr>
              <w:t xml:space="preserve"> </w:t>
            </w:r>
            <w:r>
              <w:rPr>
                <w:b/>
                <w:noProof/>
                <w:sz w:val="18"/>
              </w:rPr>
              <w:t>2018</w:t>
            </w:r>
          </w:p>
        </w:tc>
        <w:tc>
          <w:tcPr>
            <w:tcW w:w="1620" w:type="dxa"/>
            <w:gridSpan w:val="3"/>
            <w:vAlign w:val="center"/>
          </w:tcPr>
          <w:p w:rsidR="00CC3EFF" w:rsidRDefault="00EC19A6">
            <w:pPr>
              <w:ind w:right="-29"/>
              <w:jc w:val="center"/>
              <w:rPr>
                <w:noProof/>
                <w:sz w:val="18"/>
                <w:szCs w:val="18"/>
              </w:rPr>
            </w:pPr>
            <w:r>
              <w:rPr>
                <w:noProof/>
                <w:sz w:val="18"/>
                <w:szCs w:val="18"/>
              </w:rPr>
              <w:t>Anul</w:t>
            </w:r>
            <w:r>
              <w:rPr>
                <w:noProof/>
              </w:rPr>
              <w:t xml:space="preserve"> </w:t>
            </w:r>
            <w:r>
              <w:rPr>
                <w:b/>
                <w:noProof/>
                <w:sz w:val="18"/>
              </w:rPr>
              <w:t>2019</w:t>
            </w:r>
          </w:p>
        </w:tc>
        <w:tc>
          <w:tcPr>
            <w:tcW w:w="3600" w:type="dxa"/>
            <w:gridSpan w:val="6"/>
            <w:vAlign w:val="center"/>
          </w:tcPr>
          <w:p w:rsidR="00CC3EFF" w:rsidRDefault="00EC19A6">
            <w:pPr>
              <w:jc w:val="center"/>
              <w:rPr>
                <w:noProof/>
                <w:sz w:val="18"/>
                <w:szCs w:val="18"/>
              </w:rPr>
            </w:pPr>
            <w:r>
              <w:rPr>
                <w:noProof/>
                <w:sz w:val="18"/>
              </w:rPr>
              <w:t>2020</w:t>
            </w:r>
          </w:p>
        </w:tc>
        <w:tc>
          <w:tcPr>
            <w:tcW w:w="1620" w:type="dxa"/>
            <w:gridSpan w:val="2"/>
            <w:tcBorders>
              <w:left w:val="nil"/>
              <w:bottom w:val="nil"/>
            </w:tcBorders>
            <w:vAlign w:val="center"/>
          </w:tcPr>
          <w:p w:rsidR="00CC3EFF" w:rsidRDefault="00EC19A6">
            <w:pPr>
              <w:ind w:right="-29"/>
              <w:jc w:val="center"/>
              <w:rPr>
                <w:noProof/>
                <w:sz w:val="18"/>
                <w:szCs w:val="18"/>
              </w:rPr>
            </w:pPr>
            <w:r>
              <w:rPr>
                <w:b/>
                <w:noProof/>
                <w:sz w:val="18"/>
              </w:rPr>
              <w:t>TOTAL</w:t>
            </w:r>
          </w:p>
        </w:tc>
      </w:tr>
      <w:tr w:rsidR="00CC3EFF">
        <w:trPr>
          <w:jc w:val="center"/>
        </w:trPr>
        <w:tc>
          <w:tcPr>
            <w:tcW w:w="1423" w:type="dxa"/>
            <w:vMerge/>
            <w:vAlign w:val="center"/>
          </w:tcPr>
          <w:p w:rsidR="00CC3EFF" w:rsidRDefault="00CC3EFF">
            <w:pPr>
              <w:ind w:right="-29"/>
              <w:jc w:val="center"/>
              <w:rPr>
                <w:noProof/>
                <w:sz w:val="18"/>
                <w:szCs w:val="18"/>
              </w:rPr>
            </w:pPr>
          </w:p>
        </w:tc>
        <w:tc>
          <w:tcPr>
            <w:tcW w:w="12185" w:type="dxa"/>
            <w:gridSpan w:val="19"/>
            <w:vAlign w:val="center"/>
          </w:tcPr>
          <w:p w:rsidR="00CC3EFF" w:rsidRDefault="00EC19A6">
            <w:pPr>
              <w:spacing w:before="60" w:after="60"/>
              <w:ind w:right="-29"/>
              <w:jc w:val="center"/>
              <w:rPr>
                <w:noProof/>
                <w:sz w:val="18"/>
                <w:szCs w:val="18"/>
              </w:rPr>
            </w:pPr>
            <w:r>
              <w:rPr>
                <w:b/>
                <w:noProof/>
                <w:sz w:val="18"/>
              </w:rPr>
              <w:t>REALIZĂRI</w:t>
            </w:r>
          </w:p>
        </w:tc>
      </w:tr>
      <w:tr w:rsidR="00CC3EFF">
        <w:trPr>
          <w:cantSplit/>
          <w:trHeight w:val="1134"/>
          <w:jc w:val="center"/>
        </w:trPr>
        <w:tc>
          <w:tcPr>
            <w:tcW w:w="1423" w:type="dxa"/>
            <w:vMerge/>
            <w:vAlign w:val="center"/>
          </w:tcPr>
          <w:p w:rsidR="00CC3EFF" w:rsidRDefault="00CC3EFF">
            <w:pPr>
              <w:rPr>
                <w:noProof/>
                <w:sz w:val="18"/>
                <w:szCs w:val="18"/>
              </w:rPr>
            </w:pPr>
          </w:p>
        </w:tc>
        <w:tc>
          <w:tcPr>
            <w:tcW w:w="720" w:type="dxa"/>
            <w:vAlign w:val="center"/>
          </w:tcPr>
          <w:p w:rsidR="00CC3EFF" w:rsidRDefault="00EC19A6">
            <w:pPr>
              <w:jc w:val="center"/>
              <w:rPr>
                <w:noProof/>
                <w:sz w:val="18"/>
                <w:szCs w:val="18"/>
              </w:rPr>
            </w:pPr>
            <w:r>
              <w:rPr>
                <w:noProof/>
                <w:sz w:val="18"/>
              </w:rPr>
              <w:t>Tip</w:t>
            </w:r>
            <w:r>
              <w:rPr>
                <w:rStyle w:val="FootnoteReference"/>
                <w:noProof/>
                <w:sz w:val="18"/>
              </w:rPr>
              <w:footnoteReference w:id="24"/>
            </w:r>
          </w:p>
          <w:p w:rsidR="00CC3EFF" w:rsidRDefault="00CC3EFF">
            <w:pPr>
              <w:spacing w:before="0" w:after="0"/>
              <w:jc w:val="center"/>
              <w:rPr>
                <w:noProof/>
                <w:sz w:val="18"/>
                <w:szCs w:val="18"/>
              </w:rPr>
            </w:pPr>
          </w:p>
        </w:tc>
        <w:tc>
          <w:tcPr>
            <w:tcW w:w="701" w:type="dxa"/>
            <w:vAlign w:val="center"/>
          </w:tcPr>
          <w:p w:rsidR="00CC3EFF" w:rsidRDefault="00EC19A6">
            <w:pPr>
              <w:jc w:val="center"/>
              <w:rPr>
                <w:noProof/>
                <w:sz w:val="18"/>
                <w:szCs w:val="18"/>
              </w:rPr>
            </w:pPr>
            <w:r>
              <w:rPr>
                <w:noProof/>
                <w:sz w:val="18"/>
              </w:rPr>
              <w:t>Costuri medii</w:t>
            </w:r>
          </w:p>
        </w:tc>
        <w:tc>
          <w:tcPr>
            <w:tcW w:w="504" w:type="dxa"/>
            <w:tcBorders>
              <w:left w:val="nil"/>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gridSpan w:val="2"/>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648"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CC3EFF" w:rsidRDefault="00EC19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CC3EFF" w:rsidRDefault="00EC19A6">
            <w:pPr>
              <w:jc w:val="center"/>
              <w:rPr>
                <w:noProof/>
                <w:sz w:val="18"/>
                <w:szCs w:val="18"/>
              </w:rPr>
            </w:pPr>
            <w:r>
              <w:rPr>
                <w:noProof/>
                <w:sz w:val="18"/>
              </w:rPr>
              <w:t>Nr. total</w:t>
            </w:r>
          </w:p>
        </w:tc>
        <w:tc>
          <w:tcPr>
            <w:tcW w:w="900" w:type="dxa"/>
            <w:tcBorders>
              <w:left w:val="dashSmallGap" w:sz="4" w:space="0" w:color="auto"/>
            </w:tcBorders>
            <w:shd w:val="pct10" w:color="auto" w:fill="auto"/>
            <w:vAlign w:val="center"/>
          </w:tcPr>
          <w:p w:rsidR="00CC3EFF" w:rsidRDefault="00EC19A6">
            <w:pPr>
              <w:jc w:val="center"/>
              <w:rPr>
                <w:noProof/>
                <w:sz w:val="18"/>
                <w:szCs w:val="18"/>
              </w:rPr>
            </w:pPr>
            <w:r>
              <w:rPr>
                <w:noProof/>
                <w:sz w:val="18"/>
              </w:rPr>
              <w:t>Costuri totale</w:t>
            </w:r>
          </w:p>
        </w:tc>
      </w:tr>
      <w:tr w:rsidR="00CC3EFF">
        <w:trPr>
          <w:jc w:val="center"/>
        </w:trPr>
        <w:tc>
          <w:tcPr>
            <w:tcW w:w="2844" w:type="dxa"/>
            <w:gridSpan w:val="3"/>
            <w:vAlign w:val="center"/>
          </w:tcPr>
          <w:p w:rsidR="00CC3EFF" w:rsidRDefault="00EC19A6">
            <w:pPr>
              <w:spacing w:before="60" w:after="60"/>
              <w:ind w:right="-29"/>
              <w:jc w:val="center"/>
              <w:rPr>
                <w:noProof/>
                <w:sz w:val="18"/>
                <w:szCs w:val="18"/>
              </w:rPr>
            </w:pPr>
            <w:r>
              <w:rPr>
                <w:noProof/>
                <w:sz w:val="18"/>
              </w:rPr>
              <w:t>OBIECTIVUL SPECIFIC NR. 1</w:t>
            </w:r>
            <w:r>
              <w:rPr>
                <w:rStyle w:val="FootnoteReference"/>
                <w:noProof/>
                <w:sz w:val="18"/>
              </w:rPr>
              <w:footnoteReference w:id="25"/>
            </w:r>
          </w:p>
        </w:tc>
        <w:tc>
          <w:tcPr>
            <w:tcW w:w="504"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90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gridSpan w:val="2"/>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648" w:type="dxa"/>
            <w:tcBorders>
              <w:top w:val="nil"/>
              <w:left w:val="nil"/>
              <w:bottom w:val="nil"/>
              <w:right w:val="nil"/>
            </w:tcBorders>
          </w:tcPr>
          <w:p w:rsidR="00CC3EFF" w:rsidRDefault="00CC3EFF">
            <w:pPr>
              <w:spacing w:before="60" w:after="60"/>
              <w:ind w:right="-29"/>
              <w:jc w:val="center"/>
              <w:rPr>
                <w:noProof/>
                <w:sz w:val="18"/>
                <w:szCs w:val="18"/>
              </w:rPr>
            </w:pPr>
          </w:p>
        </w:tc>
        <w:tc>
          <w:tcPr>
            <w:tcW w:w="432"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900" w:type="dxa"/>
            <w:tcBorders>
              <w:top w:val="nil"/>
              <w:left w:val="nil"/>
              <w:bottom w:val="nil"/>
              <w:right w:val="nil"/>
            </w:tcBorders>
          </w:tcPr>
          <w:p w:rsidR="00CC3EFF" w:rsidRDefault="00CC3EFF">
            <w:pPr>
              <w:spacing w:before="60" w:after="60"/>
              <w:ind w:right="-29"/>
              <w:jc w:val="center"/>
              <w:rPr>
                <w:noProof/>
                <w:sz w:val="18"/>
                <w:szCs w:val="18"/>
              </w:rPr>
            </w:pPr>
          </w:p>
        </w:tc>
      </w:tr>
      <w:tr w:rsidR="00CC3EFF">
        <w:trPr>
          <w:trHeight w:hRule="exact" w:val="369"/>
          <w:jc w:val="center"/>
        </w:trPr>
        <w:tc>
          <w:tcPr>
            <w:tcW w:w="1423" w:type="dxa"/>
          </w:tcPr>
          <w:p w:rsidR="00CC3EFF" w:rsidRDefault="00EC19A6">
            <w:pPr>
              <w:ind w:right="-29"/>
              <w:jc w:val="center"/>
              <w:rPr>
                <w:noProof/>
                <w:sz w:val="18"/>
                <w:szCs w:val="18"/>
              </w:rPr>
            </w:pPr>
            <w:r>
              <w:rPr>
                <w:noProof/>
                <w:sz w:val="18"/>
              </w:rPr>
              <w:t>- Realizare</w:t>
            </w:r>
          </w:p>
        </w:tc>
        <w:tc>
          <w:tcPr>
            <w:tcW w:w="720" w:type="dxa"/>
          </w:tcPr>
          <w:p w:rsidR="00CC3EFF" w:rsidRDefault="00CC3EFF">
            <w:pPr>
              <w:ind w:right="-29"/>
              <w:jc w:val="center"/>
              <w:rPr>
                <w:noProof/>
                <w:sz w:val="18"/>
                <w:szCs w:val="18"/>
              </w:rPr>
            </w:pPr>
          </w:p>
        </w:tc>
        <w:tc>
          <w:tcPr>
            <w:tcW w:w="701" w:type="dxa"/>
          </w:tcPr>
          <w:p w:rsidR="00CC3EFF" w:rsidRDefault="00CC3EFF">
            <w:pPr>
              <w:ind w:right="-29"/>
              <w:jc w:val="center"/>
              <w:rPr>
                <w:noProof/>
                <w:sz w:val="18"/>
                <w:szCs w:val="18"/>
              </w:rPr>
            </w:pPr>
          </w:p>
        </w:tc>
        <w:tc>
          <w:tcPr>
            <w:tcW w:w="504"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72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900" w:type="dxa"/>
            <w:tcBorders>
              <w:right w:val="dashSmallGap" w:sz="4" w:space="0" w:color="auto"/>
            </w:tcBorders>
          </w:tcPr>
          <w:p w:rsidR="00CC3EFF" w:rsidRDefault="00CC3EFF">
            <w:pPr>
              <w:ind w:right="-29"/>
              <w:jc w:val="center"/>
              <w:rPr>
                <w:noProof/>
                <w:sz w:val="18"/>
                <w:szCs w:val="18"/>
              </w:rPr>
            </w:pPr>
          </w:p>
        </w:tc>
        <w:tc>
          <w:tcPr>
            <w:tcW w:w="720" w:type="dxa"/>
            <w:gridSpan w:val="2"/>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648" w:type="dxa"/>
            <w:tcBorders>
              <w:left w:val="dashSmallGap" w:sz="4" w:space="0" w:color="auto"/>
            </w:tcBorders>
          </w:tcPr>
          <w:p w:rsidR="00CC3EFF" w:rsidRDefault="00CC3EFF">
            <w:pPr>
              <w:ind w:right="-29"/>
              <w:jc w:val="center"/>
              <w:rPr>
                <w:noProof/>
                <w:sz w:val="18"/>
                <w:szCs w:val="18"/>
              </w:rPr>
            </w:pPr>
          </w:p>
        </w:tc>
        <w:tc>
          <w:tcPr>
            <w:tcW w:w="432"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r>
      <w:tr w:rsidR="00CC3EFF">
        <w:trPr>
          <w:trHeight w:hRule="exact" w:val="369"/>
          <w:jc w:val="center"/>
        </w:trPr>
        <w:tc>
          <w:tcPr>
            <w:tcW w:w="1423" w:type="dxa"/>
          </w:tcPr>
          <w:p w:rsidR="00CC3EFF" w:rsidRDefault="00EC19A6">
            <w:pPr>
              <w:ind w:right="-29"/>
              <w:jc w:val="center"/>
              <w:rPr>
                <w:noProof/>
                <w:sz w:val="18"/>
                <w:szCs w:val="18"/>
              </w:rPr>
            </w:pPr>
            <w:r>
              <w:rPr>
                <w:noProof/>
                <w:sz w:val="18"/>
              </w:rPr>
              <w:t>- Realizare</w:t>
            </w:r>
          </w:p>
        </w:tc>
        <w:tc>
          <w:tcPr>
            <w:tcW w:w="720" w:type="dxa"/>
          </w:tcPr>
          <w:p w:rsidR="00CC3EFF" w:rsidRDefault="00CC3EFF">
            <w:pPr>
              <w:ind w:right="-29"/>
              <w:jc w:val="center"/>
              <w:rPr>
                <w:noProof/>
                <w:sz w:val="18"/>
                <w:szCs w:val="18"/>
              </w:rPr>
            </w:pPr>
          </w:p>
        </w:tc>
        <w:tc>
          <w:tcPr>
            <w:tcW w:w="701" w:type="dxa"/>
          </w:tcPr>
          <w:p w:rsidR="00CC3EFF" w:rsidRDefault="00CC3EFF">
            <w:pPr>
              <w:ind w:right="-29"/>
              <w:jc w:val="center"/>
              <w:rPr>
                <w:noProof/>
                <w:sz w:val="18"/>
                <w:szCs w:val="18"/>
              </w:rPr>
            </w:pPr>
          </w:p>
        </w:tc>
        <w:tc>
          <w:tcPr>
            <w:tcW w:w="504"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72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900" w:type="dxa"/>
            <w:tcBorders>
              <w:right w:val="dashSmallGap" w:sz="4" w:space="0" w:color="auto"/>
            </w:tcBorders>
          </w:tcPr>
          <w:p w:rsidR="00CC3EFF" w:rsidRDefault="00CC3EFF">
            <w:pPr>
              <w:ind w:right="-29"/>
              <w:jc w:val="center"/>
              <w:rPr>
                <w:noProof/>
                <w:sz w:val="18"/>
                <w:szCs w:val="18"/>
              </w:rPr>
            </w:pPr>
          </w:p>
        </w:tc>
        <w:tc>
          <w:tcPr>
            <w:tcW w:w="720" w:type="dxa"/>
            <w:gridSpan w:val="2"/>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648" w:type="dxa"/>
            <w:tcBorders>
              <w:left w:val="dashSmallGap" w:sz="4" w:space="0" w:color="auto"/>
            </w:tcBorders>
          </w:tcPr>
          <w:p w:rsidR="00CC3EFF" w:rsidRDefault="00CC3EFF">
            <w:pPr>
              <w:ind w:right="-29"/>
              <w:jc w:val="center"/>
              <w:rPr>
                <w:noProof/>
                <w:sz w:val="18"/>
                <w:szCs w:val="18"/>
              </w:rPr>
            </w:pPr>
          </w:p>
        </w:tc>
        <w:tc>
          <w:tcPr>
            <w:tcW w:w="432"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540" w:type="dxa"/>
            <w:tcBorders>
              <w:right w:val="dashSmallGap" w:sz="4" w:space="0" w:color="auto"/>
            </w:tcBorders>
          </w:tcPr>
          <w:p w:rsidR="00CC3EFF" w:rsidRDefault="00CC3EFF">
            <w:pPr>
              <w:ind w:right="-29"/>
              <w:jc w:val="center"/>
              <w:rPr>
                <w:noProof/>
                <w:sz w:val="18"/>
                <w:szCs w:val="18"/>
              </w:rPr>
            </w:pPr>
          </w:p>
        </w:tc>
        <w:tc>
          <w:tcPr>
            <w:tcW w:w="720" w:type="dxa"/>
            <w:tcBorders>
              <w:left w:val="dashSmallGap" w:sz="4" w:space="0" w:color="auto"/>
            </w:tcBorders>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r>
      <w:tr w:rsidR="00CC3EFF">
        <w:trPr>
          <w:trHeight w:hRule="exact" w:val="369"/>
          <w:jc w:val="center"/>
        </w:trPr>
        <w:tc>
          <w:tcPr>
            <w:tcW w:w="1423" w:type="dxa"/>
          </w:tcPr>
          <w:p w:rsidR="00CC3EFF" w:rsidRDefault="00EC19A6">
            <w:pPr>
              <w:ind w:right="-29"/>
              <w:jc w:val="center"/>
              <w:rPr>
                <w:noProof/>
                <w:sz w:val="18"/>
                <w:szCs w:val="18"/>
              </w:rPr>
            </w:pPr>
            <w:r>
              <w:rPr>
                <w:noProof/>
                <w:sz w:val="18"/>
              </w:rPr>
              <w:t>- Realizare</w:t>
            </w:r>
          </w:p>
        </w:tc>
        <w:tc>
          <w:tcPr>
            <w:tcW w:w="720" w:type="dxa"/>
          </w:tcPr>
          <w:p w:rsidR="00CC3EFF" w:rsidRDefault="00CC3EFF">
            <w:pPr>
              <w:ind w:right="-29"/>
              <w:jc w:val="center"/>
              <w:rPr>
                <w:noProof/>
                <w:sz w:val="18"/>
                <w:szCs w:val="18"/>
              </w:rPr>
            </w:pPr>
          </w:p>
        </w:tc>
        <w:tc>
          <w:tcPr>
            <w:tcW w:w="701" w:type="dxa"/>
          </w:tcPr>
          <w:p w:rsidR="00CC3EFF" w:rsidRDefault="00CC3EFF">
            <w:pPr>
              <w:ind w:right="-29"/>
              <w:jc w:val="center"/>
              <w:rPr>
                <w:noProof/>
                <w:sz w:val="18"/>
                <w:szCs w:val="18"/>
              </w:rPr>
            </w:pPr>
          </w:p>
        </w:tc>
        <w:tc>
          <w:tcPr>
            <w:tcW w:w="504"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c>
          <w:tcPr>
            <w:tcW w:w="720" w:type="dxa"/>
            <w:gridSpan w:val="2"/>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648" w:type="dxa"/>
          </w:tcPr>
          <w:p w:rsidR="00CC3EFF" w:rsidRDefault="00CC3EFF">
            <w:pPr>
              <w:ind w:right="-29"/>
              <w:jc w:val="center"/>
              <w:rPr>
                <w:noProof/>
                <w:sz w:val="18"/>
                <w:szCs w:val="18"/>
              </w:rPr>
            </w:pPr>
          </w:p>
        </w:tc>
        <w:tc>
          <w:tcPr>
            <w:tcW w:w="432"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r>
      <w:tr w:rsidR="00CC3EFF">
        <w:trPr>
          <w:jc w:val="center"/>
        </w:trPr>
        <w:tc>
          <w:tcPr>
            <w:tcW w:w="2844" w:type="dxa"/>
            <w:gridSpan w:val="3"/>
            <w:tcBorders>
              <w:bottom w:val="single" w:sz="12" w:space="0" w:color="auto"/>
            </w:tcBorders>
            <w:vAlign w:val="center"/>
          </w:tcPr>
          <w:p w:rsidR="00CC3EFF" w:rsidRDefault="00EC19A6">
            <w:pPr>
              <w:ind w:right="-29"/>
              <w:jc w:val="center"/>
              <w:rPr>
                <w:noProof/>
                <w:sz w:val="18"/>
                <w:szCs w:val="18"/>
              </w:rPr>
            </w:pPr>
            <w:r>
              <w:rPr>
                <w:noProof/>
                <w:sz w:val="18"/>
              </w:rPr>
              <w:t>Subtotal pentru obiectivul specific nr. 1</w:t>
            </w:r>
          </w:p>
        </w:tc>
        <w:tc>
          <w:tcPr>
            <w:tcW w:w="504"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900" w:type="dxa"/>
            <w:tcBorders>
              <w:bottom w:val="single" w:sz="12" w:space="0" w:color="auto"/>
            </w:tcBorders>
          </w:tcPr>
          <w:p w:rsidR="00CC3EFF" w:rsidRDefault="00CC3EFF">
            <w:pPr>
              <w:ind w:right="-29"/>
              <w:jc w:val="center"/>
              <w:rPr>
                <w:noProof/>
                <w:sz w:val="18"/>
                <w:szCs w:val="18"/>
              </w:rPr>
            </w:pPr>
          </w:p>
        </w:tc>
        <w:tc>
          <w:tcPr>
            <w:tcW w:w="720" w:type="dxa"/>
            <w:gridSpan w:val="2"/>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648" w:type="dxa"/>
            <w:tcBorders>
              <w:bottom w:val="single" w:sz="12" w:space="0" w:color="auto"/>
            </w:tcBorders>
          </w:tcPr>
          <w:p w:rsidR="00CC3EFF" w:rsidRDefault="00CC3EFF">
            <w:pPr>
              <w:ind w:right="-29"/>
              <w:jc w:val="center"/>
              <w:rPr>
                <w:noProof/>
                <w:sz w:val="18"/>
                <w:szCs w:val="18"/>
              </w:rPr>
            </w:pPr>
          </w:p>
        </w:tc>
        <w:tc>
          <w:tcPr>
            <w:tcW w:w="432"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900" w:type="dxa"/>
            <w:tcBorders>
              <w:bottom w:val="single" w:sz="12" w:space="0" w:color="auto"/>
            </w:tcBorders>
          </w:tcPr>
          <w:p w:rsidR="00CC3EFF" w:rsidRDefault="00CC3EFF">
            <w:pPr>
              <w:ind w:right="-29"/>
              <w:jc w:val="center"/>
              <w:rPr>
                <w:noProof/>
                <w:sz w:val="18"/>
                <w:szCs w:val="18"/>
              </w:rPr>
            </w:pPr>
          </w:p>
        </w:tc>
      </w:tr>
      <w:tr w:rsidR="00CC3EFF">
        <w:trPr>
          <w:jc w:val="center"/>
        </w:trPr>
        <w:tc>
          <w:tcPr>
            <w:tcW w:w="2844" w:type="dxa"/>
            <w:gridSpan w:val="3"/>
            <w:vAlign w:val="center"/>
          </w:tcPr>
          <w:p w:rsidR="00CC3EFF" w:rsidRDefault="00EC19A6">
            <w:pPr>
              <w:spacing w:before="60" w:after="60"/>
              <w:ind w:right="-29"/>
              <w:jc w:val="center"/>
              <w:rPr>
                <w:noProof/>
                <w:sz w:val="18"/>
                <w:szCs w:val="18"/>
              </w:rPr>
            </w:pPr>
            <w:r>
              <w:rPr>
                <w:noProof/>
                <w:sz w:val="18"/>
              </w:rPr>
              <w:t>OBIECTIVUL SPECIFIC NR. 2…</w:t>
            </w:r>
          </w:p>
        </w:tc>
        <w:tc>
          <w:tcPr>
            <w:tcW w:w="504"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90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gridSpan w:val="2"/>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648" w:type="dxa"/>
            <w:tcBorders>
              <w:top w:val="nil"/>
              <w:left w:val="nil"/>
              <w:bottom w:val="nil"/>
              <w:right w:val="nil"/>
            </w:tcBorders>
          </w:tcPr>
          <w:p w:rsidR="00CC3EFF" w:rsidRDefault="00CC3EFF">
            <w:pPr>
              <w:spacing w:before="60" w:after="60"/>
              <w:ind w:right="-29"/>
              <w:jc w:val="center"/>
              <w:rPr>
                <w:noProof/>
                <w:sz w:val="18"/>
                <w:szCs w:val="18"/>
              </w:rPr>
            </w:pPr>
          </w:p>
        </w:tc>
        <w:tc>
          <w:tcPr>
            <w:tcW w:w="432"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54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720" w:type="dxa"/>
            <w:tcBorders>
              <w:top w:val="nil"/>
              <w:left w:val="nil"/>
              <w:bottom w:val="nil"/>
              <w:right w:val="nil"/>
            </w:tcBorders>
          </w:tcPr>
          <w:p w:rsidR="00CC3EFF" w:rsidRDefault="00CC3EFF">
            <w:pPr>
              <w:spacing w:before="60" w:after="60"/>
              <w:ind w:right="-29"/>
              <w:jc w:val="center"/>
              <w:rPr>
                <w:noProof/>
                <w:sz w:val="18"/>
                <w:szCs w:val="18"/>
              </w:rPr>
            </w:pPr>
          </w:p>
        </w:tc>
        <w:tc>
          <w:tcPr>
            <w:tcW w:w="900" w:type="dxa"/>
            <w:tcBorders>
              <w:top w:val="nil"/>
              <w:left w:val="nil"/>
              <w:bottom w:val="nil"/>
              <w:right w:val="nil"/>
            </w:tcBorders>
          </w:tcPr>
          <w:p w:rsidR="00CC3EFF" w:rsidRDefault="00CC3EFF">
            <w:pPr>
              <w:spacing w:before="60" w:after="60"/>
              <w:ind w:right="-29"/>
              <w:jc w:val="center"/>
              <w:rPr>
                <w:noProof/>
                <w:sz w:val="18"/>
                <w:szCs w:val="18"/>
              </w:rPr>
            </w:pPr>
          </w:p>
        </w:tc>
      </w:tr>
      <w:tr w:rsidR="00CC3EFF">
        <w:trPr>
          <w:trHeight w:hRule="exact" w:val="369"/>
          <w:jc w:val="center"/>
        </w:trPr>
        <w:tc>
          <w:tcPr>
            <w:tcW w:w="1423" w:type="dxa"/>
          </w:tcPr>
          <w:p w:rsidR="00CC3EFF" w:rsidRDefault="00EC19A6">
            <w:pPr>
              <w:ind w:right="-29"/>
              <w:jc w:val="center"/>
              <w:rPr>
                <w:noProof/>
                <w:sz w:val="18"/>
                <w:szCs w:val="18"/>
              </w:rPr>
            </w:pPr>
            <w:r>
              <w:rPr>
                <w:noProof/>
                <w:sz w:val="18"/>
              </w:rPr>
              <w:t>- Realizare</w:t>
            </w:r>
          </w:p>
        </w:tc>
        <w:tc>
          <w:tcPr>
            <w:tcW w:w="720" w:type="dxa"/>
          </w:tcPr>
          <w:p w:rsidR="00CC3EFF" w:rsidRDefault="00CC3EFF">
            <w:pPr>
              <w:ind w:right="-29"/>
              <w:jc w:val="center"/>
              <w:rPr>
                <w:noProof/>
                <w:sz w:val="18"/>
                <w:szCs w:val="18"/>
              </w:rPr>
            </w:pPr>
          </w:p>
        </w:tc>
        <w:tc>
          <w:tcPr>
            <w:tcW w:w="701" w:type="dxa"/>
          </w:tcPr>
          <w:p w:rsidR="00CC3EFF" w:rsidRDefault="00CC3EFF">
            <w:pPr>
              <w:ind w:right="-29"/>
              <w:jc w:val="center"/>
              <w:rPr>
                <w:noProof/>
                <w:sz w:val="18"/>
                <w:szCs w:val="18"/>
              </w:rPr>
            </w:pPr>
          </w:p>
        </w:tc>
        <w:tc>
          <w:tcPr>
            <w:tcW w:w="504"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c>
          <w:tcPr>
            <w:tcW w:w="720" w:type="dxa"/>
            <w:gridSpan w:val="2"/>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648" w:type="dxa"/>
          </w:tcPr>
          <w:p w:rsidR="00CC3EFF" w:rsidRDefault="00CC3EFF">
            <w:pPr>
              <w:ind w:right="-29"/>
              <w:jc w:val="center"/>
              <w:rPr>
                <w:noProof/>
                <w:sz w:val="18"/>
                <w:szCs w:val="18"/>
              </w:rPr>
            </w:pPr>
          </w:p>
        </w:tc>
        <w:tc>
          <w:tcPr>
            <w:tcW w:w="432"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54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720" w:type="dxa"/>
          </w:tcPr>
          <w:p w:rsidR="00CC3EFF" w:rsidRDefault="00CC3EFF">
            <w:pPr>
              <w:ind w:right="-29"/>
              <w:jc w:val="center"/>
              <w:rPr>
                <w:noProof/>
                <w:sz w:val="18"/>
                <w:szCs w:val="18"/>
              </w:rPr>
            </w:pPr>
          </w:p>
        </w:tc>
        <w:tc>
          <w:tcPr>
            <w:tcW w:w="900" w:type="dxa"/>
          </w:tcPr>
          <w:p w:rsidR="00CC3EFF" w:rsidRDefault="00CC3EFF">
            <w:pPr>
              <w:ind w:right="-29"/>
              <w:jc w:val="center"/>
              <w:rPr>
                <w:noProof/>
                <w:sz w:val="18"/>
                <w:szCs w:val="18"/>
              </w:rPr>
            </w:pPr>
          </w:p>
        </w:tc>
      </w:tr>
      <w:tr w:rsidR="00CC3EFF">
        <w:trPr>
          <w:jc w:val="center"/>
        </w:trPr>
        <w:tc>
          <w:tcPr>
            <w:tcW w:w="2844" w:type="dxa"/>
            <w:gridSpan w:val="3"/>
            <w:tcBorders>
              <w:bottom w:val="single" w:sz="12" w:space="0" w:color="auto"/>
            </w:tcBorders>
            <w:vAlign w:val="center"/>
          </w:tcPr>
          <w:p w:rsidR="00CC3EFF" w:rsidRDefault="00EC19A6">
            <w:pPr>
              <w:jc w:val="center"/>
              <w:rPr>
                <w:noProof/>
                <w:sz w:val="18"/>
                <w:szCs w:val="18"/>
              </w:rPr>
            </w:pPr>
            <w:r>
              <w:rPr>
                <w:noProof/>
                <w:sz w:val="18"/>
              </w:rPr>
              <w:t>Subtotal pentru obiectivul specific nr. 2</w:t>
            </w:r>
          </w:p>
        </w:tc>
        <w:tc>
          <w:tcPr>
            <w:tcW w:w="504"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951" w:type="dxa"/>
            <w:gridSpan w:val="2"/>
            <w:tcBorders>
              <w:bottom w:val="single" w:sz="12" w:space="0" w:color="auto"/>
            </w:tcBorders>
          </w:tcPr>
          <w:p w:rsidR="00CC3EFF" w:rsidRDefault="00CC3EFF">
            <w:pPr>
              <w:ind w:right="-29"/>
              <w:jc w:val="center"/>
              <w:rPr>
                <w:noProof/>
                <w:sz w:val="18"/>
                <w:szCs w:val="18"/>
              </w:rPr>
            </w:pPr>
          </w:p>
        </w:tc>
        <w:tc>
          <w:tcPr>
            <w:tcW w:w="669" w:type="dxa"/>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648" w:type="dxa"/>
            <w:tcBorders>
              <w:bottom w:val="single" w:sz="12" w:space="0" w:color="auto"/>
            </w:tcBorders>
          </w:tcPr>
          <w:p w:rsidR="00CC3EFF" w:rsidRDefault="00CC3EFF">
            <w:pPr>
              <w:ind w:right="-29"/>
              <w:jc w:val="center"/>
              <w:rPr>
                <w:noProof/>
                <w:sz w:val="18"/>
                <w:szCs w:val="18"/>
              </w:rPr>
            </w:pPr>
          </w:p>
        </w:tc>
        <w:tc>
          <w:tcPr>
            <w:tcW w:w="432"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54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720" w:type="dxa"/>
            <w:tcBorders>
              <w:bottom w:val="single" w:sz="12" w:space="0" w:color="auto"/>
            </w:tcBorders>
          </w:tcPr>
          <w:p w:rsidR="00CC3EFF" w:rsidRDefault="00CC3EFF">
            <w:pPr>
              <w:ind w:right="-29"/>
              <w:jc w:val="center"/>
              <w:rPr>
                <w:noProof/>
                <w:sz w:val="18"/>
                <w:szCs w:val="18"/>
              </w:rPr>
            </w:pPr>
          </w:p>
        </w:tc>
        <w:tc>
          <w:tcPr>
            <w:tcW w:w="900" w:type="dxa"/>
            <w:tcBorders>
              <w:bottom w:val="single" w:sz="12" w:space="0" w:color="auto"/>
            </w:tcBorders>
          </w:tcPr>
          <w:p w:rsidR="00CC3EFF" w:rsidRDefault="00CC3EFF">
            <w:pPr>
              <w:ind w:right="-29"/>
              <w:jc w:val="center"/>
              <w:rPr>
                <w:noProof/>
                <w:sz w:val="18"/>
                <w:szCs w:val="18"/>
              </w:rPr>
            </w:pPr>
          </w:p>
        </w:tc>
      </w:tr>
      <w:tr w:rsidR="00CC3EFF">
        <w:trPr>
          <w:jc w:val="center"/>
        </w:trPr>
        <w:tc>
          <w:tcPr>
            <w:tcW w:w="2844" w:type="dxa"/>
            <w:gridSpan w:val="3"/>
            <w:tcBorders>
              <w:top w:val="single" w:sz="12" w:space="0" w:color="auto"/>
              <w:left w:val="single" w:sz="12" w:space="0" w:color="auto"/>
              <w:bottom w:val="single" w:sz="12" w:space="0" w:color="auto"/>
            </w:tcBorders>
            <w:vAlign w:val="center"/>
          </w:tcPr>
          <w:p w:rsidR="00CC3EFF" w:rsidRDefault="00EC19A6">
            <w:pPr>
              <w:ind w:right="-29"/>
              <w:jc w:val="center"/>
              <w:rPr>
                <w:noProof/>
                <w:sz w:val="18"/>
                <w:szCs w:val="18"/>
              </w:rPr>
            </w:pPr>
            <w:r>
              <w:rPr>
                <w:b/>
                <w:noProof/>
                <w:sz w:val="18"/>
              </w:rPr>
              <w:t>COSTURI TOTALE</w:t>
            </w:r>
          </w:p>
        </w:tc>
        <w:tc>
          <w:tcPr>
            <w:tcW w:w="504"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54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90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54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648"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432"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54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720" w:type="dxa"/>
            <w:tcBorders>
              <w:top w:val="single" w:sz="12" w:space="0" w:color="auto"/>
              <w:bottom w:val="single" w:sz="12" w:space="0" w:color="auto"/>
            </w:tcBorders>
          </w:tcPr>
          <w:p w:rsidR="00CC3EFF" w:rsidRDefault="00CC3EFF">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CC3EFF" w:rsidRDefault="00CC3EFF">
            <w:pPr>
              <w:spacing w:before="180" w:after="180"/>
              <w:ind w:right="-29"/>
              <w:jc w:val="center"/>
              <w:rPr>
                <w:noProof/>
                <w:sz w:val="18"/>
                <w:szCs w:val="18"/>
              </w:rPr>
            </w:pPr>
          </w:p>
        </w:tc>
      </w:tr>
    </w:tbl>
    <w:p w:rsidR="00CC3EFF" w:rsidRDefault="00CC3EFF">
      <w:pPr>
        <w:pStyle w:val="ListParagraph"/>
        <w:ind w:left="360"/>
        <w:rPr>
          <w:rFonts w:ascii="Times New Roman" w:hAnsi="Times New Roman"/>
          <w:b/>
          <w:noProof/>
          <w:sz w:val="18"/>
        </w:rPr>
        <w:sectPr w:rsidR="00CC3EFF">
          <w:pgSz w:w="16840" w:h="11907" w:orient="landscape"/>
          <w:pgMar w:top="1418" w:right="1134" w:bottom="1418" w:left="1134" w:header="709" w:footer="709" w:gutter="0"/>
          <w:cols w:space="708"/>
          <w:docGrid w:linePitch="360"/>
        </w:sectPr>
      </w:pPr>
    </w:p>
    <w:p w:rsidR="00CC3EFF" w:rsidRDefault="00EC19A6">
      <w:pPr>
        <w:pStyle w:val="ListParagraph"/>
        <w:ind w:left="360"/>
        <w:rPr>
          <w:rFonts w:ascii="Times New Roman" w:hAnsi="Times New Roman"/>
          <w:b/>
          <w:noProof/>
        </w:rPr>
      </w:pPr>
      <w:r>
        <w:rPr>
          <w:rFonts w:ascii="Times New Roman" w:hAnsi="Times New Roman"/>
          <w:b/>
          <w:noProof/>
          <w:sz w:val="18"/>
        </w:rPr>
        <w:t xml:space="preserve">NOTĂ </w:t>
      </w:r>
    </w:p>
    <w:p w:rsidR="00CC3EFF" w:rsidRDefault="00EC19A6">
      <w:pPr>
        <w:ind w:left="360"/>
        <w:rPr>
          <w:noProof/>
          <w:sz w:val="20"/>
          <w:szCs w:val="20"/>
        </w:rPr>
      </w:pPr>
      <w:r>
        <w:rPr>
          <w:noProof/>
          <w:sz w:val="20"/>
        </w:rPr>
        <w:t xml:space="preserve">Rezultat pozitiv scontat al acestei propuneri este că i) statele membre vor primi informații cu privire la deciziile fiscale din alte țări, ceea ce le va permite să aplice, în cunoștință de cauză, măsurile de </w:t>
      </w:r>
      <w:r>
        <w:rPr>
          <w:noProof/>
          <w:sz w:val="20"/>
        </w:rPr>
        <w:t>contracarare pe care le consideră potrivite; ii) publicul poate privi măsura ca fiind un demers activ pentru a garanta că toți contribuabilii își plătesc impozitele în mod echitabil; iii) presiunea inter pares ar putea determina statele membre să își modif</w:t>
      </w:r>
      <w:r>
        <w:rPr>
          <w:noProof/>
          <w:sz w:val="20"/>
        </w:rPr>
        <w:t xml:space="preserve">ice practicile în materie de decizii fiscale; iv) societățile își pot limita structurile de planificare fiscală agresivă. În timp ce statele membre care emit decizii fiscale vor avea o sarcină administrativă mai mare și costuri de conformare legate în mod </w:t>
      </w:r>
      <w:r>
        <w:rPr>
          <w:noProof/>
          <w:sz w:val="20"/>
        </w:rPr>
        <w:t>direct de furnizarea de informații privind deciziile, se așteaptă ca aceste costuri să fie limitate, având în vedere caracterul limitat al informațiilor care urmează a fi furnizate. În plus, informațiile ar fi trebuit să fie furnizate deja (altfel spus, pr</w:t>
      </w:r>
      <w:r>
        <w:rPr>
          <w:noProof/>
          <w:sz w:val="20"/>
        </w:rPr>
        <w:t>opunerea nu face decât să clarifice și să confirme obligațiile existente în materie de schimb de informații).</w:t>
      </w:r>
    </w:p>
    <w:p w:rsidR="00CC3EFF" w:rsidRDefault="00EC19A6">
      <w:pPr>
        <w:pStyle w:val="ManualHeading3"/>
        <w:rPr>
          <w:bCs/>
          <w:noProof/>
          <w:szCs w:val="24"/>
        </w:rPr>
      </w:pPr>
      <w:r>
        <w:t>3.2.3.</w:t>
      </w:r>
      <w:r>
        <w:tab/>
      </w:r>
      <w:r>
        <w:rPr>
          <w:noProof/>
        </w:rPr>
        <w:t>Impactul estimat asupra creditelor cu caracter administrativ</w:t>
      </w:r>
    </w:p>
    <w:p w:rsidR="00CC3EFF" w:rsidRDefault="00EC19A6">
      <w:pPr>
        <w:pStyle w:val="ManualHeading4"/>
        <w:rPr>
          <w:noProof/>
        </w:rPr>
      </w:pPr>
      <w:r>
        <w:t>3.2.3.1.</w:t>
      </w:r>
      <w:r>
        <w:tab/>
      </w:r>
      <w:r>
        <w:rPr>
          <w:noProof/>
        </w:rPr>
        <w:t xml:space="preserve">Sinteză </w:t>
      </w:r>
    </w:p>
    <w:p w:rsidR="00CC3EFF" w:rsidRDefault="00EC19A6">
      <w:pPr>
        <w:pStyle w:val="ListDash1"/>
        <w:rPr>
          <w:noProof/>
        </w:rPr>
      </w:pPr>
      <w:r>
        <w:rPr>
          <w:noProof/>
        </w:rPr>
        <w:sym w:font="Wingdings" w:char="F0A8"/>
      </w:r>
      <w:r>
        <w:rPr>
          <w:noProof/>
        </w:rPr>
        <w:tab/>
      </w:r>
      <w:r>
        <w:rPr>
          <w:noProof/>
        </w:rPr>
        <w:t xml:space="preserve">Propunerea/inițiativa nu implică utilizarea de credite cu caracter administrativ </w:t>
      </w:r>
    </w:p>
    <w:p w:rsidR="00CC3EFF" w:rsidRDefault="00EC19A6">
      <w:pPr>
        <w:pStyle w:val="ListDash1"/>
        <w:rPr>
          <w:noProof/>
        </w:rPr>
      </w:pPr>
      <w:r>
        <w:rPr>
          <w:noProof/>
        </w:rPr>
        <w:sym w:font="Wingdings" w:char="F0FD"/>
      </w:r>
      <w:r>
        <w:rPr>
          <w:noProof/>
        </w:rPr>
        <w:tab/>
        <w:t>Propunerea/inițiativa implică utilizarea de credite cu caracter administrativ, conform explicațiilor de mai jos:</w:t>
      </w:r>
    </w:p>
    <w:p w:rsidR="00CC3EFF" w:rsidRDefault="00EC19A6">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CC3EFF">
        <w:trPr>
          <w:trHeight w:val="585"/>
        </w:trPr>
        <w:tc>
          <w:tcPr>
            <w:tcW w:w="1980" w:type="dxa"/>
          </w:tcPr>
          <w:p w:rsidR="00CC3EFF" w:rsidRDefault="00CC3EFF">
            <w:pPr>
              <w:spacing w:before="60" w:after="60" w:line="200" w:lineRule="exact"/>
              <w:rPr>
                <w:noProof/>
                <w:sz w:val="16"/>
                <w:szCs w:val="16"/>
              </w:rPr>
            </w:pPr>
          </w:p>
        </w:tc>
        <w:tc>
          <w:tcPr>
            <w:tcW w:w="1080" w:type="dxa"/>
            <w:vAlign w:val="center"/>
          </w:tcPr>
          <w:p w:rsidR="00CC3EFF" w:rsidRDefault="00EC19A6">
            <w:pPr>
              <w:spacing w:before="60" w:after="60" w:line="200" w:lineRule="exact"/>
              <w:jc w:val="center"/>
              <w:rPr>
                <w:noProof/>
                <w:sz w:val="16"/>
                <w:szCs w:val="16"/>
              </w:rPr>
            </w:pPr>
            <w:r>
              <w:rPr>
                <w:noProof/>
                <w:sz w:val="18"/>
                <w:szCs w:val="18"/>
              </w:rPr>
              <w:t>Anul</w:t>
            </w:r>
            <w:r>
              <w:rPr>
                <w:noProof/>
              </w:rPr>
              <w:t xml:space="preserve"> </w:t>
            </w:r>
            <w:r>
              <w:rPr>
                <w:b/>
                <w:noProof/>
                <w:sz w:val="16"/>
              </w:rPr>
              <w:t>2016</w:t>
            </w:r>
            <w:r>
              <w:rPr>
                <w:rStyle w:val="FootnoteReference"/>
                <w:b/>
                <w:noProof/>
                <w:sz w:val="16"/>
              </w:rPr>
              <w:footnoteReference w:id="26"/>
            </w:r>
          </w:p>
        </w:tc>
        <w:tc>
          <w:tcPr>
            <w:tcW w:w="1080" w:type="dxa"/>
            <w:vAlign w:val="center"/>
          </w:tcPr>
          <w:p w:rsidR="00CC3EFF" w:rsidRDefault="00EC19A6">
            <w:pPr>
              <w:spacing w:before="60" w:after="60" w:line="200" w:lineRule="exact"/>
              <w:jc w:val="center"/>
              <w:rPr>
                <w:noProof/>
                <w:sz w:val="16"/>
                <w:szCs w:val="16"/>
              </w:rPr>
            </w:pPr>
            <w:r>
              <w:rPr>
                <w:noProof/>
                <w:sz w:val="18"/>
                <w:szCs w:val="18"/>
              </w:rPr>
              <w:t>Anul</w:t>
            </w:r>
            <w:r>
              <w:rPr>
                <w:noProof/>
              </w:rPr>
              <w:t xml:space="preserve"> </w:t>
            </w:r>
            <w:r>
              <w:rPr>
                <w:b/>
                <w:noProof/>
                <w:sz w:val="16"/>
              </w:rPr>
              <w:t>2017</w:t>
            </w:r>
          </w:p>
        </w:tc>
        <w:tc>
          <w:tcPr>
            <w:tcW w:w="1080" w:type="dxa"/>
            <w:vAlign w:val="center"/>
          </w:tcPr>
          <w:p w:rsidR="00CC3EFF" w:rsidRDefault="00EC19A6">
            <w:pPr>
              <w:spacing w:before="60" w:after="60" w:line="200" w:lineRule="exact"/>
              <w:jc w:val="center"/>
              <w:rPr>
                <w:noProof/>
                <w:sz w:val="16"/>
                <w:szCs w:val="16"/>
              </w:rPr>
            </w:pPr>
            <w:r>
              <w:rPr>
                <w:noProof/>
                <w:sz w:val="18"/>
                <w:szCs w:val="18"/>
              </w:rPr>
              <w:t>Anul</w:t>
            </w:r>
            <w:r>
              <w:rPr>
                <w:noProof/>
              </w:rPr>
              <w:t xml:space="preserve"> </w:t>
            </w:r>
            <w:r>
              <w:rPr>
                <w:b/>
                <w:noProof/>
                <w:sz w:val="16"/>
              </w:rPr>
              <w:t>2018</w:t>
            </w:r>
          </w:p>
        </w:tc>
        <w:tc>
          <w:tcPr>
            <w:tcW w:w="1080" w:type="dxa"/>
            <w:vAlign w:val="center"/>
          </w:tcPr>
          <w:p w:rsidR="00CC3EFF" w:rsidRDefault="00EC19A6">
            <w:pPr>
              <w:spacing w:before="60" w:after="60" w:line="200" w:lineRule="exact"/>
              <w:jc w:val="center"/>
              <w:rPr>
                <w:noProof/>
                <w:sz w:val="16"/>
                <w:szCs w:val="16"/>
              </w:rPr>
            </w:pPr>
            <w:r>
              <w:rPr>
                <w:noProof/>
                <w:sz w:val="18"/>
                <w:szCs w:val="18"/>
              </w:rPr>
              <w:t>Anul</w:t>
            </w:r>
            <w:r>
              <w:rPr>
                <w:noProof/>
              </w:rPr>
              <w:t xml:space="preserve"> </w:t>
            </w:r>
            <w:r>
              <w:rPr>
                <w:b/>
                <w:noProof/>
                <w:sz w:val="16"/>
              </w:rPr>
              <w:t>2019</w:t>
            </w:r>
          </w:p>
        </w:tc>
        <w:tc>
          <w:tcPr>
            <w:tcW w:w="3240" w:type="dxa"/>
            <w:vAlign w:val="center"/>
          </w:tcPr>
          <w:p w:rsidR="00CC3EFF" w:rsidRDefault="00EC19A6">
            <w:pPr>
              <w:spacing w:line="200" w:lineRule="exact"/>
              <w:jc w:val="center"/>
              <w:rPr>
                <w:b/>
                <w:noProof/>
                <w:sz w:val="16"/>
                <w:szCs w:val="16"/>
              </w:rPr>
            </w:pPr>
            <w:r>
              <w:rPr>
                <w:b/>
                <w:noProof/>
                <w:sz w:val="16"/>
              </w:rPr>
              <w:t>2020</w:t>
            </w:r>
          </w:p>
        </w:tc>
        <w:tc>
          <w:tcPr>
            <w:tcW w:w="1080" w:type="dxa"/>
            <w:vAlign w:val="center"/>
          </w:tcPr>
          <w:p w:rsidR="00CC3EFF" w:rsidRDefault="00EC19A6">
            <w:pPr>
              <w:spacing w:before="60" w:after="60" w:line="200" w:lineRule="exact"/>
              <w:jc w:val="center"/>
              <w:rPr>
                <w:b/>
                <w:noProof/>
                <w:sz w:val="16"/>
                <w:szCs w:val="16"/>
              </w:rPr>
            </w:pPr>
            <w:r>
              <w:rPr>
                <w:b/>
                <w:noProof/>
                <w:sz w:val="16"/>
              </w:rPr>
              <w:t>TOTAL</w:t>
            </w:r>
          </w:p>
        </w:tc>
      </w:tr>
    </w:tbl>
    <w:p w:rsidR="00CC3EFF" w:rsidRDefault="00CC3EFF">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CC3EFF">
        <w:trPr>
          <w:trHeight w:val="585"/>
        </w:trPr>
        <w:tc>
          <w:tcPr>
            <w:tcW w:w="1980" w:type="dxa"/>
            <w:shd w:val="clear" w:color="auto" w:fill="CCCCCC"/>
            <w:vAlign w:val="center"/>
          </w:tcPr>
          <w:p w:rsidR="00CC3EFF" w:rsidRDefault="00EC19A6">
            <w:pPr>
              <w:spacing w:before="60" w:after="60" w:line="200" w:lineRule="exact"/>
              <w:jc w:val="center"/>
              <w:rPr>
                <w:b/>
                <w:noProof/>
                <w:sz w:val="16"/>
                <w:szCs w:val="16"/>
              </w:rPr>
            </w:pPr>
            <w:r>
              <w:rPr>
                <w:b/>
                <w:noProof/>
                <w:sz w:val="16"/>
                <w:szCs w:val="16"/>
              </w:rPr>
              <w:t xml:space="preserve">RUBRICA 5 </w:t>
            </w:r>
            <w:r>
              <w:rPr>
                <w:b/>
                <w:noProof/>
                <w:sz w:val="16"/>
              </w:rPr>
              <w:t>din cadrul financiar multianual</w:t>
            </w: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b/>
                <w:noProof/>
                <w:sz w:val="16"/>
                <w:szCs w:val="16"/>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vAlign w:val="center"/>
          </w:tcPr>
          <w:p w:rsidR="00CC3EFF" w:rsidRDefault="00EC19A6">
            <w:pPr>
              <w:spacing w:before="60" w:after="60" w:line="200" w:lineRule="exact"/>
              <w:ind w:left="72"/>
              <w:jc w:val="left"/>
              <w:rPr>
                <w:noProof/>
                <w:sz w:val="16"/>
                <w:szCs w:val="16"/>
              </w:rPr>
            </w:pPr>
            <w:r>
              <w:rPr>
                <w:noProof/>
                <w:sz w:val="16"/>
              </w:rPr>
              <w:t xml:space="preserve">Resurse umane </w:t>
            </w:r>
          </w:p>
        </w:tc>
        <w:tc>
          <w:tcPr>
            <w:tcW w:w="1080" w:type="dxa"/>
            <w:vAlign w:val="center"/>
          </w:tcPr>
          <w:p w:rsidR="00CC3EFF" w:rsidRDefault="00EC19A6">
            <w:pPr>
              <w:spacing w:before="20" w:after="20"/>
              <w:jc w:val="right"/>
              <w:rPr>
                <w:noProof/>
              </w:rPr>
            </w:pPr>
            <w:r>
              <w:rPr>
                <w:noProof/>
              </w:rPr>
              <w:t>0,528</w:t>
            </w:r>
          </w:p>
        </w:tc>
        <w:tc>
          <w:tcPr>
            <w:tcW w:w="1080" w:type="dxa"/>
            <w:vAlign w:val="center"/>
          </w:tcPr>
          <w:p w:rsidR="00CC3EFF" w:rsidRDefault="00EC19A6">
            <w:pPr>
              <w:spacing w:before="20" w:after="20"/>
              <w:jc w:val="right"/>
              <w:rPr>
                <w:noProof/>
              </w:rPr>
            </w:pPr>
            <w:r>
              <w:rPr>
                <w:noProof/>
              </w:rPr>
              <w:t>0,528</w:t>
            </w:r>
          </w:p>
        </w:tc>
        <w:tc>
          <w:tcPr>
            <w:tcW w:w="1080" w:type="dxa"/>
            <w:vAlign w:val="center"/>
          </w:tcPr>
          <w:p w:rsidR="00CC3EFF" w:rsidRDefault="00EC19A6">
            <w:pPr>
              <w:spacing w:before="20" w:after="20"/>
              <w:jc w:val="right"/>
              <w:rPr>
                <w:noProof/>
              </w:rPr>
            </w:pPr>
            <w:r>
              <w:rPr>
                <w:noProof/>
              </w:rPr>
              <w:t>0,528</w:t>
            </w:r>
          </w:p>
        </w:tc>
        <w:tc>
          <w:tcPr>
            <w:tcW w:w="1080" w:type="dxa"/>
            <w:vAlign w:val="center"/>
          </w:tcPr>
          <w:p w:rsidR="00CC3EFF" w:rsidRDefault="00EC19A6">
            <w:pPr>
              <w:spacing w:before="20" w:after="20"/>
              <w:jc w:val="right"/>
              <w:rPr>
                <w:noProof/>
              </w:rPr>
            </w:pPr>
            <w:r>
              <w:rPr>
                <w:noProof/>
              </w:rPr>
              <w:t>0,528</w:t>
            </w:r>
          </w:p>
        </w:tc>
        <w:tc>
          <w:tcPr>
            <w:tcW w:w="1080" w:type="dxa"/>
            <w:vAlign w:val="center"/>
          </w:tcPr>
          <w:p w:rsidR="00CC3EFF" w:rsidRDefault="00EC19A6">
            <w:pPr>
              <w:spacing w:before="20" w:after="20"/>
              <w:jc w:val="right"/>
              <w:rPr>
                <w:noProof/>
              </w:rPr>
            </w:pPr>
            <w:r>
              <w:rPr>
                <w:noProof/>
              </w:rPr>
              <w:t>0,528</w:t>
            </w: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vAlign w:val="center"/>
          </w:tcPr>
          <w:p w:rsidR="00CC3EFF" w:rsidRDefault="00EC19A6">
            <w:pPr>
              <w:spacing w:before="60" w:after="60" w:line="200" w:lineRule="exact"/>
              <w:ind w:left="72"/>
              <w:jc w:val="left"/>
              <w:rPr>
                <w:noProof/>
                <w:sz w:val="16"/>
                <w:szCs w:val="16"/>
              </w:rPr>
            </w:pPr>
            <w:r>
              <w:rPr>
                <w:noProof/>
                <w:sz w:val="16"/>
              </w:rPr>
              <w:t xml:space="preserve">Alte cheltuieli administrative </w:t>
            </w:r>
          </w:p>
        </w:tc>
        <w:tc>
          <w:tcPr>
            <w:tcW w:w="1080" w:type="dxa"/>
            <w:vAlign w:val="center"/>
          </w:tcPr>
          <w:p w:rsidR="00CC3EFF" w:rsidRDefault="00EC19A6">
            <w:pPr>
              <w:spacing w:before="20" w:after="20"/>
              <w:jc w:val="right"/>
              <w:rPr>
                <w:noProof/>
              </w:rPr>
            </w:pPr>
            <w:r>
              <w:rPr>
                <w:noProof/>
              </w:rPr>
              <w:t>0,030</w:t>
            </w:r>
          </w:p>
        </w:tc>
        <w:tc>
          <w:tcPr>
            <w:tcW w:w="1080" w:type="dxa"/>
            <w:vAlign w:val="center"/>
          </w:tcPr>
          <w:p w:rsidR="00CC3EFF" w:rsidRDefault="00EC19A6">
            <w:pPr>
              <w:spacing w:before="20" w:after="20"/>
              <w:jc w:val="right"/>
              <w:rPr>
                <w:noProof/>
              </w:rPr>
            </w:pPr>
            <w:r>
              <w:rPr>
                <w:noProof/>
              </w:rPr>
              <w:t>0,030</w:t>
            </w:r>
          </w:p>
        </w:tc>
        <w:tc>
          <w:tcPr>
            <w:tcW w:w="1080" w:type="dxa"/>
            <w:vAlign w:val="center"/>
          </w:tcPr>
          <w:p w:rsidR="00CC3EFF" w:rsidRDefault="00EC19A6">
            <w:pPr>
              <w:spacing w:before="20" w:after="20"/>
              <w:jc w:val="right"/>
              <w:rPr>
                <w:noProof/>
              </w:rPr>
            </w:pPr>
            <w:r>
              <w:rPr>
                <w:noProof/>
              </w:rPr>
              <w:t>0,030</w:t>
            </w:r>
          </w:p>
        </w:tc>
        <w:tc>
          <w:tcPr>
            <w:tcW w:w="1080" w:type="dxa"/>
            <w:vAlign w:val="center"/>
          </w:tcPr>
          <w:p w:rsidR="00CC3EFF" w:rsidRDefault="00EC19A6">
            <w:pPr>
              <w:spacing w:before="20" w:after="20"/>
              <w:jc w:val="right"/>
              <w:rPr>
                <w:noProof/>
              </w:rPr>
            </w:pPr>
            <w:r>
              <w:rPr>
                <w:noProof/>
              </w:rPr>
              <w:t>0,030</w:t>
            </w:r>
          </w:p>
        </w:tc>
        <w:tc>
          <w:tcPr>
            <w:tcW w:w="1080" w:type="dxa"/>
            <w:vAlign w:val="center"/>
          </w:tcPr>
          <w:p w:rsidR="00CC3EFF" w:rsidRDefault="00EC19A6">
            <w:pPr>
              <w:spacing w:before="20" w:after="20"/>
              <w:jc w:val="right"/>
              <w:rPr>
                <w:noProof/>
              </w:rPr>
            </w:pPr>
            <w:r>
              <w:rPr>
                <w:noProof/>
              </w:rPr>
              <w:t>0,030</w:t>
            </w: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shd w:val="clear" w:color="auto" w:fill="CCCCCC"/>
            <w:vAlign w:val="center"/>
          </w:tcPr>
          <w:p w:rsidR="00CC3EFF" w:rsidRDefault="00EC19A6">
            <w:pPr>
              <w:spacing w:before="60" w:after="60" w:line="200" w:lineRule="exact"/>
              <w:jc w:val="center"/>
              <w:rPr>
                <w:b/>
                <w:noProof/>
                <w:sz w:val="16"/>
                <w:szCs w:val="16"/>
              </w:rPr>
            </w:pPr>
            <w:r>
              <w:rPr>
                <w:b/>
                <w:noProof/>
                <w:sz w:val="16"/>
                <w:szCs w:val="16"/>
              </w:rPr>
              <w:t>Subtotal</w:t>
            </w:r>
            <w:r>
              <w:rPr>
                <w:b/>
                <w:noProof/>
              </w:rPr>
              <w:t xml:space="preserve"> </w:t>
            </w:r>
            <w:r>
              <w:rPr>
                <w:b/>
                <w:noProof/>
                <w:sz w:val="16"/>
                <w:szCs w:val="16"/>
              </w:rPr>
              <w:t>RUBRICA</w:t>
            </w:r>
            <w:r>
              <w:rPr>
                <w:b/>
                <w:noProof/>
              </w:rPr>
              <w:t xml:space="preserve"> </w:t>
            </w:r>
            <w:r>
              <w:rPr>
                <w:b/>
                <w:noProof/>
                <w:sz w:val="16"/>
                <w:szCs w:val="16"/>
              </w:rPr>
              <w:t>5</w:t>
            </w:r>
            <w:r>
              <w:rPr>
                <w:b/>
                <w:noProof/>
              </w:rPr>
              <w:t xml:space="preserve"> </w:t>
            </w:r>
            <w:r>
              <w:rPr>
                <w:b/>
                <w:noProof/>
                <w:sz w:val="16"/>
              </w:rPr>
              <w:t xml:space="preserve">din cadrul financiar multianual </w:t>
            </w:r>
          </w:p>
        </w:tc>
        <w:tc>
          <w:tcPr>
            <w:tcW w:w="1080" w:type="dxa"/>
            <w:vAlign w:val="center"/>
          </w:tcPr>
          <w:p w:rsidR="00CC3EFF" w:rsidRDefault="00EC19A6">
            <w:pPr>
              <w:spacing w:before="20" w:after="20"/>
              <w:jc w:val="right"/>
              <w:rPr>
                <w:noProof/>
              </w:rPr>
            </w:pPr>
            <w:r>
              <w:rPr>
                <w:noProof/>
              </w:rPr>
              <w:t>0,558</w:t>
            </w:r>
          </w:p>
        </w:tc>
        <w:tc>
          <w:tcPr>
            <w:tcW w:w="1080" w:type="dxa"/>
            <w:vAlign w:val="center"/>
          </w:tcPr>
          <w:p w:rsidR="00CC3EFF" w:rsidRDefault="00EC19A6">
            <w:pPr>
              <w:spacing w:before="20" w:after="20"/>
              <w:jc w:val="right"/>
              <w:rPr>
                <w:noProof/>
              </w:rPr>
            </w:pPr>
            <w:r>
              <w:rPr>
                <w:noProof/>
              </w:rPr>
              <w:t>0,558</w:t>
            </w:r>
          </w:p>
        </w:tc>
        <w:tc>
          <w:tcPr>
            <w:tcW w:w="1080" w:type="dxa"/>
            <w:vAlign w:val="center"/>
          </w:tcPr>
          <w:p w:rsidR="00CC3EFF" w:rsidRDefault="00EC19A6">
            <w:pPr>
              <w:spacing w:before="20" w:after="20"/>
              <w:jc w:val="right"/>
              <w:rPr>
                <w:noProof/>
              </w:rPr>
            </w:pPr>
            <w:r>
              <w:rPr>
                <w:noProof/>
              </w:rPr>
              <w:t>0,558</w:t>
            </w:r>
          </w:p>
        </w:tc>
        <w:tc>
          <w:tcPr>
            <w:tcW w:w="1080" w:type="dxa"/>
            <w:vAlign w:val="center"/>
          </w:tcPr>
          <w:p w:rsidR="00CC3EFF" w:rsidRDefault="00EC19A6">
            <w:pPr>
              <w:spacing w:before="20" w:after="20"/>
              <w:jc w:val="right"/>
              <w:rPr>
                <w:noProof/>
              </w:rPr>
            </w:pPr>
            <w:r>
              <w:rPr>
                <w:noProof/>
              </w:rPr>
              <w:t>0,558</w:t>
            </w:r>
          </w:p>
        </w:tc>
        <w:tc>
          <w:tcPr>
            <w:tcW w:w="1080" w:type="dxa"/>
            <w:vAlign w:val="center"/>
          </w:tcPr>
          <w:p w:rsidR="00CC3EFF" w:rsidRDefault="00EC19A6">
            <w:pPr>
              <w:spacing w:before="20" w:after="20"/>
              <w:jc w:val="right"/>
              <w:rPr>
                <w:noProof/>
              </w:rPr>
            </w:pPr>
            <w:r>
              <w:rPr>
                <w:noProof/>
              </w:rPr>
              <w:t>0,558</w:t>
            </w: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20" w:after="20"/>
              <w:jc w:val="right"/>
              <w:rPr>
                <w:noProof/>
              </w:rPr>
            </w:pPr>
          </w:p>
        </w:tc>
        <w:tc>
          <w:tcPr>
            <w:tcW w:w="1080" w:type="dxa"/>
            <w:vAlign w:val="center"/>
          </w:tcPr>
          <w:p w:rsidR="00CC3EFF" w:rsidRDefault="00CC3EFF">
            <w:pPr>
              <w:spacing w:before="60" w:after="60" w:line="200" w:lineRule="exact"/>
              <w:jc w:val="right"/>
              <w:rPr>
                <w:b/>
                <w:noProof/>
                <w:sz w:val="16"/>
                <w:szCs w:val="16"/>
              </w:rPr>
            </w:pPr>
          </w:p>
        </w:tc>
      </w:tr>
    </w:tbl>
    <w:p w:rsidR="00CC3EFF" w:rsidRDefault="00CC3EFF">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CC3EFF">
        <w:trPr>
          <w:trHeight w:val="585"/>
        </w:trPr>
        <w:tc>
          <w:tcPr>
            <w:tcW w:w="1980" w:type="dxa"/>
            <w:shd w:val="clear" w:color="auto" w:fill="CCCCCC"/>
            <w:vAlign w:val="center"/>
          </w:tcPr>
          <w:p w:rsidR="00CC3EFF" w:rsidRDefault="00EC19A6">
            <w:pPr>
              <w:spacing w:before="60" w:after="60" w:line="200" w:lineRule="exact"/>
              <w:jc w:val="center"/>
              <w:rPr>
                <w:noProof/>
                <w:sz w:val="16"/>
                <w:szCs w:val="16"/>
              </w:rPr>
            </w:pPr>
            <w:r>
              <w:rPr>
                <w:b/>
                <w:noProof/>
                <w:sz w:val="16"/>
                <w:szCs w:val="16"/>
              </w:rPr>
              <w:t>în afara RUBRICII 5</w:t>
            </w:r>
            <w:r>
              <w:rPr>
                <w:rStyle w:val="FootnoteReference"/>
                <w:b/>
                <w:noProof/>
                <w:sz w:val="16"/>
                <w:szCs w:val="16"/>
              </w:rPr>
              <w:footnoteReference w:id="27"/>
            </w:r>
            <w:r>
              <w:rPr>
                <w:b/>
                <w:noProof/>
                <w:sz w:val="16"/>
                <w:szCs w:val="16"/>
              </w:rPr>
              <w:t>din cadrul financiar</w:t>
            </w:r>
            <w:r>
              <w:rPr>
                <w:b/>
                <w:noProof/>
                <w:sz w:val="16"/>
              </w:rPr>
              <w:t xml:space="preserve"> multianual </w:t>
            </w:r>
          </w:p>
          <w:p w:rsidR="00CC3EFF" w:rsidRDefault="00CC3EFF">
            <w:pPr>
              <w:spacing w:before="0" w:after="0" w:line="200" w:lineRule="exact"/>
              <w:jc w:val="center"/>
              <w:rPr>
                <w:b/>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b/>
                <w:noProof/>
                <w:sz w:val="16"/>
                <w:szCs w:val="16"/>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vAlign w:val="center"/>
          </w:tcPr>
          <w:p w:rsidR="00CC3EFF" w:rsidRDefault="00EC19A6">
            <w:pPr>
              <w:spacing w:before="60" w:after="60" w:line="200" w:lineRule="exact"/>
              <w:ind w:left="72"/>
              <w:jc w:val="left"/>
              <w:rPr>
                <w:noProof/>
                <w:sz w:val="16"/>
                <w:szCs w:val="16"/>
              </w:rPr>
            </w:pPr>
            <w:r>
              <w:rPr>
                <w:noProof/>
                <w:sz w:val="16"/>
              </w:rPr>
              <w:t xml:space="preserve">Resurse umane </w:t>
            </w: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b/>
                <w:noProof/>
                <w:sz w:val="16"/>
                <w:szCs w:val="16"/>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vAlign w:val="center"/>
          </w:tcPr>
          <w:p w:rsidR="00CC3EFF" w:rsidRDefault="00EC19A6">
            <w:pPr>
              <w:spacing w:before="60" w:after="60" w:line="200" w:lineRule="exact"/>
              <w:ind w:left="72"/>
              <w:jc w:val="left"/>
              <w:rPr>
                <w:noProof/>
                <w:sz w:val="16"/>
                <w:szCs w:val="16"/>
              </w:rPr>
            </w:pPr>
            <w:r>
              <w:rPr>
                <w:noProof/>
                <w:sz w:val="16"/>
                <w:szCs w:val="16"/>
              </w:rPr>
              <w:t>Alte cheltuieli</w:t>
            </w:r>
            <w:r>
              <w:rPr>
                <w:noProof/>
              </w:rPr>
              <w:t xml:space="preserve"> </w:t>
            </w:r>
            <w:r>
              <w:rPr>
                <w:noProof/>
                <w:sz w:val="16"/>
              </w:rPr>
              <w:t>administrative</w:t>
            </w: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b/>
                <w:noProof/>
                <w:sz w:val="16"/>
                <w:szCs w:val="16"/>
              </w:rPr>
            </w:pPr>
          </w:p>
        </w:tc>
        <w:tc>
          <w:tcPr>
            <w:tcW w:w="1080" w:type="dxa"/>
            <w:vAlign w:val="center"/>
          </w:tcPr>
          <w:p w:rsidR="00CC3EFF" w:rsidRDefault="00CC3EFF">
            <w:pPr>
              <w:spacing w:before="60" w:after="60" w:line="200" w:lineRule="exact"/>
              <w:jc w:val="right"/>
              <w:rPr>
                <w:b/>
                <w:noProof/>
                <w:sz w:val="16"/>
                <w:szCs w:val="16"/>
              </w:rPr>
            </w:pPr>
          </w:p>
        </w:tc>
      </w:tr>
      <w:tr w:rsidR="00CC3EFF">
        <w:trPr>
          <w:trHeight w:val="585"/>
        </w:trPr>
        <w:tc>
          <w:tcPr>
            <w:tcW w:w="1980" w:type="dxa"/>
            <w:shd w:val="clear" w:color="auto" w:fill="CCCCCC"/>
            <w:vAlign w:val="center"/>
          </w:tcPr>
          <w:p w:rsidR="00CC3EFF" w:rsidRDefault="00EC19A6">
            <w:pPr>
              <w:spacing w:before="60" w:after="60" w:line="200" w:lineRule="exact"/>
              <w:jc w:val="center"/>
              <w:rPr>
                <w:b/>
                <w:noProof/>
                <w:sz w:val="16"/>
                <w:szCs w:val="16"/>
              </w:rPr>
            </w:pPr>
            <w:r>
              <w:rPr>
                <w:b/>
                <w:noProof/>
                <w:sz w:val="16"/>
                <w:szCs w:val="16"/>
              </w:rPr>
              <w:t xml:space="preserve">Subtotal </w:t>
            </w:r>
            <w:r>
              <w:rPr>
                <w:noProof/>
                <w:sz w:val="16"/>
                <w:szCs w:val="16"/>
              </w:rPr>
              <w:br/>
            </w:r>
            <w:r>
              <w:rPr>
                <w:b/>
                <w:noProof/>
                <w:sz w:val="16"/>
                <w:szCs w:val="16"/>
              </w:rPr>
              <w:t>în afara RUBRICII 5 din</w:t>
            </w:r>
            <w:r>
              <w:rPr>
                <w:b/>
                <w:noProof/>
                <w:sz w:val="16"/>
              </w:rPr>
              <w:t xml:space="preserve"> cadrul financiar multianual </w:t>
            </w: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noProof/>
                <w:sz w:val="16"/>
                <w:szCs w:val="16"/>
              </w:rPr>
            </w:pPr>
          </w:p>
        </w:tc>
        <w:tc>
          <w:tcPr>
            <w:tcW w:w="1080" w:type="dxa"/>
            <w:vAlign w:val="center"/>
          </w:tcPr>
          <w:p w:rsidR="00CC3EFF" w:rsidRDefault="00CC3EFF">
            <w:pPr>
              <w:spacing w:before="60" w:after="60" w:line="200" w:lineRule="exact"/>
              <w:jc w:val="right"/>
              <w:rPr>
                <w:b/>
                <w:noProof/>
                <w:sz w:val="16"/>
                <w:szCs w:val="16"/>
              </w:rPr>
            </w:pPr>
          </w:p>
        </w:tc>
        <w:tc>
          <w:tcPr>
            <w:tcW w:w="1080" w:type="dxa"/>
            <w:vAlign w:val="center"/>
          </w:tcPr>
          <w:p w:rsidR="00CC3EFF" w:rsidRDefault="00CC3EFF">
            <w:pPr>
              <w:spacing w:before="60" w:after="60" w:line="200" w:lineRule="exact"/>
              <w:jc w:val="right"/>
              <w:rPr>
                <w:b/>
                <w:noProof/>
                <w:sz w:val="16"/>
                <w:szCs w:val="16"/>
              </w:rPr>
            </w:pPr>
          </w:p>
        </w:tc>
      </w:tr>
    </w:tbl>
    <w:p w:rsidR="00CC3EFF" w:rsidRDefault="00CC3EFF">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CC3EFF">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CC3EFF" w:rsidRDefault="00EC19A6">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EC19A6">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EC19A6">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EC19A6">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EC19A6">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EC19A6">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CC3EFF">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rsidR="00CC3EFF" w:rsidRDefault="00CC3EFF">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rsidR="00CC3EFF" w:rsidRDefault="00CC3EFF">
            <w:pPr>
              <w:spacing w:before="60" w:after="60" w:line="200" w:lineRule="exact"/>
              <w:jc w:val="right"/>
              <w:rPr>
                <w:b/>
                <w:noProof/>
                <w:sz w:val="16"/>
                <w:szCs w:val="16"/>
              </w:rPr>
            </w:pPr>
          </w:p>
        </w:tc>
      </w:tr>
    </w:tbl>
    <w:p w:rsidR="00CC3EFF" w:rsidRDefault="00EC19A6">
      <w:pPr>
        <w:rPr>
          <w:noProof/>
          <w:sz w:val="18"/>
        </w:rPr>
      </w:pPr>
      <w:r>
        <w:rPr>
          <w:noProof/>
          <w:sz w:val="18"/>
        </w:rPr>
        <w:t>Creditele necesare pentru resurse umane și alte cheltuieli cu caracter administrativ vor fi acoperite de credite ale DG-ului în cauză alocate deja gestionării acțiunii și/sau realocate intern în cadrul DG-ului, completate, după caz, prin re</w:t>
      </w:r>
      <w:r>
        <w:rPr>
          <w:noProof/>
          <w:sz w:val="18"/>
        </w:rPr>
        <w:t>surse suplimentare ce ar putea fi alocate DG-ului care gestionează acțiunea în cadrul procedurii de alocare anuală și în lumina constrângerilor bugetare.</w:t>
      </w:r>
    </w:p>
    <w:p w:rsidR="00CC3EFF" w:rsidRDefault="00CC3EFF">
      <w:pPr>
        <w:rPr>
          <w:noProof/>
          <w:sz w:val="18"/>
        </w:rPr>
        <w:sectPr w:rsidR="00CC3EFF">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rsidR="00CC3EFF" w:rsidRDefault="00EC19A6">
      <w:pPr>
        <w:pStyle w:val="ManualHeading4"/>
        <w:rPr>
          <w:bCs/>
          <w:noProof/>
          <w:szCs w:val="24"/>
        </w:rPr>
      </w:pPr>
      <w:r>
        <w:t>3.2.3.2.</w:t>
      </w:r>
      <w:r>
        <w:tab/>
      </w:r>
      <w:r>
        <w:rPr>
          <w:noProof/>
        </w:rPr>
        <w:t>Necesarul de resurse umane estimat</w:t>
      </w:r>
    </w:p>
    <w:p w:rsidR="00CC3EFF" w:rsidRDefault="00EC19A6">
      <w:pPr>
        <w:pStyle w:val="ListDash1"/>
        <w:rPr>
          <w:noProof/>
        </w:rPr>
      </w:pPr>
      <w:r>
        <w:rPr>
          <w:noProof/>
        </w:rPr>
        <w:sym w:font="Wingdings" w:char="F0A8"/>
      </w:r>
      <w:r>
        <w:rPr>
          <w:noProof/>
        </w:rPr>
        <w:tab/>
        <w:t xml:space="preserve">Propunerea/inițiativa nu implică utilizarea de resurse umane. </w:t>
      </w:r>
    </w:p>
    <w:p w:rsidR="00CC3EFF" w:rsidRDefault="00EC19A6">
      <w:pPr>
        <w:pStyle w:val="ListDash1"/>
        <w:rPr>
          <w:noProof/>
        </w:rPr>
      </w:pPr>
      <w:r>
        <w:rPr>
          <w:noProof/>
        </w:rPr>
        <w:sym w:font="Wingdings" w:char="F0FD"/>
      </w:r>
      <w:r>
        <w:rPr>
          <w:noProof/>
        </w:rPr>
        <w:tab/>
        <w:t>Propunerea/inițiativa implică utilizarea de resurse umane, conform explicațiilor de mai jos:</w:t>
      </w:r>
    </w:p>
    <w:p w:rsidR="00CC3EFF" w:rsidRDefault="00EC19A6">
      <w:pPr>
        <w:spacing w:after="60"/>
        <w:jc w:val="right"/>
        <w:rPr>
          <w:i/>
          <w:noProof/>
          <w:sz w:val="20"/>
        </w:rPr>
      </w:pPr>
      <w:r>
        <w:rPr>
          <w:i/>
          <w:noProof/>
          <w:sz w:val="20"/>
        </w:rPr>
        <w:t xml:space="preserve">Estimări în echivalent normă </w:t>
      </w:r>
      <w:r>
        <w:rPr>
          <w:i/>
          <w:noProof/>
          <w:sz w:val="20"/>
        </w:rPr>
        <w:t>întreagă</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CC3EFF">
        <w:trPr>
          <w:gridBefore w:val="1"/>
          <w:wBefore w:w="6" w:type="pct"/>
          <w:trHeight w:val="289"/>
          <w:jc w:val="center"/>
        </w:trPr>
        <w:tc>
          <w:tcPr>
            <w:tcW w:w="1897" w:type="pct"/>
            <w:gridSpan w:val="2"/>
            <w:shd w:val="clear" w:color="auto" w:fill="auto"/>
          </w:tcPr>
          <w:p w:rsidR="00CC3EFF" w:rsidRDefault="00CC3EFF">
            <w:pPr>
              <w:pStyle w:val="Text1"/>
              <w:spacing w:before="40" w:after="40"/>
              <w:ind w:left="0"/>
              <w:jc w:val="center"/>
              <w:rPr>
                <w:i/>
                <w:noProof/>
                <w:sz w:val="16"/>
                <w:szCs w:val="16"/>
              </w:rPr>
            </w:pPr>
          </w:p>
        </w:tc>
        <w:tc>
          <w:tcPr>
            <w:tcW w:w="318" w:type="pct"/>
            <w:shd w:val="clear" w:color="auto" w:fill="auto"/>
            <w:vAlign w:val="center"/>
          </w:tcPr>
          <w:p w:rsidR="00CC3EFF" w:rsidRDefault="00EC19A6">
            <w:pPr>
              <w:spacing w:before="20" w:after="20"/>
              <w:jc w:val="center"/>
              <w:rPr>
                <w:noProof/>
                <w:sz w:val="16"/>
                <w:szCs w:val="16"/>
              </w:rPr>
            </w:pPr>
            <w:r>
              <w:rPr>
                <w:noProof/>
                <w:sz w:val="16"/>
                <w:szCs w:val="16"/>
              </w:rPr>
              <w:t xml:space="preserve">Anul </w:t>
            </w:r>
            <w:r>
              <w:rPr>
                <w:b/>
                <w:noProof/>
                <w:sz w:val="16"/>
              </w:rPr>
              <w:t>2016</w:t>
            </w:r>
          </w:p>
        </w:tc>
        <w:tc>
          <w:tcPr>
            <w:tcW w:w="318" w:type="pct"/>
            <w:shd w:val="clear" w:color="auto" w:fill="auto"/>
            <w:vAlign w:val="center"/>
          </w:tcPr>
          <w:p w:rsidR="00CC3EFF" w:rsidRDefault="00EC19A6">
            <w:pPr>
              <w:spacing w:before="20" w:after="20"/>
              <w:jc w:val="center"/>
              <w:rPr>
                <w:noProof/>
                <w:sz w:val="16"/>
                <w:szCs w:val="16"/>
              </w:rPr>
            </w:pPr>
            <w:r>
              <w:rPr>
                <w:noProof/>
                <w:sz w:val="16"/>
                <w:szCs w:val="16"/>
              </w:rPr>
              <w:t>Anul</w:t>
            </w:r>
            <w:r>
              <w:rPr>
                <w:noProof/>
              </w:rPr>
              <w:t xml:space="preserve"> </w:t>
            </w:r>
            <w:r>
              <w:rPr>
                <w:b/>
                <w:noProof/>
                <w:sz w:val="16"/>
              </w:rPr>
              <w:t>2017</w:t>
            </w:r>
          </w:p>
        </w:tc>
        <w:tc>
          <w:tcPr>
            <w:tcW w:w="1891" w:type="pct"/>
            <w:shd w:val="clear" w:color="auto" w:fill="auto"/>
            <w:vAlign w:val="center"/>
          </w:tcPr>
          <w:p w:rsidR="00CC3EFF" w:rsidRDefault="00EC19A6">
            <w:pPr>
              <w:spacing w:before="20" w:after="20"/>
              <w:jc w:val="center"/>
              <w:rPr>
                <w:noProof/>
                <w:sz w:val="16"/>
                <w:szCs w:val="16"/>
              </w:rPr>
            </w:pPr>
            <w:r>
              <w:rPr>
                <w:noProof/>
                <w:sz w:val="16"/>
              </w:rPr>
              <w:t xml:space="preserve">Anul </w:t>
            </w:r>
            <w:r>
              <w:rPr>
                <w:b/>
                <w:noProof/>
                <w:sz w:val="16"/>
              </w:rPr>
              <w:t>2018</w:t>
            </w:r>
          </w:p>
        </w:tc>
        <w:tc>
          <w:tcPr>
            <w:tcW w:w="226" w:type="pct"/>
            <w:shd w:val="clear" w:color="auto" w:fill="auto"/>
            <w:vAlign w:val="center"/>
          </w:tcPr>
          <w:p w:rsidR="00CC3EFF" w:rsidRDefault="00EC19A6">
            <w:pPr>
              <w:spacing w:before="20" w:after="20"/>
              <w:jc w:val="center"/>
              <w:rPr>
                <w:noProof/>
                <w:sz w:val="16"/>
                <w:szCs w:val="16"/>
              </w:rPr>
            </w:pPr>
            <w:r>
              <w:rPr>
                <w:noProof/>
                <w:sz w:val="16"/>
              </w:rPr>
              <w:t xml:space="preserve">Anul </w:t>
            </w:r>
            <w:r>
              <w:rPr>
                <w:b/>
                <w:noProof/>
                <w:sz w:val="16"/>
              </w:rPr>
              <w:t>2019</w:t>
            </w:r>
          </w:p>
        </w:tc>
        <w:tc>
          <w:tcPr>
            <w:tcW w:w="345" w:type="pct"/>
            <w:gridSpan w:val="3"/>
            <w:shd w:val="clear" w:color="auto" w:fill="auto"/>
            <w:vAlign w:val="center"/>
          </w:tcPr>
          <w:p w:rsidR="00CC3EFF" w:rsidRDefault="00EC19A6">
            <w:pPr>
              <w:jc w:val="center"/>
              <w:rPr>
                <w:b/>
                <w:noProof/>
                <w:sz w:val="16"/>
                <w:szCs w:val="16"/>
              </w:rPr>
            </w:pPr>
            <w:r>
              <w:rPr>
                <w:noProof/>
                <w:sz w:val="16"/>
              </w:rPr>
              <w:t>2020</w:t>
            </w:r>
          </w:p>
        </w:tc>
      </w:tr>
      <w:tr w:rsidR="00CC3EFF">
        <w:trPr>
          <w:gridBefore w:val="1"/>
          <w:wBefore w:w="6" w:type="pct"/>
          <w:trHeight w:val="289"/>
          <w:jc w:val="center"/>
        </w:trPr>
        <w:tc>
          <w:tcPr>
            <w:tcW w:w="4424" w:type="pct"/>
            <w:gridSpan w:val="5"/>
            <w:shd w:val="clear" w:color="auto" w:fill="auto"/>
          </w:tcPr>
          <w:p w:rsidR="00CC3EFF" w:rsidRDefault="00EC19A6">
            <w:pPr>
              <w:spacing w:before="20" w:after="20"/>
              <w:rPr>
                <w:noProof/>
                <w:sz w:val="16"/>
                <w:szCs w:val="16"/>
              </w:rPr>
            </w:pPr>
            <w:r>
              <w:rPr>
                <w:b/>
                <w:noProof/>
                <w:sz w:val="16"/>
                <w:szCs w:val="16"/>
              </w:rPr>
              <w:sym w:font="Wingdings" w:char="F09F"/>
            </w:r>
            <w:r>
              <w:rPr>
                <w:noProof/>
                <w:sz w:val="16"/>
                <w:szCs w:val="16"/>
              </w:rPr>
              <w:t xml:space="preserve"> </w:t>
            </w:r>
            <w:r>
              <w:rPr>
                <w:b/>
                <w:noProof/>
                <w:sz w:val="16"/>
                <w:szCs w:val="16"/>
              </w:rPr>
              <w:t>Posturi din schema de personal (funcționari și agenți temporari)</w:t>
            </w:r>
          </w:p>
        </w:tc>
        <w:tc>
          <w:tcPr>
            <w:tcW w:w="226" w:type="pct"/>
            <w:shd w:val="clear" w:color="auto" w:fill="auto"/>
            <w:vAlign w:val="center"/>
          </w:tcPr>
          <w:p w:rsidR="00CC3EFF" w:rsidRDefault="00CC3EFF">
            <w:pPr>
              <w:spacing w:before="20" w:after="20"/>
              <w:jc w:val="center"/>
              <w:rPr>
                <w:noProof/>
                <w:sz w:val="16"/>
                <w:szCs w:val="16"/>
              </w:rPr>
            </w:pPr>
          </w:p>
        </w:tc>
        <w:tc>
          <w:tcPr>
            <w:tcW w:w="345" w:type="pct"/>
            <w:gridSpan w:val="3"/>
            <w:shd w:val="clear" w:color="auto" w:fill="auto"/>
            <w:vAlign w:val="center"/>
          </w:tcPr>
          <w:p w:rsidR="00CC3EFF" w:rsidRDefault="00CC3EFF">
            <w:pPr>
              <w:jc w:val="center"/>
              <w:rPr>
                <w:noProof/>
                <w:sz w:val="16"/>
                <w:szCs w:val="16"/>
              </w:rPr>
            </w:pP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4"/>
              <w:jc w:val="left"/>
              <w:rPr>
                <w:b/>
                <w:noProof/>
                <w:sz w:val="16"/>
                <w:szCs w:val="16"/>
              </w:rPr>
            </w:pPr>
            <w:r>
              <w:rPr>
                <w:noProof/>
                <w:sz w:val="16"/>
              </w:rPr>
              <w:t>XX 01 01 01 (la sediu și în birourile de reprezentare ale Comisiei)</w:t>
            </w:r>
          </w:p>
        </w:tc>
        <w:tc>
          <w:tcPr>
            <w:tcW w:w="318" w:type="pct"/>
            <w:shd w:val="clear" w:color="auto" w:fill="auto"/>
            <w:vAlign w:val="center"/>
          </w:tcPr>
          <w:p w:rsidR="00CC3EFF" w:rsidRDefault="00EC19A6">
            <w:pPr>
              <w:spacing w:beforeLines="20" w:before="48" w:afterLines="20" w:after="48"/>
              <w:jc w:val="center"/>
              <w:rPr>
                <w:noProof/>
              </w:rPr>
            </w:pPr>
            <w:r>
              <w:rPr>
                <w:noProof/>
              </w:rPr>
              <w:t>4</w:t>
            </w:r>
          </w:p>
        </w:tc>
        <w:tc>
          <w:tcPr>
            <w:tcW w:w="318" w:type="pct"/>
            <w:shd w:val="clear" w:color="auto" w:fill="auto"/>
            <w:vAlign w:val="center"/>
          </w:tcPr>
          <w:p w:rsidR="00CC3EFF" w:rsidRDefault="00EC19A6">
            <w:pPr>
              <w:spacing w:beforeLines="20" w:before="48" w:afterLines="20" w:after="48"/>
              <w:jc w:val="center"/>
              <w:rPr>
                <w:noProof/>
              </w:rPr>
            </w:pPr>
            <w:r>
              <w:rPr>
                <w:noProof/>
              </w:rPr>
              <w:t>4</w:t>
            </w:r>
          </w:p>
        </w:tc>
        <w:tc>
          <w:tcPr>
            <w:tcW w:w="1891" w:type="pct"/>
            <w:shd w:val="clear" w:color="auto" w:fill="auto"/>
            <w:vAlign w:val="center"/>
          </w:tcPr>
          <w:p w:rsidR="00CC3EFF" w:rsidRDefault="00EC19A6">
            <w:pPr>
              <w:spacing w:beforeLines="20" w:before="48" w:afterLines="20" w:after="48"/>
              <w:jc w:val="center"/>
              <w:rPr>
                <w:noProof/>
              </w:rPr>
            </w:pPr>
            <w:r>
              <w:rPr>
                <w:noProof/>
              </w:rPr>
              <w:t>4</w:t>
            </w:r>
          </w:p>
        </w:tc>
        <w:tc>
          <w:tcPr>
            <w:tcW w:w="226" w:type="pct"/>
            <w:shd w:val="clear" w:color="auto" w:fill="auto"/>
            <w:vAlign w:val="center"/>
          </w:tcPr>
          <w:p w:rsidR="00CC3EFF" w:rsidRDefault="00EC19A6">
            <w:pPr>
              <w:spacing w:beforeLines="20" w:before="48" w:afterLines="20" w:after="48"/>
              <w:jc w:val="center"/>
              <w:rPr>
                <w:noProof/>
              </w:rPr>
            </w:pPr>
            <w:r>
              <w:rPr>
                <w:noProof/>
              </w:rPr>
              <w:t>4</w:t>
            </w:r>
          </w:p>
        </w:tc>
        <w:tc>
          <w:tcPr>
            <w:tcW w:w="115" w:type="pct"/>
            <w:shd w:val="clear" w:color="auto" w:fill="auto"/>
            <w:vAlign w:val="center"/>
          </w:tcPr>
          <w:p w:rsidR="00CC3EFF" w:rsidRDefault="00EC19A6">
            <w:pPr>
              <w:spacing w:beforeLines="20" w:before="48" w:afterLines="20" w:after="48"/>
              <w:jc w:val="center"/>
              <w:rPr>
                <w:noProof/>
              </w:rPr>
            </w:pPr>
            <w:r>
              <w:rPr>
                <w:noProof/>
              </w:rPr>
              <w:t>4</w:t>
            </w:r>
          </w:p>
        </w:tc>
        <w:tc>
          <w:tcPr>
            <w:tcW w:w="115" w:type="pct"/>
            <w:shd w:val="clear" w:color="auto" w:fill="auto"/>
            <w:vAlign w:val="center"/>
          </w:tcPr>
          <w:p w:rsidR="00CC3EFF" w:rsidRDefault="00CC3EFF">
            <w:pPr>
              <w:spacing w:beforeLines="20" w:before="48" w:afterLines="20" w:after="48"/>
              <w:jc w:val="center"/>
              <w:rPr>
                <w:noProof/>
              </w:rPr>
            </w:pP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4"/>
              <w:jc w:val="left"/>
              <w:rPr>
                <w:noProof/>
                <w:sz w:val="16"/>
                <w:szCs w:val="16"/>
              </w:rPr>
            </w:pPr>
            <w:r>
              <w:rPr>
                <w:noProof/>
                <w:sz w:val="16"/>
              </w:rPr>
              <w:t>XX 01 01 02 (în delegații)</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4"/>
              <w:jc w:val="left"/>
              <w:rPr>
                <w:noProof/>
                <w:sz w:val="16"/>
                <w:szCs w:val="16"/>
              </w:rPr>
            </w:pPr>
            <w:r>
              <w:rPr>
                <w:noProof/>
                <w:sz w:val="16"/>
              </w:rPr>
              <w:t>XX 01 05 01 (cercetare indirectă)</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4"/>
              <w:jc w:val="left"/>
              <w:rPr>
                <w:noProof/>
                <w:sz w:val="16"/>
                <w:szCs w:val="16"/>
              </w:rPr>
            </w:pPr>
            <w:r>
              <w:rPr>
                <w:noProof/>
                <w:sz w:val="16"/>
              </w:rPr>
              <w:t>10 01 05 01 (cercetare directă)</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After w:val="4"/>
          <w:wAfter w:w="571" w:type="pct"/>
          <w:trHeight w:val="248"/>
          <w:jc w:val="center"/>
        </w:trPr>
        <w:tc>
          <w:tcPr>
            <w:tcW w:w="4429" w:type="pct"/>
            <w:gridSpan w:val="6"/>
            <w:shd w:val="clear" w:color="auto" w:fill="auto"/>
            <w:vAlign w:val="center"/>
          </w:tcPr>
          <w:p w:rsidR="00CC3EFF" w:rsidRDefault="00EC19A6">
            <w:pPr>
              <w:pStyle w:val="Text1"/>
              <w:spacing w:before="60" w:after="60"/>
              <w:ind w:left="0"/>
              <w:jc w:val="left"/>
              <w:rPr>
                <w:b/>
                <w:noProof/>
                <w:sz w:val="16"/>
                <w:szCs w:val="16"/>
              </w:rPr>
            </w:pPr>
            <w:r>
              <w:rPr>
                <w:b/>
                <w:noProof/>
                <w:sz w:val="16"/>
                <w:szCs w:val="16"/>
              </w:rPr>
              <w:sym w:font="Wingdings" w:char="F09F"/>
            </w:r>
            <w:r>
              <w:rPr>
                <w:noProof/>
                <w:sz w:val="16"/>
                <w:szCs w:val="16"/>
              </w:rPr>
              <w:t xml:space="preserve"> </w:t>
            </w:r>
            <w:r>
              <w:rPr>
                <w:b/>
                <w:noProof/>
                <w:sz w:val="16"/>
                <w:szCs w:val="16"/>
              </w:rPr>
              <w:t>Personal extern (în echivalente normă de întreagă: ENI)</w:t>
            </w:r>
            <w:r>
              <w:rPr>
                <w:rStyle w:val="FootnoteReference"/>
                <w:b/>
                <w:noProof/>
                <w:sz w:val="16"/>
                <w:szCs w:val="16"/>
              </w:rPr>
              <w:footnoteReference w:id="28"/>
            </w:r>
          </w:p>
          <w:p w:rsidR="00CC3EFF" w:rsidRDefault="00CC3EFF">
            <w:pPr>
              <w:pStyle w:val="Text1"/>
              <w:spacing w:before="0" w:after="0"/>
              <w:ind w:left="0"/>
              <w:jc w:val="left"/>
              <w:rPr>
                <w:noProof/>
                <w:sz w:val="16"/>
                <w:szCs w:val="16"/>
              </w:rPr>
            </w:pP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6"/>
              <w:jc w:val="left"/>
              <w:rPr>
                <w:b/>
                <w:noProof/>
                <w:sz w:val="16"/>
                <w:szCs w:val="16"/>
              </w:rPr>
            </w:pPr>
            <w:r>
              <w:rPr>
                <w:noProof/>
                <w:sz w:val="16"/>
              </w:rPr>
              <w:t>XX 01 02 01 (AC, END, INT din „pachetul global”)</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CC3EFF">
            <w:pPr>
              <w:spacing w:beforeLines="20" w:before="48" w:afterLines="20" w:after="48"/>
              <w:jc w:val="center"/>
              <w:rPr>
                <w:noProof/>
              </w:rPr>
            </w:pP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6"/>
              <w:jc w:val="left"/>
              <w:rPr>
                <w:noProof/>
                <w:sz w:val="16"/>
                <w:szCs w:val="16"/>
              </w:rPr>
            </w:pPr>
            <w:r>
              <w:rPr>
                <w:noProof/>
                <w:sz w:val="16"/>
              </w:rPr>
              <w:t>XX 01 02 02 (AC, AL, END, INT și JED în delegații)</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948" w:type="pct"/>
            <w:vMerge w:val="restart"/>
            <w:shd w:val="clear" w:color="auto" w:fill="auto"/>
            <w:vAlign w:val="center"/>
          </w:tcPr>
          <w:p w:rsidR="00CC3EFF" w:rsidRDefault="00EC19A6">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29"/>
            </w:r>
          </w:p>
          <w:p w:rsidR="00CC3EFF" w:rsidRDefault="00CC3EFF">
            <w:pPr>
              <w:pStyle w:val="Text1"/>
              <w:spacing w:beforeLines="20" w:before="48" w:afterLines="20" w:after="48"/>
              <w:ind w:left="136"/>
              <w:jc w:val="left"/>
              <w:rPr>
                <w:b/>
                <w:noProof/>
                <w:sz w:val="16"/>
                <w:szCs w:val="16"/>
              </w:rPr>
            </w:pPr>
          </w:p>
        </w:tc>
        <w:tc>
          <w:tcPr>
            <w:tcW w:w="949" w:type="pct"/>
            <w:shd w:val="clear" w:color="auto" w:fill="auto"/>
            <w:vAlign w:val="center"/>
          </w:tcPr>
          <w:p w:rsidR="00CC3EFF" w:rsidRDefault="00EC19A6">
            <w:pPr>
              <w:pStyle w:val="Text1"/>
              <w:spacing w:beforeLines="20" w:before="48" w:afterLines="20" w:after="48"/>
              <w:ind w:left="136"/>
              <w:jc w:val="left"/>
              <w:rPr>
                <w:b/>
                <w:noProof/>
                <w:sz w:val="16"/>
                <w:szCs w:val="16"/>
              </w:rPr>
            </w:pPr>
            <w:r>
              <w:rPr>
                <w:noProof/>
                <w:sz w:val="16"/>
              </w:rPr>
              <w:t>- la sediu</w:t>
            </w:r>
          </w:p>
          <w:p w:rsidR="00CC3EFF" w:rsidRDefault="00CC3EFF">
            <w:pPr>
              <w:pStyle w:val="Text1"/>
              <w:spacing w:beforeLines="20" w:before="48" w:afterLines="20" w:after="48"/>
              <w:ind w:left="136"/>
              <w:jc w:val="left"/>
              <w:rPr>
                <w:b/>
                <w:noProof/>
                <w:sz w:val="16"/>
                <w:szCs w:val="16"/>
              </w:rPr>
            </w:pP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r>
      <w:tr w:rsidR="00CC3EFF">
        <w:trPr>
          <w:gridBefore w:val="1"/>
          <w:wBefore w:w="6" w:type="pct"/>
          <w:trHeight w:val="289"/>
          <w:jc w:val="center"/>
        </w:trPr>
        <w:tc>
          <w:tcPr>
            <w:tcW w:w="948" w:type="pct"/>
            <w:vMerge/>
            <w:shd w:val="clear" w:color="auto" w:fill="auto"/>
            <w:vAlign w:val="center"/>
          </w:tcPr>
          <w:p w:rsidR="00CC3EFF" w:rsidRDefault="00CC3EFF">
            <w:pPr>
              <w:pStyle w:val="Text1"/>
              <w:spacing w:beforeLines="20" w:before="48" w:afterLines="20" w:after="48"/>
              <w:ind w:left="136"/>
              <w:jc w:val="left"/>
              <w:rPr>
                <w:b/>
                <w:noProof/>
                <w:sz w:val="16"/>
                <w:szCs w:val="16"/>
              </w:rPr>
            </w:pPr>
          </w:p>
        </w:tc>
        <w:tc>
          <w:tcPr>
            <w:tcW w:w="949" w:type="pct"/>
            <w:shd w:val="clear" w:color="auto" w:fill="auto"/>
            <w:vAlign w:val="center"/>
          </w:tcPr>
          <w:p w:rsidR="00CC3EFF" w:rsidRDefault="00EC19A6">
            <w:pPr>
              <w:pStyle w:val="Text1"/>
              <w:spacing w:beforeLines="20" w:before="48" w:afterLines="20" w:after="48"/>
              <w:ind w:left="136"/>
              <w:jc w:val="left"/>
              <w:rPr>
                <w:b/>
                <w:noProof/>
                <w:sz w:val="16"/>
                <w:szCs w:val="16"/>
              </w:rPr>
            </w:pPr>
            <w:r>
              <w:rPr>
                <w:noProof/>
                <w:sz w:val="16"/>
              </w:rPr>
              <w:t xml:space="preserve">- în delegații </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w:t>
            </w: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w:t>
            </w:r>
            <w:r>
              <w:rPr>
                <w:noProof/>
              </w:rPr>
              <w:t xml:space="preserve"> </w:t>
            </w:r>
            <w:r>
              <w:rPr>
                <w:noProof/>
                <w:sz w:val="16"/>
                <w:szCs w:val="16"/>
              </w:rPr>
              <w:t>cercetare</w:t>
            </w:r>
            <w:r>
              <w:rPr>
                <w:noProof/>
              </w:rPr>
              <w:t xml:space="preserve"> </w:t>
            </w:r>
            <w:r>
              <w:rPr>
                <w:noProof/>
                <w:sz w:val="16"/>
                <w:szCs w:val="16"/>
              </w:rPr>
              <w:t>indirectă)</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CC3EFF">
            <w:pPr>
              <w:spacing w:beforeLines="20" w:before="48" w:afterLines="20" w:after="48"/>
              <w:jc w:val="center"/>
              <w:rPr>
                <w:noProof/>
              </w:rPr>
            </w:pPr>
          </w:p>
        </w:tc>
        <w:tc>
          <w:tcPr>
            <w:tcW w:w="115" w:type="pct"/>
            <w:shd w:val="clear" w:color="auto" w:fill="auto"/>
            <w:vAlign w:val="center"/>
          </w:tcPr>
          <w:p w:rsidR="00CC3EFF" w:rsidRDefault="00EC19A6">
            <w:pPr>
              <w:spacing w:beforeLines="20" w:before="48" w:afterLines="20" w:after="48"/>
              <w:jc w:val="center"/>
              <w:rPr>
                <w:noProof/>
              </w:rPr>
            </w:pPr>
            <w:r>
              <w:rPr>
                <w:noProof/>
              </w:rPr>
              <w:t>m.</w:t>
            </w:r>
          </w:p>
        </w:tc>
      </w:tr>
      <w:tr w:rsidR="00CC3EFF">
        <w:trPr>
          <w:gridBefore w:val="1"/>
          <w:wBefore w:w="6" w:type="pct"/>
          <w:trHeight w:val="289"/>
          <w:jc w:val="center"/>
        </w:trPr>
        <w:tc>
          <w:tcPr>
            <w:tcW w:w="1897" w:type="pct"/>
            <w:gridSpan w:val="2"/>
            <w:shd w:val="clear" w:color="auto" w:fill="auto"/>
            <w:vAlign w:val="center"/>
          </w:tcPr>
          <w:p w:rsidR="00CC3EFF" w:rsidRDefault="00EC19A6">
            <w:pPr>
              <w:pStyle w:val="Text1"/>
              <w:spacing w:beforeLines="20" w:before="48" w:afterLines="20" w:after="48"/>
              <w:ind w:left="136"/>
              <w:jc w:val="left"/>
              <w:rPr>
                <w:noProof/>
                <w:sz w:val="16"/>
                <w:szCs w:val="16"/>
              </w:rPr>
            </w:pPr>
            <w:r>
              <w:rPr>
                <w:noProof/>
                <w:sz w:val="16"/>
              </w:rPr>
              <w:t>10 01 05 02 (AC, END, INT - cercetare directă)</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318" w:type="pct"/>
            <w:shd w:val="clear" w:color="auto" w:fill="auto"/>
            <w:vAlign w:val="center"/>
          </w:tcPr>
          <w:p w:rsidR="00CC3EFF" w:rsidRDefault="00EC19A6">
            <w:pPr>
              <w:spacing w:beforeLines="20" w:before="48" w:afterLines="20" w:after="48"/>
              <w:jc w:val="center"/>
              <w:rPr>
                <w:noProof/>
              </w:rPr>
            </w:pPr>
            <w:r>
              <w:rPr>
                <w:noProof/>
              </w:rPr>
              <w:t>p.m.</w:t>
            </w:r>
          </w:p>
        </w:tc>
        <w:tc>
          <w:tcPr>
            <w:tcW w:w="1891" w:type="pct"/>
            <w:shd w:val="clear" w:color="auto" w:fill="auto"/>
            <w:vAlign w:val="center"/>
          </w:tcPr>
          <w:p w:rsidR="00CC3EFF" w:rsidRDefault="00EC19A6">
            <w:pPr>
              <w:spacing w:beforeLines="20" w:before="48" w:afterLines="20" w:after="48"/>
              <w:jc w:val="center"/>
              <w:rPr>
                <w:noProof/>
              </w:rPr>
            </w:pPr>
            <w:r>
              <w:rPr>
                <w:noProof/>
              </w:rPr>
              <w:t>p.m.</w:t>
            </w:r>
          </w:p>
        </w:tc>
        <w:tc>
          <w:tcPr>
            <w:tcW w:w="226"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EC19A6">
            <w:pPr>
              <w:spacing w:beforeLines="20" w:before="48" w:afterLines="20" w:after="48"/>
              <w:jc w:val="center"/>
              <w:rPr>
                <w:noProof/>
              </w:rPr>
            </w:pPr>
            <w:r>
              <w:rPr>
                <w:noProof/>
              </w:rPr>
              <w:t>p.m.</w:t>
            </w:r>
          </w:p>
        </w:tc>
        <w:tc>
          <w:tcPr>
            <w:tcW w:w="115" w:type="pct"/>
            <w:shd w:val="clear" w:color="auto" w:fill="auto"/>
            <w:vAlign w:val="center"/>
          </w:tcPr>
          <w:p w:rsidR="00CC3EFF" w:rsidRDefault="00CC3EFF">
            <w:pPr>
              <w:spacing w:beforeLines="20" w:before="48" w:afterLines="20" w:after="48"/>
              <w:jc w:val="center"/>
              <w:rPr>
                <w:noProof/>
              </w:rPr>
            </w:pPr>
          </w:p>
        </w:tc>
        <w:tc>
          <w:tcPr>
            <w:tcW w:w="115" w:type="pct"/>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1897" w:type="pct"/>
            <w:gridSpan w:val="2"/>
            <w:tcBorders>
              <w:bottom w:val="double" w:sz="4" w:space="0" w:color="auto"/>
            </w:tcBorders>
            <w:shd w:val="clear" w:color="auto" w:fill="auto"/>
            <w:vAlign w:val="center"/>
          </w:tcPr>
          <w:p w:rsidR="00CC3EFF" w:rsidRDefault="00EC19A6">
            <w:pPr>
              <w:pStyle w:val="Text1"/>
              <w:spacing w:beforeLines="20" w:before="48" w:afterLines="20" w:after="48"/>
              <w:ind w:left="134"/>
              <w:jc w:val="left"/>
              <w:rPr>
                <w:noProof/>
                <w:sz w:val="16"/>
                <w:szCs w:val="16"/>
              </w:rPr>
            </w:pPr>
            <w:r>
              <w:rPr>
                <w:noProof/>
                <w:sz w:val="16"/>
              </w:rPr>
              <w:t>Alte linii bugetare (a se preciza)</w:t>
            </w:r>
          </w:p>
        </w:tc>
        <w:tc>
          <w:tcPr>
            <w:tcW w:w="318" w:type="pct"/>
            <w:tcBorders>
              <w:bottom w:val="double" w:sz="4" w:space="0" w:color="auto"/>
            </w:tcBorders>
            <w:shd w:val="clear" w:color="auto" w:fill="auto"/>
            <w:vAlign w:val="center"/>
          </w:tcPr>
          <w:p w:rsidR="00CC3EFF" w:rsidRDefault="00EC19A6">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rsidR="00CC3EFF" w:rsidRDefault="00EC19A6">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rsidR="00CC3EFF" w:rsidRDefault="00EC19A6">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rsidR="00CC3EFF" w:rsidRDefault="00EC19A6">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CC3EFF" w:rsidRDefault="00EC19A6">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CC3EFF" w:rsidRDefault="00CC3EFF">
            <w:pPr>
              <w:spacing w:beforeLines="20" w:before="48" w:afterLines="20" w:after="48"/>
              <w:jc w:val="center"/>
              <w:rPr>
                <w:noProof/>
              </w:rPr>
            </w:pPr>
          </w:p>
        </w:tc>
        <w:tc>
          <w:tcPr>
            <w:tcW w:w="115" w:type="pct"/>
            <w:tcBorders>
              <w:bottom w:val="double" w:sz="4" w:space="0" w:color="auto"/>
            </w:tcBorders>
            <w:shd w:val="clear" w:color="auto" w:fill="auto"/>
            <w:vAlign w:val="center"/>
          </w:tcPr>
          <w:p w:rsidR="00CC3EFF" w:rsidRDefault="00CC3EFF">
            <w:pPr>
              <w:spacing w:beforeLines="20" w:before="48" w:afterLines="20" w:after="48"/>
              <w:jc w:val="center"/>
              <w:rPr>
                <w:noProof/>
              </w:rPr>
            </w:pPr>
          </w:p>
        </w:tc>
      </w:tr>
      <w:tr w:rsidR="00CC3EFF">
        <w:trPr>
          <w:gridBefore w:val="1"/>
          <w:wBefore w:w="6" w:type="pct"/>
          <w:trHeight w:val="289"/>
          <w:jc w:val="center"/>
        </w:trPr>
        <w:tc>
          <w:tcPr>
            <w:tcW w:w="1897" w:type="pct"/>
            <w:gridSpan w:val="2"/>
            <w:tcBorders>
              <w:top w:val="double" w:sz="4" w:space="0" w:color="auto"/>
            </w:tcBorders>
            <w:shd w:val="clear" w:color="auto" w:fill="auto"/>
            <w:vAlign w:val="center"/>
          </w:tcPr>
          <w:p w:rsidR="00CC3EFF" w:rsidRDefault="00EC19A6">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CC3EFF" w:rsidRDefault="00EC19A6">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rsidR="00CC3EFF" w:rsidRDefault="00EC19A6">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rsidR="00CC3EFF" w:rsidRDefault="00EC19A6">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rsidR="00CC3EFF" w:rsidRDefault="00EC19A6">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CC3EFF" w:rsidRDefault="00EC19A6">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CC3EFF" w:rsidRDefault="00CC3EFF">
            <w:pPr>
              <w:spacing w:beforeLines="20" w:before="48" w:afterLines="20" w:after="48"/>
              <w:jc w:val="center"/>
              <w:rPr>
                <w:noProof/>
              </w:rPr>
            </w:pPr>
          </w:p>
        </w:tc>
        <w:tc>
          <w:tcPr>
            <w:tcW w:w="115" w:type="pct"/>
            <w:tcBorders>
              <w:top w:val="double" w:sz="4" w:space="0" w:color="auto"/>
            </w:tcBorders>
            <w:shd w:val="clear" w:color="auto" w:fill="auto"/>
            <w:vAlign w:val="center"/>
          </w:tcPr>
          <w:p w:rsidR="00CC3EFF" w:rsidRDefault="00CC3EFF">
            <w:pPr>
              <w:spacing w:beforeLines="20" w:before="48" w:afterLines="20" w:after="48"/>
              <w:jc w:val="center"/>
              <w:rPr>
                <w:noProof/>
              </w:rPr>
            </w:pPr>
          </w:p>
        </w:tc>
      </w:tr>
    </w:tbl>
    <w:p w:rsidR="00CC3EFF" w:rsidRDefault="00EC19A6">
      <w:pPr>
        <w:pStyle w:val="Text1"/>
        <w:spacing w:before="60" w:after="60"/>
        <w:ind w:left="851"/>
        <w:rPr>
          <w:noProof/>
          <w:sz w:val="18"/>
          <w:szCs w:val="18"/>
        </w:rPr>
      </w:pPr>
      <w:r>
        <w:rPr>
          <w:b/>
          <w:noProof/>
          <w:sz w:val="18"/>
          <w:szCs w:val="18"/>
        </w:rPr>
        <w:t>XX</w:t>
      </w:r>
      <w:r>
        <w:rPr>
          <w:noProof/>
          <w:sz w:val="18"/>
          <w:szCs w:val="18"/>
        </w:rPr>
        <w:t xml:space="preserve"> este domeniul de politică sau titlul din buget în cauză.</w:t>
      </w:r>
    </w:p>
    <w:p w:rsidR="00CC3EFF" w:rsidRDefault="00EC19A6">
      <w:pPr>
        <w:pStyle w:val="Text1"/>
        <w:rPr>
          <w:noProof/>
          <w:sz w:val="18"/>
          <w:szCs w:val="18"/>
        </w:rPr>
      </w:pPr>
      <w:r>
        <w:rPr>
          <w:noProof/>
          <w:sz w:val="18"/>
        </w:rPr>
        <w:t>Necesarul</w:t>
      </w:r>
      <w:r>
        <w:rPr>
          <w:noProof/>
          <w:sz w:val="18"/>
        </w:rPr>
        <w:t xml:space="preserve"> de resurse umane va fi asigurat din efectivele de personal ale DG-ului în cauză alocate deja pentru gestionarea acțiunii și/sau realocate intern în cadrul DG-ului, completate, după caz, prin resurse suplimentare ce ar putea fi alocate DG-ului care gestion</w:t>
      </w:r>
      <w:r>
        <w:rPr>
          <w:noProof/>
          <w:sz w:val="18"/>
        </w:rPr>
        <w:t>ează acțiunea în cadrul procedurii de alocare anuală și în lumina constrângerilor bugetare.</w:t>
      </w:r>
    </w:p>
    <w:p w:rsidR="00CC3EFF" w:rsidRDefault="00EC19A6">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CC3EFF">
        <w:tc>
          <w:tcPr>
            <w:tcW w:w="3240" w:type="dxa"/>
          </w:tcPr>
          <w:p w:rsidR="00CC3EFF" w:rsidRDefault="00EC19A6">
            <w:pPr>
              <w:rPr>
                <w:noProof/>
                <w:sz w:val="20"/>
              </w:rPr>
            </w:pPr>
            <w:r>
              <w:rPr>
                <w:noProof/>
                <w:sz w:val="20"/>
              </w:rPr>
              <w:t>Funcționari și personal temporar</w:t>
            </w:r>
          </w:p>
        </w:tc>
        <w:tc>
          <w:tcPr>
            <w:tcW w:w="7200" w:type="dxa"/>
          </w:tcPr>
          <w:p w:rsidR="00CC3EFF" w:rsidRDefault="00EC19A6">
            <w:pPr>
              <w:rPr>
                <w:noProof/>
                <w:sz w:val="20"/>
              </w:rPr>
            </w:pPr>
            <w:r>
              <w:rPr>
                <w:noProof/>
                <w:sz w:val="20"/>
              </w:rPr>
              <w:t>Pregătirea întâlnirilor și corespondență cu statele membre; (în funcție de discuțiile</w:t>
            </w:r>
            <w:r>
              <w:rPr>
                <w:noProof/>
                <w:sz w:val="20"/>
              </w:rPr>
              <w:t xml:space="preserve"> cu statele membre) activități legate de formulare, formatele IT și registrul central; comandarea unor contractanți externi pentru a lucra la sistemul IT.</w:t>
            </w:r>
          </w:p>
        </w:tc>
      </w:tr>
      <w:tr w:rsidR="00CC3EFF">
        <w:tc>
          <w:tcPr>
            <w:tcW w:w="3240" w:type="dxa"/>
          </w:tcPr>
          <w:p w:rsidR="00CC3EFF" w:rsidRDefault="00EC19A6">
            <w:pPr>
              <w:spacing w:before="60" w:after="60"/>
              <w:rPr>
                <w:noProof/>
                <w:sz w:val="20"/>
              </w:rPr>
            </w:pPr>
            <w:r>
              <w:rPr>
                <w:noProof/>
                <w:sz w:val="20"/>
              </w:rPr>
              <w:t>Personal extern</w:t>
            </w:r>
          </w:p>
        </w:tc>
        <w:tc>
          <w:tcPr>
            <w:tcW w:w="7200" w:type="dxa"/>
          </w:tcPr>
          <w:p w:rsidR="00CC3EFF" w:rsidRDefault="00EC19A6">
            <w:pPr>
              <w:rPr>
                <w:noProof/>
                <w:sz w:val="20"/>
              </w:rPr>
            </w:pPr>
            <w:r>
              <w:rPr>
                <w:noProof/>
                <w:sz w:val="20"/>
              </w:rPr>
              <w:t>N/A</w:t>
            </w:r>
          </w:p>
        </w:tc>
      </w:tr>
    </w:tbl>
    <w:p w:rsidR="00CC3EFF" w:rsidRDefault="00CC3EFF">
      <w:pPr>
        <w:rPr>
          <w:noProof/>
        </w:rPr>
        <w:sectPr w:rsidR="00CC3EFF">
          <w:pgSz w:w="11907" w:h="16840"/>
          <w:pgMar w:top="1134" w:right="1418" w:bottom="1134" w:left="1418" w:header="709" w:footer="709" w:gutter="0"/>
          <w:cols w:space="708"/>
          <w:docGrid w:linePitch="360"/>
        </w:sectPr>
      </w:pPr>
    </w:p>
    <w:p w:rsidR="00CC3EFF" w:rsidRDefault="00EC19A6">
      <w:pPr>
        <w:pStyle w:val="ManualHeading3"/>
        <w:rPr>
          <w:bCs/>
          <w:noProof/>
          <w:szCs w:val="24"/>
        </w:rPr>
      </w:pPr>
      <w:r>
        <w:t>3.2.4.</w:t>
      </w:r>
      <w:r>
        <w:tab/>
      </w:r>
      <w:r>
        <w:rPr>
          <w:noProof/>
        </w:rPr>
        <w:t>Compatibilitatea cu actualul cadru financiar multi</w:t>
      </w:r>
      <w:r>
        <w:rPr>
          <w:noProof/>
        </w:rPr>
        <w:t xml:space="preserve">anual </w:t>
      </w:r>
    </w:p>
    <w:p w:rsidR="00CC3EFF" w:rsidRDefault="00EC19A6">
      <w:pPr>
        <w:pStyle w:val="ListDash1"/>
        <w:rPr>
          <w:noProof/>
        </w:rPr>
      </w:pPr>
      <w:r>
        <w:rPr>
          <w:noProof/>
        </w:rPr>
        <w:sym w:font="Wingdings" w:char="F0FD"/>
      </w:r>
      <w:r>
        <w:rPr>
          <w:noProof/>
        </w:rPr>
        <w:tab/>
        <w:t>Propunerea/inițiativa este compatibilă cu cadrul financiar multianual existent.</w:t>
      </w:r>
    </w:p>
    <w:p w:rsidR="00CC3EFF" w:rsidRDefault="00EC19A6">
      <w:pPr>
        <w:pStyle w:val="ListDash1"/>
        <w:rPr>
          <w:noProof/>
        </w:rPr>
      </w:pPr>
      <w:r>
        <w:rPr>
          <w:noProof/>
        </w:rPr>
        <w:sym w:font="Wingdings" w:char="F0A8"/>
      </w:r>
      <w:r>
        <w:rPr>
          <w:noProof/>
        </w:rPr>
        <w:tab/>
        <w:t>Propunerea/inițiativa necesită o reprogramare a rubricii corespunzătoare din cadrul financiar multianual.</w:t>
      </w:r>
    </w:p>
    <w:p w:rsidR="00CC3EFF" w:rsidRDefault="00EC19A6">
      <w:pPr>
        <w:pStyle w:val="Text1"/>
        <w:pBdr>
          <w:top w:val="single" w:sz="4" w:space="1" w:color="auto"/>
          <w:left w:val="single" w:sz="4" w:space="4" w:color="auto"/>
          <w:bottom w:val="single" w:sz="4" w:space="1" w:color="auto"/>
          <w:right w:val="single" w:sz="4" w:space="4" w:color="auto"/>
        </w:pBdr>
        <w:rPr>
          <w:noProof/>
          <w:sz w:val="20"/>
        </w:rPr>
      </w:pPr>
      <w:r>
        <w:rPr>
          <w:noProof/>
          <w:sz w:val="20"/>
        </w:rPr>
        <w:t xml:space="preserve">A se explica reprogramarea necesară, precizându-se liniile </w:t>
      </w:r>
      <w:r>
        <w:rPr>
          <w:noProof/>
          <w:sz w:val="20"/>
        </w:rPr>
        <w:t>bugetare în cauză și sumele aferente.</w:t>
      </w:r>
    </w:p>
    <w:p w:rsidR="00CC3EFF" w:rsidRDefault="00CC3EFF">
      <w:pPr>
        <w:pStyle w:val="Text1"/>
        <w:pBdr>
          <w:top w:val="single" w:sz="4" w:space="1" w:color="auto"/>
          <w:left w:val="single" w:sz="4" w:space="4" w:color="auto"/>
          <w:bottom w:val="single" w:sz="4" w:space="1" w:color="auto"/>
          <w:right w:val="single" w:sz="4" w:space="4" w:color="auto"/>
        </w:pBdr>
        <w:rPr>
          <w:noProof/>
        </w:rPr>
      </w:pPr>
    </w:p>
    <w:p w:rsidR="00CC3EFF" w:rsidRDefault="00EC19A6">
      <w:pPr>
        <w:pStyle w:val="ListDash1"/>
        <w:rPr>
          <w:noProof/>
        </w:rPr>
      </w:pPr>
      <w:r>
        <w:rPr>
          <w:noProof/>
        </w:rPr>
        <w:sym w:font="Wingdings" w:char="F0A8"/>
      </w:r>
      <w:r>
        <w:rPr>
          <w:noProof/>
        </w:rPr>
        <w:tab/>
        <w:t>Propunerea/inițiativa necesită recurgerea la instrumentul de flexibilitate sau la revizuirea cadrului financiar multianual.</w:t>
      </w:r>
    </w:p>
    <w:p w:rsidR="00CC3EFF" w:rsidRDefault="00EC19A6">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necesitatea efectuării acestei acțiuni, precizând rubricile și liniile bugetar</w:t>
      </w:r>
      <w:r>
        <w:rPr>
          <w:noProof/>
          <w:sz w:val="20"/>
        </w:rPr>
        <w:t>e în cauză, precum și sumele aferente.</w:t>
      </w:r>
    </w:p>
    <w:p w:rsidR="00CC3EFF" w:rsidRDefault="00CC3EFF">
      <w:pPr>
        <w:pStyle w:val="Text1"/>
        <w:pBdr>
          <w:top w:val="single" w:sz="4" w:space="1" w:color="auto"/>
          <w:left w:val="single" w:sz="4" w:space="4" w:color="auto"/>
          <w:bottom w:val="single" w:sz="4" w:space="1" w:color="auto"/>
          <w:right w:val="single" w:sz="4" w:space="4" w:color="auto"/>
        </w:pBdr>
        <w:rPr>
          <w:noProof/>
        </w:rPr>
      </w:pPr>
    </w:p>
    <w:p w:rsidR="00CC3EFF" w:rsidRDefault="00EC19A6">
      <w:pPr>
        <w:pStyle w:val="ManualHeading3"/>
        <w:rPr>
          <w:bCs/>
          <w:noProof/>
          <w:szCs w:val="24"/>
        </w:rPr>
      </w:pPr>
      <w:r>
        <w:t>3.2.5.</w:t>
      </w:r>
      <w:r>
        <w:tab/>
      </w:r>
      <w:r>
        <w:rPr>
          <w:noProof/>
        </w:rPr>
        <w:t xml:space="preserve">Contribuția terților </w:t>
      </w:r>
    </w:p>
    <w:p w:rsidR="00CC3EFF" w:rsidRDefault="00EC19A6">
      <w:pPr>
        <w:pStyle w:val="ListDash1"/>
        <w:rPr>
          <w:noProof/>
        </w:rPr>
      </w:pPr>
      <w:r>
        <w:rPr>
          <w:noProof/>
        </w:rPr>
        <w:t xml:space="preserve">Propunerea/inițiativa nu prevede cofinanțare din partea terților. </w:t>
      </w:r>
    </w:p>
    <w:p w:rsidR="00CC3EFF" w:rsidRDefault="00EC19A6">
      <w:pPr>
        <w:pStyle w:val="ListDash1"/>
        <w:rPr>
          <w:noProof/>
        </w:rPr>
      </w:pPr>
      <w:r>
        <w:rPr>
          <w:strike/>
          <w:noProof/>
        </w:rPr>
        <w:t>Propunerea/inițiativa prevede cofinanțare, estimată în cele ce urmează</w:t>
      </w:r>
      <w:r>
        <w:rPr>
          <w:noProof/>
        </w:rPr>
        <w:t>:</w:t>
      </w:r>
    </w:p>
    <w:p w:rsidR="00CC3EFF" w:rsidRDefault="00EC19A6">
      <w:pPr>
        <w:jc w:val="right"/>
        <w:rPr>
          <w:noProof/>
          <w:sz w:val="20"/>
        </w:rPr>
      </w:pPr>
      <w:r>
        <w:rPr>
          <w:noProof/>
          <w:sz w:val="20"/>
        </w:rPr>
        <w:t>Credite în milioane EUR (cu 3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CC3EFF">
        <w:trPr>
          <w:cantSplit/>
        </w:trPr>
        <w:tc>
          <w:tcPr>
            <w:tcW w:w="2340" w:type="dxa"/>
          </w:tcPr>
          <w:p w:rsidR="00CC3EFF" w:rsidRDefault="00CC3EFF">
            <w:pPr>
              <w:spacing w:before="60" w:after="60"/>
              <w:rPr>
                <w:noProof/>
                <w:sz w:val="20"/>
              </w:rPr>
            </w:pPr>
          </w:p>
        </w:tc>
        <w:tc>
          <w:tcPr>
            <w:tcW w:w="964" w:type="dxa"/>
            <w:vAlign w:val="center"/>
          </w:tcPr>
          <w:p w:rsidR="00CC3EFF" w:rsidRDefault="00EC19A6">
            <w:pPr>
              <w:jc w:val="center"/>
              <w:rPr>
                <w:noProof/>
                <w:sz w:val="20"/>
                <w:szCs w:val="20"/>
              </w:rPr>
            </w:pPr>
            <w:r>
              <w:rPr>
                <w:noProof/>
                <w:sz w:val="20"/>
                <w:szCs w:val="20"/>
              </w:rPr>
              <w:t xml:space="preserve">Anul </w:t>
            </w:r>
            <w:r>
              <w:rPr>
                <w:b/>
                <w:noProof/>
                <w:sz w:val="20"/>
                <w:szCs w:val="20"/>
              </w:rPr>
              <w:t>N</w:t>
            </w:r>
          </w:p>
        </w:tc>
        <w:tc>
          <w:tcPr>
            <w:tcW w:w="964" w:type="dxa"/>
            <w:vAlign w:val="center"/>
          </w:tcPr>
          <w:p w:rsidR="00CC3EFF" w:rsidRDefault="00EC19A6">
            <w:pPr>
              <w:jc w:val="center"/>
              <w:rPr>
                <w:noProof/>
                <w:sz w:val="20"/>
              </w:rPr>
            </w:pPr>
            <w:r>
              <w:rPr>
                <w:noProof/>
                <w:sz w:val="20"/>
                <w:szCs w:val="20"/>
              </w:rPr>
              <w:t xml:space="preserve">Anul </w:t>
            </w:r>
            <w:r>
              <w:rPr>
                <w:b/>
                <w:noProof/>
                <w:sz w:val="20"/>
                <w:szCs w:val="20"/>
              </w:rPr>
              <w:t>N+1</w:t>
            </w:r>
          </w:p>
        </w:tc>
        <w:tc>
          <w:tcPr>
            <w:tcW w:w="964" w:type="dxa"/>
            <w:vAlign w:val="center"/>
          </w:tcPr>
          <w:p w:rsidR="00CC3EFF" w:rsidRDefault="00EC19A6">
            <w:pPr>
              <w:jc w:val="center"/>
              <w:rPr>
                <w:noProof/>
                <w:sz w:val="20"/>
              </w:rPr>
            </w:pPr>
            <w:r>
              <w:rPr>
                <w:noProof/>
                <w:sz w:val="20"/>
                <w:szCs w:val="20"/>
              </w:rPr>
              <w:t>Anul</w:t>
            </w:r>
            <w:r>
              <w:rPr>
                <w:noProof/>
              </w:rPr>
              <w:t xml:space="preserve"> </w:t>
            </w:r>
            <w:r>
              <w:rPr>
                <w:b/>
                <w:noProof/>
                <w:sz w:val="20"/>
              </w:rPr>
              <w:t>N+2</w:t>
            </w:r>
          </w:p>
        </w:tc>
        <w:tc>
          <w:tcPr>
            <w:tcW w:w="964" w:type="dxa"/>
            <w:vAlign w:val="center"/>
          </w:tcPr>
          <w:p w:rsidR="00CC3EFF" w:rsidRDefault="00EC19A6">
            <w:pPr>
              <w:jc w:val="center"/>
              <w:rPr>
                <w:noProof/>
                <w:sz w:val="20"/>
              </w:rPr>
            </w:pPr>
            <w:r>
              <w:rPr>
                <w:noProof/>
                <w:sz w:val="20"/>
                <w:szCs w:val="20"/>
              </w:rPr>
              <w:t>Anul</w:t>
            </w:r>
            <w:r>
              <w:rPr>
                <w:noProof/>
              </w:rPr>
              <w:t xml:space="preserve"> </w:t>
            </w:r>
            <w:r>
              <w:rPr>
                <w:b/>
                <w:noProof/>
                <w:sz w:val="20"/>
              </w:rPr>
              <w:t>N+3</w:t>
            </w:r>
          </w:p>
        </w:tc>
        <w:tc>
          <w:tcPr>
            <w:tcW w:w="2892" w:type="dxa"/>
            <w:gridSpan w:val="3"/>
            <w:vAlign w:val="center"/>
          </w:tcPr>
          <w:p w:rsidR="00CC3EFF" w:rsidRDefault="00EC19A6">
            <w:pPr>
              <w:jc w:val="center"/>
              <w:rPr>
                <w:b/>
                <w:noProof/>
                <w:sz w:val="20"/>
              </w:rPr>
            </w:pPr>
            <w:r>
              <w:rPr>
                <w:noProof/>
                <w:sz w:val="20"/>
              </w:rPr>
              <w:t>A se introduce atâția ani câți sunt considerați necesari pentru a reflecta durata impactului (cf. punctul 1.6)</w:t>
            </w:r>
          </w:p>
        </w:tc>
        <w:tc>
          <w:tcPr>
            <w:tcW w:w="1158" w:type="dxa"/>
            <w:vAlign w:val="center"/>
          </w:tcPr>
          <w:p w:rsidR="00CC3EFF" w:rsidRDefault="00EC19A6">
            <w:pPr>
              <w:spacing w:before="60" w:after="60"/>
              <w:jc w:val="center"/>
              <w:rPr>
                <w:noProof/>
                <w:sz w:val="20"/>
              </w:rPr>
            </w:pPr>
            <w:r>
              <w:rPr>
                <w:noProof/>
                <w:sz w:val="20"/>
              </w:rPr>
              <w:t>Total</w:t>
            </w:r>
          </w:p>
        </w:tc>
      </w:tr>
      <w:tr w:rsidR="00CC3EFF">
        <w:trPr>
          <w:cantSplit/>
        </w:trPr>
        <w:tc>
          <w:tcPr>
            <w:tcW w:w="2340" w:type="dxa"/>
          </w:tcPr>
          <w:p w:rsidR="00CC3EFF" w:rsidRDefault="00EC19A6">
            <w:pPr>
              <w:rPr>
                <w:noProof/>
              </w:rPr>
            </w:pPr>
            <w:r>
              <w:rPr>
                <w:noProof/>
                <w:sz w:val="20"/>
              </w:rPr>
              <w:t>A se preciza organismul care asigură cofinanțarea</w:t>
            </w:r>
            <w:r>
              <w:rPr>
                <w:i/>
                <w:noProof/>
                <w:sz w:val="20"/>
              </w:rPr>
              <w:t xml:space="preserve"> </w:t>
            </w: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1158" w:type="dxa"/>
            <w:vAlign w:val="center"/>
          </w:tcPr>
          <w:p w:rsidR="00CC3EFF" w:rsidRDefault="00CC3EFF">
            <w:pPr>
              <w:spacing w:before="60" w:after="60"/>
              <w:jc w:val="center"/>
              <w:rPr>
                <w:noProof/>
                <w:sz w:val="20"/>
              </w:rPr>
            </w:pPr>
          </w:p>
        </w:tc>
      </w:tr>
      <w:tr w:rsidR="00CC3EFF">
        <w:trPr>
          <w:cantSplit/>
        </w:trPr>
        <w:tc>
          <w:tcPr>
            <w:tcW w:w="2340" w:type="dxa"/>
          </w:tcPr>
          <w:p w:rsidR="00CC3EFF" w:rsidRDefault="00EC19A6">
            <w:pPr>
              <w:spacing w:before="60" w:after="60"/>
              <w:jc w:val="left"/>
              <w:rPr>
                <w:noProof/>
                <w:sz w:val="20"/>
              </w:rPr>
            </w:pPr>
            <w:r>
              <w:rPr>
                <w:noProof/>
                <w:sz w:val="20"/>
              </w:rPr>
              <w:t xml:space="preserve">TOTAL credite cofinanțate </w:t>
            </w: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964" w:type="dxa"/>
            <w:vAlign w:val="center"/>
          </w:tcPr>
          <w:p w:rsidR="00CC3EFF" w:rsidRDefault="00CC3EFF">
            <w:pPr>
              <w:spacing w:before="60" w:after="60"/>
              <w:jc w:val="center"/>
              <w:rPr>
                <w:noProof/>
                <w:sz w:val="20"/>
              </w:rPr>
            </w:pPr>
          </w:p>
        </w:tc>
        <w:tc>
          <w:tcPr>
            <w:tcW w:w="1158" w:type="dxa"/>
            <w:vAlign w:val="center"/>
          </w:tcPr>
          <w:p w:rsidR="00CC3EFF" w:rsidRDefault="00CC3EFF">
            <w:pPr>
              <w:spacing w:before="60" w:after="60"/>
              <w:jc w:val="center"/>
              <w:rPr>
                <w:noProof/>
                <w:sz w:val="20"/>
              </w:rPr>
            </w:pPr>
          </w:p>
        </w:tc>
      </w:tr>
    </w:tbl>
    <w:p w:rsidR="00CC3EFF" w:rsidRDefault="00EC19A6">
      <w:pPr>
        <w:rPr>
          <w:noProof/>
        </w:rPr>
      </w:pPr>
      <w:r>
        <w:rPr>
          <w:noProof/>
        </w:rPr>
        <w:br/>
      </w:r>
    </w:p>
    <w:p w:rsidR="00CC3EFF" w:rsidRDefault="00EC19A6">
      <w:pPr>
        <w:pStyle w:val="ManualHeading2"/>
        <w:rPr>
          <w:bCs/>
          <w:noProof/>
          <w:szCs w:val="24"/>
        </w:rPr>
      </w:pPr>
      <w:r>
        <w:rPr>
          <w:noProof/>
        </w:rPr>
        <w:br w:type="page"/>
      </w:r>
      <w:r>
        <w:t>3.3.</w:t>
      </w:r>
      <w:r>
        <w:tab/>
      </w:r>
      <w:r>
        <w:rPr>
          <w:noProof/>
        </w:rPr>
        <w:t xml:space="preserve">Impactul estimat asupra veniturilor </w:t>
      </w:r>
    </w:p>
    <w:p w:rsidR="00CC3EFF" w:rsidRDefault="00EC19A6">
      <w:pPr>
        <w:pStyle w:val="ListDash1"/>
        <w:rPr>
          <w:noProof/>
        </w:rPr>
      </w:pPr>
      <w:r>
        <w:rPr>
          <w:noProof/>
        </w:rPr>
        <w:sym w:font="Wingdings" w:char="F0FD"/>
      </w:r>
      <w:r>
        <w:rPr>
          <w:noProof/>
        </w:rPr>
        <w:tab/>
        <w:t>Propunerea/inițiativa nu are impact financiar asupra veniturilor.</w:t>
      </w:r>
    </w:p>
    <w:p w:rsidR="00CC3EFF" w:rsidRDefault="00EC19A6">
      <w:pPr>
        <w:pStyle w:val="ListDash1"/>
        <w:rPr>
          <w:noProof/>
        </w:rPr>
      </w:pPr>
      <w:r>
        <w:rPr>
          <w:noProof/>
        </w:rPr>
        <w:sym w:font="Wingdings" w:char="F0A8"/>
      </w:r>
      <w:r>
        <w:rPr>
          <w:noProof/>
        </w:rPr>
        <w:tab/>
        <w:t>Propunerea/inițiativa are următorul impact financiar:</w:t>
      </w:r>
    </w:p>
    <w:p w:rsidR="00CC3EFF" w:rsidRDefault="00EC19A6">
      <w:pPr>
        <w:pStyle w:val="ListNumberLevel3"/>
        <w:rPr>
          <w:noProof/>
        </w:rPr>
      </w:pPr>
      <w:r>
        <w:rPr>
          <w:noProof/>
        </w:rPr>
        <w:sym w:font="Wingdings" w:char="F0A8"/>
      </w:r>
      <w:r>
        <w:rPr>
          <w:noProof/>
        </w:rPr>
        <w:tab/>
        <w:t xml:space="preserve">asupra resurselor proprii </w:t>
      </w:r>
    </w:p>
    <w:p w:rsidR="00CC3EFF" w:rsidRDefault="00EC19A6">
      <w:pPr>
        <w:pStyle w:val="ListNumberLevel3"/>
        <w:rPr>
          <w:noProof/>
        </w:rPr>
      </w:pPr>
      <w:r>
        <w:rPr>
          <w:noProof/>
        </w:rPr>
        <w:sym w:font="Wingdings" w:char="F0A8"/>
      </w:r>
      <w:r>
        <w:rPr>
          <w:noProof/>
        </w:rPr>
        <w:tab/>
        <w:t xml:space="preserve">asupra diverselor venituri </w:t>
      </w:r>
    </w:p>
    <w:p w:rsidR="00CC3EFF" w:rsidRDefault="00EC19A6">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CC3EFF">
        <w:trPr>
          <w:trHeight w:val="388"/>
        </w:trPr>
        <w:tc>
          <w:tcPr>
            <w:tcW w:w="2144" w:type="dxa"/>
            <w:vMerge w:val="restart"/>
            <w:vAlign w:val="center"/>
          </w:tcPr>
          <w:p w:rsidR="00CC3EFF" w:rsidRDefault="00EC19A6">
            <w:pPr>
              <w:spacing w:before="40" w:after="40"/>
              <w:rPr>
                <w:noProof/>
                <w:sz w:val="18"/>
              </w:rPr>
            </w:pPr>
            <w:r>
              <w:rPr>
                <w:noProof/>
                <w:sz w:val="18"/>
              </w:rPr>
              <w:t>Linia bugetară pentru venituri:</w:t>
            </w:r>
          </w:p>
        </w:tc>
        <w:tc>
          <w:tcPr>
            <w:tcW w:w="1276" w:type="dxa"/>
            <w:vMerge w:val="restart"/>
            <w:vAlign w:val="center"/>
          </w:tcPr>
          <w:p w:rsidR="00CC3EFF" w:rsidRDefault="00EC19A6">
            <w:pPr>
              <w:jc w:val="center"/>
              <w:rPr>
                <w:noProof/>
                <w:sz w:val="18"/>
              </w:rPr>
            </w:pPr>
            <w:r>
              <w:rPr>
                <w:noProof/>
                <w:sz w:val="18"/>
              </w:rPr>
              <w:t>Credite disponibile pentru exercițiul financiar în curs</w:t>
            </w:r>
          </w:p>
        </w:tc>
        <w:tc>
          <w:tcPr>
            <w:tcW w:w="7200" w:type="dxa"/>
            <w:gridSpan w:val="7"/>
            <w:vAlign w:val="center"/>
          </w:tcPr>
          <w:p w:rsidR="00CC3EFF" w:rsidRDefault="00EC19A6">
            <w:pPr>
              <w:jc w:val="center"/>
              <w:rPr>
                <w:noProof/>
                <w:sz w:val="18"/>
              </w:rPr>
            </w:pPr>
            <w:r>
              <w:rPr>
                <w:noProof/>
                <w:sz w:val="18"/>
              </w:rPr>
              <w:t>Impactul propunerii/inițiativei</w:t>
            </w:r>
            <w:r>
              <w:rPr>
                <w:rStyle w:val="FootnoteReference"/>
                <w:noProof/>
                <w:sz w:val="18"/>
              </w:rPr>
              <w:footnoteReference w:id="30"/>
            </w:r>
          </w:p>
        </w:tc>
      </w:tr>
      <w:tr w:rsidR="00CC3EFF">
        <w:trPr>
          <w:trHeight w:val="388"/>
        </w:trPr>
        <w:tc>
          <w:tcPr>
            <w:tcW w:w="2144" w:type="dxa"/>
            <w:vMerge/>
          </w:tcPr>
          <w:p w:rsidR="00CC3EFF" w:rsidRDefault="00CC3EFF">
            <w:pPr>
              <w:spacing w:before="40" w:after="40"/>
              <w:rPr>
                <w:noProof/>
                <w:sz w:val="18"/>
              </w:rPr>
            </w:pPr>
          </w:p>
        </w:tc>
        <w:tc>
          <w:tcPr>
            <w:tcW w:w="1276" w:type="dxa"/>
            <w:vMerge/>
          </w:tcPr>
          <w:p w:rsidR="00CC3EFF" w:rsidRDefault="00CC3EFF">
            <w:pPr>
              <w:spacing w:beforeLines="40" w:before="96" w:afterLines="40" w:after="96"/>
              <w:rPr>
                <w:i/>
                <w:noProof/>
                <w:sz w:val="18"/>
              </w:rPr>
            </w:pPr>
          </w:p>
        </w:tc>
        <w:tc>
          <w:tcPr>
            <w:tcW w:w="1080" w:type="dxa"/>
            <w:vAlign w:val="center"/>
          </w:tcPr>
          <w:p w:rsidR="00CC3EFF" w:rsidRDefault="00EC19A6">
            <w:pPr>
              <w:jc w:val="center"/>
              <w:rPr>
                <w:noProof/>
                <w:sz w:val="18"/>
              </w:rPr>
            </w:pPr>
            <w:r>
              <w:rPr>
                <w:noProof/>
                <w:sz w:val="18"/>
                <w:szCs w:val="18"/>
              </w:rPr>
              <w:t>Anul</w:t>
            </w:r>
            <w:r>
              <w:rPr>
                <w:noProof/>
              </w:rPr>
              <w:t xml:space="preserve"> </w:t>
            </w:r>
            <w:r>
              <w:rPr>
                <w:b/>
                <w:noProof/>
                <w:sz w:val="18"/>
              </w:rPr>
              <w:t>N</w:t>
            </w:r>
          </w:p>
        </w:tc>
        <w:tc>
          <w:tcPr>
            <w:tcW w:w="900" w:type="dxa"/>
            <w:vAlign w:val="center"/>
          </w:tcPr>
          <w:p w:rsidR="00CC3EFF" w:rsidRDefault="00EC19A6">
            <w:pPr>
              <w:jc w:val="center"/>
              <w:rPr>
                <w:noProof/>
                <w:sz w:val="18"/>
              </w:rPr>
            </w:pPr>
            <w:r>
              <w:rPr>
                <w:noProof/>
                <w:sz w:val="18"/>
                <w:szCs w:val="18"/>
              </w:rPr>
              <w:t>Anul</w:t>
            </w:r>
            <w:r>
              <w:rPr>
                <w:noProof/>
              </w:rPr>
              <w:t xml:space="preserve"> </w:t>
            </w:r>
            <w:r>
              <w:rPr>
                <w:b/>
                <w:noProof/>
                <w:sz w:val="18"/>
              </w:rPr>
              <w:t>N+1</w:t>
            </w:r>
          </w:p>
        </w:tc>
        <w:tc>
          <w:tcPr>
            <w:tcW w:w="900" w:type="dxa"/>
            <w:vAlign w:val="center"/>
          </w:tcPr>
          <w:p w:rsidR="00CC3EFF" w:rsidRDefault="00EC19A6">
            <w:pPr>
              <w:jc w:val="center"/>
              <w:rPr>
                <w:noProof/>
                <w:sz w:val="18"/>
              </w:rPr>
            </w:pPr>
            <w:r>
              <w:rPr>
                <w:noProof/>
                <w:sz w:val="18"/>
                <w:szCs w:val="18"/>
              </w:rPr>
              <w:t>Anul</w:t>
            </w:r>
            <w:r>
              <w:rPr>
                <w:noProof/>
              </w:rPr>
              <w:t xml:space="preserve"> </w:t>
            </w:r>
            <w:r>
              <w:rPr>
                <w:b/>
                <w:noProof/>
                <w:sz w:val="18"/>
              </w:rPr>
              <w:t>N+2</w:t>
            </w:r>
          </w:p>
        </w:tc>
        <w:tc>
          <w:tcPr>
            <w:tcW w:w="1080" w:type="dxa"/>
            <w:vAlign w:val="center"/>
          </w:tcPr>
          <w:p w:rsidR="00CC3EFF" w:rsidRDefault="00EC19A6">
            <w:pPr>
              <w:jc w:val="center"/>
              <w:rPr>
                <w:noProof/>
                <w:sz w:val="18"/>
              </w:rPr>
            </w:pPr>
            <w:r>
              <w:rPr>
                <w:noProof/>
                <w:sz w:val="18"/>
                <w:szCs w:val="18"/>
              </w:rPr>
              <w:t>Anul</w:t>
            </w:r>
            <w:r>
              <w:rPr>
                <w:noProof/>
              </w:rPr>
              <w:t xml:space="preserve"> </w:t>
            </w:r>
            <w:r>
              <w:rPr>
                <w:b/>
                <w:noProof/>
                <w:sz w:val="18"/>
              </w:rPr>
              <w:t>N+3</w:t>
            </w:r>
          </w:p>
        </w:tc>
        <w:tc>
          <w:tcPr>
            <w:tcW w:w="3240" w:type="dxa"/>
            <w:gridSpan w:val="3"/>
            <w:vAlign w:val="center"/>
          </w:tcPr>
          <w:p w:rsidR="00CC3EFF" w:rsidRDefault="00EC19A6">
            <w:pPr>
              <w:jc w:val="center"/>
              <w:rPr>
                <w:b/>
                <w:noProof/>
                <w:sz w:val="18"/>
              </w:rPr>
            </w:pPr>
            <w:r>
              <w:rPr>
                <w:noProof/>
                <w:sz w:val="18"/>
              </w:rPr>
              <w:t xml:space="preserve">A se introduce atâția ani câți sunt considerați necesari pentru a reflecta durata impactului (cf. </w:t>
            </w:r>
            <w:r>
              <w:rPr>
                <w:noProof/>
                <w:sz w:val="18"/>
              </w:rPr>
              <w:t>punctul 1.6)</w:t>
            </w:r>
          </w:p>
        </w:tc>
      </w:tr>
      <w:tr w:rsidR="00CC3EFF">
        <w:trPr>
          <w:trHeight w:val="388"/>
        </w:trPr>
        <w:tc>
          <w:tcPr>
            <w:tcW w:w="2144" w:type="dxa"/>
            <w:vAlign w:val="center"/>
          </w:tcPr>
          <w:p w:rsidR="00CC3EFF" w:rsidRDefault="00EC19A6">
            <w:pPr>
              <w:spacing w:before="40" w:after="40"/>
              <w:rPr>
                <w:noProof/>
                <w:sz w:val="18"/>
              </w:rPr>
            </w:pPr>
            <w:r>
              <w:rPr>
                <w:noProof/>
                <w:sz w:val="18"/>
              </w:rPr>
              <w:t>Articolul …...</w:t>
            </w:r>
          </w:p>
        </w:tc>
        <w:tc>
          <w:tcPr>
            <w:tcW w:w="1276" w:type="dxa"/>
          </w:tcPr>
          <w:p w:rsidR="00CC3EFF" w:rsidRDefault="00CC3EFF">
            <w:pPr>
              <w:spacing w:beforeLines="40" w:before="96" w:afterLines="40" w:after="96"/>
              <w:jc w:val="center"/>
              <w:rPr>
                <w:i/>
                <w:noProof/>
                <w:sz w:val="18"/>
              </w:rPr>
            </w:pPr>
          </w:p>
        </w:tc>
        <w:tc>
          <w:tcPr>
            <w:tcW w:w="1080" w:type="dxa"/>
          </w:tcPr>
          <w:p w:rsidR="00CC3EFF" w:rsidRDefault="00CC3EFF">
            <w:pPr>
              <w:spacing w:beforeLines="40" w:before="96" w:afterLines="40" w:after="96"/>
              <w:jc w:val="center"/>
              <w:rPr>
                <w:noProof/>
                <w:sz w:val="18"/>
              </w:rPr>
            </w:pPr>
          </w:p>
        </w:tc>
        <w:tc>
          <w:tcPr>
            <w:tcW w:w="900" w:type="dxa"/>
          </w:tcPr>
          <w:p w:rsidR="00CC3EFF" w:rsidRDefault="00CC3EFF">
            <w:pPr>
              <w:spacing w:beforeLines="40" w:before="96" w:afterLines="40" w:after="96"/>
              <w:jc w:val="center"/>
              <w:rPr>
                <w:noProof/>
                <w:sz w:val="18"/>
              </w:rPr>
            </w:pPr>
          </w:p>
        </w:tc>
        <w:tc>
          <w:tcPr>
            <w:tcW w:w="900" w:type="dxa"/>
          </w:tcPr>
          <w:p w:rsidR="00CC3EFF" w:rsidRDefault="00CC3EFF">
            <w:pPr>
              <w:spacing w:beforeLines="40" w:before="96" w:afterLines="40" w:after="96"/>
              <w:jc w:val="center"/>
              <w:rPr>
                <w:noProof/>
                <w:sz w:val="18"/>
              </w:rPr>
            </w:pPr>
          </w:p>
        </w:tc>
        <w:tc>
          <w:tcPr>
            <w:tcW w:w="1080" w:type="dxa"/>
          </w:tcPr>
          <w:p w:rsidR="00CC3EFF" w:rsidRDefault="00CC3EFF">
            <w:pPr>
              <w:spacing w:beforeLines="40" w:before="96" w:afterLines="40" w:after="96"/>
              <w:jc w:val="center"/>
              <w:rPr>
                <w:noProof/>
                <w:sz w:val="18"/>
              </w:rPr>
            </w:pPr>
          </w:p>
        </w:tc>
        <w:tc>
          <w:tcPr>
            <w:tcW w:w="1080" w:type="dxa"/>
          </w:tcPr>
          <w:p w:rsidR="00CC3EFF" w:rsidRDefault="00CC3EFF">
            <w:pPr>
              <w:spacing w:beforeLines="40" w:before="96" w:afterLines="40" w:after="96"/>
              <w:jc w:val="center"/>
              <w:rPr>
                <w:noProof/>
                <w:sz w:val="18"/>
              </w:rPr>
            </w:pPr>
          </w:p>
        </w:tc>
        <w:tc>
          <w:tcPr>
            <w:tcW w:w="1080" w:type="dxa"/>
          </w:tcPr>
          <w:p w:rsidR="00CC3EFF" w:rsidRDefault="00CC3EFF">
            <w:pPr>
              <w:spacing w:beforeLines="40" w:before="96" w:afterLines="40" w:after="96"/>
              <w:jc w:val="center"/>
              <w:rPr>
                <w:noProof/>
                <w:sz w:val="18"/>
              </w:rPr>
            </w:pPr>
          </w:p>
        </w:tc>
        <w:tc>
          <w:tcPr>
            <w:tcW w:w="1080" w:type="dxa"/>
          </w:tcPr>
          <w:p w:rsidR="00CC3EFF" w:rsidRDefault="00CC3EFF">
            <w:pPr>
              <w:spacing w:beforeLines="40" w:before="96" w:afterLines="40" w:after="96"/>
              <w:jc w:val="center"/>
              <w:rPr>
                <w:noProof/>
                <w:sz w:val="18"/>
              </w:rPr>
            </w:pPr>
          </w:p>
        </w:tc>
      </w:tr>
    </w:tbl>
    <w:p w:rsidR="00CC3EFF" w:rsidRDefault="00EC19A6">
      <w:pPr>
        <w:pStyle w:val="Text1"/>
        <w:rPr>
          <w:noProof/>
          <w:sz w:val="20"/>
        </w:rPr>
      </w:pPr>
      <w:r>
        <w:rPr>
          <w:noProof/>
          <w:sz w:val="20"/>
        </w:rPr>
        <w:t>Pentru diversele venituri alocate, a se preciza linia bugetară (liniile bugetare) de cheltuieli afectată (afectate).</w:t>
      </w:r>
    </w:p>
    <w:p w:rsidR="00CC3EFF" w:rsidRDefault="00CC3EFF">
      <w:pPr>
        <w:pStyle w:val="Text1"/>
        <w:pBdr>
          <w:top w:val="single" w:sz="4" w:space="1" w:color="auto"/>
          <w:left w:val="single" w:sz="4" w:space="4" w:color="auto"/>
          <w:bottom w:val="single" w:sz="4" w:space="1" w:color="auto"/>
          <w:right w:val="single" w:sz="4" w:space="4" w:color="auto"/>
        </w:pBdr>
        <w:rPr>
          <w:noProof/>
        </w:rPr>
      </w:pPr>
    </w:p>
    <w:p w:rsidR="00CC3EFF" w:rsidRDefault="00EC19A6">
      <w:pPr>
        <w:pStyle w:val="Text1"/>
        <w:rPr>
          <w:noProof/>
          <w:sz w:val="20"/>
        </w:rPr>
      </w:pPr>
      <w:r>
        <w:rPr>
          <w:noProof/>
          <w:sz w:val="20"/>
        </w:rPr>
        <w:t>A se preciza metoda de calcul a impactului asupra veniturilor.</w:t>
      </w:r>
    </w:p>
    <w:p w:rsidR="00CC3EFF" w:rsidRDefault="00CC3EFF">
      <w:pPr>
        <w:pStyle w:val="Text1"/>
        <w:pBdr>
          <w:top w:val="single" w:sz="4" w:space="1" w:color="auto"/>
          <w:left w:val="single" w:sz="4" w:space="4" w:color="auto"/>
          <w:bottom w:val="single" w:sz="4" w:space="1" w:color="auto"/>
          <w:right w:val="single" w:sz="4" w:space="4" w:color="auto"/>
        </w:pBdr>
        <w:rPr>
          <w:noProof/>
        </w:rPr>
      </w:pPr>
    </w:p>
    <w:sectPr w:rsidR="00CC3EFF">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EFF" w:rsidRDefault="00EC19A6">
      <w:pPr>
        <w:spacing w:before="0" w:after="0"/>
      </w:pPr>
      <w:r>
        <w:separator/>
      </w:r>
    </w:p>
  </w:endnote>
  <w:endnote w:type="continuationSeparator" w:id="0">
    <w:p w:rsidR="00CC3EFF" w:rsidRDefault="00EC19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EU 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EC19A6">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EC19A6">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EC19A6">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EC19A6">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EFF" w:rsidRDefault="00EC19A6">
      <w:pPr>
        <w:spacing w:before="0" w:after="0"/>
      </w:pPr>
      <w:r>
        <w:separator/>
      </w:r>
    </w:p>
  </w:footnote>
  <w:footnote w:type="continuationSeparator" w:id="0">
    <w:p w:rsidR="00CC3EFF" w:rsidRDefault="00EC19A6">
      <w:pPr>
        <w:spacing w:before="0" w:after="0"/>
      </w:pPr>
      <w:r>
        <w:continuationSeparator/>
      </w:r>
    </w:p>
  </w:footnote>
  <w:footnote w:id="1">
    <w:p w:rsidR="00CC3EFF" w:rsidRDefault="00EC19A6">
      <w:pPr>
        <w:pStyle w:val="FootnoteText"/>
        <w:ind w:left="142" w:hanging="142"/>
      </w:pPr>
      <w:r>
        <w:rPr>
          <w:rStyle w:val="FootnoteReference"/>
        </w:rPr>
        <w:footnoteRef/>
      </w:r>
      <w:r>
        <w:tab/>
      </w:r>
      <w:hyperlink r:id="rId1">
        <w:r>
          <w:rPr>
            <w:rStyle w:val="Hyperlink"/>
          </w:rPr>
          <w:t>Recomandarea Comisiei din 6.12.2012</w:t>
        </w:r>
      </w:hyperlink>
      <w:r>
        <w:t xml:space="preserve"> privind planificarea fiscală agresivă.</w:t>
      </w:r>
    </w:p>
  </w:footnote>
  <w:footnote w:id="2">
    <w:p w:rsidR="00CC3EFF" w:rsidRDefault="00EC19A6">
      <w:pPr>
        <w:pStyle w:val="FootnoteText"/>
        <w:ind w:left="142" w:hanging="142"/>
        <w:rPr>
          <w:lang w:val="fr-BE"/>
        </w:rPr>
      </w:pPr>
      <w:r>
        <w:rPr>
          <w:rStyle w:val="FootnoteReference"/>
        </w:rPr>
        <w:footnoteRef/>
      </w:r>
      <w:r>
        <w:tab/>
      </w:r>
      <w:r>
        <w:rPr>
          <w:i/>
        </w:rPr>
        <w:t>JO</w:t>
      </w:r>
      <w:r>
        <w:t xml:space="preserve"> 98/C 2/01.</w:t>
      </w:r>
    </w:p>
  </w:footnote>
  <w:footnote w:id="3">
    <w:p w:rsidR="00CC3EFF" w:rsidRDefault="00EC19A6">
      <w:pPr>
        <w:pStyle w:val="FootnoteText"/>
        <w:ind w:left="142" w:hanging="142"/>
        <w:rPr>
          <w:lang w:val="fr-BE"/>
        </w:rPr>
      </w:pPr>
      <w:r>
        <w:rPr>
          <w:rStyle w:val="FootnoteReference"/>
        </w:rPr>
        <w:footnoteRef/>
      </w:r>
      <w:r>
        <w:tab/>
        <w:t>Documentul 10903/12 FISC 77.</w:t>
      </w:r>
    </w:p>
  </w:footnote>
  <w:footnote w:id="4">
    <w:p w:rsidR="00CC3EFF" w:rsidRDefault="00EC19A6">
      <w:pPr>
        <w:pStyle w:val="FootnoteText"/>
        <w:ind w:left="142" w:hanging="142"/>
        <w:rPr>
          <w:lang w:val="fr-BE"/>
        </w:rPr>
      </w:pPr>
      <w:r>
        <w:rPr>
          <w:rStyle w:val="FootnoteReference"/>
        </w:rPr>
        <w:footnoteRef/>
      </w:r>
      <w:r>
        <w:tab/>
      </w:r>
      <w:hyperlink r:id="rId2">
        <w:r>
          <w:rPr>
            <w:rStyle w:val="Hyperlink"/>
          </w:rPr>
          <w:t>http://ec.europa.eu/priorities/work-programme/index_en.htm</w:t>
        </w:r>
      </w:hyperlink>
      <w:r>
        <w:t xml:space="preserve"> </w:t>
      </w:r>
    </w:p>
  </w:footnote>
  <w:footnote w:id="5">
    <w:p w:rsidR="00CC3EFF" w:rsidRDefault="00EC19A6">
      <w:pPr>
        <w:spacing w:before="0" w:after="0"/>
        <w:ind w:left="142" w:hanging="142"/>
      </w:pPr>
      <w:r>
        <w:rPr>
          <w:rStyle w:val="FootnoteReference"/>
        </w:rPr>
        <w:footnoteRef/>
      </w:r>
      <w:r>
        <w:tab/>
      </w:r>
      <w:r>
        <w:rPr>
          <w:sz w:val="20"/>
        </w:rPr>
        <w:t xml:space="preserve">Rezoluția Parlamentului European din 21 mai 2013 privind lupta împotriva fraudei, a evaziunii și a paradisurilor </w:t>
      </w:r>
      <w:r>
        <w:rPr>
          <w:sz w:val="20"/>
        </w:rPr>
        <w:t xml:space="preserve">fiscale (Raportul </w:t>
      </w:r>
      <w:proofErr w:type="spellStart"/>
      <w:r>
        <w:rPr>
          <w:sz w:val="20"/>
        </w:rPr>
        <w:t>Kleva</w:t>
      </w:r>
      <w:proofErr w:type="spellEnd"/>
      <w:r>
        <w:rPr>
          <w:sz w:val="20"/>
        </w:rPr>
        <w:t>) – 2013/2025(INI).</w:t>
      </w:r>
    </w:p>
  </w:footnote>
  <w:footnote w:id="6">
    <w:p w:rsidR="00CC3EFF" w:rsidRDefault="00EC19A6">
      <w:pPr>
        <w:spacing w:before="0" w:after="0"/>
        <w:ind w:left="142" w:hanging="142"/>
      </w:pPr>
      <w:r>
        <w:rPr>
          <w:rStyle w:val="FootnoteReference"/>
        </w:rPr>
        <w:footnoteRef/>
      </w:r>
      <w:r>
        <w:tab/>
      </w:r>
      <w:r>
        <w:rPr>
          <w:sz w:val="20"/>
        </w:rPr>
        <w:t>Avizul Comitetului Economic și Social European din 17 aprilie 2013 privind Comunicarea Comisiei către Parlamentul European și Consiliu - Un plan de acțiune în vederea consolidării luptei împotriva fraudei și a e</w:t>
      </w:r>
      <w:r>
        <w:rPr>
          <w:sz w:val="20"/>
        </w:rPr>
        <w:t xml:space="preserve">vaziunii fiscale COM(2012) 722 final (Raportul </w:t>
      </w:r>
      <w:proofErr w:type="spellStart"/>
      <w:r>
        <w:rPr>
          <w:sz w:val="20"/>
        </w:rPr>
        <w:t>Dandea</w:t>
      </w:r>
      <w:proofErr w:type="spellEnd"/>
      <w:r>
        <w:rPr>
          <w:sz w:val="20"/>
        </w:rPr>
        <w:t>) – CESE 101/2013.</w:t>
      </w:r>
    </w:p>
  </w:footnote>
  <w:footnote w:id="7">
    <w:p w:rsidR="00CC3EFF" w:rsidRDefault="00EC19A6">
      <w:pPr>
        <w:pStyle w:val="FootnoteText"/>
        <w:ind w:left="142" w:hanging="142"/>
      </w:pPr>
      <w:r>
        <w:rPr>
          <w:rStyle w:val="FootnoteReference"/>
        </w:rPr>
        <w:footnoteRef/>
      </w:r>
      <w:r>
        <w:tab/>
        <w:t xml:space="preserve">Rapoartele publice ale Grupului de lucru pentru codul de conduită (impozitarea întreprinderilor) sunt accesibile </w:t>
      </w:r>
      <w:hyperlink r:id="rId3">
        <w:r>
          <w:rPr>
            <w:rStyle w:val="Hyperlink"/>
          </w:rPr>
          <w:t>aici</w:t>
        </w:r>
      </w:hyperlink>
      <w:r>
        <w:rPr>
          <w:rStyle w:val="Hyperlink"/>
        </w:rPr>
        <w:t>.</w:t>
      </w:r>
    </w:p>
  </w:footnote>
  <w:footnote w:id="8">
    <w:p w:rsidR="00CC3EFF" w:rsidRDefault="00EC19A6">
      <w:pPr>
        <w:pStyle w:val="FootnoteText"/>
        <w:ind w:left="142" w:hanging="142"/>
      </w:pPr>
      <w:r>
        <w:rPr>
          <w:rStyle w:val="FootnoteReference"/>
        </w:rPr>
        <w:footnoteRef/>
      </w:r>
      <w:r>
        <w:tab/>
        <w:t>Conform analizei din cadrul proiectului BEPS al OCDE.</w:t>
      </w:r>
    </w:p>
  </w:footnote>
  <w:footnote w:id="9">
    <w:p w:rsidR="00CC3EFF" w:rsidRDefault="00EC19A6">
      <w:pPr>
        <w:pStyle w:val="FootnoteText"/>
        <w:ind w:left="142" w:hanging="142"/>
      </w:pPr>
      <w:r>
        <w:rPr>
          <w:rStyle w:val="FootnoteReference"/>
        </w:rPr>
        <w:footnoteRef/>
      </w:r>
      <w:r>
        <w:tab/>
        <w:t xml:space="preserve">JO L 359 din 16 decembrie 2014. </w:t>
      </w:r>
    </w:p>
  </w:footnote>
  <w:footnote w:id="10">
    <w:p w:rsidR="00CC3EFF" w:rsidRDefault="00EC19A6">
      <w:pPr>
        <w:pStyle w:val="FootnoteText"/>
        <w:ind w:left="142" w:hanging="142"/>
      </w:pPr>
      <w:r>
        <w:rPr>
          <w:rStyle w:val="FootnoteReference"/>
        </w:rPr>
        <w:footnoteRef/>
      </w:r>
      <w:r>
        <w:tab/>
        <w:t>JO C , , p. .</w:t>
      </w:r>
    </w:p>
  </w:footnote>
  <w:footnote w:id="11">
    <w:p w:rsidR="00CC3EFF" w:rsidRDefault="00EC19A6">
      <w:pPr>
        <w:pStyle w:val="FootnoteText"/>
        <w:ind w:left="142" w:hanging="142"/>
      </w:pPr>
      <w:r>
        <w:rPr>
          <w:rStyle w:val="FootnoteReference"/>
        </w:rPr>
        <w:footnoteRef/>
      </w:r>
      <w:r>
        <w:tab/>
        <w:t>JO C , , p. .</w:t>
      </w:r>
    </w:p>
  </w:footnote>
  <w:footnote w:id="12">
    <w:p w:rsidR="00CC3EFF" w:rsidRDefault="00EC19A6">
      <w:pPr>
        <w:pStyle w:val="FootnoteText"/>
        <w:ind w:left="142" w:hanging="142"/>
      </w:pPr>
      <w:r>
        <w:rPr>
          <w:rStyle w:val="FootnoteReference"/>
        </w:rPr>
        <w:footnoteRef/>
      </w:r>
      <w:r>
        <w:tab/>
        <w:t>JO C , , p. .</w:t>
      </w:r>
    </w:p>
  </w:footnote>
  <w:footnote w:id="13">
    <w:p w:rsidR="00CC3EFF" w:rsidRDefault="00EC19A6">
      <w:pPr>
        <w:pStyle w:val="FootnoteText"/>
        <w:ind w:left="142" w:hanging="142"/>
      </w:pPr>
      <w:r>
        <w:rPr>
          <w:rStyle w:val="FootnoteReference"/>
        </w:rPr>
        <w:footnoteRef/>
      </w:r>
      <w:r>
        <w:tab/>
        <w:t>Directiva 2011/16/UE a Consiliului din 15 februarie 2011 privind cooperarea administrativă în domeniul fiscal și de abrogare a Directivei 77/799/CEE (JO L 64, 11.3.2011, p. 1).</w:t>
      </w:r>
    </w:p>
  </w:footnote>
  <w:footnote w:id="14">
    <w:p w:rsidR="00CC3EFF" w:rsidRDefault="00EC19A6">
      <w:pPr>
        <w:pStyle w:val="FootnoteText"/>
        <w:ind w:left="142" w:hanging="142"/>
      </w:pPr>
      <w:r>
        <w:rPr>
          <w:rStyle w:val="FootnoteReference"/>
        </w:rPr>
        <w:footnoteRef/>
      </w:r>
      <w:r>
        <w:tab/>
        <w:t>JO C 369, 17.12.2011, p. 14</w:t>
      </w:r>
      <w:r>
        <w:t>.</w:t>
      </w:r>
    </w:p>
  </w:footnote>
  <w:footnote w:id="15">
    <w:p w:rsidR="00CC3EFF" w:rsidRDefault="00EC19A6">
      <w:pPr>
        <w:pStyle w:val="FootnoteText"/>
        <w:rPr>
          <w:szCs w:val="24"/>
        </w:rPr>
      </w:pPr>
      <w:r>
        <w:rPr>
          <w:rStyle w:val="FootnoteReference"/>
        </w:rPr>
        <w:footnoteRef/>
      </w:r>
      <w:r>
        <w:tab/>
        <w:t>ABM (</w:t>
      </w:r>
      <w:proofErr w:type="spellStart"/>
      <w:r>
        <w:t>activity-based</w:t>
      </w:r>
      <w:proofErr w:type="spellEnd"/>
      <w:r>
        <w:t xml:space="preserve"> management): gestiune pe activități; ABB (</w:t>
      </w:r>
      <w:proofErr w:type="spellStart"/>
      <w:r>
        <w:t>activity-based</w:t>
      </w:r>
      <w:proofErr w:type="spellEnd"/>
      <w:r>
        <w:t xml:space="preserve"> </w:t>
      </w:r>
      <w:proofErr w:type="spellStart"/>
      <w:r>
        <w:t>budgeting</w:t>
      </w:r>
      <w:proofErr w:type="spellEnd"/>
      <w:r>
        <w:t>): întocmirea bugetului pe activități.</w:t>
      </w:r>
    </w:p>
  </w:footnote>
  <w:footnote w:id="16">
    <w:p w:rsidR="00CC3EFF" w:rsidRDefault="00EC19A6">
      <w:pPr>
        <w:pStyle w:val="FootnoteText"/>
        <w:rPr>
          <w:szCs w:val="24"/>
        </w:rPr>
      </w:pPr>
      <w:r>
        <w:rPr>
          <w:rStyle w:val="FootnoteReference"/>
        </w:rPr>
        <w:footnoteRef/>
      </w:r>
      <w:r>
        <w:tab/>
        <w:t>Astfel cum se menționează la articolul 54 alineatul (2) litera (a) sau (b) din Regulamentul financiar.</w:t>
      </w:r>
    </w:p>
  </w:footnote>
  <w:footnote w:id="17">
    <w:p w:rsidR="00CC3EFF" w:rsidRDefault="00EC19A6">
      <w:pPr>
        <w:pStyle w:val="FootnoteText"/>
        <w:rPr>
          <w:szCs w:val="24"/>
        </w:rPr>
      </w:pPr>
      <w:r>
        <w:rPr>
          <w:rStyle w:val="FootnoteReference"/>
        </w:rPr>
        <w:footnoteRef/>
      </w:r>
      <w:r>
        <w:tab/>
        <w:t>Explicațiile privind</w:t>
      </w:r>
      <w:r>
        <w:t xml:space="preserve"> modurile de gestiune, precum și trimiterile la Regulamentul financiar sunt disponibile pe site-ul </w:t>
      </w:r>
      <w:proofErr w:type="spellStart"/>
      <w:r>
        <w:t>BudgWeb</w:t>
      </w:r>
      <w:proofErr w:type="spellEnd"/>
      <w:r>
        <w:t xml:space="preserve">: </w:t>
      </w:r>
      <w:r>
        <w:rPr>
          <w:sz w:val="18"/>
        </w:rPr>
        <w:t>http://www.cc.cec/budg/man/budgmanag/budgmanag_en.html</w:t>
      </w:r>
    </w:p>
  </w:footnote>
  <w:footnote w:id="18">
    <w:p w:rsidR="00CC3EFF" w:rsidRDefault="00EC19A6">
      <w:pPr>
        <w:pStyle w:val="FootnoteText"/>
        <w:rPr>
          <w:szCs w:val="24"/>
        </w:rPr>
      </w:pPr>
      <w:r>
        <w:rPr>
          <w:rStyle w:val="FootnoteReference"/>
        </w:rPr>
        <w:footnoteRef/>
      </w:r>
      <w:r>
        <w:tab/>
      </w:r>
      <w:proofErr w:type="spellStart"/>
      <w:r>
        <w:t>Dif</w:t>
      </w:r>
      <w:proofErr w:type="spellEnd"/>
      <w:r>
        <w:t xml:space="preserve">. = credite diferențiate / </w:t>
      </w:r>
      <w:proofErr w:type="spellStart"/>
      <w:r>
        <w:t>Nedif</w:t>
      </w:r>
      <w:proofErr w:type="spellEnd"/>
      <w:r>
        <w:t>. = credite nediferențiate.</w:t>
      </w:r>
    </w:p>
  </w:footnote>
  <w:footnote w:id="19">
    <w:p w:rsidR="00CC3EFF" w:rsidRDefault="00EC19A6">
      <w:pPr>
        <w:pStyle w:val="FootnoteText"/>
        <w:rPr>
          <w:szCs w:val="24"/>
        </w:rPr>
      </w:pPr>
      <w:r>
        <w:rPr>
          <w:rStyle w:val="FootnoteReference"/>
        </w:rPr>
        <w:footnoteRef/>
      </w:r>
      <w:r>
        <w:tab/>
        <w:t xml:space="preserve">AELS: Asociația Europeană </w:t>
      </w:r>
      <w:r>
        <w:t xml:space="preserve">a Liberului Schimb. </w:t>
      </w:r>
    </w:p>
  </w:footnote>
  <w:footnote w:id="20">
    <w:p w:rsidR="00CC3EFF" w:rsidRDefault="00EC19A6">
      <w:pPr>
        <w:pStyle w:val="FootnoteText"/>
        <w:rPr>
          <w:szCs w:val="24"/>
        </w:rPr>
      </w:pPr>
      <w:r>
        <w:rPr>
          <w:rStyle w:val="FootnoteReference"/>
        </w:rPr>
        <w:footnoteRef/>
      </w:r>
      <w:r>
        <w:tab/>
        <w:t>Țările candidate și, după caz, țările potențial candidate din Balcanii de Vest.</w:t>
      </w:r>
    </w:p>
  </w:footnote>
  <w:footnote w:id="21">
    <w:p w:rsidR="00CC3EFF" w:rsidRDefault="00EC19A6">
      <w:pPr>
        <w:pStyle w:val="FootnoteText"/>
        <w:rPr>
          <w:szCs w:val="24"/>
        </w:rPr>
      </w:pPr>
      <w:r>
        <w:rPr>
          <w:rStyle w:val="FootnoteReference"/>
        </w:rPr>
        <w:footnoteRef/>
      </w:r>
      <w:r>
        <w:tab/>
        <w:t>2016 este anul în care începe punerea în aplicare a propunerii/inițiativei.</w:t>
      </w:r>
    </w:p>
  </w:footnote>
  <w:footnote w:id="22">
    <w:p w:rsidR="00CC3EFF" w:rsidRDefault="00EC19A6">
      <w:pPr>
        <w:pStyle w:val="FootnoteText"/>
        <w:rPr>
          <w:szCs w:val="24"/>
        </w:rPr>
      </w:pPr>
      <w:r>
        <w:rPr>
          <w:rStyle w:val="FootnoteReference"/>
        </w:rPr>
        <w:footnoteRef/>
      </w:r>
      <w:r>
        <w:tab/>
        <w:t>Asistență tehnică și/sau administrativă și cheltuieli de sprijin pentru p</w:t>
      </w:r>
      <w:r>
        <w:t>unerea în aplicare a programelor și/sau a acțiunilor UE (fostele linii „BA”), cercetare indirectă și cercetare directă.</w:t>
      </w:r>
    </w:p>
  </w:footnote>
  <w:footnote w:id="23">
    <w:p w:rsidR="00CC3EFF" w:rsidRDefault="00EC19A6">
      <w:pPr>
        <w:pStyle w:val="FootnoteText"/>
        <w:rPr>
          <w:szCs w:val="24"/>
        </w:rPr>
      </w:pPr>
      <w:r>
        <w:rPr>
          <w:rStyle w:val="FootnoteReference"/>
        </w:rPr>
        <w:footnoteRef/>
      </w:r>
      <w:r>
        <w:tab/>
        <w:t>2016 este anul în care începe punerea în aplicare a propunerii/inițiativei.</w:t>
      </w:r>
    </w:p>
  </w:footnote>
  <w:footnote w:id="24">
    <w:p w:rsidR="00CC3EFF" w:rsidRDefault="00EC19A6">
      <w:pPr>
        <w:pStyle w:val="FootnoteText"/>
        <w:rPr>
          <w:szCs w:val="24"/>
        </w:rPr>
      </w:pPr>
      <w:r>
        <w:rPr>
          <w:rStyle w:val="FootnoteReference"/>
        </w:rPr>
        <w:footnoteRef/>
      </w:r>
      <w:r>
        <w:tab/>
        <w:t>Realizările se referă la produsele și serviciile care vo</w:t>
      </w:r>
      <w:r>
        <w:t>r fi furnizate (de ex.: numărul de schimburi de studenți finanțate, numărul de km de străzi construiți etc.).</w:t>
      </w:r>
    </w:p>
  </w:footnote>
  <w:footnote w:id="25">
    <w:p w:rsidR="00CC3EFF" w:rsidRDefault="00EC19A6">
      <w:pPr>
        <w:pStyle w:val="FootnoteText"/>
        <w:rPr>
          <w:szCs w:val="24"/>
        </w:rPr>
      </w:pPr>
      <w:r>
        <w:rPr>
          <w:rStyle w:val="FootnoteReference"/>
        </w:rPr>
        <w:footnoteRef/>
      </w:r>
      <w:r>
        <w:tab/>
        <w:t xml:space="preserve">Conform descrierii de la punctul 1.4.2. „Obiectiv(e) specific(e)…” </w:t>
      </w:r>
    </w:p>
  </w:footnote>
  <w:footnote w:id="26">
    <w:p w:rsidR="00CC3EFF" w:rsidRDefault="00EC19A6">
      <w:pPr>
        <w:pStyle w:val="FootnoteText"/>
        <w:rPr>
          <w:szCs w:val="24"/>
        </w:rPr>
      </w:pPr>
      <w:r>
        <w:rPr>
          <w:rStyle w:val="FootnoteReference"/>
        </w:rPr>
        <w:footnoteRef/>
      </w:r>
      <w:r>
        <w:tab/>
        <w:t xml:space="preserve">2016 este anul în care începe punerea în aplicare a </w:t>
      </w:r>
      <w:r>
        <w:t>propunerii/inițiativei.</w:t>
      </w:r>
    </w:p>
  </w:footnote>
  <w:footnote w:id="27">
    <w:p w:rsidR="00CC3EFF" w:rsidRDefault="00EC19A6">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28">
    <w:p w:rsidR="00CC3EFF" w:rsidRDefault="00EC19A6">
      <w:pPr>
        <w:pStyle w:val="FootnoteText"/>
        <w:rPr>
          <w:szCs w:val="24"/>
        </w:rPr>
      </w:pPr>
      <w:r>
        <w:rPr>
          <w:rStyle w:val="FootnoteReference"/>
        </w:rPr>
        <w:footnoteRef/>
      </w:r>
      <w:r>
        <w:tab/>
        <w:t xml:space="preserve">AC = agent contractual; AL = agent </w:t>
      </w:r>
      <w:r>
        <w:t xml:space="preserve">local; END= expert național detașat; INT = personal pus la dispoziție de agenți de muncă temporară; JED = expert tânăr în delegații. </w:t>
      </w:r>
    </w:p>
  </w:footnote>
  <w:footnote w:id="29">
    <w:p w:rsidR="00CC3EFF" w:rsidRDefault="00EC19A6">
      <w:pPr>
        <w:pStyle w:val="FootnoteText"/>
        <w:rPr>
          <w:szCs w:val="24"/>
        </w:rPr>
      </w:pPr>
      <w:r>
        <w:rPr>
          <w:rStyle w:val="FootnoteReference"/>
        </w:rPr>
        <w:footnoteRef/>
      </w:r>
      <w:r>
        <w:tab/>
      </w:r>
      <w:proofErr w:type="spellStart"/>
      <w:r>
        <w:t>Subplafonul</w:t>
      </w:r>
      <w:proofErr w:type="spellEnd"/>
      <w:r>
        <w:t xml:space="preserve"> pentru personal extern acoperit din creditele operaționale (fostele linii „BA”).</w:t>
      </w:r>
    </w:p>
  </w:footnote>
  <w:footnote w:id="30">
    <w:p w:rsidR="00CC3EFF" w:rsidRDefault="00EC19A6">
      <w:pPr>
        <w:pStyle w:val="FootnoteText"/>
        <w:rPr>
          <w:szCs w:val="24"/>
        </w:rPr>
      </w:pPr>
      <w:r>
        <w:rPr>
          <w:rStyle w:val="FootnoteReference"/>
        </w:rPr>
        <w:footnoteRef/>
      </w:r>
      <w:r>
        <w:tab/>
        <w:t>În ceea ce privește resur</w:t>
      </w:r>
      <w:r>
        <w:t>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FF" w:rsidRDefault="00CC3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606A1D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BB49C1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73E1244"/>
    <w:lvl w:ilvl="0">
      <w:start w:val="1"/>
      <w:numFmt w:val="decimal"/>
      <w:pStyle w:val="ListNumber2"/>
      <w:lvlText w:val="%1."/>
      <w:lvlJc w:val="left"/>
      <w:pPr>
        <w:tabs>
          <w:tab w:val="num" w:pos="643"/>
        </w:tabs>
        <w:ind w:left="643" w:hanging="360"/>
      </w:pPr>
    </w:lvl>
  </w:abstractNum>
  <w:abstractNum w:abstractNumId="3">
    <w:nsid w:val="FFFFFF81"/>
    <w:multiLevelType w:val="singleLevel"/>
    <w:tmpl w:val="D30C0CC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EE33C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8B82B26"/>
    <w:multiLevelType w:val="multilevel"/>
    <w:tmpl w:val="0809001F"/>
    <w:styleLink w:val="Style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6EE75F5"/>
    <w:multiLevelType w:val="multilevel"/>
    <w:tmpl w:val="DE226A70"/>
    <w:lvl w:ilvl="0">
      <w:start w:val="1"/>
      <w:numFmt w:val="decimal"/>
      <w:pStyle w:val="ListNumber1"/>
      <w:lvlText w:val="(%1)"/>
      <w:lvlJc w:val="left"/>
      <w:pPr>
        <w:tabs>
          <w:tab w:val="num" w:pos="1191"/>
        </w:tabs>
        <w:ind w:left="1191" w:hanging="709"/>
      </w:pPr>
      <w:rPr>
        <w:rFonts w:cs="Times New Roman" w:hint="default"/>
      </w:rPr>
    </w:lvl>
    <w:lvl w:ilvl="1">
      <w:start w:val="1"/>
      <w:numFmt w:val="lowerLetter"/>
      <w:pStyle w:val="ListNumber1Level2"/>
      <w:lvlText w:val="(%2)"/>
      <w:lvlJc w:val="left"/>
      <w:pPr>
        <w:tabs>
          <w:tab w:val="num" w:pos="1899"/>
        </w:tabs>
        <w:ind w:left="1899" w:hanging="708"/>
      </w:pPr>
      <w:rPr>
        <w:rFonts w:cs="Times New Roman"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7E1619A"/>
    <w:multiLevelType w:val="multilevel"/>
    <w:tmpl w:val="0809001F"/>
    <w:styleLink w:val="Style1"/>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5"/>
  </w:num>
  <w:num w:numId="3">
    <w:abstractNumId w:val="14"/>
  </w:num>
  <w:num w:numId="4">
    <w:abstractNumId w:val="26"/>
  </w:num>
  <w:num w:numId="5">
    <w:abstractNumId w:val="20"/>
  </w:num>
  <w:num w:numId="6">
    <w:abstractNumId w:val="27"/>
  </w:num>
  <w:num w:numId="7">
    <w:abstractNumId w:val="4"/>
  </w:num>
  <w:num w:numId="8">
    <w:abstractNumId w:val="28"/>
    <w:lvlOverride w:ilvl="0">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
  </w:num>
  <w:num w:numId="13">
    <w:abstractNumId w:val="0"/>
  </w:num>
  <w:num w:numId="14">
    <w:abstractNumId w:val="28"/>
  </w:num>
  <w:num w:numId="15">
    <w:abstractNumId w:val="24"/>
  </w:num>
  <w:num w:numId="16">
    <w:abstractNumId w:val="6"/>
  </w:num>
  <w:num w:numId="17">
    <w:abstractNumId w:val="25"/>
  </w:num>
  <w:num w:numId="18">
    <w:abstractNumId w:val="22"/>
  </w:num>
  <w:num w:numId="19">
    <w:abstractNumId w:val="19"/>
  </w:num>
  <w:num w:numId="20">
    <w:abstractNumId w:val="11"/>
  </w:num>
  <w:num w:numId="21">
    <w:abstractNumId w:val="23"/>
  </w:num>
  <w:num w:numId="22">
    <w:abstractNumId w:val="10"/>
  </w:num>
  <w:num w:numId="23">
    <w:abstractNumId w:val="12"/>
  </w:num>
  <w:num w:numId="24">
    <w:abstractNumId w:val="8"/>
  </w:num>
  <w:num w:numId="25">
    <w:abstractNumId w:val="21"/>
  </w:num>
  <w:num w:numId="26">
    <w:abstractNumId w:val="7"/>
  </w:num>
  <w:num w:numId="27">
    <w:abstractNumId w:val="13"/>
  </w:num>
  <w:num w:numId="28">
    <w:abstractNumId w:val="17"/>
  </w:num>
  <w:num w:numId="29">
    <w:abstractNumId w:val="18"/>
  </w:num>
  <w:num w:numId="30">
    <w:abstractNumId w:val="9"/>
  </w:num>
  <w:num w:numId="31">
    <w:abstractNumId w:val="16"/>
  </w:num>
  <w:num w:numId="32">
    <w:abstractNumId w:val="28"/>
  </w:num>
  <w:num w:numId="33">
    <w:abstractNumId w:val="19"/>
  </w:num>
  <w:num w:numId="34">
    <w:abstractNumId w:val="11"/>
  </w:num>
  <w:num w:numId="35">
    <w:abstractNumId w:val="23"/>
  </w:num>
  <w:num w:numId="36">
    <w:abstractNumId w:val="10"/>
  </w:num>
  <w:num w:numId="37">
    <w:abstractNumId w:val="12"/>
  </w:num>
  <w:num w:numId="38">
    <w:abstractNumId w:val="8"/>
  </w:num>
  <w:num w:numId="39">
    <w:abstractNumId w:val="21"/>
  </w:num>
  <w:num w:numId="40">
    <w:abstractNumId w:val="7"/>
  </w:num>
  <w:num w:numId="41">
    <w:abstractNumId w:val="13"/>
  </w:num>
  <w:num w:numId="42">
    <w:abstractNumId w:val="17"/>
  </w:num>
  <w:num w:numId="43">
    <w:abstractNumId w:val="18"/>
  </w:num>
  <w:num w:numId="44">
    <w:abstractNumId w:val="9"/>
  </w:num>
  <w:num w:numId="45">
    <w:abstractNumId w:val="16"/>
  </w:num>
  <w:num w:numId="46">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attachedTemplate r:id="rId1"/>
  <w:defaultTabStop w:val="720"/>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19 10:18:0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0"/>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4"/>
    <w:docVar w:name="DQCStatus" w:val="Yellow"/>
    <w:docVar w:name="DQCVersion" w:val="2"/>
    <w:docVar w:name="DQCWithWarnings" w:val="0"/>
    <w:docVar w:name="LW_CONFIDENCE" w:val=" "/>
    <w:docVar w:name="LW_CONST_RESTREINT_UE" w:val="RESTREINT UE"/>
    <w:docVar w:name="LW_CORRIGENDUM" w:val="&lt;UNUSED&gt;"/>
    <w:docVar w:name="LW_COVERPAGE_GUID" w:val="527A6EA0CD2948678C966E703F469C2B"/>
    <w:docVar w:name="LW_CROSSREFERENCE" w:val="{SWD(2015) 60 final}"/>
    <w:docVar w:name="LW_DocType" w:val="COM"/>
    <w:docVar w:name="LW_EMISSION" w:val="18.3.2015"/>
    <w:docVar w:name="LW_EMISSION_ISODATE" w:val="2015-03-18"/>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068"/>
    <w:docVar w:name="LW_REF.II.NEW.CP_YEAR" w:val="2015"/>
    <w:docVar w:name="LW_REF.INST.NEW" w:val="COM"/>
    <w:docVar w:name="LW_REF.INST.NEW_ADOPTED" w:val="final"/>
    <w:docVar w:name="LW_REF.INST.NEW_TEXT" w:val="(2015) 135"/>
    <w:docVar w:name="LW_REF.INTERNE" w:val="&lt;UNUSED&gt;"/>
    <w:docVar w:name="LW_SOUS.TITRE.OBJ.CP" w:val="&lt;UNUSED&gt;"/>
    <w:docVar w:name="LW_STATUT.CP" w:val="Propunere de"/>
    <w:docVar w:name="LW_SUPERTITRE" w:val="&lt;UNUSED&gt;"/>
    <w:docVar w:name="LW_TITRE.OBJ.CP" w:val="de modificare a Directivei 2011/16/UE în ceea ce prive\u537?te schimbul automat obligatoriu de informa\u539?ii în domeniul fiscal"/>
    <w:docVar w:name="LW_TYPE.DOC.CP" w:val="DIRECTIV\u258? A CONSILIULUI"/>
  </w:docVars>
  <w:rsids>
    <w:rsidRoot w:val="00CC3EFF"/>
    <w:rsid w:val="00CC3EFF"/>
    <w:rsid w:val="00EC1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rPr>
  </w:style>
  <w:style w:type="paragraph" w:styleId="ListBullet2">
    <w:name w:val="List Bullet 2"/>
    <w:basedOn w:val="Normal"/>
    <w:uiPriority w:val="99"/>
    <w:pPr>
      <w:numPr>
        <w:numId w:val="6"/>
      </w:numPr>
    </w:pPr>
    <w:rPr>
      <w:rFonts w:eastAsia="Times New Roman"/>
    </w:rPr>
  </w:style>
  <w:style w:type="paragraph" w:styleId="ListBullet3">
    <w:name w:val="List Bullet 3"/>
    <w:basedOn w:val="Normal"/>
    <w:uiPriority w:val="99"/>
    <w:semiHidden/>
    <w:unhideWhenUsed/>
    <w:pPr>
      <w:numPr>
        <w:numId w:val="7"/>
      </w:numPr>
      <w:contextualSpacing/>
    </w:pPr>
    <w:rPr>
      <w:rFonts w:eastAsia="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rPr>
      <w:rFonts w:eastAsia="Times New Roman"/>
      <w:b/>
      <w:bCs/>
    </w:rPr>
  </w:style>
  <w:style w:type="character" w:customStyle="1" w:styleId="CommentSubjectChar">
    <w:name w:val="Comment Subject Char"/>
    <w:link w:val="CommentSubject"/>
    <w:uiPriority w:val="99"/>
    <w:rPr>
      <w:rFonts w:ascii="Times New Roman" w:eastAsia="Times New Roman" w:hAnsi="Times New Roman" w:cs="Times New Roman"/>
      <w:b/>
      <w:bCs/>
      <w:sz w:val="20"/>
      <w:szCs w:val="20"/>
      <w:lang w:val="ro-RO" w:eastAsia="ro-RO"/>
    </w:r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sz w:val="24"/>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ro-RO" w:eastAsia="ro-RO"/>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rPr>
  </w:style>
  <w:style w:type="paragraph" w:styleId="Revision">
    <w:name w:val="Revision"/>
    <w:hidden/>
    <w:uiPriority w:val="99"/>
    <w:semiHidden/>
    <w:rPr>
      <w:rFonts w:ascii="Times New Roman" w:eastAsia="Times New Roman" w:hAnsi="Times New Roman"/>
      <w:sz w:val="24"/>
    </w:rPr>
  </w:style>
  <w:style w:type="paragraph" w:styleId="EndnoteText">
    <w:name w:val="endnote text"/>
    <w:basedOn w:val="Normal"/>
    <w:link w:val="EndnoteTextChar"/>
    <w:uiPriority w:val="99"/>
    <w:semiHidden/>
    <w:unhideWhenUsed/>
    <w:rPr>
      <w:rFonts w:eastAsia="Times New Roman"/>
      <w:sz w:val="20"/>
      <w:szCs w:val="20"/>
    </w:rPr>
  </w:style>
  <w:style w:type="character" w:customStyle="1" w:styleId="EndnoteTextChar">
    <w:name w:val="Endnote Text Char"/>
    <w:link w:val="EndnoteText"/>
    <w:uiPriority w:val="99"/>
    <w:semiHidden/>
    <w:rPr>
      <w:rFonts w:ascii="Times New Roman" w:eastAsia="Times New Roman" w:hAnsi="Times New Roman" w:cs="Times New Roman"/>
      <w:sz w:val="20"/>
      <w:szCs w:val="20"/>
      <w:lang w:val="ro-RO" w:eastAsia="ro-RO"/>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rPr>
  </w:style>
  <w:style w:type="paragraph" w:styleId="ListBullet2">
    <w:name w:val="List Bullet 2"/>
    <w:basedOn w:val="Normal"/>
    <w:uiPriority w:val="99"/>
    <w:pPr>
      <w:numPr>
        <w:numId w:val="6"/>
      </w:numPr>
    </w:pPr>
    <w:rPr>
      <w:rFonts w:eastAsia="Times New Roman"/>
    </w:rPr>
  </w:style>
  <w:style w:type="paragraph" w:styleId="ListBullet3">
    <w:name w:val="List Bullet 3"/>
    <w:basedOn w:val="Normal"/>
    <w:uiPriority w:val="99"/>
    <w:semiHidden/>
    <w:unhideWhenUsed/>
    <w:pPr>
      <w:numPr>
        <w:numId w:val="7"/>
      </w:numPr>
      <w:contextualSpacing/>
    </w:pPr>
    <w:rPr>
      <w:rFonts w:eastAsia="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rPr>
      <w:rFonts w:eastAsia="Times New Roman"/>
      <w:b/>
      <w:bCs/>
    </w:rPr>
  </w:style>
  <w:style w:type="character" w:customStyle="1" w:styleId="CommentSubjectChar">
    <w:name w:val="Comment Subject Char"/>
    <w:link w:val="CommentSubject"/>
    <w:uiPriority w:val="99"/>
    <w:rPr>
      <w:rFonts w:ascii="Times New Roman" w:eastAsia="Times New Roman" w:hAnsi="Times New Roman" w:cs="Times New Roman"/>
      <w:b/>
      <w:bCs/>
      <w:sz w:val="20"/>
      <w:szCs w:val="20"/>
      <w:lang w:val="ro-RO" w:eastAsia="ro-RO"/>
    </w:r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ro-RO"/>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sz w:val="24"/>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ro-RO" w:eastAsia="ro-RO"/>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rPr>
  </w:style>
  <w:style w:type="paragraph" w:styleId="Revision">
    <w:name w:val="Revision"/>
    <w:hidden/>
    <w:uiPriority w:val="99"/>
    <w:semiHidden/>
    <w:rPr>
      <w:rFonts w:ascii="Times New Roman" w:eastAsia="Times New Roman" w:hAnsi="Times New Roman"/>
      <w:sz w:val="24"/>
    </w:rPr>
  </w:style>
  <w:style w:type="paragraph" w:styleId="EndnoteText">
    <w:name w:val="endnote text"/>
    <w:basedOn w:val="Normal"/>
    <w:link w:val="EndnoteTextChar"/>
    <w:uiPriority w:val="99"/>
    <w:semiHidden/>
    <w:unhideWhenUsed/>
    <w:rPr>
      <w:rFonts w:eastAsia="Times New Roman"/>
      <w:sz w:val="20"/>
      <w:szCs w:val="20"/>
    </w:rPr>
  </w:style>
  <w:style w:type="character" w:customStyle="1" w:styleId="EndnoteTextChar">
    <w:name w:val="Endnote Text Char"/>
    <w:link w:val="EndnoteText"/>
    <w:uiPriority w:val="99"/>
    <w:semiHidden/>
    <w:rPr>
      <w:rFonts w:ascii="Times New Roman" w:eastAsia="Times New Roman" w:hAnsi="Times New Roman" w:cs="Times New Roman"/>
      <w:sz w:val="20"/>
      <w:szCs w:val="20"/>
      <w:lang w:val="ro-RO" w:eastAsia="ro-RO"/>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17496">
      <w:bodyDiv w:val="1"/>
      <w:marLeft w:val="0"/>
      <w:marRight w:val="0"/>
      <w:marTop w:val="0"/>
      <w:marBottom w:val="0"/>
      <w:divBdr>
        <w:top w:val="none" w:sz="0" w:space="0" w:color="auto"/>
        <w:left w:val="none" w:sz="0" w:space="0" w:color="auto"/>
        <w:bottom w:val="none" w:sz="0" w:space="0" w:color="auto"/>
        <w:right w:val="none" w:sz="0" w:space="0" w:color="auto"/>
      </w:divBdr>
    </w:div>
    <w:div w:id="194997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c.cec/budg/leg/internal/leg-070_internal_en.htm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 TargetMode="External"/><Relationship Id="rId2" Type="http://schemas.openxmlformats.org/officeDocument/2006/relationships/hyperlink" Target="http://ec.europa.eu/priorities/work-programme/index_en.htm" TargetMode="External"/><Relationship Id="rId1" Type="http://schemas.openxmlformats.org/officeDocument/2006/relationships/hyperlink" Target="http://ec.europa.eu/taxation_customs/resources/documents/taxation/tax_fraud_evasion/c_2012_8806_r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9908B55AC52C4FAF7A8AE6DC3F0E00" ma:contentTypeVersion="0" ma:contentTypeDescription="Create a new document." ma:contentTypeScope="" ma:versionID="e1674feb5aa7bee42ad47ea36a32e53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41663-9444-41DF-A356-41837CAE8E26}">
  <ds:schemaRef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 ds:uri="http://purl.org/dc/dcmitype/"/>
    <ds:schemaRef ds:uri="http://schemas.microsoft.com/office/2006/documentManagement/types"/>
  </ds:schemaRefs>
</ds:datastoreItem>
</file>

<file path=customXml/itemProps2.xml><?xml version="1.0" encoding="utf-8"?>
<ds:datastoreItem xmlns:ds="http://schemas.openxmlformats.org/officeDocument/2006/customXml" ds:itemID="{021AE787-327E-44B8-BFA2-5BA46F2D48AD}">
  <ds:schemaRefs>
    <ds:schemaRef ds:uri="http://schemas.microsoft.com/sharepoint/v3/contenttype/forms"/>
  </ds:schemaRefs>
</ds:datastoreItem>
</file>

<file path=customXml/itemProps3.xml><?xml version="1.0" encoding="utf-8"?>
<ds:datastoreItem xmlns:ds="http://schemas.openxmlformats.org/officeDocument/2006/customXml" ds:itemID="{7DFE735B-F98B-4419-85C3-5BDC7C752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89ECEAB-49A7-497F-ACA1-F5B0E878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Pages>
  <Words>9564</Words>
  <Characters>56423</Characters>
  <Application>Microsoft Office Word</Application>
  <DocSecurity>0</DocSecurity>
  <Lines>1786</Lines>
  <Paragraphs>761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65440</CharactersWithSpaces>
  <SharedDoc>false</SharedDoc>
  <HLinks>
    <vt:vector size="24" baseType="variant">
      <vt:variant>
        <vt:i4>7209064</vt:i4>
      </vt:variant>
      <vt:variant>
        <vt:i4>0</vt:i4>
      </vt:variant>
      <vt:variant>
        <vt:i4>0</vt:i4>
      </vt:variant>
      <vt:variant>
        <vt:i4>5</vt:i4>
      </vt:variant>
      <vt:variant>
        <vt:lpwstr>http://www.cc.cec/budg/leg/internal/leg-070_internal_en.html</vt:lpwstr>
      </vt:variant>
      <vt:variant>
        <vt:lpwstr/>
      </vt:variant>
      <vt:variant>
        <vt:i4>8192002</vt:i4>
      </vt:variant>
      <vt:variant>
        <vt:i4>6</vt:i4>
      </vt:variant>
      <vt:variant>
        <vt:i4>0</vt:i4>
      </vt:variant>
      <vt:variant>
        <vt:i4>5</vt:i4>
      </vt:variant>
      <vt:variant>
        <vt:lpwstr>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vt:lpwstr>
      </vt:variant>
      <vt:variant>
        <vt:lpwstr/>
      </vt:variant>
      <vt:variant>
        <vt:i4>1966120</vt:i4>
      </vt:variant>
      <vt:variant>
        <vt:i4>3</vt:i4>
      </vt:variant>
      <vt:variant>
        <vt:i4>0</vt:i4>
      </vt:variant>
      <vt:variant>
        <vt:i4>5</vt:i4>
      </vt:variant>
      <vt:variant>
        <vt:lpwstr>http://ec.europa.eu/priorities/work-programme/index_en.htm</vt:lpwstr>
      </vt:variant>
      <vt:variant>
        <vt:lpwstr/>
      </vt:variant>
      <vt:variant>
        <vt:i4>2097214</vt:i4>
      </vt:variant>
      <vt:variant>
        <vt:i4>0</vt:i4>
      </vt:variant>
      <vt:variant>
        <vt:i4>0</vt:i4>
      </vt:variant>
      <vt:variant>
        <vt:i4>5</vt:i4>
      </vt:variant>
      <vt:variant>
        <vt:lpwstr>http://ec.europa.eu/taxation_customs/resources/documents/taxation/tax_fraud_evasion/c_2012_8806_en.pdf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2015-03-13T15:11:00Z</cp:lastPrinted>
  <dcterms:created xsi:type="dcterms:W3CDTF">2015-03-18T15:02:00Z</dcterms:created>
  <dcterms:modified xsi:type="dcterms:W3CDTF">2015-03-19T09:28:00Z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ContentTypeId">
    <vt:lpwstr>0x010100929908B55AC52C4FAF7A8AE6DC3F0E00</vt:lpwstr>
  </property>
  <property fmtid="{D5CDD505-2E9C-101B-9397-08002B2CF9AE}" pid="11" name="DQCStatus">
    <vt:lpwstr>Yellow (DQC version 02)</vt:lpwstr>
  </property>
</Properties>
</file>