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107C563D156490DB96EAE66952533B9" style="width:450.8pt;height:351.8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rPr>
          <w:noProof/>
        </w:rPr>
      </w:pPr>
      <w:r>
        <w:rPr>
          <w:noProof/>
        </w:rPr>
        <w:t xml:space="preserve">Tratatul privind funcționarea Uniunii Europene (TFUE) prevede ca regulă fundamentală de reglementare a finanțării Uniunii că bugetul anual al Uniunii trebuie să respecte cadrul financiar multianual (CFM). </w:t>
      </w:r>
    </w:p>
    <w:p>
      <w:pPr>
        <w:rPr>
          <w:noProof/>
        </w:rPr>
      </w:pPr>
      <w:r>
        <w:rPr>
          <w:noProof/>
        </w:rPr>
        <w:t>Pentru a sprijini sectorul agricol în cazul unor crize majore care afectează producția sau distribuția agricolă, ar trebui stabilită o rezervă pentru situații de criză prin aplicarea, la începutul fiecărui an, a unei reduceri a plăților directe cu ajutorul mecanismului de disciplină financiară prevăzut la articolul 26 din Regulamentul (UE) nr. 1306/2013 al Parlamentului European și al Consiliului din 17 decembrie 2013 privind finanțarea, gestionarea și monitorizarea politicii agricole comune</w:t>
      </w:r>
      <w:r>
        <w:rPr>
          <w:rStyle w:val="FootnoteReference"/>
          <w:noProof/>
        </w:rPr>
        <w:footnoteReference w:id="1"/>
      </w:r>
      <w:r>
        <w:rPr>
          <w:noProof/>
        </w:rPr>
        <w:t>. Articolul 25 din respectivul regulament stabilește că valoarea totală a rezervei pentru situații de criză în sectorul agricol este de 2 800 de milioane EUR, cu tranșe anuale egale de 400 de milioane EUR (la prețurile din 2011) pentru perioada 2014-2020 și că este inclusă în rubrica 2 din cadrul financiar multianual. Valoarea rezervei care trebuie inclusă în proiectul de buget al Comisiei pentru 2016 se ridică la 441,6 milioane EUR, în prețuri curente, fiind acoperită printr-o reducere a plăților directe enumerate în anexa I la Regulamentul (UE) nr. 1307/2013 al Parlamentului European și al Consiliului din 17 decembrie 2013 de stabilire a unor norme privind plățile directe acordate fermierilor prin scheme de sprijin în cadrul politicii agricole comune</w:t>
      </w:r>
      <w:r>
        <w:rPr>
          <w:rStyle w:val="FootnoteReference"/>
          <w:noProof/>
        </w:rPr>
        <w:footnoteReference w:id="2"/>
      </w:r>
      <w:r>
        <w:rPr>
          <w:noProof/>
        </w:rPr>
        <w:t>.</w:t>
      </w:r>
    </w:p>
    <w:p>
      <w:pPr>
        <w:rPr>
          <w:noProof/>
          <w:sz w:val="23"/>
          <w:szCs w:val="23"/>
        </w:rPr>
      </w:pPr>
      <w:r>
        <w:rPr>
          <w:noProof/>
        </w:rPr>
        <w:t>În plus, pentru a se asigura că sumele destinate finanțării politicii agricole comune (PAC) respectă subplafoanele anuale pentru cheltuielile de piață și pentru plățile directe de la rubrica 2 prevăzute în Regulamentul (UE, EURATOM) nr. 1311/2013 al Consiliului din 2 decembrie 2013 de stabilire a cadrului financiar multianual pentru perioada 2014-2020</w:t>
      </w:r>
      <w:r>
        <w:rPr>
          <w:rStyle w:val="FootnoteReference"/>
          <w:noProof/>
        </w:rPr>
        <w:footnoteReference w:id="3"/>
      </w:r>
      <w:r>
        <w:rPr>
          <w:noProof/>
        </w:rPr>
        <w:t>, mecanismul de disciplină financiară trebuie să se aplice atunci când estimările legate de finanțarea plăților directe și a cheltuielilor de piață indică faptul că se va depăși subplafonul anual de la rubrica 2 prevăzut în cadrul financiar multianual ajustat prin orice transfer financiar între Fondul european de garantare agricolă (FEGA) și Fondul european agricol pentru dezvoltare rurală (FEADR). Acest sold net disponibil pentru cheltuielile FEGA aferente exercițiului 2016 este stabilit de Regulamentul de punere în aplicare (UE) nr. 2015/141 al Comisiei</w:t>
      </w:r>
      <w:r>
        <w:rPr>
          <w:rStyle w:val="FootnoteReference"/>
          <w:noProof/>
        </w:rPr>
        <w:footnoteReference w:id="4"/>
      </w:r>
      <w:r>
        <w:rPr>
          <w:noProof/>
        </w:rPr>
        <w:t>, în conformitate cu articolul 16 din Regulamentul (UE) nr. 1306/2013, și este de 43 949 de milioane EUR.</w:t>
      </w:r>
    </w:p>
    <w:p>
      <w:pPr>
        <w:rPr>
          <w:noProof/>
        </w:rPr>
      </w:pPr>
      <w:r>
        <w:rPr>
          <w:noProof/>
        </w:rPr>
        <w:t>La întocmirea proiectului de buget pentru 2016, primele estimări bugetare pentru plățile directe și pentru cheltuielile de piață au arătat că nu este probabil să se depășească soldul net disponibil pentru cheltuielile FEGA în 2016 și că, prin urmare, nu este necesară o disciplină financiară mai mare.</w:t>
      </w:r>
    </w:p>
    <w:p>
      <w:pPr>
        <w:rPr>
          <w:noProof/>
        </w:rPr>
      </w:pPr>
      <w:r>
        <w:rPr>
          <w:noProof/>
        </w:rPr>
        <w:t xml:space="preserve">Pe baza celor de mai sus, Comisia prezintă o propunere de stabilire a ratei de ajustare a plăților directe în ceea ce privește anul calendaristic 2015, care, în conformitate cu articolul 26 alineatul (3) din Regulamentul (UE) nr. 1306/2013, trebuie să fie adoptată de Parlamentul European și de Consiliu până la 30 iunie 2015. În cazul în care rata de ajustare nu este stabilită până la 30 iunie 2015, în temeiul aceluiași articol respectiva rată va fi stabilită de Comisie. </w:t>
      </w:r>
    </w:p>
    <w:p>
      <w:pPr>
        <w:pStyle w:val="ManualHeading1"/>
        <w:rPr>
          <w:noProof/>
        </w:rPr>
      </w:pPr>
      <w:r>
        <w:rPr>
          <w:noProof/>
        </w:rPr>
        <w:lastRenderedPageBreak/>
        <w:t>2.</w:t>
      </w:r>
      <w:r>
        <w:rPr>
          <w:noProof/>
        </w:rPr>
        <w:tab/>
        <w:t>REZULTATELE CONSULTĂRILOR CU PĂRȚILE INTERESATE ȘI ALE EVALUĂRII IMPACTULUI</w:t>
      </w:r>
    </w:p>
    <w:p>
      <w:pPr>
        <w:rPr>
          <w:noProof/>
        </w:rPr>
      </w:pPr>
      <w:r>
        <w:rPr>
          <w:noProof/>
        </w:rPr>
        <w:t>Prezenta propunere pune în aplicare normele prevăzute la articolul 26 din Regulamentul (UE) nr. 1306/2013 și la articolul 8 din Regulamentul (UE) nr. 1307/2013. Consultarea prealabilă cu părțile interesate și pregătirea unei evaluări a impactului nu au fost necesare.</w:t>
      </w:r>
    </w:p>
    <w:p>
      <w:pPr>
        <w:pStyle w:val="ManualHeading1"/>
        <w:rPr>
          <w:noProof/>
        </w:rPr>
      </w:pPr>
      <w:r>
        <w:rPr>
          <w:noProof/>
        </w:rPr>
        <w:t>3.</w:t>
      </w:r>
      <w:r>
        <w:rPr>
          <w:noProof/>
        </w:rPr>
        <w:tab/>
        <w:t>ELEMENTELE JURIDICE ALE PROPUNERII</w:t>
      </w:r>
    </w:p>
    <w:p>
      <w:pPr>
        <w:rPr>
          <w:noProof/>
        </w:rPr>
      </w:pPr>
      <w:r>
        <w:rPr>
          <w:noProof/>
        </w:rPr>
        <w:t xml:space="preserve">Prezenta propunere stabilește, în temeiul disciplinei financiare, rata de ajustare procentuală pentru anul calendaristic 2015. </w:t>
      </w:r>
    </w:p>
    <w:p>
      <w:pPr>
        <w:rPr>
          <w:noProof/>
        </w:rPr>
      </w:pPr>
      <w:r>
        <w:rPr>
          <w:noProof/>
        </w:rPr>
        <w:t>Ținând cont de faptul că statele membre au posibilitatea de a efectua cu întârziere plățile către fermieri în afara perioadei regulamentare de plată aplicabile în cazul plăților directe și că rata de ajustare în temeiul disciplinei financiare variază de la un an calendaristic la altul, cuantumul plăților directe care trebuie să fie acordate fermierilor nu trebuie să fie afectat de disciplina financiară în mod diferit, în funcție de momentul în care statele membre efectuează plățile către fermieri. Prin urmare, pentru a se garanta tratamentul egal al fermierilor, rata de ajustare ar trebui aplicată doar la valoarea plăților directe care urmează să fie acordate fermierilor pentru cererile de ajutor depuse în anul calendaristic 2015, independent de momentul în care sunt efectuate efectiv plățile către fermieri.</w:t>
      </w:r>
    </w:p>
    <w:p>
      <w:pPr>
        <w:rPr>
          <w:noProof/>
        </w:rPr>
      </w:pPr>
      <w:r>
        <w:rPr>
          <w:noProof/>
        </w:rPr>
        <w:t>La articolul 8 alineatul (1) din Regulamentul (UE) nr. 1307/2013 se prevede că rata de ajustare pentru plățile directe ar trebui să se aplice numai plăților directe care depășesc 2 000 EUR. În Bulgaria, Croația și România, plățile directe sunt în curs de introducere progresivă în anul calendaristic 2015. În consecință, rata de ajustare în temeiul disciplinei financiare nu se va aplica în aceste state membre.</w:t>
      </w:r>
    </w:p>
    <w:p>
      <w:pPr>
        <w:pStyle w:val="ManualHeading1"/>
        <w:rPr>
          <w:noProof/>
        </w:rPr>
      </w:pPr>
      <w:r>
        <w:rPr>
          <w:noProof/>
        </w:rPr>
        <w:t>4.</w:t>
      </w:r>
      <w:r>
        <w:rPr>
          <w:noProof/>
        </w:rPr>
        <w:tab/>
        <w:t>IMPLICAȚIILE BUGETARE</w:t>
      </w:r>
    </w:p>
    <w:p>
      <w:pPr>
        <w:rPr>
          <w:noProof/>
        </w:rPr>
      </w:pPr>
      <w:r>
        <w:rPr>
          <w:noProof/>
        </w:rPr>
        <w:t xml:space="preserve">Calculul ratei de ajustare în temeiul disciplinei financiare face parte din pregătirea proiectului de buget pentru 2016. </w:t>
      </w:r>
    </w:p>
    <w:p>
      <w:pPr>
        <w:rPr>
          <w:noProof/>
        </w:rPr>
      </w:pPr>
      <w:r>
        <w:rPr>
          <w:noProof/>
        </w:rPr>
        <w:t>Valoarea rezervei pentru situații de criză în sectorul agricol, prevăzută a fi inclusă în proiectul de buget pentru 2016, se ridică la 441,6 milioane EUR în prețuri curente. Primele estimări ale creditelor bugetare pentru plățile directe și pentru cheltuielile de piață au arătat că nu este probabil să se depășească soldul net disponibil pentru cheltuielile FEGA în 2016.</w:t>
      </w:r>
    </w:p>
    <w:p>
      <w:pPr>
        <w:rPr>
          <w:noProof/>
        </w:rPr>
      </w:pPr>
      <w:r>
        <w:rPr>
          <w:noProof/>
        </w:rPr>
        <w:t>Prin urmare, reducerea totală care rezultă din aplicarea disciplinei financiare se ridică la 441,6 milioane EUR. Procentul ratei de ajustare în temeiul disciplinei financiare este de 1,393041 % și a fost calculat ținându-se cont de faptul că se aplică doar plăților directe care depășesc 2 000 EUR per fermier și că nu se aplică în toate statele membre.</w:t>
      </w:r>
    </w:p>
    <w:p>
      <w:pPr>
        <w:rPr>
          <w:noProof/>
        </w:rPr>
      </w:pPr>
      <w:r>
        <w:rPr>
          <w:noProof/>
        </w:rPr>
        <w:t xml:space="preserve">Aplicarea acestei rate de ajustare va duce la reducerea cuantumului plăților directe pentru liniile bugetare care acoperă cheltuielile aferente cererilor de ajutor depuse de fermieri pentru anul calendaristic 2015 (exercițiul financiar 2016). </w:t>
      </w:r>
    </w:p>
    <w:p>
      <w:pPr>
        <w:pStyle w:val="ManualHeading1"/>
        <w:rPr>
          <w:noProof/>
        </w:rPr>
      </w:pPr>
      <w:r>
        <w:rPr>
          <w:noProof/>
        </w:rPr>
        <w:t>5.</w:t>
      </w:r>
      <w:r>
        <w:rPr>
          <w:noProof/>
        </w:rPr>
        <w:tab/>
        <w:t>ELEMENTE OPȚIONALE</w:t>
      </w:r>
    </w:p>
    <w:p>
      <w:pPr>
        <w:rPr>
          <w:noProof/>
          <w:highlight w:val="yellow"/>
        </w:rPr>
      </w:pPr>
      <w:r>
        <w:rPr>
          <w:noProof/>
        </w:rPr>
        <w:t xml:space="preserve">După determinarea ratei de ajustare stabilite prin prezentul regulament, articolul 26 alineatul (4) din Regulamentul (UE) nr. 1306/2013 oferă Comisiei și posibilitatea ca, pe baza noilor informații pe care le deține, să adopte acte de punere în aplicare care să adapteze această rată. Comisia își va revizui previziunile pentru cheltuielile de piață și pentru plățile directe în momentul pregătirii scrisorii rectificative la proiectul de buget 2016 în </w:t>
      </w:r>
      <w:r>
        <w:rPr>
          <w:noProof/>
        </w:rPr>
        <w:lastRenderedPageBreak/>
        <w:t xml:space="preserve">octombrie 2015 și va adopta, dacă este necesar, adaptarea ratei de ajustare până la 1 decembrie 2015.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2015/0070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de stabilire a ratei de ajustare prevăzute în Regulamentul (UE) nr. 1306/2013 pentru plățile directe în ceea ce privește anul calendaristic 2015</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43 alineatul (2),</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5"/>
      </w:r>
      <w:r>
        <w:rPr>
          <w:noProof/>
        </w:rPr>
        <w:t>,</w:t>
      </w:r>
    </w:p>
    <w:p>
      <w:pPr>
        <w:rPr>
          <w:noProof/>
        </w:rPr>
      </w:pPr>
      <w:r>
        <w:rPr>
          <w:noProof/>
        </w:rPr>
        <w:t>hotărând în conformitate cu procedura legislativă ordinară,</w:t>
      </w:r>
    </w:p>
    <w:p>
      <w:pPr>
        <w:rPr>
          <w:noProof/>
        </w:rPr>
      </w:pPr>
    </w:p>
    <w:p>
      <w:pPr>
        <w:rPr>
          <w:noProof/>
        </w:rPr>
      </w:pPr>
      <w:r>
        <w:rPr>
          <w:noProof/>
        </w:rPr>
        <w:t>întrucât:</w:t>
      </w:r>
    </w:p>
    <w:p>
      <w:pPr>
        <w:pStyle w:val="ManualConsidrant"/>
        <w:rPr>
          <w:noProof/>
        </w:rPr>
      </w:pPr>
      <w:r>
        <w:t>(1)</w:t>
      </w:r>
      <w:r>
        <w:tab/>
      </w:r>
      <w:r>
        <w:rPr>
          <w:noProof/>
        </w:rPr>
        <w:t>Articolul 25 din Regulamentul (UE) nr. 1306/2013 al Parlamentului European și al Consiliului</w:t>
      </w:r>
      <w:r>
        <w:rPr>
          <w:rStyle w:val="FootnoteReference"/>
          <w:noProof/>
        </w:rPr>
        <w:footnoteReference w:id="6"/>
      </w:r>
      <w:r>
        <w:rPr>
          <w:noProof/>
        </w:rPr>
        <w:t xml:space="preserve"> prevede că trebuie să se stabilească o rezervă menită să ofere sprijin suplimentar sectorului agricol în cazul unor crize majore care afectează producția sau distribuția agricolă prin aplicarea, la începutul fiecărui an, a unei reduceri a plăților directe cu ajutorul mecanismului de disciplină financiară menționat la articolul 26 din regulamentul respectiv.</w:t>
      </w:r>
    </w:p>
    <w:p>
      <w:pPr>
        <w:pStyle w:val="ManualConsidrant"/>
        <w:rPr>
          <w:noProof/>
        </w:rPr>
      </w:pPr>
      <w:r>
        <w:t>(2)</w:t>
      </w:r>
      <w:r>
        <w:tab/>
      </w:r>
      <w:r>
        <w:rPr>
          <w:noProof/>
        </w:rPr>
        <w:t>La articolul 26 alineatul (1) din Regulamentul (UE) nr. 1306/2013 se prevede că, pentru a se asigura respectarea plafoanelor anuale stabilite de Regulamentul (UE, Euratom) nr. 1311/2013 al Consiliului</w:t>
      </w:r>
      <w:r>
        <w:rPr>
          <w:rStyle w:val="FootnoteReference"/>
          <w:noProof/>
        </w:rPr>
        <w:footnoteReference w:id="7"/>
      </w:r>
      <w:r>
        <w:rPr>
          <w:noProof/>
        </w:rPr>
        <w:t xml:space="preserve"> pentru finanțarea cheltuielilor de piață și a plăților directe, trebuie stabilită o rată de ajustare a plăților directe atunci când previziunile privind finanțarea măsurilor finanțate în cadrul subplafonului în cauză pentru un anumit exercițiu financiar arată că plafoanele anuale aplicabile vor fi depășite.</w:t>
      </w:r>
    </w:p>
    <w:p>
      <w:pPr>
        <w:pStyle w:val="ManualConsidrant"/>
        <w:rPr>
          <w:noProof/>
        </w:rPr>
      </w:pPr>
      <w:r>
        <w:t>(3)</w:t>
      </w:r>
      <w:r>
        <w:tab/>
      </w:r>
      <w:r>
        <w:rPr>
          <w:noProof/>
        </w:rPr>
        <w:t>Valoarea rezervei pentru situații de criză în sectorul agricol, prevăzută a fi inclusă în proiectul de buget pentru 2016, se ridică la 441,6 milioane EUR în prețuri curente. Pentru a acoperi această sumă, trebuie să se aplice mecanismul de disciplină financiară în cazul plăților directe acordate în cadrul schemelor de sprijin enumerate în anexa I la Regulamentul (UE) nr. 1307/2013 al Parlamentului European și al Consiliului</w:t>
      </w:r>
      <w:r>
        <w:rPr>
          <w:rStyle w:val="FootnoteReference"/>
          <w:noProof/>
        </w:rPr>
        <w:footnoteReference w:id="8"/>
      </w:r>
      <w:r>
        <w:rPr>
          <w:noProof/>
        </w:rPr>
        <w:t xml:space="preserve"> în ceea ce privește anul calendaristic 2015. </w:t>
      </w:r>
    </w:p>
    <w:p>
      <w:pPr>
        <w:pStyle w:val="ManualConsidrant"/>
        <w:rPr>
          <w:noProof/>
        </w:rPr>
      </w:pPr>
      <w:r>
        <w:t>(4)</w:t>
      </w:r>
      <w:r>
        <w:tab/>
      </w:r>
      <w:r>
        <w:rPr>
          <w:noProof/>
        </w:rPr>
        <w:t>Estimările preliminare pentru plățile directe și cheltuielile de piață care urmează să fie stabilite de Comisie în proiectul de buget 2016 indică faptul că nu este necesară o disciplină financiară mai mare.</w:t>
      </w:r>
    </w:p>
    <w:p>
      <w:pPr>
        <w:pStyle w:val="ManualConsidrant"/>
        <w:rPr>
          <w:noProof/>
        </w:rPr>
      </w:pPr>
      <w:r>
        <w:t>(5)</w:t>
      </w:r>
      <w:r>
        <w:tab/>
      </w:r>
      <w:r>
        <w:rPr>
          <w:noProof/>
        </w:rPr>
        <w:t xml:space="preserve">În conformitate cu articolul 26 alineatul (2) din Regulamentul (UE) nr. 1306/2013, Comisia trebuie să prezinte o propunere Parlamentului European și Consiliului cu privire la rata de ajustare până cel târziu la data de 31 martie a anului calendaristic pentru care se aplică rata de ajustare respectivă. </w:t>
      </w:r>
    </w:p>
    <w:p>
      <w:pPr>
        <w:pStyle w:val="ManualConsidrant"/>
        <w:rPr>
          <w:noProof/>
        </w:rPr>
      </w:pPr>
      <w:r>
        <w:t>(6)</w:t>
      </w:r>
      <w:r>
        <w:tab/>
      </w:r>
      <w:r>
        <w:rPr>
          <w:noProof/>
        </w:rPr>
        <w:t>Ca regulă generală, fermierii care depun o cerere de ajutor pentru plăți directe în ceea ce privește un an calendaristic (N) primesc sumele aferente într-o anumită perioadă de plată care ține de exercițiul financiar (N+1). Cu toate acestea, în anumite limite, statele membre au posibilitatea de a efectua cu întârziere plățile către fermieri dincolo de respectiva perioadă de plată, fără nicio limită de timp. Astfel de plăți întârziate pot fi efectuate într-un exercițiu financiar ulterior. Atunci când disciplina financiară este aplicată pentru un anumit an calendaristic, rata de ajustare nu ar trebui să se aplice plăților pentru care cererile de ajutor au fost depuse în alți ani calendaristici decât cel pentru care se aplică disciplina financiară. Prin urmare, pentru a se garanta tratamentul egal al fermierilor, este necesar să se prevadă că rata de ajustare se aplică numai plăților pentru care s-au depus cereri de ajutor în anul calendaristic pentru care se aplică disciplina financiară, indiferent de momentul în care sunt efectuate plățile către fermieri.</w:t>
      </w:r>
    </w:p>
    <w:p>
      <w:pPr>
        <w:pStyle w:val="ManualConsidrant"/>
        <w:rPr>
          <w:noProof/>
        </w:rPr>
      </w:pPr>
      <w:r>
        <w:t>(7)</w:t>
      </w:r>
      <w:r>
        <w:tab/>
      </w:r>
      <w:r>
        <w:rPr>
          <w:noProof/>
        </w:rPr>
        <w:t>La articolul 8 alineatul (1) din Regulamentul (UE) nr. 1307/2013 se prevede că rata de ajustare aplicată plăților directe stabilită în conformitate cu articolul 26 din Regulamentul (UE) nr. 1306/2013 se aplică numai plăților directe care depășesc 2 000 EUR și care urmează să fie acordate fermierilor în anul calendaristic corespunzător. În plus, articolul 8 alineatul (2) din Regulamentul (UE) nr. 1307/2013 prevede că, în urma introducerii progresive a plăților directe, rata de ajustare se aplică Bulgariei și României numai de la 1 ianuarie 2016, iar Croației numai de la 1 ianuarie 2022. Prin urmare, rata de ajustare care urmează să fie stabilită prin prezentul regulament ar trebui să nu se aplice plăților către fermierii din respectivele state membre.</w:t>
      </w:r>
    </w:p>
    <w:p>
      <w:pPr>
        <w:pStyle w:val="ManualConsidrant"/>
        <w:rPr>
          <w:noProof/>
        </w:rPr>
      </w:pPr>
      <w:r>
        <w:t>(8)</w:t>
      </w:r>
      <w:r>
        <w:tab/>
      </w:r>
      <w:r>
        <w:rPr>
          <w:noProof/>
        </w:rPr>
        <w:t xml:space="preserve">Până la 1 decembrie 2015, rata de ajustare stabilită prin prezentul regulament poate fi adaptată de Comisie, pe baza noilor informații pe care le deține, în temeiul articolului 26 alineatul (4) din Regulamentul (UE) nr. 1306/2013, </w:t>
      </w:r>
    </w:p>
    <w:p>
      <w:pPr>
        <w:pStyle w:val="Formuledadoption"/>
        <w:rPr>
          <w:noProof/>
        </w:rPr>
      </w:pPr>
      <w:r>
        <w:rPr>
          <w:noProof/>
        </w:rPr>
        <w:t>ADOPTĂ PREZENTUL REGULAMENT:</w:t>
      </w:r>
    </w:p>
    <w:p>
      <w:pPr>
        <w:pStyle w:val="Titrearticle"/>
        <w:rPr>
          <w:noProof/>
        </w:rPr>
      </w:pPr>
      <w:r>
        <w:rPr>
          <w:noProof/>
        </w:rPr>
        <w:t>Articolul 1</w:t>
      </w:r>
    </w:p>
    <w:p>
      <w:pPr>
        <w:pStyle w:val="ManualNumPar1"/>
        <w:rPr>
          <w:noProof/>
        </w:rPr>
      </w:pPr>
      <w:r>
        <w:t>1.</w:t>
      </w:r>
      <w:r>
        <w:tab/>
      </w:r>
      <w:r>
        <w:rPr>
          <w:noProof/>
        </w:rPr>
        <w:t xml:space="preserve">În scopul de a aplica ajustarea prevăzută la articolele 25 și 26 din Regulamentul (UE) nr. 1306/2013 </w:t>
      </w:r>
      <w:r>
        <w:rPr>
          <w:rStyle w:val="Strong"/>
          <w:b w:val="0"/>
          <w:noProof/>
          <w:color w:val="000000"/>
        </w:rPr>
        <w:t xml:space="preserve">și în conformitate cu </w:t>
      </w:r>
      <w:r>
        <w:rPr>
          <w:noProof/>
        </w:rPr>
        <w:t>articolul 8 alineatul (1) din Regulamentul (UE) nr. 1307/2013</w:t>
      </w:r>
      <w:r>
        <w:rPr>
          <w:rStyle w:val="Strong"/>
          <w:b w:val="0"/>
          <w:noProof/>
          <w:color w:val="000000"/>
        </w:rPr>
        <w:t xml:space="preserve">, </w:t>
      </w:r>
      <w:r>
        <w:rPr>
          <w:noProof/>
        </w:rPr>
        <w:t>cuantumul plăților directe care sunt acordate, în cadrul schemelor de sprijin enumerate în anexa I la Regulamentul (UE) nr. 1307/2013, unui fermier și care depășește 2 000 EUR pentru o cerere de ajutor depusă în ceea ce privește anul calendaristic 2015 se reduce cu 1,393041 %.</w:t>
      </w:r>
    </w:p>
    <w:p>
      <w:pPr>
        <w:pStyle w:val="ManualNumPar1"/>
        <w:rPr>
          <w:noProof/>
        </w:rPr>
      </w:pPr>
      <w:r>
        <w:t>2.</w:t>
      </w:r>
      <w:r>
        <w:tab/>
      </w:r>
      <w:r>
        <w:rPr>
          <w:noProof/>
        </w:rPr>
        <w:t>Reducerea prevăzută la alineatul (1) nu se aplică în Bulgaria, în Croația și în România.</w:t>
      </w:r>
    </w:p>
    <w:p>
      <w:pPr>
        <w:pStyle w:val="Titrearticle"/>
        <w:rPr>
          <w:noProof/>
        </w:rPr>
      </w:pPr>
      <w:r>
        <w:rPr>
          <w:noProof/>
        </w:rPr>
        <w:t>Articolul 2</w:t>
      </w:r>
    </w:p>
    <w:p>
      <w:pPr>
        <w:rPr>
          <w:noProof/>
        </w:rPr>
      </w:pPr>
      <w:r>
        <w:rPr>
          <w:noProof/>
        </w:rPr>
        <w:t xml:space="preserve">Prezentul regulament intră în vigoare în a șaptea zi de la data publicării în </w:t>
      </w:r>
      <w:r>
        <w:rPr>
          <w:i/>
          <w:noProof/>
        </w:rPr>
        <w:t>Jurnalul Oficial al Uniunii Europene</w:t>
      </w:r>
      <w:r>
        <w:rPr>
          <w:noProof/>
        </w:rPr>
        <w:t>.</w:t>
      </w:r>
    </w:p>
    <w:p>
      <w:pPr>
        <w:pStyle w:val="Applicationdirecte"/>
        <w:rPr>
          <w:noProof/>
        </w:rPr>
      </w:pPr>
      <w:r>
        <w:rPr>
          <w:noProof/>
        </w:rPr>
        <w:t>Prezentul regulament este obligatoriu în toate elementele sale și se aplică direct în toate statele membre.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sectPr>
          <w:pgSz w:w="11907" w:h="16839"/>
          <w:pgMar w:top="1134" w:right="1417" w:bottom="1134" w:left="1417" w:header="709" w:footer="709" w:gutter="0"/>
          <w:cols w:space="708"/>
          <w:docGrid w:linePitch="360"/>
        </w:sectPr>
      </w:pPr>
      <w:r>
        <w:rPr>
          <w:noProof/>
        </w:rPr>
        <w:t>Președintele</w:t>
      </w:r>
      <w:r>
        <w:rPr>
          <w:noProof/>
        </w:rPr>
        <w:tab/>
        <w:t>Președintele</w:t>
      </w:r>
    </w:p>
    <w:p>
      <w:pPr>
        <w:pStyle w:val="Fichefinanciretitre"/>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567"/>
        <w:gridCol w:w="3884"/>
        <w:gridCol w:w="1275"/>
        <w:gridCol w:w="142"/>
        <w:gridCol w:w="1134"/>
        <w:gridCol w:w="14"/>
        <w:gridCol w:w="411"/>
        <w:gridCol w:w="567"/>
        <w:gridCol w:w="1134"/>
      </w:tblGrid>
      <w:tr>
        <w:trPr>
          <w:trHeight w:val="355"/>
        </w:trPr>
        <w:tc>
          <w:tcPr>
            <w:tcW w:w="7016" w:type="dxa"/>
            <w:gridSpan w:val="6"/>
            <w:vMerge w:val="restart"/>
          </w:tcPr>
          <w:p>
            <w:pPr>
              <w:pStyle w:val="Fichefinanciretitretable"/>
              <w:rPr>
                <w:noProof/>
              </w:rPr>
            </w:pPr>
            <w:r>
              <w:rPr>
                <w:noProof/>
              </w:rPr>
              <w:t>FIȘĂ FINANCIARĂ</w:t>
            </w:r>
          </w:p>
        </w:tc>
        <w:tc>
          <w:tcPr>
            <w:tcW w:w="2112" w:type="dxa"/>
            <w:gridSpan w:val="3"/>
          </w:tcPr>
          <w:p>
            <w:pPr>
              <w:pStyle w:val="Fichefinanciretextetable"/>
              <w:rPr>
                <w:noProof/>
              </w:rPr>
            </w:pPr>
            <w:r>
              <w:rPr>
                <w:noProof/>
              </w:rPr>
              <w:t>FS/15/RB/aj 361752</w:t>
            </w:r>
          </w:p>
        </w:tc>
      </w:tr>
      <w:tr>
        <w:trPr>
          <w:trHeight w:val="355"/>
        </w:trPr>
        <w:tc>
          <w:tcPr>
            <w:tcW w:w="7016" w:type="dxa"/>
            <w:gridSpan w:val="6"/>
            <w:vMerge/>
            <w:tcBorders>
              <w:bottom w:val="nil"/>
            </w:tcBorders>
          </w:tcPr>
          <w:p>
            <w:pPr>
              <w:pStyle w:val="Fichefinanciretitretable"/>
              <w:rPr>
                <w:noProof/>
              </w:rPr>
            </w:pPr>
          </w:p>
        </w:tc>
        <w:tc>
          <w:tcPr>
            <w:tcW w:w="2112" w:type="dxa"/>
            <w:gridSpan w:val="3"/>
          </w:tcPr>
          <w:p>
            <w:pPr>
              <w:pStyle w:val="Fichefinanciretextetable"/>
              <w:rPr>
                <w:noProof/>
              </w:rPr>
            </w:pPr>
            <w:r>
              <w:rPr>
                <w:noProof/>
              </w:rPr>
              <w:t>6.15.2015.1</w:t>
            </w:r>
          </w:p>
        </w:tc>
      </w:tr>
      <w:tr>
        <w:tc>
          <w:tcPr>
            <w:tcW w:w="7016" w:type="dxa"/>
            <w:gridSpan w:val="6"/>
            <w:tcBorders>
              <w:top w:val="nil"/>
            </w:tcBorders>
          </w:tcPr>
          <w:p>
            <w:pPr>
              <w:pStyle w:val="Fichefinanciretextetable"/>
              <w:rPr>
                <w:noProof/>
              </w:rPr>
            </w:pPr>
          </w:p>
        </w:tc>
        <w:tc>
          <w:tcPr>
            <w:tcW w:w="2112" w:type="dxa"/>
            <w:gridSpan w:val="3"/>
          </w:tcPr>
          <w:p>
            <w:pPr>
              <w:pStyle w:val="Fichefinanciretextetable"/>
              <w:rPr>
                <w:noProof/>
              </w:rPr>
            </w:pPr>
            <w:r>
              <w:rPr>
                <w:noProof/>
              </w:rPr>
              <w:t>DATA: 27.1.2015</w:t>
            </w:r>
          </w:p>
          <w:p>
            <w:pPr>
              <w:pStyle w:val="Fichefinanciretextetable"/>
              <w:rPr>
                <w:noProof/>
              </w:rPr>
            </w:pPr>
          </w:p>
        </w:tc>
      </w:tr>
      <w:tr>
        <w:tc>
          <w:tcPr>
            <w:tcW w:w="567" w:type="dxa"/>
            <w:tcBorders>
              <w:right w:val="nil"/>
            </w:tcBorders>
          </w:tcPr>
          <w:p>
            <w:pPr>
              <w:pStyle w:val="Fichefinanciretextetable"/>
              <w:rPr>
                <w:noProof/>
              </w:rPr>
            </w:pPr>
            <w:r>
              <w:rPr>
                <w:noProof/>
              </w:rPr>
              <w:t>1.</w:t>
            </w:r>
          </w:p>
        </w:tc>
        <w:tc>
          <w:tcPr>
            <w:tcW w:w="6449" w:type="dxa"/>
            <w:gridSpan w:val="5"/>
            <w:tcBorders>
              <w:left w:val="nil"/>
              <w:right w:val="nil"/>
            </w:tcBorders>
          </w:tcPr>
          <w:p>
            <w:pPr>
              <w:pStyle w:val="Fichefinanciretextetable"/>
              <w:rPr>
                <w:noProof/>
              </w:rPr>
            </w:pPr>
            <w:r>
              <w:rPr>
                <w:noProof/>
              </w:rPr>
              <w:t>LINIA BUGETARĂ:</w:t>
            </w:r>
          </w:p>
          <w:p>
            <w:pPr>
              <w:pStyle w:val="Fichefinanciretextetable"/>
              <w:rPr>
                <w:noProof/>
              </w:rPr>
            </w:pPr>
            <w:r>
              <w:rPr>
                <w:noProof/>
              </w:rPr>
              <w:t>A se vedea mai jos previziunile bugetare după disciplina financiară per post:</w:t>
            </w:r>
          </w:p>
          <w:p>
            <w:pPr>
              <w:pStyle w:val="Fichefinanciretextetable"/>
              <w:rPr>
                <w:noProof/>
                <w:spacing w:val="-3"/>
              </w:rPr>
            </w:pPr>
            <w:r>
              <w:rPr>
                <w:noProof/>
              </w:rPr>
              <w:t>05 03 01 02 (SPUS)</w:t>
            </w:r>
          </w:p>
          <w:p>
            <w:pPr>
              <w:pStyle w:val="Fichefinanciretextetable"/>
              <w:rPr>
                <w:noProof/>
                <w:spacing w:val="-3"/>
              </w:rPr>
            </w:pPr>
            <w:r>
              <w:rPr>
                <w:noProof/>
              </w:rPr>
              <w:t>05 03 01 07 (Plăți redistributive)</w:t>
            </w:r>
          </w:p>
          <w:p>
            <w:pPr>
              <w:pStyle w:val="Fichefinanciretextetable"/>
              <w:rPr>
                <w:noProof/>
                <w:spacing w:val="-3"/>
              </w:rPr>
            </w:pPr>
            <w:r>
              <w:rPr>
                <w:noProof/>
              </w:rPr>
              <w:t>05 03 01 10 (BPS)*</w:t>
            </w:r>
          </w:p>
          <w:p>
            <w:pPr>
              <w:pStyle w:val="Fichefinanciretextetable"/>
              <w:rPr>
                <w:noProof/>
                <w:spacing w:val="-3"/>
              </w:rPr>
            </w:pPr>
            <w:r>
              <w:rPr>
                <w:noProof/>
              </w:rPr>
              <w:t>05 03 01 11 (Plata pentru practicile agricole benefice pentru climă și mediu)</w:t>
            </w:r>
          </w:p>
          <w:p>
            <w:pPr>
              <w:pStyle w:val="Fichefinanciretextetable"/>
              <w:rPr>
                <w:noProof/>
                <w:spacing w:val="-3"/>
              </w:rPr>
            </w:pPr>
            <w:r>
              <w:rPr>
                <w:noProof/>
              </w:rPr>
              <w:t>05 03 01 12 (Plata pentru zonele care se confruntă cu constrângeri naturale)</w:t>
            </w:r>
          </w:p>
          <w:p>
            <w:pPr>
              <w:pStyle w:val="Fichefinanciretextetable"/>
              <w:rPr>
                <w:noProof/>
                <w:spacing w:val="-3"/>
              </w:rPr>
            </w:pPr>
            <w:r>
              <w:rPr>
                <w:noProof/>
              </w:rPr>
              <w:t>05 03 01 13 (Plata pentru tinerii fermieri)</w:t>
            </w:r>
          </w:p>
          <w:p>
            <w:pPr>
              <w:pStyle w:val="Fichefinanciretextetable"/>
              <w:rPr>
                <w:noProof/>
              </w:rPr>
            </w:pPr>
            <w:r>
              <w:rPr>
                <w:noProof/>
              </w:rPr>
              <w:t>05 03 02 40 (Ajutor pe suprafață pentru bumbac)</w:t>
            </w:r>
          </w:p>
          <w:p>
            <w:pPr>
              <w:pStyle w:val="Fichefinanciretextetable"/>
              <w:rPr>
                <w:noProof/>
              </w:rPr>
            </w:pPr>
            <w:r>
              <w:rPr>
                <w:noProof/>
              </w:rPr>
              <w:t>05 03 02 50 (POSEI – Programe comunitare de sprijin)</w:t>
            </w:r>
          </w:p>
          <w:p>
            <w:pPr>
              <w:pStyle w:val="Fichefinanciretextetable"/>
              <w:rPr>
                <w:noProof/>
              </w:rPr>
            </w:pPr>
            <w:r>
              <w:rPr>
                <w:noProof/>
              </w:rPr>
              <w:t>05 03 02 52 (POSEI – Insulele din Marea Egee)</w:t>
            </w:r>
          </w:p>
          <w:p>
            <w:pPr>
              <w:pStyle w:val="Fichefinanciretextetable"/>
              <w:rPr>
                <w:noProof/>
              </w:rPr>
            </w:pPr>
            <w:r>
              <w:rPr>
                <w:noProof/>
              </w:rPr>
              <w:t>05 03 02 60 (Sprijin cuplat facultativ)</w:t>
            </w:r>
          </w:p>
          <w:p>
            <w:pPr>
              <w:pStyle w:val="Fichefinanciretextetable"/>
              <w:rPr>
                <w:noProof/>
              </w:rPr>
            </w:pPr>
            <w:r>
              <w:rPr>
                <w:noProof/>
              </w:rPr>
              <w:t>05 03 02 61 (Schema pentru micii fermieri)</w:t>
            </w:r>
          </w:p>
          <w:p>
            <w:pPr>
              <w:pStyle w:val="Fichefinanciretextetable"/>
              <w:rPr>
                <w:noProof/>
              </w:rPr>
            </w:pPr>
            <w:r>
              <w:rPr>
                <w:noProof/>
              </w:rPr>
              <w:t>05 03 10      (Rezerva pentru situații de criză în agricultură)</w:t>
            </w:r>
          </w:p>
          <w:p>
            <w:pPr>
              <w:pStyle w:val="Fichefinanciretextetable"/>
              <w:rPr>
                <w:noProof/>
              </w:rPr>
            </w:pPr>
            <w:r>
              <w:rPr>
                <w:noProof/>
              </w:rPr>
              <w:t>* înainte de a lua în calcul veniturile alocate</w:t>
            </w:r>
          </w:p>
        </w:tc>
        <w:tc>
          <w:tcPr>
            <w:tcW w:w="2112" w:type="dxa"/>
            <w:gridSpan w:val="3"/>
            <w:tcBorders>
              <w:left w:val="nil"/>
            </w:tcBorders>
          </w:tcPr>
          <w:p>
            <w:pPr>
              <w:pStyle w:val="Fichefinanciretextetable"/>
              <w:tabs>
                <w:tab w:val="left" w:pos="1736"/>
              </w:tabs>
              <w:ind w:right="136"/>
              <w:rPr>
                <w:noProof/>
              </w:rPr>
            </w:pPr>
            <w:r>
              <w:rPr>
                <w:noProof/>
              </w:rPr>
              <w:t>CREDITE:</w:t>
            </w:r>
          </w:p>
          <w:p>
            <w:pPr>
              <w:pStyle w:val="Fichefinanciretextetable"/>
              <w:tabs>
                <w:tab w:val="left" w:pos="1736"/>
              </w:tabs>
              <w:ind w:right="136"/>
              <w:rPr>
                <w:noProof/>
              </w:rPr>
            </w:pPr>
            <w:r>
              <w:rPr>
                <w:noProof/>
              </w:rPr>
              <w:t>în milioane EUR</w:t>
            </w:r>
          </w:p>
          <w:p>
            <w:pPr>
              <w:pStyle w:val="Fichefinanciretextetable"/>
              <w:tabs>
                <w:tab w:val="left" w:pos="1736"/>
              </w:tabs>
              <w:ind w:right="136"/>
              <w:jc w:val="right"/>
              <w:rPr>
                <w:noProof/>
              </w:rPr>
            </w:pPr>
            <w:r>
              <w:rPr>
                <w:noProof/>
              </w:rPr>
              <w:t>4 236,0</w:t>
            </w:r>
          </w:p>
          <w:p>
            <w:pPr>
              <w:pStyle w:val="Fichefinanciretextetable"/>
              <w:tabs>
                <w:tab w:val="left" w:pos="1736"/>
              </w:tabs>
              <w:ind w:right="136"/>
              <w:jc w:val="right"/>
              <w:rPr>
                <w:noProof/>
              </w:rPr>
            </w:pPr>
            <w:r>
              <w:rPr>
                <w:noProof/>
              </w:rPr>
              <w:t>1 251,0</w:t>
            </w:r>
          </w:p>
          <w:p>
            <w:pPr>
              <w:pStyle w:val="Fichefinanciretextetable"/>
              <w:tabs>
                <w:tab w:val="left" w:pos="1736"/>
              </w:tabs>
              <w:ind w:right="136"/>
              <w:jc w:val="right"/>
              <w:rPr>
                <w:noProof/>
              </w:rPr>
            </w:pPr>
            <w:r>
              <w:rPr>
                <w:noProof/>
              </w:rPr>
              <w:t>18 307,0</w:t>
            </w:r>
          </w:p>
          <w:p>
            <w:pPr>
              <w:pStyle w:val="Fichefinanciretextetable"/>
              <w:tabs>
                <w:tab w:val="left" w:pos="1736"/>
              </w:tabs>
              <w:ind w:right="136"/>
              <w:jc w:val="right"/>
              <w:rPr>
                <w:noProof/>
              </w:rPr>
            </w:pPr>
          </w:p>
          <w:p>
            <w:pPr>
              <w:pStyle w:val="Fichefinanciretextetable"/>
              <w:tabs>
                <w:tab w:val="left" w:pos="1736"/>
              </w:tabs>
              <w:ind w:right="136"/>
              <w:jc w:val="right"/>
              <w:rPr>
                <w:noProof/>
              </w:rPr>
            </w:pPr>
            <w:r>
              <w:rPr>
                <w:noProof/>
              </w:rPr>
              <w:t>12 239,0</w:t>
            </w:r>
          </w:p>
          <w:p>
            <w:pPr>
              <w:pStyle w:val="Fichefinanciretextetable"/>
              <w:tabs>
                <w:tab w:val="left" w:pos="1736"/>
              </w:tabs>
              <w:ind w:right="136"/>
              <w:jc w:val="right"/>
              <w:rPr>
                <w:noProof/>
              </w:rPr>
            </w:pPr>
            <w:r>
              <w:rPr>
                <w:noProof/>
              </w:rPr>
              <w:t>3,0</w:t>
            </w:r>
          </w:p>
          <w:p>
            <w:pPr>
              <w:pStyle w:val="Fichefinanciretextetable"/>
              <w:tabs>
                <w:tab w:val="left" w:pos="1736"/>
              </w:tabs>
              <w:ind w:right="136"/>
              <w:jc w:val="right"/>
              <w:rPr>
                <w:noProof/>
              </w:rPr>
            </w:pPr>
            <w:r>
              <w:rPr>
                <w:noProof/>
              </w:rPr>
              <w:t>549,0</w:t>
            </w:r>
          </w:p>
          <w:p>
            <w:pPr>
              <w:pStyle w:val="Fichefinanciretextetable"/>
              <w:tabs>
                <w:tab w:val="left" w:pos="1736"/>
              </w:tabs>
              <w:ind w:right="136"/>
              <w:jc w:val="right"/>
              <w:rPr>
                <w:noProof/>
              </w:rPr>
            </w:pPr>
            <w:r>
              <w:rPr>
                <w:noProof/>
              </w:rPr>
              <w:t>241,0</w:t>
            </w:r>
          </w:p>
          <w:p>
            <w:pPr>
              <w:pStyle w:val="Fichefinanciretextetable"/>
              <w:tabs>
                <w:tab w:val="left" w:pos="1736"/>
              </w:tabs>
              <w:ind w:right="136"/>
              <w:jc w:val="right"/>
              <w:rPr>
                <w:noProof/>
              </w:rPr>
            </w:pPr>
            <w:r>
              <w:rPr>
                <w:noProof/>
              </w:rPr>
              <w:t>416,0</w:t>
            </w:r>
          </w:p>
          <w:p>
            <w:pPr>
              <w:pStyle w:val="Fichefinanciretextetable"/>
              <w:tabs>
                <w:tab w:val="left" w:pos="1736"/>
              </w:tabs>
              <w:ind w:right="136"/>
              <w:jc w:val="right"/>
              <w:rPr>
                <w:noProof/>
              </w:rPr>
            </w:pPr>
            <w:r>
              <w:rPr>
                <w:noProof/>
              </w:rPr>
              <w:t>17,0</w:t>
            </w:r>
          </w:p>
          <w:p>
            <w:pPr>
              <w:pStyle w:val="Fichefinanciretextetable"/>
              <w:tabs>
                <w:tab w:val="left" w:pos="1736"/>
              </w:tabs>
              <w:ind w:right="136"/>
              <w:jc w:val="right"/>
              <w:rPr>
                <w:noProof/>
              </w:rPr>
            </w:pPr>
            <w:r>
              <w:rPr>
                <w:noProof/>
              </w:rPr>
              <w:t>4 047,0</w:t>
            </w:r>
          </w:p>
          <w:p>
            <w:pPr>
              <w:pStyle w:val="Fichefinanciretextetable"/>
              <w:tabs>
                <w:tab w:val="left" w:pos="1736"/>
              </w:tabs>
              <w:ind w:right="136"/>
              <w:jc w:val="right"/>
              <w:rPr>
                <w:noProof/>
              </w:rPr>
            </w:pPr>
            <w:r>
              <w:rPr>
                <w:noProof/>
              </w:rPr>
              <w:t>p.m.</w:t>
            </w:r>
          </w:p>
          <w:p>
            <w:pPr>
              <w:pStyle w:val="Fichefinanciretextetable"/>
              <w:tabs>
                <w:tab w:val="left" w:pos="1736"/>
              </w:tabs>
              <w:ind w:right="136"/>
              <w:jc w:val="right"/>
              <w:rPr>
                <w:noProof/>
              </w:rPr>
            </w:pPr>
            <w:r>
              <w:rPr>
                <w:noProof/>
              </w:rPr>
              <w:t>441,6</w:t>
            </w:r>
          </w:p>
          <w:p>
            <w:pPr>
              <w:pStyle w:val="Fichefinanciretextetable"/>
              <w:tabs>
                <w:tab w:val="left" w:pos="1736"/>
              </w:tabs>
              <w:ind w:right="136"/>
              <w:jc w:val="both"/>
              <w:rPr>
                <w:noProof/>
              </w:rPr>
            </w:pPr>
          </w:p>
        </w:tc>
      </w:tr>
      <w:tr>
        <w:tc>
          <w:tcPr>
            <w:tcW w:w="567" w:type="dxa"/>
            <w:tcBorders>
              <w:bottom w:val="nil"/>
              <w:right w:val="nil"/>
            </w:tcBorders>
          </w:tcPr>
          <w:p>
            <w:pPr>
              <w:pStyle w:val="Fichefinanciretextetable"/>
              <w:rPr>
                <w:noProof/>
              </w:rPr>
            </w:pPr>
            <w:r>
              <w:rPr>
                <w:noProof/>
              </w:rPr>
              <w:t>2.</w:t>
            </w:r>
          </w:p>
        </w:tc>
        <w:tc>
          <w:tcPr>
            <w:tcW w:w="8561" w:type="dxa"/>
            <w:gridSpan w:val="8"/>
            <w:tcBorders>
              <w:left w:val="nil"/>
            </w:tcBorders>
          </w:tcPr>
          <w:p>
            <w:pPr>
              <w:pStyle w:val="Fichefinanciretextetable"/>
              <w:rPr>
                <w:noProof/>
              </w:rPr>
            </w:pPr>
            <w:r>
              <w:rPr>
                <w:noProof/>
              </w:rPr>
              <w:t>TITLU:</w:t>
            </w:r>
          </w:p>
          <w:p>
            <w:pPr>
              <w:pStyle w:val="Fichefinanciretextetable"/>
              <w:rPr>
                <w:noProof/>
              </w:rPr>
            </w:pPr>
          </w:p>
          <w:p>
            <w:pPr>
              <w:pStyle w:val="Fichefinanciretextetable"/>
              <w:rPr>
                <w:noProof/>
              </w:rPr>
            </w:pPr>
            <w:r>
              <w:rPr>
                <w:noProof/>
              </w:rPr>
              <w:t>Propunere de</w:t>
            </w:r>
          </w:p>
          <w:p>
            <w:pPr>
              <w:pStyle w:val="Fichefinanciretextetable"/>
              <w:rPr>
                <w:noProof/>
              </w:rPr>
            </w:pPr>
            <w:r>
              <w:rPr>
                <w:noProof/>
              </w:rPr>
              <w:t>REGULAMENT AL PARLAMENTULUI EUROPEAN ȘI AL CONSILIULUI de stabilire a ratei de ajustare prevăzute în Regulamentul (UE) nr. 1306/2013 pentru plățile directe în ceea ce privește anul calendaristic 2015</w:t>
            </w:r>
          </w:p>
        </w:tc>
      </w:tr>
      <w:tr>
        <w:tc>
          <w:tcPr>
            <w:tcW w:w="567" w:type="dxa"/>
            <w:tcBorders>
              <w:bottom w:val="nil"/>
              <w:right w:val="nil"/>
            </w:tcBorders>
          </w:tcPr>
          <w:p>
            <w:pPr>
              <w:pStyle w:val="Fichefinanciretextetable"/>
              <w:rPr>
                <w:noProof/>
              </w:rPr>
            </w:pPr>
            <w:r>
              <w:rPr>
                <w:noProof/>
              </w:rPr>
              <w:t>3.</w:t>
            </w:r>
          </w:p>
        </w:tc>
        <w:tc>
          <w:tcPr>
            <w:tcW w:w="8561" w:type="dxa"/>
            <w:gridSpan w:val="8"/>
            <w:tcBorders>
              <w:left w:val="nil"/>
            </w:tcBorders>
          </w:tcPr>
          <w:p>
            <w:pPr>
              <w:pStyle w:val="Fichefinanciretextetable"/>
              <w:rPr>
                <w:noProof/>
              </w:rPr>
            </w:pPr>
            <w:r>
              <w:rPr>
                <w:noProof/>
              </w:rPr>
              <w:t>TEMEI JURIDIC:</w:t>
            </w:r>
          </w:p>
          <w:p>
            <w:pPr>
              <w:pStyle w:val="Fichefinanciretextetable"/>
              <w:rPr>
                <w:noProof/>
              </w:rPr>
            </w:pPr>
          </w:p>
          <w:p>
            <w:pPr>
              <w:pStyle w:val="Fichefinanciretextetable"/>
              <w:rPr>
                <w:noProof/>
              </w:rPr>
            </w:pPr>
            <w:r>
              <w:rPr>
                <w:noProof/>
              </w:rPr>
              <w:t xml:space="preserve">Articolul 43 alineatul (2) din Tratatul privind funcționarea Uniunii Europene </w:t>
            </w:r>
          </w:p>
          <w:p>
            <w:pPr>
              <w:pStyle w:val="Fichefinanciretextetable"/>
              <w:rPr>
                <w:noProof/>
              </w:rPr>
            </w:pPr>
          </w:p>
        </w:tc>
      </w:tr>
      <w:tr>
        <w:tc>
          <w:tcPr>
            <w:tcW w:w="567" w:type="dxa"/>
            <w:tcBorders>
              <w:right w:val="nil"/>
            </w:tcBorders>
          </w:tcPr>
          <w:p>
            <w:pPr>
              <w:pStyle w:val="Fichefinanciretextetable"/>
              <w:rPr>
                <w:noProof/>
              </w:rPr>
            </w:pPr>
            <w:r>
              <w:rPr>
                <w:noProof/>
              </w:rPr>
              <w:t>4.</w:t>
            </w:r>
          </w:p>
        </w:tc>
        <w:tc>
          <w:tcPr>
            <w:tcW w:w="8561" w:type="dxa"/>
            <w:gridSpan w:val="8"/>
            <w:tcBorders>
              <w:left w:val="nil"/>
            </w:tcBorders>
          </w:tcPr>
          <w:p>
            <w:pPr>
              <w:pStyle w:val="Fichefinanciretextetable"/>
              <w:rPr>
                <w:noProof/>
              </w:rPr>
            </w:pPr>
            <w:r>
              <w:rPr>
                <w:noProof/>
              </w:rPr>
              <w:t>OBIECTIVE:</w:t>
            </w:r>
          </w:p>
          <w:p>
            <w:pPr>
              <w:pStyle w:val="Fichefinanciretextetable"/>
              <w:rPr>
                <w:noProof/>
              </w:rPr>
            </w:pPr>
            <w:r>
              <w:rPr>
                <w:noProof/>
              </w:rPr>
              <w:t>Prezentul regulament stabilește, în temeiul disciplinei financiare, rata de ajustare care trebuie aplicată valorii plăților directe de peste 2 000 EUR care urmează a fi acordate fermierilor pentru cererile de ajutor depuse în ceea ce privește anul calendaristic 2015.</w:t>
            </w:r>
          </w:p>
        </w:tc>
      </w:tr>
      <w:tr>
        <w:tc>
          <w:tcPr>
            <w:tcW w:w="567" w:type="dxa"/>
            <w:tcBorders>
              <w:bottom w:val="nil"/>
              <w:right w:val="nil"/>
            </w:tcBorders>
          </w:tcPr>
          <w:p>
            <w:pPr>
              <w:pStyle w:val="Fichefinanciretextetable"/>
              <w:rPr>
                <w:noProof/>
              </w:rPr>
            </w:pPr>
            <w:r>
              <w:rPr>
                <w:noProof/>
              </w:rPr>
              <w:t>5.</w:t>
            </w:r>
          </w:p>
        </w:tc>
        <w:tc>
          <w:tcPr>
            <w:tcW w:w="3884" w:type="dxa"/>
            <w:tcBorders>
              <w:left w:val="nil"/>
            </w:tcBorders>
          </w:tcPr>
          <w:p>
            <w:pPr>
              <w:pStyle w:val="Fichefinanciretextetable"/>
              <w:rPr>
                <w:noProof/>
              </w:rPr>
            </w:pPr>
            <w:r>
              <w:rPr>
                <w:noProof/>
              </w:rPr>
              <w:t>IMPLICAȚII FINANCIARE</w:t>
            </w:r>
          </w:p>
        </w:tc>
        <w:tc>
          <w:tcPr>
            <w:tcW w:w="1417" w:type="dxa"/>
            <w:gridSpan w:val="2"/>
          </w:tcPr>
          <w:p>
            <w:pPr>
              <w:pStyle w:val="Fichefinanciretextetable"/>
              <w:jc w:val="center"/>
              <w:rPr>
                <w:noProof/>
              </w:rPr>
            </w:pPr>
            <w:r>
              <w:rPr>
                <w:noProof/>
              </w:rPr>
              <w:t>PERIOADĂ DE 12 LUNI</w:t>
            </w:r>
            <w:r>
              <w:rPr>
                <w:noProof/>
              </w:rPr>
              <w:br/>
            </w:r>
            <w:r>
              <w:rPr>
                <w:noProof/>
              </w:rPr>
              <w:br/>
            </w:r>
            <w:r>
              <w:rPr>
                <w:noProof/>
              </w:rPr>
              <w:br/>
              <w:t>(milioane EUR)</w:t>
            </w:r>
          </w:p>
        </w:tc>
        <w:tc>
          <w:tcPr>
            <w:tcW w:w="1559" w:type="dxa"/>
            <w:gridSpan w:val="3"/>
          </w:tcPr>
          <w:p>
            <w:pPr>
              <w:pStyle w:val="Fichefinanciretextetable"/>
              <w:jc w:val="center"/>
              <w:rPr>
                <w:noProof/>
              </w:rPr>
            </w:pPr>
            <w:r>
              <w:rPr>
                <w:noProof/>
              </w:rPr>
              <w:t>EXERCIȚIUL FINANCIAR CURENT</w:t>
            </w:r>
          </w:p>
          <w:p>
            <w:pPr>
              <w:pStyle w:val="Fichefinanciretextetable"/>
              <w:jc w:val="center"/>
              <w:rPr>
                <w:noProof/>
              </w:rPr>
            </w:pPr>
            <w:r>
              <w:rPr>
                <w:noProof/>
              </w:rPr>
              <w:t>2015</w:t>
            </w:r>
          </w:p>
          <w:p>
            <w:pPr>
              <w:pStyle w:val="Fichefinanciretextetable"/>
              <w:jc w:val="center"/>
              <w:rPr>
                <w:noProof/>
              </w:rPr>
            </w:pPr>
            <w:r>
              <w:rPr>
                <w:noProof/>
              </w:rPr>
              <w:t>(milioane EUR)</w:t>
            </w:r>
          </w:p>
        </w:tc>
        <w:tc>
          <w:tcPr>
            <w:tcW w:w="1701" w:type="dxa"/>
            <w:gridSpan w:val="2"/>
          </w:tcPr>
          <w:p>
            <w:pPr>
              <w:pStyle w:val="Fichefinanciretextetable"/>
              <w:jc w:val="center"/>
              <w:rPr>
                <w:noProof/>
              </w:rPr>
            </w:pPr>
            <w:r>
              <w:rPr>
                <w:noProof/>
              </w:rPr>
              <w:t>EXERCIȚIUL FINANCIAR URMĂTOR</w:t>
            </w:r>
          </w:p>
          <w:p>
            <w:pPr>
              <w:pStyle w:val="Fichefinanciretextetable"/>
              <w:jc w:val="center"/>
              <w:rPr>
                <w:noProof/>
              </w:rPr>
            </w:pPr>
            <w:r>
              <w:rPr>
                <w:noProof/>
              </w:rPr>
              <w:t>2016</w:t>
            </w:r>
          </w:p>
          <w:p>
            <w:pPr>
              <w:pStyle w:val="Fichefinanciretextetable"/>
              <w:jc w:val="center"/>
              <w:rPr>
                <w:noProof/>
              </w:rPr>
            </w:pPr>
            <w:r>
              <w:rPr>
                <w:noProof/>
              </w:rPr>
              <w:t>(milioane EUR)</w:t>
            </w:r>
          </w:p>
        </w:tc>
      </w:tr>
      <w:tr>
        <w:tc>
          <w:tcPr>
            <w:tcW w:w="567" w:type="dxa"/>
            <w:tcBorders>
              <w:bottom w:val="nil"/>
              <w:right w:val="nil"/>
            </w:tcBorders>
          </w:tcPr>
          <w:p>
            <w:pPr>
              <w:pStyle w:val="Fichefinanciretextetable"/>
              <w:rPr>
                <w:noProof/>
              </w:rPr>
            </w:pPr>
            <w:r>
              <w:rPr>
                <w:noProof/>
              </w:rPr>
              <w:t>5.0</w:t>
            </w:r>
          </w:p>
        </w:tc>
        <w:tc>
          <w:tcPr>
            <w:tcW w:w="3884" w:type="dxa"/>
            <w:tcBorders>
              <w:left w:val="nil"/>
            </w:tcBorders>
          </w:tcPr>
          <w:p>
            <w:pPr>
              <w:pStyle w:val="Fichefinanciretextetable"/>
              <w:rPr>
                <w:noProof/>
              </w:rPr>
            </w:pPr>
            <w:r>
              <w:rPr>
                <w:noProof/>
              </w:rPr>
              <w:t>CHELTUIELI</w:t>
            </w:r>
          </w:p>
          <w:p>
            <w:pPr>
              <w:pStyle w:val="Fichefinanciretextetable"/>
              <w:rPr>
                <w:noProof/>
              </w:rPr>
            </w:pPr>
            <w:r>
              <w:rPr>
                <w:noProof/>
              </w:rPr>
              <w:t>-</w:t>
            </w:r>
            <w:r>
              <w:rPr>
                <w:noProof/>
              </w:rPr>
              <w:tab/>
              <w:t>DIN BUGETUL UE</w:t>
            </w:r>
            <w:r>
              <w:rPr>
                <w:noProof/>
              </w:rPr>
              <w:br/>
              <w:t>(RESTITUIRI/INTERVENȚII)</w:t>
            </w:r>
          </w:p>
          <w:p>
            <w:pPr>
              <w:pStyle w:val="Fichefinanciretextetable"/>
              <w:rPr>
                <w:noProof/>
              </w:rPr>
            </w:pPr>
            <w:r>
              <w:rPr>
                <w:noProof/>
              </w:rPr>
              <w:t>-</w:t>
            </w:r>
            <w:r>
              <w:rPr>
                <w:noProof/>
              </w:rPr>
              <w:tab/>
              <w:t>DIN BUGETELE NAȚIONALE</w:t>
            </w:r>
          </w:p>
          <w:p>
            <w:pPr>
              <w:pStyle w:val="Fichefinanciretextetable"/>
              <w:rPr>
                <w:noProof/>
              </w:rPr>
            </w:pPr>
            <w:r>
              <w:rPr>
                <w:noProof/>
              </w:rPr>
              <w:t>-</w:t>
            </w:r>
            <w:r>
              <w:rPr>
                <w:noProof/>
              </w:rPr>
              <w:tab/>
              <w:t>ALTELE</w:t>
            </w:r>
          </w:p>
        </w:tc>
        <w:tc>
          <w:tcPr>
            <w:tcW w:w="1417" w:type="dxa"/>
            <w:gridSpan w:val="2"/>
          </w:tcPr>
          <w:p>
            <w:pPr>
              <w:pStyle w:val="Fichefinanciretextetable"/>
              <w:jc w:val="right"/>
              <w:rPr>
                <w:noProof/>
              </w:rPr>
            </w:pPr>
            <w:r>
              <w:rPr>
                <w:noProof/>
              </w:rPr>
              <w:t>- 441,6</w:t>
            </w:r>
          </w:p>
          <w:p>
            <w:pPr>
              <w:pStyle w:val="Fichefinanciretextetable"/>
              <w:jc w:val="right"/>
              <w:rPr>
                <w:noProof/>
              </w:rPr>
            </w:pPr>
            <w:r>
              <w:rPr>
                <w:noProof/>
              </w:rPr>
              <w:t>+ 441,6</w:t>
            </w:r>
          </w:p>
        </w:tc>
        <w:tc>
          <w:tcPr>
            <w:tcW w:w="1559" w:type="dxa"/>
            <w:gridSpan w:val="3"/>
          </w:tcPr>
          <w:p>
            <w:pPr>
              <w:pStyle w:val="Fichefinanciretextetable"/>
              <w:jc w:val="center"/>
              <w:rPr>
                <w:noProof/>
              </w:rPr>
            </w:pPr>
            <w:r>
              <w:rPr>
                <w:noProof/>
              </w:rPr>
              <w:t>nu se aplică</w:t>
            </w:r>
          </w:p>
        </w:tc>
        <w:tc>
          <w:tcPr>
            <w:tcW w:w="1701" w:type="dxa"/>
            <w:gridSpan w:val="2"/>
          </w:tcPr>
          <w:p>
            <w:pPr>
              <w:pStyle w:val="Fichefinanciretextetable"/>
              <w:jc w:val="right"/>
              <w:rPr>
                <w:noProof/>
              </w:rPr>
            </w:pPr>
            <w:r>
              <w:rPr>
                <w:noProof/>
              </w:rPr>
              <w:t>- 441,6</w:t>
            </w:r>
          </w:p>
          <w:p>
            <w:pPr>
              <w:pStyle w:val="Fichefinanciretextetable"/>
              <w:jc w:val="right"/>
              <w:rPr>
                <w:noProof/>
              </w:rPr>
            </w:pPr>
            <w:r>
              <w:rPr>
                <w:noProof/>
              </w:rPr>
              <w:t>+ 441,6</w:t>
            </w:r>
          </w:p>
        </w:tc>
      </w:tr>
      <w:tr>
        <w:tc>
          <w:tcPr>
            <w:tcW w:w="567" w:type="dxa"/>
            <w:tcBorders>
              <w:right w:val="nil"/>
            </w:tcBorders>
          </w:tcPr>
          <w:p>
            <w:pPr>
              <w:pStyle w:val="Fichefinanciretextetable"/>
              <w:rPr>
                <w:noProof/>
              </w:rPr>
            </w:pPr>
            <w:r>
              <w:rPr>
                <w:noProof/>
              </w:rPr>
              <w:t>5.1</w:t>
            </w:r>
          </w:p>
        </w:tc>
        <w:tc>
          <w:tcPr>
            <w:tcW w:w="3884" w:type="dxa"/>
            <w:tcBorders>
              <w:left w:val="nil"/>
            </w:tcBorders>
          </w:tcPr>
          <w:p>
            <w:pPr>
              <w:pStyle w:val="Fichefinanciretextetable"/>
              <w:rPr>
                <w:noProof/>
              </w:rPr>
            </w:pPr>
            <w:r>
              <w:rPr>
                <w:noProof/>
              </w:rPr>
              <w:t>VENITURI</w:t>
            </w:r>
          </w:p>
          <w:p>
            <w:pPr>
              <w:pStyle w:val="Fichefinanciretextetable"/>
              <w:rPr>
                <w:noProof/>
              </w:rPr>
            </w:pPr>
            <w:r>
              <w:rPr>
                <w:noProof/>
              </w:rPr>
              <w:t>-</w:t>
            </w:r>
            <w:r>
              <w:rPr>
                <w:noProof/>
              </w:rPr>
              <w:tab/>
              <w:t xml:space="preserve">RESURSE PROPRII ALE UE </w:t>
            </w:r>
            <w:r>
              <w:rPr>
                <w:noProof/>
              </w:rPr>
              <w:br/>
              <w:t>(TAXE/TAXE VAMALE)</w:t>
            </w:r>
          </w:p>
          <w:p>
            <w:pPr>
              <w:pStyle w:val="Fichefinanciretextetable"/>
              <w:rPr>
                <w:noProof/>
              </w:rPr>
            </w:pPr>
            <w:r>
              <w:rPr>
                <w:noProof/>
              </w:rPr>
              <w:t>-</w:t>
            </w:r>
            <w:r>
              <w:rPr>
                <w:noProof/>
              </w:rPr>
              <w:tab/>
              <w:t>LA NIVEL NAȚIONAL</w:t>
            </w:r>
          </w:p>
        </w:tc>
        <w:tc>
          <w:tcPr>
            <w:tcW w:w="1417" w:type="dxa"/>
            <w:gridSpan w:val="2"/>
          </w:tcPr>
          <w:p>
            <w:pPr>
              <w:pStyle w:val="Fichefinanciretextetable"/>
              <w:jc w:val="center"/>
              <w:rPr>
                <w:noProof/>
              </w:rPr>
            </w:pPr>
          </w:p>
        </w:tc>
        <w:tc>
          <w:tcPr>
            <w:tcW w:w="1559" w:type="dxa"/>
            <w:gridSpan w:val="3"/>
          </w:tcPr>
          <w:p>
            <w:pPr>
              <w:pStyle w:val="Fichefinanciretextetable"/>
              <w:jc w:val="center"/>
              <w:rPr>
                <w:noProof/>
              </w:rPr>
            </w:pPr>
          </w:p>
        </w:tc>
        <w:tc>
          <w:tcPr>
            <w:tcW w:w="1701" w:type="dxa"/>
            <w:gridSpan w:val="2"/>
          </w:tcPr>
          <w:p>
            <w:pPr>
              <w:pStyle w:val="Fichefinanciretextetable"/>
              <w:jc w:val="center"/>
              <w:rPr>
                <w:noProof/>
              </w:rPr>
            </w:pPr>
          </w:p>
        </w:tc>
      </w:tr>
      <w:tr>
        <w:tc>
          <w:tcPr>
            <w:tcW w:w="567" w:type="dxa"/>
            <w:tcBorders>
              <w:bottom w:val="nil"/>
              <w:right w:val="nil"/>
            </w:tcBorders>
          </w:tcPr>
          <w:p>
            <w:pPr>
              <w:pStyle w:val="Fichefinanciretextetable"/>
              <w:rPr>
                <w:noProof/>
              </w:rPr>
            </w:pPr>
          </w:p>
        </w:tc>
        <w:tc>
          <w:tcPr>
            <w:tcW w:w="3884" w:type="dxa"/>
            <w:tcBorders>
              <w:left w:val="nil"/>
              <w:bottom w:val="nil"/>
            </w:tcBorders>
          </w:tcPr>
          <w:p>
            <w:pPr>
              <w:pStyle w:val="Fichefinanciretextetable"/>
              <w:rPr>
                <w:noProof/>
              </w:rPr>
            </w:pPr>
          </w:p>
        </w:tc>
        <w:tc>
          <w:tcPr>
            <w:tcW w:w="1275" w:type="dxa"/>
            <w:tcBorders>
              <w:bottom w:val="nil"/>
            </w:tcBorders>
          </w:tcPr>
          <w:p>
            <w:pPr>
              <w:pStyle w:val="Fichefinanciretextetable"/>
              <w:jc w:val="center"/>
              <w:rPr>
                <w:noProof/>
              </w:rPr>
            </w:pPr>
            <w:r>
              <w:rPr>
                <w:noProof/>
              </w:rPr>
              <w:t>2016</w:t>
            </w:r>
          </w:p>
        </w:tc>
        <w:tc>
          <w:tcPr>
            <w:tcW w:w="1276" w:type="dxa"/>
            <w:gridSpan w:val="2"/>
            <w:tcBorders>
              <w:bottom w:val="nil"/>
            </w:tcBorders>
          </w:tcPr>
          <w:p>
            <w:pPr>
              <w:pStyle w:val="Fichefinanciretextetable"/>
              <w:jc w:val="center"/>
              <w:rPr>
                <w:noProof/>
              </w:rPr>
            </w:pPr>
            <w:r>
              <w:rPr>
                <w:noProof/>
              </w:rPr>
              <w:t>2017</w:t>
            </w:r>
          </w:p>
        </w:tc>
        <w:tc>
          <w:tcPr>
            <w:tcW w:w="992" w:type="dxa"/>
            <w:gridSpan w:val="3"/>
            <w:tcBorders>
              <w:bottom w:val="nil"/>
            </w:tcBorders>
          </w:tcPr>
          <w:p>
            <w:pPr>
              <w:pStyle w:val="Fichefinanciretextetable"/>
              <w:jc w:val="center"/>
              <w:rPr>
                <w:noProof/>
              </w:rPr>
            </w:pPr>
            <w:r>
              <w:rPr>
                <w:noProof/>
              </w:rPr>
              <w:t>2018</w:t>
            </w:r>
          </w:p>
        </w:tc>
        <w:tc>
          <w:tcPr>
            <w:tcW w:w="1134" w:type="dxa"/>
            <w:tcBorders>
              <w:bottom w:val="nil"/>
            </w:tcBorders>
          </w:tcPr>
          <w:p>
            <w:pPr>
              <w:pStyle w:val="Fichefinanciretextetable"/>
              <w:jc w:val="center"/>
              <w:rPr>
                <w:noProof/>
              </w:rPr>
            </w:pPr>
            <w:r>
              <w:rPr>
                <w:noProof/>
              </w:rPr>
              <w:t>2019</w:t>
            </w:r>
          </w:p>
        </w:tc>
      </w:tr>
      <w:tr>
        <w:tc>
          <w:tcPr>
            <w:tcW w:w="567" w:type="dxa"/>
            <w:tcBorders>
              <w:top w:val="nil"/>
              <w:bottom w:val="nil"/>
              <w:right w:val="nil"/>
            </w:tcBorders>
          </w:tcPr>
          <w:p>
            <w:pPr>
              <w:pStyle w:val="Fichefinanciretextetable"/>
              <w:rPr>
                <w:noProof/>
              </w:rPr>
            </w:pPr>
            <w:r>
              <w:rPr>
                <w:noProof/>
              </w:rPr>
              <w:t>5.0.1</w:t>
            </w:r>
          </w:p>
        </w:tc>
        <w:tc>
          <w:tcPr>
            <w:tcW w:w="3884" w:type="dxa"/>
            <w:tcBorders>
              <w:top w:val="nil"/>
              <w:left w:val="nil"/>
              <w:bottom w:val="nil"/>
            </w:tcBorders>
          </w:tcPr>
          <w:p>
            <w:pPr>
              <w:pStyle w:val="Fichefinanciretextetable"/>
              <w:rPr>
                <w:noProof/>
              </w:rPr>
            </w:pPr>
            <w:r>
              <w:rPr>
                <w:noProof/>
              </w:rPr>
              <w:t>CHELTUIELI ESTIMATE</w:t>
            </w:r>
          </w:p>
        </w:tc>
        <w:tc>
          <w:tcPr>
            <w:tcW w:w="1275" w:type="dxa"/>
            <w:tcBorders>
              <w:bottom w:val="nil"/>
            </w:tcBorders>
          </w:tcPr>
          <w:p>
            <w:pPr>
              <w:pStyle w:val="Fichefinanciretextetable"/>
              <w:jc w:val="center"/>
              <w:rPr>
                <w:noProof/>
              </w:rPr>
            </w:pPr>
          </w:p>
        </w:tc>
        <w:tc>
          <w:tcPr>
            <w:tcW w:w="1276" w:type="dxa"/>
            <w:gridSpan w:val="2"/>
            <w:tcBorders>
              <w:bottom w:val="nil"/>
            </w:tcBorders>
          </w:tcPr>
          <w:p>
            <w:pPr>
              <w:pStyle w:val="Fichefinanciretextetable"/>
              <w:jc w:val="center"/>
              <w:rPr>
                <w:noProof/>
              </w:rPr>
            </w:pPr>
          </w:p>
        </w:tc>
        <w:tc>
          <w:tcPr>
            <w:tcW w:w="992" w:type="dxa"/>
            <w:gridSpan w:val="3"/>
            <w:tcBorders>
              <w:bottom w:val="nil"/>
            </w:tcBorders>
          </w:tcPr>
          <w:p>
            <w:pPr>
              <w:pStyle w:val="Fichefinanciretextetable"/>
              <w:jc w:val="center"/>
              <w:rPr>
                <w:noProof/>
              </w:rPr>
            </w:pPr>
          </w:p>
        </w:tc>
        <w:tc>
          <w:tcPr>
            <w:tcW w:w="1134" w:type="dxa"/>
            <w:tcBorders>
              <w:bottom w:val="nil"/>
            </w:tcBorders>
          </w:tcPr>
          <w:p>
            <w:pPr>
              <w:pStyle w:val="Fichefinanciretextetable"/>
              <w:jc w:val="center"/>
              <w:rPr>
                <w:noProof/>
              </w:rPr>
            </w:pPr>
          </w:p>
        </w:tc>
      </w:tr>
      <w:tr>
        <w:tc>
          <w:tcPr>
            <w:tcW w:w="567" w:type="dxa"/>
            <w:tcBorders>
              <w:top w:val="nil"/>
              <w:right w:val="nil"/>
            </w:tcBorders>
          </w:tcPr>
          <w:p>
            <w:pPr>
              <w:pStyle w:val="Fichefinanciretextetable"/>
              <w:rPr>
                <w:noProof/>
              </w:rPr>
            </w:pPr>
            <w:r>
              <w:rPr>
                <w:noProof/>
              </w:rPr>
              <w:t>5.1.1</w:t>
            </w:r>
          </w:p>
        </w:tc>
        <w:tc>
          <w:tcPr>
            <w:tcW w:w="3884" w:type="dxa"/>
            <w:tcBorders>
              <w:top w:val="nil"/>
              <w:left w:val="nil"/>
            </w:tcBorders>
          </w:tcPr>
          <w:p>
            <w:pPr>
              <w:pStyle w:val="Fichefinanciretextetable"/>
              <w:rPr>
                <w:noProof/>
              </w:rPr>
            </w:pPr>
            <w:r>
              <w:rPr>
                <w:noProof/>
              </w:rPr>
              <w:t>VENITURI ESTIMATE</w:t>
            </w:r>
          </w:p>
        </w:tc>
        <w:tc>
          <w:tcPr>
            <w:tcW w:w="1275" w:type="dxa"/>
            <w:tcBorders>
              <w:top w:val="nil"/>
            </w:tcBorders>
          </w:tcPr>
          <w:p>
            <w:pPr>
              <w:pStyle w:val="Fichefinanciretextetable"/>
              <w:jc w:val="center"/>
              <w:rPr>
                <w:noProof/>
              </w:rPr>
            </w:pPr>
          </w:p>
        </w:tc>
        <w:tc>
          <w:tcPr>
            <w:tcW w:w="1276" w:type="dxa"/>
            <w:gridSpan w:val="2"/>
            <w:tcBorders>
              <w:top w:val="nil"/>
            </w:tcBorders>
          </w:tcPr>
          <w:p>
            <w:pPr>
              <w:pStyle w:val="Fichefinanciretextetable"/>
              <w:jc w:val="center"/>
              <w:rPr>
                <w:noProof/>
              </w:rPr>
            </w:pPr>
          </w:p>
        </w:tc>
        <w:tc>
          <w:tcPr>
            <w:tcW w:w="992" w:type="dxa"/>
            <w:gridSpan w:val="3"/>
            <w:tcBorders>
              <w:top w:val="nil"/>
            </w:tcBorders>
          </w:tcPr>
          <w:p>
            <w:pPr>
              <w:pStyle w:val="Fichefinanciretextetable"/>
              <w:jc w:val="center"/>
              <w:rPr>
                <w:noProof/>
              </w:rPr>
            </w:pPr>
          </w:p>
        </w:tc>
        <w:tc>
          <w:tcPr>
            <w:tcW w:w="1134" w:type="dxa"/>
            <w:tcBorders>
              <w:top w:val="nil"/>
            </w:tcBorders>
          </w:tcPr>
          <w:p>
            <w:pPr>
              <w:pStyle w:val="Fichefinanciretextetable"/>
              <w:jc w:val="center"/>
              <w:rPr>
                <w:noProof/>
              </w:rPr>
            </w:pPr>
          </w:p>
        </w:tc>
      </w:tr>
      <w:tr>
        <w:tc>
          <w:tcPr>
            <w:tcW w:w="567" w:type="dxa"/>
            <w:tcBorders>
              <w:right w:val="nil"/>
            </w:tcBorders>
          </w:tcPr>
          <w:p>
            <w:pPr>
              <w:pStyle w:val="Fichefinanciretextetable"/>
              <w:rPr>
                <w:noProof/>
              </w:rPr>
            </w:pPr>
            <w:r>
              <w:rPr>
                <w:noProof/>
              </w:rPr>
              <w:t>5.2</w:t>
            </w:r>
          </w:p>
        </w:tc>
        <w:tc>
          <w:tcPr>
            <w:tcW w:w="8561" w:type="dxa"/>
            <w:gridSpan w:val="8"/>
            <w:tcBorders>
              <w:left w:val="nil"/>
            </w:tcBorders>
          </w:tcPr>
          <w:p>
            <w:pPr>
              <w:pStyle w:val="Fichefinanciretextetable"/>
              <w:spacing w:before="60" w:after="60"/>
              <w:rPr>
                <w:noProof/>
              </w:rPr>
            </w:pPr>
            <w:r>
              <w:rPr>
                <w:noProof/>
              </w:rPr>
              <w:t>METODA DE CALCUL:</w:t>
            </w:r>
          </w:p>
          <w:p>
            <w:pPr>
              <w:pStyle w:val="Fichefinanciretextetable"/>
              <w:spacing w:before="60" w:after="60"/>
              <w:rPr>
                <w:noProof/>
              </w:rPr>
            </w:pPr>
            <w:r>
              <w:rPr>
                <w:noProof/>
              </w:rPr>
              <w:t>A se vedea observațiile</w:t>
            </w:r>
          </w:p>
        </w:tc>
      </w:tr>
      <w:tr>
        <w:tc>
          <w:tcPr>
            <w:tcW w:w="567" w:type="dxa"/>
            <w:tcBorders>
              <w:bottom w:val="nil"/>
              <w:right w:val="nil"/>
            </w:tcBorders>
          </w:tcPr>
          <w:p>
            <w:pPr>
              <w:pStyle w:val="Fichefinanciretextetable"/>
              <w:rPr>
                <w:noProof/>
              </w:rPr>
            </w:pPr>
            <w:r>
              <w:rPr>
                <w:noProof/>
              </w:rPr>
              <w:t>6.0</w:t>
            </w:r>
          </w:p>
        </w:tc>
        <w:tc>
          <w:tcPr>
            <w:tcW w:w="7427" w:type="dxa"/>
            <w:gridSpan w:val="7"/>
            <w:tcBorders>
              <w:left w:val="nil"/>
              <w:right w:val="nil"/>
            </w:tcBorders>
          </w:tcPr>
          <w:p>
            <w:pPr>
              <w:pStyle w:val="Fichefinanciretextetable"/>
              <w:spacing w:before="60" w:after="60"/>
              <w:rPr>
                <w:noProof/>
              </w:rPr>
            </w:pPr>
            <w:r>
              <w:rPr>
                <w:noProof/>
              </w:rPr>
              <w:t>PROIECTUL POATE FI FINANȚAT DIN CREDITE ÎNSCRISE ÎN CAPITOLUL CORESPUNZĂTOR DIN BUGETUL ACTUAL?</w:t>
            </w:r>
          </w:p>
        </w:tc>
        <w:tc>
          <w:tcPr>
            <w:tcW w:w="1134" w:type="dxa"/>
            <w:tcBorders>
              <w:left w:val="nil"/>
              <w:bottom w:val="nil"/>
            </w:tcBorders>
          </w:tcPr>
          <w:p>
            <w:pPr>
              <w:pStyle w:val="Fichefinanciretextetable"/>
              <w:jc w:val="center"/>
              <w:rPr>
                <w:noProof/>
              </w:rPr>
            </w:pPr>
            <w:r>
              <w:rPr>
                <w:noProof/>
              </w:rPr>
              <w:t>nu se aplică</w:t>
            </w:r>
          </w:p>
        </w:tc>
      </w:tr>
      <w:tr>
        <w:tc>
          <w:tcPr>
            <w:tcW w:w="567" w:type="dxa"/>
            <w:tcBorders>
              <w:bottom w:val="nil"/>
              <w:right w:val="nil"/>
            </w:tcBorders>
          </w:tcPr>
          <w:p>
            <w:pPr>
              <w:pStyle w:val="Fichefinanciretextetable"/>
              <w:rPr>
                <w:noProof/>
              </w:rPr>
            </w:pPr>
            <w:r>
              <w:rPr>
                <w:noProof/>
              </w:rPr>
              <w:t>6.1</w:t>
            </w:r>
          </w:p>
        </w:tc>
        <w:tc>
          <w:tcPr>
            <w:tcW w:w="7427" w:type="dxa"/>
            <w:gridSpan w:val="7"/>
            <w:tcBorders>
              <w:left w:val="nil"/>
              <w:right w:val="nil"/>
            </w:tcBorders>
          </w:tcPr>
          <w:p>
            <w:pPr>
              <w:pStyle w:val="Fichefinanciretextetable"/>
              <w:spacing w:before="60" w:after="60"/>
              <w:rPr>
                <w:noProof/>
              </w:rPr>
            </w:pPr>
            <w:r>
              <w:rPr>
                <w:noProof/>
              </w:rPr>
              <w:t>PROIECTUL POATE FI FINANȚAT PRIN TRANSFER ÎNTRE CAPITOLELE BUGETULUI ACTUAL?</w:t>
            </w:r>
          </w:p>
        </w:tc>
        <w:tc>
          <w:tcPr>
            <w:tcW w:w="1134" w:type="dxa"/>
            <w:tcBorders>
              <w:left w:val="nil"/>
              <w:bottom w:val="nil"/>
            </w:tcBorders>
          </w:tcPr>
          <w:p>
            <w:pPr>
              <w:pStyle w:val="Fichefinanciretextetable"/>
              <w:jc w:val="center"/>
              <w:rPr>
                <w:noProof/>
              </w:rPr>
            </w:pPr>
            <w:r>
              <w:rPr>
                <w:noProof/>
              </w:rPr>
              <w:t>nu se aplică</w:t>
            </w:r>
          </w:p>
        </w:tc>
      </w:tr>
      <w:tr>
        <w:tc>
          <w:tcPr>
            <w:tcW w:w="567" w:type="dxa"/>
            <w:tcBorders>
              <w:bottom w:val="nil"/>
              <w:right w:val="nil"/>
            </w:tcBorders>
          </w:tcPr>
          <w:p>
            <w:pPr>
              <w:pStyle w:val="Fichefinanciretextetable"/>
              <w:rPr>
                <w:noProof/>
              </w:rPr>
            </w:pPr>
            <w:r>
              <w:rPr>
                <w:noProof/>
              </w:rPr>
              <w:t>6.2</w:t>
            </w:r>
          </w:p>
        </w:tc>
        <w:tc>
          <w:tcPr>
            <w:tcW w:w="7427" w:type="dxa"/>
            <w:gridSpan w:val="7"/>
            <w:tcBorders>
              <w:left w:val="nil"/>
              <w:right w:val="nil"/>
            </w:tcBorders>
          </w:tcPr>
          <w:p>
            <w:pPr>
              <w:pStyle w:val="Fichefinanciretextetable"/>
              <w:spacing w:before="60" w:after="60"/>
              <w:rPr>
                <w:noProof/>
              </w:rPr>
            </w:pPr>
            <w:r>
              <w:rPr>
                <w:noProof/>
              </w:rPr>
              <w:t>VA FI NECESAR UN BUGET SUPLIMENTAR?</w:t>
            </w:r>
          </w:p>
        </w:tc>
        <w:tc>
          <w:tcPr>
            <w:tcW w:w="1134" w:type="dxa"/>
            <w:tcBorders>
              <w:left w:val="nil"/>
              <w:bottom w:val="nil"/>
            </w:tcBorders>
          </w:tcPr>
          <w:p>
            <w:pPr>
              <w:pStyle w:val="Fichefinanciretextetable"/>
              <w:jc w:val="center"/>
              <w:rPr>
                <w:noProof/>
              </w:rPr>
            </w:pPr>
            <w:r>
              <w:rPr>
                <w:noProof/>
              </w:rPr>
              <w:t>NU</w:t>
            </w:r>
          </w:p>
        </w:tc>
      </w:tr>
      <w:tr>
        <w:tc>
          <w:tcPr>
            <w:tcW w:w="567" w:type="dxa"/>
            <w:tcBorders>
              <w:right w:val="nil"/>
            </w:tcBorders>
          </w:tcPr>
          <w:p>
            <w:pPr>
              <w:pStyle w:val="Fichefinanciretextetable"/>
              <w:rPr>
                <w:noProof/>
              </w:rPr>
            </w:pPr>
            <w:r>
              <w:rPr>
                <w:noProof/>
              </w:rPr>
              <w:t>6.3</w:t>
            </w:r>
          </w:p>
        </w:tc>
        <w:tc>
          <w:tcPr>
            <w:tcW w:w="7427" w:type="dxa"/>
            <w:gridSpan w:val="7"/>
            <w:tcBorders>
              <w:left w:val="nil"/>
              <w:right w:val="nil"/>
            </w:tcBorders>
          </w:tcPr>
          <w:p>
            <w:pPr>
              <w:pStyle w:val="Fichefinanciretextetable"/>
              <w:spacing w:before="60" w:after="60"/>
              <w:rPr>
                <w:noProof/>
              </w:rPr>
            </w:pPr>
            <w:r>
              <w:rPr>
                <w:noProof/>
              </w:rPr>
              <w:t>VOR TREBUI INCLUSE CREDITE ÎN BUGETELE VIITOARE?</w:t>
            </w:r>
          </w:p>
        </w:tc>
        <w:tc>
          <w:tcPr>
            <w:tcW w:w="1134" w:type="dxa"/>
            <w:tcBorders>
              <w:left w:val="nil"/>
            </w:tcBorders>
          </w:tcPr>
          <w:p>
            <w:pPr>
              <w:pStyle w:val="Fichefinanciretextetable"/>
              <w:jc w:val="center"/>
              <w:rPr>
                <w:noProof/>
              </w:rPr>
            </w:pPr>
            <w:r>
              <w:rPr>
                <w:noProof/>
              </w:rPr>
              <w:t>NU</w:t>
            </w:r>
          </w:p>
        </w:tc>
      </w:tr>
      <w:tr>
        <w:tc>
          <w:tcPr>
            <w:tcW w:w="9128" w:type="dxa"/>
            <w:gridSpan w:val="9"/>
          </w:tcPr>
          <w:p>
            <w:pPr>
              <w:pStyle w:val="Fichefinanciretextetable"/>
              <w:rPr>
                <w:noProof/>
              </w:rPr>
            </w:pPr>
            <w:r>
              <w:rPr>
                <w:noProof/>
              </w:rPr>
              <w:t>OBSERVAȚII:</w:t>
            </w:r>
          </w:p>
          <w:p>
            <w:pPr>
              <w:pStyle w:val="Fichefinanciretextetable"/>
              <w:rPr>
                <w:noProof/>
                <w:sz w:val="16"/>
                <w:szCs w:val="16"/>
              </w:rPr>
            </w:pPr>
          </w:p>
          <w:p>
            <w:pPr>
              <w:pStyle w:val="Fichefinanciretextetable"/>
              <w:spacing w:after="120"/>
              <w:rPr>
                <w:noProof/>
              </w:rPr>
            </w:pPr>
            <w:r>
              <w:rPr>
                <w:noProof/>
              </w:rPr>
              <w:t xml:space="preserve">Calculul ratei de ajustare în temeiul disciplinei financiare face parte din pregătirea proiectului de buget pentru 2016. </w:t>
            </w:r>
          </w:p>
          <w:p>
            <w:pPr>
              <w:pStyle w:val="Fichefinanciretextetable"/>
              <w:spacing w:after="120"/>
              <w:jc w:val="both"/>
              <w:rPr>
                <w:noProof/>
              </w:rPr>
            </w:pPr>
            <w:r>
              <w:rPr>
                <w:noProof/>
              </w:rPr>
              <w:t>Valoarea rezervei pentru situații de criză în sectorul agricol, prevăzută a fi inclusă în proiectul de buget pentru 2016, se ridică la 441,6 milioane EUR în prețuri curente. Pe baza primelor estimări ale creditelor bugetare pentru plățile directe și pentru cheltuielile de piață, nu este probabil să se depășească soldul net disponibil pentru cheltuielile FEGA în 2016.</w:t>
            </w:r>
          </w:p>
          <w:p>
            <w:pPr>
              <w:pStyle w:val="Fichefinanciretextetable"/>
              <w:spacing w:after="120"/>
              <w:jc w:val="both"/>
              <w:rPr>
                <w:noProof/>
              </w:rPr>
            </w:pPr>
            <w:r>
              <w:rPr>
                <w:noProof/>
              </w:rPr>
              <w:t>Prin urmare, reducerea totală care rezultă din aplicarea disciplinei financiare se ridică la 441,6 milioane EUR. Procentul ratei de ajustare în temeiul disciplinei financiare este de 1,393041 % și a fost calculat ținând cont de faptul că se aplică doar la sumele de peste 2 000 EUR și pentru fiecare stat membru, cu excepția Bulgariei, a României și a Croației. Întrucât în Bulgaria, în România și în Croația plățile directe sunt în curs de introducere progresivă în anul calendaristic 2015, disciplina financiară nu se va aplica, în consecință, acestor state membre.</w:t>
            </w:r>
          </w:p>
          <w:p>
            <w:pPr>
              <w:pStyle w:val="Fichefinanciretextetable"/>
              <w:spacing w:after="120"/>
              <w:jc w:val="both"/>
              <w:rPr>
                <w:noProof/>
              </w:rPr>
            </w:pPr>
            <w:r>
              <w:rPr>
                <w:noProof/>
              </w:rPr>
              <w:t>Aplicarea acestei rate de ajustare va duce la reducerea cuantumului plăților directe pentru liniile bugetare care acoperă cheltuielile aferente cererilor de ajutor depuse de fermieri pentru anul calendaristic 2015 (exercițiul financiar 2016). Valorile estimate ale reducerii datorate disciplinei financiare pentru fiecare post bugetar sunt următoarele:</w:t>
            </w:r>
          </w:p>
          <w:tbl>
            <w:tblPr>
              <w:tblW w:w="0" w:type="auto"/>
              <w:tblLayout w:type="fixed"/>
              <w:tblLook w:val="04A0" w:firstRow="1" w:lastRow="0" w:firstColumn="1" w:lastColumn="0" w:noHBand="0" w:noVBand="1"/>
            </w:tblPr>
            <w:tblGrid>
              <w:gridCol w:w="7508"/>
              <w:gridCol w:w="1493"/>
            </w:tblGrid>
            <w:tr>
              <w:tc>
                <w:tcPr>
                  <w:tcW w:w="7508" w:type="dxa"/>
                  <w:shd w:val="clear" w:color="auto" w:fill="auto"/>
                </w:tcPr>
                <w:p>
                  <w:pPr>
                    <w:pStyle w:val="Fichefinanciretextetable"/>
                    <w:rPr>
                      <w:noProof/>
                      <w:spacing w:val="-3"/>
                    </w:rPr>
                  </w:pPr>
                </w:p>
                <w:p>
                  <w:pPr>
                    <w:pStyle w:val="Fichefinanciretextetable"/>
                    <w:rPr>
                      <w:noProof/>
                      <w:spacing w:val="-3"/>
                    </w:rPr>
                  </w:pPr>
                  <w:r>
                    <w:rPr>
                      <w:noProof/>
                    </w:rPr>
                    <w:t>05 03 01 02 (SPUS)</w:t>
                  </w:r>
                </w:p>
                <w:p>
                  <w:pPr>
                    <w:pStyle w:val="Fichefinanciretextetable"/>
                    <w:rPr>
                      <w:noProof/>
                      <w:spacing w:val="-3"/>
                    </w:rPr>
                  </w:pPr>
                  <w:r>
                    <w:rPr>
                      <w:noProof/>
                    </w:rPr>
                    <w:t>05 03 01 07 (Plăți redistributive)</w:t>
                  </w:r>
                </w:p>
                <w:p>
                  <w:pPr>
                    <w:pStyle w:val="Fichefinanciretextetable"/>
                    <w:rPr>
                      <w:noProof/>
                      <w:spacing w:val="-3"/>
                    </w:rPr>
                  </w:pPr>
                  <w:r>
                    <w:rPr>
                      <w:noProof/>
                    </w:rPr>
                    <w:t>05 03 01 10 (BPS)</w:t>
                  </w:r>
                </w:p>
                <w:p>
                  <w:pPr>
                    <w:pStyle w:val="Fichefinanciretextetable"/>
                    <w:rPr>
                      <w:noProof/>
                      <w:spacing w:val="-3"/>
                    </w:rPr>
                  </w:pPr>
                  <w:r>
                    <w:rPr>
                      <w:noProof/>
                    </w:rPr>
                    <w:t>05 03 01 11 (Plata pentru practicile agricole benefice pentru climă și mediu)</w:t>
                  </w:r>
                </w:p>
                <w:p>
                  <w:pPr>
                    <w:pStyle w:val="Fichefinanciretextetable"/>
                    <w:rPr>
                      <w:noProof/>
                      <w:spacing w:val="-3"/>
                    </w:rPr>
                  </w:pPr>
                  <w:r>
                    <w:rPr>
                      <w:noProof/>
                    </w:rPr>
                    <w:t>05 03 01 12 (Plata pentru zonele care se confruntă cu constrângeri naturale)</w:t>
                  </w:r>
                </w:p>
                <w:p>
                  <w:pPr>
                    <w:pStyle w:val="Fichefinanciretextetable"/>
                    <w:rPr>
                      <w:noProof/>
                      <w:spacing w:val="-3"/>
                    </w:rPr>
                  </w:pPr>
                  <w:r>
                    <w:rPr>
                      <w:noProof/>
                    </w:rPr>
                    <w:t>05 03 01 13 (Plata pentru tinerii fermieri)</w:t>
                  </w:r>
                </w:p>
                <w:p>
                  <w:pPr>
                    <w:pStyle w:val="Fichefinanciretextetable"/>
                    <w:rPr>
                      <w:noProof/>
                    </w:rPr>
                  </w:pPr>
                </w:p>
                <w:p>
                  <w:pPr>
                    <w:pStyle w:val="Fichefinanciretextetable"/>
                    <w:rPr>
                      <w:noProof/>
                    </w:rPr>
                  </w:pPr>
                  <w:r>
                    <w:rPr>
                      <w:noProof/>
                    </w:rPr>
                    <w:t>05 03 02 40 (Ajutor pe suprafață pentru bumbac)</w:t>
                  </w:r>
                </w:p>
                <w:p>
                  <w:pPr>
                    <w:pStyle w:val="Fichefinanciretextetable"/>
                    <w:rPr>
                      <w:noProof/>
                    </w:rPr>
                  </w:pPr>
                  <w:r>
                    <w:rPr>
                      <w:noProof/>
                    </w:rPr>
                    <w:t>05 03 02 50 (POSEI – Programe comunitare de sprijin)</w:t>
                  </w:r>
                </w:p>
                <w:p>
                  <w:pPr>
                    <w:pStyle w:val="Fichefinanciretextetable"/>
                    <w:rPr>
                      <w:noProof/>
                    </w:rPr>
                  </w:pPr>
                  <w:r>
                    <w:rPr>
                      <w:noProof/>
                    </w:rPr>
                    <w:t>05 03 02 52 (POSEI – Insulele din Marea Egee)</w:t>
                  </w:r>
                </w:p>
                <w:p>
                  <w:pPr>
                    <w:pStyle w:val="Fichefinanciretextetable"/>
                    <w:rPr>
                      <w:noProof/>
                    </w:rPr>
                  </w:pPr>
                  <w:r>
                    <w:rPr>
                      <w:noProof/>
                    </w:rPr>
                    <w:t>05 03 02 60 (Sprijin cuplat facultativ)</w:t>
                  </w:r>
                </w:p>
                <w:p>
                  <w:pPr>
                    <w:pStyle w:val="Fichefinanciretextetable"/>
                    <w:rPr>
                      <w:noProof/>
                    </w:rPr>
                  </w:pPr>
                  <w:r>
                    <w:rPr>
                      <w:noProof/>
                    </w:rPr>
                    <w:t>05 03 02 61 (Schema pentru micii fermieri)</w:t>
                  </w:r>
                </w:p>
                <w:p>
                  <w:pPr>
                    <w:pStyle w:val="Fichefinanciretextetable"/>
                    <w:rPr>
                      <w:noProof/>
                    </w:rPr>
                  </w:pPr>
                </w:p>
                <w:p>
                  <w:pPr>
                    <w:pStyle w:val="Fichefinanciretextetable"/>
                    <w:jc w:val="right"/>
                    <w:rPr>
                      <w:noProof/>
                    </w:rPr>
                  </w:pPr>
                  <w:r>
                    <w:rPr>
                      <w:noProof/>
                    </w:rPr>
                    <w:t>Total</w:t>
                  </w:r>
                </w:p>
              </w:tc>
              <w:tc>
                <w:tcPr>
                  <w:tcW w:w="1493" w:type="dxa"/>
                  <w:shd w:val="clear" w:color="auto" w:fill="auto"/>
                </w:tcPr>
                <w:p>
                  <w:pPr>
                    <w:pStyle w:val="Fichefinanciretextetable"/>
                    <w:jc w:val="right"/>
                    <w:rPr>
                      <w:i/>
                      <w:noProof/>
                      <w:spacing w:val="-3"/>
                    </w:rPr>
                  </w:pPr>
                  <w:r>
                    <w:rPr>
                      <w:i/>
                      <w:noProof/>
                      <w:spacing w:val="-3"/>
                    </w:rPr>
                    <w:t>în milioane EUR</w:t>
                  </w:r>
                </w:p>
                <w:p>
                  <w:pPr>
                    <w:pStyle w:val="Fichefinanciretextetable"/>
                    <w:jc w:val="right"/>
                    <w:rPr>
                      <w:noProof/>
                      <w:spacing w:val="-3"/>
                    </w:rPr>
                  </w:pPr>
                  <w:r>
                    <w:rPr>
                      <w:noProof/>
                    </w:rPr>
                    <w:t>31,1</w:t>
                  </w:r>
                </w:p>
                <w:p>
                  <w:pPr>
                    <w:pStyle w:val="Fichefinanciretextetable"/>
                    <w:jc w:val="right"/>
                    <w:rPr>
                      <w:noProof/>
                      <w:spacing w:val="-3"/>
                    </w:rPr>
                  </w:pPr>
                  <w:r>
                    <w:rPr>
                      <w:noProof/>
                    </w:rPr>
                    <w:t>12,0</w:t>
                  </w:r>
                </w:p>
                <w:p>
                  <w:pPr>
                    <w:pStyle w:val="Fichefinanciretextetable"/>
                    <w:jc w:val="right"/>
                    <w:rPr>
                      <w:noProof/>
                      <w:spacing w:val="-3"/>
                    </w:rPr>
                  </w:pPr>
                  <w:r>
                    <w:rPr>
                      <w:noProof/>
                    </w:rPr>
                    <w:t>212,2</w:t>
                  </w:r>
                </w:p>
                <w:p>
                  <w:pPr>
                    <w:pStyle w:val="Fichefinanciretextetable"/>
                    <w:jc w:val="right"/>
                    <w:rPr>
                      <w:noProof/>
                      <w:spacing w:val="-3"/>
                    </w:rPr>
                  </w:pPr>
                  <w:r>
                    <w:rPr>
                      <w:noProof/>
                    </w:rPr>
                    <w:t xml:space="preserve"> </w:t>
                  </w:r>
                </w:p>
                <w:p>
                  <w:pPr>
                    <w:pStyle w:val="Fichefinanciretextetable"/>
                    <w:jc w:val="right"/>
                    <w:rPr>
                      <w:noProof/>
                      <w:spacing w:val="-3"/>
                    </w:rPr>
                  </w:pPr>
                  <w:r>
                    <w:rPr>
                      <w:noProof/>
                    </w:rPr>
                    <w:t>128,1</w:t>
                  </w:r>
                </w:p>
                <w:p>
                  <w:pPr>
                    <w:pStyle w:val="Fichefinanciretextetable"/>
                    <w:jc w:val="right"/>
                    <w:rPr>
                      <w:noProof/>
                      <w:spacing w:val="-3"/>
                    </w:rPr>
                  </w:pPr>
                  <w:r>
                    <w:rPr>
                      <w:noProof/>
                    </w:rPr>
                    <w:t xml:space="preserve"> 0,0</w:t>
                  </w:r>
                </w:p>
                <w:p>
                  <w:pPr>
                    <w:pStyle w:val="Fichefinanciretextetable"/>
                    <w:jc w:val="right"/>
                    <w:rPr>
                      <w:noProof/>
                      <w:spacing w:val="-3"/>
                    </w:rPr>
                  </w:pPr>
                  <w:r>
                    <w:rPr>
                      <w:noProof/>
                    </w:rPr>
                    <w:t>5,7</w:t>
                  </w:r>
                </w:p>
                <w:p>
                  <w:pPr>
                    <w:pStyle w:val="Fichefinanciretextetable"/>
                    <w:jc w:val="right"/>
                    <w:rPr>
                      <w:noProof/>
                      <w:spacing w:val="-3"/>
                    </w:rPr>
                  </w:pPr>
                  <w:r>
                    <w:rPr>
                      <w:noProof/>
                    </w:rPr>
                    <w:t xml:space="preserve"> </w:t>
                  </w:r>
                </w:p>
                <w:p>
                  <w:pPr>
                    <w:pStyle w:val="Fichefinanciretextetable"/>
                    <w:jc w:val="right"/>
                    <w:rPr>
                      <w:noProof/>
                      <w:spacing w:val="-3"/>
                    </w:rPr>
                  </w:pPr>
                  <w:r>
                    <w:rPr>
                      <w:noProof/>
                    </w:rPr>
                    <w:t>3,3</w:t>
                  </w:r>
                </w:p>
                <w:p>
                  <w:pPr>
                    <w:pStyle w:val="Fichefinanciretextetable"/>
                    <w:jc w:val="right"/>
                    <w:rPr>
                      <w:noProof/>
                      <w:spacing w:val="-3"/>
                    </w:rPr>
                  </w:pPr>
                  <w:r>
                    <w:rPr>
                      <w:noProof/>
                    </w:rPr>
                    <w:t>4,2</w:t>
                  </w:r>
                </w:p>
                <w:p>
                  <w:pPr>
                    <w:pStyle w:val="Fichefinanciretextetable"/>
                    <w:jc w:val="right"/>
                    <w:rPr>
                      <w:noProof/>
                      <w:spacing w:val="-3"/>
                    </w:rPr>
                  </w:pPr>
                  <w:r>
                    <w:rPr>
                      <w:noProof/>
                    </w:rPr>
                    <w:t>0,1</w:t>
                  </w:r>
                </w:p>
                <w:p>
                  <w:pPr>
                    <w:pStyle w:val="Fichefinanciretextetable"/>
                    <w:jc w:val="right"/>
                    <w:rPr>
                      <w:noProof/>
                      <w:spacing w:val="-3"/>
                    </w:rPr>
                  </w:pPr>
                  <w:r>
                    <w:rPr>
                      <w:noProof/>
                    </w:rPr>
                    <w:t>44,9</w:t>
                  </w:r>
                </w:p>
                <w:p>
                  <w:pPr>
                    <w:pStyle w:val="Fichefinanciretextetable"/>
                    <w:jc w:val="right"/>
                    <w:rPr>
                      <w:noProof/>
                      <w:spacing w:val="-3"/>
                      <w:u w:val="single"/>
                    </w:rPr>
                  </w:pPr>
                  <w:r>
                    <w:rPr>
                      <w:noProof/>
                      <w:spacing w:val="-3"/>
                      <w:u w:val="single"/>
                    </w:rPr>
                    <w:t xml:space="preserve"> p.m.</w:t>
                  </w:r>
                </w:p>
                <w:p>
                  <w:pPr>
                    <w:pStyle w:val="Fichefinanciretextetable"/>
                    <w:jc w:val="right"/>
                    <w:rPr>
                      <w:noProof/>
                      <w:spacing w:val="-3"/>
                    </w:rPr>
                  </w:pPr>
                </w:p>
                <w:p>
                  <w:pPr>
                    <w:pStyle w:val="Fichefinanciretextetable"/>
                    <w:jc w:val="right"/>
                    <w:rPr>
                      <w:noProof/>
                    </w:rPr>
                  </w:pPr>
                  <w:r>
                    <w:rPr>
                      <w:noProof/>
                    </w:rPr>
                    <w:t>441,6</w:t>
                  </w:r>
                </w:p>
              </w:tc>
            </w:tr>
          </w:tbl>
          <w:p>
            <w:pPr>
              <w:pStyle w:val="Fichefinanciretextetable"/>
              <w:jc w:val="both"/>
              <w:rPr>
                <w:noProof/>
              </w:rPr>
            </w:pPr>
          </w:p>
          <w:p>
            <w:pPr>
              <w:pStyle w:val="Fichefinanciretextetable"/>
              <w:jc w:val="both"/>
              <w:rPr>
                <w:noProof/>
              </w:rPr>
            </w:pPr>
            <w:r>
              <w:rPr>
                <w:noProof/>
              </w:rPr>
              <w:t>Propunerea de regulament are implicații bugetare, deoarece primele estimări ale creditelor bugetare pentru plățile directe (înainte de luarea în considerare a disciplinei financiare) au fost reduse cu valorile indicate mai sus în urma aplicării ratei de ajustare propuse de prezentul proiect de regulament. Prin urmare, creditele solicitate pentru capitolul 05 03 (plăți directe) și prevăzute a fi incluse în proiectul de buget 2016, după cum se indică la punctul 1 al prezentei fișe financiare pentru posturile bugetare care fac obiectul disciplinei financiare, asigură stabilirea cuantumului rezervei pentru situații de criză în agricultură.</w:t>
            </w:r>
          </w:p>
        </w:tc>
      </w:tr>
    </w:tbl>
    <w:p>
      <w:pPr>
        <w:spacing w:after="0"/>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i-FI"/>
        </w:rPr>
      </w:pPr>
      <w:r>
        <w:rPr>
          <w:rStyle w:val="FootnoteReference"/>
        </w:rPr>
        <w:footnoteRef/>
      </w:r>
      <w:r>
        <w:tab/>
        <w:t>JO L 347, 20.12.2013, p. 549.</w:t>
      </w:r>
    </w:p>
  </w:footnote>
  <w:footnote w:id="2">
    <w:p>
      <w:pPr>
        <w:pStyle w:val="FootnoteText"/>
        <w:rPr>
          <w:lang w:val="fi-FI"/>
        </w:rPr>
      </w:pPr>
      <w:r>
        <w:rPr>
          <w:rStyle w:val="FootnoteReference"/>
        </w:rPr>
        <w:footnoteRef/>
      </w:r>
      <w:r>
        <w:tab/>
        <w:t>JO L 347, 20.12.2013, p. 608.</w:t>
      </w:r>
    </w:p>
  </w:footnote>
  <w:footnote w:id="3">
    <w:p>
      <w:pPr>
        <w:pStyle w:val="FootnoteText"/>
        <w:rPr>
          <w:lang w:val="fi-FI"/>
        </w:rPr>
      </w:pPr>
      <w:r>
        <w:rPr>
          <w:rStyle w:val="FootnoteReference"/>
        </w:rPr>
        <w:footnoteRef/>
      </w:r>
      <w:r>
        <w:tab/>
        <w:t>JO L 347, 20.12.2013, p. 884.</w:t>
      </w:r>
    </w:p>
  </w:footnote>
  <w:footnote w:id="4">
    <w:p>
      <w:pPr>
        <w:pStyle w:val="FootnoteText"/>
      </w:pPr>
      <w:r>
        <w:rPr>
          <w:rStyle w:val="FootnoteReference"/>
        </w:rPr>
        <w:footnoteRef/>
      </w:r>
      <w:r>
        <w:tab/>
        <w:t xml:space="preserve">Regulamentul de punere în aplicare (UE) 2015/141 al Comisiei din 29 ianuarie 2015 de modificare a Regulamentului de punere în aplicare (UE) nr. 367/2014 de stabilire a soldului net disponibil pentru cheltuielile FEGA (JO L 24, 30.1.2015, p.11). </w:t>
      </w:r>
    </w:p>
  </w:footnote>
  <w:footnote w:id="5">
    <w:p>
      <w:pPr>
        <w:pStyle w:val="FootnoteText"/>
      </w:pPr>
      <w:r>
        <w:rPr>
          <w:rStyle w:val="FootnoteReference"/>
        </w:rPr>
        <w:footnoteRef/>
      </w:r>
      <w:r>
        <w:tab/>
        <w:t>JO C , , p. .</w:t>
      </w:r>
    </w:p>
  </w:footnote>
  <w:footnote w:id="6">
    <w:p>
      <w:pPr>
        <w:pStyle w:val="FootnoteText"/>
      </w:pPr>
      <w:r>
        <w:rPr>
          <w:rStyle w:val="FootnoteReference"/>
        </w:rPr>
        <w:footnoteRef/>
      </w:r>
      <w:r>
        <w:tab/>
        <w:t>Regulamentul (UE) nr. 1306/2013 al Parlamentului European și al Consiliului din 17 decembrie 2013 privind finanțarea, gestionarea și monitorizarea politicii agricole comune și de abrogare a Regulamentelor (CEE) nr. 352/78, (CE) nr. 165/94, (CE) nr. 2799/98, (CE) nr. 814/2000, (CE) nr. 1290/2005 și (CE) nr. 485/2008 ale Consiliului (JO L 347, 20.12.2013, p. 549).</w:t>
      </w:r>
    </w:p>
  </w:footnote>
  <w:footnote w:id="7">
    <w:p>
      <w:pPr>
        <w:pStyle w:val="FootnoteText"/>
      </w:pPr>
      <w:r>
        <w:rPr>
          <w:rStyle w:val="FootnoteReference"/>
        </w:rPr>
        <w:footnoteRef/>
      </w:r>
      <w:r>
        <w:tab/>
        <w:t>Regulamentul (UE, Euratom) nr. 1311/2013 al Consiliului din 2 decembrie 2013 de stabilire a cadrului financiar multianual pentru perioada 2014-2020 (JO L 347, 20.12.2013, p. 884).</w:t>
      </w:r>
    </w:p>
  </w:footnote>
  <w:footnote w:id="8">
    <w:p>
      <w:pPr>
        <w:pStyle w:val="FootnoteText"/>
      </w:pPr>
      <w:r>
        <w:rPr>
          <w:rStyle w:val="FootnoteReference"/>
        </w:rPr>
        <w:footnoteRef/>
      </w:r>
      <w:r>
        <w:tab/>
        <w:t>Regulamentul (UE) nr. 1307/2013 al Parlamentului European și al Consiliului din 17 decembrie 2013 de stabilire a unor norme privind plățile directe acordate fermierilor prin scheme de sprijin în cadrul politicii agricole comune și de abrogare a Regulamentului (CE) nr. 637/2008 al Consiliului și a Regulamentului (CE) nr. 73/2009 al Consiliului (JO L 347, 20.12.2013, p. 608).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0B6093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6C2D02E"/>
    <w:lvl w:ilvl="0">
      <w:start w:val="1"/>
      <w:numFmt w:val="decimal"/>
      <w:pStyle w:val="ListNumber3"/>
      <w:lvlText w:val="%1."/>
      <w:lvlJc w:val="left"/>
      <w:pPr>
        <w:tabs>
          <w:tab w:val="num" w:pos="926"/>
        </w:tabs>
        <w:ind w:left="926" w:hanging="360"/>
      </w:pPr>
    </w:lvl>
  </w:abstractNum>
  <w:abstractNum w:abstractNumId="2">
    <w:nsid w:val="FFFFFF7F"/>
    <w:multiLevelType w:val="singleLevel"/>
    <w:tmpl w:val="15C4400C"/>
    <w:lvl w:ilvl="0">
      <w:start w:val="1"/>
      <w:numFmt w:val="decimal"/>
      <w:pStyle w:val="ListNumber2"/>
      <w:lvlText w:val="%1."/>
      <w:lvlJc w:val="left"/>
      <w:pPr>
        <w:tabs>
          <w:tab w:val="num" w:pos="643"/>
        </w:tabs>
        <w:ind w:left="643" w:hanging="360"/>
      </w:pPr>
    </w:lvl>
  </w:abstractNum>
  <w:abstractNum w:abstractNumId="3">
    <w:nsid w:val="FFFFFF81"/>
    <w:multiLevelType w:val="singleLevel"/>
    <w:tmpl w:val="557E43C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2E6939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6EE07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9C2824C"/>
    <w:lvl w:ilvl="0">
      <w:start w:val="1"/>
      <w:numFmt w:val="decimal"/>
      <w:pStyle w:val="ListNumber"/>
      <w:lvlText w:val="%1."/>
      <w:lvlJc w:val="left"/>
      <w:pPr>
        <w:tabs>
          <w:tab w:val="num" w:pos="360"/>
        </w:tabs>
        <w:ind w:left="360" w:hanging="360"/>
      </w:pPr>
    </w:lvl>
  </w:abstractNum>
  <w:abstractNum w:abstractNumId="7">
    <w:nsid w:val="FFFFFF89"/>
    <w:multiLevelType w:val="singleLevel"/>
    <w:tmpl w:val="55ECC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425"/>
  <w:drawingGridHorizontalSpacing w:val="57"/>
  <w:characterSpacingControl w:val="doNotCompress"/>
  <w:hdrShapeDefaults>
    <o:shapedefaults v:ext="edit" spidmax="1740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
  <w:docVars>
    <w:docVar w:name="COVERPAGE_EXISTS" w:val="True"/>
    <w:docVar w:name="DQCDateTime" w:val="2015-03-26 09:06:13"/>
    <w:docVar w:name="DQCRepairStyles" w:val=";Heading 1;Heading 2;Heading 3;Heading 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6"/>
    <w:docVar w:name="DQCResult_UnknownFonts" w:val="0;0"/>
    <w:docVar w:name="DQCResult_UnknownStyles" w:val="0;0"/>
    <w:docVar w:name="DQCStatus" w:val="Green"/>
    <w:docVar w:name="DQCVersion" w:val="2"/>
    <w:docVar w:name="DQCWithWarnings" w:val="0"/>
    <w:docVar w:name="LW_CONFIDENCE" w:val=" "/>
    <w:docVar w:name="LW_CONST_RESTREINT_UE" w:val="RESTREINT UE"/>
    <w:docVar w:name="LW_CORRIGENDUM" w:val="&lt;UNUSED&gt;"/>
    <w:docVar w:name="LW_COVERPAGE_GUID" w:val="6107C563D156490DB96EAE66952533B9"/>
    <w:docVar w:name="LW_CROSSREFERENCE" w:val="&lt;UNUSED&gt;"/>
    <w:docVar w:name="LW_DocType" w:val="COM"/>
    <w:docVar w:name="LW_EMISSION" w:val="26.3.2015"/>
    <w:docVar w:name="LW_EMISSION_ISODATE" w:val="2015-03-26"/>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070"/>
    <w:docVar w:name="LW_REF.II.NEW.CP_YEAR" w:val="2015"/>
    <w:docVar w:name="LW_REF.INST.NEW" w:val="COM"/>
    <w:docVar w:name="LW_REF.INST.NEW_ADOPTED" w:val="final"/>
    <w:docVar w:name="LW_REF.INST.NEW_TEXT" w:val="(2015) 141"/>
    <w:docVar w:name="LW_REF.INTERNE" w:val="&lt;UNUSED&gt;"/>
    <w:docVar w:name="LW_SOUS.TITRE.OBJ.CP" w:val="&lt;UNUSED&gt;"/>
    <w:docVar w:name="LW_STATUT.CP" w:val="Propunere de"/>
    <w:docVar w:name="LW_SUPERTITRE" w:val="&lt;UNUSED&gt;"/>
    <w:docVar w:name="LW_TITRE.OBJ.CP" w:val="de stabilire a ratei de ajustare prev\u259?zute în Regulamentul (UE) nr. 1306/2013 pentru pl\u259?\u539?ile directe în ceea ce prive\u537?te anul calendaristic 2015"/>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o-RO" w:eastAsia="ro-RO" w:bidi="ro-RO"/>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footnote reference" w:uiPriority="99"/>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line="240" w:lineRule="auto"/>
      <w:jc w:val="both"/>
    </w:pPr>
    <w:rPr>
      <w:sz w:val="24"/>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chefinanciretextetable">
    <w:name w:val="Fiche financière texte (table)"/>
    <w:basedOn w:val="Normal"/>
    <w:pPr>
      <w:spacing w:before="0" w:after="0"/>
      <w:jc w:val="left"/>
    </w:pPr>
    <w:rPr>
      <w:sz w:val="20"/>
    </w:rPr>
  </w:style>
  <w:style w:type="paragraph" w:customStyle="1" w:styleId="Fichefinanciretitretable">
    <w:name w:val="Fiche financière titre (table)"/>
    <w:basedOn w:val="Normal"/>
    <w:pPr>
      <w:jc w:val="center"/>
    </w:pPr>
    <w:rPr>
      <w:b/>
      <w:sz w:val="40"/>
    </w:rPr>
  </w:style>
  <w:style w:type="paragraph" w:styleId="TableofFigures">
    <w:name w:val="table of figures"/>
    <w:basedOn w:val="Normal"/>
    <w:next w:val="Normal"/>
  </w:style>
  <w:style w:type="paragraph" w:styleId="ListBullet">
    <w:name w:val="List Bullet"/>
    <w:basedOn w:val="Normal"/>
    <w:pPr>
      <w:numPr>
        <w:numId w:val="1"/>
      </w:numPr>
      <w:contextualSpacing/>
    </w:pPr>
  </w:style>
  <w:style w:type="paragraph" w:styleId="ListBullet2">
    <w:name w:val="List Bullet 2"/>
    <w:basedOn w:val="Normal"/>
    <w:pPr>
      <w:numPr>
        <w:numId w:val="2"/>
      </w:numPr>
      <w:contextualSpacing/>
    </w:pPr>
  </w:style>
  <w:style w:type="paragraph" w:styleId="ListBullet3">
    <w:name w:val="List Bullet 3"/>
    <w:basedOn w:val="Normal"/>
    <w:pPr>
      <w:numPr>
        <w:numId w:val="3"/>
      </w:numPr>
      <w:contextualSpacing/>
    </w:pPr>
  </w:style>
  <w:style w:type="paragraph" w:styleId="ListBullet4">
    <w:name w:val="List Bullet 4"/>
    <w:basedOn w:val="Normal"/>
    <w:pPr>
      <w:numPr>
        <w:numId w:val="4"/>
      </w:numPr>
      <w:contextualSpacing/>
    </w:pPr>
  </w:style>
  <w:style w:type="paragraph" w:styleId="ListNumber">
    <w:name w:val="List Number"/>
    <w:basedOn w:val="Normal"/>
    <w:pPr>
      <w:numPr>
        <w:numId w:val="5"/>
      </w:numPr>
      <w:contextualSpacing/>
    </w:pPr>
  </w:style>
  <w:style w:type="paragraph" w:styleId="ListNumber2">
    <w:name w:val="List Number 2"/>
    <w:basedOn w:val="Normal"/>
    <w:pPr>
      <w:numPr>
        <w:numId w:val="6"/>
      </w:numPr>
      <w:contextualSpacing/>
    </w:pPr>
  </w:style>
  <w:style w:type="paragraph" w:styleId="ListNumber3">
    <w:name w:val="List Number 3"/>
    <w:basedOn w:val="Normal"/>
    <w:pPr>
      <w:numPr>
        <w:numId w:val="7"/>
      </w:numPr>
      <w:contextualSpacing/>
    </w:pPr>
  </w:style>
  <w:style w:type="paragraph" w:styleId="ListNumber4">
    <w:name w:val="List Number 4"/>
    <w:basedOn w:val="Normal"/>
    <w:pPr>
      <w:numPr>
        <w:numId w:val="8"/>
      </w:numPr>
      <w:contextualSpacing/>
    </w:pPr>
  </w:style>
  <w:style w:type="character" w:styleId="CommentReference">
    <w:name w:val="annotation reference"/>
    <w:rPr>
      <w:sz w:val="16"/>
      <w:szCs w:val="16"/>
    </w:rPr>
  </w:style>
  <w:style w:type="paragraph" w:styleId="CommentText">
    <w:name w:val="annotation text"/>
    <w:basedOn w:val="Normal"/>
    <w:link w:val="CommentTextChar"/>
    <w:rPr>
      <w:sz w:val="20"/>
    </w:rPr>
  </w:style>
  <w:style w:type="character" w:customStyle="1" w:styleId="CommentTextChar">
    <w:name w:val="Comment Text Char"/>
    <w:link w:val="CommentText"/>
    <w:rPr>
      <w:lang w:val="ro-RO" w:eastAsia="ro-RO"/>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ro-RO" w:eastAsia="ro-RO"/>
    </w:rPr>
  </w:style>
  <w:style w:type="character" w:styleId="Hyperlink">
    <w:name w:val="Hyperlink"/>
    <w:rPr>
      <w:color w:val="0000FF"/>
      <w:u w:val="single"/>
    </w:rPr>
  </w:style>
  <w:style w:type="paragraph" w:styleId="BalloonText">
    <w:name w:val="Balloon Text"/>
    <w:basedOn w:val="Normal"/>
    <w:link w:val="BalloonTextChar"/>
    <w:pPr>
      <w:spacing w:before="0" w:after="0"/>
    </w:pP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ro-RO" w:eastAsia="ro-RO"/>
    </w:rPr>
  </w:style>
  <w:style w:type="character" w:styleId="Strong">
    <w:name w:val="Strong"/>
    <w:uiPriority w:val="22"/>
    <w:qFormat/>
    <w:rPr>
      <w:b/>
      <w:bCs/>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ttedetabledesmatires">
    <w:name w:val="En-tête de table des matières"/>
    <w:basedOn w:val="Normal"/>
    <w:next w:val="Normal"/>
    <w:uiPriority w:val="39"/>
    <w:qFormat/>
    <w:pPr>
      <w:spacing w:after="240"/>
      <w:jc w:val="center"/>
    </w:pPr>
    <w:rPr>
      <w:b/>
      <w:sz w:val="28"/>
    </w:rPr>
  </w:style>
  <w:style w:type="paragraph" w:styleId="Caption">
    <w:name w:val="caption"/>
    <w:basedOn w:val="Normal"/>
    <w:next w:val="Normal"/>
    <w:qFormat/>
    <w:rPr>
      <w:b/>
      <w:bCs/>
      <w:sz w:val="20"/>
      <w:szCs w:val="20"/>
    </w:rPr>
  </w:style>
  <w:style w:type="paragraph" w:styleId="Header">
    <w:name w:val="header"/>
    <w:basedOn w:val="Normal"/>
    <w:link w:val="HeaderChar"/>
    <w:uiPriority w:val="99"/>
    <w:unhideWhenUsed/>
    <w:pPr>
      <w:tabs>
        <w:tab w:val="center" w:pos="4535"/>
        <w:tab w:val="right" w:pos="9071"/>
      </w:tabs>
      <w:spacing w:before="0"/>
    </w:pPr>
    <w:rPr>
      <w:rFonts w:eastAsia="Calibri"/>
      <w:lang w:eastAsia="en-US" w:bidi="ar-SA"/>
    </w:rPr>
  </w:style>
  <w:style w:type="character" w:customStyle="1" w:styleId="HeaderChar">
    <w:name w:val="Header Char"/>
    <w:link w:val="Header"/>
    <w:uiPriority w:val="99"/>
    <w:rPr>
      <w:rFonts w:eastAsia="Calibri"/>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eastAsiaTheme="majorEastAsia"/>
      <w:b/>
      <w:bCs/>
      <w:smallCaps/>
      <w:sz w:val="24"/>
      <w:szCs w:val="28"/>
      <w:lang w:val="en-GB"/>
    </w:rPr>
  </w:style>
  <w:style w:type="character" w:customStyle="1" w:styleId="Heading2Char">
    <w:name w:val="Heading 2 Char"/>
    <w:basedOn w:val="DefaultParagraphFont"/>
    <w:link w:val="Heading2"/>
    <w:uiPriority w:val="9"/>
    <w:semiHidden/>
    <w:rPr>
      <w:rFonts w:eastAsiaTheme="majorEastAsia"/>
      <w:b/>
      <w:bCs/>
      <w:sz w:val="24"/>
      <w:szCs w:val="26"/>
      <w:lang w:val="en-GB"/>
    </w:rPr>
  </w:style>
  <w:style w:type="character" w:customStyle="1" w:styleId="Heading3Char">
    <w:name w:val="Heading 3 Char"/>
    <w:basedOn w:val="DefaultParagraphFont"/>
    <w:link w:val="Heading3"/>
    <w:uiPriority w:val="9"/>
    <w:semiHidden/>
    <w:rPr>
      <w:rFonts w:eastAsiaTheme="majorEastAsia"/>
      <w:bCs/>
      <w:i/>
      <w:sz w:val="24"/>
      <w:lang w:val="en-GB"/>
    </w:rPr>
  </w:style>
  <w:style w:type="character" w:customStyle="1" w:styleId="Heading4Char">
    <w:name w:val="Heading 4 Char"/>
    <w:basedOn w:val="DefaultParagraphFont"/>
    <w:link w:val="Heading4"/>
    <w:uiPriority w:val="9"/>
    <w:semiHidden/>
    <w:rPr>
      <w:rFonts w:eastAsiaTheme="majorEastAsia"/>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Calibr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3360E-D1C2-4E1C-9F32-E44579CE2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9</Pages>
  <Words>2653</Words>
  <Characters>14702</Characters>
  <Application>Microsoft Office Word</Application>
  <DocSecurity>0</DocSecurity>
  <Lines>358</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DIGIT/A3</cp:lastModifiedBy>
  <cp:revision>18</cp:revision>
  <cp:lastPrinted>2015-03-11T15:39:00Z</cp:lastPrinted>
  <dcterms:created xsi:type="dcterms:W3CDTF">2015-03-16T06:06:00Z</dcterms:created>
  <dcterms:modified xsi:type="dcterms:W3CDTF">2015-03-26T08:06:00Z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5.8.64.0</vt:lpwstr>
  </property>
  <property fmtid="{D5CDD505-2E9C-101B-9397-08002B2CF9AE}" pid="5" name="Last edited using">
    <vt:lpwstr>LW 5.8.4, Build 20141001</vt:lpwstr>
  </property>
  <property fmtid="{D5CDD505-2E9C-101B-9397-08002B2CF9AE}" pid="6" name="Created using">
    <vt:lpwstr>LW 5.8.2, Build 20120919</vt:lpwstr>
  </property>
  <property fmtid="{D5CDD505-2E9C-101B-9397-08002B2CF9AE}" pid="7" name="LWTemplateID">
    <vt:lpwstr>SJ-023</vt:lpwstr>
  </property>
  <property fmtid="{D5CDD505-2E9C-101B-9397-08002B2CF9AE}" pid="8" name="Part">
    <vt:lpwstr>1</vt:lpwstr>
  </property>
  <property fmtid="{D5CDD505-2E9C-101B-9397-08002B2CF9AE}" pid="9" name="Total parts">
    <vt:lpwstr>1</vt:lpwstr>
  </property>
  <property fmtid="{D5CDD505-2E9C-101B-9397-08002B2CF9AE}" pid="10" name="_NewReviewCycle">
    <vt:lpwstr/>
  </property>
  <property fmtid="{D5CDD505-2E9C-101B-9397-08002B2CF9AE}" pid="11" name="DQCStatus">
    <vt:lpwstr>Green (DQC version 02)</vt:lpwstr>
  </property>
</Properties>
</file>