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0E7" w:rsidRPr="0042168B" w:rsidRDefault="00E86D98" w:rsidP="00E86D98">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C3E157A4F70140339295FADA57E6554D" style="width:450.7pt;height:374.95pt">
            <v:imagedata r:id="rId9" o:title=""/>
          </v:shape>
        </w:pict>
      </w:r>
    </w:p>
    <w:bookmarkEnd w:id="0"/>
    <w:p w:rsidR="007230E7" w:rsidRPr="0042168B" w:rsidRDefault="007230E7" w:rsidP="0037217A">
      <w:pPr>
        <w:sectPr w:rsidR="007230E7" w:rsidRPr="0042168B" w:rsidSect="00E86D9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lastRenderedPageBreak/>
        <w:t xml:space="preserve">1. </w:t>
      </w:r>
      <w:r w:rsidRPr="0042168B">
        <w:rPr>
          <w:rFonts w:ascii="Times New Roman" w:hAnsi="Times New Roman"/>
          <w:b/>
          <w:smallCaps/>
          <w:sz w:val="24"/>
          <w:szCs w:val="24"/>
        </w:rPr>
        <w:tab/>
        <w:t>Introduction</w:t>
      </w:r>
    </w:p>
    <w:p w:rsidR="003A6B9A" w:rsidRPr="0042168B" w:rsidRDefault="00B9349D" w:rsidP="00B9349D">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w:t>
      </w:r>
      <w:r w:rsidR="00DB2144" w:rsidRPr="0042168B">
        <w:rPr>
          <w:rFonts w:ascii="Times New Roman" w:hAnsi="Times New Roman"/>
          <w:sz w:val="24"/>
          <w:szCs w:val="24"/>
        </w:rPr>
        <w:t xml:space="preserve">European </w:t>
      </w:r>
      <w:r w:rsidRPr="0042168B">
        <w:rPr>
          <w:rFonts w:ascii="Times New Roman" w:hAnsi="Times New Roman"/>
          <w:sz w:val="24"/>
          <w:szCs w:val="24"/>
        </w:rPr>
        <w:t>Commission's “Framework Strategy for a Resilient Energy Union with a Forward-Looking Climate Change Policy”</w:t>
      </w:r>
      <w:r w:rsidRPr="0042168B">
        <w:rPr>
          <w:rStyle w:val="FootnoteReference"/>
          <w:rFonts w:ascii="Times New Roman" w:hAnsi="Times New Roman"/>
          <w:sz w:val="24"/>
          <w:szCs w:val="24"/>
        </w:rPr>
        <w:footnoteReference w:id="1"/>
      </w:r>
      <w:r w:rsidRPr="0042168B">
        <w:rPr>
          <w:rFonts w:ascii="Times New Roman" w:hAnsi="Times New Roman"/>
          <w:sz w:val="24"/>
          <w:szCs w:val="24"/>
        </w:rPr>
        <w:t xml:space="preserve"> has created a new momentum to bring about the transition to a low-carbon, secure and competitive economy. To keep this momentum, this first State of the Energy Union</w:t>
      </w:r>
      <w:r w:rsidR="00DB2144" w:rsidRPr="0042168B">
        <w:rPr>
          <w:rStyle w:val="FootnoteReference"/>
          <w:rFonts w:ascii="Times New Roman" w:hAnsi="Times New Roman"/>
          <w:sz w:val="24"/>
          <w:szCs w:val="24"/>
        </w:rPr>
        <w:footnoteReference w:id="2"/>
      </w:r>
      <w:r w:rsidRPr="0042168B">
        <w:rPr>
          <w:rFonts w:ascii="Times New Roman" w:hAnsi="Times New Roman"/>
          <w:sz w:val="24"/>
          <w:szCs w:val="24"/>
        </w:rPr>
        <w:t xml:space="preserve"> looks at progress over the last nine months and identifies key issues that require </w:t>
      </w:r>
      <w:r w:rsidR="003A6B9A" w:rsidRPr="0042168B">
        <w:rPr>
          <w:rFonts w:ascii="Times New Roman" w:hAnsi="Times New Roman"/>
          <w:sz w:val="24"/>
          <w:szCs w:val="24"/>
        </w:rPr>
        <w:t xml:space="preserve">specific </w:t>
      </w:r>
      <w:r w:rsidRPr="0042168B">
        <w:rPr>
          <w:rFonts w:ascii="Times New Roman" w:hAnsi="Times New Roman"/>
          <w:sz w:val="24"/>
          <w:szCs w:val="24"/>
        </w:rPr>
        <w:t xml:space="preserve">political </w:t>
      </w:r>
      <w:r w:rsidR="001408E7" w:rsidRPr="0042168B">
        <w:rPr>
          <w:rFonts w:ascii="Times New Roman" w:hAnsi="Times New Roman"/>
          <w:sz w:val="24"/>
          <w:szCs w:val="24"/>
        </w:rPr>
        <w:t xml:space="preserve">attention </w:t>
      </w:r>
      <w:r w:rsidRPr="0042168B">
        <w:rPr>
          <w:rFonts w:ascii="Times New Roman" w:hAnsi="Times New Roman"/>
          <w:sz w:val="24"/>
          <w:szCs w:val="24"/>
        </w:rPr>
        <w:t xml:space="preserve">in </w:t>
      </w:r>
      <w:r w:rsidR="001408E7" w:rsidRPr="0042168B">
        <w:rPr>
          <w:rFonts w:ascii="Times New Roman" w:hAnsi="Times New Roman"/>
          <w:sz w:val="24"/>
          <w:szCs w:val="24"/>
        </w:rPr>
        <w:t>2016</w:t>
      </w:r>
      <w:r w:rsidR="004711A4" w:rsidRPr="0042168B">
        <w:rPr>
          <w:rFonts w:ascii="Times New Roman" w:hAnsi="Times New Roman"/>
          <w:sz w:val="24"/>
          <w:szCs w:val="24"/>
        </w:rPr>
        <w:t>, a key year for implementation of the Energy Union</w:t>
      </w:r>
      <w:r w:rsidR="003A6B9A" w:rsidRPr="0042168B">
        <w:rPr>
          <w:rFonts w:ascii="Times New Roman" w:hAnsi="Times New Roman"/>
          <w:sz w:val="24"/>
          <w:szCs w:val="24"/>
        </w:rPr>
        <w:t>.</w:t>
      </w:r>
      <w:r w:rsidR="00DC4320" w:rsidRPr="0042168B">
        <w:rPr>
          <w:rStyle w:val="FootnoteReference"/>
          <w:rFonts w:ascii="Times New Roman" w:hAnsi="Times New Roman"/>
          <w:sz w:val="24"/>
          <w:szCs w:val="24"/>
        </w:rPr>
        <w:footnoteReference w:id="3"/>
      </w:r>
      <w:r w:rsidR="003A6B9A" w:rsidRPr="0042168B" w:rsidDel="003A6B9A">
        <w:rPr>
          <w:rFonts w:ascii="Times New Roman" w:hAnsi="Times New Roman"/>
          <w:sz w:val="24"/>
          <w:szCs w:val="24"/>
        </w:rPr>
        <w:t xml:space="preserve"> </w:t>
      </w:r>
    </w:p>
    <w:p w:rsidR="00B9349D" w:rsidRPr="0042168B" w:rsidRDefault="00B9349D" w:rsidP="00B9349D">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a few days, world leaders will gather in Paris to agree how to tackle one of mankind’s greatest challenges: climate change. </w:t>
      </w:r>
      <w:r w:rsidR="007A7D86" w:rsidRPr="0042168B">
        <w:rPr>
          <w:rFonts w:ascii="Times New Roman" w:hAnsi="Times New Roman"/>
          <w:sz w:val="24"/>
          <w:szCs w:val="24"/>
        </w:rPr>
        <w:t>T</w:t>
      </w:r>
      <w:r w:rsidRPr="0042168B">
        <w:rPr>
          <w:rFonts w:ascii="Times New Roman" w:hAnsi="Times New Roman"/>
          <w:sz w:val="24"/>
          <w:szCs w:val="24"/>
        </w:rPr>
        <w:t>he State of the Energy Union highlights Europe’s contribution to the Paris negotiations and focuses on the follow-up. Europe’s leadership in the transition to a low-carbon economy needs to continue after Paris, both through the implementation of the 2030 climate and energy targets and a coherent energy and climate diploma</w:t>
      </w:r>
      <w:bookmarkStart w:id="1" w:name="_GoBack"/>
      <w:bookmarkEnd w:id="1"/>
      <w:r w:rsidRPr="0042168B">
        <w:rPr>
          <w:rFonts w:ascii="Times New Roman" w:hAnsi="Times New Roman"/>
          <w:sz w:val="24"/>
          <w:szCs w:val="24"/>
        </w:rPr>
        <w:t xml:space="preserve">cy, ensuring that </w:t>
      </w:r>
      <w:r w:rsidR="0085669B" w:rsidRPr="0042168B">
        <w:rPr>
          <w:rFonts w:ascii="Times New Roman" w:hAnsi="Times New Roman"/>
          <w:sz w:val="24"/>
          <w:szCs w:val="24"/>
        </w:rPr>
        <w:t xml:space="preserve">all </w:t>
      </w:r>
      <w:r w:rsidRPr="0042168B">
        <w:rPr>
          <w:rFonts w:ascii="Times New Roman" w:hAnsi="Times New Roman"/>
          <w:sz w:val="24"/>
          <w:szCs w:val="24"/>
        </w:rPr>
        <w:t>countries follow-up on their commitments.</w:t>
      </w:r>
      <w:r w:rsidR="009313E0" w:rsidRPr="0042168B">
        <w:rPr>
          <w:rFonts w:ascii="Times New Roman" w:hAnsi="Times New Roman"/>
          <w:sz w:val="24"/>
          <w:szCs w:val="24"/>
        </w:rPr>
        <w:t xml:space="preserve"> </w:t>
      </w:r>
    </w:p>
    <w:p w:rsidR="00B9349D" w:rsidRPr="0042168B" w:rsidRDefault="00B9349D" w:rsidP="00B9349D">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There is a strong business case for </w:t>
      </w:r>
      <w:r w:rsidR="003A6B9A" w:rsidRPr="0042168B">
        <w:rPr>
          <w:rFonts w:ascii="Times New Roman" w:hAnsi="Times New Roman"/>
          <w:sz w:val="24"/>
          <w:szCs w:val="24"/>
        </w:rPr>
        <w:t>this</w:t>
      </w:r>
      <w:r w:rsidRPr="0042168B">
        <w:rPr>
          <w:rFonts w:ascii="Times New Roman" w:hAnsi="Times New Roman"/>
          <w:sz w:val="24"/>
          <w:szCs w:val="24"/>
        </w:rPr>
        <w:t xml:space="preserve"> transition. Leading European companies are changing their business models. Renewable energy and energy efficiency are creatin</w:t>
      </w:r>
      <w:r w:rsidR="001408E7" w:rsidRPr="0042168B">
        <w:rPr>
          <w:rFonts w:ascii="Times New Roman" w:hAnsi="Times New Roman"/>
          <w:sz w:val="24"/>
          <w:szCs w:val="24"/>
        </w:rPr>
        <w:t>g</w:t>
      </w:r>
      <w:r w:rsidRPr="0042168B">
        <w:rPr>
          <w:rFonts w:ascii="Times New Roman" w:hAnsi="Times New Roman"/>
          <w:sz w:val="24"/>
          <w:szCs w:val="24"/>
        </w:rPr>
        <w:t xml:space="preserve"> jobs</w:t>
      </w:r>
      <w:r w:rsidR="001408E7" w:rsidRPr="0042168B">
        <w:rPr>
          <w:rFonts w:ascii="Times New Roman" w:hAnsi="Times New Roman"/>
          <w:sz w:val="24"/>
          <w:szCs w:val="24"/>
        </w:rPr>
        <w:t xml:space="preserve"> in Europe</w:t>
      </w:r>
      <w:r w:rsidRPr="0042168B">
        <w:rPr>
          <w:rFonts w:ascii="Times New Roman" w:hAnsi="Times New Roman"/>
          <w:sz w:val="24"/>
          <w:szCs w:val="24"/>
        </w:rPr>
        <w:t xml:space="preserve">, requiring </w:t>
      </w:r>
      <w:r w:rsidR="001408E7" w:rsidRPr="0042168B">
        <w:rPr>
          <w:rFonts w:ascii="Times New Roman" w:hAnsi="Times New Roman"/>
          <w:sz w:val="24"/>
          <w:szCs w:val="24"/>
        </w:rPr>
        <w:t xml:space="preserve">new </w:t>
      </w:r>
      <w:r w:rsidRPr="0042168B">
        <w:rPr>
          <w:rFonts w:ascii="Times New Roman" w:hAnsi="Times New Roman"/>
          <w:sz w:val="24"/>
          <w:szCs w:val="24"/>
        </w:rPr>
        <w:t>skills</w:t>
      </w:r>
      <w:r w:rsidR="00DB2144" w:rsidRPr="0042168B">
        <w:rPr>
          <w:rFonts w:ascii="Times New Roman" w:hAnsi="Times New Roman"/>
          <w:sz w:val="24"/>
          <w:szCs w:val="24"/>
        </w:rPr>
        <w:t xml:space="preserve"> and investments</w:t>
      </w:r>
      <w:r w:rsidRPr="0042168B">
        <w:rPr>
          <w:rFonts w:ascii="Times New Roman" w:hAnsi="Times New Roman"/>
          <w:sz w:val="24"/>
          <w:szCs w:val="24"/>
        </w:rPr>
        <w:t>.</w:t>
      </w:r>
      <w:r w:rsidRPr="0042168B" w:rsidDel="003C0C32">
        <w:rPr>
          <w:rFonts w:ascii="Times New Roman" w:hAnsi="Times New Roman"/>
          <w:sz w:val="24"/>
          <w:szCs w:val="24"/>
        </w:rPr>
        <w:t xml:space="preserve"> </w:t>
      </w:r>
      <w:r w:rsidRPr="0042168B">
        <w:rPr>
          <w:rFonts w:ascii="Times New Roman" w:hAnsi="Times New Roman"/>
          <w:sz w:val="24"/>
          <w:szCs w:val="24"/>
        </w:rPr>
        <w:t xml:space="preserve">Many of the changes linked to this transition will take place in cities and municipalities; when our cities become smarter, they become key enablers of the EU’s sustainable energy policies. </w:t>
      </w:r>
    </w:p>
    <w:p w:rsidR="00B9349D" w:rsidRPr="0042168B" w:rsidRDefault="0085669B" w:rsidP="00B9349D">
      <w:pPr>
        <w:spacing w:after="240" w:line="240" w:lineRule="auto"/>
        <w:jc w:val="both"/>
        <w:rPr>
          <w:rFonts w:ascii="Times New Roman" w:hAnsi="Times New Roman"/>
          <w:sz w:val="24"/>
          <w:szCs w:val="24"/>
        </w:rPr>
      </w:pPr>
      <w:r w:rsidRPr="0042168B">
        <w:rPr>
          <w:rFonts w:ascii="Times New Roman" w:hAnsi="Times New Roman"/>
          <w:sz w:val="24"/>
          <w:szCs w:val="24"/>
        </w:rPr>
        <w:t>T</w:t>
      </w:r>
      <w:r w:rsidR="007A7D86" w:rsidRPr="0042168B">
        <w:rPr>
          <w:rFonts w:ascii="Times New Roman" w:hAnsi="Times New Roman"/>
          <w:sz w:val="24"/>
          <w:szCs w:val="24"/>
        </w:rPr>
        <w:t xml:space="preserve">he electricity and gas markets are still not performing as they should. </w:t>
      </w:r>
      <w:r w:rsidR="00B9349D" w:rsidRPr="0042168B">
        <w:rPr>
          <w:rFonts w:ascii="Times New Roman" w:hAnsi="Times New Roman"/>
          <w:sz w:val="24"/>
          <w:szCs w:val="24"/>
        </w:rPr>
        <w:t>For the transition towards a low-carbon economy and society to be successful</w:t>
      </w:r>
      <w:r w:rsidR="007A7D86" w:rsidRPr="0042168B">
        <w:rPr>
          <w:rFonts w:ascii="Times New Roman" w:hAnsi="Times New Roman"/>
          <w:sz w:val="24"/>
          <w:szCs w:val="24"/>
        </w:rPr>
        <w:t xml:space="preserve"> and socially fair</w:t>
      </w:r>
      <w:r w:rsidR="00B9349D" w:rsidRPr="0042168B">
        <w:rPr>
          <w:rFonts w:ascii="Times New Roman" w:hAnsi="Times New Roman"/>
          <w:sz w:val="24"/>
          <w:szCs w:val="24"/>
        </w:rPr>
        <w:t xml:space="preserve">, citizens should take more ownership, benefit from new technologies and more competition to reduce their bills, and participate more actively in the market. </w:t>
      </w:r>
    </w:p>
    <w:p w:rsidR="00B9349D" w:rsidRPr="0042168B" w:rsidRDefault="00B9349D" w:rsidP="00B9349D">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2015, geopolitical events </w:t>
      </w:r>
      <w:r w:rsidR="00737EE8" w:rsidRPr="0042168B">
        <w:rPr>
          <w:rFonts w:ascii="Times New Roman" w:hAnsi="Times New Roman"/>
          <w:sz w:val="24"/>
          <w:szCs w:val="24"/>
        </w:rPr>
        <w:t xml:space="preserve">in </w:t>
      </w:r>
      <w:r w:rsidRPr="0042168B">
        <w:rPr>
          <w:rFonts w:ascii="Times New Roman" w:hAnsi="Times New Roman"/>
          <w:sz w:val="24"/>
          <w:szCs w:val="24"/>
        </w:rPr>
        <w:t xml:space="preserve">our </w:t>
      </w:r>
      <w:r w:rsidR="00737EE8" w:rsidRPr="0042168B">
        <w:rPr>
          <w:rFonts w:ascii="Times New Roman" w:hAnsi="Times New Roman"/>
          <w:sz w:val="24"/>
          <w:szCs w:val="24"/>
        </w:rPr>
        <w:t xml:space="preserve">immediate vicinity </w:t>
      </w:r>
      <w:r w:rsidRPr="0042168B">
        <w:rPr>
          <w:rFonts w:ascii="Times New Roman" w:hAnsi="Times New Roman"/>
          <w:sz w:val="24"/>
          <w:szCs w:val="24"/>
        </w:rPr>
        <w:t>kept energy high on the agenda. To deal with these challenges, energy security, efficiency, infrastructure development, the completion of the internal energy market and sustainability are intrinsically linked. The 2</w:t>
      </w:r>
      <w:r w:rsidRPr="0042168B">
        <w:rPr>
          <w:rFonts w:ascii="Times New Roman" w:hAnsi="Times New Roman"/>
          <w:sz w:val="24"/>
          <w:szCs w:val="24"/>
          <w:vertAlign w:val="superscript"/>
        </w:rPr>
        <w:t>nd</w:t>
      </w:r>
      <w:r w:rsidRPr="0042168B">
        <w:rPr>
          <w:rFonts w:ascii="Times New Roman" w:hAnsi="Times New Roman"/>
          <w:sz w:val="24"/>
          <w:szCs w:val="24"/>
        </w:rPr>
        <w:t xml:space="preserve"> list of Projects of Common Interest</w:t>
      </w:r>
      <w:r w:rsidR="007A7D86" w:rsidRPr="0042168B">
        <w:rPr>
          <w:rFonts w:ascii="Times New Roman" w:hAnsi="Times New Roman"/>
          <w:sz w:val="24"/>
          <w:szCs w:val="24"/>
        </w:rPr>
        <w:t xml:space="preserve"> </w:t>
      </w:r>
      <w:r w:rsidRPr="0042168B">
        <w:rPr>
          <w:rFonts w:ascii="Times New Roman" w:hAnsi="Times New Roman"/>
          <w:sz w:val="24"/>
          <w:szCs w:val="24"/>
        </w:rPr>
        <w:t>sets out the infrastructure projects which are urgently needed to meet our energy policy targets and objectives.</w:t>
      </w:r>
    </w:p>
    <w:p w:rsidR="00B9349D" w:rsidRPr="0042168B" w:rsidRDefault="00B9349D" w:rsidP="00B9349D">
      <w:pPr>
        <w:spacing w:after="240" w:line="240" w:lineRule="auto"/>
        <w:jc w:val="both"/>
        <w:rPr>
          <w:rFonts w:ascii="Times New Roman" w:hAnsi="Times New Roman"/>
          <w:sz w:val="24"/>
          <w:szCs w:val="24"/>
        </w:rPr>
      </w:pPr>
      <w:r w:rsidRPr="0042168B">
        <w:rPr>
          <w:rFonts w:ascii="Times New Roman" w:hAnsi="Times New Roman"/>
          <w:sz w:val="24"/>
          <w:szCs w:val="24"/>
        </w:rPr>
        <w:t>The State of the Energy Union presents key building blocks for a</w:t>
      </w:r>
      <w:r w:rsidR="004711A4" w:rsidRPr="0042168B">
        <w:rPr>
          <w:rFonts w:ascii="Times New Roman" w:hAnsi="Times New Roman"/>
          <w:sz w:val="24"/>
          <w:szCs w:val="24"/>
        </w:rPr>
        <w:t>n implementation</w:t>
      </w:r>
      <w:r w:rsidRPr="0042168B">
        <w:rPr>
          <w:rFonts w:ascii="Times New Roman" w:hAnsi="Times New Roman"/>
          <w:sz w:val="24"/>
          <w:szCs w:val="24"/>
        </w:rPr>
        <w:t xml:space="preserve"> mechanism leading to more predictable, transparent and stable policies. The guidance on integrated national energy and climate plans provides the basis for Member States to start developing </w:t>
      </w:r>
      <w:r w:rsidR="0085669B" w:rsidRPr="0042168B">
        <w:rPr>
          <w:rFonts w:ascii="Times New Roman" w:hAnsi="Times New Roman"/>
          <w:sz w:val="24"/>
          <w:szCs w:val="24"/>
        </w:rPr>
        <w:t xml:space="preserve">their </w:t>
      </w:r>
      <w:r w:rsidR="007A7D86" w:rsidRPr="0042168B">
        <w:rPr>
          <w:rFonts w:ascii="Times New Roman" w:hAnsi="Times New Roman"/>
          <w:sz w:val="24"/>
          <w:szCs w:val="24"/>
        </w:rPr>
        <w:t xml:space="preserve">integrated national energy and climate </w:t>
      </w:r>
      <w:r w:rsidRPr="0042168B">
        <w:rPr>
          <w:rFonts w:ascii="Times New Roman" w:hAnsi="Times New Roman"/>
          <w:sz w:val="24"/>
          <w:szCs w:val="24"/>
        </w:rPr>
        <w:t xml:space="preserve">plans for the period from 2021 to 2030. The proposed methodology on key indicators is the first step towards measuring and monitoring the delivery of the Energy Union. </w:t>
      </w:r>
    </w:p>
    <w:p w:rsidR="007230E7" w:rsidRPr="0042168B" w:rsidRDefault="004711A4" w:rsidP="00877889">
      <w:pPr>
        <w:spacing w:after="240" w:line="240" w:lineRule="auto"/>
        <w:jc w:val="both"/>
        <w:rPr>
          <w:rFonts w:ascii="Times New Roman" w:hAnsi="Times New Roman"/>
          <w:b/>
          <w:smallCaps/>
          <w:sz w:val="24"/>
          <w:szCs w:val="24"/>
        </w:rPr>
      </w:pPr>
      <w:r w:rsidRPr="0042168B">
        <w:rPr>
          <w:rFonts w:ascii="Times New Roman" w:hAnsi="Times New Roman"/>
          <w:sz w:val="24"/>
          <w:szCs w:val="24"/>
        </w:rPr>
        <w:t>In recent months, the Commission has visited many Member States to discuss the Energy Union with a wide range of stakeholders. In addition, technical discussions have taken place with all Member States. These contacts have enabled the Commission to produce an Energy Union assessment for each Member State and to identify policy conclusions for all five dimensions of the Energy Union.</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lastRenderedPageBreak/>
        <w:t>2.</w:t>
      </w:r>
      <w:r w:rsidRPr="0042168B">
        <w:rPr>
          <w:rFonts w:ascii="Times New Roman" w:hAnsi="Times New Roman"/>
          <w:b/>
          <w:smallCaps/>
          <w:sz w:val="24"/>
          <w:szCs w:val="24"/>
        </w:rPr>
        <w:tab/>
        <w:t xml:space="preserve">Decarbonisation of the economy </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i/>
          <w:sz w:val="24"/>
          <w:szCs w:val="24"/>
        </w:rPr>
        <w:t>Progress made</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EU economy is currently the most carbon-efficient </w:t>
      </w:r>
      <w:r w:rsidR="00DB2144" w:rsidRPr="0042168B">
        <w:rPr>
          <w:rFonts w:ascii="Times New Roman" w:hAnsi="Times New Roman"/>
          <w:sz w:val="24"/>
          <w:szCs w:val="24"/>
        </w:rPr>
        <w:t xml:space="preserve">major </w:t>
      </w:r>
      <w:r w:rsidRPr="0042168B">
        <w:rPr>
          <w:rFonts w:ascii="Times New Roman" w:hAnsi="Times New Roman"/>
          <w:sz w:val="24"/>
          <w:szCs w:val="24"/>
        </w:rPr>
        <w:t>economy in the world</w:t>
      </w:r>
      <w:r w:rsidR="00972B96" w:rsidRPr="0042168B">
        <w:rPr>
          <w:rFonts w:ascii="Times New Roman" w:hAnsi="Times New Roman"/>
          <w:sz w:val="24"/>
          <w:szCs w:val="24"/>
        </w:rPr>
        <w:t>.</w:t>
      </w:r>
      <w:r w:rsidRPr="0042168B">
        <w:rPr>
          <w:rFonts w:ascii="Times New Roman" w:hAnsi="Times New Roman"/>
          <w:sz w:val="24"/>
          <w:szCs w:val="24"/>
        </w:rPr>
        <w:t xml:space="preserve"> </w:t>
      </w:r>
      <w:r w:rsidR="00972B96" w:rsidRPr="0042168B">
        <w:rPr>
          <w:rFonts w:ascii="Times New Roman" w:hAnsi="Times New Roman"/>
          <w:sz w:val="24"/>
          <w:szCs w:val="24"/>
        </w:rPr>
        <w:t xml:space="preserve">It has been particularly successful in decoupling economic growth and greenhouse gas emissions. Between 1990 and 2014, the combined gross domestic product of the EU grew by 46%, while total greenhouse gas emissions decreased by 23%. The EU is </w:t>
      </w:r>
      <w:r w:rsidR="00737EE8" w:rsidRPr="0042168B">
        <w:rPr>
          <w:rFonts w:ascii="Times New Roman" w:hAnsi="Times New Roman"/>
          <w:sz w:val="24"/>
          <w:szCs w:val="24"/>
        </w:rPr>
        <w:t xml:space="preserve">one of </w:t>
      </w:r>
      <w:r w:rsidR="001408E7" w:rsidRPr="0042168B">
        <w:rPr>
          <w:rFonts w:ascii="Times New Roman" w:hAnsi="Times New Roman"/>
          <w:sz w:val="24"/>
          <w:szCs w:val="24"/>
        </w:rPr>
        <w:t xml:space="preserve">only </w:t>
      </w:r>
      <w:r w:rsidR="00DB2144" w:rsidRPr="0042168B">
        <w:rPr>
          <w:rFonts w:ascii="Times New Roman" w:hAnsi="Times New Roman"/>
          <w:sz w:val="24"/>
          <w:szCs w:val="24"/>
        </w:rPr>
        <w:t>three major economies</w:t>
      </w:r>
      <w:r w:rsidR="00737EE8" w:rsidRPr="0042168B">
        <w:rPr>
          <w:rStyle w:val="FootnoteReference"/>
          <w:rFonts w:ascii="Times New Roman" w:hAnsi="Times New Roman"/>
          <w:sz w:val="24"/>
          <w:szCs w:val="24"/>
        </w:rPr>
        <w:footnoteReference w:id="4"/>
      </w:r>
      <w:r w:rsidRPr="0042168B">
        <w:rPr>
          <w:rFonts w:ascii="Times New Roman" w:hAnsi="Times New Roman"/>
          <w:sz w:val="24"/>
          <w:szCs w:val="24"/>
        </w:rPr>
        <w:t xml:space="preserve"> that generate more than half of its electricity without producing greenhouse gases</w:t>
      </w:r>
      <w:r w:rsidR="004711A4" w:rsidRPr="0042168B">
        <w:rPr>
          <w:rFonts w:ascii="Times New Roman" w:hAnsi="Times New Roman"/>
          <w:sz w:val="24"/>
          <w:szCs w:val="24"/>
        </w:rPr>
        <w:t>.</w:t>
      </w:r>
      <w:r w:rsidR="00972B96" w:rsidRPr="0042168B">
        <w:rPr>
          <w:rStyle w:val="FootnoteReference"/>
          <w:rFonts w:ascii="Times New Roman" w:hAnsi="Times New Roman"/>
          <w:sz w:val="24"/>
          <w:szCs w:val="24"/>
        </w:rPr>
        <w:footnoteReference w:id="5"/>
      </w:r>
      <w:r w:rsidRPr="0042168B">
        <w:rPr>
          <w:rFonts w:ascii="Times New Roman" w:hAnsi="Times New Roman"/>
          <w:sz w:val="24"/>
          <w:szCs w:val="24"/>
        </w:rPr>
        <w:t xml:space="preserve"> </w:t>
      </w:r>
    </w:p>
    <w:p w:rsidR="007230E7" w:rsidRPr="0042168B" w:rsidRDefault="00737EE8" w:rsidP="00877889">
      <w:pPr>
        <w:spacing w:after="240" w:line="240" w:lineRule="auto"/>
        <w:jc w:val="both"/>
        <w:rPr>
          <w:rFonts w:ascii="Times New Roman" w:hAnsi="Times New Roman"/>
          <w:sz w:val="24"/>
          <w:szCs w:val="24"/>
        </w:rPr>
      </w:pPr>
      <w:r w:rsidRPr="0042168B">
        <w:rPr>
          <w:rFonts w:ascii="Times New Roman" w:hAnsi="Times New Roman"/>
          <w:sz w:val="24"/>
          <w:szCs w:val="24"/>
        </w:rPr>
        <w:t>One objective of t</w:t>
      </w:r>
      <w:r w:rsidR="007230E7" w:rsidRPr="0042168B">
        <w:rPr>
          <w:rFonts w:ascii="Times New Roman" w:hAnsi="Times New Roman"/>
          <w:sz w:val="24"/>
          <w:szCs w:val="24"/>
        </w:rPr>
        <w:t xml:space="preserve">he Energy Union Strategy </w:t>
      </w:r>
      <w:r w:rsidRPr="0042168B">
        <w:rPr>
          <w:rFonts w:ascii="Times New Roman" w:hAnsi="Times New Roman"/>
          <w:sz w:val="24"/>
          <w:szCs w:val="24"/>
        </w:rPr>
        <w:t xml:space="preserve">is </w:t>
      </w:r>
      <w:r w:rsidR="007230E7" w:rsidRPr="0042168B">
        <w:rPr>
          <w:rFonts w:ascii="Times New Roman" w:hAnsi="Times New Roman"/>
          <w:sz w:val="24"/>
          <w:szCs w:val="24"/>
        </w:rPr>
        <w:t xml:space="preserve">to move </w:t>
      </w:r>
      <w:r w:rsidRPr="0042168B">
        <w:rPr>
          <w:rFonts w:ascii="Times New Roman" w:hAnsi="Times New Roman"/>
          <w:sz w:val="24"/>
          <w:szCs w:val="24"/>
        </w:rPr>
        <w:t xml:space="preserve">further </w:t>
      </w:r>
      <w:r w:rsidR="007230E7" w:rsidRPr="0042168B">
        <w:rPr>
          <w:rFonts w:ascii="Times New Roman" w:hAnsi="Times New Roman"/>
          <w:sz w:val="24"/>
          <w:szCs w:val="24"/>
        </w:rPr>
        <w:t xml:space="preserve">away from an economy driven by fossil fuels. </w:t>
      </w:r>
      <w:r w:rsidR="003C474F" w:rsidRPr="0042168B">
        <w:rPr>
          <w:rFonts w:ascii="Times New Roman" w:hAnsi="Times New Roman"/>
          <w:sz w:val="24"/>
          <w:szCs w:val="24"/>
        </w:rPr>
        <w:t xml:space="preserve">In 2015, progress was made in three fields </w:t>
      </w:r>
      <w:r w:rsidR="000817ED" w:rsidRPr="0042168B">
        <w:rPr>
          <w:rFonts w:ascii="Times New Roman" w:hAnsi="Times New Roman"/>
          <w:sz w:val="24"/>
          <w:szCs w:val="24"/>
        </w:rPr>
        <w:t>that lie at the heart of this transition:</w:t>
      </w:r>
      <w:r w:rsidR="003C474F" w:rsidRPr="0042168B">
        <w:rPr>
          <w:rFonts w:ascii="Times New Roman" w:hAnsi="Times New Roman"/>
          <w:sz w:val="24"/>
          <w:szCs w:val="24"/>
        </w:rPr>
        <w:t xml:space="preserve"> emissions trading, renewables, and further </w:t>
      </w:r>
      <w:r w:rsidR="000817ED" w:rsidRPr="0042168B">
        <w:rPr>
          <w:rFonts w:ascii="Times New Roman" w:hAnsi="Times New Roman"/>
          <w:sz w:val="24"/>
          <w:szCs w:val="24"/>
        </w:rPr>
        <w:t>investments in low carbon technologies and energy efficiency.</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The agreement on the introduction of the Market Stability Reserve</w:t>
      </w:r>
      <w:r w:rsidR="001408E7" w:rsidRPr="0042168B">
        <w:rPr>
          <w:rFonts w:ascii="Times New Roman" w:hAnsi="Times New Roman"/>
          <w:sz w:val="24"/>
          <w:szCs w:val="24"/>
        </w:rPr>
        <w:t>, in place</w:t>
      </w:r>
      <w:r w:rsidRPr="0042168B">
        <w:rPr>
          <w:rFonts w:ascii="Times New Roman" w:hAnsi="Times New Roman"/>
          <w:sz w:val="24"/>
          <w:szCs w:val="24"/>
        </w:rPr>
        <w:t xml:space="preserve"> from 2019</w:t>
      </w:r>
      <w:r w:rsidR="001408E7" w:rsidRPr="0042168B">
        <w:rPr>
          <w:rFonts w:ascii="Times New Roman" w:hAnsi="Times New Roman"/>
          <w:sz w:val="24"/>
          <w:szCs w:val="24"/>
        </w:rPr>
        <w:t>,</w:t>
      </w:r>
      <w:r w:rsidRPr="0042168B">
        <w:rPr>
          <w:rFonts w:ascii="Times New Roman" w:hAnsi="Times New Roman"/>
          <w:sz w:val="24"/>
          <w:szCs w:val="24"/>
        </w:rPr>
        <w:t xml:space="preserve"> will strengthen the EU Emissions Trading System (ETS). In July 2015, the Commission presented a proposal to revise the EU </w:t>
      </w:r>
      <w:r w:rsidR="000D3DD8" w:rsidRPr="0042168B">
        <w:rPr>
          <w:rFonts w:ascii="Times New Roman" w:hAnsi="Times New Roman"/>
          <w:sz w:val="24"/>
          <w:szCs w:val="24"/>
        </w:rPr>
        <w:t>Emissions Trading System</w:t>
      </w:r>
      <w:r w:rsidR="003A6B9A" w:rsidRPr="0042168B">
        <w:rPr>
          <w:rFonts w:ascii="Times New Roman" w:hAnsi="Times New Roman"/>
          <w:sz w:val="24"/>
          <w:szCs w:val="24"/>
        </w:rPr>
        <w:t>.</w:t>
      </w:r>
      <w:r w:rsidRPr="0042168B">
        <w:rPr>
          <w:rFonts w:ascii="Times New Roman" w:hAnsi="Times New Roman"/>
          <w:sz w:val="24"/>
          <w:szCs w:val="24"/>
        </w:rPr>
        <w:t xml:space="preserve"> </w:t>
      </w:r>
      <w:r w:rsidR="00737EE8" w:rsidRPr="0042168B">
        <w:rPr>
          <w:rFonts w:ascii="Times New Roman" w:hAnsi="Times New Roman"/>
          <w:sz w:val="24"/>
          <w:szCs w:val="24"/>
        </w:rPr>
        <w:t xml:space="preserve">This is the final step to make the EU Emissions Trading System fit to play its full strength as the main European instrument to achieve the 2030 greenhouse gas emissions target. </w:t>
      </w:r>
      <w:r w:rsidRPr="0042168B">
        <w:rPr>
          <w:rFonts w:ascii="Times New Roman" w:hAnsi="Times New Roman"/>
          <w:sz w:val="24"/>
          <w:szCs w:val="24"/>
        </w:rPr>
        <w:t>The Commission urges the European Parliament and the Council to take the proposal forward with priority.</w:t>
      </w:r>
    </w:p>
    <w:p w:rsidR="007230E7" w:rsidRPr="0042168B" w:rsidRDefault="002C5F7B" w:rsidP="00877889">
      <w:pPr>
        <w:spacing w:after="240" w:line="240" w:lineRule="auto"/>
        <w:jc w:val="both"/>
        <w:rPr>
          <w:rFonts w:ascii="Times New Roman" w:hAnsi="Times New Roman"/>
          <w:i/>
          <w:strike/>
          <w:sz w:val="24"/>
          <w:szCs w:val="24"/>
        </w:rPr>
      </w:pPr>
      <w:r w:rsidRPr="0042168B">
        <w:rPr>
          <w:rFonts w:ascii="Times New Roman" w:hAnsi="Times New Roman"/>
          <w:sz w:val="24"/>
          <w:szCs w:val="24"/>
        </w:rPr>
        <w:t>Supporting the</w:t>
      </w:r>
      <w:r w:rsidR="007230E7" w:rsidRPr="0042168B">
        <w:rPr>
          <w:rFonts w:ascii="Times New Roman" w:hAnsi="Times New Roman"/>
          <w:sz w:val="24"/>
          <w:szCs w:val="24"/>
        </w:rPr>
        <w:t xml:space="preserve"> ambition to become the number one in renewables, the Commission came forward with a consultative Communication on a new electricity market design in July 2015, </w:t>
      </w:r>
      <w:r w:rsidRPr="0042168B">
        <w:rPr>
          <w:rFonts w:ascii="Times New Roman" w:hAnsi="Times New Roman"/>
          <w:sz w:val="24"/>
          <w:szCs w:val="24"/>
        </w:rPr>
        <w:t xml:space="preserve">a central objective of which is </w:t>
      </w:r>
      <w:r w:rsidR="007230E7" w:rsidRPr="0042168B">
        <w:rPr>
          <w:rFonts w:ascii="Times New Roman" w:hAnsi="Times New Roman"/>
          <w:sz w:val="24"/>
          <w:szCs w:val="24"/>
        </w:rPr>
        <w:t xml:space="preserve">to make the market fit for an increasing share of renewables. </w:t>
      </w:r>
      <w:r w:rsidR="003A6B9A" w:rsidRPr="0042168B">
        <w:rPr>
          <w:rFonts w:ascii="Times New Roman" w:hAnsi="Times New Roman"/>
          <w:noProof/>
          <w:sz w:val="24"/>
          <w:szCs w:val="24"/>
        </w:rPr>
        <w:t>R</w:t>
      </w:r>
      <w:r w:rsidR="007230E7" w:rsidRPr="0042168B">
        <w:rPr>
          <w:rFonts w:ascii="Times New Roman" w:hAnsi="Times New Roman"/>
          <w:noProof/>
          <w:sz w:val="24"/>
          <w:szCs w:val="24"/>
        </w:rPr>
        <w:t>enewables are becoming a mainstream source of energy</w:t>
      </w:r>
      <w:r w:rsidR="003D178E" w:rsidRPr="0042168B">
        <w:rPr>
          <w:rFonts w:ascii="Times New Roman" w:hAnsi="Times New Roman"/>
          <w:noProof/>
          <w:sz w:val="24"/>
          <w:szCs w:val="24"/>
        </w:rPr>
        <w:t>.</w:t>
      </w:r>
      <w:r w:rsidR="007230E7" w:rsidRPr="0042168B">
        <w:rPr>
          <w:rFonts w:ascii="Times New Roman" w:hAnsi="Times New Roman"/>
          <w:noProof/>
          <w:sz w:val="24"/>
          <w:szCs w:val="24"/>
        </w:rPr>
        <w:t xml:space="preserve"> </w:t>
      </w:r>
      <w:r w:rsidR="007107D2" w:rsidRPr="0042168B">
        <w:rPr>
          <w:rFonts w:ascii="Times New Roman" w:hAnsi="Times New Roman"/>
          <w:noProof/>
          <w:sz w:val="24"/>
          <w:szCs w:val="24"/>
        </w:rPr>
        <w:t>They</w:t>
      </w:r>
      <w:r w:rsidR="003D178E" w:rsidRPr="0042168B">
        <w:rPr>
          <w:rFonts w:ascii="Times New Roman" w:hAnsi="Times New Roman"/>
          <w:noProof/>
          <w:sz w:val="24"/>
          <w:szCs w:val="24"/>
        </w:rPr>
        <w:t xml:space="preserve"> already cater for the needs of 78 million Europeans</w:t>
      </w:r>
      <w:r w:rsidRPr="0042168B">
        <w:rPr>
          <w:rFonts w:ascii="Times New Roman" w:hAnsi="Times New Roman"/>
          <w:noProof/>
          <w:sz w:val="24"/>
          <w:szCs w:val="24"/>
        </w:rPr>
        <w:t>, and the EU as such is on track to meet its target of 20% final energy consumption from renewable sources by 2020</w:t>
      </w:r>
      <w:r w:rsidR="003D178E" w:rsidRPr="0042168B">
        <w:rPr>
          <w:rFonts w:ascii="Times New Roman" w:hAnsi="Times New Roman"/>
          <w:noProof/>
          <w:sz w:val="24"/>
          <w:szCs w:val="24"/>
        </w:rPr>
        <w:t xml:space="preserve">. </w:t>
      </w:r>
    </w:p>
    <w:p w:rsidR="007230E7" w:rsidRPr="0042168B" w:rsidRDefault="007230E7" w:rsidP="0098462C">
      <w:pPr>
        <w:spacing w:after="240" w:line="240" w:lineRule="auto"/>
        <w:jc w:val="both"/>
        <w:rPr>
          <w:rFonts w:ascii="Times New Roman" w:hAnsi="Times New Roman"/>
          <w:color w:val="000000"/>
          <w:sz w:val="24"/>
          <w:szCs w:val="24"/>
        </w:rPr>
      </w:pPr>
      <w:r w:rsidRPr="0042168B">
        <w:rPr>
          <w:rFonts w:ascii="Times New Roman" w:hAnsi="Times New Roman"/>
          <w:color w:val="000000"/>
          <w:sz w:val="24"/>
          <w:szCs w:val="24"/>
        </w:rPr>
        <w:t>The transition to a low</w:t>
      </w:r>
      <w:r w:rsidR="00F532C6" w:rsidRPr="0042168B">
        <w:rPr>
          <w:rFonts w:ascii="Times New Roman" w:hAnsi="Times New Roman"/>
          <w:color w:val="000000"/>
          <w:sz w:val="24"/>
          <w:szCs w:val="24"/>
        </w:rPr>
        <w:t>-</w:t>
      </w:r>
      <w:r w:rsidRPr="0042168B">
        <w:rPr>
          <w:rFonts w:ascii="Times New Roman" w:hAnsi="Times New Roman"/>
          <w:color w:val="000000"/>
          <w:sz w:val="24"/>
          <w:szCs w:val="24"/>
        </w:rPr>
        <w:t xml:space="preserve">carbon economy </w:t>
      </w:r>
      <w:r w:rsidR="002C5F7B" w:rsidRPr="0042168B">
        <w:rPr>
          <w:rFonts w:ascii="Times New Roman" w:hAnsi="Times New Roman"/>
          <w:color w:val="000000"/>
          <w:sz w:val="24"/>
          <w:szCs w:val="24"/>
        </w:rPr>
        <w:t xml:space="preserve">will need significant </w:t>
      </w:r>
      <w:r w:rsidRPr="0042168B">
        <w:rPr>
          <w:rFonts w:ascii="Times New Roman" w:hAnsi="Times New Roman"/>
          <w:color w:val="000000"/>
          <w:sz w:val="24"/>
          <w:szCs w:val="24"/>
        </w:rPr>
        <w:t>investments, notably in power grids, generation, energy efficiency and innovation</w:t>
      </w:r>
      <w:r w:rsidR="00433070" w:rsidRPr="0042168B">
        <w:rPr>
          <w:rStyle w:val="FootnoteReference"/>
          <w:rFonts w:ascii="Times New Roman" w:hAnsi="Times New Roman"/>
          <w:color w:val="000000"/>
          <w:sz w:val="24"/>
          <w:szCs w:val="24"/>
        </w:rPr>
        <w:footnoteReference w:id="6"/>
      </w:r>
      <w:r w:rsidRPr="0042168B">
        <w:rPr>
          <w:rFonts w:ascii="Times New Roman" w:hAnsi="Times New Roman"/>
          <w:color w:val="000000"/>
          <w:sz w:val="24"/>
          <w:szCs w:val="24"/>
        </w:rPr>
        <w:t xml:space="preserve">. </w:t>
      </w:r>
      <w:r w:rsidR="0098462C" w:rsidRPr="0042168B">
        <w:rPr>
          <w:rFonts w:ascii="Times New Roman" w:hAnsi="Times New Roman"/>
          <w:color w:val="000000"/>
          <w:sz w:val="24"/>
          <w:szCs w:val="24"/>
        </w:rPr>
        <w:t>The EU-budget contributes to deliver this shift through integrating climate objectives in all relevant policy initiatives, ensuring that at least 20% of EU budget 2014-2020 is climate relevant. This represents around EUR 180 billion from 2014 to 2020. M</w:t>
      </w:r>
      <w:r w:rsidR="008319D3" w:rsidRPr="0042168B">
        <w:rPr>
          <w:rFonts w:ascii="Times New Roman" w:hAnsi="Times New Roman"/>
          <w:color w:val="000000"/>
          <w:sz w:val="24"/>
          <w:szCs w:val="24"/>
        </w:rPr>
        <w:t xml:space="preserve">ore than EUR 110 billion </w:t>
      </w:r>
      <w:r w:rsidR="0098462C" w:rsidRPr="0042168B">
        <w:rPr>
          <w:rFonts w:ascii="Times New Roman" w:hAnsi="Times New Roman"/>
          <w:color w:val="000000"/>
          <w:sz w:val="24"/>
          <w:szCs w:val="24"/>
        </w:rPr>
        <w:t>is</w:t>
      </w:r>
      <w:r w:rsidR="008319D3" w:rsidRPr="0042168B">
        <w:rPr>
          <w:rFonts w:ascii="Times New Roman" w:hAnsi="Times New Roman"/>
          <w:color w:val="000000"/>
          <w:sz w:val="24"/>
          <w:szCs w:val="24"/>
        </w:rPr>
        <w:t xml:space="preserve"> made available through the European Structural and Investment Funds (ESIF). In addition, s</w:t>
      </w:r>
      <w:r w:rsidR="002C5F7B" w:rsidRPr="0042168B">
        <w:rPr>
          <w:rFonts w:ascii="Times New Roman" w:hAnsi="Times New Roman"/>
          <w:color w:val="000000"/>
          <w:sz w:val="24"/>
          <w:szCs w:val="24"/>
        </w:rPr>
        <w:t xml:space="preserve">ustainable </w:t>
      </w:r>
      <w:r w:rsidRPr="0042168B">
        <w:rPr>
          <w:rFonts w:ascii="Times New Roman" w:hAnsi="Times New Roman"/>
          <w:color w:val="000000"/>
          <w:sz w:val="24"/>
          <w:szCs w:val="24"/>
        </w:rPr>
        <w:t xml:space="preserve">energy projects have been among the first </w:t>
      </w:r>
      <w:r w:rsidR="00F532C6" w:rsidRPr="0042168B">
        <w:rPr>
          <w:rFonts w:ascii="Times New Roman" w:hAnsi="Times New Roman"/>
          <w:color w:val="000000"/>
          <w:sz w:val="24"/>
          <w:szCs w:val="24"/>
        </w:rPr>
        <w:t xml:space="preserve">projects </w:t>
      </w:r>
      <w:r w:rsidRPr="0042168B">
        <w:rPr>
          <w:rFonts w:ascii="Times New Roman" w:hAnsi="Times New Roman"/>
          <w:color w:val="000000"/>
          <w:sz w:val="24"/>
          <w:szCs w:val="24"/>
        </w:rPr>
        <w:t>approved for the European Fund for Strategic Investments (EFSI) guarantee, in particular in Denmark, Finland</w:t>
      </w:r>
      <w:r w:rsidR="004711A4" w:rsidRPr="0042168B">
        <w:rPr>
          <w:rFonts w:ascii="Times New Roman" w:hAnsi="Times New Roman"/>
          <w:color w:val="000000"/>
          <w:sz w:val="24"/>
          <w:szCs w:val="24"/>
        </w:rPr>
        <w:t>,</w:t>
      </w:r>
      <w:r w:rsidR="002C5F7B" w:rsidRPr="0042168B">
        <w:rPr>
          <w:rFonts w:ascii="Times New Roman" w:hAnsi="Times New Roman"/>
          <w:color w:val="000000"/>
          <w:sz w:val="24"/>
          <w:szCs w:val="24"/>
        </w:rPr>
        <w:t xml:space="preserve"> </w:t>
      </w:r>
      <w:r w:rsidR="009B0A5C" w:rsidRPr="0042168B">
        <w:rPr>
          <w:rFonts w:ascii="Times New Roman" w:hAnsi="Times New Roman"/>
          <w:color w:val="000000"/>
          <w:sz w:val="24"/>
          <w:szCs w:val="24"/>
        </w:rPr>
        <w:t xml:space="preserve">France, </w:t>
      </w:r>
      <w:r w:rsidRPr="0042168B">
        <w:rPr>
          <w:rFonts w:ascii="Times New Roman" w:hAnsi="Times New Roman"/>
          <w:color w:val="000000"/>
          <w:sz w:val="24"/>
          <w:szCs w:val="24"/>
        </w:rPr>
        <w:t>Spain</w:t>
      </w:r>
      <w:r w:rsidR="004711A4" w:rsidRPr="0042168B">
        <w:rPr>
          <w:rFonts w:ascii="Times New Roman" w:hAnsi="Times New Roman"/>
          <w:color w:val="000000"/>
          <w:sz w:val="24"/>
          <w:szCs w:val="24"/>
        </w:rPr>
        <w:t xml:space="preserve"> and the United Kingdom</w:t>
      </w:r>
      <w:r w:rsidRPr="0042168B">
        <w:rPr>
          <w:rFonts w:ascii="Times New Roman" w:hAnsi="Times New Roman"/>
          <w:color w:val="000000"/>
          <w:sz w:val="24"/>
          <w:szCs w:val="24"/>
        </w:rPr>
        <w:t>.</w:t>
      </w:r>
      <w:r w:rsidRPr="0042168B">
        <w:rPr>
          <w:rFonts w:ascii="Times New Roman" w:hAnsi="Times New Roman"/>
          <w:noProof/>
          <w:color w:val="000000"/>
          <w:sz w:val="24"/>
          <w:szCs w:val="24"/>
        </w:rPr>
        <w:t xml:space="preserve"> </w:t>
      </w:r>
      <w:r w:rsidR="00D153B4" w:rsidRPr="0042168B">
        <w:rPr>
          <w:rFonts w:ascii="Times New Roman" w:hAnsi="Times New Roman"/>
          <w:sz w:val="24"/>
          <w:szCs w:val="24"/>
        </w:rPr>
        <w:t xml:space="preserve"> </w:t>
      </w:r>
    </w:p>
    <w:p w:rsidR="00D153B4" w:rsidRPr="0042168B" w:rsidRDefault="00E25FBD" w:rsidP="00877889">
      <w:pPr>
        <w:pStyle w:val="NormalWeb"/>
        <w:spacing w:before="0" w:beforeAutospacing="0" w:after="240" w:afterAutospacing="0"/>
        <w:jc w:val="both"/>
        <w:textAlignment w:val="top"/>
        <w:rPr>
          <w:color w:val="000000"/>
        </w:rPr>
      </w:pPr>
      <w:r w:rsidRPr="0042168B">
        <w:rPr>
          <w:color w:val="000000"/>
        </w:rPr>
        <w:t xml:space="preserve">In March 2015, the EU submitted a binding domestic economy-wide emissions reduction target of at least 40% by 2030 compared to 1990 levels, based on the Commission's 2030 Energy and Climate Framework. </w:t>
      </w:r>
      <w:r w:rsidR="007230E7" w:rsidRPr="0042168B">
        <w:rPr>
          <w:color w:val="000000"/>
        </w:rPr>
        <w:t>In September 2015, the EU agreed its position for the Paris climate conference (COP21)</w:t>
      </w:r>
      <w:r w:rsidR="00D153B4" w:rsidRPr="0042168B">
        <w:rPr>
          <w:rStyle w:val="FootnoteReference"/>
          <w:color w:val="000000"/>
        </w:rPr>
        <w:footnoteReference w:id="7"/>
      </w:r>
      <w:r w:rsidR="007230E7" w:rsidRPr="0042168B">
        <w:rPr>
          <w:color w:val="000000"/>
        </w:rPr>
        <w:t xml:space="preserve">. It confirmed the EU's readiness to </w:t>
      </w:r>
      <w:r w:rsidR="007230E7" w:rsidRPr="0042168B">
        <w:rPr>
          <w:iCs/>
          <w:color w:val="000000"/>
        </w:rPr>
        <w:t xml:space="preserve">negotiate an ambitious, binding </w:t>
      </w:r>
      <w:r w:rsidR="00D153B4" w:rsidRPr="0042168B">
        <w:rPr>
          <w:iCs/>
          <w:color w:val="000000"/>
        </w:rPr>
        <w:t xml:space="preserve">and transparent </w:t>
      </w:r>
      <w:r w:rsidR="007230E7" w:rsidRPr="0042168B">
        <w:rPr>
          <w:iCs/>
          <w:color w:val="000000"/>
        </w:rPr>
        <w:t xml:space="preserve">global climate deal that </w:t>
      </w:r>
      <w:r w:rsidR="007230E7" w:rsidRPr="0042168B">
        <w:rPr>
          <w:color w:val="000000"/>
        </w:rPr>
        <w:t xml:space="preserve">provides a clearly defined pathway to limit rises in global average temperature to below 2°C. </w:t>
      </w:r>
      <w:r w:rsidR="00972B96" w:rsidRPr="0042168B">
        <w:rPr>
          <w:color w:val="000000"/>
        </w:rPr>
        <w:t xml:space="preserve">At the time of the adoption of this State of the Energy Union, </w:t>
      </w:r>
      <w:r w:rsidR="007230E7" w:rsidRPr="0042168B">
        <w:rPr>
          <w:color w:val="000000"/>
        </w:rPr>
        <w:t xml:space="preserve">more than </w:t>
      </w:r>
      <w:r w:rsidR="00D153B4" w:rsidRPr="0042168B">
        <w:rPr>
          <w:color w:val="000000"/>
        </w:rPr>
        <w:t>1</w:t>
      </w:r>
      <w:r w:rsidR="00F27A08" w:rsidRPr="0042168B">
        <w:rPr>
          <w:color w:val="000000"/>
        </w:rPr>
        <w:t>6</w:t>
      </w:r>
      <w:r w:rsidR="00D153B4" w:rsidRPr="0042168B">
        <w:rPr>
          <w:color w:val="000000"/>
        </w:rPr>
        <w:t>0</w:t>
      </w:r>
      <w:r w:rsidR="007230E7" w:rsidRPr="0042168B">
        <w:rPr>
          <w:color w:val="000000"/>
        </w:rPr>
        <w:t xml:space="preserve"> countries representing </w:t>
      </w:r>
      <w:r w:rsidR="00F27A08" w:rsidRPr="0042168B">
        <w:rPr>
          <w:color w:val="000000"/>
        </w:rPr>
        <w:t xml:space="preserve">more than </w:t>
      </w:r>
      <w:r w:rsidR="00D153B4" w:rsidRPr="0042168B">
        <w:rPr>
          <w:color w:val="000000"/>
        </w:rPr>
        <w:t>90%</w:t>
      </w:r>
      <w:r w:rsidR="007230E7" w:rsidRPr="0042168B">
        <w:rPr>
          <w:color w:val="000000"/>
        </w:rPr>
        <w:t xml:space="preserve"> of current global </w:t>
      </w:r>
      <w:r w:rsidR="007230E7" w:rsidRPr="0042168B">
        <w:rPr>
          <w:color w:val="000000"/>
        </w:rPr>
        <w:lastRenderedPageBreak/>
        <w:t xml:space="preserve">emissions have presented their Intended Nationally Determined Contribution (INDC). </w:t>
      </w:r>
      <w:r w:rsidR="00D153B4" w:rsidRPr="0042168B">
        <w:t>The scale of these contributions is without precedent and will lead to a significant reduction of emissions around the globe</w:t>
      </w:r>
      <w:r w:rsidR="00D153B4" w:rsidRPr="0042168B">
        <w:rPr>
          <w:color w:val="000000"/>
        </w:rPr>
        <w:t>, moving from "action by few" under the Kyoto Protocol to "action by all".</w:t>
      </w:r>
    </w:p>
    <w:p w:rsidR="0092076A" w:rsidRPr="0042168B" w:rsidRDefault="00F532C6" w:rsidP="00877889">
      <w:pPr>
        <w:pStyle w:val="NormalWeb"/>
        <w:spacing w:before="0" w:beforeAutospacing="0" w:after="240" w:afterAutospacing="0"/>
        <w:jc w:val="both"/>
        <w:textAlignment w:val="top"/>
      </w:pPr>
      <w:r w:rsidRPr="0042168B">
        <w:rPr>
          <w:color w:val="000000"/>
        </w:rPr>
        <w:t xml:space="preserve">Reaching </w:t>
      </w:r>
      <w:r w:rsidR="00504180" w:rsidRPr="0042168B">
        <w:rPr>
          <w:color w:val="000000"/>
        </w:rPr>
        <w:t>these</w:t>
      </w:r>
      <w:r w:rsidRPr="0042168B">
        <w:rPr>
          <w:color w:val="000000"/>
        </w:rPr>
        <w:t xml:space="preserve"> targets will require </w:t>
      </w:r>
      <w:r w:rsidR="00504180" w:rsidRPr="0042168B">
        <w:rPr>
          <w:color w:val="000000"/>
        </w:rPr>
        <w:t xml:space="preserve">further </w:t>
      </w:r>
      <w:r w:rsidRPr="0042168B">
        <w:rPr>
          <w:color w:val="000000"/>
        </w:rPr>
        <w:t xml:space="preserve">bold action at the local level. With that goal in mind, </w:t>
      </w:r>
      <w:r w:rsidR="007107D2" w:rsidRPr="0042168B">
        <w:rPr>
          <w:color w:val="000000"/>
        </w:rPr>
        <w:t xml:space="preserve">the Commission </w:t>
      </w:r>
      <w:r w:rsidR="00504180" w:rsidRPr="0042168B">
        <w:rPr>
          <w:color w:val="000000"/>
        </w:rPr>
        <w:t xml:space="preserve">convened on 15 October 2015 the </w:t>
      </w:r>
      <w:r w:rsidR="0092076A" w:rsidRPr="0042168B">
        <w:rPr>
          <w:color w:val="000000"/>
        </w:rPr>
        <w:t>r</w:t>
      </w:r>
      <w:r w:rsidR="0092076A" w:rsidRPr="0042168B">
        <w:t xml:space="preserve">epresentatives from towns and cities </w:t>
      </w:r>
      <w:r w:rsidR="00505C60" w:rsidRPr="0042168B">
        <w:t>to launch</w:t>
      </w:r>
      <w:r w:rsidR="0092076A" w:rsidRPr="0042168B">
        <w:t xml:space="preserve"> a new Covenant of Mayors</w:t>
      </w:r>
      <w:r w:rsidR="00EB38A7" w:rsidRPr="0042168B">
        <w:t xml:space="preserve">, covering both </w:t>
      </w:r>
      <w:r w:rsidR="00504180" w:rsidRPr="0042168B">
        <w:t xml:space="preserve">climate change </w:t>
      </w:r>
      <w:r w:rsidR="00EB38A7" w:rsidRPr="0042168B">
        <w:t xml:space="preserve">mitigation and adaptation </w:t>
      </w:r>
      <w:r w:rsidR="00504180" w:rsidRPr="0042168B">
        <w:t>initiatives</w:t>
      </w:r>
      <w:r w:rsidR="00514AEB" w:rsidRPr="0042168B">
        <w:t>. By launching a Global Covenant of Mayors</w:t>
      </w:r>
      <w:r w:rsidR="00EB38A7" w:rsidRPr="0042168B">
        <w:t xml:space="preserve">, </w:t>
      </w:r>
      <w:r w:rsidR="00514AEB" w:rsidRPr="0042168B">
        <w:t xml:space="preserve">it will </w:t>
      </w:r>
      <w:r w:rsidR="00504180" w:rsidRPr="0042168B">
        <w:t>encourag</w:t>
      </w:r>
      <w:r w:rsidR="00514AEB" w:rsidRPr="0042168B">
        <w:t>e</w:t>
      </w:r>
      <w:r w:rsidR="00504180" w:rsidRPr="0042168B">
        <w:t xml:space="preserve"> action</w:t>
      </w:r>
      <w:r w:rsidR="00EB38A7" w:rsidRPr="0042168B">
        <w:t xml:space="preserve"> by local authorities worldwide</w:t>
      </w:r>
      <w:r w:rsidR="00514AEB" w:rsidRPr="0042168B">
        <w:t>, including in regions not involved so far.</w:t>
      </w:r>
      <w:r w:rsidR="0092076A" w:rsidRPr="0042168B">
        <w:t xml:space="preserve"> </w:t>
      </w:r>
    </w:p>
    <w:p w:rsidR="00EB38A7" w:rsidRPr="0042168B" w:rsidRDefault="00EB38A7" w:rsidP="00877889">
      <w:pPr>
        <w:pStyle w:val="NormalWeb"/>
        <w:spacing w:before="0" w:beforeAutospacing="0" w:after="240" w:afterAutospacing="0"/>
        <w:jc w:val="both"/>
        <w:textAlignment w:val="top"/>
      </w:pPr>
      <w:r w:rsidRPr="0042168B">
        <w:t>More than 4000 businesses will also make commitments to action by the time of COP21. Delivering these commitments on the ground offers significant business opportunities for innovative EU enterprises and will create jobs and growth in the EU. </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Immediately after </w:t>
      </w:r>
      <w:r w:rsidR="001408E7" w:rsidRPr="0042168B">
        <w:rPr>
          <w:rFonts w:ascii="Times New Roman" w:hAnsi="Times New Roman"/>
          <w:sz w:val="24"/>
          <w:szCs w:val="24"/>
        </w:rPr>
        <w:t xml:space="preserve">the </w:t>
      </w:r>
      <w:r w:rsidRPr="0042168B">
        <w:rPr>
          <w:rFonts w:ascii="Times New Roman" w:hAnsi="Times New Roman"/>
          <w:sz w:val="24"/>
          <w:szCs w:val="24"/>
        </w:rPr>
        <w:t>Paris</w:t>
      </w:r>
      <w:r w:rsidR="001408E7" w:rsidRPr="0042168B">
        <w:rPr>
          <w:rFonts w:ascii="Times New Roman" w:hAnsi="Times New Roman"/>
          <w:sz w:val="24"/>
          <w:szCs w:val="24"/>
        </w:rPr>
        <w:t xml:space="preserve"> climate conference</w:t>
      </w:r>
      <w:r w:rsidRPr="0042168B">
        <w:rPr>
          <w:rFonts w:ascii="Times New Roman" w:hAnsi="Times New Roman"/>
          <w:sz w:val="24"/>
          <w:szCs w:val="24"/>
        </w:rPr>
        <w:t xml:space="preserve">, </w:t>
      </w:r>
      <w:r w:rsidR="00F532C6" w:rsidRPr="0042168B">
        <w:rPr>
          <w:rFonts w:ascii="Times New Roman" w:hAnsi="Times New Roman"/>
          <w:sz w:val="24"/>
          <w:szCs w:val="24"/>
        </w:rPr>
        <w:t>a</w:t>
      </w:r>
      <w:r w:rsidRPr="0042168B">
        <w:rPr>
          <w:rFonts w:ascii="Times New Roman" w:hAnsi="Times New Roman"/>
          <w:sz w:val="24"/>
          <w:szCs w:val="24"/>
        </w:rPr>
        <w:t xml:space="preserve">ll countries need to turn their commitments into concrete policy actions. In the first half of 2016, the Commission therefore </w:t>
      </w:r>
      <w:r w:rsidR="006826CE" w:rsidRPr="0042168B">
        <w:rPr>
          <w:rFonts w:ascii="Times New Roman" w:hAnsi="Times New Roman"/>
          <w:sz w:val="24"/>
          <w:szCs w:val="24"/>
        </w:rPr>
        <w:t xml:space="preserve">intends to </w:t>
      </w:r>
      <w:r w:rsidRPr="0042168B">
        <w:rPr>
          <w:rFonts w:ascii="Times New Roman" w:hAnsi="Times New Roman"/>
          <w:sz w:val="24"/>
          <w:szCs w:val="24"/>
        </w:rPr>
        <w:t xml:space="preserve">make proposals on the implementation of the non-ETS emissions reduction target of 30% compared to 2005, by setting national greenhouse gas reduction targets and addressing the integration of the land use, land use change and forestry (LULUCF) sector. </w:t>
      </w:r>
    </w:p>
    <w:p w:rsidR="007107D2"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As about one third of the greenhouse gas emissions in the non-ETS sectors come from transport, the Commission </w:t>
      </w:r>
      <w:r w:rsidR="006826CE" w:rsidRPr="0042168B">
        <w:rPr>
          <w:rFonts w:ascii="Times New Roman" w:hAnsi="Times New Roman"/>
          <w:sz w:val="24"/>
          <w:szCs w:val="24"/>
        </w:rPr>
        <w:t>foresees</w:t>
      </w:r>
      <w:r w:rsidRPr="0042168B">
        <w:rPr>
          <w:rFonts w:ascii="Times New Roman" w:hAnsi="Times New Roman"/>
          <w:sz w:val="24"/>
          <w:szCs w:val="24"/>
        </w:rPr>
        <w:t xml:space="preserve"> a Communication on actions needed to decarbonise </w:t>
      </w:r>
      <w:r w:rsidR="001408E7" w:rsidRPr="0042168B">
        <w:rPr>
          <w:rFonts w:ascii="Times New Roman" w:hAnsi="Times New Roman"/>
          <w:sz w:val="24"/>
          <w:szCs w:val="24"/>
        </w:rPr>
        <w:t xml:space="preserve">all modes of </w:t>
      </w:r>
      <w:r w:rsidRPr="0042168B">
        <w:rPr>
          <w:rFonts w:ascii="Times New Roman" w:hAnsi="Times New Roman"/>
          <w:sz w:val="24"/>
          <w:szCs w:val="24"/>
        </w:rPr>
        <w:t>transport</w:t>
      </w:r>
      <w:r w:rsidR="001408E7" w:rsidRPr="0042168B">
        <w:rPr>
          <w:rFonts w:ascii="Times New Roman" w:hAnsi="Times New Roman"/>
          <w:sz w:val="24"/>
          <w:szCs w:val="24"/>
        </w:rPr>
        <w:t xml:space="preserve">. This </w:t>
      </w:r>
      <w:r w:rsidR="00DC4320" w:rsidRPr="0042168B">
        <w:rPr>
          <w:rFonts w:ascii="Times New Roman" w:hAnsi="Times New Roman"/>
          <w:sz w:val="24"/>
          <w:szCs w:val="24"/>
        </w:rPr>
        <w:t xml:space="preserve">should </w:t>
      </w:r>
      <w:r w:rsidR="00EB38A7" w:rsidRPr="0042168B">
        <w:rPr>
          <w:rFonts w:ascii="Times New Roman" w:hAnsi="Times New Roman"/>
          <w:sz w:val="24"/>
          <w:szCs w:val="24"/>
        </w:rPr>
        <w:t>be followed by proposals</w:t>
      </w:r>
      <w:r w:rsidR="00C23D9D" w:rsidRPr="0042168B">
        <w:rPr>
          <w:rFonts w:ascii="Times New Roman" w:hAnsi="Times New Roman"/>
          <w:sz w:val="24"/>
          <w:szCs w:val="24"/>
        </w:rPr>
        <w:t>,</w:t>
      </w:r>
      <w:r w:rsidR="00EB38A7" w:rsidRPr="0042168B">
        <w:rPr>
          <w:rFonts w:ascii="Times New Roman" w:hAnsi="Times New Roman"/>
          <w:sz w:val="24"/>
          <w:szCs w:val="24"/>
        </w:rPr>
        <w:t xml:space="preserve"> </w:t>
      </w:r>
      <w:r w:rsidR="001746FA" w:rsidRPr="0042168B">
        <w:rPr>
          <w:rFonts w:ascii="Times New Roman" w:hAnsi="Times New Roman"/>
          <w:sz w:val="24"/>
          <w:szCs w:val="24"/>
        </w:rPr>
        <w:t xml:space="preserve">including </w:t>
      </w:r>
      <w:r w:rsidR="00EB38A7" w:rsidRPr="0042168B">
        <w:rPr>
          <w:rFonts w:ascii="Times New Roman" w:hAnsi="Times New Roman"/>
          <w:sz w:val="24"/>
          <w:szCs w:val="24"/>
        </w:rPr>
        <w:t>on CO2 emission standards for cars and vans, on monitoring for heavy duty vehicles</w:t>
      </w:r>
      <w:r w:rsidR="00C23D9D" w:rsidRPr="0042168B">
        <w:rPr>
          <w:rFonts w:ascii="Times New Roman" w:hAnsi="Times New Roman"/>
          <w:sz w:val="24"/>
          <w:szCs w:val="24"/>
        </w:rPr>
        <w:t xml:space="preserve">, on </w:t>
      </w:r>
      <w:r w:rsidR="00DB2144" w:rsidRPr="0042168B">
        <w:rPr>
          <w:rFonts w:ascii="Times New Roman" w:hAnsi="Times New Roman"/>
          <w:sz w:val="24"/>
          <w:szCs w:val="24"/>
        </w:rPr>
        <w:t xml:space="preserve">fair and efficient pricing and </w:t>
      </w:r>
      <w:r w:rsidR="00C23D9D" w:rsidRPr="0042168B">
        <w:rPr>
          <w:rFonts w:ascii="Times New Roman" w:hAnsi="Times New Roman"/>
          <w:sz w:val="24"/>
          <w:szCs w:val="24"/>
        </w:rPr>
        <w:t xml:space="preserve">on </w:t>
      </w:r>
      <w:r w:rsidR="00DB2144" w:rsidRPr="0042168B">
        <w:rPr>
          <w:rFonts w:ascii="Times New Roman" w:hAnsi="Times New Roman"/>
          <w:sz w:val="24"/>
          <w:szCs w:val="24"/>
        </w:rPr>
        <w:t>market access rules for road transport</w:t>
      </w:r>
      <w:r w:rsidR="00EB38A7" w:rsidRPr="0042168B">
        <w:rPr>
          <w:rFonts w:ascii="Times New Roman" w:hAnsi="Times New Roman"/>
          <w:sz w:val="24"/>
          <w:szCs w:val="24"/>
        </w:rPr>
        <w:t xml:space="preserve">. </w:t>
      </w:r>
    </w:p>
    <w:p w:rsidR="001F1AD1" w:rsidRPr="0042168B" w:rsidRDefault="00972B96" w:rsidP="00877889">
      <w:pPr>
        <w:spacing w:after="240" w:line="240" w:lineRule="auto"/>
        <w:jc w:val="both"/>
        <w:rPr>
          <w:rFonts w:ascii="Times New Roman" w:hAnsi="Times New Roman"/>
          <w:sz w:val="24"/>
          <w:szCs w:val="24"/>
        </w:rPr>
      </w:pPr>
      <w:r w:rsidRPr="0042168B">
        <w:rPr>
          <w:rFonts w:ascii="Times New Roman" w:hAnsi="Times New Roman"/>
          <w:sz w:val="24"/>
          <w:szCs w:val="24"/>
        </w:rPr>
        <w:t>E</w:t>
      </w:r>
      <w:r w:rsidR="00427260" w:rsidRPr="0042168B">
        <w:rPr>
          <w:rFonts w:ascii="Times New Roman" w:hAnsi="Times New Roman"/>
          <w:sz w:val="24"/>
          <w:szCs w:val="24"/>
        </w:rPr>
        <w:t xml:space="preserve">ffective enforcement of regulatory standards is </w:t>
      </w:r>
      <w:r w:rsidRPr="0042168B">
        <w:rPr>
          <w:rFonts w:ascii="Times New Roman" w:hAnsi="Times New Roman"/>
          <w:sz w:val="24"/>
          <w:szCs w:val="24"/>
        </w:rPr>
        <w:t>a critical element in bringing down road transport emissions</w:t>
      </w:r>
      <w:r w:rsidR="00427260" w:rsidRPr="0042168B">
        <w:rPr>
          <w:rFonts w:ascii="Times New Roman" w:hAnsi="Times New Roman"/>
          <w:sz w:val="24"/>
          <w:szCs w:val="24"/>
        </w:rPr>
        <w:t xml:space="preserve">. </w:t>
      </w:r>
      <w:r w:rsidR="00E25FBD" w:rsidRPr="0042168B">
        <w:rPr>
          <w:rFonts w:ascii="Times New Roman" w:hAnsi="Times New Roman"/>
          <w:sz w:val="24"/>
          <w:szCs w:val="24"/>
        </w:rPr>
        <w:t>T</w:t>
      </w:r>
      <w:r w:rsidR="00427260" w:rsidRPr="0042168B">
        <w:rPr>
          <w:rFonts w:ascii="Times New Roman" w:hAnsi="Times New Roman"/>
          <w:sz w:val="24"/>
          <w:szCs w:val="24"/>
        </w:rPr>
        <w:t xml:space="preserve">esting </w:t>
      </w:r>
      <w:r w:rsidR="00E25FBD" w:rsidRPr="0042168B">
        <w:rPr>
          <w:rFonts w:ascii="Times New Roman" w:hAnsi="Times New Roman"/>
          <w:sz w:val="24"/>
          <w:szCs w:val="24"/>
        </w:rPr>
        <w:t xml:space="preserve">systems have </w:t>
      </w:r>
      <w:r w:rsidR="00427260" w:rsidRPr="0042168B">
        <w:rPr>
          <w:rFonts w:ascii="Times New Roman" w:hAnsi="Times New Roman"/>
          <w:sz w:val="24"/>
          <w:szCs w:val="24"/>
        </w:rPr>
        <w:t xml:space="preserve">seriously underestimated the emissions of greenhouse gases and certain air pollutants. In this context, the </w:t>
      </w:r>
      <w:r w:rsidRPr="0042168B">
        <w:rPr>
          <w:rFonts w:ascii="Times New Roman" w:hAnsi="Times New Roman"/>
          <w:sz w:val="24"/>
          <w:szCs w:val="24"/>
        </w:rPr>
        <w:t xml:space="preserve">Commission is preparing a proposal to apply the </w:t>
      </w:r>
      <w:r w:rsidR="00427260" w:rsidRPr="0042168B">
        <w:rPr>
          <w:rFonts w:ascii="Times New Roman" w:hAnsi="Times New Roman"/>
          <w:sz w:val="24"/>
          <w:szCs w:val="24"/>
        </w:rPr>
        <w:t xml:space="preserve">World-harmonised Light-duty vehicle Test Procedure (WLTP) </w:t>
      </w:r>
      <w:r w:rsidRPr="0042168B">
        <w:rPr>
          <w:rFonts w:ascii="Times New Roman" w:hAnsi="Times New Roman"/>
          <w:sz w:val="24"/>
          <w:szCs w:val="24"/>
        </w:rPr>
        <w:t>in the EU</w:t>
      </w:r>
      <w:r w:rsidR="00427260" w:rsidRPr="0042168B">
        <w:rPr>
          <w:rFonts w:ascii="Times New Roman" w:hAnsi="Times New Roman"/>
          <w:sz w:val="24"/>
          <w:szCs w:val="24"/>
        </w:rPr>
        <w:t>.</w:t>
      </w:r>
      <w:r w:rsidRPr="0042168B">
        <w:rPr>
          <w:rStyle w:val="FootnoteReference"/>
          <w:rFonts w:ascii="Times New Roman" w:hAnsi="Times New Roman"/>
          <w:sz w:val="24"/>
          <w:szCs w:val="24"/>
        </w:rPr>
        <w:footnoteReference w:id="8"/>
      </w:r>
      <w:r w:rsidR="00427260" w:rsidRPr="0042168B">
        <w:rPr>
          <w:rFonts w:ascii="Times New Roman" w:hAnsi="Times New Roman"/>
          <w:sz w:val="24"/>
          <w:szCs w:val="24"/>
        </w:rPr>
        <w:t xml:space="preserve"> Upon its entry into force in 2017, </w:t>
      </w:r>
      <w:r w:rsidRPr="0042168B">
        <w:rPr>
          <w:rFonts w:ascii="Times New Roman" w:hAnsi="Times New Roman"/>
          <w:sz w:val="24"/>
          <w:szCs w:val="24"/>
        </w:rPr>
        <w:t>it</w:t>
      </w:r>
      <w:r w:rsidR="00427260" w:rsidRPr="0042168B">
        <w:rPr>
          <w:rFonts w:ascii="Times New Roman" w:hAnsi="Times New Roman"/>
          <w:sz w:val="24"/>
          <w:szCs w:val="24"/>
        </w:rPr>
        <w:t xml:space="preserve"> will provide more accurate information on CO2 emissions and fuel consumption. Furthermore, real driving emissions tests for measuring the air pollutant emissions of diesel cars will become mandatory from 2017 onwards to </w:t>
      </w:r>
      <w:r w:rsidR="00EF1731" w:rsidRPr="0042168B">
        <w:rPr>
          <w:rFonts w:ascii="Times New Roman" w:hAnsi="Times New Roman"/>
          <w:sz w:val="24"/>
          <w:szCs w:val="24"/>
        </w:rPr>
        <w:t xml:space="preserve">effectively </w:t>
      </w:r>
      <w:r w:rsidR="00427260" w:rsidRPr="0042168B">
        <w:rPr>
          <w:rFonts w:ascii="Times New Roman" w:hAnsi="Times New Roman"/>
          <w:sz w:val="24"/>
          <w:szCs w:val="24"/>
        </w:rPr>
        <w:t xml:space="preserve">bring down their </w:t>
      </w:r>
      <w:r w:rsidR="001408E7" w:rsidRPr="0042168B">
        <w:rPr>
          <w:rFonts w:ascii="Times New Roman" w:hAnsi="Times New Roman"/>
          <w:sz w:val="24"/>
          <w:szCs w:val="24"/>
        </w:rPr>
        <w:t xml:space="preserve">emissions of </w:t>
      </w:r>
      <w:r w:rsidR="004711A4" w:rsidRPr="0042168B">
        <w:rPr>
          <w:rFonts w:ascii="Times New Roman" w:hAnsi="Times New Roman"/>
          <w:sz w:val="24"/>
          <w:szCs w:val="24"/>
        </w:rPr>
        <w:t>nitrogen oxide</w:t>
      </w:r>
      <w:r w:rsidR="001408E7" w:rsidRPr="0042168B">
        <w:rPr>
          <w:rFonts w:ascii="Times New Roman" w:hAnsi="Times New Roman"/>
          <w:sz w:val="24"/>
          <w:szCs w:val="24"/>
        </w:rPr>
        <w:t>s</w:t>
      </w:r>
      <w:r w:rsidR="004711A4" w:rsidRPr="0042168B">
        <w:rPr>
          <w:rFonts w:ascii="Times New Roman" w:hAnsi="Times New Roman"/>
          <w:sz w:val="24"/>
          <w:szCs w:val="24"/>
        </w:rPr>
        <w:t xml:space="preserve"> (</w:t>
      </w:r>
      <w:r w:rsidR="00427260" w:rsidRPr="0042168B">
        <w:rPr>
          <w:rFonts w:ascii="Times New Roman" w:hAnsi="Times New Roman"/>
          <w:sz w:val="24"/>
          <w:szCs w:val="24"/>
        </w:rPr>
        <w:t>NOx</w:t>
      </w:r>
      <w:r w:rsidR="004711A4" w:rsidRPr="0042168B">
        <w:rPr>
          <w:rFonts w:ascii="Times New Roman" w:hAnsi="Times New Roman"/>
          <w:sz w:val="24"/>
          <w:szCs w:val="24"/>
        </w:rPr>
        <w:t>)</w:t>
      </w:r>
      <w:r w:rsidR="00EF1731" w:rsidRPr="0042168B">
        <w:rPr>
          <w:rFonts w:ascii="Times New Roman" w:hAnsi="Times New Roman"/>
          <w:sz w:val="24"/>
          <w:szCs w:val="24"/>
        </w:rPr>
        <w:t>.</w:t>
      </w:r>
      <w:r w:rsidR="00EF1731" w:rsidRPr="0042168B">
        <w:rPr>
          <w:rStyle w:val="FootnoteReference"/>
          <w:rFonts w:ascii="Times New Roman" w:hAnsi="Times New Roman"/>
          <w:sz w:val="24"/>
          <w:szCs w:val="24"/>
        </w:rPr>
        <w:footnoteReference w:id="9"/>
      </w:r>
      <w:r w:rsidR="00427260" w:rsidRPr="0042168B">
        <w:rPr>
          <w:rFonts w:ascii="Times New Roman" w:hAnsi="Times New Roman"/>
          <w:sz w:val="24"/>
          <w:szCs w:val="24"/>
        </w:rPr>
        <w:t>.</w:t>
      </w:r>
      <w:r w:rsidR="004711A4" w:rsidRPr="0042168B">
        <w:rPr>
          <w:rFonts w:ascii="Times New Roman" w:hAnsi="Times New Roman"/>
          <w:sz w:val="24"/>
          <w:szCs w:val="24"/>
        </w:rPr>
        <w:t xml:space="preserve"> Furthermore, the Commission is preparing proposals to strengthen the type approval and market surveillance system and reinforce the independence of vehicle testing.</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new Renewable Energy Directive and the bioenergy sustainability policy for 2030, to be presented in 2016, </w:t>
      </w:r>
      <w:r w:rsidR="006826CE" w:rsidRPr="0042168B">
        <w:rPr>
          <w:rFonts w:ascii="Times New Roman" w:hAnsi="Times New Roman"/>
          <w:sz w:val="24"/>
          <w:szCs w:val="24"/>
        </w:rPr>
        <w:t xml:space="preserve">should </w:t>
      </w:r>
      <w:r w:rsidRPr="0042168B">
        <w:rPr>
          <w:rFonts w:ascii="Times New Roman" w:hAnsi="Times New Roman"/>
          <w:sz w:val="24"/>
          <w:szCs w:val="24"/>
        </w:rPr>
        <w:t xml:space="preserve">provide the right framework to achieve the binding EU-level target of at least 27% renewable energy by 2030. It will lay out EU policies and measures that </w:t>
      </w:r>
      <w:r w:rsidR="006826CE" w:rsidRPr="0042168B">
        <w:rPr>
          <w:rFonts w:ascii="Times New Roman" w:hAnsi="Times New Roman"/>
          <w:sz w:val="24"/>
          <w:szCs w:val="24"/>
        </w:rPr>
        <w:t>should</w:t>
      </w:r>
      <w:r w:rsidRPr="0042168B">
        <w:rPr>
          <w:rFonts w:ascii="Times New Roman" w:hAnsi="Times New Roman"/>
          <w:sz w:val="24"/>
          <w:szCs w:val="24"/>
        </w:rPr>
        <w:t>, together with Member States' contributions</w:t>
      </w:r>
      <w:r w:rsidR="002E7CB6" w:rsidRPr="0042168B">
        <w:rPr>
          <w:rFonts w:ascii="Times New Roman" w:hAnsi="Times New Roman"/>
          <w:sz w:val="24"/>
          <w:szCs w:val="24"/>
        </w:rPr>
        <w:t xml:space="preserve"> described in their national energy and </w:t>
      </w:r>
      <w:r w:rsidR="002E7CB6" w:rsidRPr="0042168B">
        <w:rPr>
          <w:rFonts w:ascii="Times New Roman" w:hAnsi="Times New Roman"/>
          <w:sz w:val="24"/>
          <w:szCs w:val="24"/>
        </w:rPr>
        <w:lastRenderedPageBreak/>
        <w:t>climate plans</w:t>
      </w:r>
      <w:r w:rsidRPr="0042168B">
        <w:rPr>
          <w:rFonts w:ascii="Times New Roman" w:hAnsi="Times New Roman"/>
          <w:sz w:val="24"/>
          <w:szCs w:val="24"/>
        </w:rPr>
        <w:t xml:space="preserve">, </w:t>
      </w:r>
      <w:r w:rsidR="005F39D6" w:rsidRPr="0042168B">
        <w:rPr>
          <w:rFonts w:ascii="Times New Roman" w:hAnsi="Times New Roman"/>
          <w:sz w:val="24"/>
          <w:szCs w:val="24"/>
        </w:rPr>
        <w:t xml:space="preserve">make sure that </w:t>
      </w:r>
      <w:r w:rsidRPr="0042168B">
        <w:rPr>
          <w:rFonts w:ascii="Times New Roman" w:hAnsi="Times New Roman"/>
          <w:sz w:val="24"/>
          <w:szCs w:val="24"/>
        </w:rPr>
        <w:t>that target</w:t>
      </w:r>
      <w:r w:rsidR="005F39D6" w:rsidRPr="0042168B">
        <w:rPr>
          <w:rFonts w:ascii="Times New Roman" w:hAnsi="Times New Roman"/>
          <w:sz w:val="24"/>
          <w:szCs w:val="24"/>
        </w:rPr>
        <w:t xml:space="preserve"> will be achieved</w:t>
      </w:r>
      <w:r w:rsidRPr="0042168B">
        <w:rPr>
          <w:rFonts w:ascii="Times New Roman" w:hAnsi="Times New Roman"/>
          <w:sz w:val="24"/>
          <w:szCs w:val="24"/>
        </w:rPr>
        <w:t xml:space="preserve">. </w:t>
      </w:r>
      <w:r w:rsidR="003A6B9A" w:rsidRPr="0042168B">
        <w:rPr>
          <w:rFonts w:ascii="Times New Roman" w:hAnsi="Times New Roman"/>
          <w:sz w:val="24"/>
          <w:szCs w:val="24"/>
        </w:rPr>
        <w:t>To put the right decarbonisation incentives in place, we will also push for a phase-out of fossil fuel subsidies.</w:t>
      </w:r>
    </w:p>
    <w:p w:rsidR="008D1FEB" w:rsidRPr="0042168B" w:rsidRDefault="00EB38A7" w:rsidP="00072ED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sidRPr="0042168B">
        <w:rPr>
          <w:rFonts w:ascii="Times New Roman" w:hAnsi="Times New Roman"/>
          <w:i/>
          <w:sz w:val="24"/>
          <w:szCs w:val="24"/>
        </w:rPr>
        <w:t>Policy conclusions at Member State, regional and EU levels</w:t>
      </w:r>
      <w:r w:rsidR="008D1FEB" w:rsidRPr="0042168B">
        <w:rPr>
          <w:rFonts w:ascii="Times New Roman" w:hAnsi="Times New Roman"/>
          <w:i/>
          <w:sz w:val="24"/>
          <w:szCs w:val="24"/>
        </w:rPr>
        <w:t>:</w:t>
      </w:r>
    </w:p>
    <w:p w:rsidR="0054773C" w:rsidRPr="0042168B" w:rsidRDefault="0054773C" w:rsidP="00072EDE">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 xml:space="preserve">The EU is on track </w:t>
      </w:r>
      <w:r w:rsidR="004419B1" w:rsidRPr="0042168B">
        <w:rPr>
          <w:rFonts w:ascii="Times New Roman" w:hAnsi="Times New Roman"/>
          <w:i/>
          <w:sz w:val="24"/>
          <w:szCs w:val="24"/>
        </w:rPr>
        <w:t>towards meeting</w:t>
      </w:r>
      <w:r w:rsidRPr="0042168B">
        <w:rPr>
          <w:rFonts w:ascii="Times New Roman" w:hAnsi="Times New Roman"/>
          <w:i/>
          <w:sz w:val="24"/>
          <w:szCs w:val="24"/>
        </w:rPr>
        <w:t xml:space="preserve"> its EU 2020 targets in greenhouse gas emissions (i.e. -20% </w:t>
      </w:r>
      <w:r w:rsidR="005419C2" w:rsidRPr="0042168B">
        <w:rPr>
          <w:rFonts w:ascii="Times New Roman" w:hAnsi="Times New Roman"/>
          <w:i/>
          <w:sz w:val="24"/>
          <w:szCs w:val="24"/>
        </w:rPr>
        <w:t xml:space="preserve">by </w:t>
      </w:r>
      <w:r w:rsidRPr="0042168B">
        <w:rPr>
          <w:rFonts w:ascii="Times New Roman" w:hAnsi="Times New Roman"/>
          <w:i/>
          <w:sz w:val="24"/>
          <w:szCs w:val="24"/>
        </w:rPr>
        <w:t xml:space="preserve">2020 compared to 1990). EU emissions were in 2014 23% below 1990 level and, according to the latest projections submitted by the Member States, emissions are expected to be 24% lower in 2020 than in 1990. </w:t>
      </w:r>
    </w:p>
    <w:p w:rsidR="00F532C6" w:rsidRPr="0042168B" w:rsidRDefault="0054773C" w:rsidP="00072EDE">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noProof/>
          <w:sz w:val="24"/>
          <w:szCs w:val="24"/>
        </w:rPr>
        <w:t xml:space="preserve">24 Member States are expected to meet their EU 2020 national target in the non-ETS with existing policies and measures. </w:t>
      </w:r>
      <w:r w:rsidR="003A6B9A" w:rsidRPr="0042168B">
        <w:rPr>
          <w:rFonts w:ascii="Times New Roman" w:hAnsi="Times New Roman"/>
          <w:i/>
          <w:noProof/>
          <w:sz w:val="24"/>
          <w:szCs w:val="24"/>
        </w:rPr>
        <w:t>F</w:t>
      </w:r>
      <w:r w:rsidR="002807D3" w:rsidRPr="0042168B">
        <w:rPr>
          <w:rFonts w:ascii="Times New Roman" w:hAnsi="Times New Roman"/>
          <w:i/>
          <w:noProof/>
          <w:sz w:val="24"/>
          <w:szCs w:val="24"/>
        </w:rPr>
        <w:t>our Member States (</w:t>
      </w:r>
      <w:r w:rsidRPr="0042168B">
        <w:rPr>
          <w:rFonts w:ascii="Times New Roman" w:hAnsi="Times New Roman"/>
          <w:i/>
          <w:noProof/>
          <w:sz w:val="24"/>
          <w:szCs w:val="24"/>
        </w:rPr>
        <w:t>Ireland, Luxembourg, Belgium and Austria</w:t>
      </w:r>
      <w:r w:rsidR="002807D3" w:rsidRPr="0042168B">
        <w:rPr>
          <w:rFonts w:ascii="Times New Roman" w:hAnsi="Times New Roman"/>
          <w:i/>
          <w:noProof/>
          <w:sz w:val="24"/>
          <w:szCs w:val="24"/>
        </w:rPr>
        <w:t>)</w:t>
      </w:r>
      <w:r w:rsidRPr="0042168B">
        <w:rPr>
          <w:rFonts w:ascii="Times New Roman" w:hAnsi="Times New Roman"/>
          <w:i/>
          <w:noProof/>
          <w:sz w:val="24"/>
          <w:szCs w:val="24"/>
        </w:rPr>
        <w:t xml:space="preserve"> will need additional efforts to meet domestically their 2020 targets for the non-ETS sectors or make use of the existing flexibilities foreseen in the Effort Sharing Decision</w:t>
      </w:r>
      <w:r w:rsidR="00EB38A7" w:rsidRPr="0042168B">
        <w:rPr>
          <w:rStyle w:val="FootnoteReference"/>
          <w:rFonts w:ascii="Times New Roman" w:hAnsi="Times New Roman"/>
          <w:i/>
          <w:noProof/>
          <w:sz w:val="24"/>
          <w:szCs w:val="24"/>
        </w:rPr>
        <w:footnoteReference w:id="10"/>
      </w:r>
      <w:r w:rsidRPr="0042168B">
        <w:rPr>
          <w:rFonts w:ascii="Times New Roman" w:hAnsi="Times New Roman"/>
          <w:i/>
          <w:noProof/>
          <w:sz w:val="24"/>
          <w:szCs w:val="24"/>
        </w:rPr>
        <w:t>.</w:t>
      </w:r>
      <w:r w:rsidR="00F532C6" w:rsidRPr="0042168B">
        <w:rPr>
          <w:rFonts w:ascii="Times New Roman" w:hAnsi="Times New Roman"/>
          <w:i/>
          <w:noProof/>
          <w:sz w:val="24"/>
          <w:szCs w:val="24"/>
        </w:rPr>
        <w:t xml:space="preserve"> </w:t>
      </w:r>
    </w:p>
    <w:p w:rsidR="0054773C" w:rsidRPr="0042168B" w:rsidRDefault="00F532C6" w:rsidP="00072EDE">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W</w:t>
      </w:r>
      <w:r w:rsidR="0054773C" w:rsidRPr="0042168B">
        <w:rPr>
          <w:rFonts w:ascii="Times New Roman" w:hAnsi="Times New Roman"/>
          <w:i/>
          <w:sz w:val="24"/>
          <w:szCs w:val="24"/>
        </w:rPr>
        <w:t>ith regard to renewable energy, the EU as such is on track to meet the 2020 target. All but three Member States (Luxemb</w:t>
      </w:r>
      <w:r w:rsidR="002807D3" w:rsidRPr="0042168B">
        <w:rPr>
          <w:rFonts w:ascii="Times New Roman" w:hAnsi="Times New Roman"/>
          <w:i/>
          <w:sz w:val="24"/>
          <w:szCs w:val="24"/>
        </w:rPr>
        <w:t>o</w:t>
      </w:r>
      <w:r w:rsidR="0054773C" w:rsidRPr="0042168B">
        <w:rPr>
          <w:rFonts w:ascii="Times New Roman" w:hAnsi="Times New Roman"/>
          <w:i/>
          <w:sz w:val="24"/>
          <w:szCs w:val="24"/>
        </w:rPr>
        <w:t>urg, the Netherlands and the United Kingdom) met their 2013</w:t>
      </w:r>
      <w:r w:rsidR="00504180" w:rsidRPr="0042168B">
        <w:rPr>
          <w:rFonts w:ascii="Times New Roman" w:hAnsi="Times New Roman"/>
          <w:i/>
          <w:sz w:val="24"/>
          <w:szCs w:val="24"/>
        </w:rPr>
        <w:t>/14</w:t>
      </w:r>
      <w:r w:rsidR="0054773C" w:rsidRPr="0042168B">
        <w:rPr>
          <w:rFonts w:ascii="Times New Roman" w:hAnsi="Times New Roman"/>
          <w:i/>
          <w:sz w:val="24"/>
          <w:szCs w:val="24"/>
        </w:rPr>
        <w:t xml:space="preserve"> interim target</w:t>
      </w:r>
      <w:r w:rsidR="00504180" w:rsidRPr="0042168B">
        <w:rPr>
          <w:rFonts w:ascii="Times New Roman" w:hAnsi="Times New Roman"/>
          <w:i/>
          <w:sz w:val="24"/>
          <w:szCs w:val="24"/>
        </w:rPr>
        <w:t xml:space="preserve"> based on 2013 data</w:t>
      </w:r>
      <w:r w:rsidR="0054773C" w:rsidRPr="0042168B">
        <w:rPr>
          <w:rFonts w:ascii="Times New Roman" w:hAnsi="Times New Roman"/>
          <w:i/>
          <w:sz w:val="24"/>
          <w:szCs w:val="24"/>
        </w:rPr>
        <w:t>.</w:t>
      </w:r>
      <w:r w:rsidR="00504180" w:rsidRPr="0042168B">
        <w:rPr>
          <w:rStyle w:val="FootnoteReference"/>
          <w:rFonts w:ascii="Times New Roman" w:hAnsi="Times New Roman"/>
          <w:i/>
          <w:sz w:val="24"/>
          <w:szCs w:val="24"/>
        </w:rPr>
        <w:footnoteReference w:id="11"/>
      </w:r>
      <w:r w:rsidR="0054773C" w:rsidRPr="0042168B">
        <w:rPr>
          <w:rFonts w:ascii="Times New Roman" w:hAnsi="Times New Roman"/>
          <w:i/>
          <w:sz w:val="24"/>
          <w:szCs w:val="24"/>
        </w:rPr>
        <w:t xml:space="preserve"> </w:t>
      </w:r>
      <w:r w:rsidR="001408E7" w:rsidRPr="0042168B">
        <w:rPr>
          <w:rFonts w:ascii="Times New Roman" w:hAnsi="Times New Roman"/>
          <w:i/>
          <w:sz w:val="24"/>
          <w:szCs w:val="24"/>
        </w:rPr>
        <w:t>S</w:t>
      </w:r>
      <w:r w:rsidR="0054773C" w:rsidRPr="0042168B">
        <w:rPr>
          <w:rFonts w:ascii="Times New Roman" w:hAnsi="Times New Roman"/>
          <w:i/>
          <w:sz w:val="24"/>
          <w:szCs w:val="24"/>
        </w:rPr>
        <w:t xml:space="preserve">ome Member States, </w:t>
      </w:r>
      <w:r w:rsidR="00DC4320" w:rsidRPr="0042168B">
        <w:rPr>
          <w:rFonts w:ascii="Times New Roman" w:hAnsi="Times New Roman"/>
          <w:i/>
          <w:sz w:val="24"/>
          <w:szCs w:val="24"/>
        </w:rPr>
        <w:t>i.e.</w:t>
      </w:r>
      <w:r w:rsidR="003A6B9A" w:rsidRPr="0042168B">
        <w:rPr>
          <w:rFonts w:ascii="Times New Roman" w:hAnsi="Times New Roman"/>
          <w:i/>
          <w:sz w:val="24"/>
          <w:szCs w:val="24"/>
        </w:rPr>
        <w:t xml:space="preserve"> </w:t>
      </w:r>
      <w:r w:rsidR="0054773C" w:rsidRPr="0042168B">
        <w:rPr>
          <w:rFonts w:ascii="Times New Roman" w:hAnsi="Times New Roman"/>
          <w:i/>
          <w:sz w:val="24"/>
          <w:szCs w:val="24"/>
        </w:rPr>
        <w:t>France, Luxembourg, Malta, the Netherlands and the United Kingdom and to a lesser extent Belgium and Spain</w:t>
      </w:r>
      <w:r w:rsidR="005419C2" w:rsidRPr="0042168B">
        <w:rPr>
          <w:rFonts w:ascii="Times New Roman" w:hAnsi="Times New Roman"/>
          <w:i/>
          <w:sz w:val="24"/>
          <w:szCs w:val="24"/>
        </w:rPr>
        <w:t>,</w:t>
      </w:r>
      <w:r w:rsidR="0054773C" w:rsidRPr="0042168B">
        <w:rPr>
          <w:rFonts w:ascii="Times New Roman" w:hAnsi="Times New Roman"/>
          <w:i/>
          <w:sz w:val="24"/>
          <w:szCs w:val="24"/>
        </w:rPr>
        <w:t xml:space="preserve"> need to assess whether their policies and tools are sufficient and effective in meeting their renewable energy objectives. Achievement of the 2020 renewable energy targets is also not certain in the case of Hungary and Poland.</w:t>
      </w:r>
      <w:r w:rsidR="002621EA" w:rsidRPr="0042168B">
        <w:rPr>
          <w:rFonts w:ascii="Times New Roman" w:hAnsi="Times New Roman"/>
          <w:i/>
          <w:sz w:val="24"/>
          <w:szCs w:val="24"/>
        </w:rPr>
        <w:t xml:space="preserve"> </w:t>
      </w:r>
      <w:r w:rsidR="00E363C1" w:rsidRPr="0042168B">
        <w:rPr>
          <w:rFonts w:ascii="Times New Roman" w:hAnsi="Times New Roman"/>
          <w:i/>
          <w:sz w:val="24"/>
          <w:szCs w:val="24"/>
        </w:rPr>
        <w:t>The other</w:t>
      </w:r>
      <w:r w:rsidR="001408E7" w:rsidRPr="0042168B">
        <w:rPr>
          <w:rFonts w:ascii="Times New Roman" w:hAnsi="Times New Roman"/>
          <w:i/>
          <w:sz w:val="24"/>
          <w:szCs w:val="24"/>
        </w:rPr>
        <w:t xml:space="preserve"> nineteen Member States may exceed – some even considerably – their 2020 renewable energy targets. </w:t>
      </w:r>
      <w:r w:rsidR="002621EA" w:rsidRPr="0042168B">
        <w:rPr>
          <w:rFonts w:ascii="Times New Roman" w:hAnsi="Times New Roman"/>
          <w:i/>
          <w:sz w:val="24"/>
          <w:szCs w:val="24"/>
        </w:rPr>
        <w:t>The increasing share of renewable energy helps to enhance Europe's energy security.</w:t>
      </w:r>
    </w:p>
    <w:p w:rsidR="0054773C" w:rsidRPr="0042168B" w:rsidRDefault="0054773C" w:rsidP="00072EDE">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 xml:space="preserve">Moreover, further efforts are needed in the vast majority of Member States to ensure that renewable energy is better integrated into the market and to ensure consistency between support schemes and the functioning of </w:t>
      </w:r>
      <w:r w:rsidR="005419C2" w:rsidRPr="0042168B">
        <w:rPr>
          <w:rFonts w:ascii="Times New Roman" w:hAnsi="Times New Roman"/>
          <w:i/>
          <w:sz w:val="24"/>
          <w:szCs w:val="24"/>
        </w:rPr>
        <w:t xml:space="preserve">the </w:t>
      </w:r>
      <w:r w:rsidRPr="0042168B">
        <w:rPr>
          <w:rFonts w:ascii="Times New Roman" w:hAnsi="Times New Roman"/>
          <w:i/>
          <w:sz w:val="24"/>
          <w:szCs w:val="24"/>
        </w:rPr>
        <w:t>electricity markets in particular. All Member States must ensure that the new State Aid Guidelines for environment and energy</w:t>
      </w:r>
      <w:r w:rsidR="00F532C6" w:rsidRPr="0042168B">
        <w:rPr>
          <w:rFonts w:ascii="Times New Roman" w:hAnsi="Times New Roman"/>
          <w:i/>
          <w:sz w:val="24"/>
          <w:szCs w:val="24"/>
        </w:rPr>
        <w:t xml:space="preserve"> </w:t>
      </w:r>
      <w:r w:rsidRPr="0042168B">
        <w:rPr>
          <w:rFonts w:ascii="Times New Roman" w:hAnsi="Times New Roman"/>
          <w:i/>
          <w:sz w:val="24"/>
          <w:szCs w:val="24"/>
        </w:rPr>
        <w:t xml:space="preserve">are respected, </w:t>
      </w:r>
      <w:r w:rsidR="002D09BC" w:rsidRPr="0042168B">
        <w:rPr>
          <w:rFonts w:ascii="Times New Roman" w:hAnsi="Times New Roman"/>
          <w:i/>
          <w:sz w:val="24"/>
          <w:szCs w:val="24"/>
        </w:rPr>
        <w:t xml:space="preserve">including </w:t>
      </w:r>
      <w:r w:rsidRPr="0042168B">
        <w:rPr>
          <w:rFonts w:ascii="Times New Roman" w:hAnsi="Times New Roman"/>
          <w:i/>
          <w:sz w:val="24"/>
          <w:szCs w:val="24"/>
        </w:rPr>
        <w:t>the basic requirement to grant aid in a competitive bidding process on the basis of clear, transparent and non-discriminatory criteria</w:t>
      </w:r>
      <w:r w:rsidR="007253EB" w:rsidRPr="0042168B">
        <w:rPr>
          <w:rFonts w:ascii="Times New Roman" w:hAnsi="Times New Roman"/>
          <w:i/>
          <w:sz w:val="24"/>
          <w:szCs w:val="24"/>
        </w:rPr>
        <w:t xml:space="preserve"> and to bring renewables closer to the market</w:t>
      </w:r>
      <w:r w:rsidRPr="0042168B">
        <w:rPr>
          <w:rFonts w:ascii="Times New Roman" w:hAnsi="Times New Roman"/>
          <w:i/>
          <w:sz w:val="24"/>
          <w:szCs w:val="24"/>
        </w:rPr>
        <w:t>.</w:t>
      </w:r>
    </w:p>
    <w:p w:rsidR="0054773C" w:rsidRPr="0042168B" w:rsidRDefault="0054773C" w:rsidP="00072EDE">
      <w:pPr>
        <w:pStyle w:val="ListParagraph"/>
        <w:numPr>
          <w:ilvl w:val="0"/>
          <w:numId w:val="2"/>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New Roman" w:hAnsi="Times New Roman"/>
          <w:sz w:val="24"/>
          <w:szCs w:val="24"/>
        </w:rPr>
      </w:pPr>
      <w:r w:rsidRPr="0042168B">
        <w:rPr>
          <w:rFonts w:ascii="Times New Roman" w:hAnsi="Times New Roman"/>
          <w:i/>
          <w:sz w:val="24"/>
          <w:szCs w:val="24"/>
        </w:rPr>
        <w:t xml:space="preserve">Sweden is the only Member State that so far has engaged in a </w:t>
      </w:r>
      <w:r w:rsidR="0019382F" w:rsidRPr="0042168B">
        <w:rPr>
          <w:rFonts w:ascii="Times New Roman" w:hAnsi="Times New Roman"/>
          <w:i/>
          <w:sz w:val="24"/>
          <w:szCs w:val="24"/>
        </w:rPr>
        <w:t xml:space="preserve">renewable energy </w:t>
      </w:r>
      <w:r w:rsidRPr="0042168B">
        <w:rPr>
          <w:rFonts w:ascii="Times New Roman" w:hAnsi="Times New Roman"/>
          <w:i/>
          <w:sz w:val="24"/>
          <w:szCs w:val="24"/>
        </w:rPr>
        <w:t xml:space="preserve">cooperation mechanism with another country (Norway). The enhancement of the scope of regional fora such as </w:t>
      </w:r>
      <w:r w:rsidR="000D3DD8" w:rsidRPr="0042168B">
        <w:rPr>
          <w:rFonts w:ascii="Times New Roman" w:hAnsi="Times New Roman"/>
          <w:i/>
          <w:sz w:val="24"/>
          <w:szCs w:val="24"/>
        </w:rPr>
        <w:t>the Baltic Energy Market Interconnection Plan (</w:t>
      </w:r>
      <w:r w:rsidRPr="0042168B">
        <w:rPr>
          <w:rFonts w:ascii="Times New Roman" w:hAnsi="Times New Roman"/>
          <w:i/>
          <w:sz w:val="24"/>
          <w:szCs w:val="24"/>
        </w:rPr>
        <w:t>BEMIP</w:t>
      </w:r>
      <w:r w:rsidR="000D3DD8" w:rsidRPr="0042168B">
        <w:rPr>
          <w:rFonts w:ascii="Times New Roman" w:hAnsi="Times New Roman"/>
          <w:i/>
          <w:sz w:val="24"/>
          <w:szCs w:val="24"/>
        </w:rPr>
        <w:t>)</w:t>
      </w:r>
      <w:r w:rsidRPr="0042168B">
        <w:rPr>
          <w:rFonts w:ascii="Times New Roman" w:hAnsi="Times New Roman"/>
          <w:i/>
          <w:sz w:val="24"/>
          <w:szCs w:val="24"/>
        </w:rPr>
        <w:t xml:space="preserve"> to include </w:t>
      </w:r>
      <w:r w:rsidR="007253EB" w:rsidRPr="0042168B">
        <w:rPr>
          <w:rFonts w:ascii="Times New Roman" w:hAnsi="Times New Roman"/>
          <w:i/>
          <w:sz w:val="24"/>
          <w:szCs w:val="24"/>
        </w:rPr>
        <w:t xml:space="preserve">Member State cooperation on </w:t>
      </w:r>
      <w:r w:rsidRPr="0042168B">
        <w:rPr>
          <w:rFonts w:ascii="Times New Roman" w:hAnsi="Times New Roman"/>
          <w:i/>
          <w:sz w:val="24"/>
          <w:szCs w:val="24"/>
        </w:rPr>
        <w:t xml:space="preserve">renewable energy is encouraging. More such </w:t>
      </w:r>
      <w:r w:rsidR="00972B96" w:rsidRPr="0042168B">
        <w:rPr>
          <w:rFonts w:ascii="Times New Roman" w:hAnsi="Times New Roman"/>
          <w:i/>
          <w:sz w:val="24"/>
          <w:szCs w:val="24"/>
        </w:rPr>
        <w:t xml:space="preserve">regional </w:t>
      </w:r>
      <w:r w:rsidRPr="0042168B">
        <w:rPr>
          <w:rFonts w:ascii="Times New Roman" w:hAnsi="Times New Roman"/>
          <w:i/>
          <w:sz w:val="24"/>
          <w:szCs w:val="24"/>
        </w:rPr>
        <w:t>initiatives are needed e.g. with regard to the Northern Seas and Mediterranean region.</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3.</w:t>
      </w:r>
      <w:r w:rsidRPr="0042168B">
        <w:rPr>
          <w:rFonts w:ascii="Times New Roman" w:hAnsi="Times New Roman"/>
          <w:b/>
          <w:smallCaps/>
          <w:sz w:val="24"/>
          <w:szCs w:val="24"/>
        </w:rPr>
        <w:tab/>
        <w:t xml:space="preserve">Energy efficiency as a contribution to the moderation of energy demand </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Progress made</w:t>
      </w:r>
    </w:p>
    <w:p w:rsidR="007230E7" w:rsidRPr="0042168B" w:rsidRDefault="007107D2"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To reach </w:t>
      </w:r>
      <w:r w:rsidR="00D25F80" w:rsidRPr="0042168B">
        <w:rPr>
          <w:rFonts w:ascii="Times New Roman" w:hAnsi="Times New Roman"/>
          <w:sz w:val="24"/>
          <w:szCs w:val="24"/>
        </w:rPr>
        <w:t>an ambitious level of</w:t>
      </w:r>
      <w:r w:rsidRPr="0042168B">
        <w:rPr>
          <w:rFonts w:ascii="Times New Roman" w:hAnsi="Times New Roman"/>
          <w:sz w:val="24"/>
          <w:szCs w:val="24"/>
        </w:rPr>
        <w:t xml:space="preserve"> energy </w:t>
      </w:r>
      <w:r w:rsidR="00DB2144" w:rsidRPr="0042168B">
        <w:rPr>
          <w:rFonts w:ascii="Times New Roman" w:hAnsi="Times New Roman"/>
          <w:sz w:val="24"/>
          <w:szCs w:val="24"/>
        </w:rPr>
        <w:t>efficiency</w:t>
      </w:r>
      <w:r w:rsidR="00D25F80" w:rsidRPr="0042168B">
        <w:rPr>
          <w:rFonts w:ascii="Times New Roman" w:hAnsi="Times New Roman"/>
          <w:sz w:val="24"/>
          <w:szCs w:val="24"/>
        </w:rPr>
        <w:t xml:space="preserve"> by 2030</w:t>
      </w:r>
      <w:r w:rsidRPr="0042168B">
        <w:rPr>
          <w:rFonts w:ascii="Times New Roman" w:hAnsi="Times New Roman"/>
          <w:sz w:val="24"/>
          <w:szCs w:val="24"/>
        </w:rPr>
        <w:t xml:space="preserve">, </w:t>
      </w:r>
      <w:r w:rsidR="007230E7" w:rsidRPr="0042168B">
        <w:rPr>
          <w:rFonts w:ascii="Times New Roman" w:hAnsi="Times New Roman"/>
          <w:sz w:val="24"/>
          <w:szCs w:val="24"/>
        </w:rPr>
        <w:t>the Commission has started to put in place tools and instruments</w:t>
      </w:r>
      <w:r w:rsidR="009460C9" w:rsidRPr="0042168B">
        <w:rPr>
          <w:rFonts w:ascii="Times New Roman" w:hAnsi="Times New Roman"/>
          <w:sz w:val="24"/>
          <w:szCs w:val="24"/>
        </w:rPr>
        <w:t xml:space="preserve"> treating energy efficiency as a source in its own right</w:t>
      </w:r>
      <w:r w:rsidRPr="0042168B">
        <w:rPr>
          <w:rFonts w:ascii="Times New Roman" w:hAnsi="Times New Roman"/>
          <w:sz w:val="24"/>
          <w:szCs w:val="24"/>
        </w:rPr>
        <w:t>.</w:t>
      </w:r>
      <w:r w:rsidR="009460C9" w:rsidRPr="0042168B">
        <w:rPr>
          <w:rFonts w:ascii="Times New Roman" w:hAnsi="Times New Roman"/>
          <w:sz w:val="24"/>
          <w:szCs w:val="24"/>
        </w:rPr>
        <w:t xml:space="preserve"> </w:t>
      </w:r>
      <w:r w:rsidR="007230E7" w:rsidRPr="0042168B">
        <w:rPr>
          <w:rFonts w:ascii="Times New Roman" w:hAnsi="Times New Roman"/>
          <w:sz w:val="24"/>
          <w:szCs w:val="24"/>
        </w:rPr>
        <w:t xml:space="preserve">As a first </w:t>
      </w:r>
      <w:r w:rsidR="007230E7" w:rsidRPr="0042168B">
        <w:rPr>
          <w:rFonts w:ascii="Times New Roman" w:hAnsi="Times New Roman"/>
          <w:sz w:val="24"/>
          <w:szCs w:val="24"/>
        </w:rPr>
        <w:lastRenderedPageBreak/>
        <w:t>step</w:t>
      </w:r>
      <w:r w:rsidR="00EC06A6" w:rsidRPr="0042168B">
        <w:rPr>
          <w:rFonts w:ascii="Times New Roman" w:hAnsi="Times New Roman"/>
          <w:sz w:val="24"/>
          <w:szCs w:val="24"/>
        </w:rPr>
        <w:t>, in July 2015</w:t>
      </w:r>
      <w:r w:rsidR="007230E7" w:rsidRPr="0042168B">
        <w:rPr>
          <w:rFonts w:ascii="Times New Roman" w:hAnsi="Times New Roman"/>
          <w:sz w:val="24"/>
          <w:szCs w:val="24"/>
        </w:rPr>
        <w:t xml:space="preserve">, the Commission </w:t>
      </w:r>
      <w:r w:rsidR="00EC06A6" w:rsidRPr="0042168B">
        <w:rPr>
          <w:rFonts w:ascii="Times New Roman" w:hAnsi="Times New Roman"/>
          <w:sz w:val="24"/>
          <w:szCs w:val="24"/>
        </w:rPr>
        <w:t>proposed a</w:t>
      </w:r>
      <w:r w:rsidR="007230E7" w:rsidRPr="0042168B">
        <w:rPr>
          <w:rFonts w:ascii="Times New Roman" w:hAnsi="Times New Roman"/>
          <w:sz w:val="24"/>
          <w:szCs w:val="24"/>
        </w:rPr>
        <w:t xml:space="preserve"> </w:t>
      </w:r>
      <w:r w:rsidR="00EC06A6" w:rsidRPr="0042168B">
        <w:rPr>
          <w:rFonts w:ascii="Times New Roman" w:hAnsi="Times New Roman"/>
          <w:sz w:val="24"/>
          <w:szCs w:val="24"/>
        </w:rPr>
        <w:t xml:space="preserve">revision of </w:t>
      </w:r>
      <w:r w:rsidR="007230E7" w:rsidRPr="0042168B">
        <w:rPr>
          <w:rFonts w:ascii="Times New Roman" w:hAnsi="Times New Roman"/>
          <w:sz w:val="24"/>
          <w:szCs w:val="24"/>
        </w:rPr>
        <w:t>the Energy Labelling Directive</w:t>
      </w:r>
      <w:r w:rsidR="007230E7" w:rsidRPr="0042168B">
        <w:rPr>
          <w:rStyle w:val="FootnoteReference"/>
          <w:rFonts w:ascii="Times New Roman" w:hAnsi="Times New Roman"/>
          <w:sz w:val="24"/>
          <w:szCs w:val="24"/>
        </w:rPr>
        <w:footnoteReference w:id="12"/>
      </w:r>
      <w:r w:rsidR="007230E7" w:rsidRPr="0042168B">
        <w:rPr>
          <w:rFonts w:ascii="Times New Roman" w:hAnsi="Times New Roman"/>
          <w:sz w:val="24"/>
          <w:szCs w:val="24"/>
        </w:rPr>
        <w:t>. This proposal makes the existing acquis on energy labelling</w:t>
      </w:r>
      <w:r w:rsidR="009460C9" w:rsidRPr="0042168B">
        <w:rPr>
          <w:rFonts w:ascii="Times New Roman" w:hAnsi="Times New Roman"/>
          <w:sz w:val="24"/>
          <w:szCs w:val="24"/>
        </w:rPr>
        <w:t xml:space="preserve"> more efficient</w:t>
      </w:r>
      <w:r w:rsidR="00D25F80" w:rsidRPr="0042168B">
        <w:rPr>
          <w:rFonts w:ascii="Times New Roman" w:hAnsi="Times New Roman"/>
          <w:sz w:val="24"/>
          <w:szCs w:val="24"/>
        </w:rPr>
        <w:t xml:space="preserve"> and will strengthen enforcement</w:t>
      </w:r>
      <w:r w:rsidR="007230E7" w:rsidRPr="0042168B">
        <w:rPr>
          <w:rFonts w:ascii="Times New Roman" w:hAnsi="Times New Roman"/>
          <w:sz w:val="24"/>
          <w:szCs w:val="24"/>
        </w:rPr>
        <w:t xml:space="preserve">. Also in 2015, a number of eco-design and energy labelling measures entered into force, with the potential to further reduce household's </w:t>
      </w:r>
      <w:r w:rsidR="00D25F80" w:rsidRPr="0042168B">
        <w:rPr>
          <w:rFonts w:ascii="Times New Roman" w:hAnsi="Times New Roman"/>
          <w:sz w:val="24"/>
          <w:szCs w:val="24"/>
        </w:rPr>
        <w:t xml:space="preserve">energy </w:t>
      </w:r>
      <w:r w:rsidR="005419C2" w:rsidRPr="0042168B">
        <w:rPr>
          <w:rFonts w:ascii="Times New Roman" w:hAnsi="Times New Roman"/>
          <w:sz w:val="24"/>
          <w:szCs w:val="24"/>
        </w:rPr>
        <w:t xml:space="preserve">consumption and thereby </w:t>
      </w:r>
      <w:r w:rsidR="007230E7" w:rsidRPr="0042168B">
        <w:rPr>
          <w:rFonts w:ascii="Times New Roman" w:hAnsi="Times New Roman"/>
          <w:sz w:val="24"/>
          <w:szCs w:val="24"/>
        </w:rPr>
        <w:t xml:space="preserve">bills. Later this year, the Commission </w:t>
      </w:r>
      <w:r w:rsidR="006826CE" w:rsidRPr="0042168B">
        <w:rPr>
          <w:rFonts w:ascii="Times New Roman" w:hAnsi="Times New Roman"/>
          <w:sz w:val="24"/>
          <w:szCs w:val="24"/>
        </w:rPr>
        <w:t xml:space="preserve">intends to </w:t>
      </w:r>
      <w:r w:rsidR="007230E7" w:rsidRPr="0042168B">
        <w:rPr>
          <w:rFonts w:ascii="Times New Roman" w:hAnsi="Times New Roman"/>
          <w:sz w:val="24"/>
          <w:szCs w:val="24"/>
        </w:rPr>
        <w:t xml:space="preserve">come forward with a new Ecodesign working plan that </w:t>
      </w:r>
      <w:r w:rsidR="003D5F74" w:rsidRPr="0042168B">
        <w:rPr>
          <w:rFonts w:ascii="Times New Roman" w:hAnsi="Times New Roman"/>
          <w:sz w:val="24"/>
          <w:szCs w:val="24"/>
        </w:rPr>
        <w:t xml:space="preserve">- </w:t>
      </w:r>
      <w:r w:rsidR="00C600F4" w:rsidRPr="0042168B">
        <w:rPr>
          <w:rFonts w:ascii="Times New Roman" w:hAnsi="Times New Roman"/>
          <w:sz w:val="24"/>
          <w:szCs w:val="24"/>
        </w:rPr>
        <w:t xml:space="preserve">in addition to improving energy efficiency </w:t>
      </w:r>
      <w:r w:rsidR="003D5F74" w:rsidRPr="0042168B">
        <w:rPr>
          <w:rFonts w:ascii="Times New Roman" w:hAnsi="Times New Roman"/>
          <w:sz w:val="24"/>
          <w:szCs w:val="24"/>
        </w:rPr>
        <w:t xml:space="preserve">- </w:t>
      </w:r>
      <w:r w:rsidR="007230E7" w:rsidRPr="0042168B">
        <w:rPr>
          <w:rFonts w:ascii="Times New Roman" w:hAnsi="Times New Roman"/>
          <w:sz w:val="24"/>
          <w:szCs w:val="24"/>
        </w:rPr>
        <w:t>will</w:t>
      </w:r>
      <w:r w:rsidR="00EC06A6" w:rsidRPr="0042168B">
        <w:rPr>
          <w:rFonts w:ascii="Times New Roman" w:hAnsi="Times New Roman"/>
          <w:sz w:val="24"/>
          <w:szCs w:val="24"/>
        </w:rPr>
        <w:t xml:space="preserve"> </w:t>
      </w:r>
      <w:r w:rsidR="00C600F4" w:rsidRPr="0042168B">
        <w:rPr>
          <w:rFonts w:ascii="Times New Roman" w:hAnsi="Times New Roman"/>
          <w:sz w:val="24"/>
          <w:szCs w:val="24"/>
        </w:rPr>
        <w:t xml:space="preserve">in the future </w:t>
      </w:r>
      <w:r w:rsidR="007230E7" w:rsidRPr="0042168B">
        <w:rPr>
          <w:rFonts w:ascii="Times New Roman" w:hAnsi="Times New Roman"/>
          <w:sz w:val="24"/>
          <w:szCs w:val="24"/>
        </w:rPr>
        <w:t>support the circular economy.</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Energy efficiency plays an important part in </w:t>
      </w:r>
      <w:r w:rsidR="005419C2" w:rsidRPr="0042168B">
        <w:rPr>
          <w:rFonts w:ascii="Times New Roman" w:hAnsi="Times New Roman"/>
          <w:sz w:val="24"/>
          <w:szCs w:val="24"/>
        </w:rPr>
        <w:t xml:space="preserve">the </w:t>
      </w:r>
      <w:r w:rsidR="005419C2" w:rsidRPr="0042168B">
        <w:rPr>
          <w:rFonts w:ascii="Times New Roman" w:hAnsi="Times New Roman"/>
          <w:color w:val="000000"/>
          <w:sz w:val="24"/>
          <w:szCs w:val="24"/>
        </w:rPr>
        <w:t>European Fund for Strategic Investments</w:t>
      </w:r>
      <w:r w:rsidRPr="0042168B">
        <w:rPr>
          <w:rFonts w:ascii="Times New Roman" w:hAnsi="Times New Roman"/>
          <w:sz w:val="24"/>
          <w:szCs w:val="24"/>
        </w:rPr>
        <w:t xml:space="preserve">. The fund already </w:t>
      </w:r>
      <w:r w:rsidR="00EC06A6" w:rsidRPr="0042168B">
        <w:rPr>
          <w:rFonts w:ascii="Times New Roman" w:hAnsi="Times New Roman"/>
          <w:sz w:val="24"/>
          <w:szCs w:val="24"/>
        </w:rPr>
        <w:t xml:space="preserve">supports </w:t>
      </w:r>
      <w:r w:rsidRPr="0042168B">
        <w:rPr>
          <w:rFonts w:ascii="Times New Roman" w:hAnsi="Times New Roman"/>
          <w:sz w:val="24"/>
          <w:szCs w:val="24"/>
        </w:rPr>
        <w:t xml:space="preserve">strategic energy efficiency projects, </w:t>
      </w:r>
      <w:r w:rsidR="00C600F4" w:rsidRPr="0042168B">
        <w:rPr>
          <w:rFonts w:ascii="Times New Roman" w:hAnsi="Times New Roman"/>
          <w:sz w:val="24"/>
          <w:szCs w:val="24"/>
        </w:rPr>
        <w:t xml:space="preserve">for example </w:t>
      </w:r>
      <w:r w:rsidR="003D5F74" w:rsidRPr="0042168B">
        <w:rPr>
          <w:rFonts w:ascii="Times New Roman" w:hAnsi="Times New Roman"/>
          <w:sz w:val="24"/>
          <w:szCs w:val="24"/>
        </w:rPr>
        <w:t xml:space="preserve">in </w:t>
      </w:r>
      <w:r w:rsidRPr="0042168B">
        <w:rPr>
          <w:rFonts w:ascii="Times New Roman" w:hAnsi="Times New Roman"/>
          <w:sz w:val="24"/>
          <w:szCs w:val="24"/>
        </w:rPr>
        <w:t>France</w:t>
      </w:r>
      <w:r w:rsidR="00C600F4" w:rsidRPr="0042168B">
        <w:rPr>
          <w:rFonts w:ascii="Times New Roman" w:hAnsi="Times New Roman"/>
          <w:sz w:val="24"/>
          <w:szCs w:val="24"/>
        </w:rPr>
        <w:t xml:space="preserve"> and</w:t>
      </w:r>
      <w:r w:rsidRPr="0042168B">
        <w:rPr>
          <w:rFonts w:ascii="Times New Roman" w:hAnsi="Times New Roman"/>
          <w:sz w:val="24"/>
          <w:szCs w:val="24"/>
        </w:rPr>
        <w:t xml:space="preserve"> Italy. Many more projects are in the approval pipeline.</w:t>
      </w:r>
      <w:r w:rsidR="008319D3" w:rsidRPr="0042168B">
        <w:rPr>
          <w:rFonts w:ascii="Times New Roman" w:hAnsi="Times New Roman"/>
          <w:sz w:val="24"/>
          <w:szCs w:val="24"/>
        </w:rPr>
        <w:t xml:space="preserve"> This will be complementary to investments from the European Structural and Investment Funds. </w:t>
      </w:r>
    </w:p>
    <w:p w:rsidR="007230E7" w:rsidRPr="0042168B" w:rsidRDefault="00E535E1" w:rsidP="00877889">
      <w:pPr>
        <w:spacing w:after="240" w:line="240" w:lineRule="auto"/>
        <w:jc w:val="both"/>
        <w:rPr>
          <w:rFonts w:ascii="Times New Roman" w:hAnsi="Times New Roman"/>
          <w:i/>
          <w:sz w:val="24"/>
          <w:szCs w:val="24"/>
        </w:rPr>
      </w:pPr>
      <w:r w:rsidRPr="0042168B">
        <w:rPr>
          <w:rFonts w:ascii="Times New Roman" w:hAnsi="Times New Roman"/>
          <w:sz w:val="24"/>
          <w:szCs w:val="24"/>
        </w:rPr>
        <w:t xml:space="preserve">The report on progress in implementing </w:t>
      </w:r>
      <w:r w:rsidR="007D6DE0" w:rsidRPr="0042168B">
        <w:rPr>
          <w:rFonts w:ascii="Times New Roman" w:hAnsi="Times New Roman"/>
          <w:sz w:val="24"/>
          <w:szCs w:val="24"/>
        </w:rPr>
        <w:t>the 2020 energy efficiency target</w:t>
      </w:r>
      <w:r w:rsidR="005419C2" w:rsidRPr="0042168B">
        <w:rPr>
          <w:rFonts w:ascii="Times New Roman" w:hAnsi="Times New Roman"/>
          <w:sz w:val="24"/>
          <w:szCs w:val="24"/>
        </w:rPr>
        <w:t xml:space="preserve"> of 20% by 2020</w:t>
      </w:r>
      <w:r w:rsidRPr="0042168B">
        <w:rPr>
          <w:rStyle w:val="FootnoteReference"/>
          <w:rFonts w:ascii="Times New Roman" w:hAnsi="Times New Roman"/>
          <w:sz w:val="24"/>
          <w:szCs w:val="24"/>
        </w:rPr>
        <w:footnoteReference w:id="13"/>
      </w:r>
      <w:r w:rsidR="00D25F80" w:rsidRPr="0042168B">
        <w:rPr>
          <w:rFonts w:ascii="Times New Roman" w:hAnsi="Times New Roman"/>
          <w:sz w:val="24"/>
          <w:szCs w:val="24"/>
        </w:rPr>
        <w:t xml:space="preserve">, </w:t>
      </w:r>
      <w:r w:rsidR="00EC06A6" w:rsidRPr="0042168B">
        <w:rPr>
          <w:rFonts w:ascii="Times New Roman" w:hAnsi="Times New Roman"/>
          <w:sz w:val="24"/>
          <w:szCs w:val="24"/>
        </w:rPr>
        <w:t>accompanying</w:t>
      </w:r>
      <w:r w:rsidR="00D25F80" w:rsidRPr="0042168B">
        <w:rPr>
          <w:rFonts w:ascii="Times New Roman" w:hAnsi="Times New Roman"/>
          <w:sz w:val="24"/>
          <w:szCs w:val="24"/>
        </w:rPr>
        <w:t xml:space="preserve"> this </w:t>
      </w:r>
      <w:r w:rsidR="00EC06A6" w:rsidRPr="0042168B">
        <w:rPr>
          <w:rFonts w:ascii="Times New Roman" w:hAnsi="Times New Roman"/>
          <w:sz w:val="24"/>
          <w:szCs w:val="24"/>
        </w:rPr>
        <w:t>Communication</w:t>
      </w:r>
      <w:r w:rsidR="00D25F80" w:rsidRPr="0042168B">
        <w:rPr>
          <w:rFonts w:ascii="Times New Roman" w:hAnsi="Times New Roman"/>
          <w:sz w:val="24"/>
          <w:szCs w:val="24"/>
        </w:rPr>
        <w:t>,</w:t>
      </w:r>
      <w:r w:rsidRPr="0042168B">
        <w:rPr>
          <w:rFonts w:ascii="Times New Roman" w:hAnsi="Times New Roman"/>
          <w:sz w:val="24"/>
          <w:szCs w:val="24"/>
        </w:rPr>
        <w:t xml:space="preserve"> shows that</w:t>
      </w:r>
      <w:r w:rsidR="001F1AD1" w:rsidRPr="0042168B">
        <w:rPr>
          <w:rFonts w:ascii="Times New Roman" w:hAnsi="Times New Roman"/>
          <w:sz w:val="24"/>
          <w:szCs w:val="24"/>
        </w:rPr>
        <w:t xml:space="preserve"> </w:t>
      </w:r>
      <w:r w:rsidR="00650E66" w:rsidRPr="0042168B">
        <w:rPr>
          <w:rFonts w:ascii="Times New Roman" w:hAnsi="Times New Roman"/>
          <w:sz w:val="24"/>
          <w:szCs w:val="24"/>
        </w:rPr>
        <w:t>despite significant progress made, collective efforts of Member States correspond to only 17.6% primary energy savings compared to projections for 2020.</w:t>
      </w:r>
      <w:r w:rsidR="00D25F80" w:rsidRPr="0042168B">
        <w:rPr>
          <w:rStyle w:val="FootnoteReference"/>
          <w:rFonts w:ascii="Times New Roman" w:hAnsi="Times New Roman"/>
          <w:sz w:val="24"/>
          <w:szCs w:val="24"/>
        </w:rPr>
        <w:footnoteReference w:id="14"/>
      </w:r>
      <w:r w:rsidR="00650E66" w:rsidRPr="0042168B">
        <w:rPr>
          <w:rFonts w:ascii="Times New Roman" w:hAnsi="Times New Roman"/>
          <w:sz w:val="24"/>
          <w:szCs w:val="24"/>
        </w:rPr>
        <w:t xml:space="preserve"> </w:t>
      </w:r>
      <w:r w:rsidR="00C600F4" w:rsidRPr="0042168B">
        <w:rPr>
          <w:rFonts w:ascii="Times New Roman" w:hAnsi="Times New Roman"/>
          <w:sz w:val="24"/>
          <w:szCs w:val="24"/>
        </w:rPr>
        <w:t xml:space="preserve">However, the Commission remains optimistic that the 20% target can be achieved if </w:t>
      </w:r>
      <w:r w:rsidR="00D25F80" w:rsidRPr="0042168B">
        <w:rPr>
          <w:rFonts w:ascii="Times New Roman" w:hAnsi="Times New Roman"/>
          <w:sz w:val="24"/>
          <w:szCs w:val="24"/>
        </w:rPr>
        <w:t xml:space="preserve">existing EU legislation </w:t>
      </w:r>
      <w:r w:rsidR="00C600F4" w:rsidRPr="0042168B">
        <w:rPr>
          <w:rFonts w:ascii="Times New Roman" w:hAnsi="Times New Roman"/>
          <w:sz w:val="24"/>
          <w:szCs w:val="24"/>
        </w:rPr>
        <w:t>is</w:t>
      </w:r>
      <w:r w:rsidR="003A6B9A" w:rsidRPr="0042168B">
        <w:rPr>
          <w:rFonts w:ascii="Times New Roman" w:hAnsi="Times New Roman"/>
          <w:sz w:val="24"/>
          <w:szCs w:val="24"/>
        </w:rPr>
        <w:t xml:space="preserve"> </w:t>
      </w:r>
      <w:r w:rsidR="00D25F80" w:rsidRPr="0042168B">
        <w:rPr>
          <w:rFonts w:ascii="Times New Roman" w:hAnsi="Times New Roman"/>
          <w:sz w:val="24"/>
          <w:szCs w:val="24"/>
        </w:rPr>
        <w:t>correctly and fully implemented</w:t>
      </w:r>
      <w:r w:rsidR="003A6B9A" w:rsidRPr="0042168B">
        <w:rPr>
          <w:rFonts w:ascii="Times New Roman" w:hAnsi="Times New Roman"/>
          <w:sz w:val="24"/>
          <w:szCs w:val="24"/>
        </w:rPr>
        <w:t xml:space="preserve">. </w:t>
      </w:r>
      <w:r w:rsidR="00D25F80" w:rsidRPr="0042168B">
        <w:rPr>
          <w:rFonts w:ascii="Times New Roman" w:hAnsi="Times New Roman"/>
          <w:sz w:val="24"/>
          <w:szCs w:val="24"/>
        </w:rPr>
        <w:t xml:space="preserve">Member States </w:t>
      </w:r>
      <w:r w:rsidR="003A6B9A" w:rsidRPr="0042168B">
        <w:rPr>
          <w:rFonts w:ascii="Times New Roman" w:hAnsi="Times New Roman"/>
          <w:sz w:val="24"/>
          <w:szCs w:val="24"/>
        </w:rPr>
        <w:t xml:space="preserve">should </w:t>
      </w:r>
      <w:r w:rsidR="00D25F80" w:rsidRPr="0042168B">
        <w:rPr>
          <w:rFonts w:ascii="Times New Roman" w:hAnsi="Times New Roman"/>
          <w:sz w:val="24"/>
          <w:szCs w:val="24"/>
        </w:rPr>
        <w:t xml:space="preserve">increase ambition and investment conditions </w:t>
      </w:r>
      <w:r w:rsidR="003D5F74" w:rsidRPr="0042168B">
        <w:rPr>
          <w:rFonts w:ascii="Times New Roman" w:hAnsi="Times New Roman"/>
          <w:sz w:val="24"/>
          <w:szCs w:val="24"/>
        </w:rPr>
        <w:t>so that</w:t>
      </w:r>
      <w:r w:rsidR="00D25F80" w:rsidRPr="0042168B">
        <w:rPr>
          <w:rFonts w:ascii="Times New Roman" w:hAnsi="Times New Roman"/>
          <w:sz w:val="24"/>
          <w:szCs w:val="24"/>
        </w:rPr>
        <w:t xml:space="preserve"> energy efficiency continue</w:t>
      </w:r>
      <w:r w:rsidR="003D5F74" w:rsidRPr="0042168B">
        <w:rPr>
          <w:rFonts w:ascii="Times New Roman" w:hAnsi="Times New Roman"/>
          <w:sz w:val="24"/>
          <w:szCs w:val="24"/>
        </w:rPr>
        <w:t>s</w:t>
      </w:r>
      <w:r w:rsidR="00D25F80" w:rsidRPr="0042168B">
        <w:rPr>
          <w:rFonts w:ascii="Times New Roman" w:hAnsi="Times New Roman"/>
          <w:sz w:val="24"/>
          <w:szCs w:val="24"/>
        </w:rPr>
        <w:t xml:space="preserve"> to improve in Europe.</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7230E7" w:rsidRPr="0042168B" w:rsidRDefault="007230E7" w:rsidP="00877889">
      <w:pPr>
        <w:spacing w:after="240" w:line="240" w:lineRule="auto"/>
        <w:jc w:val="both"/>
        <w:rPr>
          <w:rFonts w:ascii="Times New Roman" w:hAnsi="Times New Roman"/>
          <w:color w:val="000000"/>
          <w:sz w:val="24"/>
          <w:szCs w:val="24"/>
        </w:rPr>
      </w:pPr>
      <w:r w:rsidRPr="0042168B">
        <w:rPr>
          <w:rFonts w:ascii="Times New Roman" w:hAnsi="Times New Roman"/>
          <w:sz w:val="24"/>
          <w:szCs w:val="24"/>
        </w:rPr>
        <w:t>There are still numerous barriers to reaping the full potential of energy efficiency, such as information failures</w:t>
      </w:r>
      <w:r w:rsidR="00F532C6" w:rsidRPr="0042168B">
        <w:rPr>
          <w:rFonts w:ascii="Times New Roman" w:hAnsi="Times New Roman"/>
          <w:sz w:val="24"/>
          <w:szCs w:val="24"/>
        </w:rPr>
        <w:t xml:space="preserve"> </w:t>
      </w:r>
      <w:r w:rsidRPr="0042168B">
        <w:rPr>
          <w:rFonts w:ascii="Times New Roman" w:hAnsi="Times New Roman"/>
          <w:sz w:val="24"/>
          <w:szCs w:val="24"/>
        </w:rPr>
        <w:t>and a shortage of dedicated financial tools. This leads to a limited uptake of energy efficiency opportunities, products and technologies.</w:t>
      </w:r>
    </w:p>
    <w:p w:rsidR="007230E7" w:rsidRPr="0042168B" w:rsidRDefault="007230E7" w:rsidP="00877889">
      <w:pPr>
        <w:autoSpaceDE w:val="0"/>
        <w:autoSpaceDN w:val="0"/>
        <w:adjustRightInd w:val="0"/>
        <w:spacing w:after="240" w:line="240" w:lineRule="auto"/>
        <w:contextualSpacing/>
        <w:jc w:val="both"/>
        <w:rPr>
          <w:rFonts w:ascii="Times New Roman" w:hAnsi="Times New Roman"/>
          <w:sz w:val="24"/>
          <w:szCs w:val="24"/>
        </w:rPr>
      </w:pPr>
      <w:r w:rsidRPr="0042168B">
        <w:rPr>
          <w:rFonts w:ascii="Times New Roman" w:hAnsi="Times New Roman"/>
          <w:sz w:val="24"/>
          <w:szCs w:val="24"/>
        </w:rPr>
        <w:t xml:space="preserve">In 2016, the Commission </w:t>
      </w:r>
      <w:r w:rsidR="006826CE" w:rsidRPr="0042168B">
        <w:rPr>
          <w:rFonts w:ascii="Times New Roman" w:hAnsi="Times New Roman"/>
          <w:sz w:val="24"/>
          <w:szCs w:val="24"/>
        </w:rPr>
        <w:t>foresees</w:t>
      </w:r>
      <w:r w:rsidR="00F532C6" w:rsidRPr="0042168B">
        <w:rPr>
          <w:rFonts w:ascii="Times New Roman" w:hAnsi="Times New Roman"/>
          <w:sz w:val="24"/>
          <w:szCs w:val="24"/>
        </w:rPr>
        <w:t xml:space="preserve"> </w:t>
      </w:r>
      <w:r w:rsidR="00EC06A6" w:rsidRPr="0042168B">
        <w:rPr>
          <w:rFonts w:ascii="Times New Roman" w:hAnsi="Times New Roman"/>
          <w:sz w:val="24"/>
          <w:szCs w:val="24"/>
        </w:rPr>
        <w:t xml:space="preserve">legislative </w:t>
      </w:r>
      <w:r w:rsidRPr="0042168B">
        <w:rPr>
          <w:rFonts w:ascii="Times New Roman" w:hAnsi="Times New Roman"/>
          <w:sz w:val="24"/>
          <w:szCs w:val="24"/>
        </w:rPr>
        <w:t>propos</w:t>
      </w:r>
      <w:r w:rsidR="00F532C6" w:rsidRPr="0042168B">
        <w:rPr>
          <w:rFonts w:ascii="Times New Roman" w:hAnsi="Times New Roman"/>
          <w:sz w:val="24"/>
          <w:szCs w:val="24"/>
        </w:rPr>
        <w:t>als</w:t>
      </w:r>
      <w:r w:rsidRPr="0042168B">
        <w:rPr>
          <w:rFonts w:ascii="Times New Roman" w:hAnsi="Times New Roman"/>
          <w:sz w:val="24"/>
          <w:szCs w:val="24"/>
        </w:rPr>
        <w:t xml:space="preserve"> </w:t>
      </w:r>
      <w:r w:rsidR="00F532C6" w:rsidRPr="0042168B">
        <w:rPr>
          <w:rFonts w:ascii="Times New Roman" w:hAnsi="Times New Roman"/>
          <w:sz w:val="24"/>
          <w:szCs w:val="24"/>
        </w:rPr>
        <w:t xml:space="preserve">to </w:t>
      </w:r>
      <w:r w:rsidRPr="0042168B">
        <w:rPr>
          <w:rFonts w:ascii="Times New Roman" w:hAnsi="Times New Roman"/>
          <w:sz w:val="24"/>
          <w:szCs w:val="24"/>
        </w:rPr>
        <w:t xml:space="preserve">align </w:t>
      </w:r>
      <w:r w:rsidR="00F532C6" w:rsidRPr="0042168B">
        <w:rPr>
          <w:rFonts w:ascii="Times New Roman" w:hAnsi="Times New Roman"/>
          <w:sz w:val="24"/>
          <w:szCs w:val="24"/>
        </w:rPr>
        <w:t>the Energy Efficiency Directive</w:t>
      </w:r>
      <w:r w:rsidRPr="0042168B">
        <w:rPr>
          <w:rFonts w:ascii="Times New Roman" w:hAnsi="Times New Roman"/>
          <w:sz w:val="24"/>
          <w:szCs w:val="24"/>
        </w:rPr>
        <w:t xml:space="preserve"> to the 2030 </w:t>
      </w:r>
      <w:r w:rsidR="002216FA" w:rsidRPr="0042168B">
        <w:rPr>
          <w:rFonts w:ascii="Times New Roman" w:hAnsi="Times New Roman"/>
          <w:sz w:val="24"/>
          <w:szCs w:val="24"/>
        </w:rPr>
        <w:t>indicative EU-level target of at least 27%</w:t>
      </w:r>
      <w:r w:rsidR="0085669B" w:rsidRPr="0042168B">
        <w:rPr>
          <w:rFonts w:ascii="Times New Roman" w:hAnsi="Times New Roman"/>
          <w:sz w:val="24"/>
          <w:szCs w:val="24"/>
        </w:rPr>
        <w:t xml:space="preserve"> (to be reviewed by 2020</w:t>
      </w:r>
      <w:r w:rsidR="002216FA" w:rsidRPr="0042168B">
        <w:rPr>
          <w:rFonts w:ascii="Times New Roman" w:hAnsi="Times New Roman"/>
          <w:sz w:val="24"/>
          <w:szCs w:val="24"/>
        </w:rPr>
        <w:t>, having in mind an EU level of 30%</w:t>
      </w:r>
      <w:r w:rsidR="000778F5" w:rsidRPr="0042168B">
        <w:rPr>
          <w:rFonts w:ascii="Times New Roman" w:hAnsi="Times New Roman"/>
          <w:sz w:val="24"/>
          <w:szCs w:val="24"/>
        </w:rPr>
        <w:t>)</w:t>
      </w:r>
      <w:r w:rsidRPr="0042168B">
        <w:rPr>
          <w:rFonts w:ascii="Times New Roman" w:hAnsi="Times New Roman"/>
          <w:sz w:val="24"/>
          <w:szCs w:val="24"/>
        </w:rPr>
        <w:t xml:space="preserve">. Equally important is a particular focus on buildings, whose energy use represents about 40% of the EU's total final energy consumption and </w:t>
      </w:r>
      <w:r w:rsidR="00821DDD" w:rsidRPr="0042168B">
        <w:rPr>
          <w:rFonts w:ascii="Times New Roman" w:hAnsi="Times New Roman"/>
          <w:sz w:val="24"/>
          <w:szCs w:val="24"/>
        </w:rPr>
        <w:t xml:space="preserve">about a quarter of non-ETS </w:t>
      </w:r>
      <w:r w:rsidR="009848B7" w:rsidRPr="0042168B">
        <w:rPr>
          <w:rFonts w:ascii="Times New Roman" w:hAnsi="Times New Roman"/>
          <w:sz w:val="24"/>
          <w:szCs w:val="24"/>
        </w:rPr>
        <w:t xml:space="preserve">direct </w:t>
      </w:r>
      <w:r w:rsidR="00821DDD" w:rsidRPr="0042168B">
        <w:rPr>
          <w:rFonts w:ascii="Times New Roman" w:hAnsi="Times New Roman"/>
          <w:sz w:val="24"/>
          <w:szCs w:val="24"/>
        </w:rPr>
        <w:t xml:space="preserve">greenhouse gas </w:t>
      </w:r>
      <w:r w:rsidRPr="0042168B">
        <w:rPr>
          <w:rFonts w:ascii="Times New Roman" w:hAnsi="Times New Roman"/>
          <w:sz w:val="24"/>
          <w:szCs w:val="24"/>
        </w:rPr>
        <w:t xml:space="preserve">emissions. A thorough evaluation of the Energy Performance of Buildings Directive is being carried out in view of </w:t>
      </w:r>
      <w:r w:rsidR="00877889" w:rsidRPr="0042168B">
        <w:rPr>
          <w:rFonts w:ascii="Times New Roman" w:hAnsi="Times New Roman"/>
          <w:sz w:val="24"/>
          <w:szCs w:val="24"/>
        </w:rPr>
        <w:t xml:space="preserve">its </w:t>
      </w:r>
      <w:r w:rsidRPr="0042168B">
        <w:rPr>
          <w:rFonts w:ascii="Times New Roman" w:hAnsi="Times New Roman"/>
          <w:sz w:val="24"/>
          <w:szCs w:val="24"/>
        </w:rPr>
        <w:t>revision.</w:t>
      </w:r>
    </w:p>
    <w:p w:rsidR="00E250E2" w:rsidRPr="0042168B" w:rsidRDefault="00E250E2" w:rsidP="00E250E2">
      <w:pPr>
        <w:pStyle w:val="FootnoteText"/>
        <w:spacing w:after="240"/>
        <w:jc w:val="both"/>
        <w:rPr>
          <w:rFonts w:ascii="Times New Roman" w:hAnsi="Times New Roman"/>
          <w:sz w:val="24"/>
          <w:szCs w:val="24"/>
        </w:rPr>
      </w:pPr>
      <w:r w:rsidRPr="0042168B">
        <w:rPr>
          <w:rFonts w:ascii="Times New Roman" w:hAnsi="Times New Roman"/>
          <w:sz w:val="24"/>
          <w:szCs w:val="24"/>
        </w:rPr>
        <w:t>Financing the required upfront energy efficiency investments remains a substantial challenge. Energy efficiency investments need to increase five-fold by 2030</w:t>
      </w:r>
      <w:r w:rsidRPr="0042168B">
        <w:rPr>
          <w:rStyle w:val="FootnoteReference"/>
          <w:rFonts w:ascii="Times New Roman" w:hAnsi="Times New Roman"/>
          <w:sz w:val="24"/>
          <w:szCs w:val="24"/>
        </w:rPr>
        <w:footnoteReference w:id="15"/>
      </w:r>
      <w:r w:rsidRPr="0042168B">
        <w:rPr>
          <w:rFonts w:ascii="Times New Roman" w:hAnsi="Times New Roman"/>
          <w:sz w:val="24"/>
          <w:szCs w:val="24"/>
        </w:rPr>
        <w:t xml:space="preserve">. As a matter of priority, the Commission will work with its partners towards </w:t>
      </w:r>
      <w:r w:rsidR="00901DDA" w:rsidRPr="0042168B">
        <w:rPr>
          <w:rFonts w:ascii="Times New Roman" w:hAnsi="Times New Roman"/>
          <w:sz w:val="24"/>
          <w:szCs w:val="24"/>
        </w:rPr>
        <w:t>establishing</w:t>
      </w:r>
      <w:r w:rsidRPr="0042168B">
        <w:rPr>
          <w:rFonts w:ascii="Times New Roman" w:hAnsi="Times New Roman"/>
          <w:sz w:val="24"/>
          <w:szCs w:val="24"/>
        </w:rPr>
        <w:t>, in 2016, scheme</w:t>
      </w:r>
      <w:r w:rsidR="00901DDA" w:rsidRPr="0042168B">
        <w:rPr>
          <w:rFonts w:ascii="Times New Roman" w:hAnsi="Times New Roman"/>
          <w:sz w:val="24"/>
          <w:szCs w:val="24"/>
        </w:rPr>
        <w:t>s</w:t>
      </w:r>
      <w:r w:rsidRPr="0042168B">
        <w:rPr>
          <w:rFonts w:ascii="Times New Roman" w:hAnsi="Times New Roman"/>
          <w:sz w:val="24"/>
          <w:szCs w:val="24"/>
        </w:rPr>
        <w:t xml:space="preserve"> to aggregate smaller energy efficiency projects. Th</w:t>
      </w:r>
      <w:r w:rsidR="00901DDA" w:rsidRPr="0042168B">
        <w:rPr>
          <w:rFonts w:ascii="Times New Roman" w:hAnsi="Times New Roman"/>
          <w:sz w:val="24"/>
          <w:szCs w:val="24"/>
        </w:rPr>
        <w:t>ese</w:t>
      </w:r>
      <w:r w:rsidRPr="0042168B">
        <w:rPr>
          <w:rFonts w:ascii="Times New Roman" w:hAnsi="Times New Roman"/>
          <w:sz w:val="24"/>
          <w:szCs w:val="24"/>
        </w:rPr>
        <w:t xml:space="preserve"> scheme</w:t>
      </w:r>
      <w:r w:rsidR="00901DDA" w:rsidRPr="0042168B">
        <w:rPr>
          <w:rFonts w:ascii="Times New Roman" w:hAnsi="Times New Roman"/>
          <w:sz w:val="24"/>
          <w:szCs w:val="24"/>
        </w:rPr>
        <w:t>s</w:t>
      </w:r>
      <w:r w:rsidRPr="0042168B">
        <w:rPr>
          <w:rFonts w:ascii="Times New Roman" w:hAnsi="Times New Roman"/>
          <w:sz w:val="24"/>
          <w:szCs w:val="24"/>
        </w:rPr>
        <w:t xml:space="preserve"> should provide investors with better investment opportunities in energy efficiency and make capital better accessible for national, regional or local energy efficiency platforms and programmes, especially in those Member States that need them most. </w:t>
      </w:r>
      <w:r w:rsidR="00901DDA" w:rsidRPr="0042168B">
        <w:rPr>
          <w:rFonts w:ascii="Times New Roman" w:hAnsi="Times New Roman"/>
          <w:sz w:val="24"/>
          <w:szCs w:val="24"/>
        </w:rPr>
        <w:t>They</w:t>
      </w:r>
      <w:r w:rsidRPr="0042168B">
        <w:rPr>
          <w:rFonts w:ascii="Times New Roman" w:hAnsi="Times New Roman"/>
          <w:sz w:val="24"/>
          <w:szCs w:val="24"/>
        </w:rPr>
        <w:t xml:space="preserve"> will include strengthening technical and project development assistance in the context of the </w:t>
      </w:r>
      <w:r w:rsidR="00901DDA" w:rsidRPr="0042168B">
        <w:rPr>
          <w:rFonts w:ascii="Times New Roman" w:hAnsi="Times New Roman"/>
          <w:sz w:val="24"/>
          <w:szCs w:val="24"/>
        </w:rPr>
        <w:t>European Investment Advisory Hub (</w:t>
      </w:r>
      <w:r w:rsidRPr="0042168B">
        <w:rPr>
          <w:rFonts w:ascii="Times New Roman" w:hAnsi="Times New Roman"/>
          <w:sz w:val="24"/>
          <w:szCs w:val="24"/>
        </w:rPr>
        <w:t>EIAH</w:t>
      </w:r>
      <w:r w:rsidR="00901DDA" w:rsidRPr="0042168B">
        <w:rPr>
          <w:rFonts w:ascii="Times New Roman" w:hAnsi="Times New Roman"/>
          <w:sz w:val="24"/>
          <w:szCs w:val="24"/>
        </w:rPr>
        <w:t xml:space="preserve">) set up by the Commission </w:t>
      </w:r>
      <w:r w:rsidR="00C600F4" w:rsidRPr="0042168B">
        <w:rPr>
          <w:rFonts w:ascii="Times New Roman" w:hAnsi="Times New Roman"/>
          <w:sz w:val="24"/>
          <w:szCs w:val="24"/>
        </w:rPr>
        <w:t xml:space="preserve">and the European Investment Bank </w:t>
      </w:r>
      <w:r w:rsidR="00901DDA" w:rsidRPr="0042168B">
        <w:rPr>
          <w:rFonts w:ascii="Times New Roman" w:hAnsi="Times New Roman"/>
          <w:sz w:val="24"/>
          <w:szCs w:val="24"/>
        </w:rPr>
        <w:t xml:space="preserve">to help public promoters to structure their projects </w:t>
      </w:r>
      <w:r w:rsidRPr="0042168B">
        <w:rPr>
          <w:rFonts w:ascii="Times New Roman" w:hAnsi="Times New Roman"/>
          <w:sz w:val="24"/>
          <w:szCs w:val="24"/>
        </w:rPr>
        <w:t xml:space="preserve">and </w:t>
      </w:r>
      <w:r w:rsidR="00C600F4" w:rsidRPr="0042168B">
        <w:rPr>
          <w:rFonts w:ascii="Times New Roman" w:hAnsi="Times New Roman"/>
          <w:sz w:val="24"/>
          <w:szCs w:val="24"/>
        </w:rPr>
        <w:t>to promote financing schemes</w:t>
      </w:r>
      <w:r w:rsidRPr="0042168B">
        <w:rPr>
          <w:rFonts w:ascii="Times New Roman" w:hAnsi="Times New Roman"/>
          <w:sz w:val="24"/>
          <w:szCs w:val="24"/>
        </w:rPr>
        <w:t xml:space="preserve"> with standard terms and conditions, notably in the area of buildings.</w:t>
      </w:r>
      <w:r w:rsidR="00C600F4" w:rsidRPr="0042168B">
        <w:rPr>
          <w:rFonts w:ascii="Times New Roman" w:hAnsi="Times New Roman"/>
          <w:sz w:val="24"/>
          <w:szCs w:val="24"/>
        </w:rPr>
        <w:t xml:space="preserve"> The Commission will launch the European Investment </w:t>
      </w:r>
      <w:r w:rsidR="00C600F4" w:rsidRPr="0042168B">
        <w:rPr>
          <w:rFonts w:ascii="Times New Roman" w:hAnsi="Times New Roman"/>
          <w:sz w:val="24"/>
          <w:szCs w:val="24"/>
        </w:rPr>
        <w:lastRenderedPageBreak/>
        <w:t>Project Portal (EIPP) in early 2016. Its purpose is to attract investors to good investment projects in Europe. Energy stakeholders are encouraged to send their projects to building a critical mass of pre-launch projects.</w:t>
      </w:r>
    </w:p>
    <w:p w:rsidR="007D6DE0" w:rsidRPr="0042168B" w:rsidRDefault="009460C9" w:rsidP="00877889">
      <w:pPr>
        <w:pStyle w:val="Default"/>
        <w:spacing w:after="240"/>
        <w:jc w:val="both"/>
      </w:pPr>
      <w:r w:rsidRPr="0042168B">
        <w:t xml:space="preserve">Heating and cooling represents the biggest energy use in the EU. </w:t>
      </w:r>
      <w:r w:rsidR="007230E7" w:rsidRPr="0042168B">
        <w:t>A dedicated strategy for heating and cooling is planned for early 2016</w:t>
      </w:r>
      <w:r w:rsidR="003A6B9A" w:rsidRPr="0042168B">
        <w:t xml:space="preserve">, aiming </w:t>
      </w:r>
      <w:r w:rsidR="007230E7" w:rsidRPr="0042168B">
        <w:t xml:space="preserve">for </w:t>
      </w:r>
      <w:r w:rsidR="007D6DE0" w:rsidRPr="0042168B">
        <w:t xml:space="preserve">a smart </w:t>
      </w:r>
      <w:r w:rsidR="007230E7" w:rsidRPr="0042168B">
        <w:t xml:space="preserve">transformation of this sector. </w:t>
      </w:r>
      <w:r w:rsidR="007D6DE0" w:rsidRPr="0042168B">
        <w:t xml:space="preserve">The strategy </w:t>
      </w:r>
      <w:r w:rsidR="006826CE" w:rsidRPr="0042168B">
        <w:t>should</w:t>
      </w:r>
      <w:r w:rsidR="009848B7" w:rsidRPr="0042168B">
        <w:t>, inter alia,</w:t>
      </w:r>
      <w:r w:rsidR="006826CE" w:rsidRPr="0042168B">
        <w:t xml:space="preserve"> </w:t>
      </w:r>
      <w:r w:rsidR="007D6DE0" w:rsidRPr="0042168B">
        <w:t>identify solutions and measures to reduce demand for heating and cooling in the residential, tertiary and industrial sectors</w:t>
      </w:r>
      <w:r w:rsidR="004711A4" w:rsidRPr="0042168B">
        <w:t>,</w:t>
      </w:r>
      <w:r w:rsidR="009848B7" w:rsidRPr="0042168B">
        <w:t xml:space="preserve"> while </w:t>
      </w:r>
      <w:r w:rsidR="004711A4" w:rsidRPr="0042168B">
        <w:t>at least monitoring the</w:t>
      </w:r>
      <w:r w:rsidR="009848B7" w:rsidRPr="0042168B">
        <w:t xml:space="preserve"> quality of the services and comfort</w:t>
      </w:r>
      <w:r w:rsidR="004711A4" w:rsidRPr="0042168B">
        <w:t>, and reduce dependence on fossil fuels</w:t>
      </w:r>
      <w:r w:rsidR="007D6DE0" w:rsidRPr="0042168B">
        <w:t xml:space="preserve">. </w:t>
      </w:r>
    </w:p>
    <w:p w:rsidR="00821DDD" w:rsidRPr="0042168B" w:rsidRDefault="00821DDD" w:rsidP="00072ED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sidRPr="0042168B">
        <w:rPr>
          <w:rFonts w:ascii="Times New Roman" w:hAnsi="Times New Roman"/>
          <w:i/>
          <w:sz w:val="24"/>
          <w:szCs w:val="24"/>
        </w:rPr>
        <w:t>Policy conclusions at Member State, regional and EU levels:</w:t>
      </w:r>
    </w:p>
    <w:p w:rsidR="00EA66D4" w:rsidRPr="0042168B" w:rsidRDefault="00EA66D4" w:rsidP="00072EDE">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 xml:space="preserve">Most Member States should </w:t>
      </w:r>
      <w:r w:rsidR="009848B7" w:rsidRPr="0042168B">
        <w:rPr>
          <w:rFonts w:ascii="Times New Roman" w:hAnsi="Times New Roman"/>
          <w:i/>
          <w:sz w:val="24"/>
          <w:szCs w:val="24"/>
        </w:rPr>
        <w:t xml:space="preserve">take the additional measures to </w:t>
      </w:r>
      <w:r w:rsidRPr="0042168B">
        <w:rPr>
          <w:rFonts w:ascii="Times New Roman" w:hAnsi="Times New Roman"/>
          <w:i/>
          <w:sz w:val="24"/>
          <w:szCs w:val="24"/>
        </w:rPr>
        <w:t xml:space="preserve">accelerate </w:t>
      </w:r>
      <w:r w:rsidR="007D6DE0" w:rsidRPr="0042168B">
        <w:rPr>
          <w:rFonts w:ascii="Times New Roman" w:hAnsi="Times New Roman"/>
          <w:i/>
          <w:sz w:val="24"/>
          <w:szCs w:val="24"/>
        </w:rPr>
        <w:t>their ambition levels</w:t>
      </w:r>
      <w:r w:rsidR="006D75A5" w:rsidRPr="0042168B">
        <w:rPr>
          <w:rFonts w:ascii="Times New Roman" w:hAnsi="Times New Roman"/>
          <w:i/>
          <w:sz w:val="24"/>
          <w:szCs w:val="24"/>
        </w:rPr>
        <w:t xml:space="preserve"> </w:t>
      </w:r>
      <w:r w:rsidR="009848B7" w:rsidRPr="0042168B">
        <w:rPr>
          <w:rFonts w:ascii="Times New Roman" w:hAnsi="Times New Roman"/>
          <w:i/>
          <w:sz w:val="24"/>
          <w:szCs w:val="24"/>
        </w:rPr>
        <w:t xml:space="preserve">and efforts </w:t>
      </w:r>
      <w:r w:rsidR="006D75A5" w:rsidRPr="0042168B">
        <w:rPr>
          <w:rFonts w:ascii="Times New Roman" w:hAnsi="Times New Roman"/>
          <w:i/>
          <w:sz w:val="24"/>
          <w:szCs w:val="24"/>
        </w:rPr>
        <w:t>in order to achieve their national energy efficiency targets for 2020.</w:t>
      </w:r>
    </w:p>
    <w:p w:rsidR="00EA66D4" w:rsidRPr="0042168B" w:rsidRDefault="00EA66D4" w:rsidP="00072EDE">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Several Member States (</w:t>
      </w:r>
      <w:r w:rsidR="007D6DE0" w:rsidRPr="0042168B">
        <w:rPr>
          <w:rFonts w:ascii="Times New Roman" w:hAnsi="Times New Roman"/>
          <w:i/>
          <w:sz w:val="24"/>
          <w:szCs w:val="24"/>
        </w:rPr>
        <w:t xml:space="preserve">Austria, Bulgaria, Croatia, </w:t>
      </w:r>
      <w:r w:rsidRPr="0042168B">
        <w:rPr>
          <w:rFonts w:ascii="Times New Roman" w:hAnsi="Times New Roman"/>
          <w:i/>
          <w:sz w:val="24"/>
          <w:szCs w:val="24"/>
          <w:lang w:eastAsia="x-none"/>
        </w:rPr>
        <w:t xml:space="preserve">Cyprus, France, Greece, Hungary, </w:t>
      </w:r>
      <w:r w:rsidR="007D6DE0" w:rsidRPr="0042168B">
        <w:rPr>
          <w:rFonts w:ascii="Times New Roman" w:hAnsi="Times New Roman"/>
          <w:i/>
          <w:sz w:val="24"/>
          <w:szCs w:val="24"/>
          <w:lang w:eastAsia="x-none"/>
        </w:rPr>
        <w:t xml:space="preserve">Italy, </w:t>
      </w:r>
      <w:r w:rsidRPr="0042168B">
        <w:rPr>
          <w:rFonts w:ascii="Times New Roman" w:hAnsi="Times New Roman"/>
          <w:i/>
          <w:sz w:val="24"/>
          <w:szCs w:val="24"/>
          <w:lang w:eastAsia="x-none"/>
        </w:rPr>
        <w:t>Malta, Spain</w:t>
      </w:r>
      <w:r w:rsidR="00C600F4" w:rsidRPr="0042168B">
        <w:rPr>
          <w:rFonts w:ascii="Times New Roman" w:hAnsi="Times New Roman"/>
          <w:i/>
          <w:sz w:val="24"/>
          <w:szCs w:val="24"/>
          <w:lang w:eastAsia="x-none"/>
        </w:rPr>
        <w:t xml:space="preserve"> and </w:t>
      </w:r>
      <w:r w:rsidRPr="0042168B">
        <w:rPr>
          <w:rFonts w:ascii="Times New Roman" w:hAnsi="Times New Roman"/>
          <w:i/>
          <w:sz w:val="24"/>
          <w:szCs w:val="24"/>
          <w:lang w:eastAsia="x-none"/>
        </w:rPr>
        <w:t>Sweden</w:t>
      </w:r>
      <w:r w:rsidRPr="0042168B">
        <w:rPr>
          <w:rFonts w:ascii="Times New Roman" w:hAnsi="Times New Roman"/>
          <w:i/>
          <w:sz w:val="24"/>
          <w:szCs w:val="24"/>
        </w:rPr>
        <w:t>) have notified more ambitious national 2020 targets</w:t>
      </w:r>
      <w:r w:rsidR="007D6DE0" w:rsidRPr="0042168B">
        <w:rPr>
          <w:rFonts w:ascii="Times New Roman" w:hAnsi="Times New Roman"/>
          <w:i/>
          <w:sz w:val="24"/>
          <w:szCs w:val="24"/>
        </w:rPr>
        <w:t xml:space="preserve"> expressed in either primary or final energy consumption</w:t>
      </w:r>
      <w:r w:rsidRPr="0042168B">
        <w:rPr>
          <w:rFonts w:ascii="Times New Roman" w:hAnsi="Times New Roman"/>
          <w:i/>
          <w:sz w:val="24"/>
          <w:szCs w:val="24"/>
        </w:rPr>
        <w:t xml:space="preserve">, which is encouraging. At same time </w:t>
      </w:r>
      <w:r w:rsidR="007D6DE0" w:rsidRPr="0042168B">
        <w:rPr>
          <w:rFonts w:ascii="Times New Roman" w:hAnsi="Times New Roman"/>
          <w:i/>
          <w:sz w:val="24"/>
          <w:szCs w:val="24"/>
        </w:rPr>
        <w:t>five Member State</w:t>
      </w:r>
      <w:r w:rsidR="003A6B9A" w:rsidRPr="0042168B">
        <w:rPr>
          <w:rFonts w:ascii="Times New Roman" w:hAnsi="Times New Roman"/>
          <w:i/>
          <w:sz w:val="24"/>
          <w:szCs w:val="24"/>
        </w:rPr>
        <w:t>s</w:t>
      </w:r>
      <w:r w:rsidR="007D6DE0" w:rsidRPr="0042168B">
        <w:rPr>
          <w:rFonts w:ascii="Times New Roman" w:hAnsi="Times New Roman"/>
          <w:i/>
          <w:sz w:val="24"/>
          <w:szCs w:val="24"/>
        </w:rPr>
        <w:t xml:space="preserve"> lowered </w:t>
      </w:r>
      <w:r w:rsidR="006D75A5" w:rsidRPr="0042168B">
        <w:rPr>
          <w:rFonts w:ascii="Times New Roman" w:hAnsi="Times New Roman"/>
          <w:i/>
          <w:sz w:val="24"/>
          <w:szCs w:val="24"/>
        </w:rPr>
        <w:t xml:space="preserve">their ambition level </w:t>
      </w:r>
      <w:r w:rsidR="007D6DE0" w:rsidRPr="0042168B">
        <w:rPr>
          <w:rFonts w:ascii="Times New Roman" w:hAnsi="Times New Roman"/>
          <w:i/>
          <w:sz w:val="24"/>
          <w:szCs w:val="24"/>
        </w:rPr>
        <w:t xml:space="preserve">for one of the two targets. In general, </w:t>
      </w:r>
      <w:r w:rsidRPr="0042168B">
        <w:rPr>
          <w:rFonts w:ascii="Times New Roman" w:hAnsi="Times New Roman"/>
          <w:i/>
          <w:sz w:val="24"/>
          <w:szCs w:val="24"/>
        </w:rPr>
        <w:t xml:space="preserve">the levels of the indicative national targets for 2020 set by e.g.  Croatia, Finland, Greece, and Romania – as well as </w:t>
      </w:r>
      <w:r w:rsidRPr="0042168B">
        <w:rPr>
          <w:rFonts w:ascii="Times New Roman" w:hAnsi="Times New Roman"/>
          <w:i/>
          <w:sz w:val="24"/>
          <w:szCs w:val="24"/>
          <w:lang w:eastAsia="x-none"/>
        </w:rPr>
        <w:t xml:space="preserve">Cyprus, Italy and Portugal when expressed in final energy consumption – </w:t>
      </w:r>
      <w:r w:rsidRPr="0042168B">
        <w:rPr>
          <w:rFonts w:ascii="Times New Roman" w:hAnsi="Times New Roman"/>
          <w:i/>
          <w:sz w:val="24"/>
          <w:szCs w:val="24"/>
        </w:rPr>
        <w:t>are not ambitious enough</w:t>
      </w:r>
      <w:r w:rsidR="007D6DE0" w:rsidRPr="0042168B">
        <w:rPr>
          <w:rFonts w:ascii="Times New Roman" w:hAnsi="Times New Roman"/>
          <w:i/>
          <w:sz w:val="24"/>
          <w:szCs w:val="24"/>
        </w:rPr>
        <w:t xml:space="preserve"> with regard to expected economic growth.</w:t>
      </w:r>
    </w:p>
    <w:p w:rsidR="001746FA" w:rsidRPr="0042168B" w:rsidRDefault="001746FA" w:rsidP="00072EDE">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Belgium, Estonia, France, Germany, the Netherlands, Poland and Sweden will all need to reduce their primary energy consumption at a higher rate in 2014-2020 than in the period 2005-2013 to meet their indicative primary energy consumption targets by 2020. Austria, Belgium, Estonia, France, Germany, Lithuania, Malta and Slovakia have set themselves final energy consumption targets in 2020 which requires rates of final energy consumption reduction from 2014-2020 which are higher than the reduction rate in 2005-2013.</w:t>
      </w:r>
    </w:p>
    <w:p w:rsidR="00E51A47" w:rsidRPr="0042168B" w:rsidRDefault="00EB4420" w:rsidP="00072EDE">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lang w:eastAsia="x-none"/>
        </w:rPr>
      </w:pPr>
      <w:r w:rsidRPr="0042168B">
        <w:rPr>
          <w:rFonts w:ascii="Times New Roman" w:hAnsi="Times New Roman"/>
          <w:i/>
          <w:sz w:val="24"/>
          <w:szCs w:val="24"/>
          <w:lang w:eastAsia="x-none"/>
        </w:rPr>
        <w:t xml:space="preserve">With regard to energy intensity, there is a </w:t>
      </w:r>
      <w:r w:rsidR="00921E6C" w:rsidRPr="0042168B">
        <w:rPr>
          <w:rFonts w:ascii="Times New Roman" w:hAnsi="Times New Roman"/>
          <w:i/>
          <w:sz w:val="24"/>
          <w:szCs w:val="24"/>
          <w:lang w:eastAsia="x-none"/>
        </w:rPr>
        <w:t>large</w:t>
      </w:r>
      <w:r w:rsidRPr="0042168B">
        <w:rPr>
          <w:rFonts w:ascii="Times New Roman" w:hAnsi="Times New Roman"/>
          <w:i/>
          <w:sz w:val="24"/>
          <w:szCs w:val="24"/>
          <w:lang w:eastAsia="x-none"/>
        </w:rPr>
        <w:t xml:space="preserve"> difference between the Member State with the highest (Bulgaria) and lowest (Denmark and Ireland) energy intensity in industry. To a large extent, this is linked to structural differences between the Member States. However, all Member States but Greece, Hungary, Ireland and Latvia decreased energy intensity in the industry and construction sector from 2005 to 2013</w:t>
      </w:r>
      <w:r w:rsidR="009460C9" w:rsidRPr="0042168B">
        <w:rPr>
          <w:rFonts w:ascii="Times New Roman" w:hAnsi="Times New Roman"/>
          <w:i/>
          <w:sz w:val="24"/>
          <w:szCs w:val="24"/>
          <w:lang w:eastAsia="x-none"/>
        </w:rPr>
        <w:t>.</w:t>
      </w:r>
      <w:r w:rsidR="0019382F" w:rsidRPr="0042168B">
        <w:rPr>
          <w:rFonts w:ascii="Times New Roman" w:hAnsi="Times New Roman"/>
          <w:i/>
          <w:sz w:val="24"/>
          <w:szCs w:val="24"/>
          <w:lang w:eastAsia="x-none"/>
        </w:rPr>
        <w:t xml:space="preserve"> </w:t>
      </w:r>
    </w:p>
    <w:p w:rsidR="00B310D5" w:rsidRPr="0042168B" w:rsidRDefault="00E51A47" w:rsidP="00072EDE">
      <w:pPr>
        <w:pStyle w:val="ListParagraph"/>
        <w:numPr>
          <w:ilvl w:val="0"/>
          <w:numId w:val="1"/>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w:hAnsi="Times"/>
          <w:sz w:val="24"/>
          <w:szCs w:val="24"/>
          <w:lang w:eastAsia="x-none"/>
        </w:rPr>
      </w:pPr>
      <w:r w:rsidRPr="0042168B">
        <w:rPr>
          <w:rFonts w:ascii="Times New Roman" w:hAnsi="Times New Roman"/>
          <w:i/>
          <w:sz w:val="24"/>
          <w:szCs w:val="24"/>
          <w:lang w:eastAsia="x-none"/>
        </w:rPr>
        <w:t xml:space="preserve">For the generation sector, the analysed performance indicators showed a </w:t>
      </w:r>
      <w:r w:rsidR="00B310D5" w:rsidRPr="0042168B">
        <w:rPr>
          <w:rFonts w:ascii="Times New Roman" w:hAnsi="Times New Roman"/>
          <w:i/>
          <w:sz w:val="24"/>
          <w:szCs w:val="24"/>
          <w:lang w:eastAsia="x-none"/>
        </w:rPr>
        <w:t xml:space="preserve">worsening </w:t>
      </w:r>
      <w:r w:rsidRPr="0042168B">
        <w:rPr>
          <w:rFonts w:ascii="Times New Roman" w:hAnsi="Times New Roman"/>
          <w:i/>
          <w:sz w:val="24"/>
          <w:szCs w:val="24"/>
          <w:lang w:eastAsia="x-none"/>
        </w:rPr>
        <w:t xml:space="preserve">trend in most countries. In particular, the share of heat produced from high-efficiency </w:t>
      </w:r>
      <w:r w:rsidR="00B310D5" w:rsidRPr="0042168B">
        <w:rPr>
          <w:rFonts w:ascii="Times New Roman" w:hAnsi="Times New Roman"/>
          <w:i/>
          <w:sz w:val="24"/>
          <w:szCs w:val="24"/>
          <w:lang w:eastAsia="x-none"/>
        </w:rPr>
        <w:t>combined heat and power (</w:t>
      </w:r>
      <w:r w:rsidRPr="0042168B">
        <w:rPr>
          <w:rFonts w:ascii="Times New Roman" w:hAnsi="Times New Roman"/>
          <w:i/>
          <w:sz w:val="24"/>
          <w:szCs w:val="24"/>
          <w:lang w:eastAsia="x-none"/>
        </w:rPr>
        <w:t>CHP</w:t>
      </w:r>
      <w:r w:rsidR="00B310D5" w:rsidRPr="0042168B">
        <w:rPr>
          <w:rFonts w:ascii="Times New Roman" w:hAnsi="Times New Roman"/>
          <w:i/>
          <w:sz w:val="24"/>
          <w:szCs w:val="24"/>
          <w:lang w:eastAsia="x-none"/>
        </w:rPr>
        <w:t>)</w:t>
      </w:r>
      <w:r w:rsidRPr="0042168B">
        <w:rPr>
          <w:rFonts w:ascii="Times New Roman" w:hAnsi="Times New Roman"/>
          <w:i/>
          <w:sz w:val="24"/>
          <w:szCs w:val="24"/>
          <w:lang w:eastAsia="x-none"/>
        </w:rPr>
        <w:t xml:space="preserve"> as well as high-efficiency district heating and cooling </w:t>
      </w:r>
      <w:r w:rsidR="00B310D5" w:rsidRPr="0042168B">
        <w:rPr>
          <w:rFonts w:ascii="Times New Roman" w:hAnsi="Times New Roman"/>
          <w:i/>
          <w:sz w:val="24"/>
          <w:szCs w:val="24"/>
          <w:lang w:eastAsia="x-none"/>
        </w:rPr>
        <w:t>needs</w:t>
      </w:r>
      <w:r w:rsidRPr="0042168B">
        <w:rPr>
          <w:rFonts w:ascii="Times New Roman" w:hAnsi="Times New Roman"/>
          <w:i/>
          <w:sz w:val="24"/>
          <w:szCs w:val="24"/>
          <w:lang w:eastAsia="x-none"/>
        </w:rPr>
        <w:t xml:space="preserve"> to be further promoted by Member States.</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 xml:space="preserve">4. </w:t>
      </w:r>
      <w:r w:rsidRPr="0042168B">
        <w:rPr>
          <w:rFonts w:ascii="Times New Roman" w:hAnsi="Times New Roman"/>
          <w:b/>
          <w:smallCaps/>
          <w:sz w:val="24"/>
          <w:szCs w:val="24"/>
        </w:rPr>
        <w:tab/>
        <w:t xml:space="preserve">A fully-integrated internal energy market </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Progress made</w:t>
      </w:r>
    </w:p>
    <w:p w:rsidR="007230E7" w:rsidRPr="0042168B" w:rsidRDefault="007230E7" w:rsidP="00877889">
      <w:pPr>
        <w:tabs>
          <w:tab w:val="num" w:pos="753"/>
        </w:tabs>
        <w:spacing w:after="240" w:line="240" w:lineRule="auto"/>
        <w:jc w:val="both"/>
        <w:rPr>
          <w:rFonts w:ascii="Times New Roman" w:hAnsi="Times New Roman"/>
          <w:sz w:val="24"/>
          <w:szCs w:val="24"/>
        </w:rPr>
      </w:pPr>
      <w:r w:rsidRPr="0042168B">
        <w:rPr>
          <w:rFonts w:ascii="Times New Roman" w:hAnsi="Times New Roman"/>
          <w:sz w:val="24"/>
          <w:szCs w:val="24"/>
        </w:rPr>
        <w:t xml:space="preserve">Electricity lines and gas pipelines form the backbone of an </w:t>
      </w:r>
      <w:r w:rsidR="00CA60ED" w:rsidRPr="0042168B">
        <w:rPr>
          <w:rFonts w:ascii="Times New Roman" w:hAnsi="Times New Roman"/>
          <w:sz w:val="24"/>
          <w:szCs w:val="24"/>
        </w:rPr>
        <w:t xml:space="preserve">integrated </w:t>
      </w:r>
      <w:r w:rsidRPr="0042168B">
        <w:rPr>
          <w:rFonts w:ascii="Times New Roman" w:hAnsi="Times New Roman"/>
          <w:sz w:val="24"/>
          <w:szCs w:val="24"/>
        </w:rPr>
        <w:t xml:space="preserve">energy market. </w:t>
      </w:r>
      <w:r w:rsidR="00C3144B" w:rsidRPr="0042168B">
        <w:rPr>
          <w:rFonts w:ascii="Times New Roman" w:hAnsi="Times New Roman"/>
          <w:sz w:val="24"/>
          <w:szCs w:val="24"/>
        </w:rPr>
        <w:t>Since the</w:t>
      </w:r>
      <w:r w:rsidR="009460C9" w:rsidRPr="0042168B">
        <w:rPr>
          <w:rFonts w:ascii="Times New Roman" w:hAnsi="Times New Roman"/>
          <w:sz w:val="24"/>
          <w:szCs w:val="24"/>
        </w:rPr>
        <w:t xml:space="preserve"> presentation of the Energy Union </w:t>
      </w:r>
      <w:r w:rsidR="00877889" w:rsidRPr="0042168B">
        <w:rPr>
          <w:rFonts w:ascii="Times New Roman" w:hAnsi="Times New Roman"/>
          <w:sz w:val="24"/>
          <w:szCs w:val="24"/>
        </w:rPr>
        <w:t xml:space="preserve">Framework </w:t>
      </w:r>
      <w:r w:rsidR="009460C9" w:rsidRPr="0042168B">
        <w:rPr>
          <w:rFonts w:ascii="Times New Roman" w:hAnsi="Times New Roman"/>
          <w:sz w:val="24"/>
          <w:szCs w:val="24"/>
        </w:rPr>
        <w:t>Strate</w:t>
      </w:r>
      <w:r w:rsidR="00877889" w:rsidRPr="0042168B">
        <w:rPr>
          <w:rFonts w:ascii="Times New Roman" w:hAnsi="Times New Roman"/>
          <w:sz w:val="24"/>
          <w:szCs w:val="24"/>
        </w:rPr>
        <w:t>g</w:t>
      </w:r>
      <w:r w:rsidR="009460C9" w:rsidRPr="0042168B">
        <w:rPr>
          <w:rFonts w:ascii="Times New Roman" w:hAnsi="Times New Roman"/>
          <w:sz w:val="24"/>
          <w:szCs w:val="24"/>
        </w:rPr>
        <w:t>y</w:t>
      </w:r>
      <w:r w:rsidR="00C3144B" w:rsidRPr="0042168B">
        <w:rPr>
          <w:rFonts w:ascii="Times New Roman" w:hAnsi="Times New Roman"/>
          <w:sz w:val="24"/>
          <w:szCs w:val="24"/>
        </w:rPr>
        <w:t xml:space="preserve">, </w:t>
      </w:r>
      <w:r w:rsidR="00EC06A6" w:rsidRPr="0042168B">
        <w:rPr>
          <w:rFonts w:ascii="Times New Roman" w:hAnsi="Times New Roman"/>
          <w:sz w:val="24"/>
          <w:szCs w:val="24"/>
        </w:rPr>
        <w:t>much</w:t>
      </w:r>
      <w:r w:rsidR="00C3144B" w:rsidRPr="0042168B">
        <w:rPr>
          <w:rFonts w:ascii="Times New Roman" w:hAnsi="Times New Roman"/>
          <w:sz w:val="24"/>
          <w:szCs w:val="24"/>
        </w:rPr>
        <w:t xml:space="preserve"> has happened. </w:t>
      </w:r>
      <w:r w:rsidR="003A6B9A" w:rsidRPr="0042168B">
        <w:rPr>
          <w:rFonts w:ascii="Times New Roman" w:hAnsi="Times New Roman"/>
          <w:sz w:val="24"/>
          <w:szCs w:val="24"/>
        </w:rPr>
        <w:t>T</w:t>
      </w:r>
      <w:r w:rsidRPr="0042168B">
        <w:rPr>
          <w:rFonts w:ascii="Times New Roman" w:hAnsi="Times New Roman"/>
          <w:sz w:val="24"/>
          <w:szCs w:val="24"/>
        </w:rPr>
        <w:t xml:space="preserve">he inauguration of the electricity cable between Italy and Malta in April 2015 ended the energy isolation of the Maltese electricity grid. </w:t>
      </w:r>
      <w:r w:rsidR="00F55C8A" w:rsidRPr="0042168B">
        <w:rPr>
          <w:rFonts w:ascii="Times New Roman" w:hAnsi="Times New Roman"/>
          <w:sz w:val="24"/>
          <w:szCs w:val="24"/>
        </w:rPr>
        <w:t xml:space="preserve">The completion of Eastlink between Finland and Estonia, and Nordbalt between Lithuania and Sweden </w:t>
      </w:r>
      <w:r w:rsidR="00764AA2" w:rsidRPr="0042168B">
        <w:rPr>
          <w:rFonts w:ascii="Times New Roman" w:hAnsi="Times New Roman"/>
          <w:sz w:val="24"/>
          <w:szCs w:val="24"/>
        </w:rPr>
        <w:t>enable</w:t>
      </w:r>
      <w:r w:rsidR="00B310D5" w:rsidRPr="0042168B">
        <w:rPr>
          <w:rFonts w:ascii="Times New Roman" w:hAnsi="Times New Roman"/>
          <w:sz w:val="24"/>
          <w:szCs w:val="24"/>
        </w:rPr>
        <w:t>d</w:t>
      </w:r>
      <w:r w:rsidR="00F55C8A" w:rsidRPr="0042168B">
        <w:rPr>
          <w:rFonts w:ascii="Times New Roman" w:hAnsi="Times New Roman"/>
          <w:sz w:val="24"/>
          <w:szCs w:val="24"/>
        </w:rPr>
        <w:t xml:space="preserve"> the Baltic States to part</w:t>
      </w:r>
      <w:r w:rsidR="00B310D5" w:rsidRPr="0042168B">
        <w:rPr>
          <w:rFonts w:ascii="Times New Roman" w:hAnsi="Times New Roman"/>
          <w:sz w:val="24"/>
          <w:szCs w:val="24"/>
        </w:rPr>
        <w:t>icipate</w:t>
      </w:r>
      <w:r w:rsidR="00F55C8A" w:rsidRPr="0042168B">
        <w:rPr>
          <w:rFonts w:ascii="Times New Roman" w:hAnsi="Times New Roman"/>
          <w:sz w:val="24"/>
          <w:szCs w:val="24"/>
        </w:rPr>
        <w:t xml:space="preserve"> in the NordPool electricity market </w:t>
      </w:r>
      <w:r w:rsidR="00B310D5" w:rsidRPr="0042168B">
        <w:rPr>
          <w:rFonts w:ascii="Times New Roman" w:hAnsi="Times New Roman"/>
          <w:sz w:val="24"/>
          <w:szCs w:val="24"/>
        </w:rPr>
        <w:t>this year</w:t>
      </w:r>
      <w:r w:rsidR="00F55C8A" w:rsidRPr="0042168B">
        <w:rPr>
          <w:rFonts w:ascii="Times New Roman" w:hAnsi="Times New Roman"/>
          <w:sz w:val="24"/>
          <w:szCs w:val="24"/>
        </w:rPr>
        <w:t xml:space="preserve">. </w:t>
      </w:r>
      <w:r w:rsidR="00EC06A6" w:rsidRPr="0042168B">
        <w:rPr>
          <w:rFonts w:ascii="Times New Roman" w:hAnsi="Times New Roman"/>
          <w:sz w:val="24"/>
          <w:szCs w:val="24"/>
        </w:rPr>
        <w:t xml:space="preserve">Another example of good cooperation is the LitPolLink interconnection initiative between Lithuania and Poland which will be inaugurated in December 2015. </w:t>
      </w:r>
      <w:r w:rsidRPr="0042168B">
        <w:rPr>
          <w:rFonts w:ascii="Times New Roman" w:hAnsi="Times New Roman"/>
          <w:sz w:val="24"/>
          <w:szCs w:val="24"/>
        </w:rPr>
        <w:t>2015 also s</w:t>
      </w:r>
      <w:r w:rsidR="00C3144B" w:rsidRPr="0042168B">
        <w:rPr>
          <w:rFonts w:ascii="Times New Roman" w:hAnsi="Times New Roman"/>
          <w:sz w:val="24"/>
          <w:szCs w:val="24"/>
        </w:rPr>
        <w:t>aw</w:t>
      </w:r>
      <w:r w:rsidRPr="0042168B">
        <w:rPr>
          <w:rFonts w:ascii="Times New Roman" w:hAnsi="Times New Roman"/>
          <w:sz w:val="24"/>
          <w:szCs w:val="24"/>
        </w:rPr>
        <w:t xml:space="preserve"> the inauguration of </w:t>
      </w:r>
      <w:r w:rsidR="009D4C15" w:rsidRPr="0042168B">
        <w:rPr>
          <w:rFonts w:ascii="Times New Roman" w:hAnsi="Times New Roman"/>
          <w:sz w:val="24"/>
          <w:szCs w:val="24"/>
        </w:rPr>
        <w:t xml:space="preserve">a new </w:t>
      </w:r>
      <w:r w:rsidRPr="0042168B">
        <w:rPr>
          <w:rFonts w:ascii="Times New Roman" w:hAnsi="Times New Roman"/>
          <w:sz w:val="24"/>
          <w:szCs w:val="24"/>
        </w:rPr>
        <w:t xml:space="preserve">France-Spain electricity interconnector, doubling the transmission capacity between the two countries. In gas, the new </w:t>
      </w:r>
      <w:r w:rsidR="00EA1575" w:rsidRPr="0042168B">
        <w:rPr>
          <w:rFonts w:ascii="Times New Roman" w:hAnsi="Times New Roman"/>
          <w:sz w:val="24"/>
          <w:szCs w:val="24"/>
        </w:rPr>
        <w:t>Liquefied</w:t>
      </w:r>
      <w:r w:rsidR="000D3DD8" w:rsidRPr="0042168B">
        <w:rPr>
          <w:rFonts w:ascii="Times New Roman" w:hAnsi="Times New Roman"/>
          <w:sz w:val="24"/>
          <w:szCs w:val="24"/>
        </w:rPr>
        <w:t xml:space="preserve"> Natural Gas (</w:t>
      </w:r>
      <w:r w:rsidRPr="0042168B">
        <w:rPr>
          <w:rFonts w:ascii="Times New Roman" w:hAnsi="Times New Roman"/>
          <w:sz w:val="24"/>
          <w:szCs w:val="24"/>
        </w:rPr>
        <w:t>LNG</w:t>
      </w:r>
      <w:r w:rsidR="000D3DD8" w:rsidRPr="0042168B">
        <w:rPr>
          <w:rFonts w:ascii="Times New Roman" w:hAnsi="Times New Roman"/>
          <w:sz w:val="24"/>
          <w:szCs w:val="24"/>
        </w:rPr>
        <w:t>)</w:t>
      </w:r>
      <w:r w:rsidRPr="0042168B">
        <w:rPr>
          <w:rFonts w:ascii="Times New Roman" w:hAnsi="Times New Roman"/>
          <w:sz w:val="24"/>
          <w:szCs w:val="24"/>
        </w:rPr>
        <w:t xml:space="preserve"> terminal in Klaipeda (Lithuania) brought for the first time supply diversification into the Baltic gas market, while the recent agreement on the gas interconnector between Poland and Lithuania will put an end to the isolation of the Baltic States from the internal gas market. </w:t>
      </w:r>
      <w:r w:rsidR="00F55C8A" w:rsidRPr="0042168B">
        <w:rPr>
          <w:rFonts w:ascii="Times New Roman" w:hAnsi="Times New Roman"/>
          <w:sz w:val="24"/>
          <w:szCs w:val="24"/>
        </w:rPr>
        <w:t xml:space="preserve">The interconnector between Hungary and Slovakia is </w:t>
      </w:r>
      <w:r w:rsidR="00C3144B" w:rsidRPr="0042168B">
        <w:rPr>
          <w:rFonts w:ascii="Times New Roman" w:hAnsi="Times New Roman"/>
          <w:sz w:val="24"/>
          <w:szCs w:val="24"/>
        </w:rPr>
        <w:t xml:space="preserve">also </w:t>
      </w:r>
      <w:r w:rsidR="00F55C8A" w:rsidRPr="0042168B">
        <w:rPr>
          <w:rFonts w:ascii="Times New Roman" w:hAnsi="Times New Roman"/>
          <w:sz w:val="24"/>
          <w:szCs w:val="24"/>
        </w:rPr>
        <w:t>an important milestone, whil</w:t>
      </w:r>
      <w:r w:rsidR="00C3144B" w:rsidRPr="0042168B">
        <w:rPr>
          <w:rFonts w:ascii="Times New Roman" w:hAnsi="Times New Roman"/>
          <w:sz w:val="24"/>
          <w:szCs w:val="24"/>
        </w:rPr>
        <w:t>e</w:t>
      </w:r>
      <w:r w:rsidR="00F55C8A" w:rsidRPr="0042168B">
        <w:rPr>
          <w:rFonts w:ascii="Times New Roman" w:hAnsi="Times New Roman"/>
          <w:sz w:val="24"/>
          <w:szCs w:val="24"/>
        </w:rPr>
        <w:t xml:space="preserve"> important </w:t>
      </w:r>
      <w:r w:rsidRPr="0042168B">
        <w:rPr>
          <w:rFonts w:ascii="Times New Roman" w:hAnsi="Times New Roman"/>
          <w:sz w:val="24"/>
          <w:szCs w:val="24"/>
        </w:rPr>
        <w:t>reverse flow equipment was installed within the EU as well as on its borders to Ukraine facilitating bi-directional trade.</w:t>
      </w:r>
      <w:r w:rsidR="00C3144B" w:rsidRPr="0042168B">
        <w:rPr>
          <w:rFonts w:ascii="Times New Roman" w:hAnsi="Times New Roman"/>
          <w:sz w:val="24"/>
          <w:szCs w:val="24"/>
        </w:rPr>
        <w:t xml:space="preserve"> </w:t>
      </w:r>
      <w:r w:rsidR="003D1174" w:rsidRPr="0042168B">
        <w:rPr>
          <w:rFonts w:ascii="Times New Roman" w:hAnsi="Times New Roman"/>
          <w:sz w:val="24"/>
          <w:szCs w:val="24"/>
        </w:rPr>
        <w:t>In addition, the Baltic States agreed on the common strategic goal to synchronise their power systems with the Continental European Network.</w:t>
      </w:r>
    </w:p>
    <w:p w:rsidR="006B22DF" w:rsidRPr="0042168B" w:rsidRDefault="00EC06A6" w:rsidP="00877889">
      <w:pPr>
        <w:spacing w:after="240" w:line="240" w:lineRule="auto"/>
        <w:jc w:val="both"/>
        <w:rPr>
          <w:rFonts w:ascii="Times New Roman" w:hAnsi="Times New Roman"/>
          <w:sz w:val="24"/>
          <w:szCs w:val="24"/>
          <w:lang w:eastAsia="en-GB"/>
        </w:rPr>
      </w:pPr>
      <w:r w:rsidRPr="0042168B">
        <w:rPr>
          <w:rFonts w:ascii="Times New Roman" w:hAnsi="Times New Roman"/>
          <w:sz w:val="24"/>
          <w:szCs w:val="24"/>
        </w:rPr>
        <w:t xml:space="preserve">During </w:t>
      </w:r>
      <w:r w:rsidR="007230E7" w:rsidRPr="0042168B">
        <w:rPr>
          <w:rFonts w:ascii="Times New Roman" w:hAnsi="Times New Roman"/>
          <w:sz w:val="24"/>
          <w:szCs w:val="24"/>
        </w:rPr>
        <w:t xml:space="preserve">2015, the Commission has worked intensively with Member States to set up High-Level Groups for gas and electricity interconnectivity of the Iberian Peninsula and the Central East South Europe Gas Connectivity (CESEC), as well as a reform of the High-Level Group for Baltic Sea region (BEMIP). </w:t>
      </w:r>
      <w:r w:rsidR="006B22DF" w:rsidRPr="0042168B">
        <w:rPr>
          <w:rFonts w:ascii="Times New Roman" w:hAnsi="Times New Roman"/>
          <w:sz w:val="24"/>
          <w:szCs w:val="24"/>
        </w:rPr>
        <w:t xml:space="preserve">Member States have stepped up cooperation in regional groupings which has started to bear fruit. The </w:t>
      </w:r>
      <w:r w:rsidR="000D3DD8" w:rsidRPr="0042168B">
        <w:rPr>
          <w:rFonts w:ascii="Times New Roman" w:hAnsi="Times New Roman"/>
          <w:sz w:val="24"/>
          <w:szCs w:val="24"/>
        </w:rPr>
        <w:t xml:space="preserve">Central East South Europe Gas Connectivity </w:t>
      </w:r>
      <w:r w:rsidR="006B22DF" w:rsidRPr="0042168B">
        <w:rPr>
          <w:rFonts w:ascii="Times New Roman" w:hAnsi="Times New Roman"/>
          <w:sz w:val="24"/>
          <w:szCs w:val="24"/>
        </w:rPr>
        <w:t>High Level Group</w:t>
      </w:r>
      <w:r w:rsidR="009460C9" w:rsidRPr="0042168B">
        <w:rPr>
          <w:rFonts w:ascii="Times New Roman" w:hAnsi="Times New Roman"/>
          <w:sz w:val="24"/>
          <w:szCs w:val="24"/>
        </w:rPr>
        <w:t>, for instance,</w:t>
      </w:r>
      <w:r w:rsidR="006B22DF" w:rsidRPr="0042168B">
        <w:rPr>
          <w:rFonts w:ascii="Times New Roman" w:hAnsi="Times New Roman"/>
          <w:sz w:val="24"/>
          <w:szCs w:val="24"/>
        </w:rPr>
        <w:t xml:space="preserve"> has agreed a list of priority projects</w:t>
      </w:r>
      <w:r w:rsidR="006B22DF" w:rsidRPr="0042168B">
        <w:rPr>
          <w:rStyle w:val="FootnoteReference"/>
          <w:rFonts w:ascii="Times New Roman" w:hAnsi="Times New Roman"/>
          <w:sz w:val="24"/>
          <w:szCs w:val="24"/>
        </w:rPr>
        <w:footnoteReference w:id="16"/>
      </w:r>
      <w:r w:rsidR="006B22DF" w:rsidRPr="0042168B">
        <w:rPr>
          <w:rFonts w:ascii="Times New Roman" w:hAnsi="Times New Roman"/>
          <w:sz w:val="24"/>
          <w:szCs w:val="24"/>
        </w:rPr>
        <w:t xml:space="preserve">, </w:t>
      </w:r>
      <w:r w:rsidR="009D4C15" w:rsidRPr="0042168B">
        <w:rPr>
          <w:rFonts w:ascii="Times New Roman" w:hAnsi="Times New Roman"/>
          <w:sz w:val="24"/>
          <w:szCs w:val="24"/>
        </w:rPr>
        <w:t>the implementation of which</w:t>
      </w:r>
      <w:r w:rsidR="006B22DF" w:rsidRPr="0042168B">
        <w:rPr>
          <w:rFonts w:ascii="Times New Roman" w:hAnsi="Times New Roman"/>
          <w:sz w:val="24"/>
          <w:szCs w:val="24"/>
        </w:rPr>
        <w:t xml:space="preserve"> will enable </w:t>
      </w:r>
      <w:r w:rsidR="009D4C15" w:rsidRPr="0042168B">
        <w:rPr>
          <w:rFonts w:ascii="Times New Roman" w:hAnsi="Times New Roman"/>
          <w:sz w:val="24"/>
          <w:szCs w:val="24"/>
        </w:rPr>
        <w:t>the</w:t>
      </w:r>
      <w:r w:rsidR="006B22DF" w:rsidRPr="0042168B">
        <w:rPr>
          <w:rFonts w:ascii="Times New Roman" w:hAnsi="Times New Roman"/>
          <w:sz w:val="24"/>
          <w:szCs w:val="24"/>
        </w:rPr>
        <w:t xml:space="preserve"> countries </w:t>
      </w:r>
      <w:r w:rsidR="009D4C15" w:rsidRPr="0042168B">
        <w:rPr>
          <w:rFonts w:ascii="Times New Roman" w:hAnsi="Times New Roman"/>
          <w:sz w:val="24"/>
          <w:szCs w:val="24"/>
        </w:rPr>
        <w:t xml:space="preserve">in the region </w:t>
      </w:r>
      <w:r w:rsidR="006B22DF" w:rsidRPr="0042168B">
        <w:rPr>
          <w:rFonts w:ascii="Times New Roman" w:hAnsi="Times New Roman"/>
          <w:sz w:val="24"/>
          <w:szCs w:val="24"/>
        </w:rPr>
        <w:t>to have access to at least three sources of gas.</w:t>
      </w:r>
    </w:p>
    <w:p w:rsidR="007230E7" w:rsidRPr="0042168B" w:rsidRDefault="00EC06A6" w:rsidP="00877889">
      <w:pPr>
        <w:spacing w:after="240" w:line="240" w:lineRule="auto"/>
        <w:jc w:val="both"/>
        <w:rPr>
          <w:rFonts w:ascii="Times New Roman" w:hAnsi="Times New Roman"/>
          <w:sz w:val="24"/>
          <w:szCs w:val="24"/>
        </w:rPr>
      </w:pPr>
      <w:r w:rsidRPr="0042168B">
        <w:rPr>
          <w:rFonts w:ascii="Times New Roman" w:hAnsi="Times New Roman"/>
          <w:sz w:val="24"/>
          <w:szCs w:val="24"/>
        </w:rPr>
        <w:t>T</w:t>
      </w:r>
      <w:r w:rsidR="007230E7" w:rsidRPr="0042168B">
        <w:rPr>
          <w:rFonts w:ascii="Times New Roman" w:hAnsi="Times New Roman"/>
          <w:sz w:val="24"/>
          <w:szCs w:val="24"/>
        </w:rPr>
        <w:t xml:space="preserve">he Energy Infrastructure Forum </w:t>
      </w:r>
      <w:r w:rsidR="003A6B9A" w:rsidRPr="0042168B">
        <w:rPr>
          <w:rFonts w:ascii="Times New Roman" w:hAnsi="Times New Roman"/>
          <w:sz w:val="24"/>
          <w:szCs w:val="24"/>
        </w:rPr>
        <w:t xml:space="preserve">established by </w:t>
      </w:r>
      <w:r w:rsidRPr="0042168B">
        <w:rPr>
          <w:rFonts w:ascii="Times New Roman" w:hAnsi="Times New Roman"/>
          <w:sz w:val="24"/>
          <w:szCs w:val="24"/>
        </w:rPr>
        <w:t>the Commission</w:t>
      </w:r>
      <w:r w:rsidR="003A6B9A" w:rsidRPr="0042168B">
        <w:rPr>
          <w:rFonts w:ascii="Times New Roman" w:hAnsi="Times New Roman"/>
          <w:sz w:val="24"/>
          <w:szCs w:val="24"/>
        </w:rPr>
        <w:t>,</w:t>
      </w:r>
      <w:r w:rsidRPr="0042168B">
        <w:rPr>
          <w:rFonts w:ascii="Times New Roman" w:hAnsi="Times New Roman"/>
          <w:sz w:val="24"/>
          <w:szCs w:val="24"/>
        </w:rPr>
        <w:t xml:space="preserve"> </w:t>
      </w:r>
      <w:r w:rsidR="00975DB8" w:rsidRPr="0042168B">
        <w:rPr>
          <w:rFonts w:ascii="Times New Roman" w:hAnsi="Times New Roman"/>
          <w:sz w:val="24"/>
          <w:szCs w:val="24"/>
        </w:rPr>
        <w:t xml:space="preserve">which </w:t>
      </w:r>
      <w:r w:rsidR="00085F3C" w:rsidRPr="0042168B">
        <w:rPr>
          <w:rFonts w:ascii="Times New Roman" w:hAnsi="Times New Roman"/>
          <w:sz w:val="24"/>
          <w:szCs w:val="24"/>
        </w:rPr>
        <w:t>held its inaugural meeting in Copenhagen on 9-10 November</w:t>
      </w:r>
      <w:r w:rsidR="00877889" w:rsidRPr="0042168B">
        <w:rPr>
          <w:rFonts w:ascii="Times New Roman" w:hAnsi="Times New Roman"/>
          <w:sz w:val="24"/>
          <w:szCs w:val="24"/>
        </w:rPr>
        <w:t>,</w:t>
      </w:r>
      <w:r w:rsidR="007230E7" w:rsidRPr="0042168B">
        <w:rPr>
          <w:rFonts w:ascii="Times New Roman" w:hAnsi="Times New Roman"/>
          <w:sz w:val="24"/>
          <w:szCs w:val="24"/>
        </w:rPr>
        <w:t xml:space="preserve"> will work towards best practices on issues such as regulatory barriers, </w:t>
      </w:r>
      <w:r w:rsidR="002E5A9E" w:rsidRPr="0042168B">
        <w:rPr>
          <w:rFonts w:ascii="Times New Roman" w:hAnsi="Times New Roman"/>
          <w:sz w:val="24"/>
          <w:szCs w:val="24"/>
        </w:rPr>
        <w:t>infrastructure development</w:t>
      </w:r>
      <w:r w:rsidR="00F55C8A" w:rsidRPr="0042168B">
        <w:rPr>
          <w:rFonts w:ascii="Times New Roman" w:hAnsi="Times New Roman"/>
          <w:sz w:val="24"/>
          <w:szCs w:val="24"/>
        </w:rPr>
        <w:t xml:space="preserve"> and </w:t>
      </w:r>
      <w:r w:rsidR="007230E7" w:rsidRPr="0042168B">
        <w:rPr>
          <w:rFonts w:ascii="Times New Roman" w:hAnsi="Times New Roman"/>
          <w:sz w:val="24"/>
          <w:szCs w:val="24"/>
        </w:rPr>
        <w:t xml:space="preserve">public acceptance </w:t>
      </w:r>
      <w:r w:rsidR="00F55C8A" w:rsidRPr="0042168B">
        <w:rPr>
          <w:rFonts w:ascii="Times New Roman" w:hAnsi="Times New Roman"/>
          <w:sz w:val="24"/>
          <w:szCs w:val="24"/>
        </w:rPr>
        <w:t xml:space="preserve">as well as </w:t>
      </w:r>
      <w:r w:rsidR="007230E7" w:rsidRPr="0042168B">
        <w:rPr>
          <w:rFonts w:ascii="Times New Roman" w:hAnsi="Times New Roman"/>
          <w:sz w:val="24"/>
          <w:szCs w:val="24"/>
        </w:rPr>
        <w:t>financing.</w:t>
      </w:r>
    </w:p>
    <w:p w:rsidR="002E5A9E" w:rsidRPr="0042168B" w:rsidRDefault="002E5A9E"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Commission has worked intensively with Member States to remove existing regulatory obstacles to cross-border </w:t>
      </w:r>
      <w:r w:rsidR="00877889" w:rsidRPr="0042168B">
        <w:rPr>
          <w:rFonts w:ascii="Times New Roman" w:hAnsi="Times New Roman"/>
          <w:sz w:val="24"/>
          <w:szCs w:val="24"/>
        </w:rPr>
        <w:t xml:space="preserve">trade </w:t>
      </w:r>
      <w:r w:rsidRPr="0042168B">
        <w:rPr>
          <w:rFonts w:ascii="Times New Roman" w:hAnsi="Times New Roman"/>
          <w:sz w:val="24"/>
          <w:szCs w:val="24"/>
        </w:rPr>
        <w:t xml:space="preserve">of electricity and gas. In close cooperation with Member States, it has </w:t>
      </w:r>
      <w:r w:rsidR="00B310D5" w:rsidRPr="0042168B">
        <w:rPr>
          <w:rFonts w:ascii="Times New Roman" w:hAnsi="Times New Roman"/>
          <w:sz w:val="24"/>
          <w:szCs w:val="24"/>
        </w:rPr>
        <w:t>tackled</w:t>
      </w:r>
      <w:r w:rsidRPr="0042168B">
        <w:rPr>
          <w:rFonts w:ascii="Times New Roman" w:hAnsi="Times New Roman"/>
          <w:sz w:val="24"/>
          <w:szCs w:val="24"/>
        </w:rPr>
        <w:t xml:space="preserve"> problems with the full implementation of the Third Energy Package in different Member States. The </w:t>
      </w:r>
      <w:r w:rsidR="006826CE" w:rsidRPr="0042168B">
        <w:rPr>
          <w:rFonts w:ascii="Times New Roman" w:hAnsi="Times New Roman"/>
          <w:sz w:val="24"/>
          <w:szCs w:val="24"/>
        </w:rPr>
        <w:t xml:space="preserve">intention of the </w:t>
      </w:r>
      <w:r w:rsidRPr="0042168B">
        <w:rPr>
          <w:rFonts w:ascii="Times New Roman" w:hAnsi="Times New Roman"/>
          <w:sz w:val="24"/>
          <w:szCs w:val="24"/>
        </w:rPr>
        <w:t>Commission's market design initiative</w:t>
      </w:r>
      <w:r w:rsidR="00665B43" w:rsidRPr="0042168B">
        <w:rPr>
          <w:rStyle w:val="FootnoteReference"/>
          <w:rFonts w:ascii="Times New Roman" w:hAnsi="Times New Roman"/>
          <w:sz w:val="24"/>
          <w:szCs w:val="24"/>
        </w:rPr>
        <w:footnoteReference w:id="17"/>
      </w:r>
      <w:r w:rsidRPr="0042168B">
        <w:rPr>
          <w:rFonts w:ascii="Times New Roman" w:hAnsi="Times New Roman"/>
          <w:sz w:val="24"/>
          <w:szCs w:val="24"/>
        </w:rPr>
        <w:t xml:space="preserve"> </w:t>
      </w:r>
      <w:r w:rsidR="006826CE" w:rsidRPr="0042168B">
        <w:rPr>
          <w:rFonts w:ascii="Times New Roman" w:hAnsi="Times New Roman"/>
          <w:sz w:val="24"/>
          <w:szCs w:val="24"/>
        </w:rPr>
        <w:t xml:space="preserve">is to </w:t>
      </w:r>
      <w:r w:rsidRPr="0042168B">
        <w:rPr>
          <w:rFonts w:ascii="Times New Roman" w:hAnsi="Times New Roman"/>
          <w:sz w:val="24"/>
          <w:szCs w:val="24"/>
        </w:rPr>
        <w:t xml:space="preserve">pave the way for a further alignment of the European regulatory framework to the reality of increasingly integrated European energy </w:t>
      </w:r>
      <w:r w:rsidR="00877889" w:rsidRPr="0042168B">
        <w:rPr>
          <w:rFonts w:ascii="Times New Roman" w:hAnsi="Times New Roman"/>
          <w:sz w:val="24"/>
          <w:szCs w:val="24"/>
        </w:rPr>
        <w:t>markets</w:t>
      </w:r>
      <w:r w:rsidRPr="0042168B">
        <w:rPr>
          <w:rFonts w:ascii="Times New Roman" w:hAnsi="Times New Roman"/>
          <w:sz w:val="24"/>
          <w:szCs w:val="24"/>
        </w:rPr>
        <w:t xml:space="preserve">. </w:t>
      </w:r>
      <w:r w:rsidR="002D09BC" w:rsidRPr="0042168B">
        <w:rPr>
          <w:rFonts w:ascii="Times New Roman" w:hAnsi="Times New Roman"/>
          <w:sz w:val="24"/>
          <w:szCs w:val="24"/>
        </w:rPr>
        <w:t>The Commission has also continued to strictly enforce the Treaty's competition rules.</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A fully-integrated internal energy market should first and foremost bring tangible benefits to consumers. This principle is fully reflected in the Communication </w:t>
      </w:r>
      <w:r w:rsidR="00877889" w:rsidRPr="0042168B">
        <w:rPr>
          <w:rFonts w:ascii="Times New Roman" w:hAnsi="Times New Roman"/>
          <w:i/>
          <w:sz w:val="24"/>
          <w:szCs w:val="24"/>
        </w:rPr>
        <w:t xml:space="preserve">Delivering </w:t>
      </w:r>
      <w:r w:rsidRPr="0042168B">
        <w:rPr>
          <w:rFonts w:ascii="Times New Roman" w:hAnsi="Times New Roman"/>
          <w:i/>
          <w:sz w:val="24"/>
          <w:szCs w:val="24"/>
        </w:rPr>
        <w:t>a new deal for consumers</w:t>
      </w:r>
      <w:r w:rsidRPr="0042168B">
        <w:rPr>
          <w:rFonts w:ascii="Times New Roman" w:hAnsi="Times New Roman"/>
          <w:sz w:val="24"/>
          <w:szCs w:val="24"/>
        </w:rPr>
        <w:t xml:space="preserve"> of July 2015.</w:t>
      </w:r>
      <w:r w:rsidRPr="0042168B">
        <w:rPr>
          <w:rStyle w:val="FootnoteReference"/>
          <w:rFonts w:ascii="Times New Roman" w:hAnsi="Times New Roman"/>
          <w:sz w:val="24"/>
          <w:szCs w:val="24"/>
        </w:rPr>
        <w:footnoteReference w:id="18"/>
      </w:r>
      <w:r w:rsidRPr="0042168B">
        <w:rPr>
          <w:rFonts w:ascii="Times New Roman" w:hAnsi="Times New Roman"/>
          <w:sz w:val="24"/>
          <w:szCs w:val="24"/>
        </w:rPr>
        <w:t xml:space="preserve"> The Communication acknowledges that consumers are still prevented from playing their full role in the transition of the energy system.</w:t>
      </w:r>
      <w:r w:rsidR="00AB126E" w:rsidRPr="0042168B">
        <w:rPr>
          <w:rFonts w:ascii="Times New Roman" w:hAnsi="Times New Roman"/>
          <w:sz w:val="24"/>
          <w:szCs w:val="24"/>
        </w:rPr>
        <w:t xml:space="preserve"> </w:t>
      </w:r>
      <w:r w:rsidR="001746FA" w:rsidRPr="0042168B">
        <w:rPr>
          <w:rFonts w:ascii="Times New Roman" w:hAnsi="Times New Roman"/>
          <w:sz w:val="24"/>
          <w:szCs w:val="24"/>
        </w:rPr>
        <w:t>From a consumer’s perspective, the electricity and gas markets are still not performing as they should, as is illustrated by the document on energy consumer trends presented together with this State of the Energy Union.</w:t>
      </w:r>
      <w:r w:rsidR="001746FA" w:rsidRPr="0042168B">
        <w:rPr>
          <w:rStyle w:val="FootnoteReference"/>
          <w:rFonts w:ascii="Times New Roman" w:hAnsi="Times New Roman"/>
          <w:sz w:val="24"/>
          <w:szCs w:val="24"/>
        </w:rPr>
        <w:footnoteReference w:id="19"/>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DA1573" w:rsidRPr="0042168B" w:rsidRDefault="007230E7" w:rsidP="00877889">
      <w:pPr>
        <w:tabs>
          <w:tab w:val="num" w:pos="753"/>
        </w:tabs>
        <w:spacing w:after="240" w:line="240" w:lineRule="auto"/>
        <w:jc w:val="both"/>
        <w:rPr>
          <w:rFonts w:ascii="Times New Roman" w:hAnsi="Times New Roman"/>
          <w:sz w:val="24"/>
          <w:szCs w:val="24"/>
        </w:rPr>
      </w:pPr>
      <w:r w:rsidRPr="0042168B">
        <w:rPr>
          <w:rFonts w:ascii="Times New Roman" w:hAnsi="Times New Roman"/>
          <w:sz w:val="24"/>
          <w:szCs w:val="24"/>
        </w:rPr>
        <w:t xml:space="preserve">In 2016, </w:t>
      </w:r>
      <w:r w:rsidR="00EC06A6" w:rsidRPr="0042168B">
        <w:rPr>
          <w:rFonts w:ascii="Times New Roman" w:hAnsi="Times New Roman"/>
          <w:sz w:val="24"/>
          <w:szCs w:val="24"/>
        </w:rPr>
        <w:t xml:space="preserve">all actors need to step up their </w:t>
      </w:r>
      <w:r w:rsidRPr="0042168B">
        <w:rPr>
          <w:rFonts w:ascii="Times New Roman" w:hAnsi="Times New Roman"/>
          <w:sz w:val="24"/>
          <w:szCs w:val="24"/>
        </w:rPr>
        <w:t xml:space="preserve">work on infrastructure projects. </w:t>
      </w:r>
      <w:r w:rsidR="00EC06A6" w:rsidRPr="0042168B">
        <w:rPr>
          <w:rFonts w:ascii="Times New Roman" w:hAnsi="Times New Roman"/>
          <w:sz w:val="24"/>
          <w:szCs w:val="24"/>
        </w:rPr>
        <w:t>In particular</w:t>
      </w:r>
      <w:r w:rsidRPr="0042168B">
        <w:rPr>
          <w:rFonts w:ascii="Times New Roman" w:hAnsi="Times New Roman"/>
          <w:sz w:val="24"/>
          <w:szCs w:val="24"/>
        </w:rPr>
        <w:t>,</w:t>
      </w:r>
      <w:r w:rsidR="00DA1573" w:rsidRPr="0042168B">
        <w:rPr>
          <w:rFonts w:ascii="Times New Roman" w:hAnsi="Times New Roman"/>
          <w:sz w:val="24"/>
          <w:szCs w:val="24"/>
        </w:rPr>
        <w:t xml:space="preserve"> Projects of Common Interest (PCIs) need an urgent political push. Even though 13 projects from the first list </w:t>
      </w:r>
      <w:r w:rsidR="000D3DD8" w:rsidRPr="0042168B">
        <w:rPr>
          <w:rFonts w:ascii="Times New Roman" w:hAnsi="Times New Roman"/>
          <w:sz w:val="24"/>
          <w:szCs w:val="24"/>
        </w:rPr>
        <w:t xml:space="preserve">of Projects of Common Interest </w:t>
      </w:r>
      <w:r w:rsidR="00DA1573" w:rsidRPr="0042168B">
        <w:rPr>
          <w:rFonts w:ascii="Times New Roman" w:hAnsi="Times New Roman"/>
          <w:sz w:val="24"/>
          <w:szCs w:val="24"/>
        </w:rPr>
        <w:t xml:space="preserve">will be completed by the end of </w:t>
      </w:r>
      <w:r w:rsidR="00EC06A6" w:rsidRPr="0042168B">
        <w:rPr>
          <w:rFonts w:ascii="Times New Roman" w:hAnsi="Times New Roman"/>
          <w:sz w:val="24"/>
          <w:szCs w:val="24"/>
        </w:rPr>
        <w:t>2015</w:t>
      </w:r>
      <w:r w:rsidR="00DA1573" w:rsidRPr="0042168B">
        <w:rPr>
          <w:rFonts w:ascii="Times New Roman" w:hAnsi="Times New Roman"/>
          <w:sz w:val="24"/>
          <w:szCs w:val="24"/>
        </w:rPr>
        <w:t xml:space="preserve">, and slightly more than 100 </w:t>
      </w:r>
      <w:r w:rsidR="000D3DD8" w:rsidRPr="0042168B">
        <w:rPr>
          <w:rFonts w:ascii="Times New Roman" w:hAnsi="Times New Roman"/>
          <w:sz w:val="24"/>
          <w:szCs w:val="24"/>
        </w:rPr>
        <w:t>Projects of Common Interest</w:t>
      </w:r>
      <w:r w:rsidR="00DA1573" w:rsidRPr="0042168B">
        <w:rPr>
          <w:rFonts w:ascii="Times New Roman" w:hAnsi="Times New Roman"/>
          <w:sz w:val="24"/>
          <w:szCs w:val="24"/>
        </w:rPr>
        <w:t xml:space="preserve"> are in the permitting phase, </w:t>
      </w:r>
      <w:r w:rsidR="009D4C15" w:rsidRPr="0042168B">
        <w:rPr>
          <w:rFonts w:ascii="Times New Roman" w:hAnsi="Times New Roman"/>
          <w:sz w:val="24"/>
          <w:szCs w:val="24"/>
        </w:rPr>
        <w:t xml:space="preserve">more than </w:t>
      </w:r>
      <w:r w:rsidR="00DA1573" w:rsidRPr="0042168B">
        <w:rPr>
          <w:rFonts w:ascii="Times New Roman" w:hAnsi="Times New Roman"/>
          <w:sz w:val="24"/>
          <w:szCs w:val="24"/>
        </w:rPr>
        <w:t>a quarter</w:t>
      </w:r>
      <w:r w:rsidR="009D4C15" w:rsidRPr="0042168B">
        <w:rPr>
          <w:rStyle w:val="FootnoteReference"/>
          <w:rFonts w:ascii="Times New Roman" w:hAnsi="Times New Roman"/>
          <w:sz w:val="24"/>
          <w:szCs w:val="24"/>
        </w:rPr>
        <w:footnoteReference w:id="20"/>
      </w:r>
      <w:r w:rsidR="00DA1573" w:rsidRPr="0042168B">
        <w:rPr>
          <w:rFonts w:ascii="Times New Roman" w:hAnsi="Times New Roman"/>
          <w:sz w:val="24"/>
          <w:szCs w:val="24"/>
        </w:rPr>
        <w:t xml:space="preserve"> face delays mainly due to permit granting and/or financing issues. </w:t>
      </w:r>
      <w:r w:rsidR="00F55C8A" w:rsidRPr="0042168B">
        <w:rPr>
          <w:rFonts w:ascii="Times New Roman" w:hAnsi="Times New Roman"/>
          <w:sz w:val="24"/>
          <w:szCs w:val="24"/>
        </w:rPr>
        <w:t xml:space="preserve">The procedures simply take too long to be effective. </w:t>
      </w:r>
      <w:r w:rsidR="00EC06A6" w:rsidRPr="0042168B">
        <w:rPr>
          <w:rFonts w:ascii="Times New Roman" w:hAnsi="Times New Roman"/>
          <w:sz w:val="24"/>
          <w:szCs w:val="24"/>
        </w:rPr>
        <w:t xml:space="preserve">Addressing them successfully requires </w:t>
      </w:r>
      <w:r w:rsidR="00F55C8A" w:rsidRPr="0042168B">
        <w:rPr>
          <w:rFonts w:ascii="Times New Roman" w:hAnsi="Times New Roman"/>
          <w:sz w:val="24"/>
          <w:szCs w:val="24"/>
        </w:rPr>
        <w:t xml:space="preserve">Member States to fully implement </w:t>
      </w:r>
      <w:r w:rsidR="00877889" w:rsidRPr="0042168B">
        <w:rPr>
          <w:rFonts w:ascii="Times New Roman" w:hAnsi="Times New Roman"/>
          <w:sz w:val="24"/>
          <w:szCs w:val="24"/>
        </w:rPr>
        <w:t xml:space="preserve">the </w:t>
      </w:r>
      <w:r w:rsidR="00F55C8A" w:rsidRPr="0042168B">
        <w:rPr>
          <w:rFonts w:ascii="Times New Roman" w:hAnsi="Times New Roman"/>
          <w:sz w:val="24"/>
          <w:szCs w:val="24"/>
        </w:rPr>
        <w:t>provisions</w:t>
      </w:r>
      <w:r w:rsidR="00877889" w:rsidRPr="0042168B">
        <w:rPr>
          <w:rFonts w:ascii="Times New Roman" w:hAnsi="Times New Roman"/>
          <w:sz w:val="24"/>
          <w:szCs w:val="24"/>
        </w:rPr>
        <w:t xml:space="preserve"> of the Regulation on guidelines for trans-European energy infrastructure (TEN-E)</w:t>
      </w:r>
      <w:r w:rsidR="00F55C8A" w:rsidRPr="0042168B">
        <w:rPr>
          <w:rFonts w:ascii="Times New Roman" w:hAnsi="Times New Roman"/>
          <w:sz w:val="24"/>
          <w:szCs w:val="24"/>
        </w:rPr>
        <w:t>, in particular those related to permit granting.</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The second list of Projects of Common Interest,</w:t>
      </w:r>
      <w:r w:rsidRPr="0042168B">
        <w:rPr>
          <w:rStyle w:val="FootnoteReference"/>
          <w:rFonts w:ascii="Times New Roman" w:hAnsi="Times New Roman"/>
          <w:sz w:val="24"/>
          <w:szCs w:val="24"/>
        </w:rPr>
        <w:footnoteReference w:id="21"/>
      </w:r>
      <w:r w:rsidRPr="0042168B">
        <w:rPr>
          <w:rFonts w:ascii="Times New Roman" w:hAnsi="Times New Roman"/>
          <w:sz w:val="24"/>
          <w:szCs w:val="24"/>
        </w:rPr>
        <w:t xml:space="preserve"> adopted alongside this Communication, sets out those projects that are urgently needed to achieve our energy policy </w:t>
      </w:r>
      <w:r w:rsidR="003A6B9A" w:rsidRPr="0042168B">
        <w:rPr>
          <w:rFonts w:ascii="Times New Roman" w:hAnsi="Times New Roman"/>
          <w:sz w:val="24"/>
          <w:szCs w:val="24"/>
        </w:rPr>
        <w:t>goals</w:t>
      </w:r>
      <w:r w:rsidRPr="0042168B">
        <w:rPr>
          <w:rFonts w:ascii="Times New Roman" w:hAnsi="Times New Roman"/>
          <w:sz w:val="24"/>
          <w:szCs w:val="24"/>
        </w:rPr>
        <w:t xml:space="preserve">. </w:t>
      </w:r>
      <w:r w:rsidR="009D4C15" w:rsidRPr="0042168B">
        <w:rPr>
          <w:rFonts w:ascii="Times New Roman" w:hAnsi="Times New Roman"/>
          <w:sz w:val="24"/>
          <w:szCs w:val="24"/>
        </w:rPr>
        <w:t>The accompanying Staff Working Document</w:t>
      </w:r>
      <w:r w:rsidR="0027446B" w:rsidRPr="0042168B">
        <w:rPr>
          <w:rStyle w:val="FootnoteReference"/>
          <w:rFonts w:ascii="Times New Roman" w:hAnsi="Times New Roman"/>
          <w:sz w:val="24"/>
          <w:szCs w:val="24"/>
        </w:rPr>
        <w:footnoteReference w:id="22"/>
      </w:r>
      <w:r w:rsidR="009D4C15" w:rsidRPr="0042168B">
        <w:rPr>
          <w:rFonts w:ascii="Times New Roman" w:hAnsi="Times New Roman"/>
          <w:sz w:val="24"/>
          <w:szCs w:val="24"/>
        </w:rPr>
        <w:t xml:space="preserve"> sets out the improvements needed to deliver the infrastructure backbone for an integrated European energy market. </w:t>
      </w:r>
      <w:r w:rsidRPr="0042168B">
        <w:rPr>
          <w:rFonts w:ascii="Times New Roman" w:hAnsi="Times New Roman"/>
          <w:sz w:val="24"/>
          <w:szCs w:val="24"/>
        </w:rPr>
        <w:t>The first benefits for infrastructure investments of the instruments developed under the European Fund for Strategic Investments are expected to materiali</w:t>
      </w:r>
      <w:r w:rsidR="002807D3" w:rsidRPr="0042168B">
        <w:rPr>
          <w:rFonts w:ascii="Times New Roman" w:hAnsi="Times New Roman"/>
          <w:sz w:val="24"/>
          <w:szCs w:val="24"/>
        </w:rPr>
        <w:t>s</w:t>
      </w:r>
      <w:r w:rsidRPr="0042168B">
        <w:rPr>
          <w:rFonts w:ascii="Times New Roman" w:hAnsi="Times New Roman"/>
          <w:sz w:val="24"/>
          <w:szCs w:val="24"/>
        </w:rPr>
        <w:t>e in 2016.</w:t>
      </w:r>
      <w:r w:rsidR="00877889" w:rsidRPr="0042168B">
        <w:rPr>
          <w:rFonts w:ascii="Times New Roman" w:hAnsi="Times New Roman"/>
          <w:sz w:val="24"/>
          <w:szCs w:val="24"/>
        </w:rPr>
        <w:t xml:space="preserve"> </w:t>
      </w:r>
      <w:r w:rsidR="00EC06A6" w:rsidRPr="0042168B">
        <w:rPr>
          <w:rFonts w:ascii="Times New Roman" w:hAnsi="Times New Roman"/>
          <w:sz w:val="24"/>
          <w:szCs w:val="24"/>
        </w:rPr>
        <w:t>Specifically on electricity</w:t>
      </w:r>
      <w:r w:rsidR="00877889" w:rsidRPr="0042168B">
        <w:rPr>
          <w:rFonts w:ascii="Times New Roman" w:hAnsi="Times New Roman"/>
          <w:sz w:val="24"/>
          <w:szCs w:val="24"/>
        </w:rPr>
        <w:t xml:space="preserve">, the Commission </w:t>
      </w:r>
      <w:r w:rsidR="006826CE" w:rsidRPr="0042168B">
        <w:rPr>
          <w:rFonts w:ascii="Times New Roman" w:hAnsi="Times New Roman"/>
          <w:sz w:val="24"/>
          <w:szCs w:val="24"/>
        </w:rPr>
        <w:t>foresees</w:t>
      </w:r>
      <w:r w:rsidR="00877889" w:rsidRPr="0042168B">
        <w:rPr>
          <w:rFonts w:ascii="Times New Roman" w:hAnsi="Times New Roman"/>
          <w:sz w:val="24"/>
          <w:szCs w:val="24"/>
        </w:rPr>
        <w:t xml:space="preserve"> a Communication on the necessary measures to reach the 15% electricity interconnection target for 2030. </w:t>
      </w:r>
      <w:r w:rsidR="00593F72" w:rsidRPr="0042168B">
        <w:rPr>
          <w:rFonts w:ascii="Times New Roman" w:hAnsi="Times New Roman"/>
          <w:sz w:val="24"/>
          <w:szCs w:val="24"/>
        </w:rPr>
        <w:t>In addition, the Commission will consider how to fund both sides of projects on the borders of the EU and the Energy Community.</w:t>
      </w:r>
    </w:p>
    <w:p w:rsidR="007230E7" w:rsidRPr="0042168B" w:rsidRDefault="00EC06A6" w:rsidP="00877889">
      <w:pPr>
        <w:spacing w:after="240" w:line="240" w:lineRule="auto"/>
        <w:jc w:val="both"/>
        <w:rPr>
          <w:rFonts w:ascii="Times New Roman" w:hAnsi="Times New Roman"/>
          <w:sz w:val="24"/>
          <w:szCs w:val="24"/>
        </w:rPr>
      </w:pPr>
      <w:r w:rsidRPr="0042168B">
        <w:rPr>
          <w:rFonts w:ascii="Times New Roman" w:hAnsi="Times New Roman"/>
          <w:sz w:val="24"/>
          <w:szCs w:val="24"/>
        </w:rPr>
        <w:t>Member States and stakeholders</w:t>
      </w:r>
      <w:r w:rsidR="007230E7" w:rsidRPr="0042168B">
        <w:rPr>
          <w:rFonts w:ascii="Times New Roman" w:hAnsi="Times New Roman"/>
          <w:sz w:val="24"/>
          <w:szCs w:val="24"/>
        </w:rPr>
        <w:t xml:space="preserve"> have shown a great interest in cooperatin</w:t>
      </w:r>
      <w:r w:rsidRPr="0042168B">
        <w:rPr>
          <w:rFonts w:ascii="Times New Roman" w:hAnsi="Times New Roman"/>
          <w:sz w:val="24"/>
          <w:szCs w:val="24"/>
        </w:rPr>
        <w:t>g</w:t>
      </w:r>
      <w:r w:rsidR="007230E7" w:rsidRPr="0042168B">
        <w:rPr>
          <w:rFonts w:ascii="Times New Roman" w:hAnsi="Times New Roman"/>
          <w:sz w:val="24"/>
          <w:szCs w:val="24"/>
        </w:rPr>
        <w:t xml:space="preserve"> in the North</w:t>
      </w:r>
      <w:r w:rsidR="00F55C8A" w:rsidRPr="0042168B">
        <w:rPr>
          <w:rFonts w:ascii="Times New Roman" w:hAnsi="Times New Roman"/>
          <w:sz w:val="24"/>
          <w:szCs w:val="24"/>
        </w:rPr>
        <w:t>ern</w:t>
      </w:r>
      <w:r w:rsidR="007230E7" w:rsidRPr="0042168B">
        <w:rPr>
          <w:rFonts w:ascii="Times New Roman" w:hAnsi="Times New Roman"/>
          <w:sz w:val="24"/>
          <w:szCs w:val="24"/>
        </w:rPr>
        <w:t xml:space="preserve"> Sea</w:t>
      </w:r>
      <w:r w:rsidR="00F55C8A" w:rsidRPr="0042168B">
        <w:rPr>
          <w:rFonts w:ascii="Times New Roman" w:hAnsi="Times New Roman"/>
          <w:sz w:val="24"/>
          <w:szCs w:val="24"/>
        </w:rPr>
        <w:t>s region</w:t>
      </w:r>
      <w:r w:rsidR="007230E7" w:rsidRPr="0042168B">
        <w:rPr>
          <w:rFonts w:ascii="Times New Roman" w:hAnsi="Times New Roman"/>
          <w:sz w:val="24"/>
          <w:szCs w:val="24"/>
        </w:rPr>
        <w:t xml:space="preserve">. </w:t>
      </w:r>
      <w:r w:rsidR="009D4C15" w:rsidRPr="0042168B">
        <w:rPr>
          <w:rFonts w:ascii="Times New Roman" w:hAnsi="Times New Roman"/>
          <w:sz w:val="24"/>
          <w:szCs w:val="24"/>
        </w:rPr>
        <w:t>Almost half</w:t>
      </w:r>
      <w:r w:rsidR="007230E7" w:rsidRPr="0042168B">
        <w:rPr>
          <w:rFonts w:ascii="Times New Roman" w:hAnsi="Times New Roman"/>
          <w:sz w:val="24"/>
          <w:szCs w:val="24"/>
        </w:rPr>
        <w:t xml:space="preserve"> of </w:t>
      </w:r>
      <w:r w:rsidR="009D4C15" w:rsidRPr="0042168B">
        <w:rPr>
          <w:rFonts w:ascii="Times New Roman" w:hAnsi="Times New Roman"/>
          <w:sz w:val="24"/>
          <w:szCs w:val="24"/>
        </w:rPr>
        <w:t>capital expenditure for</w:t>
      </w:r>
      <w:r w:rsidR="007230E7" w:rsidRPr="0042168B">
        <w:rPr>
          <w:rFonts w:ascii="Times New Roman" w:hAnsi="Times New Roman"/>
          <w:sz w:val="24"/>
          <w:szCs w:val="24"/>
        </w:rPr>
        <w:t xml:space="preserve"> all electricity </w:t>
      </w:r>
      <w:r w:rsidR="000D3DD8" w:rsidRPr="0042168B">
        <w:rPr>
          <w:rFonts w:ascii="Times New Roman" w:hAnsi="Times New Roman"/>
          <w:sz w:val="24"/>
          <w:szCs w:val="24"/>
        </w:rPr>
        <w:t xml:space="preserve">Projects of Common Interest </w:t>
      </w:r>
      <w:r w:rsidR="007230E7" w:rsidRPr="0042168B">
        <w:rPr>
          <w:rFonts w:ascii="Times New Roman" w:hAnsi="Times New Roman"/>
          <w:sz w:val="24"/>
          <w:szCs w:val="24"/>
        </w:rPr>
        <w:t xml:space="preserve">will </w:t>
      </w:r>
      <w:r w:rsidR="00764AA2" w:rsidRPr="0042168B">
        <w:rPr>
          <w:rFonts w:ascii="Times New Roman" w:hAnsi="Times New Roman"/>
          <w:sz w:val="24"/>
          <w:szCs w:val="24"/>
        </w:rPr>
        <w:t xml:space="preserve">be invested </w:t>
      </w:r>
      <w:r w:rsidR="007230E7" w:rsidRPr="0042168B">
        <w:rPr>
          <w:rFonts w:ascii="Times New Roman" w:hAnsi="Times New Roman"/>
          <w:sz w:val="24"/>
          <w:szCs w:val="24"/>
        </w:rPr>
        <w:t>in the North</w:t>
      </w:r>
      <w:r w:rsidR="00F55C8A" w:rsidRPr="0042168B">
        <w:rPr>
          <w:rFonts w:ascii="Times New Roman" w:hAnsi="Times New Roman"/>
          <w:sz w:val="24"/>
          <w:szCs w:val="24"/>
        </w:rPr>
        <w:t>ern</w:t>
      </w:r>
      <w:r w:rsidR="007230E7" w:rsidRPr="0042168B">
        <w:rPr>
          <w:rFonts w:ascii="Times New Roman" w:hAnsi="Times New Roman"/>
          <w:sz w:val="24"/>
          <w:szCs w:val="24"/>
        </w:rPr>
        <w:t xml:space="preserve"> Sea</w:t>
      </w:r>
      <w:r w:rsidR="00F55C8A" w:rsidRPr="0042168B">
        <w:rPr>
          <w:rFonts w:ascii="Times New Roman" w:hAnsi="Times New Roman"/>
          <w:sz w:val="24"/>
          <w:szCs w:val="24"/>
        </w:rPr>
        <w:t>s</w:t>
      </w:r>
      <w:r w:rsidR="00C600F4" w:rsidRPr="0042168B">
        <w:rPr>
          <w:rFonts w:ascii="Times New Roman" w:hAnsi="Times New Roman"/>
          <w:sz w:val="24"/>
          <w:szCs w:val="24"/>
        </w:rPr>
        <w:t xml:space="preserve"> region</w:t>
      </w:r>
      <w:r w:rsidR="007230E7" w:rsidRPr="0042168B">
        <w:rPr>
          <w:rFonts w:ascii="Times New Roman" w:hAnsi="Times New Roman"/>
          <w:sz w:val="24"/>
          <w:szCs w:val="24"/>
        </w:rPr>
        <w:t>. The Commission therefore intends to create a High-Level-Group for regional cooperation in the North Sea</w:t>
      </w:r>
      <w:r w:rsidR="002621EA" w:rsidRPr="0042168B">
        <w:t xml:space="preserve"> </w:t>
      </w:r>
      <w:r w:rsidR="002621EA" w:rsidRPr="0042168B">
        <w:rPr>
          <w:rFonts w:ascii="Times New Roman" w:hAnsi="Times New Roman"/>
          <w:sz w:val="24"/>
          <w:szCs w:val="24"/>
        </w:rPr>
        <w:t>in order to tackle the regulatory, financial and spatial planning issues which impede the implementation of these projects</w:t>
      </w:r>
      <w:r w:rsidR="007230E7" w:rsidRPr="0042168B">
        <w:rPr>
          <w:rFonts w:ascii="Times New Roman" w:hAnsi="Times New Roman"/>
          <w:sz w:val="24"/>
          <w:szCs w:val="24"/>
        </w:rPr>
        <w:t>.</w:t>
      </w:r>
    </w:p>
    <w:p w:rsidR="002D09BC" w:rsidRPr="0042168B" w:rsidRDefault="002D09BC" w:rsidP="002D09BC">
      <w:pPr>
        <w:spacing w:after="240" w:line="240" w:lineRule="auto"/>
        <w:jc w:val="both"/>
        <w:rPr>
          <w:rFonts w:ascii="Times New Roman" w:hAnsi="Times New Roman"/>
          <w:sz w:val="24"/>
          <w:szCs w:val="24"/>
        </w:rPr>
      </w:pPr>
      <w:r w:rsidRPr="0042168B">
        <w:rPr>
          <w:rFonts w:ascii="Times New Roman" w:hAnsi="Times New Roman"/>
          <w:sz w:val="24"/>
          <w:szCs w:val="24"/>
        </w:rPr>
        <w:t>Continuing investment in national network infrastructure will also be required to avoid regional constraints</w:t>
      </w:r>
      <w:r w:rsidR="00EC06A6" w:rsidRPr="0042168B">
        <w:rPr>
          <w:rFonts w:ascii="Times New Roman" w:hAnsi="Times New Roman"/>
          <w:sz w:val="24"/>
          <w:szCs w:val="24"/>
        </w:rPr>
        <w:t>. Of particular concern are</w:t>
      </w:r>
      <w:r w:rsidRPr="0042168B">
        <w:rPr>
          <w:rFonts w:ascii="Times New Roman" w:hAnsi="Times New Roman"/>
          <w:sz w:val="24"/>
          <w:szCs w:val="24"/>
        </w:rPr>
        <w:t xml:space="preserve"> the distortions </w:t>
      </w:r>
      <w:r w:rsidR="00EC06A6" w:rsidRPr="0042168B">
        <w:rPr>
          <w:rFonts w:ascii="Times New Roman" w:hAnsi="Times New Roman"/>
          <w:sz w:val="24"/>
          <w:szCs w:val="24"/>
        </w:rPr>
        <w:t>which insufficient national infrastructure</w:t>
      </w:r>
      <w:r w:rsidRPr="0042168B">
        <w:rPr>
          <w:rFonts w:ascii="Times New Roman" w:hAnsi="Times New Roman"/>
          <w:sz w:val="24"/>
          <w:szCs w:val="24"/>
        </w:rPr>
        <w:t xml:space="preserve"> causes where there are large single </w:t>
      </w:r>
      <w:r w:rsidR="0021387E" w:rsidRPr="0042168B">
        <w:rPr>
          <w:rFonts w:ascii="Times New Roman" w:hAnsi="Times New Roman"/>
          <w:sz w:val="24"/>
          <w:szCs w:val="24"/>
        </w:rPr>
        <w:t xml:space="preserve">bidding </w:t>
      </w:r>
      <w:r w:rsidRPr="0042168B">
        <w:rPr>
          <w:rFonts w:ascii="Times New Roman" w:hAnsi="Times New Roman"/>
          <w:sz w:val="24"/>
          <w:szCs w:val="24"/>
        </w:rPr>
        <w:t>zones. The bidding zone review process</w:t>
      </w:r>
      <w:r w:rsidR="0021387E" w:rsidRPr="0042168B">
        <w:rPr>
          <w:rFonts w:ascii="Times New Roman" w:hAnsi="Times New Roman"/>
          <w:sz w:val="24"/>
          <w:szCs w:val="24"/>
        </w:rPr>
        <w:t>, carried out</w:t>
      </w:r>
      <w:r w:rsidR="00804E2E" w:rsidRPr="0042168B">
        <w:rPr>
          <w:rFonts w:ascii="Times New Roman" w:hAnsi="Times New Roman"/>
          <w:sz w:val="24"/>
          <w:szCs w:val="24"/>
        </w:rPr>
        <w:t xml:space="preserve"> by</w:t>
      </w:r>
      <w:r w:rsidR="0021387E" w:rsidRPr="0042168B">
        <w:rPr>
          <w:rFonts w:ascii="Times New Roman" w:hAnsi="Times New Roman"/>
          <w:sz w:val="24"/>
          <w:szCs w:val="24"/>
        </w:rPr>
        <w:t xml:space="preserve"> the European Network of Transmission System Operators for Electricity (ENTSO-E),</w:t>
      </w:r>
      <w:r w:rsidRPr="0042168B">
        <w:rPr>
          <w:rFonts w:ascii="Times New Roman" w:hAnsi="Times New Roman"/>
          <w:sz w:val="24"/>
          <w:szCs w:val="24"/>
        </w:rPr>
        <w:t xml:space="preserve"> </w:t>
      </w:r>
      <w:r w:rsidR="0021387E" w:rsidRPr="0042168B">
        <w:rPr>
          <w:rFonts w:ascii="Times New Roman" w:hAnsi="Times New Roman"/>
          <w:sz w:val="24"/>
          <w:szCs w:val="24"/>
        </w:rPr>
        <w:t>sh</w:t>
      </w:r>
      <w:r w:rsidRPr="0042168B">
        <w:rPr>
          <w:rFonts w:ascii="Times New Roman" w:hAnsi="Times New Roman"/>
          <w:sz w:val="24"/>
          <w:szCs w:val="24"/>
        </w:rPr>
        <w:t xml:space="preserve">ould </w:t>
      </w:r>
      <w:r w:rsidR="0021387E" w:rsidRPr="0042168B">
        <w:rPr>
          <w:rFonts w:ascii="Times New Roman" w:hAnsi="Times New Roman"/>
          <w:sz w:val="24"/>
          <w:szCs w:val="24"/>
        </w:rPr>
        <w:t>identify critical network constraints and</w:t>
      </w:r>
      <w:r w:rsidR="0023088C" w:rsidRPr="0042168B">
        <w:rPr>
          <w:rFonts w:ascii="Times New Roman" w:hAnsi="Times New Roman"/>
          <w:sz w:val="24"/>
          <w:szCs w:val="24"/>
        </w:rPr>
        <w:t>, where appropriate,</w:t>
      </w:r>
      <w:r w:rsidR="0021387E" w:rsidRPr="0042168B">
        <w:rPr>
          <w:rFonts w:ascii="Times New Roman" w:hAnsi="Times New Roman"/>
          <w:sz w:val="24"/>
          <w:szCs w:val="24"/>
        </w:rPr>
        <w:t xml:space="preserve"> </w:t>
      </w:r>
      <w:r w:rsidRPr="0042168B">
        <w:rPr>
          <w:rFonts w:ascii="Times New Roman" w:hAnsi="Times New Roman"/>
          <w:sz w:val="24"/>
          <w:szCs w:val="24"/>
        </w:rPr>
        <w:t xml:space="preserve">separate </w:t>
      </w:r>
      <w:r w:rsidR="0021387E" w:rsidRPr="0042168B">
        <w:rPr>
          <w:rFonts w:ascii="Times New Roman" w:hAnsi="Times New Roman"/>
          <w:sz w:val="24"/>
          <w:szCs w:val="24"/>
        </w:rPr>
        <w:t xml:space="preserve">bidding </w:t>
      </w:r>
      <w:r w:rsidRPr="0042168B">
        <w:rPr>
          <w:rFonts w:ascii="Times New Roman" w:hAnsi="Times New Roman"/>
          <w:sz w:val="24"/>
          <w:szCs w:val="24"/>
        </w:rPr>
        <w:t xml:space="preserve">zones for constrained areas. Such </w:t>
      </w:r>
      <w:r w:rsidR="0021387E" w:rsidRPr="0042168B">
        <w:rPr>
          <w:rFonts w:ascii="Times New Roman" w:hAnsi="Times New Roman"/>
          <w:sz w:val="24"/>
          <w:szCs w:val="24"/>
        </w:rPr>
        <w:t xml:space="preserve">bidding </w:t>
      </w:r>
      <w:r w:rsidRPr="0042168B">
        <w:rPr>
          <w:rFonts w:ascii="Times New Roman" w:hAnsi="Times New Roman"/>
          <w:sz w:val="24"/>
          <w:szCs w:val="24"/>
        </w:rPr>
        <w:t xml:space="preserve">zones </w:t>
      </w:r>
      <w:r w:rsidR="0023088C" w:rsidRPr="0042168B">
        <w:rPr>
          <w:rFonts w:ascii="Times New Roman" w:hAnsi="Times New Roman"/>
          <w:sz w:val="24"/>
          <w:szCs w:val="24"/>
        </w:rPr>
        <w:t xml:space="preserve">could also </w:t>
      </w:r>
      <w:r w:rsidRPr="0042168B">
        <w:rPr>
          <w:rFonts w:ascii="Times New Roman" w:hAnsi="Times New Roman"/>
          <w:sz w:val="24"/>
          <w:szCs w:val="24"/>
        </w:rPr>
        <w:t>help highlight the need for greater network investment.</w:t>
      </w:r>
    </w:p>
    <w:p w:rsidR="00C600F4" w:rsidRPr="0042168B" w:rsidRDefault="00C600F4" w:rsidP="002D09BC">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addition, it is important to ensure that existing gas and electricity infrastructure is fully used </w:t>
      </w:r>
      <w:r w:rsidR="003D5F74" w:rsidRPr="0042168B">
        <w:rPr>
          <w:rFonts w:ascii="Times New Roman" w:hAnsi="Times New Roman"/>
          <w:sz w:val="24"/>
          <w:szCs w:val="24"/>
        </w:rPr>
        <w:t>for</w:t>
      </w:r>
      <w:r w:rsidRPr="0042168B">
        <w:rPr>
          <w:rFonts w:ascii="Times New Roman" w:hAnsi="Times New Roman"/>
          <w:sz w:val="24"/>
          <w:szCs w:val="24"/>
        </w:rPr>
        <w:t xml:space="preserve"> the benefit of market integration. The continued strict enforcement of competition rules will in particular aim at ensuring that markets are not partitioned by artificially restricting the use of existing capacity.</w:t>
      </w:r>
    </w:p>
    <w:p w:rsidR="007230E7" w:rsidRPr="0042168B" w:rsidRDefault="00FC0C0A" w:rsidP="002D09BC">
      <w:pPr>
        <w:spacing w:after="240" w:line="240" w:lineRule="auto"/>
        <w:jc w:val="both"/>
        <w:rPr>
          <w:rFonts w:ascii="Times New Roman" w:hAnsi="Times New Roman"/>
          <w:sz w:val="24"/>
          <w:szCs w:val="24"/>
        </w:rPr>
      </w:pPr>
      <w:r w:rsidRPr="0042168B">
        <w:rPr>
          <w:rFonts w:ascii="Times New Roman" w:hAnsi="Times New Roman"/>
          <w:sz w:val="24"/>
          <w:szCs w:val="24"/>
        </w:rPr>
        <w:t xml:space="preserve">Legislative proposals to implement the new market design </w:t>
      </w:r>
      <w:r w:rsidR="006826CE" w:rsidRPr="0042168B">
        <w:rPr>
          <w:rFonts w:ascii="Times New Roman" w:hAnsi="Times New Roman"/>
          <w:sz w:val="24"/>
          <w:szCs w:val="24"/>
        </w:rPr>
        <w:t>are planned for</w:t>
      </w:r>
      <w:r w:rsidRPr="0042168B">
        <w:rPr>
          <w:rFonts w:ascii="Times New Roman" w:hAnsi="Times New Roman"/>
          <w:sz w:val="24"/>
          <w:szCs w:val="24"/>
        </w:rPr>
        <w:t xml:space="preserve"> 2016. </w:t>
      </w:r>
      <w:r w:rsidR="006826CE" w:rsidRPr="0042168B">
        <w:rPr>
          <w:rFonts w:ascii="Times New Roman" w:hAnsi="Times New Roman"/>
          <w:sz w:val="24"/>
          <w:szCs w:val="24"/>
        </w:rPr>
        <w:t>T</w:t>
      </w:r>
      <w:r w:rsidRPr="0042168B">
        <w:rPr>
          <w:rFonts w:ascii="Times New Roman" w:hAnsi="Times New Roman"/>
          <w:sz w:val="24"/>
          <w:szCs w:val="24"/>
        </w:rPr>
        <w:t xml:space="preserve">he key objectives of the legislation </w:t>
      </w:r>
      <w:r w:rsidR="006826CE" w:rsidRPr="0042168B">
        <w:rPr>
          <w:rFonts w:ascii="Times New Roman" w:hAnsi="Times New Roman"/>
          <w:sz w:val="24"/>
          <w:szCs w:val="24"/>
        </w:rPr>
        <w:t>are</w:t>
      </w:r>
      <w:r w:rsidRPr="0042168B">
        <w:rPr>
          <w:rFonts w:ascii="Times New Roman" w:hAnsi="Times New Roman"/>
          <w:sz w:val="24"/>
          <w:szCs w:val="24"/>
        </w:rPr>
        <w:t xml:space="preserve"> to have </w:t>
      </w:r>
      <w:r w:rsidRPr="0042168B">
        <w:rPr>
          <w:rFonts w:ascii="Times New Roman" w:eastAsia="Arial Unicode MS" w:hAnsi="Times New Roman"/>
          <w:color w:val="000000"/>
          <w:sz w:val="24"/>
          <w:szCs w:val="24"/>
          <w:u w:color="000000"/>
          <w:lang w:eastAsia="en-GB"/>
        </w:rPr>
        <w:t>b</w:t>
      </w:r>
      <w:r w:rsidR="007230E7" w:rsidRPr="0042168B">
        <w:rPr>
          <w:rFonts w:ascii="Times New Roman" w:eastAsia="Arial Unicode MS" w:hAnsi="Times New Roman"/>
          <w:color w:val="000000"/>
          <w:sz w:val="24"/>
          <w:szCs w:val="24"/>
          <w:u w:color="000000"/>
          <w:lang w:eastAsia="en-GB"/>
        </w:rPr>
        <w:t>etter link</w:t>
      </w:r>
      <w:r w:rsidR="00665B43" w:rsidRPr="0042168B">
        <w:rPr>
          <w:rFonts w:ascii="Times New Roman" w:eastAsia="Arial Unicode MS" w:hAnsi="Times New Roman"/>
          <w:color w:val="000000"/>
          <w:sz w:val="24"/>
          <w:szCs w:val="24"/>
          <w:u w:color="000000"/>
          <w:lang w:eastAsia="en-GB"/>
        </w:rPr>
        <w:t>ed</w:t>
      </w:r>
      <w:r w:rsidR="007230E7" w:rsidRPr="0042168B">
        <w:rPr>
          <w:rFonts w:ascii="Times New Roman" w:eastAsia="Arial Unicode MS" w:hAnsi="Times New Roman"/>
          <w:color w:val="000000"/>
          <w:sz w:val="24"/>
          <w:szCs w:val="24"/>
          <w:u w:color="000000"/>
          <w:lang w:eastAsia="en-GB"/>
        </w:rPr>
        <w:t xml:space="preserve"> wholesale and retail markets</w:t>
      </w:r>
      <w:r w:rsidRPr="0042168B">
        <w:rPr>
          <w:rFonts w:ascii="Times New Roman" w:eastAsia="Arial Unicode MS" w:hAnsi="Times New Roman"/>
          <w:color w:val="000000"/>
          <w:sz w:val="24"/>
          <w:szCs w:val="24"/>
          <w:u w:color="000000"/>
          <w:lang w:eastAsia="en-GB"/>
        </w:rPr>
        <w:t>;</w:t>
      </w:r>
      <w:r w:rsidR="007230E7" w:rsidRPr="0042168B">
        <w:rPr>
          <w:rFonts w:ascii="Times New Roman" w:eastAsia="Arial Unicode MS" w:hAnsi="Times New Roman"/>
          <w:color w:val="000000"/>
          <w:sz w:val="24"/>
          <w:szCs w:val="24"/>
          <w:u w:color="000000"/>
          <w:lang w:eastAsia="en-GB"/>
        </w:rPr>
        <w:t xml:space="preserve"> </w:t>
      </w:r>
      <w:r w:rsidR="00921E6C" w:rsidRPr="0042168B">
        <w:rPr>
          <w:rFonts w:ascii="Times New Roman" w:hAnsi="Times New Roman"/>
          <w:sz w:val="24"/>
          <w:szCs w:val="24"/>
        </w:rPr>
        <w:t xml:space="preserve">strengthened </w:t>
      </w:r>
      <w:r w:rsidR="007230E7" w:rsidRPr="0042168B">
        <w:rPr>
          <w:rFonts w:ascii="Times New Roman" w:hAnsi="Times New Roman"/>
          <w:sz w:val="24"/>
          <w:szCs w:val="24"/>
        </w:rPr>
        <w:t xml:space="preserve">regional cooperation and </w:t>
      </w:r>
      <w:r w:rsidR="00921E6C" w:rsidRPr="0042168B">
        <w:rPr>
          <w:rFonts w:ascii="Times New Roman" w:hAnsi="Times New Roman"/>
          <w:sz w:val="24"/>
          <w:szCs w:val="24"/>
        </w:rPr>
        <w:t xml:space="preserve">increased </w:t>
      </w:r>
      <w:r w:rsidR="007230E7" w:rsidRPr="0042168B">
        <w:rPr>
          <w:rFonts w:ascii="Times New Roman" w:hAnsi="Times New Roman"/>
          <w:sz w:val="24"/>
          <w:szCs w:val="24"/>
        </w:rPr>
        <w:t>cross-border trade</w:t>
      </w:r>
      <w:r w:rsidRPr="0042168B">
        <w:rPr>
          <w:rFonts w:ascii="Times New Roman" w:hAnsi="Times New Roman"/>
          <w:sz w:val="24"/>
          <w:szCs w:val="24"/>
        </w:rPr>
        <w:t>;</w:t>
      </w:r>
      <w:r w:rsidR="007230E7" w:rsidRPr="0042168B">
        <w:rPr>
          <w:rFonts w:ascii="Times New Roman" w:hAnsi="Times New Roman"/>
          <w:sz w:val="24"/>
          <w:szCs w:val="24"/>
        </w:rPr>
        <w:t xml:space="preserve"> and developing short-term and long-term markets </w:t>
      </w:r>
      <w:r w:rsidRPr="0042168B">
        <w:rPr>
          <w:rFonts w:ascii="Times New Roman" w:hAnsi="Times New Roman"/>
          <w:sz w:val="24"/>
          <w:szCs w:val="24"/>
        </w:rPr>
        <w:t xml:space="preserve">to </w:t>
      </w:r>
      <w:r w:rsidR="007230E7" w:rsidRPr="0042168B">
        <w:rPr>
          <w:rFonts w:ascii="Times New Roman" w:hAnsi="Times New Roman"/>
          <w:sz w:val="24"/>
          <w:szCs w:val="24"/>
        </w:rPr>
        <w:t xml:space="preserve">send the right investment signals for modern technologies </w:t>
      </w:r>
      <w:r w:rsidRPr="0042168B">
        <w:rPr>
          <w:rFonts w:ascii="Times New Roman" w:hAnsi="Times New Roman"/>
          <w:sz w:val="24"/>
          <w:szCs w:val="24"/>
        </w:rPr>
        <w:t>to both producers and consumers of electricity</w:t>
      </w:r>
      <w:r w:rsidR="007230E7" w:rsidRPr="0042168B">
        <w:rPr>
          <w:rFonts w:ascii="Times New Roman" w:hAnsi="Times New Roman"/>
          <w:sz w:val="24"/>
          <w:szCs w:val="24"/>
        </w:rPr>
        <w:t xml:space="preserve">. </w:t>
      </w:r>
      <w:r w:rsidRPr="0042168B">
        <w:rPr>
          <w:rFonts w:ascii="Times New Roman" w:hAnsi="Times New Roman"/>
          <w:sz w:val="24"/>
          <w:szCs w:val="24"/>
        </w:rPr>
        <w:t xml:space="preserve">The impact of a revised EU Emissions Trading System should also provide better long-term investment signals for low carbon investments. </w:t>
      </w:r>
      <w:r w:rsidR="002D09BC" w:rsidRPr="0042168B">
        <w:rPr>
          <w:rFonts w:ascii="Times New Roman" w:hAnsi="Times New Roman"/>
          <w:sz w:val="24"/>
          <w:szCs w:val="24"/>
        </w:rPr>
        <w:t>The Commission is ensuring that where Member States support increased investment in their energy markets through State aid, support policies are designed in line with the requirements in the State Aid Guidelines for environment and energy</w:t>
      </w:r>
      <w:r w:rsidR="002D09BC" w:rsidRPr="0042168B">
        <w:rPr>
          <w:rStyle w:val="FootnoteReference"/>
          <w:rFonts w:ascii="Times New Roman" w:hAnsi="Times New Roman"/>
          <w:sz w:val="24"/>
          <w:szCs w:val="24"/>
        </w:rPr>
        <w:footnoteReference w:id="23"/>
      </w:r>
      <w:r w:rsidR="002D09BC" w:rsidRPr="0042168B">
        <w:rPr>
          <w:rFonts w:ascii="Times New Roman" w:hAnsi="Times New Roman"/>
          <w:sz w:val="24"/>
          <w:szCs w:val="24"/>
        </w:rPr>
        <w:t xml:space="preserve"> </w:t>
      </w:r>
      <w:r w:rsidR="00E25FBD" w:rsidRPr="0042168B">
        <w:rPr>
          <w:rFonts w:ascii="Times New Roman" w:hAnsi="Times New Roman"/>
          <w:sz w:val="24"/>
          <w:szCs w:val="24"/>
        </w:rPr>
        <w:t xml:space="preserve">to avoid </w:t>
      </w:r>
      <w:r w:rsidR="002D09BC" w:rsidRPr="0042168B">
        <w:rPr>
          <w:rFonts w:ascii="Times New Roman" w:hAnsi="Times New Roman"/>
          <w:sz w:val="24"/>
          <w:szCs w:val="24"/>
        </w:rPr>
        <w:t xml:space="preserve">potential distortions of </w:t>
      </w:r>
      <w:r w:rsidR="00E25FBD" w:rsidRPr="0042168B">
        <w:rPr>
          <w:rFonts w:ascii="Times New Roman" w:hAnsi="Times New Roman"/>
          <w:sz w:val="24"/>
          <w:szCs w:val="24"/>
        </w:rPr>
        <w:t>the market</w:t>
      </w:r>
      <w:r w:rsidR="002D09BC" w:rsidRPr="0042168B">
        <w:rPr>
          <w:rFonts w:ascii="Times New Roman" w:hAnsi="Times New Roman"/>
          <w:sz w:val="24"/>
          <w:szCs w:val="24"/>
        </w:rPr>
        <w:t xml:space="preserve">. </w:t>
      </w:r>
      <w:r w:rsidR="007230E7" w:rsidRPr="0042168B">
        <w:rPr>
          <w:rFonts w:ascii="Times New Roman" w:hAnsi="Times New Roman"/>
          <w:sz w:val="24"/>
          <w:szCs w:val="24"/>
        </w:rPr>
        <w:t xml:space="preserve">In addition, the ongoing </w:t>
      </w:r>
      <w:r w:rsidR="002D09BC" w:rsidRPr="0042168B">
        <w:rPr>
          <w:rFonts w:ascii="Times New Roman" w:hAnsi="Times New Roman"/>
          <w:sz w:val="24"/>
          <w:szCs w:val="24"/>
        </w:rPr>
        <w:t xml:space="preserve">State aid </w:t>
      </w:r>
      <w:r w:rsidR="007230E7" w:rsidRPr="0042168B">
        <w:rPr>
          <w:rFonts w:ascii="Times New Roman" w:hAnsi="Times New Roman"/>
          <w:sz w:val="24"/>
          <w:szCs w:val="24"/>
        </w:rPr>
        <w:t>Sector Inquiry on Electricity Capacity Mechanisms</w:t>
      </w:r>
      <w:r w:rsidR="007230E7" w:rsidRPr="0042168B">
        <w:rPr>
          <w:rStyle w:val="FootnoteReference"/>
          <w:rFonts w:ascii="Times New Roman" w:hAnsi="Times New Roman"/>
          <w:sz w:val="24"/>
          <w:szCs w:val="24"/>
        </w:rPr>
        <w:footnoteReference w:id="24"/>
      </w:r>
      <w:r w:rsidR="007230E7" w:rsidRPr="0042168B">
        <w:rPr>
          <w:rFonts w:ascii="Times New Roman" w:hAnsi="Times New Roman"/>
          <w:sz w:val="24"/>
          <w:szCs w:val="24"/>
        </w:rPr>
        <w:t xml:space="preserve"> </w:t>
      </w:r>
      <w:r w:rsidR="0021387E" w:rsidRPr="0042168B">
        <w:rPr>
          <w:rFonts w:ascii="Times New Roman" w:hAnsi="Times New Roman"/>
          <w:sz w:val="24"/>
          <w:szCs w:val="24"/>
        </w:rPr>
        <w:t xml:space="preserve">is examining the </w:t>
      </w:r>
      <w:r w:rsidR="007230E7" w:rsidRPr="0042168B">
        <w:rPr>
          <w:rFonts w:ascii="Times New Roman" w:hAnsi="Times New Roman"/>
          <w:sz w:val="24"/>
          <w:szCs w:val="24"/>
        </w:rPr>
        <w:t xml:space="preserve">extent </w:t>
      </w:r>
      <w:r w:rsidR="0021387E" w:rsidRPr="0042168B">
        <w:rPr>
          <w:rFonts w:ascii="Times New Roman" w:hAnsi="Times New Roman"/>
          <w:sz w:val="24"/>
          <w:szCs w:val="24"/>
        </w:rPr>
        <w:t xml:space="preserve">to which </w:t>
      </w:r>
      <w:r w:rsidR="007230E7" w:rsidRPr="0042168B">
        <w:rPr>
          <w:rFonts w:ascii="Times New Roman" w:hAnsi="Times New Roman"/>
          <w:sz w:val="24"/>
          <w:szCs w:val="24"/>
        </w:rPr>
        <w:t xml:space="preserve">existing and planned capacity mechanisms </w:t>
      </w:r>
      <w:r w:rsidR="0021387E" w:rsidRPr="0042168B">
        <w:rPr>
          <w:rFonts w:ascii="Times New Roman" w:hAnsi="Times New Roman"/>
          <w:sz w:val="24"/>
          <w:szCs w:val="24"/>
        </w:rPr>
        <w:t xml:space="preserve">may </w:t>
      </w:r>
      <w:r w:rsidR="007230E7" w:rsidRPr="0042168B">
        <w:rPr>
          <w:rFonts w:ascii="Times New Roman" w:hAnsi="Times New Roman"/>
          <w:sz w:val="24"/>
          <w:szCs w:val="24"/>
        </w:rPr>
        <w:t>hinder the efficiency of the internal market.</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When preparing </w:t>
      </w:r>
      <w:r w:rsidR="009D4C15" w:rsidRPr="0042168B">
        <w:rPr>
          <w:rFonts w:ascii="Times New Roman" w:hAnsi="Times New Roman"/>
          <w:sz w:val="24"/>
          <w:szCs w:val="24"/>
        </w:rPr>
        <w:t xml:space="preserve">these </w:t>
      </w:r>
      <w:r w:rsidRPr="0042168B">
        <w:rPr>
          <w:rFonts w:ascii="Times New Roman" w:hAnsi="Times New Roman"/>
          <w:sz w:val="24"/>
          <w:szCs w:val="24"/>
        </w:rPr>
        <w:t xml:space="preserve">legislative proposals, the Commission </w:t>
      </w:r>
      <w:r w:rsidR="003A6B9A" w:rsidRPr="0042168B">
        <w:rPr>
          <w:rFonts w:ascii="Times New Roman" w:hAnsi="Times New Roman"/>
          <w:sz w:val="24"/>
          <w:szCs w:val="24"/>
        </w:rPr>
        <w:t>will</w:t>
      </w:r>
      <w:r w:rsidR="006826CE" w:rsidRPr="0042168B">
        <w:rPr>
          <w:rFonts w:ascii="Times New Roman" w:hAnsi="Times New Roman"/>
          <w:sz w:val="24"/>
          <w:szCs w:val="24"/>
        </w:rPr>
        <w:t xml:space="preserve"> </w:t>
      </w:r>
      <w:r w:rsidRPr="0042168B">
        <w:rPr>
          <w:rFonts w:ascii="Times New Roman" w:hAnsi="Times New Roman"/>
          <w:sz w:val="24"/>
          <w:szCs w:val="24"/>
        </w:rPr>
        <w:t>put special emphasis on stimulating demand response participation</w:t>
      </w:r>
      <w:r w:rsidR="00505C60" w:rsidRPr="0042168B">
        <w:rPr>
          <w:rFonts w:ascii="Times New Roman" w:hAnsi="Times New Roman"/>
          <w:sz w:val="24"/>
          <w:szCs w:val="24"/>
        </w:rPr>
        <w:t xml:space="preserve"> as a means to increasing efficiency and flexibility in energy networks</w:t>
      </w:r>
      <w:r w:rsidRPr="0042168B">
        <w:rPr>
          <w:rFonts w:ascii="Times New Roman" w:hAnsi="Times New Roman"/>
          <w:sz w:val="24"/>
          <w:szCs w:val="24"/>
        </w:rPr>
        <w:t xml:space="preserve">. Lack of information on cost and consumption, difficulties in switching suppliers and lack of reward for active participation should become a thing of the past. </w:t>
      </w:r>
    </w:p>
    <w:p w:rsidR="003C39FE"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Consumers – both households and industry – want more transparency of energy prices and costs. Therefore, the Commission </w:t>
      </w:r>
      <w:r w:rsidR="00CC4E91" w:rsidRPr="0042168B">
        <w:rPr>
          <w:rFonts w:ascii="Times New Roman" w:hAnsi="Times New Roman"/>
          <w:sz w:val="24"/>
          <w:szCs w:val="24"/>
        </w:rPr>
        <w:t xml:space="preserve">is preparing, for </w:t>
      </w:r>
      <w:r w:rsidRPr="0042168B">
        <w:rPr>
          <w:rFonts w:ascii="Times New Roman" w:hAnsi="Times New Roman"/>
          <w:sz w:val="24"/>
          <w:szCs w:val="24"/>
        </w:rPr>
        <w:t>publi</w:t>
      </w:r>
      <w:r w:rsidR="00CC4E91" w:rsidRPr="0042168B">
        <w:rPr>
          <w:rFonts w:ascii="Times New Roman" w:hAnsi="Times New Roman"/>
          <w:sz w:val="24"/>
          <w:szCs w:val="24"/>
        </w:rPr>
        <w:t>cation</w:t>
      </w:r>
      <w:r w:rsidRPr="0042168B">
        <w:rPr>
          <w:rFonts w:ascii="Times New Roman" w:hAnsi="Times New Roman"/>
          <w:sz w:val="24"/>
          <w:szCs w:val="24"/>
        </w:rPr>
        <w:t xml:space="preserve"> in 2016</w:t>
      </w:r>
      <w:r w:rsidR="00CC4E91" w:rsidRPr="0042168B">
        <w:rPr>
          <w:rFonts w:ascii="Times New Roman" w:hAnsi="Times New Roman"/>
          <w:sz w:val="24"/>
          <w:szCs w:val="24"/>
        </w:rPr>
        <w:t>,</w:t>
      </w:r>
      <w:r w:rsidRPr="0042168B">
        <w:rPr>
          <w:rFonts w:ascii="Times New Roman" w:hAnsi="Times New Roman"/>
          <w:sz w:val="24"/>
          <w:szCs w:val="24"/>
        </w:rPr>
        <w:t xml:space="preserve"> a new energy prices and costs report to provide an overview of the cost of energy, taxes, levies, but also subsidies. This </w:t>
      </w:r>
      <w:r w:rsidR="00CC4E91" w:rsidRPr="0042168B">
        <w:rPr>
          <w:rFonts w:ascii="Times New Roman" w:hAnsi="Times New Roman"/>
          <w:sz w:val="24"/>
          <w:szCs w:val="24"/>
        </w:rPr>
        <w:t xml:space="preserve">should </w:t>
      </w:r>
      <w:r w:rsidRPr="0042168B">
        <w:rPr>
          <w:rFonts w:ascii="Times New Roman" w:hAnsi="Times New Roman"/>
          <w:sz w:val="24"/>
          <w:szCs w:val="24"/>
        </w:rPr>
        <w:t>contribute to a more informed discussion on different price levels in Member States, the different components of energy prices, their influence on the competitiveness of European industry and investment in Europe and their ability to influence consumer behaviour</w:t>
      </w:r>
      <w:r w:rsidR="00DA1573" w:rsidRPr="0042168B">
        <w:rPr>
          <w:rFonts w:ascii="Times New Roman" w:hAnsi="Times New Roman"/>
          <w:sz w:val="24"/>
          <w:szCs w:val="24"/>
        </w:rPr>
        <w:t>.</w:t>
      </w:r>
      <w:r w:rsidR="009460C9" w:rsidRPr="0042168B">
        <w:rPr>
          <w:rFonts w:ascii="Times New Roman" w:hAnsi="Times New Roman"/>
          <w:sz w:val="24"/>
          <w:szCs w:val="24"/>
        </w:rPr>
        <w:t xml:space="preserve"> As a first step, the Commission presented today a proposal to improve European statistics on gas and electricity prices.</w:t>
      </w:r>
      <w:r w:rsidR="005850E7" w:rsidRPr="0042168B">
        <w:rPr>
          <w:rStyle w:val="FootnoteReference"/>
          <w:rFonts w:ascii="Times New Roman" w:hAnsi="Times New Roman"/>
          <w:sz w:val="24"/>
          <w:szCs w:val="24"/>
        </w:rPr>
        <w:footnoteReference w:id="25"/>
      </w:r>
    </w:p>
    <w:p w:rsidR="007230E7" w:rsidRPr="0042168B" w:rsidRDefault="003C39FE"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When reviewing </w:t>
      </w:r>
      <w:r w:rsidR="00281BFC" w:rsidRPr="0042168B">
        <w:rPr>
          <w:rFonts w:ascii="Times New Roman" w:hAnsi="Times New Roman"/>
          <w:sz w:val="24"/>
          <w:szCs w:val="24"/>
        </w:rPr>
        <w:t xml:space="preserve">key </w:t>
      </w:r>
      <w:r w:rsidRPr="0042168B">
        <w:rPr>
          <w:rFonts w:ascii="Times New Roman" w:hAnsi="Times New Roman"/>
          <w:sz w:val="24"/>
          <w:szCs w:val="24"/>
        </w:rPr>
        <w:t>legislation</w:t>
      </w:r>
      <w:r w:rsidR="00281BFC" w:rsidRPr="0042168B">
        <w:rPr>
          <w:rFonts w:ascii="Times New Roman" w:hAnsi="Times New Roman"/>
          <w:sz w:val="24"/>
          <w:szCs w:val="24"/>
        </w:rPr>
        <w:t xml:space="preserve"> in 2016</w:t>
      </w:r>
      <w:r w:rsidRPr="0042168B">
        <w:rPr>
          <w:rFonts w:ascii="Times New Roman" w:hAnsi="Times New Roman"/>
          <w:sz w:val="24"/>
          <w:szCs w:val="24"/>
        </w:rPr>
        <w:t xml:space="preserve">, the Commission </w:t>
      </w:r>
      <w:r w:rsidR="00CC4E91" w:rsidRPr="0042168B">
        <w:rPr>
          <w:rFonts w:ascii="Times New Roman" w:hAnsi="Times New Roman"/>
          <w:sz w:val="24"/>
          <w:szCs w:val="24"/>
        </w:rPr>
        <w:t xml:space="preserve">is </w:t>
      </w:r>
      <w:r w:rsidRPr="0042168B">
        <w:rPr>
          <w:rFonts w:ascii="Times New Roman" w:hAnsi="Times New Roman"/>
          <w:sz w:val="24"/>
          <w:szCs w:val="24"/>
        </w:rPr>
        <w:t>pay</w:t>
      </w:r>
      <w:r w:rsidR="00CC4E91" w:rsidRPr="0042168B">
        <w:rPr>
          <w:rFonts w:ascii="Times New Roman" w:hAnsi="Times New Roman"/>
          <w:sz w:val="24"/>
          <w:szCs w:val="24"/>
        </w:rPr>
        <w:t>ing</w:t>
      </w:r>
      <w:r w:rsidRPr="0042168B">
        <w:rPr>
          <w:rFonts w:ascii="Times New Roman" w:hAnsi="Times New Roman"/>
          <w:sz w:val="24"/>
          <w:szCs w:val="24"/>
        </w:rPr>
        <w:t xml:space="preserve"> particular attention to the protection of vulnerable consumers</w:t>
      </w:r>
      <w:r w:rsidR="005850E7" w:rsidRPr="0042168B">
        <w:rPr>
          <w:rFonts w:ascii="Times New Roman" w:hAnsi="Times New Roman"/>
          <w:sz w:val="24"/>
          <w:szCs w:val="24"/>
        </w:rPr>
        <w:t>,</w:t>
      </w:r>
      <w:r w:rsidRPr="0042168B">
        <w:rPr>
          <w:rFonts w:ascii="Times New Roman" w:hAnsi="Times New Roman"/>
          <w:sz w:val="24"/>
          <w:szCs w:val="24"/>
        </w:rPr>
        <w:t xml:space="preserve"> </w:t>
      </w:r>
      <w:r w:rsidR="00281BFC" w:rsidRPr="0042168B">
        <w:rPr>
          <w:rFonts w:ascii="Times New Roman" w:hAnsi="Times New Roman"/>
          <w:sz w:val="24"/>
          <w:szCs w:val="24"/>
        </w:rPr>
        <w:t xml:space="preserve">such as in </w:t>
      </w:r>
      <w:r w:rsidRPr="0042168B">
        <w:rPr>
          <w:rFonts w:ascii="Times New Roman" w:hAnsi="Times New Roman"/>
          <w:sz w:val="24"/>
          <w:szCs w:val="24"/>
        </w:rPr>
        <w:t xml:space="preserve">the review of the Energy Efficiency Directive </w:t>
      </w:r>
      <w:r w:rsidR="00281BFC" w:rsidRPr="0042168B">
        <w:rPr>
          <w:rFonts w:ascii="Times New Roman" w:hAnsi="Times New Roman"/>
          <w:sz w:val="24"/>
          <w:szCs w:val="24"/>
        </w:rPr>
        <w:t xml:space="preserve">or </w:t>
      </w:r>
      <w:r w:rsidRPr="0042168B">
        <w:rPr>
          <w:rFonts w:ascii="Times New Roman" w:hAnsi="Times New Roman"/>
          <w:sz w:val="24"/>
          <w:szCs w:val="24"/>
        </w:rPr>
        <w:t xml:space="preserve">in the new market design proposal, where obligations of Member States and market operators with regard to vulnerable consumers </w:t>
      </w:r>
      <w:r w:rsidR="00281BFC" w:rsidRPr="0042168B">
        <w:rPr>
          <w:rFonts w:ascii="Times New Roman" w:hAnsi="Times New Roman"/>
          <w:sz w:val="24"/>
          <w:szCs w:val="24"/>
        </w:rPr>
        <w:t>c</w:t>
      </w:r>
      <w:r w:rsidRPr="0042168B">
        <w:rPr>
          <w:rFonts w:ascii="Times New Roman" w:hAnsi="Times New Roman"/>
          <w:sz w:val="24"/>
          <w:szCs w:val="24"/>
        </w:rPr>
        <w:t xml:space="preserve">ould be better articulated. The Commission </w:t>
      </w:r>
      <w:r w:rsidR="00CC4E91" w:rsidRPr="0042168B">
        <w:rPr>
          <w:rFonts w:ascii="Times New Roman" w:hAnsi="Times New Roman"/>
          <w:sz w:val="24"/>
          <w:szCs w:val="24"/>
        </w:rPr>
        <w:t>intends to</w:t>
      </w:r>
      <w:r w:rsidRPr="0042168B">
        <w:rPr>
          <w:rFonts w:ascii="Times New Roman" w:hAnsi="Times New Roman"/>
          <w:sz w:val="24"/>
          <w:szCs w:val="24"/>
        </w:rPr>
        <w:t xml:space="preserve"> </w:t>
      </w:r>
      <w:r w:rsidR="00F23B13" w:rsidRPr="0042168B">
        <w:rPr>
          <w:rFonts w:ascii="Times New Roman" w:hAnsi="Times New Roman"/>
          <w:sz w:val="24"/>
          <w:szCs w:val="24"/>
        </w:rPr>
        <w:t>ensure</w:t>
      </w:r>
      <w:r w:rsidRPr="0042168B">
        <w:rPr>
          <w:rFonts w:ascii="Times New Roman" w:hAnsi="Times New Roman"/>
          <w:sz w:val="24"/>
          <w:szCs w:val="24"/>
        </w:rPr>
        <w:t xml:space="preserve"> that financing programmes for energy efficiency are accessible to poor and vulnerable </w:t>
      </w:r>
      <w:r w:rsidR="00AB42C9" w:rsidRPr="0042168B">
        <w:rPr>
          <w:rFonts w:ascii="Times New Roman" w:hAnsi="Times New Roman"/>
          <w:sz w:val="24"/>
          <w:szCs w:val="24"/>
        </w:rPr>
        <w:t xml:space="preserve">energy </w:t>
      </w:r>
      <w:r w:rsidRPr="0042168B">
        <w:rPr>
          <w:rFonts w:ascii="Times New Roman" w:hAnsi="Times New Roman"/>
          <w:sz w:val="24"/>
          <w:szCs w:val="24"/>
        </w:rPr>
        <w:t>customers</w:t>
      </w:r>
      <w:r w:rsidR="00C600F4" w:rsidRPr="0042168B">
        <w:rPr>
          <w:rFonts w:ascii="Times New Roman" w:hAnsi="Times New Roman"/>
          <w:sz w:val="24"/>
          <w:szCs w:val="24"/>
        </w:rPr>
        <w:t xml:space="preserve"> and </w:t>
      </w:r>
      <w:r w:rsidR="00F23B13" w:rsidRPr="0042168B">
        <w:rPr>
          <w:rFonts w:ascii="Times New Roman" w:hAnsi="Times New Roman"/>
          <w:sz w:val="24"/>
          <w:szCs w:val="24"/>
        </w:rPr>
        <w:t>it will seek</w:t>
      </w:r>
      <w:r w:rsidR="00C600F4" w:rsidRPr="0042168B">
        <w:rPr>
          <w:rFonts w:ascii="Times New Roman" w:hAnsi="Times New Roman"/>
          <w:sz w:val="24"/>
          <w:szCs w:val="24"/>
        </w:rPr>
        <w:t xml:space="preserve"> to improve data collection on energy poverty</w:t>
      </w:r>
      <w:r w:rsidRPr="0042168B">
        <w:rPr>
          <w:rFonts w:ascii="Times New Roman" w:hAnsi="Times New Roman"/>
          <w:sz w:val="24"/>
          <w:szCs w:val="24"/>
        </w:rPr>
        <w:t>.</w:t>
      </w:r>
    </w:p>
    <w:p w:rsidR="00665B43" w:rsidRPr="0042168B" w:rsidRDefault="00665B43" w:rsidP="00072ED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sidRPr="0042168B">
        <w:rPr>
          <w:rFonts w:ascii="Times New Roman" w:hAnsi="Times New Roman"/>
          <w:i/>
          <w:sz w:val="24"/>
          <w:szCs w:val="24"/>
        </w:rPr>
        <w:t>Policy conclusions at Member State, regional and EU levels:</w:t>
      </w:r>
    </w:p>
    <w:p w:rsidR="00E16516" w:rsidRPr="0042168B" w:rsidRDefault="00AB126E"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sidRPr="0042168B">
        <w:rPr>
          <w:rFonts w:ascii="Times New Roman" w:hAnsi="Times New Roman"/>
          <w:i/>
          <w:sz w:val="24"/>
          <w:szCs w:val="24"/>
        </w:rPr>
        <w:t>Many Member States have made good progress in opening up their wholesale markets to competition, and this has had significant benefits</w:t>
      </w:r>
      <w:r w:rsidR="009460C9" w:rsidRPr="0042168B">
        <w:rPr>
          <w:rFonts w:ascii="Times New Roman" w:hAnsi="Times New Roman"/>
          <w:i/>
          <w:sz w:val="24"/>
          <w:szCs w:val="24"/>
        </w:rPr>
        <w:t>.</w:t>
      </w:r>
      <w:r w:rsidRPr="0042168B">
        <w:rPr>
          <w:rFonts w:ascii="Times New Roman" w:hAnsi="Times New Roman"/>
          <w:i/>
          <w:sz w:val="24"/>
          <w:szCs w:val="24"/>
        </w:rPr>
        <w:t xml:space="preserve"> However, there are large differences between Member States, </w:t>
      </w:r>
      <w:r w:rsidR="002E5A9E" w:rsidRPr="0042168B">
        <w:rPr>
          <w:rFonts w:ascii="Times New Roman" w:hAnsi="Times New Roman"/>
          <w:i/>
          <w:sz w:val="24"/>
          <w:szCs w:val="24"/>
        </w:rPr>
        <w:t xml:space="preserve">and many Member States have not yet fully implemented the necessary rules that allow for competitive and liquid markets. </w:t>
      </w:r>
    </w:p>
    <w:p w:rsidR="00C3144B" w:rsidRPr="0042168B" w:rsidRDefault="00AB126E"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sidRPr="0042168B">
        <w:rPr>
          <w:rFonts w:ascii="Times New Roman" w:hAnsi="Times New Roman"/>
          <w:i/>
          <w:sz w:val="24"/>
          <w:szCs w:val="24"/>
        </w:rPr>
        <w:t xml:space="preserve">With regard to electricity infrastructure, 22 Member States are on track to reach or have already reached the 10% electricity interconnection capacity target for 2020. The </w:t>
      </w:r>
      <w:r w:rsidR="006E798C" w:rsidRPr="0042168B">
        <w:rPr>
          <w:rFonts w:ascii="Times New Roman" w:hAnsi="Times New Roman"/>
          <w:i/>
          <w:sz w:val="24"/>
          <w:szCs w:val="24"/>
        </w:rPr>
        <w:t xml:space="preserve">eight </w:t>
      </w:r>
      <w:r w:rsidRPr="0042168B">
        <w:rPr>
          <w:rFonts w:ascii="Times New Roman" w:hAnsi="Times New Roman"/>
          <w:i/>
          <w:sz w:val="24"/>
          <w:szCs w:val="24"/>
        </w:rPr>
        <w:t xml:space="preserve">Member States currently remaining below the 2020 interconnection target are Cyprus, Ireland, Italy, Poland, Portugal, Romania, Spain and the United Kingdom. </w:t>
      </w:r>
    </w:p>
    <w:p w:rsidR="00764AA2" w:rsidRPr="0042168B" w:rsidRDefault="00C3144B"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sidRPr="0042168B">
        <w:rPr>
          <w:rFonts w:ascii="Times New Roman" w:hAnsi="Times New Roman"/>
          <w:i/>
          <w:sz w:val="24"/>
          <w:szCs w:val="24"/>
        </w:rPr>
        <w:t>I</w:t>
      </w:r>
      <w:r w:rsidR="00AB126E" w:rsidRPr="0042168B">
        <w:rPr>
          <w:rFonts w:ascii="Times New Roman" w:hAnsi="Times New Roman"/>
          <w:i/>
          <w:sz w:val="24"/>
          <w:szCs w:val="24"/>
        </w:rPr>
        <w:t>nterconnections are still needed to further deepen the internal electricity market (</w:t>
      </w:r>
      <w:r w:rsidR="005850E7" w:rsidRPr="0042168B">
        <w:rPr>
          <w:rFonts w:ascii="Times New Roman" w:hAnsi="Times New Roman"/>
          <w:i/>
          <w:sz w:val="24"/>
          <w:szCs w:val="24"/>
        </w:rPr>
        <w:t>e.g.</w:t>
      </w:r>
      <w:r w:rsidR="00AB126E" w:rsidRPr="0042168B">
        <w:rPr>
          <w:rFonts w:ascii="Times New Roman" w:hAnsi="Times New Roman"/>
          <w:i/>
          <w:sz w:val="24"/>
          <w:szCs w:val="24"/>
        </w:rPr>
        <w:t xml:space="preserve"> in South Western Europe) as well as between several Member States in Northern and Eastern Europe (e.g. Germany, Poland and the Czech Republic), or further connecting Member States (Ireland and the </w:t>
      </w:r>
      <w:r w:rsidR="000D3DD8" w:rsidRPr="0042168B">
        <w:rPr>
          <w:rFonts w:ascii="Times New Roman" w:hAnsi="Times New Roman"/>
          <w:i/>
          <w:sz w:val="24"/>
          <w:szCs w:val="24"/>
        </w:rPr>
        <w:t>United Kingdom</w:t>
      </w:r>
      <w:r w:rsidR="00AB126E" w:rsidRPr="0042168B">
        <w:rPr>
          <w:rFonts w:ascii="Times New Roman" w:hAnsi="Times New Roman"/>
          <w:i/>
          <w:sz w:val="24"/>
          <w:szCs w:val="24"/>
        </w:rPr>
        <w:t>) with the rest of North Western Europe</w:t>
      </w:r>
      <w:r w:rsidR="00085F3C" w:rsidRPr="0042168B">
        <w:rPr>
          <w:rFonts w:ascii="Times New Roman" w:hAnsi="Times New Roman"/>
          <w:i/>
          <w:sz w:val="24"/>
          <w:szCs w:val="24"/>
        </w:rPr>
        <w:t>.</w:t>
      </w:r>
      <w:r w:rsidR="00764AA2" w:rsidRPr="0042168B">
        <w:rPr>
          <w:rFonts w:ascii="Times New Roman" w:hAnsi="Times New Roman"/>
          <w:i/>
          <w:sz w:val="24"/>
          <w:szCs w:val="24"/>
        </w:rPr>
        <w:t xml:space="preserve"> </w:t>
      </w:r>
    </w:p>
    <w:p w:rsidR="009460C9" w:rsidRPr="0042168B" w:rsidRDefault="009D4C15"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sidRPr="0042168B">
        <w:rPr>
          <w:rFonts w:ascii="Times New Roman" w:hAnsi="Times New Roman"/>
          <w:i/>
          <w:sz w:val="24"/>
          <w:szCs w:val="24"/>
        </w:rPr>
        <w:t>Retail p</w:t>
      </w:r>
      <w:r w:rsidR="00505C60" w:rsidRPr="0042168B">
        <w:rPr>
          <w:rFonts w:ascii="Times New Roman" w:hAnsi="Times New Roman"/>
          <w:i/>
          <w:sz w:val="24"/>
          <w:szCs w:val="24"/>
        </w:rPr>
        <w:t xml:space="preserve">rice regulation </w:t>
      </w:r>
      <w:r w:rsidRPr="0042168B">
        <w:rPr>
          <w:rFonts w:ascii="Times New Roman" w:hAnsi="Times New Roman"/>
          <w:i/>
          <w:sz w:val="24"/>
          <w:szCs w:val="24"/>
        </w:rPr>
        <w:t xml:space="preserve">must be limited in time and confined </w:t>
      </w:r>
      <w:r w:rsidR="00505C60" w:rsidRPr="0042168B">
        <w:rPr>
          <w:rFonts w:ascii="Times New Roman" w:hAnsi="Times New Roman"/>
          <w:i/>
          <w:sz w:val="24"/>
          <w:szCs w:val="24"/>
        </w:rPr>
        <w:t xml:space="preserve">to exceptional cases following </w:t>
      </w:r>
      <w:r w:rsidRPr="0042168B">
        <w:rPr>
          <w:rFonts w:ascii="Times New Roman" w:hAnsi="Times New Roman"/>
          <w:i/>
          <w:sz w:val="24"/>
          <w:szCs w:val="24"/>
        </w:rPr>
        <w:t xml:space="preserve">a </w:t>
      </w:r>
      <w:r w:rsidR="00505C60" w:rsidRPr="0042168B">
        <w:rPr>
          <w:rFonts w:ascii="Times New Roman" w:hAnsi="Times New Roman"/>
          <w:i/>
          <w:sz w:val="24"/>
          <w:szCs w:val="24"/>
        </w:rPr>
        <w:t>recent ruling of the E</w:t>
      </w:r>
      <w:r w:rsidR="00A973E2" w:rsidRPr="0042168B">
        <w:rPr>
          <w:rFonts w:ascii="Times New Roman" w:hAnsi="Times New Roman"/>
          <w:i/>
          <w:sz w:val="24"/>
          <w:szCs w:val="24"/>
        </w:rPr>
        <w:t xml:space="preserve">uropean </w:t>
      </w:r>
      <w:r w:rsidR="00505C60" w:rsidRPr="0042168B">
        <w:rPr>
          <w:rFonts w:ascii="Times New Roman" w:hAnsi="Times New Roman"/>
          <w:i/>
          <w:sz w:val="24"/>
          <w:szCs w:val="24"/>
        </w:rPr>
        <w:t>C</w:t>
      </w:r>
      <w:r w:rsidR="00A973E2" w:rsidRPr="0042168B">
        <w:rPr>
          <w:rFonts w:ascii="Times New Roman" w:hAnsi="Times New Roman"/>
          <w:i/>
          <w:sz w:val="24"/>
          <w:szCs w:val="24"/>
        </w:rPr>
        <w:t xml:space="preserve">ourt of </w:t>
      </w:r>
      <w:r w:rsidR="00505C60" w:rsidRPr="0042168B">
        <w:rPr>
          <w:rFonts w:ascii="Times New Roman" w:hAnsi="Times New Roman"/>
          <w:i/>
          <w:sz w:val="24"/>
          <w:szCs w:val="24"/>
        </w:rPr>
        <w:t>J</w:t>
      </w:r>
      <w:r w:rsidR="00A973E2" w:rsidRPr="0042168B">
        <w:rPr>
          <w:rFonts w:ascii="Times New Roman" w:hAnsi="Times New Roman"/>
          <w:i/>
          <w:sz w:val="24"/>
          <w:szCs w:val="24"/>
        </w:rPr>
        <w:t>ustice</w:t>
      </w:r>
      <w:r w:rsidR="005850E7" w:rsidRPr="0042168B">
        <w:rPr>
          <w:rStyle w:val="FootnoteReference"/>
          <w:rFonts w:ascii="Times New Roman" w:hAnsi="Times New Roman"/>
          <w:i/>
          <w:sz w:val="24"/>
          <w:szCs w:val="24"/>
        </w:rPr>
        <w:footnoteReference w:id="26"/>
      </w:r>
      <w:r w:rsidR="00505C60" w:rsidRPr="0042168B">
        <w:rPr>
          <w:rFonts w:ascii="Times New Roman" w:hAnsi="Times New Roman"/>
          <w:i/>
          <w:sz w:val="24"/>
          <w:szCs w:val="24"/>
        </w:rPr>
        <w:t xml:space="preserve">. </w:t>
      </w:r>
      <w:r w:rsidR="00A973E2" w:rsidRPr="0042168B">
        <w:rPr>
          <w:rFonts w:ascii="Times New Roman" w:hAnsi="Times New Roman"/>
          <w:i/>
          <w:sz w:val="24"/>
          <w:szCs w:val="24"/>
        </w:rPr>
        <w:t xml:space="preserve">While </w:t>
      </w:r>
      <w:r w:rsidR="00505C60" w:rsidRPr="0042168B">
        <w:rPr>
          <w:rFonts w:ascii="Times New Roman" w:hAnsi="Times New Roman"/>
          <w:i/>
          <w:sz w:val="24"/>
          <w:szCs w:val="24"/>
        </w:rPr>
        <w:t>several more Member States have recently successfully moved away from end-user price regulation (Ireland, Latvia), prices for households</w:t>
      </w:r>
      <w:r w:rsidR="00AB126E" w:rsidRPr="0042168B">
        <w:rPr>
          <w:rFonts w:ascii="Times New Roman" w:hAnsi="Times New Roman"/>
          <w:i/>
          <w:sz w:val="24"/>
          <w:szCs w:val="24"/>
        </w:rPr>
        <w:t xml:space="preserve"> remain regulated to different degrees in about half </w:t>
      </w:r>
      <w:r w:rsidR="00A973E2" w:rsidRPr="0042168B">
        <w:rPr>
          <w:rFonts w:ascii="Times New Roman" w:hAnsi="Times New Roman"/>
          <w:i/>
          <w:sz w:val="24"/>
          <w:szCs w:val="24"/>
        </w:rPr>
        <w:t>of the</w:t>
      </w:r>
      <w:r w:rsidR="00AB126E" w:rsidRPr="0042168B">
        <w:rPr>
          <w:rFonts w:ascii="Times New Roman" w:hAnsi="Times New Roman"/>
          <w:i/>
          <w:sz w:val="24"/>
          <w:szCs w:val="24"/>
        </w:rPr>
        <w:t xml:space="preserve"> Member States</w:t>
      </w:r>
      <w:r w:rsidR="0021387E" w:rsidRPr="0042168B">
        <w:rPr>
          <w:rFonts w:ascii="Times New Roman" w:hAnsi="Times New Roman"/>
          <w:i/>
          <w:sz w:val="24"/>
          <w:szCs w:val="24"/>
        </w:rPr>
        <w:t xml:space="preserve"> which may constitute an obstacle to demand-side participation and retail competition</w:t>
      </w:r>
      <w:r w:rsidR="00AB126E" w:rsidRPr="0042168B">
        <w:rPr>
          <w:rFonts w:ascii="Times New Roman" w:hAnsi="Times New Roman"/>
          <w:i/>
          <w:sz w:val="24"/>
          <w:szCs w:val="24"/>
        </w:rPr>
        <w:t xml:space="preserve">. </w:t>
      </w:r>
    </w:p>
    <w:p w:rsidR="00921E6C" w:rsidRPr="0042168B" w:rsidRDefault="00921E6C"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lang w:eastAsia="x-none"/>
        </w:rPr>
      </w:pPr>
      <w:r w:rsidRPr="0042168B">
        <w:rPr>
          <w:rFonts w:ascii="Times New Roman" w:hAnsi="Times New Roman"/>
          <w:i/>
          <w:sz w:val="24"/>
          <w:szCs w:val="24"/>
          <w:lang w:eastAsia="x-none"/>
        </w:rPr>
        <w:t xml:space="preserve">All Member States need to better inform consumers about energy efficiency options and to further improve the investment conditions for private consumers. In addition, more focused measures are needed for vulnerable consumers to address </w:t>
      </w:r>
      <w:r w:rsidR="00C600F4" w:rsidRPr="0042168B">
        <w:rPr>
          <w:rFonts w:ascii="Times New Roman" w:hAnsi="Times New Roman"/>
          <w:i/>
          <w:sz w:val="24"/>
          <w:szCs w:val="24"/>
          <w:lang w:eastAsia="x-none"/>
        </w:rPr>
        <w:t xml:space="preserve">energy and </w:t>
      </w:r>
      <w:r w:rsidRPr="0042168B">
        <w:rPr>
          <w:rFonts w:ascii="Times New Roman" w:hAnsi="Times New Roman"/>
          <w:i/>
          <w:sz w:val="24"/>
          <w:szCs w:val="24"/>
          <w:lang w:eastAsia="x-none"/>
        </w:rPr>
        <w:t>fuel poverty effectively.</w:t>
      </w:r>
      <w:r w:rsidRPr="0042168B">
        <w:rPr>
          <w:rFonts w:ascii="Times New Roman" w:hAnsi="Times New Roman"/>
          <w:i/>
          <w:sz w:val="24"/>
          <w:szCs w:val="24"/>
        </w:rPr>
        <w:t xml:space="preserve"> </w:t>
      </w:r>
    </w:p>
    <w:p w:rsidR="005850E7" w:rsidRPr="0042168B" w:rsidRDefault="00AB126E" w:rsidP="00072EDE">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lang w:eastAsia="x-none"/>
        </w:rPr>
      </w:pPr>
      <w:r w:rsidRPr="0042168B">
        <w:rPr>
          <w:rFonts w:ascii="Times New Roman" w:hAnsi="Times New Roman"/>
          <w:i/>
          <w:sz w:val="24"/>
          <w:szCs w:val="24"/>
        </w:rPr>
        <w:t>Consumer empowerment via the roll-out of smart metering has been effectively implemented only in some Member States (</w:t>
      </w:r>
      <w:r w:rsidR="00505C60" w:rsidRPr="0042168B">
        <w:rPr>
          <w:rFonts w:ascii="Times New Roman" w:hAnsi="Times New Roman"/>
          <w:i/>
          <w:sz w:val="24"/>
          <w:szCs w:val="24"/>
        </w:rPr>
        <w:t xml:space="preserve">most notably </w:t>
      </w:r>
      <w:r w:rsidRPr="0042168B">
        <w:rPr>
          <w:rFonts w:ascii="Times New Roman" w:hAnsi="Times New Roman"/>
          <w:i/>
          <w:sz w:val="24"/>
          <w:szCs w:val="24"/>
        </w:rPr>
        <w:t>Finland</w:t>
      </w:r>
      <w:r w:rsidR="009D4C15" w:rsidRPr="0042168B">
        <w:rPr>
          <w:rFonts w:ascii="Times New Roman" w:hAnsi="Times New Roman"/>
          <w:i/>
          <w:sz w:val="24"/>
          <w:szCs w:val="24"/>
        </w:rPr>
        <w:t>, Italy</w:t>
      </w:r>
      <w:r w:rsidRPr="0042168B">
        <w:rPr>
          <w:rFonts w:ascii="Times New Roman" w:hAnsi="Times New Roman"/>
          <w:i/>
          <w:sz w:val="24"/>
          <w:szCs w:val="24"/>
        </w:rPr>
        <w:t xml:space="preserve"> and Sweden), as well as to a lesser extent in several more (including Denmark, Estonia and the Netherlands). </w:t>
      </w:r>
      <w:r w:rsidR="00DA1573" w:rsidRPr="0042168B">
        <w:rPr>
          <w:rFonts w:ascii="Times New Roman" w:hAnsi="Times New Roman"/>
          <w:i/>
          <w:sz w:val="24"/>
          <w:szCs w:val="24"/>
        </w:rPr>
        <w:t>I</w:t>
      </w:r>
      <w:r w:rsidRPr="0042168B">
        <w:rPr>
          <w:rFonts w:ascii="Times New Roman" w:hAnsi="Times New Roman"/>
          <w:i/>
          <w:sz w:val="24"/>
          <w:szCs w:val="24"/>
        </w:rPr>
        <w:t>n several Member States</w:t>
      </w:r>
      <w:r w:rsidR="00DA1573" w:rsidRPr="0042168B">
        <w:rPr>
          <w:rFonts w:ascii="Times New Roman" w:hAnsi="Times New Roman"/>
          <w:i/>
          <w:sz w:val="24"/>
          <w:szCs w:val="24"/>
        </w:rPr>
        <w:t xml:space="preserve">, </w:t>
      </w:r>
      <w:r w:rsidRPr="0042168B">
        <w:rPr>
          <w:rFonts w:ascii="Times New Roman" w:hAnsi="Times New Roman"/>
          <w:i/>
          <w:sz w:val="24"/>
          <w:szCs w:val="24"/>
        </w:rPr>
        <w:t>administrative burden</w:t>
      </w:r>
      <w:r w:rsidR="00DA1573" w:rsidRPr="0042168B">
        <w:rPr>
          <w:rFonts w:ascii="Times New Roman" w:hAnsi="Times New Roman"/>
          <w:i/>
          <w:sz w:val="24"/>
          <w:szCs w:val="24"/>
        </w:rPr>
        <w:t>s</w:t>
      </w:r>
      <w:r w:rsidRPr="0042168B">
        <w:rPr>
          <w:rFonts w:ascii="Times New Roman" w:hAnsi="Times New Roman"/>
          <w:i/>
          <w:sz w:val="24"/>
          <w:szCs w:val="24"/>
        </w:rPr>
        <w:t xml:space="preserve"> act as barriers for consumers aiming to switch to new suppliers and better contractual conditions. </w:t>
      </w:r>
    </w:p>
    <w:p w:rsidR="00A973E2" w:rsidRPr="0042168B" w:rsidRDefault="00AB126E" w:rsidP="00072EDE">
      <w:pPr>
        <w:pStyle w:val="ListParagraph"/>
        <w:numPr>
          <w:ilvl w:val="0"/>
          <w:numId w:val="5"/>
        </w:numPr>
        <w:pBdr>
          <w:top w:val="single" w:sz="4" w:space="1" w:color="auto"/>
          <w:left w:val="single" w:sz="4" w:space="4" w:color="auto"/>
          <w:bottom w:val="single" w:sz="4" w:space="1" w:color="auto"/>
          <w:right w:val="single" w:sz="4" w:space="4" w:color="auto"/>
        </w:pBdr>
        <w:spacing w:after="240" w:line="240" w:lineRule="auto"/>
        <w:ind w:left="426" w:hanging="426"/>
        <w:contextualSpacing w:val="0"/>
        <w:jc w:val="both"/>
        <w:rPr>
          <w:rFonts w:ascii="Times New Roman" w:hAnsi="Times New Roman"/>
          <w:sz w:val="24"/>
          <w:szCs w:val="24"/>
        </w:rPr>
      </w:pPr>
      <w:r w:rsidRPr="0042168B">
        <w:rPr>
          <w:rFonts w:ascii="Times New Roman" w:hAnsi="Times New Roman"/>
          <w:i/>
          <w:sz w:val="24"/>
          <w:szCs w:val="24"/>
          <w:lang w:eastAsia="en-GB"/>
        </w:rPr>
        <w:t xml:space="preserve">At the regional level, by mid-2015 most of the EU wholesale electricity markets are coupled to one or several of their neighbours, with </w:t>
      </w:r>
      <w:r w:rsidRPr="0042168B">
        <w:rPr>
          <w:rFonts w:ascii="Times New Roman" w:hAnsi="Times New Roman"/>
          <w:i/>
          <w:sz w:val="24"/>
          <w:szCs w:val="24"/>
        </w:rPr>
        <w:t>signs of price convergence. The situation is more contrasted with regard to gas. Despite some price convergence on major European gas hubs, marked price differences and inadequate market integration</w:t>
      </w:r>
      <w:r w:rsidR="00DA1573" w:rsidRPr="0042168B">
        <w:rPr>
          <w:rFonts w:ascii="Times New Roman" w:hAnsi="Times New Roman"/>
          <w:i/>
          <w:sz w:val="24"/>
          <w:szCs w:val="24"/>
        </w:rPr>
        <w:t xml:space="preserve"> remain across the EU, </w:t>
      </w:r>
      <w:r w:rsidRPr="0042168B">
        <w:rPr>
          <w:rFonts w:ascii="Times New Roman" w:hAnsi="Times New Roman"/>
          <w:i/>
          <w:sz w:val="24"/>
          <w:szCs w:val="24"/>
        </w:rPr>
        <w:t>due in part to the effects of long-term contracts</w:t>
      </w:r>
      <w:r w:rsidR="009460C9" w:rsidRPr="0042168B">
        <w:rPr>
          <w:rFonts w:ascii="Times New Roman" w:hAnsi="Times New Roman"/>
          <w:i/>
          <w:sz w:val="24"/>
          <w:szCs w:val="24"/>
        </w:rPr>
        <w:t xml:space="preserve"> and</w:t>
      </w:r>
      <w:r w:rsidRPr="0042168B">
        <w:rPr>
          <w:rFonts w:ascii="Times New Roman" w:hAnsi="Times New Roman"/>
          <w:i/>
          <w:sz w:val="24"/>
          <w:szCs w:val="24"/>
        </w:rPr>
        <w:t xml:space="preserve"> missing interconnections. Retail markets for both electricity and gas are still national (or sub-national). </w:t>
      </w:r>
      <w:r w:rsidR="00DA1573" w:rsidRPr="0042168B">
        <w:rPr>
          <w:rFonts w:ascii="Times New Roman" w:hAnsi="Times New Roman"/>
          <w:i/>
          <w:sz w:val="24"/>
          <w:szCs w:val="24"/>
        </w:rPr>
        <w:t>We need f</w:t>
      </w:r>
      <w:r w:rsidRPr="0042168B">
        <w:rPr>
          <w:rFonts w:ascii="Times New Roman" w:hAnsi="Times New Roman"/>
          <w:i/>
          <w:sz w:val="24"/>
          <w:szCs w:val="24"/>
        </w:rPr>
        <w:t>urther efforts by all Member States to advance regional market integration.</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 xml:space="preserve">5. </w:t>
      </w:r>
      <w:r w:rsidRPr="0042168B">
        <w:rPr>
          <w:rFonts w:ascii="Times New Roman" w:hAnsi="Times New Roman"/>
          <w:b/>
          <w:smallCaps/>
          <w:sz w:val="24"/>
          <w:szCs w:val="24"/>
        </w:rPr>
        <w:tab/>
        <w:t>Energy security, solidarity and trust</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i/>
          <w:sz w:val="24"/>
          <w:szCs w:val="24"/>
        </w:rPr>
        <w:t>Progress made</w:t>
      </w:r>
    </w:p>
    <w:p w:rsidR="004B2096" w:rsidRPr="0042168B" w:rsidRDefault="00F23B13" w:rsidP="00877889">
      <w:pPr>
        <w:spacing w:after="240" w:line="240" w:lineRule="auto"/>
        <w:jc w:val="both"/>
        <w:rPr>
          <w:rFonts w:ascii="Times New Roman" w:hAnsi="Times New Roman"/>
          <w:sz w:val="24"/>
          <w:szCs w:val="24"/>
        </w:rPr>
      </w:pPr>
      <w:r w:rsidRPr="0042168B">
        <w:rPr>
          <w:rFonts w:ascii="Times New Roman" w:hAnsi="Times New Roman"/>
          <w:sz w:val="24"/>
          <w:szCs w:val="24"/>
        </w:rPr>
        <w:t>The EU and its Member States have decided to support a more coherent EU foreign and energy policy action</w:t>
      </w:r>
      <w:r w:rsidR="00A73D98" w:rsidRPr="0042168B">
        <w:rPr>
          <w:rFonts w:ascii="Times New Roman" w:hAnsi="Times New Roman"/>
          <w:sz w:val="24"/>
          <w:szCs w:val="24"/>
        </w:rPr>
        <w:t xml:space="preserve"> that takes geopolitical developments into account. </w:t>
      </w:r>
      <w:r w:rsidRPr="0042168B">
        <w:rPr>
          <w:rFonts w:ascii="Times New Roman" w:hAnsi="Times New Roman"/>
          <w:sz w:val="24"/>
          <w:szCs w:val="24"/>
        </w:rPr>
        <w:t>In July 2015, the Council adopted conclusions on energy diplomacy along with an action plan</w:t>
      </w:r>
      <w:r w:rsidRPr="0042168B">
        <w:rPr>
          <w:rStyle w:val="FootnoteReference"/>
          <w:rFonts w:ascii="Times New Roman" w:hAnsi="Times New Roman"/>
          <w:sz w:val="24"/>
          <w:szCs w:val="24"/>
        </w:rPr>
        <w:footnoteReference w:id="27"/>
      </w:r>
      <w:r w:rsidR="004B2096" w:rsidRPr="0042168B">
        <w:rPr>
          <w:rFonts w:ascii="Times New Roman" w:hAnsi="Times New Roman"/>
          <w:sz w:val="24"/>
          <w:szCs w:val="24"/>
        </w:rPr>
        <w:t>. These point to the need for strengthened bi- and multilateral dialogues, enhanced use of foreign policy instruments to strengthen diversification, as well as the promotion of rule-based, transparent and sustainable energy markets.</w:t>
      </w:r>
    </w:p>
    <w:p w:rsidR="00A71070" w:rsidRPr="0042168B" w:rsidRDefault="001746FA"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transition to a competitive, low carbon economy will reduce the use of imported fossil fuels by moderating energy demand and exploiting renewable and other indigenous sources of energy. Investment in </w:t>
      </w:r>
      <w:r w:rsidR="003B01A3" w:rsidRPr="0042168B">
        <w:rPr>
          <w:rFonts w:ascii="Times New Roman" w:hAnsi="Times New Roman"/>
          <w:sz w:val="24"/>
          <w:szCs w:val="24"/>
        </w:rPr>
        <w:t xml:space="preserve">resilient </w:t>
      </w:r>
      <w:r w:rsidRPr="0042168B">
        <w:rPr>
          <w:rFonts w:ascii="Times New Roman" w:hAnsi="Times New Roman"/>
          <w:sz w:val="24"/>
          <w:szCs w:val="24"/>
        </w:rPr>
        <w:t xml:space="preserve">infrastructure has to take account </w:t>
      </w:r>
      <w:r w:rsidR="007A7D86" w:rsidRPr="0042168B">
        <w:rPr>
          <w:rFonts w:ascii="Times New Roman" w:hAnsi="Times New Roman"/>
          <w:sz w:val="24"/>
          <w:szCs w:val="24"/>
        </w:rPr>
        <w:t xml:space="preserve">of this </w:t>
      </w:r>
      <w:r w:rsidRPr="0042168B">
        <w:rPr>
          <w:rFonts w:ascii="Times New Roman" w:hAnsi="Times New Roman"/>
          <w:sz w:val="24"/>
          <w:szCs w:val="24"/>
        </w:rPr>
        <w:t>changing environment, in order to avoid having stranded assets.</w:t>
      </w:r>
      <w:r w:rsidR="00975DB8" w:rsidRPr="0042168B">
        <w:rPr>
          <w:rFonts w:ascii="Times New Roman" w:hAnsi="Times New Roman"/>
          <w:sz w:val="24"/>
          <w:szCs w:val="24"/>
        </w:rPr>
        <w:t xml:space="preserve"> </w:t>
      </w:r>
    </w:p>
    <w:p w:rsidR="004B2096"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2015 has been characterised by the ongoing </w:t>
      </w:r>
      <w:r w:rsidR="00ED41C1">
        <w:rPr>
          <w:rFonts w:ascii="Times New Roman" w:hAnsi="Times New Roman"/>
          <w:sz w:val="24"/>
          <w:szCs w:val="24"/>
        </w:rPr>
        <w:t>tensions</w:t>
      </w:r>
      <w:r w:rsidRPr="0042168B">
        <w:rPr>
          <w:rFonts w:ascii="Times New Roman" w:hAnsi="Times New Roman"/>
          <w:sz w:val="24"/>
          <w:szCs w:val="24"/>
        </w:rPr>
        <w:t xml:space="preserve"> </w:t>
      </w:r>
      <w:r w:rsidR="00721ADA" w:rsidRPr="0042168B">
        <w:rPr>
          <w:rFonts w:ascii="Times New Roman" w:hAnsi="Times New Roman"/>
          <w:sz w:val="24"/>
          <w:szCs w:val="24"/>
        </w:rPr>
        <w:t>between Russia and</w:t>
      </w:r>
      <w:r w:rsidRPr="0042168B">
        <w:rPr>
          <w:rFonts w:ascii="Times New Roman" w:hAnsi="Times New Roman"/>
          <w:sz w:val="24"/>
          <w:szCs w:val="24"/>
        </w:rPr>
        <w:t xml:space="preserve"> Ukraine; persistently low oil prices impacting energy markets all over the world; new initiatives for a</w:t>
      </w:r>
      <w:r w:rsidR="00721ADA" w:rsidRPr="0042168B">
        <w:rPr>
          <w:rFonts w:ascii="Times New Roman" w:hAnsi="Times New Roman"/>
          <w:sz w:val="24"/>
          <w:szCs w:val="24"/>
        </w:rPr>
        <w:t>dditiona</w:t>
      </w:r>
      <w:r w:rsidRPr="0042168B">
        <w:rPr>
          <w:rFonts w:ascii="Times New Roman" w:hAnsi="Times New Roman"/>
          <w:sz w:val="24"/>
          <w:szCs w:val="24"/>
        </w:rPr>
        <w:t>l supply infrastructure for natural gas from Russia; new perspectives opened up by the nuclear agreement with Iran, as well as a continued decline of the domestic production of fossil fuels.</w:t>
      </w:r>
      <w:r w:rsidR="00891319" w:rsidRPr="0042168B">
        <w:rPr>
          <w:rFonts w:ascii="Times New Roman" w:hAnsi="Times New Roman"/>
          <w:sz w:val="24"/>
          <w:szCs w:val="24"/>
        </w:rPr>
        <w:t xml:space="preserve"> </w:t>
      </w:r>
    </w:p>
    <w:p w:rsidR="007230E7" w:rsidRPr="0042168B" w:rsidRDefault="0032285E" w:rsidP="00877889">
      <w:pPr>
        <w:spacing w:after="240" w:line="240" w:lineRule="auto"/>
        <w:jc w:val="both"/>
        <w:rPr>
          <w:rFonts w:ascii="Times New Roman" w:hAnsi="Times New Roman"/>
          <w:sz w:val="24"/>
          <w:szCs w:val="24"/>
        </w:rPr>
      </w:pPr>
      <w:r w:rsidRPr="0042168B">
        <w:rPr>
          <w:rFonts w:ascii="Times New Roman" w:hAnsi="Times New Roman"/>
          <w:sz w:val="24"/>
          <w:szCs w:val="24"/>
        </w:rPr>
        <w:t>Despite the difficult political situation, Ukraine has prove</w:t>
      </w:r>
      <w:r w:rsidR="00593F72" w:rsidRPr="0042168B">
        <w:rPr>
          <w:rFonts w:ascii="Times New Roman" w:hAnsi="Times New Roman"/>
          <w:sz w:val="24"/>
          <w:szCs w:val="24"/>
        </w:rPr>
        <w:t>n during the win</w:t>
      </w:r>
      <w:r w:rsidR="004C2BD5" w:rsidRPr="0042168B">
        <w:rPr>
          <w:rFonts w:ascii="Times New Roman" w:hAnsi="Times New Roman"/>
          <w:sz w:val="24"/>
          <w:szCs w:val="24"/>
        </w:rPr>
        <w:t>t</w:t>
      </w:r>
      <w:r w:rsidR="00593F72" w:rsidRPr="0042168B">
        <w:rPr>
          <w:rFonts w:ascii="Times New Roman" w:hAnsi="Times New Roman"/>
          <w:sz w:val="24"/>
          <w:szCs w:val="24"/>
        </w:rPr>
        <w:t>er 2014/15</w:t>
      </w:r>
      <w:r w:rsidRPr="0042168B">
        <w:rPr>
          <w:rFonts w:ascii="Times New Roman" w:hAnsi="Times New Roman"/>
          <w:sz w:val="24"/>
          <w:szCs w:val="24"/>
        </w:rPr>
        <w:t xml:space="preserve"> to be a reliable transit partner</w:t>
      </w:r>
      <w:r w:rsidR="00593F72" w:rsidRPr="0042168B">
        <w:rPr>
          <w:rFonts w:ascii="Times New Roman" w:hAnsi="Times New Roman"/>
          <w:sz w:val="24"/>
          <w:szCs w:val="24"/>
        </w:rPr>
        <w:t xml:space="preserve"> for Russian gas</w:t>
      </w:r>
      <w:r w:rsidRPr="0042168B">
        <w:rPr>
          <w:rFonts w:ascii="Times New Roman" w:hAnsi="Times New Roman"/>
          <w:sz w:val="24"/>
          <w:szCs w:val="24"/>
        </w:rPr>
        <w:t xml:space="preserve">. </w:t>
      </w:r>
      <w:r w:rsidR="00593F72" w:rsidRPr="0042168B">
        <w:rPr>
          <w:rFonts w:ascii="Times New Roman" w:hAnsi="Times New Roman"/>
          <w:sz w:val="24"/>
          <w:szCs w:val="24"/>
        </w:rPr>
        <w:t xml:space="preserve">The EU believes that it is in the interest of all parties that Ukraine remains an important transit country. </w:t>
      </w:r>
      <w:r w:rsidR="00721ADA" w:rsidRPr="0042168B">
        <w:rPr>
          <w:rFonts w:ascii="Times New Roman" w:hAnsi="Times New Roman"/>
          <w:sz w:val="24"/>
          <w:szCs w:val="24"/>
        </w:rPr>
        <w:t xml:space="preserve">The EU actively supports the efforts of the Ukrainian Government and Naftogaz to ensure that this remains the case, in particular through the </w:t>
      </w:r>
      <w:r w:rsidRPr="0042168B">
        <w:rPr>
          <w:rFonts w:ascii="Times New Roman" w:hAnsi="Times New Roman"/>
          <w:sz w:val="24"/>
          <w:szCs w:val="24"/>
        </w:rPr>
        <w:t xml:space="preserve">deep structural </w:t>
      </w:r>
      <w:r w:rsidR="00721ADA" w:rsidRPr="0042168B">
        <w:rPr>
          <w:rFonts w:ascii="Times New Roman" w:hAnsi="Times New Roman"/>
          <w:sz w:val="24"/>
          <w:szCs w:val="24"/>
        </w:rPr>
        <w:t xml:space="preserve">reforms </w:t>
      </w:r>
      <w:r w:rsidRPr="0042168B">
        <w:rPr>
          <w:rFonts w:ascii="Times New Roman" w:hAnsi="Times New Roman"/>
          <w:sz w:val="24"/>
          <w:szCs w:val="24"/>
        </w:rPr>
        <w:t xml:space="preserve">of the gas sector </w:t>
      </w:r>
      <w:r w:rsidR="00721ADA" w:rsidRPr="0042168B">
        <w:rPr>
          <w:rFonts w:ascii="Times New Roman" w:hAnsi="Times New Roman"/>
          <w:sz w:val="24"/>
          <w:szCs w:val="24"/>
        </w:rPr>
        <w:t xml:space="preserve">that Ukraine is currently undertaking. </w:t>
      </w:r>
      <w:r w:rsidR="00363754" w:rsidRPr="0042168B">
        <w:rPr>
          <w:rFonts w:ascii="Times New Roman" w:hAnsi="Times New Roman"/>
          <w:sz w:val="24"/>
          <w:szCs w:val="24"/>
        </w:rPr>
        <w:t xml:space="preserve">It is essential that this reform process continues. </w:t>
      </w:r>
      <w:r w:rsidR="00721ADA" w:rsidRPr="0042168B">
        <w:rPr>
          <w:rFonts w:ascii="Times New Roman" w:hAnsi="Times New Roman"/>
          <w:sz w:val="24"/>
          <w:szCs w:val="24"/>
        </w:rPr>
        <w:t xml:space="preserve">Throughout 2015, </w:t>
      </w:r>
      <w:r w:rsidR="007230E7" w:rsidRPr="0042168B">
        <w:rPr>
          <w:rFonts w:ascii="Times New Roman" w:hAnsi="Times New Roman"/>
          <w:sz w:val="24"/>
          <w:szCs w:val="24"/>
        </w:rPr>
        <w:t>the Commission has actively facilitated the negotiations between Ukraine and Russia to secure gas supply to Ukraine through the winter. This resulted in the initialling of a binding protocol on 25 September 2015</w:t>
      </w:r>
      <w:r w:rsidRPr="0042168B">
        <w:rPr>
          <w:rFonts w:ascii="Times New Roman" w:hAnsi="Times New Roman"/>
          <w:sz w:val="24"/>
          <w:szCs w:val="24"/>
        </w:rPr>
        <w:t xml:space="preserve"> and its implementation as of 9 October 2015</w:t>
      </w:r>
      <w:r w:rsidR="007230E7" w:rsidRPr="0042168B">
        <w:rPr>
          <w:rFonts w:ascii="Times New Roman" w:hAnsi="Times New Roman"/>
          <w:sz w:val="24"/>
          <w:szCs w:val="24"/>
        </w:rPr>
        <w:t xml:space="preserve">. </w:t>
      </w:r>
      <w:r w:rsidRPr="0042168B">
        <w:rPr>
          <w:rFonts w:ascii="Times New Roman" w:hAnsi="Times New Roman"/>
          <w:sz w:val="24"/>
          <w:szCs w:val="24"/>
        </w:rPr>
        <w:t>The capacity of r</w:t>
      </w:r>
      <w:r w:rsidR="007230E7" w:rsidRPr="0042168B">
        <w:rPr>
          <w:rFonts w:ascii="Times New Roman" w:hAnsi="Times New Roman"/>
          <w:sz w:val="24"/>
          <w:szCs w:val="24"/>
        </w:rPr>
        <w:t xml:space="preserve">everse flows from </w:t>
      </w:r>
      <w:r w:rsidRPr="0042168B">
        <w:rPr>
          <w:rFonts w:ascii="Times New Roman" w:hAnsi="Times New Roman"/>
          <w:sz w:val="24"/>
          <w:szCs w:val="24"/>
        </w:rPr>
        <w:t xml:space="preserve">the EU, in particular from </w:t>
      </w:r>
      <w:r w:rsidR="007230E7" w:rsidRPr="0042168B">
        <w:rPr>
          <w:rFonts w:ascii="Times New Roman" w:hAnsi="Times New Roman"/>
          <w:sz w:val="24"/>
          <w:szCs w:val="24"/>
        </w:rPr>
        <w:t>Slovakia</w:t>
      </w:r>
      <w:r w:rsidRPr="0042168B">
        <w:rPr>
          <w:rFonts w:ascii="Times New Roman" w:hAnsi="Times New Roman"/>
          <w:sz w:val="24"/>
          <w:szCs w:val="24"/>
        </w:rPr>
        <w:t>,</w:t>
      </w:r>
      <w:r w:rsidR="007230E7" w:rsidRPr="0042168B">
        <w:rPr>
          <w:rFonts w:ascii="Times New Roman" w:hAnsi="Times New Roman"/>
          <w:sz w:val="24"/>
          <w:szCs w:val="24"/>
        </w:rPr>
        <w:t xml:space="preserve"> to Ukraine ha</w:t>
      </w:r>
      <w:r w:rsidRPr="0042168B">
        <w:rPr>
          <w:rFonts w:ascii="Times New Roman" w:hAnsi="Times New Roman"/>
          <w:sz w:val="24"/>
          <w:szCs w:val="24"/>
        </w:rPr>
        <w:t>s</w:t>
      </w:r>
      <w:r w:rsidR="007230E7" w:rsidRPr="0042168B">
        <w:rPr>
          <w:rFonts w:ascii="Times New Roman" w:hAnsi="Times New Roman"/>
          <w:sz w:val="24"/>
          <w:szCs w:val="24"/>
        </w:rPr>
        <w:t xml:space="preserve"> also significantly increased over 2015</w:t>
      </w:r>
      <w:r w:rsidRPr="0042168B">
        <w:rPr>
          <w:rFonts w:ascii="Times New Roman" w:hAnsi="Times New Roman"/>
          <w:sz w:val="24"/>
          <w:szCs w:val="24"/>
        </w:rPr>
        <w:t>, e</w:t>
      </w:r>
      <w:r w:rsidR="007230E7" w:rsidRPr="0042168B">
        <w:rPr>
          <w:rFonts w:ascii="Times New Roman" w:hAnsi="Times New Roman"/>
          <w:sz w:val="24"/>
          <w:szCs w:val="24"/>
        </w:rPr>
        <w:t>nabling Ukraine to import gas via the EU and thus reduce its direct dependence on Russia.</w:t>
      </w:r>
    </w:p>
    <w:p w:rsidR="007230E7" w:rsidRPr="003B5522" w:rsidRDefault="007230E7" w:rsidP="0007035E">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Commission takes note of </w:t>
      </w:r>
      <w:r w:rsidR="004001EE" w:rsidRPr="0042168B">
        <w:rPr>
          <w:rFonts w:ascii="Times New Roman" w:hAnsi="Times New Roman"/>
          <w:sz w:val="24"/>
          <w:szCs w:val="24"/>
        </w:rPr>
        <w:t xml:space="preserve">the </w:t>
      </w:r>
      <w:r w:rsidR="00721ADA" w:rsidRPr="0042168B">
        <w:rPr>
          <w:rFonts w:ascii="Times New Roman" w:hAnsi="Times New Roman"/>
          <w:sz w:val="24"/>
          <w:szCs w:val="24"/>
        </w:rPr>
        <w:t xml:space="preserve">plans </w:t>
      </w:r>
      <w:r w:rsidR="002807D3" w:rsidRPr="0042168B">
        <w:rPr>
          <w:rFonts w:ascii="Times New Roman" w:hAnsi="Times New Roman"/>
          <w:sz w:val="24"/>
          <w:szCs w:val="24"/>
        </w:rPr>
        <w:t xml:space="preserve">of commercial companies </w:t>
      </w:r>
      <w:r w:rsidR="00721ADA" w:rsidRPr="0042168B">
        <w:rPr>
          <w:rFonts w:ascii="Times New Roman" w:hAnsi="Times New Roman"/>
          <w:sz w:val="24"/>
          <w:szCs w:val="24"/>
        </w:rPr>
        <w:t xml:space="preserve">to build </w:t>
      </w:r>
      <w:r w:rsidRPr="0042168B">
        <w:rPr>
          <w:rFonts w:ascii="Times New Roman" w:hAnsi="Times New Roman"/>
          <w:sz w:val="24"/>
          <w:szCs w:val="24"/>
        </w:rPr>
        <w:t xml:space="preserve">further pipelines </w:t>
      </w:r>
      <w:r w:rsidRPr="003B5522">
        <w:rPr>
          <w:rFonts w:ascii="Times New Roman" w:hAnsi="Times New Roman"/>
          <w:sz w:val="24"/>
          <w:szCs w:val="24"/>
        </w:rPr>
        <w:t>connecting Russia and Germany through the Baltic Sea</w:t>
      </w:r>
      <w:r w:rsidR="002807D3" w:rsidRPr="003B5522">
        <w:rPr>
          <w:rFonts w:ascii="Times New Roman" w:hAnsi="Times New Roman"/>
          <w:sz w:val="24"/>
          <w:szCs w:val="24"/>
        </w:rPr>
        <w:t>.</w:t>
      </w:r>
      <w:r w:rsidRPr="003B5522">
        <w:rPr>
          <w:rFonts w:ascii="Times New Roman" w:hAnsi="Times New Roman"/>
          <w:sz w:val="24"/>
          <w:szCs w:val="24"/>
        </w:rPr>
        <w:t xml:space="preserve"> If </w:t>
      </w:r>
      <w:r w:rsidR="002807D3" w:rsidRPr="003B5522">
        <w:rPr>
          <w:rFonts w:ascii="Times New Roman" w:hAnsi="Times New Roman"/>
          <w:sz w:val="24"/>
          <w:szCs w:val="24"/>
        </w:rPr>
        <w:t>built</w:t>
      </w:r>
      <w:r w:rsidRPr="003B5522">
        <w:rPr>
          <w:rFonts w:ascii="Times New Roman" w:hAnsi="Times New Roman"/>
          <w:sz w:val="24"/>
          <w:szCs w:val="24"/>
        </w:rPr>
        <w:t xml:space="preserve">, Nord Stream 3 and 4 would </w:t>
      </w:r>
      <w:r w:rsidR="00F27A08" w:rsidRPr="003B5522">
        <w:rPr>
          <w:rFonts w:ascii="Times New Roman" w:hAnsi="Times New Roman"/>
          <w:sz w:val="24"/>
          <w:szCs w:val="24"/>
        </w:rPr>
        <w:t xml:space="preserve">not give access to a new source of supply and would further </w:t>
      </w:r>
      <w:r w:rsidRPr="003B5522">
        <w:rPr>
          <w:rFonts w:ascii="Times New Roman" w:hAnsi="Times New Roman"/>
          <w:sz w:val="24"/>
          <w:szCs w:val="24"/>
        </w:rPr>
        <w:t>increase transmission capacity from Russia to the EU</w:t>
      </w:r>
      <w:r w:rsidR="00F27A08" w:rsidRPr="003B5522">
        <w:rPr>
          <w:rFonts w:ascii="Times New Roman" w:hAnsi="Times New Roman"/>
          <w:sz w:val="24"/>
          <w:szCs w:val="24"/>
        </w:rPr>
        <w:t>, while even now this is only used at 50% rate</w:t>
      </w:r>
      <w:r w:rsidRPr="003B5522">
        <w:rPr>
          <w:rFonts w:ascii="Times New Roman" w:hAnsi="Times New Roman"/>
          <w:sz w:val="24"/>
          <w:szCs w:val="24"/>
        </w:rPr>
        <w:t xml:space="preserve">. </w:t>
      </w:r>
      <w:r w:rsidR="00975DB8" w:rsidRPr="003B5522">
        <w:rPr>
          <w:rFonts w:ascii="Times New Roman" w:hAnsi="Times New Roman"/>
          <w:sz w:val="24"/>
          <w:szCs w:val="24"/>
        </w:rPr>
        <w:t>T</w:t>
      </w:r>
      <w:r w:rsidR="002807D3" w:rsidRPr="003B5522">
        <w:rPr>
          <w:rFonts w:ascii="Times New Roman" w:hAnsi="Times New Roman"/>
          <w:sz w:val="24"/>
          <w:szCs w:val="24"/>
        </w:rPr>
        <w:t>hese</w:t>
      </w:r>
      <w:r w:rsidR="0007035E" w:rsidRPr="003B5522">
        <w:rPr>
          <w:rFonts w:ascii="Times New Roman" w:hAnsi="Times New Roman"/>
          <w:sz w:val="24"/>
          <w:szCs w:val="24"/>
        </w:rPr>
        <w:t xml:space="preserve"> pipeline</w:t>
      </w:r>
      <w:r w:rsidR="002807D3" w:rsidRPr="003B5522">
        <w:rPr>
          <w:rFonts w:ascii="Times New Roman" w:hAnsi="Times New Roman"/>
          <w:sz w:val="24"/>
          <w:szCs w:val="24"/>
        </w:rPr>
        <w:t>s</w:t>
      </w:r>
      <w:r w:rsidR="0007035E" w:rsidRPr="003B5522">
        <w:rPr>
          <w:rFonts w:ascii="Times New Roman" w:hAnsi="Times New Roman"/>
          <w:sz w:val="24"/>
          <w:szCs w:val="24"/>
        </w:rPr>
        <w:t xml:space="preserve"> will have to </w:t>
      </w:r>
      <w:r w:rsidR="002807D3" w:rsidRPr="003B5522">
        <w:rPr>
          <w:rFonts w:ascii="Times New Roman" w:hAnsi="Times New Roman"/>
          <w:sz w:val="24"/>
          <w:szCs w:val="24"/>
        </w:rPr>
        <w:t xml:space="preserve">comply </w:t>
      </w:r>
      <w:r w:rsidR="0007035E" w:rsidRPr="003B5522">
        <w:rPr>
          <w:rFonts w:ascii="Times New Roman" w:hAnsi="Times New Roman"/>
          <w:sz w:val="24"/>
          <w:szCs w:val="24"/>
        </w:rPr>
        <w:t xml:space="preserve">fully </w:t>
      </w:r>
      <w:r w:rsidR="002807D3" w:rsidRPr="003B5522">
        <w:rPr>
          <w:rFonts w:ascii="Times New Roman" w:hAnsi="Times New Roman"/>
          <w:sz w:val="24"/>
          <w:szCs w:val="24"/>
        </w:rPr>
        <w:t>with</w:t>
      </w:r>
      <w:r w:rsidR="0007035E" w:rsidRPr="003B5522">
        <w:rPr>
          <w:rFonts w:ascii="Times New Roman" w:hAnsi="Times New Roman"/>
          <w:sz w:val="24"/>
          <w:szCs w:val="24"/>
        </w:rPr>
        <w:t xml:space="preserve"> EU law. The Commission </w:t>
      </w:r>
      <w:r w:rsidR="00975DB8" w:rsidRPr="003B5522">
        <w:rPr>
          <w:rFonts w:ascii="Times New Roman" w:hAnsi="Times New Roman"/>
          <w:sz w:val="24"/>
          <w:szCs w:val="24"/>
        </w:rPr>
        <w:t>will</w:t>
      </w:r>
      <w:r w:rsidR="00CC4E91" w:rsidRPr="003B5522">
        <w:rPr>
          <w:rFonts w:ascii="Times New Roman" w:hAnsi="Times New Roman"/>
          <w:sz w:val="24"/>
          <w:szCs w:val="24"/>
        </w:rPr>
        <w:t xml:space="preserve"> </w:t>
      </w:r>
      <w:r w:rsidR="0007035E" w:rsidRPr="003B5522">
        <w:rPr>
          <w:rFonts w:ascii="Times New Roman" w:hAnsi="Times New Roman"/>
          <w:sz w:val="24"/>
          <w:szCs w:val="24"/>
        </w:rPr>
        <w:t xml:space="preserve">assess </w:t>
      </w:r>
      <w:r w:rsidR="00CC4E91" w:rsidRPr="003B5522">
        <w:rPr>
          <w:rFonts w:ascii="Times New Roman" w:hAnsi="Times New Roman"/>
          <w:sz w:val="24"/>
          <w:szCs w:val="24"/>
        </w:rPr>
        <w:t xml:space="preserve">any such project </w:t>
      </w:r>
      <w:r w:rsidR="0007035E" w:rsidRPr="003B5522">
        <w:rPr>
          <w:rFonts w:ascii="Times New Roman" w:hAnsi="Times New Roman"/>
          <w:sz w:val="24"/>
          <w:szCs w:val="24"/>
        </w:rPr>
        <w:t>against the European regulatory framework on its own merits.</w:t>
      </w:r>
      <w:r w:rsidRPr="003B5522">
        <w:rPr>
          <w:rFonts w:ascii="Times New Roman" w:hAnsi="Times New Roman"/>
          <w:sz w:val="24"/>
          <w:szCs w:val="24"/>
        </w:rPr>
        <w:t xml:space="preserve"> </w:t>
      </w:r>
    </w:p>
    <w:p w:rsidR="00881787" w:rsidRPr="0042168B" w:rsidRDefault="00F27A08" w:rsidP="00877889">
      <w:pPr>
        <w:spacing w:after="240" w:line="240" w:lineRule="auto"/>
        <w:jc w:val="both"/>
        <w:rPr>
          <w:rFonts w:ascii="Times New Roman" w:hAnsi="Times New Roman"/>
          <w:sz w:val="24"/>
          <w:szCs w:val="24"/>
        </w:rPr>
      </w:pPr>
      <w:r w:rsidRPr="003B5522">
        <w:rPr>
          <w:rFonts w:ascii="Times New Roman" w:hAnsi="Times New Roman"/>
          <w:sz w:val="24"/>
          <w:szCs w:val="24"/>
        </w:rPr>
        <w:t xml:space="preserve">The EU will only support </w:t>
      </w:r>
      <w:r w:rsidR="00A71070" w:rsidRPr="003B5522">
        <w:rPr>
          <w:rFonts w:ascii="Times New Roman" w:hAnsi="Times New Roman"/>
          <w:sz w:val="24"/>
          <w:szCs w:val="24"/>
        </w:rPr>
        <w:t xml:space="preserve">infrastructure projects </w:t>
      </w:r>
      <w:r w:rsidRPr="003B5522">
        <w:rPr>
          <w:rFonts w:ascii="Times New Roman" w:hAnsi="Times New Roman"/>
          <w:sz w:val="24"/>
          <w:szCs w:val="24"/>
        </w:rPr>
        <w:t>that are</w:t>
      </w:r>
      <w:r w:rsidR="00A71070" w:rsidRPr="003B5522">
        <w:rPr>
          <w:rFonts w:ascii="Times New Roman" w:hAnsi="Times New Roman"/>
          <w:sz w:val="24"/>
          <w:szCs w:val="24"/>
        </w:rPr>
        <w:t xml:space="preserve"> in line with the core principles of the Energy Union, including the EU Energy Security Strategy</w:t>
      </w:r>
      <w:r w:rsidR="00A71070" w:rsidRPr="003B5522">
        <w:rPr>
          <w:rStyle w:val="FootnoteReference"/>
          <w:rFonts w:ascii="Times New Roman" w:hAnsi="Times New Roman"/>
          <w:sz w:val="24"/>
          <w:szCs w:val="24"/>
        </w:rPr>
        <w:footnoteReference w:id="28"/>
      </w:r>
      <w:r w:rsidR="00A71070" w:rsidRPr="003B5522">
        <w:rPr>
          <w:rFonts w:ascii="Times New Roman" w:hAnsi="Times New Roman"/>
          <w:sz w:val="24"/>
          <w:szCs w:val="24"/>
        </w:rPr>
        <w:t xml:space="preserve">. </w:t>
      </w:r>
      <w:r w:rsidR="00975DB8" w:rsidRPr="003B5522">
        <w:rPr>
          <w:rFonts w:ascii="Times New Roman" w:hAnsi="Times New Roman"/>
          <w:sz w:val="24"/>
          <w:szCs w:val="24"/>
        </w:rPr>
        <w:t xml:space="preserve">Diversification of energy sources, suppliers and routes is crucial for ensuring secure and resilient supplies to European citizens and companies. </w:t>
      </w:r>
      <w:r w:rsidR="007230E7" w:rsidRPr="003B5522">
        <w:rPr>
          <w:rFonts w:ascii="Times New Roman" w:hAnsi="Times New Roman"/>
          <w:sz w:val="24"/>
          <w:szCs w:val="24"/>
        </w:rPr>
        <w:t xml:space="preserve">The Union's energy security is </w:t>
      </w:r>
      <w:r w:rsidR="00975DB8" w:rsidRPr="003B5522">
        <w:rPr>
          <w:rFonts w:ascii="Times New Roman" w:hAnsi="Times New Roman"/>
          <w:sz w:val="24"/>
          <w:szCs w:val="24"/>
        </w:rPr>
        <w:t xml:space="preserve">also </w:t>
      </w:r>
      <w:r w:rsidR="007230E7" w:rsidRPr="003B5522">
        <w:rPr>
          <w:rFonts w:ascii="Times New Roman" w:hAnsi="Times New Roman"/>
          <w:sz w:val="24"/>
          <w:szCs w:val="24"/>
        </w:rPr>
        <w:t>closely linked to its Neighbourhood's energy security.</w:t>
      </w:r>
      <w:r w:rsidR="00363754" w:rsidRPr="003B5522">
        <w:rPr>
          <w:rStyle w:val="FootnoteReference"/>
          <w:rFonts w:ascii="Times New Roman" w:hAnsi="Times New Roman"/>
          <w:sz w:val="24"/>
          <w:szCs w:val="24"/>
        </w:rPr>
        <w:footnoteReference w:id="29"/>
      </w:r>
      <w:r w:rsidR="007230E7" w:rsidRPr="003B5522">
        <w:rPr>
          <w:rFonts w:ascii="Times New Roman" w:hAnsi="Times New Roman"/>
          <w:sz w:val="24"/>
          <w:szCs w:val="24"/>
        </w:rPr>
        <w:t xml:space="preserve"> The Energy Community plays a central role in this respect</w:t>
      </w:r>
      <w:r w:rsidR="00363754" w:rsidRPr="003B5522">
        <w:rPr>
          <w:rFonts w:ascii="Times New Roman" w:hAnsi="Times New Roman"/>
          <w:sz w:val="24"/>
          <w:szCs w:val="24"/>
        </w:rPr>
        <w:t xml:space="preserve">, both in promoting priority interconnection projects but also in ensuring that the region operates under rules compatible with those </w:t>
      </w:r>
      <w:r w:rsidR="00363754" w:rsidRPr="0042168B">
        <w:rPr>
          <w:rFonts w:ascii="Times New Roman" w:hAnsi="Times New Roman"/>
          <w:sz w:val="24"/>
          <w:szCs w:val="24"/>
        </w:rPr>
        <w:t>of the EU. In this respect, at the Vienna Western Balkan Summit, the countries of the region decided to establish a regional electricity market</w:t>
      </w:r>
      <w:r w:rsidR="007230E7" w:rsidRPr="0042168B">
        <w:rPr>
          <w:rFonts w:ascii="Times New Roman" w:hAnsi="Times New Roman"/>
          <w:sz w:val="24"/>
          <w:szCs w:val="24"/>
        </w:rPr>
        <w:t xml:space="preserve">. </w:t>
      </w:r>
      <w:r w:rsidR="006B22DF" w:rsidRPr="0042168B">
        <w:rPr>
          <w:rFonts w:ascii="Times New Roman" w:hAnsi="Times New Roman"/>
          <w:sz w:val="24"/>
          <w:szCs w:val="24"/>
        </w:rPr>
        <w:t xml:space="preserve">In </w:t>
      </w:r>
      <w:r w:rsidR="000D3DD8" w:rsidRPr="0042168B">
        <w:rPr>
          <w:rFonts w:ascii="Times New Roman" w:hAnsi="Times New Roman"/>
          <w:sz w:val="24"/>
          <w:szCs w:val="24"/>
        </w:rPr>
        <w:t xml:space="preserve">the Central </w:t>
      </w:r>
      <w:r w:rsidR="0032285E" w:rsidRPr="0042168B">
        <w:rPr>
          <w:rFonts w:ascii="Times New Roman" w:hAnsi="Times New Roman"/>
          <w:sz w:val="24"/>
          <w:szCs w:val="24"/>
        </w:rPr>
        <w:t xml:space="preserve">and </w:t>
      </w:r>
      <w:r w:rsidR="000D3DD8" w:rsidRPr="0042168B">
        <w:rPr>
          <w:rFonts w:ascii="Times New Roman" w:hAnsi="Times New Roman"/>
          <w:sz w:val="24"/>
          <w:szCs w:val="24"/>
        </w:rPr>
        <w:t xml:space="preserve">South </w:t>
      </w:r>
      <w:r w:rsidR="0032285E" w:rsidRPr="0042168B">
        <w:rPr>
          <w:rFonts w:ascii="Times New Roman" w:hAnsi="Times New Roman"/>
          <w:sz w:val="24"/>
          <w:szCs w:val="24"/>
        </w:rPr>
        <w:t xml:space="preserve">Eastern </w:t>
      </w:r>
      <w:r w:rsidR="000D3DD8" w:rsidRPr="0042168B">
        <w:rPr>
          <w:rFonts w:ascii="Times New Roman" w:hAnsi="Times New Roman"/>
          <w:sz w:val="24"/>
          <w:szCs w:val="24"/>
        </w:rPr>
        <w:t>Europe Gas Connectivity High Level Group</w:t>
      </w:r>
      <w:r w:rsidR="006B22DF" w:rsidRPr="0042168B">
        <w:rPr>
          <w:rFonts w:ascii="Times New Roman" w:hAnsi="Times New Roman"/>
          <w:sz w:val="24"/>
          <w:szCs w:val="24"/>
        </w:rPr>
        <w:t xml:space="preserve">, six Energy Community countries have joined the Memorandum of Understanding and agreed to the Action Plan together with nine EU countries – a prime example of the fact that Energy Union extends and brings benefits beyond EU borders. </w:t>
      </w:r>
      <w:r w:rsidR="007230E7" w:rsidRPr="0042168B">
        <w:rPr>
          <w:rFonts w:ascii="Times New Roman" w:hAnsi="Times New Roman"/>
          <w:sz w:val="24"/>
          <w:szCs w:val="24"/>
        </w:rPr>
        <w:t xml:space="preserve">Over 2015, the Commission has engaged in supporting the reform process in the Energy Community. </w:t>
      </w:r>
      <w:r w:rsidR="00C600F4" w:rsidRPr="0042168B">
        <w:rPr>
          <w:rFonts w:ascii="Times New Roman" w:hAnsi="Times New Roman"/>
          <w:sz w:val="24"/>
          <w:szCs w:val="24"/>
        </w:rPr>
        <w:t>The International Energy Charter was co-signed by the European Commission at the Conference on 20-21 May 2015 in The Hague.</w:t>
      </w:r>
    </w:p>
    <w:p w:rsidR="006B22DF"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recent discoveries of gas in the East Mediterranean increase the potential of the Mediterranean region to contribute to Europe’s energy security. Therefore, cooperation has been stepped up through the establishment of three </w:t>
      </w:r>
      <w:r w:rsidR="00363754" w:rsidRPr="0042168B">
        <w:rPr>
          <w:rFonts w:ascii="Times New Roman" w:hAnsi="Times New Roman"/>
          <w:sz w:val="24"/>
          <w:szCs w:val="24"/>
        </w:rPr>
        <w:t xml:space="preserve">Euro-Med </w:t>
      </w:r>
      <w:r w:rsidRPr="0042168B">
        <w:rPr>
          <w:rFonts w:ascii="Times New Roman" w:hAnsi="Times New Roman"/>
          <w:sz w:val="24"/>
          <w:szCs w:val="24"/>
        </w:rPr>
        <w:t>platforms on gas, the regional electricity market, and the promotion of renewable energy and energy efficiency.</w:t>
      </w:r>
      <w:r w:rsidR="00715EBD" w:rsidRPr="0042168B">
        <w:rPr>
          <w:rFonts w:ascii="Times New Roman" w:hAnsi="Times New Roman"/>
          <w:sz w:val="24"/>
          <w:szCs w:val="24"/>
        </w:rPr>
        <w:t xml:space="preserve"> Talks on the Trans-Caspian pipeline have been relaunched and work on the Southern Gas Corridor </w:t>
      </w:r>
      <w:r w:rsidR="009460C9" w:rsidRPr="0042168B">
        <w:rPr>
          <w:rFonts w:ascii="Times New Roman" w:hAnsi="Times New Roman"/>
          <w:sz w:val="24"/>
          <w:szCs w:val="24"/>
        </w:rPr>
        <w:t>continued in 2015</w:t>
      </w:r>
      <w:r w:rsidR="00715EBD" w:rsidRPr="0042168B">
        <w:rPr>
          <w:rFonts w:ascii="Times New Roman" w:hAnsi="Times New Roman"/>
          <w:sz w:val="24"/>
          <w:szCs w:val="24"/>
        </w:rPr>
        <w:t>.</w:t>
      </w:r>
      <w:r w:rsidR="006B22DF" w:rsidRPr="0042168B">
        <w:rPr>
          <w:rFonts w:ascii="Times New Roman" w:hAnsi="Times New Roman"/>
          <w:sz w:val="24"/>
          <w:szCs w:val="24"/>
        </w:rPr>
        <w:t xml:space="preserve"> </w:t>
      </w:r>
    </w:p>
    <w:p w:rsidR="0032285E" w:rsidRPr="0042168B" w:rsidRDefault="0032285E" w:rsidP="00877889">
      <w:pPr>
        <w:spacing w:after="240" w:line="240" w:lineRule="auto"/>
        <w:jc w:val="both"/>
        <w:rPr>
          <w:rFonts w:ascii="Times New Roman" w:hAnsi="Times New Roman"/>
          <w:sz w:val="24"/>
          <w:szCs w:val="24"/>
        </w:rPr>
      </w:pPr>
      <w:r w:rsidRPr="0042168B">
        <w:rPr>
          <w:rFonts w:ascii="Times New Roman" w:hAnsi="Times New Roman"/>
          <w:sz w:val="24"/>
          <w:szCs w:val="24"/>
        </w:rPr>
        <w:t>Attention over the last months has turned strongly to electricity. In some Member States the oversupply of electricity has been reduced during the last decade and the threat of brownouts is now being raised. In order to evaluate where the real problems in the electricity system are and how these can be best tackled, several initiatives were taken to ensure that electricity generation adequacy analysis is carried out on a regional basis and based on a common methodology.</w:t>
      </w:r>
      <w:r w:rsidRPr="0042168B">
        <w:rPr>
          <w:rStyle w:val="FootnoteReference"/>
          <w:rFonts w:ascii="Times New Roman" w:hAnsi="Times New Roman"/>
          <w:sz w:val="24"/>
          <w:szCs w:val="24"/>
        </w:rPr>
        <w:footnoteReference w:id="30"/>
      </w:r>
      <w:r w:rsidRPr="0042168B">
        <w:rPr>
          <w:rFonts w:ascii="Times New Roman" w:hAnsi="Times New Roman"/>
          <w:sz w:val="24"/>
          <w:szCs w:val="24"/>
        </w:rPr>
        <w:t xml:space="preserve"> </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F23B13" w:rsidRPr="0042168B" w:rsidRDefault="00F23B13" w:rsidP="00877889">
      <w:pPr>
        <w:spacing w:after="240" w:line="240" w:lineRule="auto"/>
        <w:jc w:val="both"/>
        <w:rPr>
          <w:rFonts w:ascii="Times New Roman" w:hAnsi="Times New Roman"/>
          <w:sz w:val="24"/>
          <w:szCs w:val="24"/>
        </w:rPr>
      </w:pPr>
      <w:r w:rsidRPr="0042168B">
        <w:rPr>
          <w:rFonts w:ascii="Times New Roman" w:hAnsi="Times New Roman"/>
          <w:sz w:val="24"/>
          <w:szCs w:val="24"/>
        </w:rPr>
        <w:t>Geopolitical challenges will not go away in 2016.</w:t>
      </w:r>
      <w:r w:rsidR="004B2096" w:rsidRPr="0042168B">
        <w:rPr>
          <w:rFonts w:ascii="Times New Roman" w:hAnsi="Times New Roman"/>
          <w:sz w:val="24"/>
          <w:szCs w:val="24"/>
        </w:rPr>
        <w:t xml:space="preserve"> The EU will need to pursue its new energy diplomacy effectively and speak with one voice vis-à-vis third countries.</w:t>
      </w:r>
      <w:r w:rsidR="005629A1" w:rsidRPr="0042168B">
        <w:rPr>
          <w:rFonts w:ascii="Times New Roman" w:hAnsi="Times New Roman"/>
          <w:sz w:val="24"/>
          <w:szCs w:val="24"/>
        </w:rPr>
        <w:t xml:space="preserve"> It will also need to develop the relevant energy diplomacy action plans so as to strengthen diversification also through foreign policy instruments.</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Revision of the Regulation on Security of Gas Supply foreseen for 2016 </w:t>
      </w:r>
      <w:r w:rsidR="00CC4E91" w:rsidRPr="0042168B">
        <w:rPr>
          <w:rFonts w:ascii="Times New Roman" w:hAnsi="Times New Roman"/>
          <w:sz w:val="24"/>
          <w:szCs w:val="24"/>
        </w:rPr>
        <w:t xml:space="preserve">intends to </w:t>
      </w:r>
      <w:r w:rsidRPr="0042168B">
        <w:rPr>
          <w:rFonts w:ascii="Times New Roman" w:hAnsi="Times New Roman"/>
          <w:sz w:val="24"/>
          <w:szCs w:val="24"/>
        </w:rPr>
        <w:t>improve the EU's resilience to supply disruptions. It will be particularly important to strengthen regional cooperation between Member States, both to prevent and to mitigate supply shocks</w:t>
      </w:r>
      <w:r w:rsidR="00721ADA" w:rsidRPr="0042168B">
        <w:rPr>
          <w:rFonts w:ascii="Times New Roman" w:hAnsi="Times New Roman"/>
          <w:sz w:val="24"/>
          <w:szCs w:val="24"/>
        </w:rPr>
        <w:t>, a</w:t>
      </w:r>
      <w:r w:rsidR="00660A2E" w:rsidRPr="0042168B">
        <w:rPr>
          <w:rFonts w:ascii="Times New Roman" w:hAnsi="Times New Roman"/>
          <w:sz w:val="24"/>
          <w:szCs w:val="24"/>
        </w:rPr>
        <w:t>s well as</w:t>
      </w:r>
      <w:r w:rsidR="00721ADA" w:rsidRPr="0042168B">
        <w:rPr>
          <w:rFonts w:ascii="Times New Roman" w:hAnsi="Times New Roman"/>
          <w:sz w:val="24"/>
          <w:szCs w:val="24"/>
        </w:rPr>
        <w:t xml:space="preserve"> to ensure solidarity in the event of an emergency</w:t>
      </w:r>
      <w:r w:rsidRPr="0042168B">
        <w:rPr>
          <w:rFonts w:ascii="Times New Roman" w:hAnsi="Times New Roman"/>
          <w:sz w:val="24"/>
          <w:szCs w:val="24"/>
        </w:rPr>
        <w:t xml:space="preserve">. The Commission </w:t>
      </w:r>
      <w:r w:rsidR="00CC4E91" w:rsidRPr="0042168B">
        <w:rPr>
          <w:rFonts w:ascii="Times New Roman" w:hAnsi="Times New Roman"/>
          <w:sz w:val="24"/>
          <w:szCs w:val="24"/>
        </w:rPr>
        <w:t>intends to</w:t>
      </w:r>
      <w:r w:rsidRPr="0042168B">
        <w:rPr>
          <w:rFonts w:ascii="Times New Roman" w:hAnsi="Times New Roman"/>
          <w:sz w:val="24"/>
          <w:szCs w:val="24"/>
        </w:rPr>
        <w:t xml:space="preserve"> come forward </w:t>
      </w:r>
      <w:r w:rsidR="00CC4E91" w:rsidRPr="0042168B">
        <w:rPr>
          <w:rFonts w:ascii="Times New Roman" w:hAnsi="Times New Roman"/>
          <w:sz w:val="24"/>
          <w:szCs w:val="24"/>
        </w:rPr>
        <w:t>at the same time</w:t>
      </w:r>
      <w:r w:rsidRPr="0042168B">
        <w:rPr>
          <w:rFonts w:ascii="Times New Roman" w:hAnsi="Times New Roman"/>
          <w:sz w:val="24"/>
          <w:szCs w:val="24"/>
        </w:rPr>
        <w:t xml:space="preserve"> with a strategy for </w:t>
      </w:r>
      <w:r w:rsidR="000D3DD8" w:rsidRPr="0042168B">
        <w:rPr>
          <w:rFonts w:ascii="Times New Roman" w:hAnsi="Times New Roman"/>
          <w:sz w:val="24"/>
          <w:szCs w:val="24"/>
        </w:rPr>
        <w:t>Liquefied Natural Gas</w:t>
      </w:r>
      <w:r w:rsidRPr="0042168B">
        <w:rPr>
          <w:rFonts w:ascii="Times New Roman" w:hAnsi="Times New Roman"/>
          <w:sz w:val="24"/>
          <w:szCs w:val="24"/>
        </w:rPr>
        <w:t xml:space="preserve"> </w:t>
      </w:r>
      <w:r w:rsidR="00CC4E91" w:rsidRPr="0042168B">
        <w:rPr>
          <w:rFonts w:ascii="Times New Roman" w:hAnsi="Times New Roman"/>
          <w:sz w:val="24"/>
          <w:szCs w:val="24"/>
        </w:rPr>
        <w:t xml:space="preserve">(LNG) </w:t>
      </w:r>
      <w:r w:rsidRPr="0042168B">
        <w:rPr>
          <w:rFonts w:ascii="Times New Roman" w:hAnsi="Times New Roman"/>
          <w:sz w:val="24"/>
          <w:szCs w:val="24"/>
        </w:rPr>
        <w:t xml:space="preserve">and gas storage, to ensure that the European Union can take full benefit of the diversification potential offered by </w:t>
      </w:r>
      <w:r w:rsidR="000D3DD8" w:rsidRPr="0042168B">
        <w:rPr>
          <w:rFonts w:ascii="Times New Roman" w:hAnsi="Times New Roman"/>
          <w:sz w:val="24"/>
          <w:szCs w:val="24"/>
        </w:rPr>
        <w:t>Liquefied Natural Gas</w:t>
      </w:r>
      <w:r w:rsidRPr="0042168B">
        <w:rPr>
          <w:rFonts w:ascii="Times New Roman" w:hAnsi="Times New Roman"/>
          <w:sz w:val="24"/>
          <w:szCs w:val="24"/>
        </w:rPr>
        <w:t>. In parallel, the Commission continue</w:t>
      </w:r>
      <w:r w:rsidR="00CC4E91" w:rsidRPr="0042168B">
        <w:rPr>
          <w:rFonts w:ascii="Times New Roman" w:hAnsi="Times New Roman"/>
          <w:sz w:val="24"/>
          <w:szCs w:val="24"/>
        </w:rPr>
        <w:t>s</w:t>
      </w:r>
      <w:r w:rsidRPr="0042168B">
        <w:rPr>
          <w:rFonts w:ascii="Times New Roman" w:hAnsi="Times New Roman"/>
          <w:sz w:val="24"/>
          <w:szCs w:val="24"/>
        </w:rPr>
        <w:t xml:space="preserve"> to stress the importance of energy in general and </w:t>
      </w:r>
      <w:r w:rsidR="000D3DD8" w:rsidRPr="0042168B">
        <w:rPr>
          <w:rFonts w:ascii="Times New Roman" w:hAnsi="Times New Roman"/>
          <w:sz w:val="24"/>
          <w:szCs w:val="24"/>
        </w:rPr>
        <w:t xml:space="preserve">Liquefied Natural Gas </w:t>
      </w:r>
      <w:r w:rsidRPr="0042168B">
        <w:rPr>
          <w:rFonts w:ascii="Times New Roman" w:hAnsi="Times New Roman"/>
          <w:sz w:val="24"/>
          <w:szCs w:val="24"/>
        </w:rPr>
        <w:t>in particular in the ongoing negotiations on the Transatlantic Trade and Investment Partnership (TTIP).</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To increase transparency and to ensure that intergovernmental agreements (IGAs) in the energy field comply with applicable EU legislation and policies, the Commission </w:t>
      </w:r>
      <w:r w:rsidR="007A7D86" w:rsidRPr="0042168B">
        <w:rPr>
          <w:rFonts w:ascii="Times New Roman" w:hAnsi="Times New Roman"/>
          <w:sz w:val="24"/>
          <w:szCs w:val="24"/>
        </w:rPr>
        <w:t>is preparing</w:t>
      </w:r>
      <w:r w:rsidRPr="0042168B">
        <w:rPr>
          <w:rFonts w:ascii="Times New Roman" w:hAnsi="Times New Roman"/>
          <w:sz w:val="24"/>
          <w:szCs w:val="24"/>
        </w:rPr>
        <w:t xml:space="preserve"> a </w:t>
      </w:r>
      <w:r w:rsidR="00CC4E91" w:rsidRPr="0042168B">
        <w:rPr>
          <w:rFonts w:ascii="Times New Roman" w:hAnsi="Times New Roman"/>
          <w:sz w:val="24"/>
          <w:szCs w:val="24"/>
        </w:rPr>
        <w:t xml:space="preserve">proposal </w:t>
      </w:r>
      <w:r w:rsidR="007A7D86" w:rsidRPr="0042168B">
        <w:rPr>
          <w:rFonts w:ascii="Times New Roman" w:hAnsi="Times New Roman"/>
          <w:sz w:val="24"/>
          <w:szCs w:val="24"/>
        </w:rPr>
        <w:t>to</w:t>
      </w:r>
      <w:r w:rsidR="00CC4E91" w:rsidRPr="0042168B">
        <w:rPr>
          <w:rFonts w:ascii="Times New Roman" w:hAnsi="Times New Roman"/>
          <w:sz w:val="24"/>
          <w:szCs w:val="24"/>
        </w:rPr>
        <w:t xml:space="preserve"> </w:t>
      </w:r>
      <w:r w:rsidRPr="0042168B">
        <w:rPr>
          <w:rFonts w:ascii="Times New Roman" w:hAnsi="Times New Roman"/>
          <w:sz w:val="24"/>
          <w:szCs w:val="24"/>
        </w:rPr>
        <w:t>revis</w:t>
      </w:r>
      <w:r w:rsidR="007A7D86" w:rsidRPr="0042168B">
        <w:rPr>
          <w:rFonts w:ascii="Times New Roman" w:hAnsi="Times New Roman"/>
          <w:sz w:val="24"/>
          <w:szCs w:val="24"/>
        </w:rPr>
        <w:t>e</w:t>
      </w:r>
      <w:r w:rsidRPr="0042168B">
        <w:rPr>
          <w:rFonts w:ascii="Times New Roman" w:hAnsi="Times New Roman"/>
          <w:sz w:val="24"/>
          <w:szCs w:val="24"/>
        </w:rPr>
        <w:t xml:space="preserve"> the current Decision</w:t>
      </w:r>
      <w:r w:rsidR="000D3DD8" w:rsidRPr="0042168B">
        <w:rPr>
          <w:rFonts w:ascii="Times New Roman" w:hAnsi="Times New Roman"/>
          <w:sz w:val="24"/>
          <w:szCs w:val="24"/>
        </w:rPr>
        <w:t xml:space="preserve"> on intergovernmental agreements</w:t>
      </w:r>
      <w:r w:rsidRPr="0042168B">
        <w:rPr>
          <w:rFonts w:ascii="Times New Roman" w:hAnsi="Times New Roman"/>
          <w:sz w:val="24"/>
          <w:szCs w:val="24"/>
        </w:rPr>
        <w:t>.</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By the end of 2016, </w:t>
      </w:r>
      <w:r w:rsidR="00721ADA" w:rsidRPr="0042168B">
        <w:rPr>
          <w:rFonts w:ascii="Times New Roman" w:hAnsi="Times New Roman"/>
          <w:sz w:val="24"/>
          <w:szCs w:val="24"/>
        </w:rPr>
        <w:t xml:space="preserve">the Commission </w:t>
      </w:r>
      <w:r w:rsidR="00CC4E91" w:rsidRPr="0042168B">
        <w:rPr>
          <w:rFonts w:ascii="Times New Roman" w:hAnsi="Times New Roman"/>
          <w:sz w:val="24"/>
          <w:szCs w:val="24"/>
        </w:rPr>
        <w:t>intends to come forward with</w:t>
      </w:r>
      <w:r w:rsidRPr="0042168B">
        <w:rPr>
          <w:rFonts w:ascii="Times New Roman" w:hAnsi="Times New Roman"/>
          <w:sz w:val="24"/>
          <w:szCs w:val="24"/>
        </w:rPr>
        <w:t xml:space="preserve"> a new legal instrument on security of electricity supply</w:t>
      </w:r>
      <w:r w:rsidR="00946750" w:rsidRPr="0042168B">
        <w:rPr>
          <w:rFonts w:ascii="Times New Roman" w:hAnsi="Times New Roman"/>
          <w:sz w:val="24"/>
          <w:szCs w:val="24"/>
        </w:rPr>
        <w:t xml:space="preserve"> designed to</w:t>
      </w:r>
      <w:r w:rsidRPr="0042168B">
        <w:rPr>
          <w:rFonts w:ascii="Times New Roman" w:hAnsi="Times New Roman"/>
          <w:sz w:val="24"/>
          <w:szCs w:val="24"/>
        </w:rPr>
        <w:t xml:space="preserve"> </w:t>
      </w:r>
      <w:r w:rsidR="00721ADA" w:rsidRPr="0042168B">
        <w:rPr>
          <w:rFonts w:ascii="Times New Roman" w:hAnsi="Times New Roman"/>
          <w:sz w:val="24"/>
          <w:szCs w:val="24"/>
        </w:rPr>
        <w:t xml:space="preserve">enhance transparency, ensure a common approach and </w:t>
      </w:r>
      <w:r w:rsidRPr="0042168B">
        <w:rPr>
          <w:rFonts w:ascii="Times New Roman" w:hAnsi="Times New Roman"/>
          <w:sz w:val="24"/>
          <w:szCs w:val="24"/>
        </w:rPr>
        <w:t xml:space="preserve">better address cross-border solutions to security of electricity supply. This </w:t>
      </w:r>
      <w:r w:rsidR="00CC4E91" w:rsidRPr="0042168B">
        <w:rPr>
          <w:rFonts w:ascii="Times New Roman" w:hAnsi="Times New Roman"/>
          <w:sz w:val="24"/>
          <w:szCs w:val="24"/>
        </w:rPr>
        <w:t xml:space="preserve">instrument is supposed to </w:t>
      </w:r>
      <w:r w:rsidRPr="0042168B">
        <w:rPr>
          <w:rFonts w:ascii="Times New Roman" w:hAnsi="Times New Roman"/>
          <w:sz w:val="24"/>
          <w:szCs w:val="24"/>
        </w:rPr>
        <w:t>be fully integrated with the redesign of the electricity market.</w:t>
      </w:r>
      <w:r w:rsidR="00DA1573" w:rsidRPr="0042168B" w:rsidDel="00DA1573">
        <w:rPr>
          <w:rFonts w:ascii="Times New Roman" w:hAnsi="Times New Roman"/>
          <w:sz w:val="24"/>
          <w:szCs w:val="24"/>
        </w:rPr>
        <w:t xml:space="preserve"> </w:t>
      </w:r>
    </w:p>
    <w:p w:rsidR="0032285E" w:rsidRPr="0042168B" w:rsidRDefault="0032285E"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the nuclear field, the publication in 2016 of a new Nuclear Illustrative Programme (PINC) will provide an overview of investments envisaged by Member States until 2050 for all stages of the nuclear cycle. With half of the EU Member States having indicated their intention to continue relying on this energy source to generate part of their electricity, this initiative </w:t>
      </w:r>
      <w:r w:rsidR="00921E6C" w:rsidRPr="0042168B">
        <w:rPr>
          <w:rFonts w:ascii="Times New Roman" w:hAnsi="Times New Roman"/>
          <w:sz w:val="24"/>
          <w:szCs w:val="24"/>
        </w:rPr>
        <w:t>should bring more clarity</w:t>
      </w:r>
      <w:r w:rsidRPr="0042168B">
        <w:rPr>
          <w:rFonts w:ascii="Times New Roman" w:hAnsi="Times New Roman"/>
          <w:sz w:val="24"/>
          <w:szCs w:val="24"/>
        </w:rPr>
        <w:t xml:space="preserve"> on long-term nuclear investment needs and on the management of nuclear liabilities.</w:t>
      </w:r>
    </w:p>
    <w:p w:rsidR="00946750" w:rsidRPr="0042168B" w:rsidRDefault="00946750" w:rsidP="00072ED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sidRPr="0042168B">
        <w:rPr>
          <w:rFonts w:ascii="Times New Roman" w:hAnsi="Times New Roman"/>
          <w:i/>
          <w:sz w:val="24"/>
          <w:szCs w:val="24"/>
        </w:rPr>
        <w:t>Policy conclusions at Member State, regional and EU levels:</w:t>
      </w:r>
    </w:p>
    <w:p w:rsidR="0032285E" w:rsidRPr="0042168B" w:rsidRDefault="00AB126E" w:rsidP="00072EDE">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sidRPr="0042168B">
        <w:rPr>
          <w:i/>
          <w:szCs w:val="24"/>
        </w:rPr>
        <w:t xml:space="preserve">The EU is making progress to diversify sources, routes and suppliers of energy. </w:t>
      </w:r>
      <w:r w:rsidR="0032285E" w:rsidRPr="0042168B">
        <w:rPr>
          <w:i/>
          <w:szCs w:val="24"/>
        </w:rPr>
        <w:t>However, about 40% of the EU gas imports in 2013 came from Russia and</w:t>
      </w:r>
      <w:r w:rsidRPr="0042168B">
        <w:rPr>
          <w:i/>
          <w:szCs w:val="24"/>
        </w:rPr>
        <w:t xml:space="preserve"> a series of Member States are still </w:t>
      </w:r>
      <w:r w:rsidR="0032285E" w:rsidRPr="0042168B">
        <w:rPr>
          <w:i/>
          <w:szCs w:val="24"/>
        </w:rPr>
        <w:t xml:space="preserve">totally or predominantly </w:t>
      </w:r>
      <w:r w:rsidRPr="0042168B">
        <w:rPr>
          <w:i/>
          <w:szCs w:val="24"/>
        </w:rPr>
        <w:t xml:space="preserve">dependent on </w:t>
      </w:r>
      <w:r w:rsidR="0032285E" w:rsidRPr="0042168B">
        <w:rPr>
          <w:i/>
          <w:szCs w:val="24"/>
        </w:rPr>
        <w:t xml:space="preserve">supply from Russia, notably </w:t>
      </w:r>
      <w:r w:rsidRPr="0042168B">
        <w:rPr>
          <w:i/>
          <w:szCs w:val="24"/>
        </w:rPr>
        <w:t xml:space="preserve">Bulgaria, Czech Republic, </w:t>
      </w:r>
      <w:r w:rsidR="0032285E" w:rsidRPr="0042168B">
        <w:rPr>
          <w:i/>
          <w:szCs w:val="24"/>
        </w:rPr>
        <w:t xml:space="preserve">Estonia, Finland </w:t>
      </w:r>
      <w:r w:rsidRPr="0042168B">
        <w:rPr>
          <w:i/>
          <w:szCs w:val="24"/>
        </w:rPr>
        <w:t xml:space="preserve">Hungary, </w:t>
      </w:r>
      <w:r w:rsidR="0032285E" w:rsidRPr="0042168B">
        <w:rPr>
          <w:i/>
          <w:szCs w:val="24"/>
        </w:rPr>
        <w:t xml:space="preserve">Latvia, Lithuania and </w:t>
      </w:r>
      <w:r w:rsidRPr="0042168B">
        <w:rPr>
          <w:i/>
          <w:szCs w:val="24"/>
        </w:rPr>
        <w:t>Slovakia</w:t>
      </w:r>
      <w:r w:rsidR="00DA1573" w:rsidRPr="0042168B">
        <w:rPr>
          <w:i/>
          <w:szCs w:val="24"/>
        </w:rPr>
        <w:t>.</w:t>
      </w:r>
      <w:r w:rsidRPr="0042168B">
        <w:rPr>
          <w:i/>
          <w:szCs w:val="24"/>
        </w:rPr>
        <w:t xml:space="preserve"> </w:t>
      </w:r>
    </w:p>
    <w:p w:rsidR="00AB126E" w:rsidRPr="0042168B" w:rsidRDefault="0032285E" w:rsidP="00072EDE">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sidRPr="0042168B">
        <w:rPr>
          <w:i/>
          <w:szCs w:val="24"/>
        </w:rPr>
        <w:t>T</w:t>
      </w:r>
      <w:r w:rsidR="00AB126E" w:rsidRPr="0042168B">
        <w:rPr>
          <w:i/>
          <w:szCs w:val="24"/>
        </w:rPr>
        <w:t>hree Member States (Bulgaria, Lithuania and Portugal) have yet to meet the</w:t>
      </w:r>
      <w:r w:rsidR="005850E7" w:rsidRPr="0042168B">
        <w:rPr>
          <w:i/>
          <w:szCs w:val="24"/>
        </w:rPr>
        <w:t xml:space="preserve"> infrastructure standard</w:t>
      </w:r>
      <w:r w:rsidR="00AB126E" w:rsidRPr="0042168B">
        <w:rPr>
          <w:i/>
          <w:szCs w:val="24"/>
        </w:rPr>
        <w:t xml:space="preserve"> of the Security of Gas Supply Regulation.</w:t>
      </w:r>
    </w:p>
    <w:p w:rsidR="00AB126E" w:rsidRPr="0042168B" w:rsidRDefault="00DA1573" w:rsidP="00072EDE">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sidRPr="0042168B">
        <w:rPr>
          <w:i/>
          <w:szCs w:val="24"/>
        </w:rPr>
        <w:t>T</w:t>
      </w:r>
      <w:r w:rsidR="00AB126E" w:rsidRPr="0042168B">
        <w:rPr>
          <w:i/>
          <w:szCs w:val="24"/>
        </w:rPr>
        <w:t>here is</w:t>
      </w:r>
      <w:r w:rsidR="00C33678" w:rsidRPr="0042168B">
        <w:rPr>
          <w:i/>
          <w:szCs w:val="24"/>
        </w:rPr>
        <w:t xml:space="preserve"> a need</w:t>
      </w:r>
      <w:r w:rsidR="00AB126E" w:rsidRPr="0042168B">
        <w:rPr>
          <w:i/>
          <w:szCs w:val="24"/>
        </w:rPr>
        <w:t xml:space="preserve"> to further connect in particular the Baltic States </w:t>
      </w:r>
      <w:r w:rsidR="00C600F4" w:rsidRPr="0042168B">
        <w:rPr>
          <w:i/>
          <w:szCs w:val="24"/>
        </w:rPr>
        <w:t xml:space="preserve">and Finland </w:t>
      </w:r>
      <w:r w:rsidR="00AB126E" w:rsidRPr="0042168B">
        <w:rPr>
          <w:i/>
          <w:szCs w:val="24"/>
        </w:rPr>
        <w:t xml:space="preserve">to the Central European gas market, to improve connections between Member States (e.g. Hungary, Romania, Bulgaria and Greece, Portugal and Spain with France) and to ensure that </w:t>
      </w:r>
      <w:r w:rsidR="00721ADA" w:rsidRPr="0042168B">
        <w:rPr>
          <w:i/>
          <w:szCs w:val="24"/>
        </w:rPr>
        <w:t xml:space="preserve">all </w:t>
      </w:r>
      <w:r w:rsidR="00AB126E" w:rsidRPr="0042168B">
        <w:rPr>
          <w:i/>
          <w:szCs w:val="24"/>
        </w:rPr>
        <w:t xml:space="preserve">Member States </w:t>
      </w:r>
      <w:r w:rsidR="00721ADA" w:rsidRPr="0042168B">
        <w:rPr>
          <w:i/>
          <w:szCs w:val="24"/>
        </w:rPr>
        <w:t xml:space="preserve">have access to liquid hubs and </w:t>
      </w:r>
      <w:r w:rsidR="00AB126E" w:rsidRPr="0042168B">
        <w:rPr>
          <w:i/>
          <w:szCs w:val="24"/>
        </w:rPr>
        <w:t xml:space="preserve">can benefit from the </w:t>
      </w:r>
      <w:r w:rsidR="00DB2144" w:rsidRPr="0042168B">
        <w:rPr>
          <w:i/>
          <w:szCs w:val="24"/>
        </w:rPr>
        <w:t>Liquefied Natural Gas (</w:t>
      </w:r>
      <w:r w:rsidR="00AB126E" w:rsidRPr="0042168B">
        <w:rPr>
          <w:i/>
          <w:szCs w:val="24"/>
        </w:rPr>
        <w:t>LNG</w:t>
      </w:r>
      <w:r w:rsidR="00DB2144" w:rsidRPr="0042168B">
        <w:rPr>
          <w:i/>
          <w:szCs w:val="24"/>
        </w:rPr>
        <w:t>)</w:t>
      </w:r>
      <w:r w:rsidR="00AB126E" w:rsidRPr="0042168B">
        <w:rPr>
          <w:i/>
          <w:szCs w:val="24"/>
        </w:rPr>
        <w:t xml:space="preserve"> capacity that countries have been developing or have the potential to develop.</w:t>
      </w:r>
      <w:r w:rsidR="00C33678" w:rsidRPr="0042168B">
        <w:rPr>
          <w:i/>
          <w:szCs w:val="24"/>
        </w:rPr>
        <w:t xml:space="preserve"> </w:t>
      </w:r>
    </w:p>
    <w:p w:rsidR="00AB126E" w:rsidRPr="0042168B" w:rsidRDefault="00AB126E" w:rsidP="00072EDE">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sidRPr="0042168B">
        <w:rPr>
          <w:i/>
          <w:szCs w:val="24"/>
        </w:rPr>
        <w:t>At the regional level, the stress tests carried out in 2014 clearly show the benefits of regional cooperation to prevent or mitigate a gas crisis. The Commission already actively promotes such cooperation</w:t>
      </w:r>
      <w:r w:rsidR="00BC2ACE" w:rsidRPr="0042168B">
        <w:rPr>
          <w:i/>
          <w:szCs w:val="24"/>
        </w:rPr>
        <w:t>, e.g</w:t>
      </w:r>
      <w:r w:rsidR="000D3DD8" w:rsidRPr="0042168B">
        <w:rPr>
          <w:i/>
          <w:szCs w:val="24"/>
        </w:rPr>
        <w:t>.</w:t>
      </w:r>
      <w:r w:rsidR="00BC2ACE" w:rsidRPr="0042168B">
        <w:rPr>
          <w:i/>
          <w:szCs w:val="24"/>
        </w:rPr>
        <w:t xml:space="preserve"> </w:t>
      </w:r>
      <w:r w:rsidRPr="0042168B">
        <w:rPr>
          <w:i/>
          <w:szCs w:val="24"/>
        </w:rPr>
        <w:t xml:space="preserve">through the </w:t>
      </w:r>
      <w:r w:rsidRPr="0042168B">
        <w:rPr>
          <w:rStyle w:val="st1"/>
          <w:i/>
          <w:szCs w:val="24"/>
        </w:rPr>
        <w:t xml:space="preserve">Central </w:t>
      </w:r>
      <w:r w:rsidR="0032285E" w:rsidRPr="0042168B">
        <w:rPr>
          <w:rStyle w:val="st1"/>
          <w:i/>
          <w:szCs w:val="24"/>
        </w:rPr>
        <w:t xml:space="preserve">and </w:t>
      </w:r>
      <w:r w:rsidRPr="0042168B">
        <w:rPr>
          <w:rStyle w:val="st1"/>
          <w:i/>
          <w:szCs w:val="24"/>
        </w:rPr>
        <w:t>South</w:t>
      </w:r>
      <w:r w:rsidR="0032285E" w:rsidRPr="0042168B">
        <w:rPr>
          <w:rStyle w:val="st1"/>
          <w:i/>
          <w:szCs w:val="24"/>
        </w:rPr>
        <w:t xml:space="preserve"> Eastern</w:t>
      </w:r>
      <w:r w:rsidRPr="0042168B">
        <w:rPr>
          <w:rStyle w:val="st1"/>
          <w:i/>
          <w:szCs w:val="24"/>
        </w:rPr>
        <w:t xml:space="preserve"> Europe Gas Connectivity High Level Group (CESEC)</w:t>
      </w:r>
      <w:r w:rsidR="006C4BA7" w:rsidRPr="0042168B">
        <w:rPr>
          <w:rStyle w:val="st1"/>
          <w:i/>
          <w:szCs w:val="24"/>
        </w:rPr>
        <w:t>. This work should continue</w:t>
      </w:r>
      <w:r w:rsidRPr="0042168B">
        <w:rPr>
          <w:i/>
          <w:szCs w:val="24"/>
        </w:rPr>
        <w:t>.</w:t>
      </w:r>
    </w:p>
    <w:p w:rsidR="007230E7" w:rsidRPr="0042168B" w:rsidRDefault="00AB126E" w:rsidP="00072EDE">
      <w:pPr>
        <w:pStyle w:val="Text2"/>
        <w:numPr>
          <w:ilvl w:val="0"/>
          <w:numId w:val="4"/>
        </w:numPr>
        <w:pBdr>
          <w:top w:val="single" w:sz="4" w:space="1" w:color="auto"/>
          <w:left w:val="single" w:sz="4" w:space="4" w:color="auto"/>
          <w:bottom w:val="single" w:sz="4" w:space="1" w:color="auto"/>
          <w:right w:val="single" w:sz="4" w:space="4" w:color="auto"/>
        </w:pBdr>
        <w:ind w:left="426" w:hanging="426"/>
        <w:rPr>
          <w:smallCaps/>
          <w:szCs w:val="24"/>
        </w:rPr>
      </w:pPr>
      <w:r w:rsidRPr="0042168B">
        <w:rPr>
          <w:i/>
          <w:szCs w:val="24"/>
        </w:rPr>
        <w:t xml:space="preserve">Member States must </w:t>
      </w:r>
      <w:r w:rsidR="00BC2ACE" w:rsidRPr="0042168B">
        <w:rPr>
          <w:i/>
          <w:szCs w:val="24"/>
        </w:rPr>
        <w:t xml:space="preserve">also </w:t>
      </w:r>
      <w:r w:rsidRPr="0042168B">
        <w:rPr>
          <w:i/>
          <w:szCs w:val="24"/>
        </w:rPr>
        <w:t xml:space="preserve">reinforce (regional) cooperation with regard to security of electricity supply and generation adequacy. </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 xml:space="preserve">6. </w:t>
      </w:r>
      <w:r w:rsidRPr="0042168B">
        <w:rPr>
          <w:rFonts w:ascii="Times New Roman" w:hAnsi="Times New Roman"/>
          <w:b/>
          <w:smallCaps/>
          <w:sz w:val="24"/>
          <w:szCs w:val="24"/>
        </w:rPr>
        <w:tab/>
        <w:t>An Energy Union for research, innovation and competitiveness</w:t>
      </w:r>
    </w:p>
    <w:p w:rsidR="00DF7031" w:rsidRPr="0042168B" w:rsidRDefault="00DF7031" w:rsidP="00DF7031">
      <w:pPr>
        <w:spacing w:after="240" w:line="240" w:lineRule="auto"/>
        <w:jc w:val="both"/>
        <w:rPr>
          <w:rFonts w:ascii="Times New Roman" w:hAnsi="Times New Roman"/>
          <w:i/>
          <w:sz w:val="24"/>
          <w:szCs w:val="24"/>
        </w:rPr>
      </w:pPr>
      <w:r w:rsidRPr="0042168B">
        <w:rPr>
          <w:rFonts w:ascii="Times New Roman" w:hAnsi="Times New Roman"/>
          <w:i/>
          <w:sz w:val="24"/>
          <w:szCs w:val="24"/>
        </w:rPr>
        <w:t>Progress made</w:t>
      </w:r>
    </w:p>
    <w:p w:rsidR="00DF7031" w:rsidRPr="0042168B" w:rsidRDefault="00DF7031" w:rsidP="00DF7031">
      <w:pPr>
        <w:pStyle w:val="NormalWeb"/>
        <w:shd w:val="clear" w:color="auto" w:fill="FFFFFF"/>
        <w:jc w:val="both"/>
      </w:pPr>
      <w:r w:rsidRPr="0042168B">
        <w:t xml:space="preserve">Research, innovation (R&amp;I) and competitiveness are paramount to accelerate the EU energy </w:t>
      </w:r>
      <w:r w:rsidR="00EF23ED" w:rsidRPr="0042168B">
        <w:t xml:space="preserve">transition and to reap </w:t>
      </w:r>
      <w:r w:rsidR="00E42030" w:rsidRPr="0042168B">
        <w:t xml:space="preserve">its </w:t>
      </w:r>
      <w:r w:rsidR="00EF23ED" w:rsidRPr="0042168B">
        <w:t>benefits in terms of jobs and growth that the Energy union can bring</w:t>
      </w:r>
      <w:r w:rsidRPr="0042168B">
        <w:t xml:space="preserve">. In September 2015, the Commission </w:t>
      </w:r>
      <w:r w:rsidR="007A7D86" w:rsidRPr="0042168B">
        <w:t>presented the</w:t>
      </w:r>
      <w:r w:rsidRPr="0042168B">
        <w:t xml:space="preserve"> Communication "Towards an Integrated Strategic Energy Technology (SET) Plan".</w:t>
      </w:r>
      <w:r w:rsidRPr="0042168B">
        <w:rPr>
          <w:rStyle w:val="FootnoteReference"/>
        </w:rPr>
        <w:footnoteReference w:id="31"/>
      </w:r>
      <w:r w:rsidRPr="0042168B">
        <w:t xml:space="preserve"> Th</w:t>
      </w:r>
      <w:r w:rsidR="007A7D86" w:rsidRPr="0042168B">
        <w:t>is</w:t>
      </w:r>
      <w:r w:rsidRPr="0042168B">
        <w:t xml:space="preserve"> gives a new impetus to the development and deployment of low-carbon technologies, by better coordinating and prioritising </w:t>
      </w:r>
      <w:r w:rsidR="004476FF" w:rsidRPr="0042168B">
        <w:t>research &amp; innovation</w:t>
      </w:r>
      <w:r w:rsidRPr="0042168B">
        <w:t xml:space="preserve"> efforts across Europe. </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 xml:space="preserve">Financing is key to bring innovation to the market. Therefore, the Commission and the </w:t>
      </w:r>
      <w:r w:rsidR="004476FF" w:rsidRPr="0042168B">
        <w:rPr>
          <w:rFonts w:ascii="Times New Roman" w:hAnsi="Times New Roman"/>
          <w:sz w:val="24"/>
          <w:szCs w:val="24"/>
        </w:rPr>
        <w:t>European Investment Bank</w:t>
      </w:r>
      <w:r w:rsidR="00C600F4" w:rsidRPr="0042168B">
        <w:rPr>
          <w:rFonts w:ascii="Times New Roman" w:hAnsi="Times New Roman"/>
          <w:sz w:val="24"/>
          <w:szCs w:val="24"/>
        </w:rPr>
        <w:t xml:space="preserve"> are developing their efforts under the Investment Plan for Europe and the European Fund for Strategic Investment (EFSI). In that sense, the </w:t>
      </w:r>
      <w:r w:rsidRPr="0042168B">
        <w:rPr>
          <w:rFonts w:ascii="Times New Roman" w:hAnsi="Times New Roman"/>
          <w:sz w:val="24"/>
          <w:szCs w:val="24"/>
        </w:rPr>
        <w:t xml:space="preserve">InnovFin Energy Demonstration Projects provide risk financing in the form of loans, equity and guarantees, going beyond traditional grant-based support. This should boost the competitiveness of innovative energy technology companies. </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The EU Emissions Trading System also provides financing opportunities for investments in innovation. On average</w:t>
      </w:r>
      <w:r w:rsidR="004476FF" w:rsidRPr="0042168B">
        <w:rPr>
          <w:rFonts w:ascii="Times New Roman" w:hAnsi="Times New Roman"/>
          <w:sz w:val="24"/>
          <w:szCs w:val="24"/>
        </w:rPr>
        <w:t>,</w:t>
      </w:r>
      <w:r w:rsidRPr="0042168B">
        <w:rPr>
          <w:rFonts w:ascii="Times New Roman" w:hAnsi="Times New Roman"/>
          <w:sz w:val="24"/>
          <w:szCs w:val="24"/>
        </w:rPr>
        <w:t xml:space="preserve"> in 2014, Member States used or planned to use </w:t>
      </w:r>
      <w:r w:rsidR="00921E6C" w:rsidRPr="0042168B">
        <w:rPr>
          <w:rFonts w:ascii="Times New Roman" w:hAnsi="Times New Roman"/>
          <w:sz w:val="24"/>
          <w:szCs w:val="24"/>
        </w:rPr>
        <w:t xml:space="preserve">for climate and energy related purposes </w:t>
      </w:r>
      <w:r w:rsidRPr="0042168B">
        <w:rPr>
          <w:rFonts w:ascii="Times New Roman" w:hAnsi="Times New Roman"/>
          <w:sz w:val="24"/>
          <w:szCs w:val="24"/>
        </w:rPr>
        <w:t>around 87 % of the total revenues from the auctioning of allowances under the EU Emissions Trading System, amounting to €3.2 billion</w:t>
      </w:r>
      <w:r w:rsidR="00E42030" w:rsidRPr="0042168B">
        <w:rPr>
          <w:rFonts w:ascii="Times New Roman" w:hAnsi="Times New Roman"/>
          <w:sz w:val="24"/>
          <w:szCs w:val="24"/>
        </w:rPr>
        <w:t xml:space="preserve">. </w:t>
      </w:r>
      <w:r w:rsidRPr="0042168B">
        <w:rPr>
          <w:rFonts w:ascii="Times New Roman" w:hAnsi="Times New Roman"/>
          <w:sz w:val="24"/>
          <w:szCs w:val="24"/>
        </w:rPr>
        <w:t>Under the NER 300 programme, a cumulative funding of €</w:t>
      </w:r>
      <w:r w:rsidR="004476FF" w:rsidRPr="0042168B">
        <w:rPr>
          <w:rFonts w:ascii="Times New Roman" w:hAnsi="Times New Roman"/>
          <w:sz w:val="24"/>
          <w:szCs w:val="24"/>
        </w:rPr>
        <w:t> </w:t>
      </w:r>
      <w:r w:rsidRPr="0042168B">
        <w:rPr>
          <w:rFonts w:ascii="Times New Roman" w:hAnsi="Times New Roman"/>
          <w:sz w:val="24"/>
          <w:szCs w:val="24"/>
        </w:rPr>
        <w:t>2.1 billion, which is expected to leverage an additional €</w:t>
      </w:r>
      <w:r w:rsidR="004476FF" w:rsidRPr="0042168B">
        <w:rPr>
          <w:rFonts w:ascii="Times New Roman" w:hAnsi="Times New Roman"/>
          <w:sz w:val="24"/>
          <w:szCs w:val="24"/>
        </w:rPr>
        <w:t> </w:t>
      </w:r>
      <w:r w:rsidRPr="0042168B">
        <w:rPr>
          <w:rFonts w:ascii="Times New Roman" w:hAnsi="Times New Roman"/>
          <w:sz w:val="24"/>
          <w:szCs w:val="24"/>
        </w:rPr>
        <w:t xml:space="preserve">2.7 billion of private investments, is destined to finance innovative projects in 20 Member States. </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In the proposals for the revision of the Emissions Trading System Directive, presented in July 2015, the Commission proposed a new Innovation Fund and a new Modernisation Fund. The Innovation Fund builds on the NER 300 programme, while extending its scope to low carbon innovation in industrial sectors. By supporting low-carbon innovation and demonstration, the Innovation Fund will also contribute to reali</w:t>
      </w:r>
      <w:r w:rsidR="0042168B">
        <w:rPr>
          <w:rFonts w:ascii="Times New Roman" w:hAnsi="Times New Roman"/>
          <w:sz w:val="24"/>
          <w:szCs w:val="24"/>
        </w:rPr>
        <w:t>s</w:t>
      </w:r>
      <w:r w:rsidRPr="0042168B">
        <w:rPr>
          <w:rFonts w:ascii="Times New Roman" w:hAnsi="Times New Roman"/>
          <w:sz w:val="24"/>
          <w:szCs w:val="24"/>
        </w:rPr>
        <w:t xml:space="preserve">ing the key actions of the Strategic Energy Technology Plan. The new Modernisation Fund is designed for Member States with a Gross Domestic Product (GDP) per capita below 60% of the EU average and will be targeted at modernising the energy system and improving energy efficiency. The revised EU Emissions Trading System Directive also proposes more targeted carbon leakage rules to safeguard the international competitiveness of the sectors most at risk of relocating their production outside the EU. </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addition, the Horizon 2020 Framework programme is crucial to support the </w:t>
      </w:r>
      <w:r w:rsidR="004476FF" w:rsidRPr="0042168B">
        <w:rPr>
          <w:rFonts w:ascii="Times New Roman" w:hAnsi="Times New Roman"/>
          <w:sz w:val="24"/>
          <w:szCs w:val="24"/>
        </w:rPr>
        <w:t>research &amp; innovation</w:t>
      </w:r>
      <w:r w:rsidRPr="0042168B">
        <w:rPr>
          <w:rFonts w:ascii="Times New Roman" w:hAnsi="Times New Roman"/>
          <w:sz w:val="24"/>
          <w:szCs w:val="24"/>
        </w:rPr>
        <w:t xml:space="preserve"> objectives of the Energy Union. In the period 2014-2015 its financial contribution amounted to </w:t>
      </w:r>
      <w:r w:rsidR="00A04C37" w:rsidRPr="0042168B">
        <w:rPr>
          <w:rFonts w:ascii="Times New Roman" w:hAnsi="Times New Roman"/>
          <w:sz w:val="24"/>
          <w:szCs w:val="24"/>
        </w:rPr>
        <w:t xml:space="preserve">more than </w:t>
      </w:r>
      <w:r w:rsidRPr="0042168B">
        <w:rPr>
          <w:rFonts w:ascii="Times New Roman" w:hAnsi="Times New Roman"/>
          <w:sz w:val="24"/>
          <w:szCs w:val="24"/>
        </w:rPr>
        <w:t>€</w:t>
      </w:r>
      <w:r w:rsidR="004476FF" w:rsidRPr="0042168B">
        <w:rPr>
          <w:rFonts w:ascii="Times New Roman" w:hAnsi="Times New Roman"/>
          <w:sz w:val="24"/>
          <w:szCs w:val="24"/>
        </w:rPr>
        <w:t> </w:t>
      </w:r>
      <w:r w:rsidR="00A04C37" w:rsidRPr="0042168B">
        <w:rPr>
          <w:rFonts w:ascii="Times New Roman" w:hAnsi="Times New Roman"/>
          <w:sz w:val="24"/>
          <w:szCs w:val="24"/>
        </w:rPr>
        <w:t>9</w:t>
      </w:r>
      <w:r w:rsidRPr="0042168B">
        <w:rPr>
          <w:rFonts w:ascii="Times New Roman" w:hAnsi="Times New Roman"/>
          <w:sz w:val="24"/>
          <w:szCs w:val="24"/>
        </w:rPr>
        <w:t xml:space="preserve"> billion to support energy research</w:t>
      </w:r>
      <w:r w:rsidR="00A04C37" w:rsidRPr="0042168B">
        <w:rPr>
          <w:rFonts w:ascii="Times New Roman" w:hAnsi="Times New Roman"/>
          <w:sz w:val="24"/>
          <w:szCs w:val="24"/>
        </w:rPr>
        <w:t xml:space="preserve"> (including nuclear)</w:t>
      </w:r>
      <w:r w:rsidRPr="0042168B">
        <w:rPr>
          <w:rFonts w:ascii="Times New Roman" w:hAnsi="Times New Roman"/>
          <w:sz w:val="24"/>
          <w:szCs w:val="24"/>
        </w:rPr>
        <w:t xml:space="preserve">, clean transport, climate action and resource efficiency, bioeconomy and key enabling technologies. </w:t>
      </w:r>
      <w:r w:rsidR="008319D3" w:rsidRPr="0042168B">
        <w:rPr>
          <w:rFonts w:ascii="Times New Roman" w:hAnsi="Times New Roman"/>
          <w:sz w:val="24"/>
          <w:szCs w:val="24"/>
        </w:rPr>
        <w:t xml:space="preserve">Moreover, energy and low-carbon research and innovation are one of the most commonly selected smart specialisation areas – </w:t>
      </w:r>
      <w:r w:rsidR="007A7D86" w:rsidRPr="0042168B">
        <w:rPr>
          <w:rFonts w:ascii="Times New Roman" w:hAnsi="Times New Roman"/>
          <w:sz w:val="24"/>
          <w:szCs w:val="24"/>
        </w:rPr>
        <w:t xml:space="preserve">for </w:t>
      </w:r>
      <w:r w:rsidR="008319D3" w:rsidRPr="0042168B">
        <w:rPr>
          <w:rFonts w:ascii="Times New Roman" w:hAnsi="Times New Roman"/>
          <w:sz w:val="24"/>
          <w:szCs w:val="24"/>
        </w:rPr>
        <w:t xml:space="preserve">over 100 </w:t>
      </w:r>
      <w:r w:rsidR="007A7D86" w:rsidRPr="0042168B">
        <w:rPr>
          <w:rFonts w:ascii="Times New Roman" w:hAnsi="Times New Roman"/>
          <w:sz w:val="24"/>
          <w:szCs w:val="24"/>
        </w:rPr>
        <w:t xml:space="preserve">EU </w:t>
      </w:r>
      <w:r w:rsidR="008319D3" w:rsidRPr="0042168B">
        <w:rPr>
          <w:rFonts w:ascii="Times New Roman" w:hAnsi="Times New Roman"/>
          <w:sz w:val="24"/>
          <w:szCs w:val="24"/>
        </w:rPr>
        <w:t>regions</w:t>
      </w:r>
      <w:r w:rsidR="007A7D86" w:rsidRPr="0042168B">
        <w:rPr>
          <w:rFonts w:ascii="Times New Roman" w:hAnsi="Times New Roman"/>
          <w:sz w:val="24"/>
          <w:szCs w:val="24"/>
        </w:rPr>
        <w:t xml:space="preserve"> </w:t>
      </w:r>
      <w:r w:rsidR="008319D3" w:rsidRPr="0042168B">
        <w:rPr>
          <w:rFonts w:ascii="Times New Roman" w:hAnsi="Times New Roman"/>
          <w:sz w:val="24"/>
          <w:szCs w:val="24"/>
        </w:rPr>
        <w:t>– which indicate that considerable funding from the European Structural and Investment Funds will be allocated to this. The Smart Specialisation Platform on Energy, launched by the Commission in 2015</w:t>
      </w:r>
      <w:r w:rsidR="007A7D86" w:rsidRPr="0042168B">
        <w:rPr>
          <w:rStyle w:val="FootnoteReference"/>
          <w:rFonts w:ascii="Times New Roman" w:hAnsi="Times New Roman"/>
          <w:sz w:val="24"/>
          <w:szCs w:val="24"/>
        </w:rPr>
        <w:footnoteReference w:id="32"/>
      </w:r>
      <w:r w:rsidR="008319D3" w:rsidRPr="0042168B">
        <w:rPr>
          <w:rFonts w:ascii="Times New Roman" w:hAnsi="Times New Roman"/>
          <w:sz w:val="24"/>
          <w:szCs w:val="24"/>
        </w:rPr>
        <w:t xml:space="preserve">, </w:t>
      </w:r>
      <w:r w:rsidR="00DC4320" w:rsidRPr="0042168B">
        <w:rPr>
          <w:rFonts w:ascii="Times New Roman" w:hAnsi="Times New Roman"/>
          <w:sz w:val="24"/>
          <w:szCs w:val="24"/>
        </w:rPr>
        <w:t xml:space="preserve">should </w:t>
      </w:r>
      <w:r w:rsidR="008319D3" w:rsidRPr="0042168B">
        <w:rPr>
          <w:rFonts w:ascii="Times New Roman" w:hAnsi="Times New Roman"/>
          <w:sz w:val="24"/>
          <w:szCs w:val="24"/>
        </w:rPr>
        <w:t xml:space="preserve">support </w:t>
      </w:r>
      <w:r w:rsidR="007A7D86" w:rsidRPr="0042168B">
        <w:rPr>
          <w:rFonts w:ascii="Times New Roman" w:hAnsi="Times New Roman"/>
          <w:sz w:val="24"/>
          <w:szCs w:val="24"/>
        </w:rPr>
        <w:t>this work</w:t>
      </w:r>
      <w:r w:rsidR="008319D3" w:rsidRPr="0042168B">
        <w:rPr>
          <w:rFonts w:ascii="Times New Roman" w:hAnsi="Times New Roman"/>
          <w:sz w:val="24"/>
          <w:szCs w:val="24"/>
        </w:rPr>
        <w:t>.</w:t>
      </w:r>
    </w:p>
    <w:p w:rsidR="00DF7031" w:rsidRPr="0042168B" w:rsidRDefault="00DF7031" w:rsidP="00DF7031">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 xml:space="preserve">As part of the 2016 State of the Energy Union package, the Commission </w:t>
      </w:r>
      <w:r w:rsidR="00CC4E91" w:rsidRPr="0042168B">
        <w:rPr>
          <w:rFonts w:ascii="Times New Roman" w:hAnsi="Times New Roman"/>
          <w:sz w:val="24"/>
          <w:szCs w:val="24"/>
        </w:rPr>
        <w:t xml:space="preserve">intends to </w:t>
      </w:r>
      <w:r w:rsidRPr="0042168B">
        <w:rPr>
          <w:rFonts w:ascii="Times New Roman" w:hAnsi="Times New Roman"/>
          <w:sz w:val="24"/>
          <w:szCs w:val="24"/>
        </w:rPr>
        <w:t>present a</w:t>
      </w:r>
      <w:r w:rsidR="00921E6C" w:rsidRPr="0042168B">
        <w:rPr>
          <w:rFonts w:ascii="Times New Roman" w:hAnsi="Times New Roman"/>
          <w:sz w:val="24"/>
          <w:szCs w:val="24"/>
        </w:rPr>
        <w:t>n integrated</w:t>
      </w:r>
      <w:r w:rsidRPr="0042168B">
        <w:rPr>
          <w:rFonts w:ascii="Times New Roman" w:hAnsi="Times New Roman"/>
          <w:sz w:val="24"/>
          <w:szCs w:val="24"/>
        </w:rPr>
        <w:t xml:space="preserve"> Energy Union strategy for research, innovation and competitiveness. This integrated strategy </w:t>
      </w:r>
      <w:r w:rsidR="00CC4E91" w:rsidRPr="0042168B">
        <w:rPr>
          <w:rFonts w:ascii="Times New Roman" w:hAnsi="Times New Roman"/>
          <w:sz w:val="24"/>
          <w:szCs w:val="24"/>
        </w:rPr>
        <w:t xml:space="preserve">should </w:t>
      </w:r>
      <w:r w:rsidRPr="0042168B">
        <w:rPr>
          <w:rFonts w:ascii="Times New Roman" w:hAnsi="Times New Roman"/>
          <w:sz w:val="24"/>
          <w:szCs w:val="24"/>
        </w:rPr>
        <w:t xml:space="preserve">reflect the findings of the consultation </w:t>
      </w:r>
      <w:r w:rsidR="00A04C37" w:rsidRPr="0042168B">
        <w:rPr>
          <w:rFonts w:ascii="Times New Roman" w:hAnsi="Times New Roman"/>
          <w:sz w:val="24"/>
          <w:szCs w:val="24"/>
        </w:rPr>
        <w:t xml:space="preserve">which the Commission will </w:t>
      </w:r>
      <w:r w:rsidRPr="0042168B">
        <w:rPr>
          <w:rFonts w:ascii="Times New Roman" w:hAnsi="Times New Roman"/>
          <w:sz w:val="24"/>
          <w:szCs w:val="24"/>
        </w:rPr>
        <w:t xml:space="preserve">launch with the Member States and stakeholders on three interconnected </w:t>
      </w:r>
      <w:r w:rsidR="00A04C37" w:rsidRPr="0042168B">
        <w:rPr>
          <w:rFonts w:ascii="Times New Roman" w:hAnsi="Times New Roman"/>
          <w:sz w:val="24"/>
          <w:szCs w:val="24"/>
        </w:rPr>
        <w:t>strands</w:t>
      </w:r>
      <w:r w:rsidRPr="0042168B">
        <w:rPr>
          <w:rFonts w:ascii="Times New Roman" w:hAnsi="Times New Roman"/>
          <w:sz w:val="24"/>
          <w:szCs w:val="24"/>
        </w:rPr>
        <w:t xml:space="preserve">: </w:t>
      </w:r>
      <w:r w:rsidR="00A04C37" w:rsidRPr="0042168B">
        <w:rPr>
          <w:rFonts w:ascii="Times New Roman" w:hAnsi="Times New Roman"/>
          <w:sz w:val="24"/>
          <w:szCs w:val="24"/>
        </w:rPr>
        <w:t>energy technologies, transport and global competitiveness</w:t>
      </w:r>
      <w:r w:rsidRPr="0042168B">
        <w:rPr>
          <w:rFonts w:ascii="Times New Roman" w:hAnsi="Times New Roman"/>
          <w:sz w:val="24"/>
          <w:szCs w:val="24"/>
        </w:rPr>
        <w:t xml:space="preserve">. </w:t>
      </w:r>
      <w:r w:rsidR="00E42030" w:rsidRPr="0042168B">
        <w:rPr>
          <w:rFonts w:ascii="Times New Roman" w:hAnsi="Times New Roman"/>
          <w:sz w:val="24"/>
          <w:szCs w:val="24"/>
        </w:rPr>
        <w:t xml:space="preserve">It </w:t>
      </w:r>
      <w:r w:rsidR="007A7D86" w:rsidRPr="0042168B">
        <w:rPr>
          <w:rFonts w:ascii="Times New Roman" w:hAnsi="Times New Roman"/>
          <w:sz w:val="24"/>
          <w:szCs w:val="24"/>
        </w:rPr>
        <w:t>involves increasing</w:t>
      </w:r>
      <w:r w:rsidRPr="0042168B">
        <w:rPr>
          <w:rFonts w:ascii="Times New Roman" w:hAnsi="Times New Roman"/>
          <w:sz w:val="24"/>
          <w:szCs w:val="24"/>
        </w:rPr>
        <w:t xml:space="preserve"> public </w:t>
      </w:r>
      <w:r w:rsidR="00EF23ED" w:rsidRPr="0042168B">
        <w:rPr>
          <w:rFonts w:ascii="Times New Roman" w:hAnsi="Times New Roman"/>
          <w:sz w:val="24"/>
          <w:szCs w:val="24"/>
        </w:rPr>
        <w:t xml:space="preserve">and private </w:t>
      </w:r>
      <w:r w:rsidRPr="0042168B">
        <w:rPr>
          <w:rFonts w:ascii="Times New Roman" w:hAnsi="Times New Roman"/>
          <w:sz w:val="24"/>
          <w:szCs w:val="24"/>
        </w:rPr>
        <w:t>investment in research and innovation, remov</w:t>
      </w:r>
      <w:r w:rsidR="007A7D86" w:rsidRPr="0042168B">
        <w:rPr>
          <w:rFonts w:ascii="Times New Roman" w:hAnsi="Times New Roman"/>
          <w:sz w:val="24"/>
          <w:szCs w:val="24"/>
        </w:rPr>
        <w:t>ing</w:t>
      </w:r>
      <w:r w:rsidRPr="0042168B">
        <w:rPr>
          <w:rFonts w:ascii="Times New Roman" w:hAnsi="Times New Roman"/>
          <w:sz w:val="24"/>
          <w:szCs w:val="24"/>
        </w:rPr>
        <w:t xml:space="preserve"> disincentives for innovation</w:t>
      </w:r>
      <w:r w:rsidR="004F49BD" w:rsidRPr="0042168B">
        <w:rPr>
          <w:rFonts w:ascii="Times New Roman" w:hAnsi="Times New Roman"/>
          <w:sz w:val="24"/>
          <w:szCs w:val="24"/>
        </w:rPr>
        <w:t>,</w:t>
      </w:r>
      <w:r w:rsidR="002621EA" w:rsidRPr="0042168B" w:rsidDel="00F060ED">
        <w:rPr>
          <w:rFonts w:ascii="Times New Roman" w:hAnsi="Times New Roman"/>
          <w:sz w:val="24"/>
          <w:szCs w:val="24"/>
        </w:rPr>
        <w:t xml:space="preserve"> </w:t>
      </w:r>
      <w:r w:rsidR="004C2BD5" w:rsidRPr="0042168B">
        <w:rPr>
          <w:rFonts w:ascii="Times New Roman" w:hAnsi="Times New Roman"/>
          <w:sz w:val="24"/>
          <w:szCs w:val="24"/>
        </w:rPr>
        <w:t xml:space="preserve">and </w:t>
      </w:r>
      <w:r w:rsidRPr="0042168B">
        <w:rPr>
          <w:rFonts w:ascii="Times New Roman" w:hAnsi="Times New Roman"/>
          <w:sz w:val="24"/>
          <w:szCs w:val="24"/>
        </w:rPr>
        <w:t>overcom</w:t>
      </w:r>
      <w:r w:rsidR="007A7D86" w:rsidRPr="0042168B">
        <w:rPr>
          <w:rFonts w:ascii="Times New Roman" w:hAnsi="Times New Roman"/>
          <w:sz w:val="24"/>
          <w:szCs w:val="24"/>
        </w:rPr>
        <w:t>ing</w:t>
      </w:r>
      <w:r w:rsidRPr="0042168B">
        <w:rPr>
          <w:rFonts w:ascii="Times New Roman" w:hAnsi="Times New Roman"/>
          <w:sz w:val="24"/>
          <w:szCs w:val="24"/>
        </w:rPr>
        <w:t xml:space="preserve"> barriers to private investment. Bottom-up </w:t>
      </w:r>
      <w:r w:rsidR="00EF23ED" w:rsidRPr="0042168B">
        <w:rPr>
          <w:rFonts w:ascii="Times New Roman" w:hAnsi="Times New Roman"/>
          <w:sz w:val="24"/>
          <w:szCs w:val="24"/>
        </w:rPr>
        <w:t xml:space="preserve">research </w:t>
      </w:r>
      <w:r w:rsidRPr="0042168B">
        <w:rPr>
          <w:rFonts w:ascii="Times New Roman" w:hAnsi="Times New Roman"/>
          <w:sz w:val="24"/>
          <w:szCs w:val="24"/>
        </w:rPr>
        <w:t>should be better promoted as a major feature of a vibrant innovation ecosystem.</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Attention will be paid in 2016 to a more effective coordination between the Energy Union</w:t>
      </w:r>
      <w:r w:rsidR="004476FF" w:rsidRPr="0042168B">
        <w:rPr>
          <w:rFonts w:ascii="Times New Roman" w:hAnsi="Times New Roman"/>
          <w:sz w:val="24"/>
          <w:szCs w:val="24"/>
        </w:rPr>
        <w:t xml:space="preserve">, </w:t>
      </w:r>
      <w:r w:rsidRPr="0042168B">
        <w:rPr>
          <w:rFonts w:ascii="Times New Roman" w:hAnsi="Times New Roman"/>
          <w:sz w:val="24"/>
          <w:szCs w:val="24"/>
        </w:rPr>
        <w:t>the Digital Single Market</w:t>
      </w:r>
      <w:r w:rsidR="004476FF" w:rsidRPr="0042168B">
        <w:rPr>
          <w:rFonts w:ascii="Times New Roman" w:hAnsi="Times New Roman"/>
          <w:sz w:val="24"/>
          <w:szCs w:val="24"/>
        </w:rPr>
        <w:t xml:space="preserve"> and the Circular Economy. This concerns</w:t>
      </w:r>
      <w:r w:rsidR="007A7D86" w:rsidRPr="0042168B">
        <w:rPr>
          <w:rFonts w:ascii="Times New Roman" w:hAnsi="Times New Roman"/>
          <w:sz w:val="24"/>
          <w:szCs w:val="24"/>
        </w:rPr>
        <w:t>, inter alia,</w:t>
      </w:r>
      <w:r w:rsidRPr="0042168B">
        <w:rPr>
          <w:rFonts w:ascii="Times New Roman" w:hAnsi="Times New Roman"/>
          <w:sz w:val="24"/>
          <w:szCs w:val="24"/>
        </w:rPr>
        <w:t xml:space="preserve"> the progressive digitalisation of the energy </w:t>
      </w:r>
      <w:r w:rsidR="00363754" w:rsidRPr="0042168B">
        <w:rPr>
          <w:rFonts w:ascii="Times New Roman" w:hAnsi="Times New Roman"/>
          <w:sz w:val="24"/>
          <w:szCs w:val="24"/>
        </w:rPr>
        <w:t xml:space="preserve">and transport </w:t>
      </w:r>
      <w:r w:rsidRPr="0042168B">
        <w:rPr>
          <w:rFonts w:ascii="Times New Roman" w:hAnsi="Times New Roman"/>
          <w:sz w:val="24"/>
          <w:szCs w:val="24"/>
        </w:rPr>
        <w:t>sector</w:t>
      </w:r>
      <w:r w:rsidR="00363754" w:rsidRPr="0042168B">
        <w:rPr>
          <w:rFonts w:ascii="Times New Roman" w:hAnsi="Times New Roman"/>
          <w:sz w:val="24"/>
          <w:szCs w:val="24"/>
        </w:rPr>
        <w:t>s</w:t>
      </w:r>
      <w:r w:rsidRPr="0042168B">
        <w:rPr>
          <w:rFonts w:ascii="Times New Roman" w:hAnsi="Times New Roman"/>
          <w:sz w:val="24"/>
          <w:szCs w:val="24"/>
        </w:rPr>
        <w:t xml:space="preserve">. </w:t>
      </w:r>
    </w:p>
    <w:p w:rsidR="00DF7031" w:rsidRPr="0042168B" w:rsidRDefault="00DF7031" w:rsidP="00DF7031">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energy transition will lead to changes in many sectors and therefore requires a closer involvement of the social partners. This could include </w:t>
      </w:r>
      <w:r w:rsidR="00EF23ED" w:rsidRPr="0042168B">
        <w:rPr>
          <w:rFonts w:ascii="Times New Roman" w:hAnsi="Times New Roman"/>
          <w:sz w:val="24"/>
          <w:szCs w:val="24"/>
        </w:rPr>
        <w:t xml:space="preserve">ensuring that </w:t>
      </w:r>
      <w:r w:rsidRPr="0042168B">
        <w:rPr>
          <w:rFonts w:ascii="Times New Roman" w:hAnsi="Times New Roman"/>
          <w:sz w:val="24"/>
          <w:szCs w:val="24"/>
        </w:rPr>
        <w:t xml:space="preserve">skills and training schemes </w:t>
      </w:r>
      <w:r w:rsidR="00EF23ED" w:rsidRPr="0042168B">
        <w:rPr>
          <w:rFonts w:ascii="Times New Roman" w:hAnsi="Times New Roman"/>
          <w:sz w:val="24"/>
          <w:szCs w:val="24"/>
        </w:rPr>
        <w:t xml:space="preserve">match the needs of </w:t>
      </w:r>
      <w:r w:rsidRPr="0042168B">
        <w:rPr>
          <w:rFonts w:ascii="Times New Roman" w:hAnsi="Times New Roman"/>
          <w:sz w:val="24"/>
          <w:szCs w:val="24"/>
        </w:rPr>
        <w:t xml:space="preserve">new job profiles, looking at working conditions in new sectors or facilitating a socially fair transition in sectors or regions where jobs will be lost. The Commission has started to engage with the Social Partners at the European level and </w:t>
      </w:r>
      <w:r w:rsidR="00E42030" w:rsidRPr="0042168B">
        <w:rPr>
          <w:rFonts w:ascii="Times New Roman" w:hAnsi="Times New Roman"/>
          <w:sz w:val="24"/>
          <w:szCs w:val="24"/>
        </w:rPr>
        <w:t>will</w:t>
      </w:r>
      <w:r w:rsidR="00CC4E91" w:rsidRPr="0042168B">
        <w:rPr>
          <w:rFonts w:ascii="Times New Roman" w:hAnsi="Times New Roman"/>
          <w:sz w:val="24"/>
          <w:szCs w:val="24"/>
        </w:rPr>
        <w:t xml:space="preserve"> </w:t>
      </w:r>
      <w:r w:rsidRPr="0042168B">
        <w:rPr>
          <w:rFonts w:ascii="Times New Roman" w:hAnsi="Times New Roman"/>
          <w:sz w:val="24"/>
          <w:szCs w:val="24"/>
        </w:rPr>
        <w:t xml:space="preserve">continue </w:t>
      </w:r>
      <w:r w:rsidR="00CC4E91" w:rsidRPr="0042168B">
        <w:rPr>
          <w:rFonts w:ascii="Times New Roman" w:hAnsi="Times New Roman"/>
          <w:sz w:val="24"/>
          <w:szCs w:val="24"/>
        </w:rPr>
        <w:t>this dialogue</w:t>
      </w:r>
      <w:r w:rsidRPr="0042168B">
        <w:rPr>
          <w:rFonts w:ascii="Times New Roman" w:hAnsi="Times New Roman"/>
          <w:sz w:val="24"/>
          <w:szCs w:val="24"/>
        </w:rPr>
        <w:t xml:space="preserve"> in 2016. It encourages Member States to equally discuss </w:t>
      </w:r>
      <w:r w:rsidR="00921E6C" w:rsidRPr="0042168B">
        <w:rPr>
          <w:rFonts w:ascii="Times New Roman" w:hAnsi="Times New Roman"/>
          <w:sz w:val="24"/>
          <w:szCs w:val="24"/>
        </w:rPr>
        <w:t xml:space="preserve">with social partners </w:t>
      </w:r>
      <w:r w:rsidRPr="0042168B">
        <w:rPr>
          <w:rFonts w:ascii="Times New Roman" w:hAnsi="Times New Roman"/>
          <w:sz w:val="24"/>
          <w:szCs w:val="24"/>
        </w:rPr>
        <w:t>the consequences of the energy transition and how they can best be anticipated and managed.</w:t>
      </w:r>
      <w:r w:rsidR="00891319" w:rsidRPr="0042168B">
        <w:rPr>
          <w:rStyle w:val="FootnoteReference"/>
          <w:rFonts w:ascii="Times New Roman" w:hAnsi="Times New Roman"/>
          <w:sz w:val="24"/>
          <w:szCs w:val="24"/>
        </w:rPr>
        <w:footnoteReference w:id="33"/>
      </w:r>
    </w:p>
    <w:p w:rsidR="00DF7031" w:rsidRPr="0042168B" w:rsidRDefault="00DF7031" w:rsidP="00072ED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sidRPr="0042168B">
        <w:rPr>
          <w:rFonts w:ascii="Times New Roman" w:hAnsi="Times New Roman"/>
          <w:i/>
          <w:sz w:val="24"/>
          <w:szCs w:val="24"/>
        </w:rPr>
        <w:t>Policy conclusions at Member State, regional and EU levels:</w:t>
      </w:r>
    </w:p>
    <w:p w:rsidR="00DF7031" w:rsidRPr="0042168B" w:rsidRDefault="00DF7031" w:rsidP="00072EDE">
      <w:pPr>
        <w:pStyle w:val="Text2"/>
        <w:numPr>
          <w:ilvl w:val="0"/>
          <w:numId w:val="1"/>
        </w:numPr>
        <w:pBdr>
          <w:top w:val="single" w:sz="4" w:space="1" w:color="auto"/>
          <w:left w:val="single" w:sz="4" w:space="4" w:color="auto"/>
          <w:bottom w:val="single" w:sz="4" w:space="1" w:color="auto"/>
          <w:right w:val="single" w:sz="4" w:space="4" w:color="auto"/>
        </w:pBdr>
        <w:spacing w:after="120"/>
        <w:ind w:left="426" w:hanging="426"/>
        <w:rPr>
          <w:i/>
          <w:szCs w:val="24"/>
        </w:rPr>
      </w:pPr>
      <w:r w:rsidRPr="0042168B">
        <w:rPr>
          <w:i/>
          <w:szCs w:val="24"/>
        </w:rPr>
        <w:t>European industr</w:t>
      </w:r>
      <w:r w:rsidR="00EF23ED" w:rsidRPr="0042168B">
        <w:rPr>
          <w:i/>
          <w:szCs w:val="24"/>
        </w:rPr>
        <w:t>y, research institutes</w:t>
      </w:r>
      <w:r w:rsidRPr="0042168B">
        <w:rPr>
          <w:i/>
          <w:szCs w:val="24"/>
        </w:rPr>
        <w:t xml:space="preserve"> and academic innovative actors are overall well positioned in the global energy landscape. There are many Member States (including Austria, Denmark, Finland, France</w:t>
      </w:r>
      <w:r w:rsidR="004F49BD" w:rsidRPr="0042168B">
        <w:rPr>
          <w:i/>
          <w:szCs w:val="24"/>
        </w:rPr>
        <w:t>,</w:t>
      </w:r>
      <w:r w:rsidRPr="0042168B">
        <w:rPr>
          <w:i/>
          <w:szCs w:val="24"/>
        </w:rPr>
        <w:t xml:space="preserve"> Germany</w:t>
      </w:r>
      <w:r w:rsidR="004F49BD" w:rsidRPr="0042168B">
        <w:rPr>
          <w:i/>
          <w:szCs w:val="24"/>
        </w:rPr>
        <w:t xml:space="preserve"> and the United Kingdom</w:t>
      </w:r>
      <w:r w:rsidRPr="0042168B">
        <w:rPr>
          <w:i/>
          <w:szCs w:val="24"/>
        </w:rPr>
        <w:t xml:space="preserve">) who have made significant efforts to promote innovation and business opportunities in energy efficiency and low-carbon technology.  That is one of the reasons why, despite the economic and financial crisis, employment has grown in the renewable energy sector, with almost half a million additional jobs created in the EU in the last five years. </w:t>
      </w:r>
    </w:p>
    <w:p w:rsidR="00DF7031" w:rsidRPr="0042168B" w:rsidRDefault="00DF7031" w:rsidP="00072EDE">
      <w:pPr>
        <w:pStyle w:val="Text2"/>
        <w:numPr>
          <w:ilvl w:val="0"/>
          <w:numId w:val="1"/>
        </w:numPr>
        <w:pBdr>
          <w:top w:val="single" w:sz="4" w:space="1" w:color="auto"/>
          <w:left w:val="single" w:sz="4" w:space="4" w:color="auto"/>
          <w:bottom w:val="single" w:sz="4" w:space="1" w:color="auto"/>
          <w:right w:val="single" w:sz="4" w:space="4" w:color="auto"/>
        </w:pBdr>
        <w:ind w:left="426" w:hanging="426"/>
        <w:rPr>
          <w:smallCaps/>
          <w:szCs w:val="24"/>
        </w:rPr>
      </w:pPr>
      <w:r w:rsidRPr="0042168B">
        <w:rPr>
          <w:i/>
          <w:szCs w:val="24"/>
        </w:rPr>
        <w:t>Recent positive initiatives of some Member States (including France, the Netherlands and Portugal) have led to more environmental and growth friendly tax systems. Still, there remain opportunities to shift the tax system in a way that stimulates employment and competitiveness while contributing to the Energy Union objectives in a number of Member States)</w:t>
      </w:r>
      <w:r w:rsidR="004C2BD5" w:rsidRPr="0042168B">
        <w:rPr>
          <w:rStyle w:val="FootnoteReference"/>
          <w:i/>
          <w:szCs w:val="24"/>
        </w:rPr>
        <w:footnoteReference w:id="34"/>
      </w:r>
      <w:r w:rsidRPr="0042168B">
        <w:rPr>
          <w:i/>
          <w:szCs w:val="24"/>
        </w:rPr>
        <w:t xml:space="preserve">. Member States engaging in such tax shift should at the same time ensure to avoid disproportionate impacts on the affordability of energy. </w:t>
      </w:r>
      <w:r w:rsidR="00EF23ED" w:rsidRPr="0042168B">
        <w:rPr>
          <w:i/>
          <w:szCs w:val="24"/>
        </w:rPr>
        <w:t xml:space="preserve">Key enabling conditions are necessary to bring innovation to markets. By better reflecting environmental and economic costs, tax reforms, e.g. in the area of transport and mobility, have the potential to support this transition. </w:t>
      </w:r>
    </w:p>
    <w:p w:rsidR="001153CE" w:rsidRDefault="001153CE">
      <w:pPr>
        <w:spacing w:after="0" w:line="240" w:lineRule="auto"/>
        <w:rPr>
          <w:rFonts w:ascii="Times New Roman" w:hAnsi="Times New Roman"/>
          <w:b/>
          <w:smallCaps/>
          <w:sz w:val="24"/>
          <w:szCs w:val="24"/>
        </w:rPr>
      </w:pPr>
      <w:r>
        <w:rPr>
          <w:rFonts w:ascii="Times New Roman" w:hAnsi="Times New Roman"/>
          <w:b/>
          <w:smallCaps/>
          <w:sz w:val="24"/>
          <w:szCs w:val="24"/>
        </w:rPr>
        <w:br w:type="page"/>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 xml:space="preserve">7. </w:t>
      </w:r>
      <w:r w:rsidRPr="0042168B">
        <w:rPr>
          <w:rFonts w:ascii="Times New Roman" w:hAnsi="Times New Roman"/>
          <w:b/>
          <w:smallCaps/>
          <w:sz w:val="24"/>
          <w:szCs w:val="24"/>
        </w:rPr>
        <w:tab/>
        <w:t>implementation</w:t>
      </w:r>
      <w:r w:rsidR="00A53694" w:rsidRPr="0042168B">
        <w:rPr>
          <w:rFonts w:ascii="Times New Roman" w:hAnsi="Times New Roman"/>
          <w:b/>
          <w:smallCaps/>
          <w:sz w:val="24"/>
          <w:szCs w:val="24"/>
        </w:rPr>
        <w:t xml:space="preserve"> </w:t>
      </w:r>
      <w:r w:rsidRPr="0042168B">
        <w:rPr>
          <w:rFonts w:ascii="Times New Roman" w:hAnsi="Times New Roman"/>
          <w:b/>
          <w:smallCaps/>
          <w:sz w:val="24"/>
          <w:szCs w:val="24"/>
        </w:rPr>
        <w:t xml:space="preserve">of the Energy Union </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Progress made</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Energy Union needs </w:t>
      </w:r>
      <w:r w:rsidR="001F300E" w:rsidRPr="0042168B">
        <w:rPr>
          <w:rFonts w:ascii="Times New Roman" w:hAnsi="Times New Roman"/>
          <w:sz w:val="24"/>
          <w:szCs w:val="24"/>
        </w:rPr>
        <w:t>a reliable and transparent</w:t>
      </w:r>
      <w:r w:rsidR="001F300E" w:rsidRPr="0042168B" w:rsidDel="001F300E">
        <w:rPr>
          <w:rFonts w:ascii="Times New Roman" w:hAnsi="Times New Roman"/>
          <w:sz w:val="24"/>
          <w:szCs w:val="24"/>
        </w:rPr>
        <w:t xml:space="preserve"> </w:t>
      </w:r>
      <w:r w:rsidR="00A71070" w:rsidRPr="0042168B">
        <w:rPr>
          <w:rFonts w:ascii="Times New Roman" w:hAnsi="Times New Roman"/>
          <w:sz w:val="24"/>
          <w:szCs w:val="24"/>
        </w:rPr>
        <w:t xml:space="preserve">governance </w:t>
      </w:r>
      <w:r w:rsidRPr="0042168B">
        <w:rPr>
          <w:rFonts w:ascii="Times New Roman" w:hAnsi="Times New Roman"/>
          <w:sz w:val="24"/>
          <w:szCs w:val="24"/>
        </w:rPr>
        <w:t xml:space="preserve">process, anchored in legislation, to make sure that energy-related actions at European, regional, national and local level all contribute to the Energy Union's objectives. </w:t>
      </w:r>
    </w:p>
    <w:p w:rsidR="00BC2ACE"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At the political level, Vice-President Šefčovič has undertaken an Energy Union Tour over the last several months. He engaged in </w:t>
      </w:r>
      <w:r w:rsidR="006C4BA7" w:rsidRPr="0042168B">
        <w:rPr>
          <w:rFonts w:ascii="Times New Roman" w:hAnsi="Times New Roman"/>
          <w:sz w:val="24"/>
          <w:szCs w:val="24"/>
        </w:rPr>
        <w:t>a</w:t>
      </w:r>
      <w:r w:rsidRPr="0042168B">
        <w:rPr>
          <w:rFonts w:ascii="Times New Roman" w:hAnsi="Times New Roman"/>
          <w:sz w:val="24"/>
          <w:szCs w:val="24"/>
        </w:rPr>
        <w:t xml:space="preserve"> dialogue with </w:t>
      </w:r>
      <w:r w:rsidR="00921E6C" w:rsidRPr="0042168B">
        <w:rPr>
          <w:rFonts w:ascii="Times New Roman" w:hAnsi="Times New Roman"/>
          <w:sz w:val="24"/>
          <w:szCs w:val="24"/>
        </w:rPr>
        <w:t xml:space="preserve">national </w:t>
      </w:r>
      <w:r w:rsidRPr="0042168B">
        <w:rPr>
          <w:rFonts w:ascii="Times New Roman" w:hAnsi="Times New Roman"/>
          <w:sz w:val="24"/>
          <w:szCs w:val="24"/>
        </w:rPr>
        <w:t>governments</w:t>
      </w:r>
      <w:r w:rsidR="00921E6C" w:rsidRPr="0042168B">
        <w:rPr>
          <w:rFonts w:ascii="Times New Roman" w:hAnsi="Times New Roman"/>
          <w:sz w:val="24"/>
          <w:szCs w:val="24"/>
        </w:rPr>
        <w:t xml:space="preserve"> and </w:t>
      </w:r>
      <w:r w:rsidRPr="0042168B">
        <w:rPr>
          <w:rFonts w:ascii="Times New Roman" w:hAnsi="Times New Roman"/>
          <w:sz w:val="24"/>
          <w:szCs w:val="24"/>
        </w:rPr>
        <w:t xml:space="preserve">parliaments and </w:t>
      </w:r>
      <w:r w:rsidR="00921E6C" w:rsidRPr="0042168B">
        <w:rPr>
          <w:rFonts w:ascii="Times New Roman" w:hAnsi="Times New Roman"/>
          <w:sz w:val="24"/>
          <w:szCs w:val="24"/>
        </w:rPr>
        <w:t xml:space="preserve">with </w:t>
      </w:r>
      <w:r w:rsidRPr="0042168B">
        <w:rPr>
          <w:rFonts w:ascii="Times New Roman" w:hAnsi="Times New Roman"/>
          <w:sz w:val="24"/>
          <w:szCs w:val="24"/>
        </w:rPr>
        <w:t xml:space="preserve">the European Parliament as well as stakeholders and citizens. These visits, as well as the many outreach activities of many other </w:t>
      </w:r>
      <w:r w:rsidR="00EF23ED" w:rsidRPr="0042168B">
        <w:rPr>
          <w:rFonts w:ascii="Times New Roman" w:hAnsi="Times New Roman"/>
          <w:sz w:val="24"/>
          <w:szCs w:val="24"/>
        </w:rPr>
        <w:t>C</w:t>
      </w:r>
      <w:r w:rsidRPr="0042168B">
        <w:rPr>
          <w:rFonts w:ascii="Times New Roman" w:hAnsi="Times New Roman"/>
          <w:sz w:val="24"/>
          <w:szCs w:val="24"/>
        </w:rPr>
        <w:t xml:space="preserve">ommissioners, notably of </w:t>
      </w:r>
      <w:r w:rsidR="002807D3" w:rsidRPr="0042168B">
        <w:rPr>
          <w:rFonts w:ascii="Times New Roman" w:hAnsi="Times New Roman"/>
          <w:sz w:val="24"/>
          <w:szCs w:val="24"/>
        </w:rPr>
        <w:t>Commissioner</w:t>
      </w:r>
      <w:r w:rsidRPr="0042168B">
        <w:rPr>
          <w:rFonts w:ascii="Times New Roman" w:hAnsi="Times New Roman"/>
          <w:sz w:val="24"/>
          <w:szCs w:val="24"/>
        </w:rPr>
        <w:t xml:space="preserve"> Arias Cañete, are instrumental to </w:t>
      </w:r>
      <w:r w:rsidR="00921E6C" w:rsidRPr="0042168B">
        <w:rPr>
          <w:rFonts w:ascii="Times New Roman" w:hAnsi="Times New Roman"/>
          <w:sz w:val="24"/>
          <w:szCs w:val="24"/>
        </w:rPr>
        <w:t xml:space="preserve">listen </w:t>
      </w:r>
      <w:r w:rsidRPr="0042168B">
        <w:rPr>
          <w:rFonts w:ascii="Times New Roman" w:hAnsi="Times New Roman"/>
          <w:sz w:val="24"/>
          <w:szCs w:val="24"/>
        </w:rPr>
        <w:t xml:space="preserve">and discuss the Energy Union and its opportunities for </w:t>
      </w:r>
      <w:r w:rsidR="00921E6C" w:rsidRPr="0042168B">
        <w:rPr>
          <w:rFonts w:ascii="Times New Roman" w:hAnsi="Times New Roman"/>
          <w:sz w:val="24"/>
          <w:szCs w:val="24"/>
        </w:rPr>
        <w:t xml:space="preserve">the EU and its </w:t>
      </w:r>
      <w:r w:rsidRPr="0042168B">
        <w:rPr>
          <w:rFonts w:ascii="Times New Roman" w:hAnsi="Times New Roman"/>
          <w:sz w:val="24"/>
          <w:szCs w:val="24"/>
        </w:rPr>
        <w:t>Member States.</w:t>
      </w:r>
    </w:p>
    <w:p w:rsidR="007230E7"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Supported by a technical dialogue with Member States, this process has led to a much clearer picture of the opportunities, strengths, threats and weaknesses of the Energy Union at Member State level</w:t>
      </w:r>
      <w:r w:rsidR="00975DB8" w:rsidRPr="0042168B">
        <w:rPr>
          <w:rFonts w:ascii="Times New Roman" w:hAnsi="Times New Roman"/>
          <w:sz w:val="24"/>
          <w:szCs w:val="24"/>
        </w:rPr>
        <w:t>, as can be seen in the accompanying factsheets which have been validated with Member States following bilateral discussions</w:t>
      </w:r>
      <w:r w:rsidRPr="0042168B">
        <w:rPr>
          <w:rFonts w:ascii="Times New Roman" w:hAnsi="Times New Roman"/>
          <w:sz w:val="24"/>
          <w:szCs w:val="24"/>
        </w:rPr>
        <w:t>.</w:t>
      </w:r>
      <w:r w:rsidR="0007035E" w:rsidRPr="0042168B">
        <w:rPr>
          <w:rStyle w:val="FootnoteReference"/>
          <w:rFonts w:ascii="Times New Roman" w:hAnsi="Times New Roman"/>
          <w:sz w:val="24"/>
          <w:szCs w:val="24"/>
        </w:rPr>
        <w:footnoteReference w:id="35"/>
      </w:r>
      <w:r w:rsidRPr="0042168B">
        <w:rPr>
          <w:rFonts w:ascii="Times New Roman" w:hAnsi="Times New Roman"/>
          <w:sz w:val="24"/>
          <w:szCs w:val="24"/>
        </w:rPr>
        <w:t xml:space="preserve"> It also resulted in </w:t>
      </w:r>
      <w:r w:rsidR="003F3111" w:rsidRPr="0042168B">
        <w:rPr>
          <w:rFonts w:ascii="Times New Roman" w:hAnsi="Times New Roman"/>
          <w:sz w:val="24"/>
          <w:szCs w:val="24"/>
        </w:rPr>
        <w:t>the</w:t>
      </w:r>
      <w:r w:rsidRPr="0042168B">
        <w:rPr>
          <w:rFonts w:ascii="Times New Roman" w:hAnsi="Times New Roman"/>
          <w:sz w:val="24"/>
          <w:szCs w:val="24"/>
        </w:rPr>
        <w:t xml:space="preserve"> </w:t>
      </w:r>
      <w:r w:rsidR="003F3111" w:rsidRPr="0042168B">
        <w:rPr>
          <w:rFonts w:ascii="Times New Roman" w:hAnsi="Times New Roman"/>
          <w:sz w:val="24"/>
          <w:szCs w:val="24"/>
        </w:rPr>
        <w:t xml:space="preserve">proposed methodology </w:t>
      </w:r>
      <w:r w:rsidRPr="0042168B">
        <w:rPr>
          <w:rFonts w:ascii="Times New Roman" w:hAnsi="Times New Roman"/>
          <w:sz w:val="24"/>
          <w:szCs w:val="24"/>
        </w:rPr>
        <w:t xml:space="preserve">on </w:t>
      </w:r>
      <w:r w:rsidR="00DD3C7D" w:rsidRPr="0042168B">
        <w:rPr>
          <w:rFonts w:ascii="Times New Roman" w:hAnsi="Times New Roman"/>
          <w:sz w:val="24"/>
          <w:szCs w:val="24"/>
        </w:rPr>
        <w:t xml:space="preserve">key </w:t>
      </w:r>
      <w:r w:rsidRPr="0042168B">
        <w:rPr>
          <w:rFonts w:ascii="Times New Roman" w:hAnsi="Times New Roman"/>
          <w:sz w:val="24"/>
          <w:szCs w:val="24"/>
        </w:rPr>
        <w:t>indicators attached to this State of the Energy Union.</w:t>
      </w:r>
      <w:r w:rsidRPr="0042168B">
        <w:rPr>
          <w:rStyle w:val="FootnoteReference"/>
          <w:rFonts w:ascii="Times New Roman" w:hAnsi="Times New Roman"/>
          <w:sz w:val="24"/>
          <w:szCs w:val="24"/>
        </w:rPr>
        <w:footnoteReference w:id="36"/>
      </w:r>
      <w:r w:rsidRPr="0042168B">
        <w:rPr>
          <w:rFonts w:ascii="Times New Roman" w:hAnsi="Times New Roman"/>
          <w:sz w:val="24"/>
          <w:szCs w:val="24"/>
        </w:rPr>
        <w:t xml:space="preserve"> </w:t>
      </w:r>
      <w:r w:rsidR="005850E7" w:rsidRPr="0042168B">
        <w:rPr>
          <w:rFonts w:ascii="Times New Roman" w:hAnsi="Times New Roman"/>
          <w:sz w:val="24"/>
          <w:szCs w:val="24"/>
        </w:rPr>
        <w:t xml:space="preserve">This Staff Working Document </w:t>
      </w:r>
      <w:r w:rsidR="003F3111" w:rsidRPr="0042168B">
        <w:rPr>
          <w:rFonts w:ascii="Times New Roman" w:hAnsi="Times New Roman"/>
          <w:sz w:val="24"/>
          <w:szCs w:val="24"/>
        </w:rPr>
        <w:t xml:space="preserve">shows the comparative EU-wide situation for the five dimensions of the Energy Union using these </w:t>
      </w:r>
      <w:r w:rsidR="00DD3C7D" w:rsidRPr="0042168B">
        <w:rPr>
          <w:rFonts w:ascii="Times New Roman" w:hAnsi="Times New Roman"/>
          <w:sz w:val="24"/>
          <w:szCs w:val="24"/>
        </w:rPr>
        <w:t>first key</w:t>
      </w:r>
      <w:r w:rsidR="003F3111" w:rsidRPr="0042168B">
        <w:rPr>
          <w:rFonts w:ascii="Times New Roman" w:hAnsi="Times New Roman"/>
          <w:sz w:val="24"/>
          <w:szCs w:val="24"/>
        </w:rPr>
        <w:t xml:space="preserve"> indicators. K</w:t>
      </w:r>
      <w:r w:rsidRPr="0042168B">
        <w:rPr>
          <w:rFonts w:ascii="Times New Roman" w:hAnsi="Times New Roman"/>
          <w:sz w:val="24"/>
          <w:szCs w:val="24"/>
        </w:rPr>
        <w:t>ey indicators will be used in the future to measure and monitor the delivery of the Energy Union.</w:t>
      </w:r>
    </w:p>
    <w:p w:rsidR="006C4BA7" w:rsidRPr="0042168B" w:rsidRDefault="006C4BA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The energy transition requires strategic planning. Currently only </w:t>
      </w:r>
      <w:r w:rsidR="00B50D58" w:rsidRPr="0042168B">
        <w:rPr>
          <w:rFonts w:ascii="Times New Roman" w:hAnsi="Times New Roman"/>
          <w:sz w:val="24"/>
          <w:szCs w:val="24"/>
        </w:rPr>
        <w:t xml:space="preserve">around a third of </w:t>
      </w:r>
      <w:r w:rsidRPr="0042168B">
        <w:rPr>
          <w:rFonts w:ascii="Times New Roman" w:hAnsi="Times New Roman"/>
          <w:sz w:val="24"/>
          <w:szCs w:val="24"/>
        </w:rPr>
        <w:t xml:space="preserve">Member States have comprehensive energy and climate strategies in place beyond 2020, including national indicative targets for greenhouse gas emissions, renewables and energy efficiency. This is a matter of </w:t>
      </w:r>
      <w:r w:rsidR="005F39D6" w:rsidRPr="0042168B">
        <w:rPr>
          <w:rFonts w:ascii="Times New Roman" w:hAnsi="Times New Roman"/>
          <w:sz w:val="24"/>
          <w:szCs w:val="24"/>
        </w:rPr>
        <w:t xml:space="preserve">serious </w:t>
      </w:r>
      <w:r w:rsidRPr="0042168B">
        <w:rPr>
          <w:rFonts w:ascii="Times New Roman" w:hAnsi="Times New Roman"/>
          <w:sz w:val="24"/>
          <w:szCs w:val="24"/>
        </w:rPr>
        <w:t>concern in view of the necessity to create a predictable framework for investments in areas which often require long-term planning.</w:t>
      </w:r>
    </w:p>
    <w:p w:rsidR="007230E7" w:rsidRPr="0042168B" w:rsidRDefault="007230E7" w:rsidP="00877889">
      <w:pPr>
        <w:spacing w:after="240" w:line="240" w:lineRule="auto"/>
        <w:jc w:val="both"/>
        <w:rPr>
          <w:rFonts w:ascii="Times New Roman" w:hAnsi="Times New Roman"/>
          <w:i/>
          <w:sz w:val="24"/>
          <w:szCs w:val="24"/>
        </w:rPr>
      </w:pPr>
      <w:r w:rsidRPr="0042168B">
        <w:rPr>
          <w:rFonts w:ascii="Times New Roman" w:hAnsi="Times New Roman"/>
          <w:i/>
          <w:sz w:val="24"/>
          <w:szCs w:val="24"/>
        </w:rPr>
        <w:t>Way forward</w:t>
      </w:r>
    </w:p>
    <w:p w:rsidR="00EF23ED" w:rsidRPr="0042168B" w:rsidRDefault="006C4BA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Integrated national energy and climate plans, addressing all five dimensions of the Energy Union, are necessary tools to have more strategic planning. </w:t>
      </w:r>
      <w:r w:rsidR="00975DB8" w:rsidRPr="0042168B">
        <w:rPr>
          <w:rFonts w:ascii="Times New Roman" w:hAnsi="Times New Roman"/>
          <w:sz w:val="24"/>
          <w:szCs w:val="24"/>
        </w:rPr>
        <w:t xml:space="preserve">They will be instrumental for the achievement of the 2030 targets. </w:t>
      </w:r>
      <w:r w:rsidR="007230E7" w:rsidRPr="0042168B">
        <w:rPr>
          <w:rFonts w:ascii="Times New Roman" w:hAnsi="Times New Roman"/>
          <w:sz w:val="24"/>
          <w:szCs w:val="24"/>
        </w:rPr>
        <w:t xml:space="preserve">The </w:t>
      </w:r>
      <w:r w:rsidR="00386BF4" w:rsidRPr="0042168B">
        <w:rPr>
          <w:rFonts w:ascii="Times New Roman" w:hAnsi="Times New Roman"/>
          <w:sz w:val="24"/>
          <w:szCs w:val="24"/>
        </w:rPr>
        <w:t xml:space="preserve">related </w:t>
      </w:r>
      <w:r w:rsidR="007230E7" w:rsidRPr="0042168B">
        <w:rPr>
          <w:rFonts w:ascii="Times New Roman" w:hAnsi="Times New Roman"/>
          <w:sz w:val="24"/>
          <w:szCs w:val="24"/>
        </w:rPr>
        <w:t>guidance document</w:t>
      </w:r>
      <w:r w:rsidR="00BC2ACE" w:rsidRPr="0042168B">
        <w:rPr>
          <w:rFonts w:ascii="Times New Roman" w:hAnsi="Times New Roman"/>
          <w:sz w:val="24"/>
          <w:szCs w:val="24"/>
        </w:rPr>
        <w:t>, a</w:t>
      </w:r>
      <w:r w:rsidR="00A71070" w:rsidRPr="0042168B">
        <w:rPr>
          <w:rFonts w:ascii="Times New Roman" w:hAnsi="Times New Roman"/>
          <w:sz w:val="24"/>
          <w:szCs w:val="24"/>
        </w:rPr>
        <w:t>nnexed</w:t>
      </w:r>
      <w:r w:rsidR="00BC2ACE" w:rsidRPr="0042168B">
        <w:rPr>
          <w:rFonts w:ascii="Times New Roman" w:hAnsi="Times New Roman"/>
          <w:sz w:val="24"/>
          <w:szCs w:val="24"/>
        </w:rPr>
        <w:t xml:space="preserve"> to this State of the Energy Union,</w:t>
      </w:r>
      <w:r w:rsidR="007230E7" w:rsidRPr="0042168B">
        <w:rPr>
          <w:rFonts w:ascii="Times New Roman" w:hAnsi="Times New Roman"/>
          <w:sz w:val="24"/>
          <w:szCs w:val="24"/>
        </w:rPr>
        <w:t xml:space="preserve"> provide</w:t>
      </w:r>
      <w:r w:rsidR="00DD3C7D" w:rsidRPr="0042168B">
        <w:rPr>
          <w:rFonts w:ascii="Times New Roman" w:hAnsi="Times New Roman"/>
          <w:sz w:val="24"/>
          <w:szCs w:val="24"/>
        </w:rPr>
        <w:t>s</w:t>
      </w:r>
      <w:r w:rsidR="007230E7" w:rsidRPr="0042168B">
        <w:rPr>
          <w:rFonts w:ascii="Times New Roman" w:hAnsi="Times New Roman"/>
          <w:sz w:val="24"/>
          <w:szCs w:val="24"/>
        </w:rPr>
        <w:t xml:space="preserve"> the basis for Member States to start developing their plans</w:t>
      </w:r>
      <w:r w:rsidR="00BC2ACE" w:rsidRPr="0042168B">
        <w:rPr>
          <w:rFonts w:ascii="Times New Roman" w:hAnsi="Times New Roman"/>
          <w:sz w:val="24"/>
          <w:szCs w:val="24"/>
        </w:rPr>
        <w:t xml:space="preserve"> </w:t>
      </w:r>
      <w:r w:rsidR="0077511B" w:rsidRPr="0042168B">
        <w:rPr>
          <w:rFonts w:ascii="Times New Roman" w:hAnsi="Times New Roman"/>
          <w:sz w:val="24"/>
          <w:szCs w:val="24"/>
        </w:rPr>
        <w:t>for the period</w:t>
      </w:r>
      <w:r w:rsidR="00A53694" w:rsidRPr="0042168B">
        <w:rPr>
          <w:rFonts w:ascii="Times New Roman" w:hAnsi="Times New Roman"/>
          <w:sz w:val="24"/>
          <w:szCs w:val="24"/>
        </w:rPr>
        <w:t xml:space="preserve"> covered by the 2030 framework. </w:t>
      </w:r>
    </w:p>
    <w:p w:rsidR="00EF23ED" w:rsidRPr="0042168B" w:rsidRDefault="00EF23ED" w:rsidP="00877889">
      <w:pPr>
        <w:spacing w:after="240" w:line="240" w:lineRule="auto"/>
        <w:jc w:val="both"/>
        <w:rPr>
          <w:rFonts w:ascii="Times New Roman" w:hAnsi="Times New Roman"/>
          <w:sz w:val="24"/>
          <w:szCs w:val="24"/>
        </w:rPr>
      </w:pPr>
      <w:r w:rsidRPr="0042168B">
        <w:rPr>
          <w:rFonts w:ascii="Times New Roman" w:hAnsi="Times New Roman"/>
          <w:sz w:val="24"/>
          <w:szCs w:val="24"/>
        </w:rPr>
        <w:t>In order to provide certainty and predictability to project developers and investors in a rapidly changing environment, preparatory work should start without delay. Member States should therefore present draft National Plans in 2017 as a basis for further discussions, with a view to finali</w:t>
      </w:r>
      <w:r w:rsidR="0042168B">
        <w:rPr>
          <w:rFonts w:ascii="Times New Roman" w:hAnsi="Times New Roman"/>
          <w:sz w:val="24"/>
          <w:szCs w:val="24"/>
        </w:rPr>
        <w:t>s</w:t>
      </w:r>
      <w:r w:rsidRPr="0042168B">
        <w:rPr>
          <w:rFonts w:ascii="Times New Roman" w:hAnsi="Times New Roman"/>
          <w:sz w:val="24"/>
          <w:szCs w:val="24"/>
        </w:rPr>
        <w:t xml:space="preserve">ing these National Plans in 2018 so that they will be operational well before 2021. </w:t>
      </w:r>
    </w:p>
    <w:p w:rsidR="007230E7" w:rsidRPr="0042168B" w:rsidRDefault="006C4BA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National plans also need to reflect the outcome of regional consultations in areas that would benefit from enhanced cooperation with neighbouring Member States. In 2016 the Commission </w:t>
      </w:r>
      <w:r w:rsidR="00CC4E91" w:rsidRPr="0042168B">
        <w:rPr>
          <w:rFonts w:ascii="Times New Roman" w:hAnsi="Times New Roman"/>
          <w:sz w:val="24"/>
          <w:szCs w:val="24"/>
        </w:rPr>
        <w:t xml:space="preserve">intends to </w:t>
      </w:r>
      <w:r w:rsidRPr="0042168B">
        <w:rPr>
          <w:rFonts w:ascii="Times New Roman" w:hAnsi="Times New Roman"/>
          <w:sz w:val="24"/>
          <w:szCs w:val="24"/>
        </w:rPr>
        <w:t xml:space="preserve">come forward with guidance on how to strengthen regional cooperation </w:t>
      </w:r>
      <w:r w:rsidR="00EF23ED" w:rsidRPr="0042168B">
        <w:rPr>
          <w:rFonts w:ascii="Times New Roman" w:hAnsi="Times New Roman"/>
          <w:sz w:val="24"/>
          <w:szCs w:val="24"/>
        </w:rPr>
        <w:t xml:space="preserve">in the broader sense </w:t>
      </w:r>
      <w:r w:rsidRPr="0042168B">
        <w:rPr>
          <w:rFonts w:ascii="Times New Roman" w:hAnsi="Times New Roman"/>
          <w:sz w:val="24"/>
          <w:szCs w:val="24"/>
        </w:rPr>
        <w:t>and how the Commission can facilitate regional approaches.</w:t>
      </w:r>
    </w:p>
    <w:p w:rsidR="00061626"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In order to track progress, a transparent monitoring system </w:t>
      </w:r>
      <w:r w:rsidR="00CC4E91" w:rsidRPr="0042168B">
        <w:rPr>
          <w:rFonts w:ascii="Times New Roman" w:hAnsi="Times New Roman"/>
          <w:sz w:val="24"/>
          <w:szCs w:val="24"/>
        </w:rPr>
        <w:t xml:space="preserve">needs to </w:t>
      </w:r>
      <w:r w:rsidRPr="0042168B">
        <w:rPr>
          <w:rFonts w:ascii="Times New Roman" w:hAnsi="Times New Roman"/>
          <w:sz w:val="24"/>
          <w:szCs w:val="24"/>
        </w:rPr>
        <w:t xml:space="preserve">be put in place based on </w:t>
      </w:r>
      <w:r w:rsidR="00DD3C7D" w:rsidRPr="0042168B">
        <w:rPr>
          <w:rFonts w:ascii="Times New Roman" w:hAnsi="Times New Roman"/>
          <w:sz w:val="24"/>
          <w:szCs w:val="24"/>
        </w:rPr>
        <w:t>key indicators as well as</w:t>
      </w:r>
      <w:r w:rsidR="001F300E" w:rsidRPr="0042168B">
        <w:rPr>
          <w:rFonts w:ascii="Times New Roman" w:hAnsi="Times New Roman"/>
          <w:sz w:val="24"/>
          <w:szCs w:val="24"/>
        </w:rPr>
        <w:t xml:space="preserve"> on</w:t>
      </w:r>
      <w:r w:rsidR="00DD3C7D" w:rsidRPr="0042168B">
        <w:rPr>
          <w:rFonts w:ascii="Times New Roman" w:hAnsi="Times New Roman"/>
          <w:sz w:val="24"/>
          <w:szCs w:val="24"/>
        </w:rPr>
        <w:t xml:space="preserve"> Member States' </w:t>
      </w:r>
      <w:r w:rsidR="00061626" w:rsidRPr="0042168B">
        <w:rPr>
          <w:rFonts w:ascii="Times New Roman" w:hAnsi="Times New Roman"/>
          <w:sz w:val="24"/>
          <w:szCs w:val="24"/>
        </w:rPr>
        <w:t xml:space="preserve">biannual </w:t>
      </w:r>
      <w:r w:rsidR="00DD3C7D" w:rsidRPr="0042168B">
        <w:rPr>
          <w:rFonts w:ascii="Times New Roman" w:hAnsi="Times New Roman"/>
          <w:sz w:val="24"/>
          <w:szCs w:val="24"/>
        </w:rPr>
        <w:t xml:space="preserve">reports </w:t>
      </w:r>
      <w:r w:rsidR="00061626" w:rsidRPr="0042168B">
        <w:rPr>
          <w:rFonts w:ascii="Times New Roman" w:hAnsi="Times New Roman"/>
          <w:sz w:val="24"/>
          <w:szCs w:val="24"/>
        </w:rPr>
        <w:t xml:space="preserve">concerning progress made </w:t>
      </w:r>
      <w:r w:rsidR="00DD3C7D" w:rsidRPr="0042168B">
        <w:rPr>
          <w:rFonts w:ascii="Times New Roman" w:hAnsi="Times New Roman"/>
          <w:sz w:val="24"/>
          <w:szCs w:val="24"/>
        </w:rPr>
        <w:t xml:space="preserve">on their national plans. </w:t>
      </w:r>
      <w:r w:rsidR="00061626" w:rsidRPr="0042168B">
        <w:rPr>
          <w:rFonts w:ascii="Times New Roman" w:hAnsi="Times New Roman"/>
          <w:sz w:val="24"/>
          <w:szCs w:val="24"/>
        </w:rPr>
        <w:t xml:space="preserve">The Commission </w:t>
      </w:r>
      <w:r w:rsidR="00CC4E91" w:rsidRPr="0042168B">
        <w:rPr>
          <w:rFonts w:ascii="Times New Roman" w:hAnsi="Times New Roman"/>
          <w:sz w:val="24"/>
          <w:szCs w:val="24"/>
        </w:rPr>
        <w:t xml:space="preserve">intends to </w:t>
      </w:r>
      <w:r w:rsidR="00061626" w:rsidRPr="0042168B">
        <w:rPr>
          <w:rFonts w:ascii="Times New Roman" w:hAnsi="Times New Roman"/>
          <w:sz w:val="24"/>
          <w:szCs w:val="24"/>
        </w:rPr>
        <w:t xml:space="preserve">assess collective progress made at the EU level in </w:t>
      </w:r>
      <w:r w:rsidR="00E42030" w:rsidRPr="0042168B">
        <w:rPr>
          <w:rFonts w:ascii="Times New Roman" w:hAnsi="Times New Roman"/>
          <w:sz w:val="24"/>
          <w:szCs w:val="24"/>
        </w:rPr>
        <w:t xml:space="preserve">its </w:t>
      </w:r>
      <w:r w:rsidR="00061626" w:rsidRPr="0042168B">
        <w:rPr>
          <w:rFonts w:ascii="Times New Roman" w:hAnsi="Times New Roman"/>
          <w:sz w:val="24"/>
          <w:szCs w:val="24"/>
        </w:rPr>
        <w:t>annual State of the Energy Union</w:t>
      </w:r>
      <w:r w:rsidR="00EF23ED" w:rsidRPr="0042168B">
        <w:rPr>
          <w:rFonts w:ascii="Times New Roman" w:hAnsi="Times New Roman"/>
          <w:sz w:val="24"/>
          <w:szCs w:val="24"/>
        </w:rPr>
        <w:t xml:space="preserve"> and, if necessary, propose policy actions and measures to ensure the delivery of the Energy Union objectives</w:t>
      </w:r>
      <w:r w:rsidR="00061626" w:rsidRPr="0042168B">
        <w:rPr>
          <w:rFonts w:ascii="Times New Roman" w:hAnsi="Times New Roman"/>
          <w:sz w:val="24"/>
          <w:szCs w:val="24"/>
        </w:rPr>
        <w:t>.</w:t>
      </w:r>
    </w:p>
    <w:p w:rsidR="00827BB2" w:rsidRPr="0042168B" w:rsidRDefault="007230E7" w:rsidP="00877889">
      <w:pPr>
        <w:spacing w:after="240" w:line="240" w:lineRule="auto"/>
        <w:jc w:val="both"/>
        <w:rPr>
          <w:rFonts w:ascii="Times New Roman" w:hAnsi="Times New Roman"/>
          <w:sz w:val="24"/>
          <w:szCs w:val="24"/>
        </w:rPr>
      </w:pPr>
      <w:r w:rsidRPr="0042168B">
        <w:rPr>
          <w:rFonts w:ascii="Times New Roman" w:hAnsi="Times New Roman"/>
          <w:sz w:val="24"/>
          <w:szCs w:val="24"/>
        </w:rPr>
        <w:t xml:space="preserve">Based on </w:t>
      </w:r>
      <w:r w:rsidR="00DD3C7D" w:rsidRPr="0042168B">
        <w:rPr>
          <w:rFonts w:ascii="Times New Roman" w:hAnsi="Times New Roman"/>
          <w:sz w:val="24"/>
          <w:szCs w:val="24"/>
        </w:rPr>
        <w:t xml:space="preserve">inter alia </w:t>
      </w:r>
      <w:r w:rsidRPr="0042168B">
        <w:rPr>
          <w:rFonts w:ascii="Times New Roman" w:hAnsi="Times New Roman"/>
          <w:sz w:val="24"/>
          <w:szCs w:val="24"/>
        </w:rPr>
        <w:t>a fitness check of current reporting obligations</w:t>
      </w:r>
      <w:r w:rsidR="00A575E9" w:rsidRPr="0042168B">
        <w:rPr>
          <w:rStyle w:val="FootnoteReference"/>
          <w:rFonts w:ascii="Times New Roman" w:hAnsi="Times New Roman"/>
          <w:sz w:val="24"/>
          <w:szCs w:val="24"/>
        </w:rPr>
        <w:footnoteReference w:id="37"/>
      </w:r>
      <w:r w:rsidRPr="0042168B">
        <w:rPr>
          <w:rFonts w:ascii="Times New Roman" w:hAnsi="Times New Roman"/>
          <w:sz w:val="24"/>
          <w:szCs w:val="24"/>
        </w:rPr>
        <w:t xml:space="preserve"> and ongoing discussions with Member States, the European Parliament and stakeholders, the Commission </w:t>
      </w:r>
      <w:r w:rsidR="00CC4E91" w:rsidRPr="0042168B">
        <w:rPr>
          <w:rFonts w:ascii="Times New Roman" w:hAnsi="Times New Roman"/>
          <w:sz w:val="24"/>
          <w:szCs w:val="24"/>
        </w:rPr>
        <w:t xml:space="preserve">foresees </w:t>
      </w:r>
      <w:r w:rsidR="00CD6042" w:rsidRPr="0042168B">
        <w:rPr>
          <w:rFonts w:ascii="Times New Roman" w:hAnsi="Times New Roman"/>
          <w:sz w:val="24"/>
          <w:szCs w:val="24"/>
        </w:rPr>
        <w:t xml:space="preserve">in 2016 </w:t>
      </w:r>
      <w:r w:rsidRPr="0042168B">
        <w:rPr>
          <w:rFonts w:ascii="Times New Roman" w:hAnsi="Times New Roman"/>
          <w:sz w:val="24"/>
          <w:szCs w:val="24"/>
        </w:rPr>
        <w:t xml:space="preserve">a </w:t>
      </w:r>
      <w:r w:rsidR="00CD6042" w:rsidRPr="0042168B">
        <w:rPr>
          <w:rFonts w:ascii="Times New Roman" w:hAnsi="Times New Roman"/>
          <w:sz w:val="24"/>
          <w:szCs w:val="24"/>
        </w:rPr>
        <w:t xml:space="preserve">proposal </w:t>
      </w:r>
      <w:r w:rsidRPr="0042168B">
        <w:rPr>
          <w:rFonts w:ascii="Times New Roman" w:hAnsi="Times New Roman"/>
          <w:sz w:val="24"/>
          <w:szCs w:val="24"/>
        </w:rPr>
        <w:t xml:space="preserve">on streamlining </w:t>
      </w:r>
      <w:r w:rsidR="00DD3C7D" w:rsidRPr="0042168B">
        <w:rPr>
          <w:rFonts w:ascii="Times New Roman" w:hAnsi="Times New Roman"/>
          <w:sz w:val="24"/>
          <w:szCs w:val="24"/>
        </w:rPr>
        <w:t xml:space="preserve">planning and reporting </w:t>
      </w:r>
      <w:r w:rsidRPr="0042168B">
        <w:rPr>
          <w:rFonts w:ascii="Times New Roman" w:hAnsi="Times New Roman"/>
          <w:sz w:val="24"/>
          <w:szCs w:val="24"/>
        </w:rPr>
        <w:t xml:space="preserve">requirements </w:t>
      </w:r>
      <w:r w:rsidR="00D9308D" w:rsidRPr="0042168B">
        <w:rPr>
          <w:rFonts w:ascii="Times New Roman" w:hAnsi="Times New Roman"/>
          <w:sz w:val="24"/>
          <w:szCs w:val="24"/>
        </w:rPr>
        <w:t xml:space="preserve">related to climate and energy actions </w:t>
      </w:r>
      <w:r w:rsidR="00DD3C7D" w:rsidRPr="0042168B">
        <w:rPr>
          <w:rFonts w:ascii="Times New Roman" w:hAnsi="Times New Roman"/>
          <w:sz w:val="24"/>
          <w:szCs w:val="24"/>
        </w:rPr>
        <w:t>for Member States and the Commission</w:t>
      </w:r>
      <w:r w:rsidR="000D3DD8" w:rsidRPr="0042168B">
        <w:rPr>
          <w:rFonts w:ascii="Times New Roman" w:hAnsi="Times New Roman"/>
          <w:sz w:val="24"/>
          <w:szCs w:val="24"/>
        </w:rPr>
        <w:t xml:space="preserve"> </w:t>
      </w:r>
      <w:r w:rsidRPr="0042168B">
        <w:rPr>
          <w:rFonts w:ascii="Times New Roman" w:hAnsi="Times New Roman"/>
          <w:sz w:val="24"/>
          <w:szCs w:val="24"/>
        </w:rPr>
        <w:t xml:space="preserve">to reduce </w:t>
      </w:r>
      <w:r w:rsidR="00B8063F" w:rsidRPr="0042168B">
        <w:rPr>
          <w:rFonts w:ascii="Times New Roman" w:hAnsi="Times New Roman"/>
          <w:sz w:val="24"/>
          <w:szCs w:val="24"/>
        </w:rPr>
        <w:t xml:space="preserve">as soon as possible </w:t>
      </w:r>
      <w:r w:rsidRPr="0042168B">
        <w:rPr>
          <w:rFonts w:ascii="Times New Roman" w:hAnsi="Times New Roman"/>
          <w:sz w:val="24"/>
          <w:szCs w:val="24"/>
        </w:rPr>
        <w:t>unnecessary administrative burden in line with the better regulation agenda</w:t>
      </w:r>
      <w:r w:rsidR="00CD6042" w:rsidRPr="0042168B">
        <w:rPr>
          <w:rFonts w:ascii="Times New Roman" w:hAnsi="Times New Roman"/>
          <w:sz w:val="24"/>
          <w:szCs w:val="24"/>
        </w:rPr>
        <w:t xml:space="preserve"> and to align planning and reporting requirements with the Energy Union Framework Strategy</w:t>
      </w:r>
      <w:r w:rsidRPr="0042168B">
        <w:rPr>
          <w:rFonts w:ascii="Times New Roman" w:hAnsi="Times New Roman"/>
          <w:sz w:val="24"/>
          <w:szCs w:val="24"/>
        </w:rPr>
        <w:t xml:space="preserve">. </w:t>
      </w:r>
    </w:p>
    <w:p w:rsidR="007230E7" w:rsidRPr="0042168B" w:rsidRDefault="007230E7" w:rsidP="00877889">
      <w:pPr>
        <w:spacing w:after="240" w:line="240" w:lineRule="auto"/>
        <w:jc w:val="both"/>
        <w:rPr>
          <w:rFonts w:ascii="Times New Roman" w:hAnsi="Times New Roman"/>
          <w:b/>
          <w:smallCaps/>
          <w:sz w:val="24"/>
          <w:szCs w:val="24"/>
        </w:rPr>
      </w:pPr>
      <w:r w:rsidRPr="0042168B">
        <w:rPr>
          <w:rFonts w:ascii="Times New Roman" w:hAnsi="Times New Roman"/>
          <w:b/>
          <w:smallCaps/>
          <w:sz w:val="24"/>
          <w:szCs w:val="24"/>
        </w:rPr>
        <w:t xml:space="preserve">8. </w:t>
      </w:r>
      <w:r w:rsidRPr="0042168B">
        <w:rPr>
          <w:rFonts w:ascii="Times New Roman" w:hAnsi="Times New Roman"/>
          <w:b/>
          <w:smallCaps/>
          <w:sz w:val="24"/>
          <w:szCs w:val="24"/>
        </w:rPr>
        <w:tab/>
        <w:t>Conclusions and way forward</w:t>
      </w:r>
    </w:p>
    <w:p w:rsidR="007230E7" w:rsidRPr="0042168B" w:rsidRDefault="006C4BA7" w:rsidP="00877889">
      <w:pPr>
        <w:spacing w:after="240" w:line="240" w:lineRule="auto"/>
        <w:jc w:val="both"/>
        <w:rPr>
          <w:rFonts w:ascii="Times New Roman" w:hAnsi="Times New Roman"/>
          <w:sz w:val="24"/>
          <w:szCs w:val="24"/>
        </w:rPr>
      </w:pPr>
      <w:r w:rsidRPr="0042168B">
        <w:rPr>
          <w:rFonts w:ascii="Times New Roman" w:hAnsi="Times New Roman"/>
          <w:i/>
          <w:sz w:val="24"/>
          <w:szCs w:val="24"/>
        </w:rPr>
        <w:t xml:space="preserve">It is essential to maintain the ambition, balance and momentum created by the launch of the Energy Union Framework Strategy in February 2015. </w:t>
      </w:r>
      <w:r w:rsidR="007230E7" w:rsidRPr="0042168B">
        <w:rPr>
          <w:rFonts w:ascii="Times New Roman" w:hAnsi="Times New Roman"/>
          <w:sz w:val="24"/>
          <w:szCs w:val="24"/>
        </w:rPr>
        <w:t>2016 will be an important year,</w:t>
      </w:r>
      <w:r w:rsidR="00E42030" w:rsidRPr="0042168B">
        <w:rPr>
          <w:rFonts w:ascii="Times New Roman" w:hAnsi="Times New Roman"/>
          <w:sz w:val="24"/>
          <w:szCs w:val="24"/>
        </w:rPr>
        <w:t xml:space="preserve"> a year of delivery,</w:t>
      </w:r>
      <w:r w:rsidR="007230E7" w:rsidRPr="0042168B">
        <w:rPr>
          <w:rFonts w:ascii="Times New Roman" w:hAnsi="Times New Roman"/>
          <w:sz w:val="24"/>
          <w:szCs w:val="24"/>
        </w:rPr>
        <w:t xml:space="preserve"> in which the strategic vision set out in the Energy Union Strategy will be translated in EU-level legislative initiatives</w:t>
      </w:r>
      <w:r w:rsidR="00BD0FE6" w:rsidRPr="0042168B">
        <w:rPr>
          <w:rFonts w:ascii="Times New Roman" w:hAnsi="Times New Roman"/>
          <w:sz w:val="24"/>
          <w:szCs w:val="24"/>
        </w:rPr>
        <w:t xml:space="preserve">, </w:t>
      </w:r>
      <w:r w:rsidR="00975DB8" w:rsidRPr="0042168B">
        <w:rPr>
          <w:rFonts w:ascii="Times New Roman" w:hAnsi="Times New Roman"/>
          <w:sz w:val="24"/>
          <w:szCs w:val="24"/>
        </w:rPr>
        <w:t>more coherence in our engagement with external partners,</w:t>
      </w:r>
      <w:r w:rsidR="007230E7" w:rsidRPr="0042168B">
        <w:rPr>
          <w:rFonts w:ascii="Times New Roman" w:hAnsi="Times New Roman"/>
          <w:sz w:val="24"/>
          <w:szCs w:val="24"/>
        </w:rPr>
        <w:t xml:space="preserve"> and </w:t>
      </w:r>
      <w:r w:rsidR="00BD0FE6" w:rsidRPr="0042168B">
        <w:rPr>
          <w:rFonts w:ascii="Times New Roman" w:hAnsi="Times New Roman"/>
          <w:sz w:val="24"/>
          <w:szCs w:val="24"/>
        </w:rPr>
        <w:t xml:space="preserve">further development and implementation of </w:t>
      </w:r>
      <w:r w:rsidR="006F65C3" w:rsidRPr="0042168B">
        <w:rPr>
          <w:rFonts w:ascii="Times New Roman" w:hAnsi="Times New Roman"/>
          <w:sz w:val="24"/>
          <w:szCs w:val="24"/>
        </w:rPr>
        <w:t xml:space="preserve">the </w:t>
      </w:r>
      <w:r w:rsidR="007230E7" w:rsidRPr="0042168B">
        <w:rPr>
          <w:rFonts w:ascii="Times New Roman" w:hAnsi="Times New Roman"/>
          <w:sz w:val="24"/>
          <w:szCs w:val="24"/>
        </w:rPr>
        <w:t>Energy Union.</w:t>
      </w:r>
    </w:p>
    <w:sectPr w:rsidR="007230E7" w:rsidRPr="0042168B" w:rsidSect="001153CE">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02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227" w:rsidRDefault="00691227" w:rsidP="0037217A">
      <w:pPr>
        <w:spacing w:after="0" w:line="240" w:lineRule="auto"/>
      </w:pPr>
      <w:r>
        <w:separator/>
      </w:r>
    </w:p>
  </w:endnote>
  <w:endnote w:type="continuationSeparator" w:id="0">
    <w:p w:rsidR="00691227" w:rsidRDefault="00691227" w:rsidP="00372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FooterCoverPage"/>
      <w:rPr>
        <w:rFonts w:ascii="Arial" w:hAnsi="Arial" w:cs="Arial"/>
        <w:b/>
        <w:sz w:val="48"/>
      </w:rPr>
    </w:pPr>
    <w:r w:rsidRPr="00E86D98">
      <w:rPr>
        <w:rFonts w:ascii="Arial" w:hAnsi="Arial" w:cs="Arial"/>
        <w:b/>
        <w:sz w:val="48"/>
      </w:rPr>
      <w:t>EN</w:t>
    </w:r>
    <w:r w:rsidRPr="00E86D98">
      <w:rPr>
        <w:rFonts w:ascii="Arial" w:hAnsi="Arial" w:cs="Arial"/>
        <w:b/>
        <w:sz w:val="48"/>
      </w:rPr>
      <w:tab/>
    </w:r>
    <w:r w:rsidRPr="00E86D98">
      <w:rPr>
        <w:rFonts w:ascii="Arial" w:hAnsi="Arial" w:cs="Arial"/>
        <w:b/>
        <w:sz w:val="48"/>
      </w:rPr>
      <w:tab/>
    </w:r>
    <w:fldSimple w:instr=" DOCVARIABLE &quot;LW_Confidence&quot; \* MERGEFORMAT ">
      <w:r>
        <w:t xml:space="preserve"> </w:t>
      </w:r>
    </w:fldSimple>
    <w:r w:rsidRPr="00E86D98">
      <w:tab/>
    </w:r>
    <w:r w:rsidRPr="00E86D98">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1A3" w:rsidRDefault="003B01A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66029"/>
      <w:docPartObj>
        <w:docPartGallery w:val="Page Numbers (Bottom of Page)"/>
        <w:docPartUnique/>
      </w:docPartObj>
    </w:sdtPr>
    <w:sdtEndPr>
      <w:rPr>
        <w:rFonts w:ascii="Times New Roman" w:hAnsi="Times New Roman"/>
        <w:noProof/>
        <w:sz w:val="16"/>
        <w:szCs w:val="16"/>
      </w:rPr>
    </w:sdtEndPr>
    <w:sdtContent>
      <w:p w:rsidR="003B01A3" w:rsidRPr="00891319" w:rsidRDefault="003B01A3">
        <w:pPr>
          <w:pStyle w:val="Footer"/>
          <w:jc w:val="right"/>
          <w:rPr>
            <w:rFonts w:ascii="Times New Roman" w:hAnsi="Times New Roman"/>
            <w:sz w:val="16"/>
            <w:szCs w:val="16"/>
          </w:rPr>
        </w:pPr>
        <w:r w:rsidRPr="00891319">
          <w:rPr>
            <w:rFonts w:ascii="Times New Roman" w:hAnsi="Times New Roman"/>
            <w:sz w:val="16"/>
            <w:szCs w:val="16"/>
          </w:rPr>
          <w:fldChar w:fldCharType="begin"/>
        </w:r>
        <w:r w:rsidRPr="00891319">
          <w:rPr>
            <w:rFonts w:ascii="Times New Roman" w:hAnsi="Times New Roman"/>
            <w:sz w:val="16"/>
            <w:szCs w:val="16"/>
          </w:rPr>
          <w:instrText xml:space="preserve"> PAGE   \* MERGEFORMAT </w:instrText>
        </w:r>
        <w:r w:rsidRPr="00891319">
          <w:rPr>
            <w:rFonts w:ascii="Times New Roman" w:hAnsi="Times New Roman"/>
            <w:sz w:val="16"/>
            <w:szCs w:val="16"/>
          </w:rPr>
          <w:fldChar w:fldCharType="separate"/>
        </w:r>
        <w:r w:rsidR="00E86D98">
          <w:rPr>
            <w:rFonts w:ascii="Times New Roman" w:hAnsi="Times New Roman"/>
            <w:noProof/>
            <w:sz w:val="16"/>
            <w:szCs w:val="16"/>
          </w:rPr>
          <w:t>1</w:t>
        </w:r>
        <w:r w:rsidRPr="00891319">
          <w:rPr>
            <w:rFonts w:ascii="Times New Roman" w:hAnsi="Times New Roman"/>
            <w:noProof/>
            <w:sz w:val="16"/>
            <w:szCs w:val="16"/>
          </w:rPr>
          <w:fldChar w:fldCharType="end"/>
        </w:r>
      </w:p>
    </w:sdtContent>
  </w:sdt>
  <w:p w:rsidR="003B01A3" w:rsidRPr="0037217A" w:rsidRDefault="003B01A3" w:rsidP="00A00812">
    <w:pPr>
      <w:pStyle w:val="FooterCoverPage"/>
      <w:rPr>
        <w:rFonts w:ascii="Arial" w:hAnsi="Arial" w:cs="Arial"/>
        <w:b/>
        <w:sz w:val="48"/>
        <w:lang w:val="es-E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1A3" w:rsidRDefault="003B01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227" w:rsidRDefault="00691227" w:rsidP="0037217A">
      <w:pPr>
        <w:spacing w:after="0" w:line="240" w:lineRule="auto"/>
      </w:pPr>
      <w:r>
        <w:separator/>
      </w:r>
    </w:p>
  </w:footnote>
  <w:footnote w:type="continuationSeparator" w:id="0">
    <w:p w:rsidR="00691227" w:rsidRDefault="00691227" w:rsidP="0037217A">
      <w:pPr>
        <w:spacing w:after="0" w:line="240" w:lineRule="auto"/>
      </w:pPr>
      <w:r>
        <w:continuationSeparator/>
      </w:r>
    </w:p>
  </w:footnote>
  <w:footnote w:id="1">
    <w:p w:rsidR="003B01A3" w:rsidRPr="005419C2" w:rsidRDefault="003B01A3" w:rsidP="00B9349D">
      <w:pPr>
        <w:pStyle w:val="FootnoteText"/>
        <w:ind w:left="709" w:hanging="709"/>
        <w:jc w:val="both"/>
        <w:rPr>
          <w:rFonts w:ascii="Times New Roman" w:hAnsi="Times New Roman"/>
        </w:rPr>
      </w:pPr>
      <w:r w:rsidRPr="005419C2">
        <w:rPr>
          <w:rStyle w:val="FootnoteReference"/>
        </w:rPr>
        <w:footnoteRef/>
      </w:r>
      <w:r w:rsidRPr="005419C2">
        <w:rPr>
          <w:rFonts w:ascii="Times New Roman" w:hAnsi="Times New Roman"/>
        </w:rPr>
        <w:t xml:space="preserve"> </w:t>
      </w:r>
      <w:r w:rsidRPr="005419C2">
        <w:rPr>
          <w:rFonts w:ascii="Times New Roman" w:hAnsi="Times New Roman"/>
        </w:rPr>
        <w:tab/>
        <w:t>COM(2015)80.</w:t>
      </w:r>
    </w:p>
  </w:footnote>
  <w:footnote w:id="2">
    <w:p w:rsidR="003B01A3" w:rsidRPr="00DB2144" w:rsidRDefault="003B01A3" w:rsidP="00DB2144">
      <w:pPr>
        <w:pStyle w:val="FootnoteText"/>
        <w:ind w:left="709" w:hanging="709"/>
        <w:jc w:val="both"/>
        <w:rPr>
          <w:rFonts w:ascii="Times New Roman" w:hAnsi="Times New Roman"/>
        </w:rPr>
      </w:pPr>
      <w:r w:rsidRPr="00DB2144">
        <w:rPr>
          <w:rStyle w:val="FootnoteReference"/>
          <w:rFonts w:ascii="Times New Roman" w:hAnsi="Times New Roman"/>
        </w:rPr>
        <w:footnoteRef/>
      </w:r>
      <w:r w:rsidRPr="00DB2144">
        <w:rPr>
          <w:rFonts w:ascii="Times New Roman" w:hAnsi="Times New Roman"/>
        </w:rPr>
        <w:t xml:space="preserve"> </w:t>
      </w:r>
      <w:r w:rsidRPr="00DB2144">
        <w:rPr>
          <w:rFonts w:ascii="Times New Roman" w:hAnsi="Times New Roman"/>
        </w:rPr>
        <w:tab/>
        <w:t xml:space="preserve">It </w:t>
      </w:r>
      <w:r>
        <w:rPr>
          <w:rFonts w:ascii="Times New Roman" w:hAnsi="Times New Roman"/>
        </w:rPr>
        <w:t>is</w:t>
      </w:r>
      <w:r w:rsidRPr="00DB2144">
        <w:rPr>
          <w:rFonts w:ascii="Times New Roman" w:hAnsi="Times New Roman"/>
        </w:rPr>
        <w:t xml:space="preserve"> accompanied by a series of reports and </w:t>
      </w:r>
      <w:r>
        <w:rPr>
          <w:rFonts w:ascii="Times New Roman" w:hAnsi="Times New Roman"/>
        </w:rPr>
        <w:t>s</w:t>
      </w:r>
      <w:r w:rsidRPr="00DB2144">
        <w:rPr>
          <w:rFonts w:ascii="Times New Roman" w:hAnsi="Times New Roman"/>
        </w:rPr>
        <w:t xml:space="preserve">taff </w:t>
      </w:r>
      <w:r>
        <w:rPr>
          <w:rFonts w:ascii="Times New Roman" w:hAnsi="Times New Roman"/>
        </w:rPr>
        <w:t>w</w:t>
      </w:r>
      <w:r w:rsidRPr="00DB2144">
        <w:rPr>
          <w:rFonts w:ascii="Times New Roman" w:hAnsi="Times New Roman"/>
        </w:rPr>
        <w:t xml:space="preserve">orking </w:t>
      </w:r>
      <w:r>
        <w:rPr>
          <w:rFonts w:ascii="Times New Roman" w:hAnsi="Times New Roman"/>
        </w:rPr>
        <w:t>d</w:t>
      </w:r>
      <w:r w:rsidRPr="00DB2144">
        <w:rPr>
          <w:rFonts w:ascii="Times New Roman" w:hAnsi="Times New Roman"/>
        </w:rPr>
        <w:t>ocuments</w:t>
      </w:r>
      <w:r>
        <w:rPr>
          <w:rFonts w:ascii="Times New Roman" w:hAnsi="Times New Roman"/>
        </w:rPr>
        <w:t xml:space="preserve"> as a</w:t>
      </w:r>
      <w:r w:rsidRPr="00DB2144">
        <w:rPr>
          <w:rFonts w:ascii="Times New Roman" w:hAnsi="Times New Roman"/>
        </w:rPr>
        <w:t xml:space="preserve"> first </w:t>
      </w:r>
      <w:r>
        <w:rPr>
          <w:rFonts w:ascii="Times New Roman" w:hAnsi="Times New Roman"/>
        </w:rPr>
        <w:t xml:space="preserve">step </w:t>
      </w:r>
      <w:r w:rsidR="0042168B">
        <w:rPr>
          <w:rFonts w:ascii="Times New Roman" w:hAnsi="Times New Roman"/>
        </w:rPr>
        <w:t xml:space="preserve">towards </w:t>
      </w:r>
      <w:r w:rsidR="0042168B" w:rsidRPr="00DB2144">
        <w:rPr>
          <w:rFonts w:ascii="Times New Roman" w:hAnsi="Times New Roman"/>
        </w:rPr>
        <w:t>streamlining</w:t>
      </w:r>
      <w:r w:rsidRPr="00DB2144">
        <w:rPr>
          <w:rFonts w:ascii="Times New Roman" w:hAnsi="Times New Roman"/>
        </w:rPr>
        <w:t xml:space="preserve"> the Commission's reporting obligations.</w:t>
      </w:r>
    </w:p>
  </w:footnote>
  <w:footnote w:id="3">
    <w:p w:rsidR="003B01A3" w:rsidRPr="00DC4320" w:rsidRDefault="003B01A3" w:rsidP="0085669B">
      <w:pPr>
        <w:pStyle w:val="FootnoteText"/>
        <w:ind w:left="709" w:hanging="709"/>
        <w:jc w:val="both"/>
        <w:rPr>
          <w:rFonts w:ascii="Times New Roman" w:hAnsi="Times New Roman"/>
        </w:rPr>
      </w:pPr>
      <w:r w:rsidRPr="00DC4320">
        <w:rPr>
          <w:rStyle w:val="FootnoteReference"/>
          <w:rFonts w:ascii="Times New Roman" w:hAnsi="Times New Roman"/>
        </w:rPr>
        <w:footnoteRef/>
      </w:r>
      <w:r w:rsidRPr="00DC4320">
        <w:rPr>
          <w:rFonts w:ascii="Times New Roman" w:hAnsi="Times New Roman"/>
        </w:rPr>
        <w:t xml:space="preserve"> </w:t>
      </w:r>
      <w:r w:rsidRPr="00DC4320">
        <w:rPr>
          <w:rFonts w:ascii="Times New Roman" w:hAnsi="Times New Roman"/>
        </w:rPr>
        <w:tab/>
        <w:t>Commission Work Programme, COM(2015)610.</w:t>
      </w:r>
      <w:r>
        <w:rPr>
          <w:rFonts w:ascii="Times New Roman" w:hAnsi="Times New Roman"/>
        </w:rPr>
        <w:t xml:space="preserve"> All proposals will be prepared in line with the principles of subsidiarity, proportionality and better regulation. Some of these proposals will be REFIT initiatives.</w:t>
      </w:r>
    </w:p>
  </w:footnote>
  <w:footnote w:id="4">
    <w:p w:rsidR="003B01A3" w:rsidRPr="00737EE8" w:rsidRDefault="003B01A3">
      <w:pPr>
        <w:pStyle w:val="FootnoteText"/>
        <w:rPr>
          <w:rFonts w:ascii="Times New Roman" w:hAnsi="Times New Roman"/>
        </w:rPr>
      </w:pPr>
      <w:r w:rsidRPr="00737EE8">
        <w:rPr>
          <w:rStyle w:val="FootnoteReference"/>
          <w:rFonts w:ascii="Times New Roman" w:hAnsi="Times New Roman"/>
        </w:rPr>
        <w:footnoteRef/>
      </w:r>
      <w:r w:rsidRPr="00737EE8">
        <w:rPr>
          <w:rFonts w:ascii="Times New Roman" w:hAnsi="Times New Roman"/>
        </w:rPr>
        <w:t xml:space="preserve"> </w:t>
      </w:r>
      <w:r w:rsidRPr="00737EE8">
        <w:rPr>
          <w:rFonts w:ascii="Times New Roman" w:hAnsi="Times New Roman"/>
        </w:rPr>
        <w:tab/>
        <w:t>T</w:t>
      </w:r>
      <w:r>
        <w:rPr>
          <w:rFonts w:ascii="Times New Roman" w:hAnsi="Times New Roman"/>
        </w:rPr>
        <w:t>he other</w:t>
      </w:r>
      <w:r w:rsidR="00CB3619">
        <w:rPr>
          <w:rFonts w:ascii="Times New Roman" w:hAnsi="Times New Roman"/>
        </w:rPr>
        <w:t>s</w:t>
      </w:r>
      <w:r>
        <w:rPr>
          <w:rFonts w:ascii="Times New Roman" w:hAnsi="Times New Roman"/>
        </w:rPr>
        <w:t xml:space="preserve"> are</w:t>
      </w:r>
      <w:r w:rsidRPr="00737EE8">
        <w:rPr>
          <w:rFonts w:ascii="Times New Roman" w:hAnsi="Times New Roman"/>
        </w:rPr>
        <w:t xml:space="preserve"> Brazil</w:t>
      </w:r>
      <w:r>
        <w:rPr>
          <w:rFonts w:ascii="Times New Roman" w:hAnsi="Times New Roman"/>
        </w:rPr>
        <w:t xml:space="preserve"> and Canada</w:t>
      </w:r>
      <w:r w:rsidRPr="00737EE8">
        <w:rPr>
          <w:rFonts w:ascii="Times New Roman" w:hAnsi="Times New Roman"/>
        </w:rPr>
        <w:t>.</w:t>
      </w:r>
    </w:p>
  </w:footnote>
  <w:footnote w:id="5">
    <w:p w:rsidR="003B01A3" w:rsidRPr="00972B96" w:rsidRDefault="003B01A3">
      <w:pPr>
        <w:pStyle w:val="FootnoteText"/>
        <w:rPr>
          <w:rFonts w:ascii="Times New Roman" w:hAnsi="Times New Roman"/>
        </w:rPr>
      </w:pPr>
      <w:r w:rsidRPr="00972B96">
        <w:rPr>
          <w:rStyle w:val="FootnoteReference"/>
          <w:rFonts w:ascii="Times New Roman" w:hAnsi="Times New Roman"/>
        </w:rPr>
        <w:footnoteRef/>
      </w:r>
      <w:r w:rsidRPr="00972B96">
        <w:rPr>
          <w:rFonts w:ascii="Times New Roman" w:hAnsi="Times New Roman"/>
        </w:rPr>
        <w:t xml:space="preserve"> </w:t>
      </w:r>
      <w:r w:rsidRPr="00972B96">
        <w:rPr>
          <w:rFonts w:ascii="Times New Roman" w:hAnsi="Times New Roman"/>
        </w:rPr>
        <w:tab/>
        <w:t>27% produced from renewable energy sources and another 27% produced from nuclear energy.</w:t>
      </w:r>
    </w:p>
  </w:footnote>
  <w:footnote w:id="6">
    <w:p w:rsidR="003B01A3" w:rsidRPr="005419C2" w:rsidRDefault="003B01A3" w:rsidP="00C00A30">
      <w:pPr>
        <w:pStyle w:val="FootnoteText"/>
        <w:ind w:left="720" w:hanging="720"/>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COM(2014)15 and its impact assessment.</w:t>
      </w:r>
    </w:p>
  </w:footnote>
  <w:footnote w:id="7">
    <w:p w:rsidR="003B01A3" w:rsidRPr="005419C2" w:rsidRDefault="003B01A3">
      <w:pPr>
        <w:pStyle w:val="FootnoteText"/>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Environment Council conclusions of 18/09/2015.</w:t>
      </w:r>
    </w:p>
  </w:footnote>
  <w:footnote w:id="8">
    <w:p w:rsidR="003B01A3" w:rsidRPr="00972B96" w:rsidRDefault="003B01A3" w:rsidP="00972B96">
      <w:pPr>
        <w:pStyle w:val="FootnoteText"/>
        <w:ind w:left="709" w:hanging="709"/>
        <w:jc w:val="both"/>
        <w:rPr>
          <w:rFonts w:ascii="Times New Roman" w:hAnsi="Times New Roman"/>
        </w:rPr>
      </w:pPr>
      <w:r w:rsidRPr="00972B96">
        <w:rPr>
          <w:rStyle w:val="FootnoteReference"/>
          <w:rFonts w:ascii="Times New Roman" w:hAnsi="Times New Roman"/>
        </w:rPr>
        <w:footnoteRef/>
      </w:r>
      <w:r w:rsidRPr="00972B96">
        <w:rPr>
          <w:rFonts w:ascii="Times New Roman" w:hAnsi="Times New Roman"/>
        </w:rPr>
        <w:t xml:space="preserve"> </w:t>
      </w:r>
      <w:r w:rsidRPr="00972B96">
        <w:rPr>
          <w:rFonts w:ascii="Times New Roman" w:hAnsi="Times New Roman"/>
        </w:rPr>
        <w:tab/>
      </w:r>
      <w:r>
        <w:rPr>
          <w:rFonts w:ascii="Times New Roman" w:hAnsi="Times New Roman"/>
        </w:rPr>
        <w:t xml:space="preserve">The </w:t>
      </w:r>
      <w:r w:rsidRPr="00972B96">
        <w:rPr>
          <w:rFonts w:ascii="Times New Roman" w:hAnsi="Times New Roman"/>
        </w:rPr>
        <w:t>World-harmonised Light-duty vehicle Test Procedure (WLTP) has been adopted under the United Nations Economic Commission for Europe (UNECE) framework in 2014 to replace the old "New European Drive Cycle" (NEDC) test cycle</w:t>
      </w:r>
      <w:r>
        <w:rPr>
          <w:rFonts w:ascii="Times New Roman" w:hAnsi="Times New Roman"/>
        </w:rPr>
        <w:t>.</w:t>
      </w:r>
    </w:p>
  </w:footnote>
  <w:footnote w:id="9">
    <w:p w:rsidR="00EF1731" w:rsidRPr="00CB3619" w:rsidRDefault="00EF1731" w:rsidP="00EF1731">
      <w:pPr>
        <w:pStyle w:val="FootnoteText"/>
        <w:ind w:left="709" w:hanging="709"/>
        <w:jc w:val="both"/>
        <w:rPr>
          <w:rFonts w:ascii="Times New Roman" w:hAnsi="Times New Roman"/>
        </w:rPr>
      </w:pPr>
      <w:r w:rsidRPr="00972B96">
        <w:rPr>
          <w:rStyle w:val="FootnoteReference"/>
          <w:rFonts w:ascii="Times New Roman" w:hAnsi="Times New Roman"/>
        </w:rPr>
        <w:footnoteRef/>
      </w:r>
      <w:r w:rsidRPr="00972B96">
        <w:rPr>
          <w:rFonts w:ascii="Times New Roman" w:hAnsi="Times New Roman"/>
        </w:rPr>
        <w:t xml:space="preserve"> </w:t>
      </w:r>
      <w:r w:rsidRPr="00972B96">
        <w:rPr>
          <w:rFonts w:ascii="Times New Roman" w:hAnsi="Times New Roman"/>
        </w:rPr>
        <w:tab/>
      </w:r>
      <w:r w:rsidRPr="00CB3619">
        <w:rPr>
          <w:rFonts w:ascii="Times New Roman" w:hAnsi="Times New Roman"/>
        </w:rPr>
        <w:t>This will ensure actual compliance of real life vehicles' emissions performance with the regulatory limit values, subject to tolerances due to the uncertainties of the test procedure and measuring instruments, which will be progressively reduced over time.</w:t>
      </w:r>
    </w:p>
  </w:footnote>
  <w:footnote w:id="10">
    <w:p w:rsidR="003B01A3" w:rsidRPr="00A8463C" w:rsidRDefault="003B01A3">
      <w:pPr>
        <w:pStyle w:val="FootnoteText"/>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See the Climate Action Progress Report</w:t>
      </w:r>
      <w:r>
        <w:rPr>
          <w:rFonts w:ascii="Times New Roman" w:hAnsi="Times New Roman"/>
        </w:rPr>
        <w:t>,</w:t>
      </w:r>
      <w:r w:rsidRPr="005419C2">
        <w:rPr>
          <w:rFonts w:ascii="Times New Roman" w:hAnsi="Times New Roman"/>
        </w:rPr>
        <w:t xml:space="preserve"> </w:t>
      </w:r>
      <w:r w:rsidRPr="00A8463C">
        <w:rPr>
          <w:rFonts w:ascii="Times New Roman" w:hAnsi="Times New Roman"/>
        </w:rPr>
        <w:t>COM(</w:t>
      </w:r>
      <w:r w:rsidRPr="006E08A9">
        <w:rPr>
          <w:rFonts w:ascii="Times New Roman" w:hAnsi="Times New Roman"/>
        </w:rPr>
        <w:t>2015)</w:t>
      </w:r>
      <w:r>
        <w:rPr>
          <w:rFonts w:ascii="Times New Roman" w:hAnsi="Times New Roman"/>
        </w:rPr>
        <w:t>576 + SWD(2015)246</w:t>
      </w:r>
      <w:r w:rsidRPr="006E08A9">
        <w:rPr>
          <w:rFonts w:ascii="Times New Roman" w:hAnsi="Times New Roman"/>
        </w:rPr>
        <w:t>.</w:t>
      </w:r>
    </w:p>
  </w:footnote>
  <w:footnote w:id="11">
    <w:p w:rsidR="003B01A3" w:rsidRPr="007253EB" w:rsidRDefault="003B01A3" w:rsidP="007253EB">
      <w:pPr>
        <w:pStyle w:val="FootnoteText"/>
        <w:ind w:left="709" w:hanging="709"/>
        <w:jc w:val="both"/>
        <w:rPr>
          <w:rFonts w:ascii="Times New Roman" w:hAnsi="Times New Roman"/>
        </w:rPr>
      </w:pPr>
      <w:r w:rsidRPr="007253EB">
        <w:rPr>
          <w:rStyle w:val="FootnoteReference"/>
          <w:rFonts w:ascii="Times New Roman" w:hAnsi="Times New Roman"/>
        </w:rPr>
        <w:footnoteRef/>
      </w:r>
      <w:r w:rsidRPr="007253EB">
        <w:rPr>
          <w:rFonts w:ascii="Times New Roman" w:hAnsi="Times New Roman"/>
        </w:rPr>
        <w:t xml:space="preserve"> </w:t>
      </w:r>
      <w:r w:rsidRPr="007253EB">
        <w:rPr>
          <w:rFonts w:ascii="Times New Roman" w:hAnsi="Times New Roman"/>
        </w:rPr>
        <w:tab/>
        <w:t>As the interim targets are defined as an average of two years, new 2014 Eurostat data could change this assessment.</w:t>
      </w:r>
    </w:p>
  </w:footnote>
  <w:footnote w:id="12">
    <w:p w:rsidR="003B01A3" w:rsidRPr="00B72822" w:rsidRDefault="003B01A3" w:rsidP="0037217A">
      <w:pPr>
        <w:pStyle w:val="FootnoteText"/>
        <w:rPr>
          <w:rFonts w:ascii="Times New Roman" w:hAnsi="Times New Roman"/>
        </w:rPr>
      </w:pPr>
      <w:r w:rsidRPr="005419C2">
        <w:rPr>
          <w:rStyle w:val="FootnoteReference"/>
          <w:rFonts w:ascii="Times New Roman" w:hAnsi="Times New Roman"/>
        </w:rPr>
        <w:footnoteRef/>
      </w:r>
      <w:r w:rsidRPr="00B72822">
        <w:rPr>
          <w:rFonts w:ascii="Times New Roman" w:hAnsi="Times New Roman"/>
        </w:rPr>
        <w:t xml:space="preserve"> </w:t>
      </w:r>
      <w:r w:rsidRPr="00B72822">
        <w:rPr>
          <w:rFonts w:ascii="Times New Roman" w:hAnsi="Times New Roman"/>
        </w:rPr>
        <w:tab/>
        <w:t>COM(2015)341.</w:t>
      </w:r>
    </w:p>
  </w:footnote>
  <w:footnote w:id="13">
    <w:p w:rsidR="003B01A3" w:rsidRPr="005419C2" w:rsidRDefault="003B01A3" w:rsidP="00E535E1">
      <w:pPr>
        <w:pStyle w:val="FootnoteText"/>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COM(2015</w:t>
      </w:r>
      <w:r w:rsidRPr="006E08A9">
        <w:rPr>
          <w:rFonts w:ascii="Times New Roman" w:hAnsi="Times New Roman"/>
        </w:rPr>
        <w:t>)</w:t>
      </w:r>
      <w:r>
        <w:rPr>
          <w:rFonts w:ascii="Times New Roman" w:hAnsi="Times New Roman"/>
        </w:rPr>
        <w:t>574</w:t>
      </w:r>
      <w:r w:rsidRPr="006E08A9">
        <w:rPr>
          <w:rFonts w:ascii="Times New Roman" w:hAnsi="Times New Roman"/>
        </w:rPr>
        <w:t xml:space="preserve"> and accompanying Staff working document SWD(2015)</w:t>
      </w:r>
      <w:r>
        <w:rPr>
          <w:rFonts w:ascii="Times New Roman" w:hAnsi="Times New Roman"/>
        </w:rPr>
        <w:t>245</w:t>
      </w:r>
      <w:r w:rsidRPr="006E08A9">
        <w:rPr>
          <w:rFonts w:ascii="Times New Roman" w:hAnsi="Times New Roman"/>
        </w:rPr>
        <w:t>.</w:t>
      </w:r>
    </w:p>
  </w:footnote>
  <w:footnote w:id="14">
    <w:p w:rsidR="003B01A3" w:rsidRPr="00D25F80" w:rsidRDefault="003B01A3">
      <w:pPr>
        <w:pStyle w:val="FootnoteText"/>
        <w:rPr>
          <w:rFonts w:ascii="Times New Roman" w:hAnsi="Times New Roman"/>
        </w:rPr>
      </w:pPr>
      <w:r w:rsidRPr="00D25F80">
        <w:rPr>
          <w:rStyle w:val="FootnoteReference"/>
          <w:rFonts w:ascii="Times New Roman" w:hAnsi="Times New Roman"/>
        </w:rPr>
        <w:footnoteRef/>
      </w:r>
      <w:r w:rsidRPr="00D25F80">
        <w:rPr>
          <w:rFonts w:ascii="Times New Roman" w:hAnsi="Times New Roman"/>
        </w:rPr>
        <w:t xml:space="preserve"> </w:t>
      </w:r>
      <w:r w:rsidRPr="00D25F80">
        <w:rPr>
          <w:rFonts w:ascii="Times New Roman" w:hAnsi="Times New Roman"/>
        </w:rPr>
        <w:tab/>
        <w:t>COM(2014)520.</w:t>
      </w:r>
    </w:p>
  </w:footnote>
  <w:footnote w:id="15">
    <w:p w:rsidR="003B01A3" w:rsidRPr="005419C2" w:rsidRDefault="003B01A3" w:rsidP="00E250E2">
      <w:pPr>
        <w:pStyle w:val="FootnoteText"/>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The Energy Efficiency Financial Institutions Groups (EEFIG) Report (</w:t>
      </w:r>
      <w:hyperlink r:id="rId1" w:history="1">
        <w:r w:rsidRPr="005419C2">
          <w:rPr>
            <w:rStyle w:val="Hyperlink"/>
            <w:rFonts w:ascii="Times New Roman" w:hAnsi="Times New Roman"/>
          </w:rPr>
          <w:t>www.eefig.eu</w:t>
        </w:r>
      </w:hyperlink>
      <w:r w:rsidRPr="005419C2">
        <w:rPr>
          <w:rFonts w:ascii="Times New Roman" w:hAnsi="Times New Roman"/>
        </w:rPr>
        <w:t>)</w:t>
      </w:r>
      <w:r>
        <w:rPr>
          <w:rFonts w:ascii="Times New Roman" w:hAnsi="Times New Roman"/>
        </w:rPr>
        <w:t>.</w:t>
      </w:r>
    </w:p>
  </w:footnote>
  <w:footnote w:id="16">
    <w:p w:rsidR="003B01A3" w:rsidRPr="005419C2" w:rsidRDefault="003B01A3" w:rsidP="006B22DF">
      <w:pPr>
        <w:pStyle w:val="FootnoteText"/>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r>
      <w:hyperlink r:id="rId2" w:history="1">
        <w:r w:rsidRPr="00357430">
          <w:rPr>
            <w:rStyle w:val="Hyperlink"/>
            <w:rFonts w:ascii="Times New Roman" w:hAnsi="Times New Roman"/>
          </w:rPr>
          <w:t>http://ec.europa.eu/energy/en/topics/infrastructure/central-and-south-eastern-europe-gas-connectivity</w:t>
        </w:r>
      </w:hyperlink>
      <w:r>
        <w:rPr>
          <w:rFonts w:ascii="Times New Roman" w:hAnsi="Times New Roman"/>
        </w:rPr>
        <w:t xml:space="preserve">. </w:t>
      </w:r>
    </w:p>
  </w:footnote>
  <w:footnote w:id="17">
    <w:p w:rsidR="003B01A3" w:rsidRPr="00BC3DB1" w:rsidRDefault="003B01A3">
      <w:pPr>
        <w:pStyle w:val="FootnoteText"/>
        <w:rPr>
          <w:rFonts w:ascii="Times New Roman" w:hAnsi="Times New Roman"/>
        </w:rPr>
      </w:pPr>
      <w:r w:rsidRPr="005419C2">
        <w:rPr>
          <w:rStyle w:val="FootnoteReference"/>
          <w:rFonts w:ascii="Times New Roman" w:hAnsi="Times New Roman"/>
        </w:rPr>
        <w:footnoteRef/>
      </w:r>
      <w:r w:rsidRPr="00BC3DB1">
        <w:rPr>
          <w:rFonts w:ascii="Times New Roman" w:hAnsi="Times New Roman"/>
        </w:rPr>
        <w:t xml:space="preserve"> </w:t>
      </w:r>
      <w:r w:rsidRPr="00BC3DB1">
        <w:rPr>
          <w:rFonts w:ascii="Times New Roman" w:hAnsi="Times New Roman"/>
        </w:rPr>
        <w:tab/>
        <w:t>COM(2015)340.</w:t>
      </w:r>
    </w:p>
  </w:footnote>
  <w:footnote w:id="18">
    <w:p w:rsidR="003B01A3" w:rsidRPr="009D4C15" w:rsidRDefault="003B01A3" w:rsidP="009D4C15">
      <w:pPr>
        <w:pStyle w:val="FootnoteText"/>
        <w:ind w:left="709" w:hanging="709"/>
        <w:jc w:val="both"/>
        <w:rPr>
          <w:rFonts w:ascii="Times New Roman" w:hAnsi="Times New Roman"/>
        </w:rPr>
      </w:pPr>
      <w:r w:rsidRPr="005419C2">
        <w:rPr>
          <w:rStyle w:val="FootnoteReference"/>
          <w:rFonts w:ascii="Times New Roman" w:hAnsi="Times New Roman"/>
        </w:rPr>
        <w:footnoteRef/>
      </w:r>
      <w:r w:rsidRPr="009D4C15">
        <w:rPr>
          <w:rFonts w:ascii="Times New Roman" w:hAnsi="Times New Roman"/>
        </w:rPr>
        <w:t xml:space="preserve"> </w:t>
      </w:r>
      <w:r w:rsidRPr="009D4C15">
        <w:rPr>
          <w:rFonts w:ascii="Times New Roman" w:hAnsi="Times New Roman"/>
        </w:rPr>
        <w:tab/>
        <w:t>COM(2015)339; accompanied by a Staff Working Document on best practices on renewable energy self-consumption, SWD(2015)114.</w:t>
      </w:r>
    </w:p>
  </w:footnote>
  <w:footnote w:id="19">
    <w:p w:rsidR="003B01A3" w:rsidRPr="001746FA" w:rsidRDefault="003B01A3">
      <w:pPr>
        <w:pStyle w:val="FootnoteText"/>
        <w:rPr>
          <w:rFonts w:ascii="Times New Roman" w:hAnsi="Times New Roman"/>
        </w:rPr>
      </w:pPr>
      <w:r w:rsidRPr="001746FA">
        <w:rPr>
          <w:rStyle w:val="FootnoteReference"/>
          <w:rFonts w:ascii="Times New Roman" w:hAnsi="Times New Roman"/>
        </w:rPr>
        <w:footnoteRef/>
      </w:r>
      <w:r w:rsidRPr="001746FA">
        <w:rPr>
          <w:rFonts w:ascii="Times New Roman" w:hAnsi="Times New Roman"/>
        </w:rPr>
        <w:t xml:space="preserve"> </w:t>
      </w:r>
      <w:r w:rsidRPr="001746FA">
        <w:rPr>
          <w:rFonts w:ascii="Times New Roman" w:hAnsi="Times New Roman"/>
        </w:rPr>
        <w:tab/>
        <w:t>SWD(2015</w:t>
      </w:r>
      <w:r w:rsidR="00F27A08" w:rsidRPr="001746FA">
        <w:rPr>
          <w:rFonts w:ascii="Times New Roman" w:hAnsi="Times New Roman"/>
        </w:rPr>
        <w:t>)</w:t>
      </w:r>
      <w:r w:rsidR="00F27A08">
        <w:rPr>
          <w:rFonts w:ascii="Times New Roman" w:hAnsi="Times New Roman"/>
        </w:rPr>
        <w:t>249</w:t>
      </w:r>
      <w:r w:rsidR="00F27A08" w:rsidRPr="006E08A9">
        <w:rPr>
          <w:rFonts w:ascii="Times New Roman" w:hAnsi="Times New Roman"/>
        </w:rPr>
        <w:t>.</w:t>
      </w:r>
    </w:p>
  </w:footnote>
  <w:footnote w:id="20">
    <w:p w:rsidR="003B01A3" w:rsidRPr="001746FA" w:rsidRDefault="003B01A3" w:rsidP="001746FA">
      <w:pPr>
        <w:pStyle w:val="FootnoteText"/>
        <w:ind w:left="709" w:hanging="709"/>
        <w:jc w:val="both"/>
        <w:rPr>
          <w:rFonts w:ascii="Times New Roman" w:hAnsi="Times New Roman"/>
        </w:rPr>
      </w:pPr>
      <w:r w:rsidRPr="001746FA">
        <w:rPr>
          <w:rStyle w:val="FootnoteReference"/>
          <w:rFonts w:ascii="Times New Roman" w:hAnsi="Times New Roman"/>
        </w:rPr>
        <w:footnoteRef/>
      </w:r>
      <w:r w:rsidRPr="001746FA">
        <w:rPr>
          <w:rFonts w:ascii="Times New Roman" w:hAnsi="Times New Roman"/>
        </w:rPr>
        <w:t xml:space="preserve"> </w:t>
      </w:r>
      <w:r w:rsidRPr="001746FA">
        <w:rPr>
          <w:rFonts w:ascii="Times New Roman" w:hAnsi="Times New Roman"/>
        </w:rPr>
        <w:tab/>
        <w:t xml:space="preserve">31% in electricity and 25% in gas, according to the ACER monitoring report on the implementation of Projects of Common Interest. </w:t>
      </w:r>
    </w:p>
  </w:footnote>
  <w:footnote w:id="21">
    <w:p w:rsidR="003B01A3" w:rsidRPr="001746FA" w:rsidRDefault="003B01A3" w:rsidP="00C8455C">
      <w:pPr>
        <w:pStyle w:val="FootnoteText"/>
        <w:ind w:left="709" w:hanging="709"/>
        <w:jc w:val="both"/>
        <w:rPr>
          <w:rFonts w:ascii="Times New Roman" w:hAnsi="Times New Roman"/>
        </w:rPr>
      </w:pPr>
      <w:r w:rsidRPr="001746FA">
        <w:rPr>
          <w:rStyle w:val="FootnoteReference"/>
          <w:rFonts w:ascii="Times New Roman" w:hAnsi="Times New Roman"/>
        </w:rPr>
        <w:footnoteRef/>
      </w:r>
      <w:r w:rsidRPr="001746FA">
        <w:rPr>
          <w:rFonts w:ascii="Times New Roman" w:hAnsi="Times New Roman"/>
        </w:rPr>
        <w:t xml:space="preserve"> </w:t>
      </w:r>
      <w:r w:rsidRPr="001746FA">
        <w:rPr>
          <w:rFonts w:ascii="Times New Roman" w:hAnsi="Times New Roman"/>
        </w:rPr>
        <w:tab/>
      </w:r>
      <w:r w:rsidRPr="0027446B">
        <w:rPr>
          <w:rFonts w:ascii="Times New Roman" w:hAnsi="Times New Roman"/>
        </w:rPr>
        <w:t>C(2015)8052</w:t>
      </w:r>
    </w:p>
  </w:footnote>
  <w:footnote w:id="22">
    <w:p w:rsidR="003B01A3" w:rsidRPr="00CB3619" w:rsidRDefault="003B01A3">
      <w:pPr>
        <w:pStyle w:val="FootnoteText"/>
        <w:rPr>
          <w:rFonts w:ascii="Times New Roman" w:hAnsi="Times New Roman"/>
        </w:rPr>
      </w:pPr>
      <w:r w:rsidRPr="0027446B">
        <w:rPr>
          <w:rStyle w:val="FootnoteReference"/>
          <w:rFonts w:ascii="Times New Roman" w:hAnsi="Times New Roman"/>
        </w:rPr>
        <w:footnoteRef/>
      </w:r>
      <w:r w:rsidRPr="0027446B">
        <w:rPr>
          <w:rFonts w:ascii="Times New Roman" w:hAnsi="Times New Roman"/>
        </w:rPr>
        <w:t xml:space="preserve"> </w:t>
      </w:r>
      <w:r w:rsidRPr="00CB3619">
        <w:rPr>
          <w:rFonts w:ascii="Times New Roman" w:hAnsi="Times New Roman"/>
        </w:rPr>
        <w:tab/>
        <w:t>SWD(2015)247.</w:t>
      </w:r>
    </w:p>
  </w:footnote>
  <w:footnote w:id="23">
    <w:p w:rsidR="003B01A3" w:rsidRPr="00BC3DB1" w:rsidRDefault="003B01A3">
      <w:pPr>
        <w:pStyle w:val="FootnoteText"/>
        <w:rPr>
          <w:rFonts w:ascii="Times New Roman" w:hAnsi="Times New Roman"/>
        </w:rPr>
      </w:pPr>
      <w:r w:rsidRPr="002D09BC">
        <w:rPr>
          <w:rStyle w:val="FootnoteReference"/>
          <w:rFonts w:ascii="Times New Roman" w:hAnsi="Times New Roman"/>
        </w:rPr>
        <w:footnoteRef/>
      </w:r>
      <w:r w:rsidRPr="00BC3DB1">
        <w:rPr>
          <w:rFonts w:ascii="Times New Roman" w:hAnsi="Times New Roman"/>
        </w:rPr>
        <w:t xml:space="preserve"> </w:t>
      </w:r>
      <w:r w:rsidRPr="00BC3DB1">
        <w:rPr>
          <w:rFonts w:ascii="Times New Roman" w:hAnsi="Times New Roman"/>
        </w:rPr>
        <w:tab/>
      </w:r>
      <w:r w:rsidR="00F27A08">
        <w:rPr>
          <w:rFonts w:ascii="Times New Roman" w:hAnsi="Times New Roman"/>
        </w:rPr>
        <w:t xml:space="preserve">OJ </w:t>
      </w:r>
      <w:r w:rsidRPr="00BC3DB1">
        <w:rPr>
          <w:rFonts w:ascii="Times New Roman" w:hAnsi="Times New Roman"/>
        </w:rPr>
        <w:t>C 200/</w:t>
      </w:r>
      <w:r w:rsidR="00F27A08">
        <w:rPr>
          <w:rFonts w:ascii="Times New Roman" w:hAnsi="Times New Roman"/>
        </w:rPr>
        <w:t>1 of 28 June 2014</w:t>
      </w:r>
      <w:r w:rsidRPr="00BC3DB1">
        <w:rPr>
          <w:rFonts w:ascii="Times New Roman" w:hAnsi="Times New Roman"/>
        </w:rPr>
        <w:t>.</w:t>
      </w:r>
    </w:p>
  </w:footnote>
  <w:footnote w:id="24">
    <w:p w:rsidR="003B01A3" w:rsidRPr="00BC3DB1" w:rsidRDefault="003B01A3" w:rsidP="0037217A">
      <w:pPr>
        <w:pStyle w:val="FootnoteText"/>
        <w:ind w:left="709" w:hanging="709"/>
        <w:jc w:val="both"/>
        <w:rPr>
          <w:rFonts w:ascii="Times New Roman" w:hAnsi="Times New Roman"/>
        </w:rPr>
      </w:pPr>
      <w:r w:rsidRPr="005419C2">
        <w:rPr>
          <w:rStyle w:val="FootnoteReference"/>
          <w:rFonts w:ascii="Times New Roman" w:hAnsi="Times New Roman"/>
        </w:rPr>
        <w:footnoteRef/>
      </w:r>
      <w:r w:rsidRPr="00BC3DB1">
        <w:rPr>
          <w:rFonts w:ascii="Times New Roman" w:hAnsi="Times New Roman"/>
        </w:rPr>
        <w:t xml:space="preserve"> </w:t>
      </w:r>
      <w:r w:rsidRPr="00BC3DB1">
        <w:rPr>
          <w:rFonts w:ascii="Times New Roman" w:hAnsi="Times New Roman"/>
        </w:rPr>
        <w:tab/>
        <w:t>C(2015)2814.</w:t>
      </w:r>
    </w:p>
  </w:footnote>
  <w:footnote w:id="25">
    <w:p w:rsidR="003B01A3" w:rsidRPr="006B774C" w:rsidRDefault="003B01A3">
      <w:pPr>
        <w:pStyle w:val="FootnoteText"/>
        <w:rPr>
          <w:rFonts w:ascii="Times New Roman" w:hAnsi="Times New Roman"/>
        </w:rPr>
      </w:pPr>
      <w:r w:rsidRPr="005850E7">
        <w:rPr>
          <w:rStyle w:val="FootnoteReference"/>
          <w:rFonts w:ascii="Times New Roman" w:hAnsi="Times New Roman"/>
        </w:rPr>
        <w:footnoteRef/>
      </w:r>
      <w:r w:rsidRPr="006B774C">
        <w:rPr>
          <w:rFonts w:ascii="Times New Roman" w:hAnsi="Times New Roman"/>
        </w:rPr>
        <w:t xml:space="preserve"> </w:t>
      </w:r>
      <w:r w:rsidRPr="006B774C">
        <w:rPr>
          <w:rFonts w:ascii="Times New Roman" w:hAnsi="Times New Roman"/>
        </w:rPr>
        <w:tab/>
        <w:t>COM(2015</w:t>
      </w:r>
      <w:r w:rsidRPr="006E08A9">
        <w:rPr>
          <w:rFonts w:ascii="Times New Roman" w:hAnsi="Times New Roman"/>
        </w:rPr>
        <w:t>)</w:t>
      </w:r>
      <w:r>
        <w:rPr>
          <w:rFonts w:ascii="Times New Roman" w:hAnsi="Times New Roman"/>
        </w:rPr>
        <w:t>496</w:t>
      </w:r>
      <w:r w:rsidRPr="006E08A9">
        <w:rPr>
          <w:rFonts w:ascii="Times New Roman" w:hAnsi="Times New Roman"/>
        </w:rPr>
        <w:t>.</w:t>
      </w:r>
    </w:p>
  </w:footnote>
  <w:footnote w:id="26">
    <w:p w:rsidR="003B01A3" w:rsidRPr="00B50D58" w:rsidRDefault="003B01A3">
      <w:pPr>
        <w:pStyle w:val="FootnoteText"/>
        <w:rPr>
          <w:rFonts w:ascii="Times New Roman" w:hAnsi="Times New Roman"/>
        </w:rPr>
      </w:pPr>
      <w:r w:rsidRPr="005850E7">
        <w:rPr>
          <w:rStyle w:val="FootnoteReference"/>
          <w:rFonts w:ascii="Times New Roman" w:hAnsi="Times New Roman"/>
        </w:rPr>
        <w:footnoteRef/>
      </w:r>
      <w:r w:rsidRPr="005850E7">
        <w:rPr>
          <w:rFonts w:ascii="Times New Roman" w:hAnsi="Times New Roman"/>
        </w:rPr>
        <w:t xml:space="preserve"> </w:t>
      </w:r>
      <w:r w:rsidRPr="005850E7">
        <w:rPr>
          <w:rFonts w:ascii="Times New Roman" w:hAnsi="Times New Roman"/>
        </w:rPr>
        <w:tab/>
        <w:t>C</w:t>
      </w:r>
      <w:r w:rsidRPr="00B50D58">
        <w:rPr>
          <w:rFonts w:ascii="MS Mincho" w:eastAsia="MS Mincho" w:hAnsi="MS Mincho" w:cs="MS Mincho" w:hint="eastAsia"/>
        </w:rPr>
        <w:t>‑</w:t>
      </w:r>
      <w:r w:rsidRPr="00B50D58">
        <w:rPr>
          <w:rFonts w:ascii="Times New Roman" w:hAnsi="Times New Roman"/>
        </w:rPr>
        <w:t>36/14, European Commission v. Republic of Poland.</w:t>
      </w:r>
    </w:p>
  </w:footnote>
  <w:footnote w:id="27">
    <w:p w:rsidR="003B01A3" w:rsidRPr="00F23B13" w:rsidRDefault="003B01A3">
      <w:pPr>
        <w:pStyle w:val="FootnoteText"/>
      </w:pPr>
      <w:r>
        <w:rPr>
          <w:rStyle w:val="FootnoteReference"/>
        </w:rPr>
        <w:footnoteRef/>
      </w:r>
      <w:r>
        <w:t xml:space="preserve"> </w:t>
      </w:r>
      <w:r w:rsidRPr="00A71070">
        <w:tab/>
      </w:r>
      <w:r w:rsidRPr="00A71070">
        <w:rPr>
          <w:rFonts w:ascii="Times New Roman" w:hAnsi="Times New Roman"/>
        </w:rPr>
        <w:t>Council conclusions on energy and climate diplomacy (10995/15 and 11029/15).</w:t>
      </w:r>
    </w:p>
  </w:footnote>
  <w:footnote w:id="28">
    <w:p w:rsidR="00A71070" w:rsidRPr="00975DB8" w:rsidRDefault="00A71070" w:rsidP="00A71070">
      <w:pPr>
        <w:pStyle w:val="FootnoteText"/>
        <w:rPr>
          <w:rFonts w:ascii="Times New Roman" w:hAnsi="Times New Roman"/>
        </w:rPr>
      </w:pPr>
      <w:r w:rsidRPr="00975DB8">
        <w:rPr>
          <w:rStyle w:val="FootnoteReference"/>
          <w:rFonts w:ascii="Times New Roman" w:hAnsi="Times New Roman"/>
        </w:rPr>
        <w:footnoteRef/>
      </w:r>
      <w:r w:rsidRPr="00975DB8">
        <w:rPr>
          <w:rFonts w:ascii="Times New Roman" w:hAnsi="Times New Roman"/>
        </w:rPr>
        <w:t xml:space="preserve"> </w:t>
      </w:r>
      <w:r w:rsidRPr="00975DB8">
        <w:rPr>
          <w:rFonts w:ascii="Times New Roman" w:hAnsi="Times New Roman"/>
        </w:rPr>
        <w:tab/>
        <w:t>COM(</w:t>
      </w:r>
      <w:r>
        <w:rPr>
          <w:rFonts w:ascii="Times New Roman" w:hAnsi="Times New Roman"/>
        </w:rPr>
        <w:t>2014)330.</w:t>
      </w:r>
    </w:p>
  </w:footnote>
  <w:footnote w:id="29">
    <w:p w:rsidR="003B01A3" w:rsidRPr="00363754" w:rsidRDefault="003B01A3" w:rsidP="00363754">
      <w:pPr>
        <w:pStyle w:val="FootnoteText"/>
        <w:ind w:left="709" w:hanging="709"/>
        <w:jc w:val="both"/>
        <w:rPr>
          <w:rFonts w:ascii="Times New Roman" w:hAnsi="Times New Roman"/>
        </w:rPr>
      </w:pPr>
      <w:r w:rsidRPr="00363754">
        <w:rPr>
          <w:rStyle w:val="FootnoteReference"/>
          <w:rFonts w:ascii="Times New Roman" w:hAnsi="Times New Roman"/>
        </w:rPr>
        <w:footnoteRef/>
      </w:r>
      <w:r w:rsidRPr="00363754">
        <w:rPr>
          <w:rFonts w:ascii="Times New Roman" w:hAnsi="Times New Roman"/>
        </w:rPr>
        <w:t xml:space="preserve"> </w:t>
      </w:r>
      <w:r w:rsidRPr="00363754">
        <w:rPr>
          <w:rFonts w:ascii="Times New Roman" w:hAnsi="Times New Roman"/>
        </w:rPr>
        <w:tab/>
      </w:r>
      <w:r w:rsidR="00F27A08">
        <w:rPr>
          <w:rFonts w:ascii="Times New Roman" w:hAnsi="Times New Roman"/>
        </w:rPr>
        <w:t>JOIN(2015)50, accompanied by SWD(2015)500.</w:t>
      </w:r>
    </w:p>
  </w:footnote>
  <w:footnote w:id="30">
    <w:p w:rsidR="003B01A3" w:rsidRPr="005419C2" w:rsidRDefault="003B01A3" w:rsidP="0032285E">
      <w:pPr>
        <w:pStyle w:val="FootnoteText"/>
        <w:ind w:left="709" w:hanging="709"/>
        <w:jc w:val="both"/>
        <w:rPr>
          <w:rFonts w:ascii="Times New Roman" w:hAnsi="Times New Roman"/>
        </w:rPr>
      </w:pPr>
      <w:r w:rsidRPr="005419C2">
        <w:rPr>
          <w:rStyle w:val="FootnoteReference"/>
          <w:rFonts w:ascii="Times New Roman" w:hAnsi="Times New Roman"/>
        </w:rPr>
        <w:footnoteRef/>
      </w:r>
      <w:r w:rsidRPr="005419C2">
        <w:rPr>
          <w:rFonts w:ascii="Times New Roman" w:hAnsi="Times New Roman"/>
        </w:rPr>
        <w:t xml:space="preserve"> </w:t>
      </w:r>
      <w:r w:rsidRPr="005419C2">
        <w:rPr>
          <w:rFonts w:ascii="Times New Roman" w:hAnsi="Times New Roman"/>
        </w:rPr>
        <w:tab/>
        <w:t xml:space="preserve">See e.g. the declaration of Germany and its neighbours on security of electricity, </w:t>
      </w:r>
      <w:hyperlink r:id="rId3" w:history="1">
        <w:r w:rsidRPr="005419C2">
          <w:rPr>
            <w:rStyle w:val="Hyperlink"/>
            <w:rFonts w:ascii="Times New Roman" w:hAnsi="Times New Roman"/>
          </w:rPr>
          <w:t>http://www.benelux.int/files/4414/3375/5898/Jointdeclaration.pdf</w:t>
        </w:r>
      </w:hyperlink>
      <w:r w:rsidRPr="005419C2">
        <w:rPr>
          <w:rFonts w:ascii="Times New Roman" w:hAnsi="Times New Roman"/>
        </w:rPr>
        <w:t>.</w:t>
      </w:r>
    </w:p>
  </w:footnote>
  <w:footnote w:id="31">
    <w:p w:rsidR="003B01A3" w:rsidRPr="004711A4" w:rsidRDefault="003B01A3">
      <w:pPr>
        <w:pStyle w:val="FootnoteText"/>
        <w:rPr>
          <w:rFonts w:ascii="Times New Roman" w:hAnsi="Times New Roman"/>
        </w:rPr>
      </w:pPr>
      <w:r w:rsidRPr="004476FF">
        <w:rPr>
          <w:rStyle w:val="FootnoteReference"/>
          <w:rFonts w:ascii="Times New Roman" w:hAnsi="Times New Roman"/>
        </w:rPr>
        <w:footnoteRef/>
      </w:r>
      <w:r w:rsidRPr="004476FF">
        <w:rPr>
          <w:rFonts w:ascii="Times New Roman" w:hAnsi="Times New Roman"/>
        </w:rPr>
        <w:t xml:space="preserve"> </w:t>
      </w:r>
      <w:r w:rsidRPr="004711A4">
        <w:rPr>
          <w:rFonts w:ascii="Times New Roman" w:hAnsi="Times New Roman"/>
        </w:rPr>
        <w:tab/>
        <w:t>C(2015)6317.</w:t>
      </w:r>
    </w:p>
  </w:footnote>
  <w:footnote w:id="32">
    <w:p w:rsidR="003B01A3" w:rsidRPr="007A7D86" w:rsidRDefault="003B01A3">
      <w:pPr>
        <w:pStyle w:val="FootnoteText"/>
        <w:rPr>
          <w:rFonts w:ascii="Times New Roman" w:hAnsi="Times New Roman"/>
        </w:rPr>
      </w:pPr>
      <w:r w:rsidRPr="007A7D86">
        <w:rPr>
          <w:rStyle w:val="FootnoteReference"/>
          <w:rFonts w:ascii="Times New Roman" w:hAnsi="Times New Roman"/>
        </w:rPr>
        <w:footnoteRef/>
      </w:r>
      <w:r w:rsidRPr="007A7D86">
        <w:rPr>
          <w:rFonts w:ascii="Times New Roman" w:hAnsi="Times New Roman"/>
        </w:rPr>
        <w:t xml:space="preserve"> </w:t>
      </w:r>
      <w:r w:rsidRPr="007A7D86">
        <w:rPr>
          <w:rFonts w:ascii="Times New Roman" w:hAnsi="Times New Roman"/>
        </w:rPr>
        <w:tab/>
      </w:r>
      <w:hyperlink r:id="rId4" w:history="1">
        <w:r w:rsidRPr="007A7D86">
          <w:rPr>
            <w:rStyle w:val="Hyperlink"/>
            <w:rFonts w:ascii="Times New Roman" w:hAnsi="Times New Roman"/>
          </w:rPr>
          <w:t>http://s3platform.jrc.ec.europa.eu/s3p-energy</w:t>
        </w:r>
      </w:hyperlink>
      <w:r>
        <w:rPr>
          <w:rFonts w:ascii="Times New Roman" w:hAnsi="Times New Roman"/>
        </w:rPr>
        <w:t xml:space="preserve">. </w:t>
      </w:r>
    </w:p>
  </w:footnote>
  <w:footnote w:id="33">
    <w:p w:rsidR="003B01A3" w:rsidRPr="00891319" w:rsidRDefault="003B01A3" w:rsidP="00891319">
      <w:pPr>
        <w:pStyle w:val="FootnoteText"/>
        <w:ind w:left="709" w:hanging="709"/>
        <w:jc w:val="both"/>
        <w:rPr>
          <w:rFonts w:ascii="Times New Roman" w:hAnsi="Times New Roman"/>
        </w:rPr>
      </w:pPr>
      <w:r w:rsidRPr="00891319">
        <w:rPr>
          <w:rStyle w:val="FootnoteReference"/>
          <w:rFonts w:ascii="Times New Roman" w:hAnsi="Times New Roman"/>
        </w:rPr>
        <w:footnoteRef/>
      </w:r>
      <w:r w:rsidRPr="00891319">
        <w:rPr>
          <w:rFonts w:ascii="Times New Roman" w:hAnsi="Times New Roman"/>
        </w:rPr>
        <w:t xml:space="preserve"> </w:t>
      </w:r>
      <w:r w:rsidRPr="00891319">
        <w:rPr>
          <w:rFonts w:ascii="Times New Roman" w:hAnsi="Times New Roman"/>
        </w:rPr>
        <w:tab/>
        <w:t xml:space="preserve">The new EU-wide Skills Agenda that the Commission </w:t>
      </w:r>
      <w:r>
        <w:rPr>
          <w:rFonts w:ascii="Times New Roman" w:hAnsi="Times New Roman"/>
        </w:rPr>
        <w:t>is preparing</w:t>
      </w:r>
      <w:r w:rsidRPr="00891319">
        <w:rPr>
          <w:rFonts w:ascii="Times New Roman" w:hAnsi="Times New Roman"/>
        </w:rPr>
        <w:t xml:space="preserve"> should set out measures on how to better anticipate skills needs and improve the transparency and recognition of qualifications. </w:t>
      </w:r>
    </w:p>
  </w:footnote>
  <w:footnote w:id="34">
    <w:p w:rsidR="003B01A3" w:rsidRPr="004C2BD5" w:rsidRDefault="003B01A3" w:rsidP="004C2BD5">
      <w:pPr>
        <w:pStyle w:val="FootnoteText"/>
        <w:ind w:left="709" w:hanging="709"/>
        <w:jc w:val="both"/>
        <w:rPr>
          <w:rFonts w:ascii="Times New Roman" w:hAnsi="Times New Roman"/>
        </w:rPr>
      </w:pPr>
      <w:r w:rsidRPr="004C2BD5">
        <w:rPr>
          <w:rStyle w:val="FootnoteReference"/>
          <w:rFonts w:ascii="Times New Roman" w:hAnsi="Times New Roman"/>
        </w:rPr>
        <w:footnoteRef/>
      </w:r>
      <w:r w:rsidRPr="004C2BD5">
        <w:rPr>
          <w:rFonts w:ascii="Times New Roman" w:hAnsi="Times New Roman"/>
        </w:rPr>
        <w:t xml:space="preserve"> </w:t>
      </w:r>
      <w:r w:rsidRPr="004C2BD5">
        <w:rPr>
          <w:rFonts w:ascii="Times New Roman" w:hAnsi="Times New Roman"/>
        </w:rPr>
        <w:tab/>
        <w:t xml:space="preserve">Tax Reforms Report in the EU Member States, 2015 (November) – Taxation Paper N°58; </w:t>
      </w:r>
      <w:hyperlink r:id="rId5" w:history="1">
        <w:r w:rsidRPr="004C2BD5">
          <w:rPr>
            <w:rStyle w:val="Hyperlink"/>
            <w:rFonts w:ascii="Times New Roman" w:hAnsi="Times New Roman"/>
          </w:rPr>
          <w:t>http://ec.europa.eu/taxation_customs/resources/documents/taxation/gen_info/economic_analysis/tax_papers/taxation_paper_58.pdf</w:t>
        </w:r>
      </w:hyperlink>
      <w:r w:rsidRPr="004C2BD5">
        <w:rPr>
          <w:rFonts w:ascii="Times New Roman" w:hAnsi="Times New Roman"/>
        </w:rPr>
        <w:t xml:space="preserve">. </w:t>
      </w:r>
    </w:p>
  </w:footnote>
  <w:footnote w:id="35">
    <w:p w:rsidR="003B01A3" w:rsidRPr="006E08A9" w:rsidRDefault="003B01A3">
      <w:pPr>
        <w:pStyle w:val="FootnoteText"/>
        <w:rPr>
          <w:rFonts w:ascii="Times New Roman" w:hAnsi="Times New Roman"/>
        </w:rPr>
      </w:pPr>
      <w:r w:rsidRPr="0007035E">
        <w:rPr>
          <w:rStyle w:val="FootnoteReference"/>
          <w:rFonts w:ascii="Times New Roman" w:hAnsi="Times New Roman"/>
        </w:rPr>
        <w:footnoteRef/>
      </w:r>
      <w:r w:rsidRPr="0007035E">
        <w:rPr>
          <w:rFonts w:ascii="Times New Roman" w:hAnsi="Times New Roman"/>
        </w:rPr>
        <w:t xml:space="preserve"> </w:t>
      </w:r>
      <w:r w:rsidRPr="006B774C">
        <w:rPr>
          <w:rFonts w:ascii="Times New Roman" w:hAnsi="Times New Roman"/>
        </w:rPr>
        <w:tab/>
      </w:r>
      <w:r>
        <w:rPr>
          <w:rFonts w:ascii="Times New Roman" w:hAnsi="Times New Roman"/>
        </w:rPr>
        <w:t xml:space="preserve">The Member States' factsheets are included in </w:t>
      </w:r>
      <w:r w:rsidRPr="006E08A9">
        <w:rPr>
          <w:rFonts w:ascii="Times New Roman" w:hAnsi="Times New Roman"/>
        </w:rPr>
        <w:t>SWD(2015)</w:t>
      </w:r>
      <w:r>
        <w:rPr>
          <w:rFonts w:ascii="Times New Roman" w:hAnsi="Times New Roman"/>
        </w:rPr>
        <w:t>208-209, 217-242</w:t>
      </w:r>
      <w:r w:rsidRPr="006E08A9">
        <w:rPr>
          <w:rFonts w:ascii="Times New Roman" w:hAnsi="Times New Roman"/>
        </w:rPr>
        <w:t>.</w:t>
      </w:r>
    </w:p>
  </w:footnote>
  <w:footnote w:id="36">
    <w:p w:rsidR="003B01A3" w:rsidRPr="005419C2" w:rsidRDefault="003B01A3" w:rsidP="0037217A">
      <w:pPr>
        <w:pStyle w:val="FootnoteText"/>
        <w:ind w:left="709" w:hanging="709"/>
        <w:jc w:val="both"/>
        <w:rPr>
          <w:rFonts w:ascii="Times New Roman" w:hAnsi="Times New Roman"/>
        </w:rPr>
      </w:pPr>
      <w:r w:rsidRPr="006E08A9">
        <w:rPr>
          <w:rStyle w:val="FootnoteReference"/>
          <w:rFonts w:ascii="Times New Roman" w:hAnsi="Times New Roman"/>
        </w:rPr>
        <w:footnoteRef/>
      </w:r>
      <w:r w:rsidRPr="006E08A9">
        <w:rPr>
          <w:rFonts w:ascii="Times New Roman" w:hAnsi="Times New Roman"/>
        </w:rPr>
        <w:t xml:space="preserve"> </w:t>
      </w:r>
      <w:r w:rsidRPr="006E08A9">
        <w:rPr>
          <w:rFonts w:ascii="Times New Roman" w:hAnsi="Times New Roman"/>
        </w:rPr>
        <w:tab/>
        <w:t>SWD(2015)</w:t>
      </w:r>
      <w:r>
        <w:rPr>
          <w:rFonts w:ascii="Times New Roman" w:hAnsi="Times New Roman"/>
        </w:rPr>
        <w:t>243</w:t>
      </w:r>
      <w:r w:rsidRPr="006E08A9">
        <w:rPr>
          <w:rFonts w:ascii="Times New Roman" w:hAnsi="Times New Roman"/>
        </w:rPr>
        <w:t>.</w:t>
      </w:r>
    </w:p>
  </w:footnote>
  <w:footnote w:id="37">
    <w:p w:rsidR="003B01A3" w:rsidRPr="00A575E9" w:rsidRDefault="003B01A3" w:rsidP="00A575E9">
      <w:pPr>
        <w:pStyle w:val="FootnoteText"/>
        <w:ind w:left="709" w:hanging="709"/>
        <w:jc w:val="both"/>
        <w:rPr>
          <w:rFonts w:ascii="Times New Roman" w:hAnsi="Times New Roman"/>
        </w:rPr>
      </w:pPr>
      <w:r w:rsidRPr="00A575E9">
        <w:rPr>
          <w:rStyle w:val="FootnoteReference"/>
          <w:rFonts w:ascii="Times New Roman" w:hAnsi="Times New Roman"/>
        </w:rPr>
        <w:footnoteRef/>
      </w:r>
      <w:r w:rsidRPr="00A575E9">
        <w:rPr>
          <w:rFonts w:ascii="Times New Roman" w:hAnsi="Times New Roman"/>
        </w:rPr>
        <w:t xml:space="preserve"> </w:t>
      </w:r>
      <w:r w:rsidRPr="00A575E9">
        <w:rPr>
          <w:rFonts w:ascii="Times New Roman" w:hAnsi="Times New Roman"/>
        </w:rPr>
        <w:tab/>
      </w:r>
      <w:r>
        <w:rPr>
          <w:rFonts w:ascii="Times New Roman" w:hAnsi="Times New Roman"/>
        </w:rPr>
        <w:t>I</w:t>
      </w:r>
      <w:r w:rsidRPr="00A575E9">
        <w:rPr>
          <w:rFonts w:ascii="Times New Roman" w:hAnsi="Times New Roman"/>
        </w:rPr>
        <w:t xml:space="preserve">tem 10 of the REFIT initiatives, Annex II of the Commission Work Programme (COM(2015)610).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D98" w:rsidRPr="00E86D98" w:rsidRDefault="00E86D98" w:rsidP="00E86D9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1A3" w:rsidRDefault="003B01A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1A3" w:rsidRDefault="003B01A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1A3" w:rsidRDefault="003B01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6A87"/>
    <w:multiLevelType w:val="hybridMultilevel"/>
    <w:tmpl w:val="03B0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0B5E80"/>
    <w:multiLevelType w:val="hybridMultilevel"/>
    <w:tmpl w:val="41782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C615B3"/>
    <w:multiLevelType w:val="hybridMultilevel"/>
    <w:tmpl w:val="41CA52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2840493D"/>
    <w:multiLevelType w:val="hybridMultilevel"/>
    <w:tmpl w:val="81E21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256A52"/>
    <w:multiLevelType w:val="hybridMultilevel"/>
    <w:tmpl w:val="50043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A64B7C"/>
    <w:multiLevelType w:val="hybridMultilevel"/>
    <w:tmpl w:val="56C2A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63377151"/>
    <w:multiLevelType w:val="hybridMultilevel"/>
    <w:tmpl w:val="EA64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C3E157A4F70140339295FADA57E6554D"/>
    <w:docVar w:name="LW_CROSSREFERENCE" w:val="{SWD(2015) 208}_x000a_{SWD(2015) 209}_x000a_{SWD(2015) 217 à 243}"/>
    <w:docVar w:name="LW_DocType" w:val="NORMAL"/>
    <w:docVar w:name="LW_EMISSION" w:val="18.11.2015"/>
    <w:docVar w:name="LW_EMISSION_ISODATE" w:val="2015-11-18"/>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5) 572 final"/>
    <w:docVar w:name="LW_REF.INTERNE" w:val="&lt;UNUSED&gt;"/>
    <w:docVar w:name="LW_SOUS.TITRE.OBJ.CP" w:val="&lt;UNUSED&gt;"/>
    <w:docVar w:name="LW_SUPERTITRE" w:val="&lt;UNUSED&gt;"/>
    <w:docVar w:name="LW_TITRE.OBJ.CP" w:val="State of the Energy Union 2015"/>
    <w:docVar w:name="LW_TYPE.DOC.CP" w:val="COMMUNICATION FROM THE COMMISSION"/>
    <w:docVar w:name="LW_TYPE.DOC.CP.USERTEXT" w:val="TO THE EUROPEAN PARLIAMENT, THE COUNCIL, THE EUROPEAN ECONOMIC AND SOCIAL COMMITTEE, THE COMMITTEE OF THE REGIONS AND THE EUROPEAN INVESTMENT BANK"/>
  </w:docVars>
  <w:rsids>
    <w:rsidRoot w:val="0037217A"/>
    <w:rsid w:val="00003E0F"/>
    <w:rsid w:val="00034C13"/>
    <w:rsid w:val="00046763"/>
    <w:rsid w:val="00051041"/>
    <w:rsid w:val="00051142"/>
    <w:rsid w:val="00054BD4"/>
    <w:rsid w:val="00061626"/>
    <w:rsid w:val="00067212"/>
    <w:rsid w:val="0007035E"/>
    <w:rsid w:val="00072EDE"/>
    <w:rsid w:val="0007786C"/>
    <w:rsid w:val="000778F5"/>
    <w:rsid w:val="000817ED"/>
    <w:rsid w:val="00081EC5"/>
    <w:rsid w:val="000843DB"/>
    <w:rsid w:val="00085F3C"/>
    <w:rsid w:val="000960E5"/>
    <w:rsid w:val="000979DC"/>
    <w:rsid w:val="000B2893"/>
    <w:rsid w:val="000C7CC5"/>
    <w:rsid w:val="000D3DD8"/>
    <w:rsid w:val="000E2F82"/>
    <w:rsid w:val="000F04E7"/>
    <w:rsid w:val="000F7FC8"/>
    <w:rsid w:val="00103663"/>
    <w:rsid w:val="00111755"/>
    <w:rsid w:val="00113643"/>
    <w:rsid w:val="001153CE"/>
    <w:rsid w:val="0011560E"/>
    <w:rsid w:val="00117338"/>
    <w:rsid w:val="00126249"/>
    <w:rsid w:val="001408E7"/>
    <w:rsid w:val="00162940"/>
    <w:rsid w:val="00171027"/>
    <w:rsid w:val="00171043"/>
    <w:rsid w:val="001746FA"/>
    <w:rsid w:val="00175019"/>
    <w:rsid w:val="00192910"/>
    <w:rsid w:val="0019382F"/>
    <w:rsid w:val="0019452C"/>
    <w:rsid w:val="001A27CC"/>
    <w:rsid w:val="001B1EAC"/>
    <w:rsid w:val="001B298E"/>
    <w:rsid w:val="001B534A"/>
    <w:rsid w:val="001F1AD1"/>
    <w:rsid w:val="001F300E"/>
    <w:rsid w:val="0020591C"/>
    <w:rsid w:val="0021387E"/>
    <w:rsid w:val="002213C3"/>
    <w:rsid w:val="002216FA"/>
    <w:rsid w:val="0023088C"/>
    <w:rsid w:val="002405AA"/>
    <w:rsid w:val="00250252"/>
    <w:rsid w:val="0025320C"/>
    <w:rsid w:val="002621EA"/>
    <w:rsid w:val="00263ED1"/>
    <w:rsid w:val="0027446B"/>
    <w:rsid w:val="002807D3"/>
    <w:rsid w:val="00281BFC"/>
    <w:rsid w:val="002C3235"/>
    <w:rsid w:val="002C5F7B"/>
    <w:rsid w:val="002C7BA0"/>
    <w:rsid w:val="002D09BC"/>
    <w:rsid w:val="002E5A9E"/>
    <w:rsid w:val="002E7CB6"/>
    <w:rsid w:val="002F0912"/>
    <w:rsid w:val="003023D6"/>
    <w:rsid w:val="003054B9"/>
    <w:rsid w:val="0032285E"/>
    <w:rsid w:val="00333E56"/>
    <w:rsid w:val="00353468"/>
    <w:rsid w:val="00363754"/>
    <w:rsid w:val="00367E82"/>
    <w:rsid w:val="0037217A"/>
    <w:rsid w:val="0037246E"/>
    <w:rsid w:val="00384E27"/>
    <w:rsid w:val="00386BF4"/>
    <w:rsid w:val="00390CD9"/>
    <w:rsid w:val="00397843"/>
    <w:rsid w:val="003A6B9A"/>
    <w:rsid w:val="003B01A3"/>
    <w:rsid w:val="003B5522"/>
    <w:rsid w:val="003C39FE"/>
    <w:rsid w:val="003C474F"/>
    <w:rsid w:val="003D1174"/>
    <w:rsid w:val="003D178E"/>
    <w:rsid w:val="003D5F74"/>
    <w:rsid w:val="003E0616"/>
    <w:rsid w:val="003E3D6F"/>
    <w:rsid w:val="003F3111"/>
    <w:rsid w:val="004001EE"/>
    <w:rsid w:val="004062FB"/>
    <w:rsid w:val="00410C16"/>
    <w:rsid w:val="0042168B"/>
    <w:rsid w:val="00427260"/>
    <w:rsid w:val="00433070"/>
    <w:rsid w:val="00437826"/>
    <w:rsid w:val="00437934"/>
    <w:rsid w:val="004419B1"/>
    <w:rsid w:val="004476FF"/>
    <w:rsid w:val="00451EC9"/>
    <w:rsid w:val="0045203E"/>
    <w:rsid w:val="00454C1A"/>
    <w:rsid w:val="00454FCB"/>
    <w:rsid w:val="00470F8C"/>
    <w:rsid w:val="004711A4"/>
    <w:rsid w:val="004760FC"/>
    <w:rsid w:val="004B1EB7"/>
    <w:rsid w:val="004B2096"/>
    <w:rsid w:val="004B3A66"/>
    <w:rsid w:val="004B5C55"/>
    <w:rsid w:val="004B7C9C"/>
    <w:rsid w:val="004C1597"/>
    <w:rsid w:val="004C2BD5"/>
    <w:rsid w:val="004D61DC"/>
    <w:rsid w:val="004F49BD"/>
    <w:rsid w:val="00501F3E"/>
    <w:rsid w:val="005027FA"/>
    <w:rsid w:val="00504180"/>
    <w:rsid w:val="00505C60"/>
    <w:rsid w:val="00514AEB"/>
    <w:rsid w:val="00526DB5"/>
    <w:rsid w:val="0053569B"/>
    <w:rsid w:val="00535AE8"/>
    <w:rsid w:val="00540FE9"/>
    <w:rsid w:val="005419C2"/>
    <w:rsid w:val="00544378"/>
    <w:rsid w:val="0054773C"/>
    <w:rsid w:val="005477A4"/>
    <w:rsid w:val="005629A1"/>
    <w:rsid w:val="00566E47"/>
    <w:rsid w:val="005850E7"/>
    <w:rsid w:val="00586EBB"/>
    <w:rsid w:val="00593F72"/>
    <w:rsid w:val="0059491B"/>
    <w:rsid w:val="005954D7"/>
    <w:rsid w:val="00597077"/>
    <w:rsid w:val="005B03DE"/>
    <w:rsid w:val="005B32AE"/>
    <w:rsid w:val="005B6E0B"/>
    <w:rsid w:val="005B7BD0"/>
    <w:rsid w:val="005C2FE2"/>
    <w:rsid w:val="005C6A1A"/>
    <w:rsid w:val="005C7958"/>
    <w:rsid w:val="005E4C09"/>
    <w:rsid w:val="005E5B71"/>
    <w:rsid w:val="005F39D6"/>
    <w:rsid w:val="00601B7A"/>
    <w:rsid w:val="00650E66"/>
    <w:rsid w:val="00660A2E"/>
    <w:rsid w:val="00665B43"/>
    <w:rsid w:val="00672709"/>
    <w:rsid w:val="006826CE"/>
    <w:rsid w:val="006848E4"/>
    <w:rsid w:val="00691227"/>
    <w:rsid w:val="006B22DF"/>
    <w:rsid w:val="006B774C"/>
    <w:rsid w:val="006C4BA7"/>
    <w:rsid w:val="006C5244"/>
    <w:rsid w:val="006D3DD8"/>
    <w:rsid w:val="006D5383"/>
    <w:rsid w:val="006D7447"/>
    <w:rsid w:val="006D75A5"/>
    <w:rsid w:val="006E08A9"/>
    <w:rsid w:val="006E798C"/>
    <w:rsid w:val="006F2A45"/>
    <w:rsid w:val="006F65C3"/>
    <w:rsid w:val="007107D2"/>
    <w:rsid w:val="00714DC6"/>
    <w:rsid w:val="00715EBD"/>
    <w:rsid w:val="00721ADA"/>
    <w:rsid w:val="007230E7"/>
    <w:rsid w:val="007247F8"/>
    <w:rsid w:val="007253EB"/>
    <w:rsid w:val="00737EE8"/>
    <w:rsid w:val="0074659B"/>
    <w:rsid w:val="00764AA2"/>
    <w:rsid w:val="00764E0D"/>
    <w:rsid w:val="0077271F"/>
    <w:rsid w:val="0077511B"/>
    <w:rsid w:val="00790106"/>
    <w:rsid w:val="00791C7D"/>
    <w:rsid w:val="00795014"/>
    <w:rsid w:val="007A6241"/>
    <w:rsid w:val="007A7D86"/>
    <w:rsid w:val="007C3967"/>
    <w:rsid w:val="007D0617"/>
    <w:rsid w:val="007D4B05"/>
    <w:rsid w:val="007D6DE0"/>
    <w:rsid w:val="007E1E46"/>
    <w:rsid w:val="007E4692"/>
    <w:rsid w:val="007F3878"/>
    <w:rsid w:val="007F5F2A"/>
    <w:rsid w:val="00801A3F"/>
    <w:rsid w:val="0080462F"/>
    <w:rsid w:val="00804E2E"/>
    <w:rsid w:val="00812F58"/>
    <w:rsid w:val="00817A21"/>
    <w:rsid w:val="00821DDD"/>
    <w:rsid w:val="00827BB2"/>
    <w:rsid w:val="008319D3"/>
    <w:rsid w:val="0083568F"/>
    <w:rsid w:val="008501F6"/>
    <w:rsid w:val="00851E66"/>
    <w:rsid w:val="008525C1"/>
    <w:rsid w:val="0085669B"/>
    <w:rsid w:val="00877889"/>
    <w:rsid w:val="00881787"/>
    <w:rsid w:val="00891319"/>
    <w:rsid w:val="00895399"/>
    <w:rsid w:val="008A1D76"/>
    <w:rsid w:val="008D1FEB"/>
    <w:rsid w:val="00901DDA"/>
    <w:rsid w:val="00916176"/>
    <w:rsid w:val="0092076A"/>
    <w:rsid w:val="009215EB"/>
    <w:rsid w:val="00921E6C"/>
    <w:rsid w:val="009313E0"/>
    <w:rsid w:val="009460C9"/>
    <w:rsid w:val="00946750"/>
    <w:rsid w:val="00962596"/>
    <w:rsid w:val="00972A8F"/>
    <w:rsid w:val="00972B96"/>
    <w:rsid w:val="00975DB8"/>
    <w:rsid w:val="0098462C"/>
    <w:rsid w:val="009848B7"/>
    <w:rsid w:val="00990239"/>
    <w:rsid w:val="00992D39"/>
    <w:rsid w:val="009966DC"/>
    <w:rsid w:val="00997720"/>
    <w:rsid w:val="009A2EDF"/>
    <w:rsid w:val="009B0A5C"/>
    <w:rsid w:val="009B4D36"/>
    <w:rsid w:val="009C6977"/>
    <w:rsid w:val="009D4C15"/>
    <w:rsid w:val="009E3D2E"/>
    <w:rsid w:val="009E7BCC"/>
    <w:rsid w:val="00A00812"/>
    <w:rsid w:val="00A04C37"/>
    <w:rsid w:val="00A21837"/>
    <w:rsid w:val="00A44B93"/>
    <w:rsid w:val="00A53694"/>
    <w:rsid w:val="00A575E9"/>
    <w:rsid w:val="00A70D6D"/>
    <w:rsid w:val="00A71070"/>
    <w:rsid w:val="00A73D98"/>
    <w:rsid w:val="00A8463C"/>
    <w:rsid w:val="00A84A74"/>
    <w:rsid w:val="00A973E2"/>
    <w:rsid w:val="00AB126E"/>
    <w:rsid w:val="00AB42C9"/>
    <w:rsid w:val="00AB4A6B"/>
    <w:rsid w:val="00AB70EA"/>
    <w:rsid w:val="00AC7724"/>
    <w:rsid w:val="00AF59C7"/>
    <w:rsid w:val="00B01709"/>
    <w:rsid w:val="00B13944"/>
    <w:rsid w:val="00B21594"/>
    <w:rsid w:val="00B310D5"/>
    <w:rsid w:val="00B4419C"/>
    <w:rsid w:val="00B4554E"/>
    <w:rsid w:val="00B50D58"/>
    <w:rsid w:val="00B5776E"/>
    <w:rsid w:val="00B6748D"/>
    <w:rsid w:val="00B72822"/>
    <w:rsid w:val="00B8063F"/>
    <w:rsid w:val="00B9349D"/>
    <w:rsid w:val="00BC2ACE"/>
    <w:rsid w:val="00BC3DB1"/>
    <w:rsid w:val="00BC6053"/>
    <w:rsid w:val="00BD0FE6"/>
    <w:rsid w:val="00BF7942"/>
    <w:rsid w:val="00C00A30"/>
    <w:rsid w:val="00C01DCF"/>
    <w:rsid w:val="00C10E79"/>
    <w:rsid w:val="00C11418"/>
    <w:rsid w:val="00C136EB"/>
    <w:rsid w:val="00C23D9D"/>
    <w:rsid w:val="00C3144B"/>
    <w:rsid w:val="00C32BE0"/>
    <w:rsid w:val="00C33678"/>
    <w:rsid w:val="00C36071"/>
    <w:rsid w:val="00C523F8"/>
    <w:rsid w:val="00C600F4"/>
    <w:rsid w:val="00C65B79"/>
    <w:rsid w:val="00C8455C"/>
    <w:rsid w:val="00C96F64"/>
    <w:rsid w:val="00CA60ED"/>
    <w:rsid w:val="00CB3619"/>
    <w:rsid w:val="00CC4E91"/>
    <w:rsid w:val="00CD6042"/>
    <w:rsid w:val="00CE39EB"/>
    <w:rsid w:val="00CF158C"/>
    <w:rsid w:val="00CF78FA"/>
    <w:rsid w:val="00D153B4"/>
    <w:rsid w:val="00D1798D"/>
    <w:rsid w:val="00D25F80"/>
    <w:rsid w:val="00D34712"/>
    <w:rsid w:val="00D413D3"/>
    <w:rsid w:val="00D437DA"/>
    <w:rsid w:val="00D9308D"/>
    <w:rsid w:val="00D93F79"/>
    <w:rsid w:val="00DA1573"/>
    <w:rsid w:val="00DA779B"/>
    <w:rsid w:val="00DB2144"/>
    <w:rsid w:val="00DB385F"/>
    <w:rsid w:val="00DB5B46"/>
    <w:rsid w:val="00DC4320"/>
    <w:rsid w:val="00DC7D7E"/>
    <w:rsid w:val="00DD02B1"/>
    <w:rsid w:val="00DD144C"/>
    <w:rsid w:val="00DD244E"/>
    <w:rsid w:val="00DD3C7D"/>
    <w:rsid w:val="00DE71D8"/>
    <w:rsid w:val="00DF3363"/>
    <w:rsid w:val="00DF7031"/>
    <w:rsid w:val="00DF71CA"/>
    <w:rsid w:val="00E03B54"/>
    <w:rsid w:val="00E16516"/>
    <w:rsid w:val="00E16812"/>
    <w:rsid w:val="00E250E2"/>
    <w:rsid w:val="00E25FBD"/>
    <w:rsid w:val="00E26AFB"/>
    <w:rsid w:val="00E363C1"/>
    <w:rsid w:val="00E42030"/>
    <w:rsid w:val="00E476D8"/>
    <w:rsid w:val="00E51A47"/>
    <w:rsid w:val="00E535E1"/>
    <w:rsid w:val="00E56354"/>
    <w:rsid w:val="00E64F3E"/>
    <w:rsid w:val="00E7519F"/>
    <w:rsid w:val="00E8151A"/>
    <w:rsid w:val="00E864E1"/>
    <w:rsid w:val="00E86D98"/>
    <w:rsid w:val="00E935C3"/>
    <w:rsid w:val="00EA1575"/>
    <w:rsid w:val="00EA51BE"/>
    <w:rsid w:val="00EA66D4"/>
    <w:rsid w:val="00EB38A7"/>
    <w:rsid w:val="00EB3DF6"/>
    <w:rsid w:val="00EB4420"/>
    <w:rsid w:val="00EC06A6"/>
    <w:rsid w:val="00ED0DA3"/>
    <w:rsid w:val="00ED41C1"/>
    <w:rsid w:val="00EF1731"/>
    <w:rsid w:val="00EF23ED"/>
    <w:rsid w:val="00EF46DA"/>
    <w:rsid w:val="00F00B83"/>
    <w:rsid w:val="00F060ED"/>
    <w:rsid w:val="00F1658F"/>
    <w:rsid w:val="00F16754"/>
    <w:rsid w:val="00F16BE5"/>
    <w:rsid w:val="00F202E3"/>
    <w:rsid w:val="00F2041A"/>
    <w:rsid w:val="00F23B13"/>
    <w:rsid w:val="00F27A08"/>
    <w:rsid w:val="00F35C8D"/>
    <w:rsid w:val="00F532C6"/>
    <w:rsid w:val="00F55C8A"/>
    <w:rsid w:val="00F6245F"/>
    <w:rsid w:val="00F7185D"/>
    <w:rsid w:val="00F918A2"/>
    <w:rsid w:val="00F92424"/>
    <w:rsid w:val="00F9410C"/>
    <w:rsid w:val="00FA09C8"/>
    <w:rsid w:val="00FB4CF9"/>
    <w:rsid w:val="00FC0C0A"/>
    <w:rsid w:val="00FE51BA"/>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2E3"/>
    <w:pPr>
      <w:spacing w:after="200" w:line="276" w:lineRule="auto"/>
    </w:pPr>
    <w:rPr>
      <w:lang w:val="en-GB" w:eastAsia="en-US"/>
    </w:rPr>
  </w:style>
  <w:style w:type="paragraph" w:styleId="Heading1">
    <w:name w:val="heading 1"/>
    <w:basedOn w:val="Normal"/>
    <w:next w:val="Normal"/>
    <w:link w:val="Heading1Char"/>
    <w:qFormat/>
    <w:locked/>
    <w:rsid w:val="00EA66D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rsid w:val="0037217A"/>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rsid w:val="0037217A"/>
    <w:pPr>
      <w:tabs>
        <w:tab w:val="center" w:pos="4535"/>
        <w:tab w:val="right" w:pos="9071"/>
        <w:tab w:val="right" w:pos="9921"/>
      </w:tabs>
      <w:spacing w:before="360" w:after="0" w:line="240" w:lineRule="auto"/>
      <w:ind w:left="-850" w:right="-850"/>
    </w:pPr>
    <w:rPr>
      <w:rFonts w:ascii="Times New Roman" w:hAnsi="Times New Roman"/>
      <w:sz w:val="24"/>
      <w:szCs w:val="24"/>
      <w:lang w:val="fr-BE" w:eastAsia="fr-BE"/>
    </w:rPr>
  </w:style>
  <w:style w:type="character" w:customStyle="1" w:styleId="FooterCoverPageChar">
    <w:name w:val="Footer Cover Page Char"/>
    <w:basedOn w:val="DefaultParagraphFont"/>
    <w:link w:val="FooterCoverPage"/>
    <w:uiPriority w:val="99"/>
    <w:locked/>
    <w:rsid w:val="0037217A"/>
    <w:rPr>
      <w:rFonts w:ascii="Times New Roman" w:hAnsi="Times New Roman"/>
      <w:sz w:val="24"/>
      <w:szCs w:val="24"/>
    </w:rPr>
  </w:style>
  <w:style w:type="paragraph" w:styleId="FootnoteText">
    <w:name w:val="footnote text"/>
    <w:basedOn w:val="Normal"/>
    <w:link w:val="FootnoteTextChar"/>
    <w:uiPriority w:val="99"/>
    <w:rsid w:val="0037217A"/>
    <w:pPr>
      <w:spacing w:after="0" w:line="240" w:lineRule="auto"/>
    </w:pPr>
    <w:rPr>
      <w:sz w:val="20"/>
      <w:szCs w:val="20"/>
    </w:rPr>
  </w:style>
  <w:style w:type="character" w:customStyle="1" w:styleId="FootnoteTextChar">
    <w:name w:val="Footnote Text Char"/>
    <w:basedOn w:val="DefaultParagraphFont"/>
    <w:link w:val="FootnoteText"/>
    <w:uiPriority w:val="99"/>
    <w:locked/>
    <w:rsid w:val="0037217A"/>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sid w:val="0037217A"/>
    <w:rPr>
      <w:rFonts w:cs="Times New Roman"/>
      <w:vertAlign w:val="superscript"/>
    </w:rPr>
  </w:style>
  <w:style w:type="character" w:styleId="Hyperlink">
    <w:name w:val="Hyperlink"/>
    <w:basedOn w:val="DefaultParagraphFont"/>
    <w:uiPriority w:val="99"/>
    <w:rsid w:val="0037217A"/>
    <w:rPr>
      <w:rFonts w:cs="Times New Roman"/>
      <w:color w:val="0000FF"/>
      <w:u w:val="single"/>
    </w:rPr>
  </w:style>
  <w:style w:type="paragraph" w:styleId="ListParagraph">
    <w:name w:val="List Paragraph"/>
    <w:basedOn w:val="Normal"/>
    <w:uiPriority w:val="34"/>
    <w:qFormat/>
    <w:rsid w:val="0037217A"/>
    <w:pPr>
      <w:ind w:left="720"/>
      <w:contextualSpacing/>
    </w:pPr>
  </w:style>
  <w:style w:type="paragraph" w:styleId="BalloonText">
    <w:name w:val="Balloon Text"/>
    <w:basedOn w:val="Normal"/>
    <w:link w:val="BalloonTextChar"/>
    <w:uiPriority w:val="99"/>
    <w:semiHidden/>
    <w:rsid w:val="003721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217A"/>
    <w:rPr>
      <w:rFonts w:ascii="Tahoma" w:hAnsi="Tahoma" w:cs="Tahoma"/>
      <w:sz w:val="16"/>
      <w:szCs w:val="16"/>
    </w:rPr>
  </w:style>
  <w:style w:type="paragraph" w:styleId="Header">
    <w:name w:val="header"/>
    <w:basedOn w:val="Normal"/>
    <w:link w:val="HeaderChar"/>
    <w:uiPriority w:val="99"/>
    <w:rsid w:val="00B4419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B4419C"/>
    <w:rPr>
      <w:rFonts w:cs="Times New Roman"/>
    </w:rPr>
  </w:style>
  <w:style w:type="paragraph" w:styleId="Footer">
    <w:name w:val="footer"/>
    <w:basedOn w:val="Normal"/>
    <w:link w:val="FooterChar"/>
    <w:uiPriority w:val="99"/>
    <w:rsid w:val="00B4419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B4419C"/>
    <w:rPr>
      <w:rFonts w:cs="Times New Roman"/>
    </w:rPr>
  </w:style>
  <w:style w:type="paragraph" w:customStyle="1" w:styleId="Text2">
    <w:name w:val="Text 2"/>
    <w:basedOn w:val="Normal"/>
    <w:rsid w:val="0054773C"/>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rsid w:val="0054773C"/>
  </w:style>
  <w:style w:type="character" w:customStyle="1" w:styleId="Heading1Char">
    <w:name w:val="Heading 1 Char"/>
    <w:basedOn w:val="DefaultParagraphFont"/>
    <w:link w:val="Heading1"/>
    <w:rsid w:val="00EA66D4"/>
    <w:rPr>
      <w:rFonts w:asciiTheme="majorHAnsi" w:eastAsiaTheme="majorEastAsia" w:hAnsiTheme="majorHAnsi" w:cstheme="majorBidi"/>
      <w:b/>
      <w:bCs/>
      <w:color w:val="345A8A" w:themeColor="accent1" w:themeShade="B5"/>
      <w:sz w:val="32"/>
      <w:szCs w:val="32"/>
      <w:lang w:val="en-GB" w:eastAsia="en-US"/>
    </w:rPr>
  </w:style>
  <w:style w:type="character" w:styleId="CommentReference">
    <w:name w:val="annotation reference"/>
    <w:basedOn w:val="DefaultParagraphFont"/>
    <w:uiPriority w:val="99"/>
    <w:semiHidden/>
    <w:unhideWhenUsed/>
    <w:rsid w:val="00535AE8"/>
    <w:rPr>
      <w:sz w:val="16"/>
      <w:szCs w:val="16"/>
    </w:rPr>
  </w:style>
  <w:style w:type="paragraph" w:styleId="CommentText">
    <w:name w:val="annotation text"/>
    <w:basedOn w:val="Normal"/>
    <w:link w:val="CommentTextChar"/>
    <w:uiPriority w:val="99"/>
    <w:semiHidden/>
    <w:unhideWhenUsed/>
    <w:rsid w:val="00535AE8"/>
    <w:pPr>
      <w:spacing w:line="240" w:lineRule="auto"/>
    </w:pPr>
    <w:rPr>
      <w:sz w:val="20"/>
      <w:szCs w:val="20"/>
    </w:rPr>
  </w:style>
  <w:style w:type="character" w:customStyle="1" w:styleId="CommentTextChar">
    <w:name w:val="Comment Text Char"/>
    <w:basedOn w:val="DefaultParagraphFont"/>
    <w:link w:val="CommentText"/>
    <w:uiPriority w:val="99"/>
    <w:semiHidden/>
    <w:rsid w:val="00535AE8"/>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535AE8"/>
    <w:rPr>
      <w:b/>
      <w:bCs/>
    </w:rPr>
  </w:style>
  <w:style w:type="character" w:customStyle="1" w:styleId="CommentSubjectChar">
    <w:name w:val="Comment Subject Char"/>
    <w:basedOn w:val="CommentTextChar"/>
    <w:link w:val="CommentSubject"/>
    <w:uiPriority w:val="99"/>
    <w:semiHidden/>
    <w:rsid w:val="00535AE8"/>
    <w:rPr>
      <w:b/>
      <w:bCs/>
      <w:sz w:val="20"/>
      <w:szCs w:val="20"/>
      <w:lang w:val="en-GB" w:eastAsia="en-US"/>
    </w:rPr>
  </w:style>
  <w:style w:type="paragraph" w:styleId="NormalWeb">
    <w:name w:val="Normal (Web)"/>
    <w:basedOn w:val="Normal"/>
    <w:uiPriority w:val="99"/>
    <w:unhideWhenUsed/>
    <w:rsid w:val="0092076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7D6DE0"/>
    <w:pPr>
      <w:autoSpaceDE w:val="0"/>
      <w:autoSpaceDN w:val="0"/>
      <w:adjustRightInd w:val="0"/>
    </w:pPr>
    <w:rPr>
      <w:rFonts w:ascii="Times New Roman" w:eastAsiaTheme="minorHAnsi" w:hAnsi="Times New Roman"/>
      <w:color w:val="000000"/>
      <w:sz w:val="24"/>
      <w:szCs w:val="24"/>
      <w:lang w:val="en-GB" w:eastAsia="en-US"/>
    </w:rPr>
  </w:style>
  <w:style w:type="paragraph" w:styleId="Revision">
    <w:name w:val="Revision"/>
    <w:hidden/>
    <w:uiPriority w:val="99"/>
    <w:semiHidden/>
    <w:rsid w:val="00660A2E"/>
    <w:rPr>
      <w:lang w:val="en-GB" w:eastAsia="en-US"/>
    </w:rPr>
  </w:style>
  <w:style w:type="character" w:customStyle="1" w:styleId="Marker">
    <w:name w:val="Marker"/>
    <w:basedOn w:val="DefaultParagraphFont"/>
    <w:rsid w:val="007E4692"/>
    <w:rPr>
      <w:color w:val="0000FF"/>
      <w:shd w:val="clear" w:color="auto" w:fill="auto"/>
    </w:rPr>
  </w:style>
  <w:style w:type="paragraph" w:customStyle="1" w:styleId="HeaderCoverPage">
    <w:name w:val="Header Cover Page"/>
    <w:basedOn w:val="Normal"/>
    <w:link w:val="HeaderCoverPageChar"/>
    <w:rsid w:val="007E4692"/>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sid w:val="007E4692"/>
    <w:rPr>
      <w:rFonts w:ascii="Times New Roman" w:hAnsi="Times New Roman"/>
      <w:smallCaps/>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2E3"/>
    <w:pPr>
      <w:spacing w:after="200" w:line="276" w:lineRule="auto"/>
    </w:pPr>
    <w:rPr>
      <w:lang w:val="en-GB" w:eastAsia="en-US"/>
    </w:rPr>
  </w:style>
  <w:style w:type="paragraph" w:styleId="Heading1">
    <w:name w:val="heading 1"/>
    <w:basedOn w:val="Normal"/>
    <w:next w:val="Normal"/>
    <w:link w:val="Heading1Char"/>
    <w:qFormat/>
    <w:locked/>
    <w:rsid w:val="00EA66D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rsid w:val="0037217A"/>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rsid w:val="0037217A"/>
    <w:pPr>
      <w:tabs>
        <w:tab w:val="center" w:pos="4535"/>
        <w:tab w:val="right" w:pos="9071"/>
        <w:tab w:val="right" w:pos="9921"/>
      </w:tabs>
      <w:spacing w:before="360" w:after="0" w:line="240" w:lineRule="auto"/>
      <w:ind w:left="-850" w:right="-850"/>
    </w:pPr>
    <w:rPr>
      <w:rFonts w:ascii="Times New Roman" w:hAnsi="Times New Roman"/>
      <w:sz w:val="24"/>
      <w:szCs w:val="24"/>
      <w:lang w:val="fr-BE" w:eastAsia="fr-BE"/>
    </w:rPr>
  </w:style>
  <w:style w:type="character" w:customStyle="1" w:styleId="FooterCoverPageChar">
    <w:name w:val="Footer Cover Page Char"/>
    <w:basedOn w:val="DefaultParagraphFont"/>
    <w:link w:val="FooterCoverPage"/>
    <w:uiPriority w:val="99"/>
    <w:locked/>
    <w:rsid w:val="0037217A"/>
    <w:rPr>
      <w:rFonts w:ascii="Times New Roman" w:hAnsi="Times New Roman"/>
      <w:sz w:val="24"/>
      <w:szCs w:val="24"/>
    </w:rPr>
  </w:style>
  <w:style w:type="paragraph" w:styleId="FootnoteText">
    <w:name w:val="footnote text"/>
    <w:basedOn w:val="Normal"/>
    <w:link w:val="FootnoteTextChar"/>
    <w:uiPriority w:val="99"/>
    <w:rsid w:val="0037217A"/>
    <w:pPr>
      <w:spacing w:after="0" w:line="240" w:lineRule="auto"/>
    </w:pPr>
    <w:rPr>
      <w:sz w:val="20"/>
      <w:szCs w:val="20"/>
    </w:rPr>
  </w:style>
  <w:style w:type="character" w:customStyle="1" w:styleId="FootnoteTextChar">
    <w:name w:val="Footnote Text Char"/>
    <w:basedOn w:val="DefaultParagraphFont"/>
    <w:link w:val="FootnoteText"/>
    <w:uiPriority w:val="99"/>
    <w:locked/>
    <w:rsid w:val="0037217A"/>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sid w:val="0037217A"/>
    <w:rPr>
      <w:rFonts w:cs="Times New Roman"/>
      <w:vertAlign w:val="superscript"/>
    </w:rPr>
  </w:style>
  <w:style w:type="character" w:styleId="Hyperlink">
    <w:name w:val="Hyperlink"/>
    <w:basedOn w:val="DefaultParagraphFont"/>
    <w:uiPriority w:val="99"/>
    <w:rsid w:val="0037217A"/>
    <w:rPr>
      <w:rFonts w:cs="Times New Roman"/>
      <w:color w:val="0000FF"/>
      <w:u w:val="single"/>
    </w:rPr>
  </w:style>
  <w:style w:type="paragraph" w:styleId="ListParagraph">
    <w:name w:val="List Paragraph"/>
    <w:basedOn w:val="Normal"/>
    <w:uiPriority w:val="34"/>
    <w:qFormat/>
    <w:rsid w:val="0037217A"/>
    <w:pPr>
      <w:ind w:left="720"/>
      <w:contextualSpacing/>
    </w:pPr>
  </w:style>
  <w:style w:type="paragraph" w:styleId="BalloonText">
    <w:name w:val="Balloon Text"/>
    <w:basedOn w:val="Normal"/>
    <w:link w:val="BalloonTextChar"/>
    <w:uiPriority w:val="99"/>
    <w:semiHidden/>
    <w:rsid w:val="003721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217A"/>
    <w:rPr>
      <w:rFonts w:ascii="Tahoma" w:hAnsi="Tahoma" w:cs="Tahoma"/>
      <w:sz w:val="16"/>
      <w:szCs w:val="16"/>
    </w:rPr>
  </w:style>
  <w:style w:type="paragraph" w:styleId="Header">
    <w:name w:val="header"/>
    <w:basedOn w:val="Normal"/>
    <w:link w:val="HeaderChar"/>
    <w:uiPriority w:val="99"/>
    <w:rsid w:val="00B4419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B4419C"/>
    <w:rPr>
      <w:rFonts w:cs="Times New Roman"/>
    </w:rPr>
  </w:style>
  <w:style w:type="paragraph" w:styleId="Footer">
    <w:name w:val="footer"/>
    <w:basedOn w:val="Normal"/>
    <w:link w:val="FooterChar"/>
    <w:uiPriority w:val="99"/>
    <w:rsid w:val="00B4419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B4419C"/>
    <w:rPr>
      <w:rFonts w:cs="Times New Roman"/>
    </w:rPr>
  </w:style>
  <w:style w:type="paragraph" w:customStyle="1" w:styleId="Text2">
    <w:name w:val="Text 2"/>
    <w:basedOn w:val="Normal"/>
    <w:rsid w:val="0054773C"/>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rsid w:val="0054773C"/>
  </w:style>
  <w:style w:type="character" w:customStyle="1" w:styleId="Heading1Char">
    <w:name w:val="Heading 1 Char"/>
    <w:basedOn w:val="DefaultParagraphFont"/>
    <w:link w:val="Heading1"/>
    <w:rsid w:val="00EA66D4"/>
    <w:rPr>
      <w:rFonts w:asciiTheme="majorHAnsi" w:eastAsiaTheme="majorEastAsia" w:hAnsiTheme="majorHAnsi" w:cstheme="majorBidi"/>
      <w:b/>
      <w:bCs/>
      <w:color w:val="345A8A" w:themeColor="accent1" w:themeShade="B5"/>
      <w:sz w:val="32"/>
      <w:szCs w:val="32"/>
      <w:lang w:val="en-GB" w:eastAsia="en-US"/>
    </w:rPr>
  </w:style>
  <w:style w:type="character" w:styleId="CommentReference">
    <w:name w:val="annotation reference"/>
    <w:basedOn w:val="DefaultParagraphFont"/>
    <w:uiPriority w:val="99"/>
    <w:semiHidden/>
    <w:unhideWhenUsed/>
    <w:rsid w:val="00535AE8"/>
    <w:rPr>
      <w:sz w:val="16"/>
      <w:szCs w:val="16"/>
    </w:rPr>
  </w:style>
  <w:style w:type="paragraph" w:styleId="CommentText">
    <w:name w:val="annotation text"/>
    <w:basedOn w:val="Normal"/>
    <w:link w:val="CommentTextChar"/>
    <w:uiPriority w:val="99"/>
    <w:semiHidden/>
    <w:unhideWhenUsed/>
    <w:rsid w:val="00535AE8"/>
    <w:pPr>
      <w:spacing w:line="240" w:lineRule="auto"/>
    </w:pPr>
    <w:rPr>
      <w:sz w:val="20"/>
      <w:szCs w:val="20"/>
    </w:rPr>
  </w:style>
  <w:style w:type="character" w:customStyle="1" w:styleId="CommentTextChar">
    <w:name w:val="Comment Text Char"/>
    <w:basedOn w:val="DefaultParagraphFont"/>
    <w:link w:val="CommentText"/>
    <w:uiPriority w:val="99"/>
    <w:semiHidden/>
    <w:rsid w:val="00535AE8"/>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535AE8"/>
    <w:rPr>
      <w:b/>
      <w:bCs/>
    </w:rPr>
  </w:style>
  <w:style w:type="character" w:customStyle="1" w:styleId="CommentSubjectChar">
    <w:name w:val="Comment Subject Char"/>
    <w:basedOn w:val="CommentTextChar"/>
    <w:link w:val="CommentSubject"/>
    <w:uiPriority w:val="99"/>
    <w:semiHidden/>
    <w:rsid w:val="00535AE8"/>
    <w:rPr>
      <w:b/>
      <w:bCs/>
      <w:sz w:val="20"/>
      <w:szCs w:val="20"/>
      <w:lang w:val="en-GB" w:eastAsia="en-US"/>
    </w:rPr>
  </w:style>
  <w:style w:type="paragraph" w:styleId="NormalWeb">
    <w:name w:val="Normal (Web)"/>
    <w:basedOn w:val="Normal"/>
    <w:uiPriority w:val="99"/>
    <w:unhideWhenUsed/>
    <w:rsid w:val="0092076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7D6DE0"/>
    <w:pPr>
      <w:autoSpaceDE w:val="0"/>
      <w:autoSpaceDN w:val="0"/>
      <w:adjustRightInd w:val="0"/>
    </w:pPr>
    <w:rPr>
      <w:rFonts w:ascii="Times New Roman" w:eastAsiaTheme="minorHAnsi" w:hAnsi="Times New Roman"/>
      <w:color w:val="000000"/>
      <w:sz w:val="24"/>
      <w:szCs w:val="24"/>
      <w:lang w:val="en-GB" w:eastAsia="en-US"/>
    </w:rPr>
  </w:style>
  <w:style w:type="paragraph" w:styleId="Revision">
    <w:name w:val="Revision"/>
    <w:hidden/>
    <w:uiPriority w:val="99"/>
    <w:semiHidden/>
    <w:rsid w:val="00660A2E"/>
    <w:rPr>
      <w:lang w:val="en-GB" w:eastAsia="en-US"/>
    </w:rPr>
  </w:style>
  <w:style w:type="character" w:customStyle="1" w:styleId="Marker">
    <w:name w:val="Marker"/>
    <w:basedOn w:val="DefaultParagraphFont"/>
    <w:rsid w:val="007E4692"/>
    <w:rPr>
      <w:color w:val="0000FF"/>
      <w:shd w:val="clear" w:color="auto" w:fill="auto"/>
    </w:rPr>
  </w:style>
  <w:style w:type="paragraph" w:customStyle="1" w:styleId="HeaderCoverPage">
    <w:name w:val="Header Cover Page"/>
    <w:basedOn w:val="Normal"/>
    <w:link w:val="HeaderCoverPageChar"/>
    <w:rsid w:val="007E4692"/>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sid w:val="007E4692"/>
    <w:rPr>
      <w:rFonts w:ascii="Times New Roman" w:hAnsi="Times New Roman"/>
      <w:smallCaps/>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41933">
      <w:marLeft w:val="0"/>
      <w:marRight w:val="0"/>
      <w:marTop w:val="0"/>
      <w:marBottom w:val="0"/>
      <w:divBdr>
        <w:top w:val="none" w:sz="0" w:space="0" w:color="auto"/>
        <w:left w:val="none" w:sz="0" w:space="0" w:color="auto"/>
        <w:bottom w:val="none" w:sz="0" w:space="0" w:color="auto"/>
        <w:right w:val="none" w:sz="0" w:space="0" w:color="auto"/>
      </w:divBdr>
      <w:divsChild>
        <w:div w:id="447941915">
          <w:marLeft w:val="0"/>
          <w:marRight w:val="0"/>
          <w:marTop w:val="0"/>
          <w:marBottom w:val="0"/>
          <w:divBdr>
            <w:top w:val="none" w:sz="0" w:space="0" w:color="auto"/>
            <w:left w:val="none" w:sz="0" w:space="0" w:color="auto"/>
            <w:bottom w:val="none" w:sz="0" w:space="0" w:color="auto"/>
            <w:right w:val="none" w:sz="0" w:space="0" w:color="auto"/>
          </w:divBdr>
          <w:divsChild>
            <w:div w:id="447941942">
              <w:marLeft w:val="0"/>
              <w:marRight w:val="0"/>
              <w:marTop w:val="0"/>
              <w:marBottom w:val="0"/>
              <w:divBdr>
                <w:top w:val="none" w:sz="0" w:space="0" w:color="auto"/>
                <w:left w:val="none" w:sz="0" w:space="0" w:color="auto"/>
                <w:bottom w:val="none" w:sz="0" w:space="0" w:color="auto"/>
                <w:right w:val="none" w:sz="0" w:space="0" w:color="auto"/>
              </w:divBdr>
              <w:divsChild>
                <w:div w:id="447941951">
                  <w:marLeft w:val="0"/>
                  <w:marRight w:val="0"/>
                  <w:marTop w:val="0"/>
                  <w:marBottom w:val="0"/>
                  <w:divBdr>
                    <w:top w:val="none" w:sz="0" w:space="0" w:color="auto"/>
                    <w:left w:val="none" w:sz="0" w:space="0" w:color="auto"/>
                    <w:bottom w:val="none" w:sz="0" w:space="0" w:color="auto"/>
                    <w:right w:val="none" w:sz="0" w:space="0" w:color="auto"/>
                  </w:divBdr>
                  <w:divsChild>
                    <w:div w:id="447941941">
                      <w:marLeft w:val="0"/>
                      <w:marRight w:val="0"/>
                      <w:marTop w:val="0"/>
                      <w:marBottom w:val="0"/>
                      <w:divBdr>
                        <w:top w:val="none" w:sz="0" w:space="0" w:color="auto"/>
                        <w:left w:val="none" w:sz="0" w:space="0" w:color="auto"/>
                        <w:bottom w:val="none" w:sz="0" w:space="0" w:color="auto"/>
                        <w:right w:val="none" w:sz="0" w:space="0" w:color="auto"/>
                      </w:divBdr>
                      <w:divsChild>
                        <w:div w:id="447941898">
                          <w:marLeft w:val="0"/>
                          <w:marRight w:val="0"/>
                          <w:marTop w:val="0"/>
                          <w:marBottom w:val="0"/>
                          <w:divBdr>
                            <w:top w:val="none" w:sz="0" w:space="0" w:color="auto"/>
                            <w:left w:val="none" w:sz="0" w:space="0" w:color="auto"/>
                            <w:bottom w:val="none" w:sz="0" w:space="0" w:color="auto"/>
                            <w:right w:val="none" w:sz="0" w:space="0" w:color="auto"/>
                          </w:divBdr>
                          <w:divsChild>
                            <w:div w:id="447941905">
                              <w:marLeft w:val="0"/>
                              <w:marRight w:val="0"/>
                              <w:marTop w:val="0"/>
                              <w:marBottom w:val="0"/>
                              <w:divBdr>
                                <w:top w:val="none" w:sz="0" w:space="0" w:color="auto"/>
                                <w:left w:val="none" w:sz="0" w:space="0" w:color="auto"/>
                                <w:bottom w:val="none" w:sz="0" w:space="0" w:color="auto"/>
                                <w:right w:val="none" w:sz="0" w:space="0" w:color="auto"/>
                              </w:divBdr>
                              <w:divsChild>
                                <w:div w:id="447941921">
                                  <w:marLeft w:val="0"/>
                                  <w:marRight w:val="0"/>
                                  <w:marTop w:val="0"/>
                                  <w:marBottom w:val="0"/>
                                  <w:divBdr>
                                    <w:top w:val="none" w:sz="0" w:space="0" w:color="auto"/>
                                    <w:left w:val="none" w:sz="0" w:space="0" w:color="auto"/>
                                    <w:bottom w:val="none" w:sz="0" w:space="0" w:color="auto"/>
                                    <w:right w:val="none" w:sz="0" w:space="0" w:color="auto"/>
                                  </w:divBdr>
                                  <w:divsChild>
                                    <w:div w:id="447941931">
                                      <w:marLeft w:val="0"/>
                                      <w:marRight w:val="0"/>
                                      <w:marTop w:val="0"/>
                                      <w:marBottom w:val="0"/>
                                      <w:divBdr>
                                        <w:top w:val="none" w:sz="0" w:space="0" w:color="auto"/>
                                        <w:left w:val="none" w:sz="0" w:space="0" w:color="auto"/>
                                        <w:bottom w:val="none" w:sz="0" w:space="0" w:color="auto"/>
                                        <w:right w:val="none" w:sz="0" w:space="0" w:color="auto"/>
                                      </w:divBdr>
                                      <w:divsChild>
                                        <w:div w:id="447941924">
                                          <w:marLeft w:val="0"/>
                                          <w:marRight w:val="0"/>
                                          <w:marTop w:val="0"/>
                                          <w:marBottom w:val="0"/>
                                          <w:divBdr>
                                            <w:top w:val="none" w:sz="0" w:space="0" w:color="auto"/>
                                            <w:left w:val="none" w:sz="0" w:space="0" w:color="auto"/>
                                            <w:bottom w:val="none" w:sz="0" w:space="0" w:color="auto"/>
                                            <w:right w:val="none" w:sz="0" w:space="0" w:color="auto"/>
                                          </w:divBdr>
                                          <w:divsChild>
                                            <w:div w:id="447941922">
                                              <w:marLeft w:val="0"/>
                                              <w:marRight w:val="0"/>
                                              <w:marTop w:val="0"/>
                                              <w:marBottom w:val="0"/>
                                              <w:divBdr>
                                                <w:top w:val="none" w:sz="0" w:space="0" w:color="auto"/>
                                                <w:left w:val="none" w:sz="0" w:space="0" w:color="auto"/>
                                                <w:bottom w:val="none" w:sz="0" w:space="0" w:color="auto"/>
                                                <w:right w:val="none" w:sz="0" w:space="0" w:color="auto"/>
                                              </w:divBdr>
                                              <w:divsChild>
                                                <w:div w:id="447941913">
                                                  <w:marLeft w:val="0"/>
                                                  <w:marRight w:val="0"/>
                                                  <w:marTop w:val="0"/>
                                                  <w:marBottom w:val="0"/>
                                                  <w:divBdr>
                                                    <w:top w:val="none" w:sz="0" w:space="0" w:color="auto"/>
                                                    <w:left w:val="none" w:sz="0" w:space="0" w:color="auto"/>
                                                    <w:bottom w:val="none" w:sz="0" w:space="0" w:color="auto"/>
                                                    <w:right w:val="none" w:sz="0" w:space="0" w:color="auto"/>
                                                  </w:divBdr>
                                                  <w:divsChild>
                                                    <w:div w:id="447941891">
                                                      <w:marLeft w:val="0"/>
                                                      <w:marRight w:val="0"/>
                                                      <w:marTop w:val="0"/>
                                                      <w:marBottom w:val="0"/>
                                                      <w:divBdr>
                                                        <w:top w:val="none" w:sz="0" w:space="0" w:color="auto"/>
                                                        <w:left w:val="none" w:sz="0" w:space="0" w:color="auto"/>
                                                        <w:bottom w:val="none" w:sz="0" w:space="0" w:color="auto"/>
                                                        <w:right w:val="none" w:sz="0" w:space="0" w:color="auto"/>
                                                      </w:divBdr>
                                                      <w:divsChild>
                                                        <w:div w:id="447941952">
                                                          <w:marLeft w:val="0"/>
                                                          <w:marRight w:val="0"/>
                                                          <w:marTop w:val="0"/>
                                                          <w:marBottom w:val="0"/>
                                                          <w:divBdr>
                                                            <w:top w:val="none" w:sz="0" w:space="0" w:color="auto"/>
                                                            <w:left w:val="none" w:sz="0" w:space="0" w:color="auto"/>
                                                            <w:bottom w:val="none" w:sz="0" w:space="0" w:color="auto"/>
                                                            <w:right w:val="none" w:sz="0" w:space="0" w:color="auto"/>
                                                          </w:divBdr>
                                                          <w:divsChild>
                                                            <w:div w:id="447941949">
                                                              <w:marLeft w:val="0"/>
                                                              <w:marRight w:val="0"/>
                                                              <w:marTop w:val="0"/>
                                                              <w:marBottom w:val="0"/>
                                                              <w:divBdr>
                                                                <w:top w:val="none" w:sz="0" w:space="0" w:color="auto"/>
                                                                <w:left w:val="none" w:sz="0" w:space="0" w:color="auto"/>
                                                                <w:bottom w:val="none" w:sz="0" w:space="0" w:color="auto"/>
                                                                <w:right w:val="none" w:sz="0" w:space="0" w:color="auto"/>
                                                              </w:divBdr>
                                                              <w:divsChild>
                                                                <w:div w:id="447941894">
                                                                  <w:marLeft w:val="0"/>
                                                                  <w:marRight w:val="0"/>
                                                                  <w:marTop w:val="0"/>
                                                                  <w:marBottom w:val="0"/>
                                                                  <w:divBdr>
                                                                    <w:top w:val="none" w:sz="0" w:space="0" w:color="auto"/>
                                                                    <w:left w:val="none" w:sz="0" w:space="0" w:color="auto"/>
                                                                    <w:bottom w:val="none" w:sz="0" w:space="0" w:color="auto"/>
                                                                    <w:right w:val="none" w:sz="0" w:space="0" w:color="auto"/>
                                                                  </w:divBdr>
                                                                  <w:divsChild>
                                                                    <w:div w:id="447941897">
                                                                      <w:marLeft w:val="0"/>
                                                                      <w:marRight w:val="0"/>
                                                                      <w:marTop w:val="0"/>
                                                                      <w:marBottom w:val="0"/>
                                                                      <w:divBdr>
                                                                        <w:top w:val="none" w:sz="0" w:space="0" w:color="auto"/>
                                                                        <w:left w:val="none" w:sz="0" w:space="0" w:color="auto"/>
                                                                        <w:bottom w:val="none" w:sz="0" w:space="0" w:color="auto"/>
                                                                        <w:right w:val="none" w:sz="0" w:space="0" w:color="auto"/>
                                                                      </w:divBdr>
                                                                      <w:divsChild>
                                                                        <w:div w:id="447941936">
                                                                          <w:marLeft w:val="0"/>
                                                                          <w:marRight w:val="0"/>
                                                                          <w:marTop w:val="0"/>
                                                                          <w:marBottom w:val="0"/>
                                                                          <w:divBdr>
                                                                            <w:top w:val="none" w:sz="0" w:space="0" w:color="auto"/>
                                                                            <w:left w:val="none" w:sz="0" w:space="0" w:color="auto"/>
                                                                            <w:bottom w:val="none" w:sz="0" w:space="0" w:color="auto"/>
                                                                            <w:right w:val="none" w:sz="0" w:space="0" w:color="auto"/>
                                                                          </w:divBdr>
                                                                          <w:divsChild>
                                                                            <w:div w:id="447941904">
                                                                              <w:marLeft w:val="0"/>
                                                                              <w:marRight w:val="0"/>
                                                                              <w:marTop w:val="0"/>
                                                                              <w:marBottom w:val="0"/>
                                                                              <w:divBdr>
                                                                                <w:top w:val="none" w:sz="0" w:space="0" w:color="auto"/>
                                                                                <w:left w:val="none" w:sz="0" w:space="0" w:color="auto"/>
                                                                                <w:bottom w:val="none" w:sz="0" w:space="0" w:color="auto"/>
                                                                                <w:right w:val="none" w:sz="0" w:space="0" w:color="auto"/>
                                                                              </w:divBdr>
                                                                              <w:divsChild>
                                                                                <w:div w:id="447941895">
                                                                                  <w:marLeft w:val="0"/>
                                                                                  <w:marRight w:val="0"/>
                                                                                  <w:marTop w:val="0"/>
                                                                                  <w:marBottom w:val="0"/>
                                                                                  <w:divBdr>
                                                                                    <w:top w:val="none" w:sz="0" w:space="0" w:color="auto"/>
                                                                                    <w:left w:val="none" w:sz="0" w:space="0" w:color="auto"/>
                                                                                    <w:bottom w:val="none" w:sz="0" w:space="0" w:color="auto"/>
                                                                                    <w:right w:val="none" w:sz="0" w:space="0" w:color="auto"/>
                                                                                  </w:divBdr>
                                                                                  <w:divsChild>
                                                                                    <w:div w:id="447941926">
                                                                                      <w:marLeft w:val="0"/>
                                                                                      <w:marRight w:val="0"/>
                                                                                      <w:marTop w:val="0"/>
                                                                                      <w:marBottom w:val="0"/>
                                                                                      <w:divBdr>
                                                                                        <w:top w:val="none" w:sz="0" w:space="0" w:color="auto"/>
                                                                                        <w:left w:val="none" w:sz="0" w:space="0" w:color="auto"/>
                                                                                        <w:bottom w:val="none" w:sz="0" w:space="0" w:color="auto"/>
                                                                                        <w:right w:val="none" w:sz="0" w:space="0" w:color="auto"/>
                                                                                      </w:divBdr>
                                                                                      <w:divsChild>
                                                                                        <w:div w:id="447941947">
                                                                                          <w:marLeft w:val="0"/>
                                                                                          <w:marRight w:val="0"/>
                                                                                          <w:marTop w:val="0"/>
                                                                                          <w:marBottom w:val="0"/>
                                                                                          <w:divBdr>
                                                                                            <w:top w:val="none" w:sz="0" w:space="0" w:color="auto"/>
                                                                                            <w:left w:val="none" w:sz="0" w:space="0" w:color="auto"/>
                                                                                            <w:bottom w:val="none" w:sz="0" w:space="0" w:color="auto"/>
                                                                                            <w:right w:val="none" w:sz="0" w:space="0" w:color="auto"/>
                                                                                          </w:divBdr>
                                                                                          <w:divsChild>
                                                                                            <w:div w:id="447941916">
                                                                                              <w:marLeft w:val="0"/>
                                                                                              <w:marRight w:val="0"/>
                                                                                              <w:marTop w:val="0"/>
                                                                                              <w:marBottom w:val="0"/>
                                                                                              <w:divBdr>
                                                                                                <w:top w:val="none" w:sz="0" w:space="0" w:color="auto"/>
                                                                                                <w:left w:val="none" w:sz="0" w:space="0" w:color="auto"/>
                                                                                                <w:bottom w:val="none" w:sz="0" w:space="0" w:color="auto"/>
                                                                                                <w:right w:val="none" w:sz="0" w:space="0" w:color="auto"/>
                                                                                              </w:divBdr>
                                                                                              <w:divsChild>
                                                                                                <w:div w:id="447941940">
                                                                                                  <w:marLeft w:val="0"/>
                                                                                                  <w:marRight w:val="0"/>
                                                                                                  <w:marTop w:val="0"/>
                                                                                                  <w:marBottom w:val="0"/>
                                                                                                  <w:divBdr>
                                                                                                    <w:top w:val="none" w:sz="0" w:space="0" w:color="auto"/>
                                                                                                    <w:left w:val="none" w:sz="0" w:space="0" w:color="auto"/>
                                                                                                    <w:bottom w:val="none" w:sz="0" w:space="0" w:color="auto"/>
                                                                                                    <w:right w:val="none" w:sz="0" w:space="0" w:color="auto"/>
                                                                                                  </w:divBdr>
                                                                                                  <w:divsChild>
                                                                                                    <w:div w:id="447941910">
                                                                                                      <w:marLeft w:val="0"/>
                                                                                                      <w:marRight w:val="0"/>
                                                                                                      <w:marTop w:val="0"/>
                                                                                                      <w:marBottom w:val="0"/>
                                                                                                      <w:divBdr>
                                                                                                        <w:top w:val="none" w:sz="0" w:space="0" w:color="auto"/>
                                                                                                        <w:left w:val="none" w:sz="0" w:space="0" w:color="auto"/>
                                                                                                        <w:bottom w:val="none" w:sz="0" w:space="0" w:color="auto"/>
                                                                                                        <w:right w:val="none" w:sz="0" w:space="0" w:color="auto"/>
                                                                                                      </w:divBdr>
                                                                                                      <w:divsChild>
                                                                                                        <w:div w:id="447941911">
                                                                                                          <w:marLeft w:val="0"/>
                                                                                                          <w:marRight w:val="0"/>
                                                                                                          <w:marTop w:val="0"/>
                                                                                                          <w:marBottom w:val="0"/>
                                                                                                          <w:divBdr>
                                                                                                            <w:top w:val="none" w:sz="0" w:space="0" w:color="auto"/>
                                                                                                            <w:left w:val="none" w:sz="0" w:space="0" w:color="auto"/>
                                                                                                            <w:bottom w:val="none" w:sz="0" w:space="0" w:color="auto"/>
                                                                                                            <w:right w:val="none" w:sz="0" w:space="0" w:color="auto"/>
                                                                                                          </w:divBdr>
                                                                                                          <w:divsChild>
                                                                                                            <w:div w:id="447941919">
                                                                                                              <w:marLeft w:val="0"/>
                                                                                                              <w:marRight w:val="0"/>
                                                                                                              <w:marTop w:val="0"/>
                                                                                                              <w:marBottom w:val="0"/>
                                                                                                              <w:divBdr>
                                                                                                                <w:top w:val="none" w:sz="0" w:space="0" w:color="auto"/>
                                                                                                                <w:left w:val="none" w:sz="0" w:space="0" w:color="auto"/>
                                                                                                                <w:bottom w:val="none" w:sz="0" w:space="0" w:color="auto"/>
                                                                                                                <w:right w:val="none" w:sz="0" w:space="0" w:color="auto"/>
                                                                                                              </w:divBdr>
                                                                                                              <w:divsChild>
                                                                                                                <w:div w:id="447941939">
                                                                                                                  <w:marLeft w:val="0"/>
                                                                                                                  <w:marRight w:val="0"/>
                                                                                                                  <w:marTop w:val="0"/>
                                                                                                                  <w:marBottom w:val="0"/>
                                                                                                                  <w:divBdr>
                                                                                                                    <w:top w:val="none" w:sz="0" w:space="0" w:color="auto"/>
                                                                                                                    <w:left w:val="none" w:sz="0" w:space="0" w:color="auto"/>
                                                                                                                    <w:bottom w:val="none" w:sz="0" w:space="0" w:color="auto"/>
                                                                                                                    <w:right w:val="none" w:sz="0" w:space="0" w:color="auto"/>
                                                                                                                  </w:divBdr>
                                                                                                                  <w:divsChild>
                                                                                                                    <w:div w:id="447941907">
                                                                                                                      <w:marLeft w:val="0"/>
                                                                                                                      <w:marRight w:val="0"/>
                                                                                                                      <w:marTop w:val="0"/>
                                                                                                                      <w:marBottom w:val="0"/>
                                                                                                                      <w:divBdr>
                                                                                                                        <w:top w:val="none" w:sz="0" w:space="0" w:color="auto"/>
                                                                                                                        <w:left w:val="none" w:sz="0" w:space="0" w:color="auto"/>
                                                                                                                        <w:bottom w:val="none" w:sz="0" w:space="0" w:color="auto"/>
                                                                                                                        <w:right w:val="none" w:sz="0" w:space="0" w:color="auto"/>
                                                                                                                      </w:divBdr>
                                                                                                                      <w:divsChild>
                                                                                                                        <w:div w:id="447941906">
                                                                                                                          <w:marLeft w:val="0"/>
                                                                                                                          <w:marRight w:val="0"/>
                                                                                                                          <w:marTop w:val="0"/>
                                                                                                                          <w:marBottom w:val="0"/>
                                                                                                                          <w:divBdr>
                                                                                                                            <w:top w:val="none" w:sz="0" w:space="0" w:color="auto"/>
                                                                                                                            <w:left w:val="none" w:sz="0" w:space="0" w:color="auto"/>
                                                                                                                            <w:bottom w:val="none" w:sz="0" w:space="0" w:color="auto"/>
                                                                                                                            <w:right w:val="none" w:sz="0" w:space="0" w:color="auto"/>
                                                                                                                          </w:divBdr>
                                                                                                                          <w:divsChild>
                                                                                                                            <w:div w:id="447941950">
                                                                                                                              <w:marLeft w:val="0"/>
                                                                                                                              <w:marRight w:val="0"/>
                                                                                                                              <w:marTop w:val="0"/>
                                                                                                                              <w:marBottom w:val="0"/>
                                                                                                                              <w:divBdr>
                                                                                                                                <w:top w:val="none" w:sz="0" w:space="0" w:color="auto"/>
                                                                                                                                <w:left w:val="none" w:sz="0" w:space="0" w:color="auto"/>
                                                                                                                                <w:bottom w:val="none" w:sz="0" w:space="0" w:color="auto"/>
                                                                                                                                <w:right w:val="none" w:sz="0" w:space="0" w:color="auto"/>
                                                                                                                              </w:divBdr>
                                                                                                                              <w:divsChild>
                                                                                                                                <w:div w:id="447941900">
                                                                                                                                  <w:marLeft w:val="0"/>
                                                                                                                                  <w:marRight w:val="0"/>
                                                                                                                                  <w:marTop w:val="0"/>
                                                                                                                                  <w:marBottom w:val="0"/>
                                                                                                                                  <w:divBdr>
                                                                                                                                    <w:top w:val="none" w:sz="0" w:space="0" w:color="auto"/>
                                                                                                                                    <w:left w:val="none" w:sz="0" w:space="0" w:color="auto"/>
                                                                                                                                    <w:bottom w:val="none" w:sz="0" w:space="0" w:color="auto"/>
                                                                                                                                    <w:right w:val="none" w:sz="0" w:space="0" w:color="auto"/>
                                                                                                                                  </w:divBdr>
                                                                                                                                </w:div>
                                                                                                                                <w:div w:id="447941928">
                                                                                                                                  <w:marLeft w:val="0"/>
                                                                                                                                  <w:marRight w:val="0"/>
                                                                                                                                  <w:marTop w:val="0"/>
                                                                                                                                  <w:marBottom w:val="0"/>
                                                                                                                                  <w:divBdr>
                                                                                                                                    <w:top w:val="none" w:sz="0" w:space="0" w:color="auto"/>
                                                                                                                                    <w:left w:val="none" w:sz="0" w:space="0" w:color="auto"/>
                                                                                                                                    <w:bottom w:val="none" w:sz="0" w:space="0" w:color="auto"/>
                                                                                                                                    <w:right w:val="none" w:sz="0" w:space="0" w:color="auto"/>
                                                                                                                                  </w:divBdr>
                                                                                                                                </w:div>
                                                                                                                                <w:div w:id="4479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941938">
      <w:marLeft w:val="0"/>
      <w:marRight w:val="0"/>
      <w:marTop w:val="0"/>
      <w:marBottom w:val="0"/>
      <w:divBdr>
        <w:top w:val="none" w:sz="0" w:space="0" w:color="auto"/>
        <w:left w:val="none" w:sz="0" w:space="0" w:color="auto"/>
        <w:bottom w:val="none" w:sz="0" w:space="0" w:color="auto"/>
        <w:right w:val="none" w:sz="0" w:space="0" w:color="auto"/>
      </w:divBdr>
      <w:divsChild>
        <w:div w:id="447941912">
          <w:marLeft w:val="0"/>
          <w:marRight w:val="0"/>
          <w:marTop w:val="0"/>
          <w:marBottom w:val="0"/>
          <w:divBdr>
            <w:top w:val="none" w:sz="0" w:space="0" w:color="auto"/>
            <w:left w:val="none" w:sz="0" w:space="0" w:color="auto"/>
            <w:bottom w:val="none" w:sz="0" w:space="0" w:color="auto"/>
            <w:right w:val="none" w:sz="0" w:space="0" w:color="auto"/>
          </w:divBdr>
          <w:divsChild>
            <w:div w:id="447941948">
              <w:marLeft w:val="0"/>
              <w:marRight w:val="0"/>
              <w:marTop w:val="0"/>
              <w:marBottom w:val="0"/>
              <w:divBdr>
                <w:top w:val="none" w:sz="0" w:space="0" w:color="auto"/>
                <w:left w:val="none" w:sz="0" w:space="0" w:color="auto"/>
                <w:bottom w:val="none" w:sz="0" w:space="0" w:color="auto"/>
                <w:right w:val="none" w:sz="0" w:space="0" w:color="auto"/>
              </w:divBdr>
              <w:divsChild>
                <w:div w:id="447941899">
                  <w:marLeft w:val="0"/>
                  <w:marRight w:val="0"/>
                  <w:marTop w:val="0"/>
                  <w:marBottom w:val="0"/>
                  <w:divBdr>
                    <w:top w:val="none" w:sz="0" w:space="0" w:color="auto"/>
                    <w:left w:val="none" w:sz="0" w:space="0" w:color="auto"/>
                    <w:bottom w:val="none" w:sz="0" w:space="0" w:color="auto"/>
                    <w:right w:val="none" w:sz="0" w:space="0" w:color="auto"/>
                  </w:divBdr>
                  <w:divsChild>
                    <w:div w:id="447941925">
                      <w:marLeft w:val="0"/>
                      <w:marRight w:val="0"/>
                      <w:marTop w:val="0"/>
                      <w:marBottom w:val="0"/>
                      <w:divBdr>
                        <w:top w:val="none" w:sz="0" w:space="0" w:color="auto"/>
                        <w:left w:val="none" w:sz="0" w:space="0" w:color="auto"/>
                        <w:bottom w:val="none" w:sz="0" w:space="0" w:color="auto"/>
                        <w:right w:val="none" w:sz="0" w:space="0" w:color="auto"/>
                      </w:divBdr>
                      <w:divsChild>
                        <w:div w:id="447941934">
                          <w:marLeft w:val="0"/>
                          <w:marRight w:val="0"/>
                          <w:marTop w:val="0"/>
                          <w:marBottom w:val="0"/>
                          <w:divBdr>
                            <w:top w:val="none" w:sz="0" w:space="0" w:color="auto"/>
                            <w:left w:val="none" w:sz="0" w:space="0" w:color="auto"/>
                            <w:bottom w:val="none" w:sz="0" w:space="0" w:color="auto"/>
                            <w:right w:val="none" w:sz="0" w:space="0" w:color="auto"/>
                          </w:divBdr>
                          <w:divsChild>
                            <w:div w:id="447941935">
                              <w:marLeft w:val="0"/>
                              <w:marRight w:val="0"/>
                              <w:marTop w:val="0"/>
                              <w:marBottom w:val="0"/>
                              <w:divBdr>
                                <w:top w:val="none" w:sz="0" w:space="0" w:color="auto"/>
                                <w:left w:val="none" w:sz="0" w:space="0" w:color="auto"/>
                                <w:bottom w:val="none" w:sz="0" w:space="0" w:color="auto"/>
                                <w:right w:val="none" w:sz="0" w:space="0" w:color="auto"/>
                              </w:divBdr>
                              <w:divsChild>
                                <w:div w:id="447941896">
                                  <w:marLeft w:val="0"/>
                                  <w:marRight w:val="0"/>
                                  <w:marTop w:val="0"/>
                                  <w:marBottom w:val="0"/>
                                  <w:divBdr>
                                    <w:top w:val="none" w:sz="0" w:space="0" w:color="auto"/>
                                    <w:left w:val="none" w:sz="0" w:space="0" w:color="auto"/>
                                    <w:bottom w:val="none" w:sz="0" w:space="0" w:color="auto"/>
                                    <w:right w:val="none" w:sz="0" w:space="0" w:color="auto"/>
                                  </w:divBdr>
                                  <w:divsChild>
                                    <w:div w:id="447941945">
                                      <w:marLeft w:val="0"/>
                                      <w:marRight w:val="0"/>
                                      <w:marTop w:val="0"/>
                                      <w:marBottom w:val="0"/>
                                      <w:divBdr>
                                        <w:top w:val="none" w:sz="0" w:space="0" w:color="auto"/>
                                        <w:left w:val="none" w:sz="0" w:space="0" w:color="auto"/>
                                        <w:bottom w:val="none" w:sz="0" w:space="0" w:color="auto"/>
                                        <w:right w:val="none" w:sz="0" w:space="0" w:color="auto"/>
                                      </w:divBdr>
                                      <w:divsChild>
                                        <w:div w:id="447941901">
                                          <w:marLeft w:val="0"/>
                                          <w:marRight w:val="0"/>
                                          <w:marTop w:val="0"/>
                                          <w:marBottom w:val="0"/>
                                          <w:divBdr>
                                            <w:top w:val="none" w:sz="0" w:space="0" w:color="auto"/>
                                            <w:left w:val="none" w:sz="0" w:space="0" w:color="auto"/>
                                            <w:bottom w:val="none" w:sz="0" w:space="0" w:color="auto"/>
                                            <w:right w:val="none" w:sz="0" w:space="0" w:color="auto"/>
                                          </w:divBdr>
                                          <w:divsChild>
                                            <w:div w:id="447941929">
                                              <w:marLeft w:val="0"/>
                                              <w:marRight w:val="0"/>
                                              <w:marTop w:val="0"/>
                                              <w:marBottom w:val="0"/>
                                              <w:divBdr>
                                                <w:top w:val="none" w:sz="0" w:space="0" w:color="auto"/>
                                                <w:left w:val="none" w:sz="0" w:space="0" w:color="auto"/>
                                                <w:bottom w:val="none" w:sz="0" w:space="0" w:color="auto"/>
                                                <w:right w:val="none" w:sz="0" w:space="0" w:color="auto"/>
                                              </w:divBdr>
                                              <w:divsChild>
                                                <w:div w:id="447941918">
                                                  <w:marLeft w:val="0"/>
                                                  <w:marRight w:val="0"/>
                                                  <w:marTop w:val="0"/>
                                                  <w:marBottom w:val="0"/>
                                                  <w:divBdr>
                                                    <w:top w:val="none" w:sz="0" w:space="0" w:color="auto"/>
                                                    <w:left w:val="none" w:sz="0" w:space="0" w:color="auto"/>
                                                    <w:bottom w:val="none" w:sz="0" w:space="0" w:color="auto"/>
                                                    <w:right w:val="none" w:sz="0" w:space="0" w:color="auto"/>
                                                  </w:divBdr>
                                                  <w:divsChild>
                                                    <w:div w:id="447941917">
                                                      <w:marLeft w:val="0"/>
                                                      <w:marRight w:val="0"/>
                                                      <w:marTop w:val="0"/>
                                                      <w:marBottom w:val="0"/>
                                                      <w:divBdr>
                                                        <w:top w:val="none" w:sz="0" w:space="0" w:color="auto"/>
                                                        <w:left w:val="none" w:sz="0" w:space="0" w:color="auto"/>
                                                        <w:bottom w:val="none" w:sz="0" w:space="0" w:color="auto"/>
                                                        <w:right w:val="none" w:sz="0" w:space="0" w:color="auto"/>
                                                      </w:divBdr>
                                                      <w:divsChild>
                                                        <w:div w:id="447941889">
                                                          <w:marLeft w:val="0"/>
                                                          <w:marRight w:val="0"/>
                                                          <w:marTop w:val="0"/>
                                                          <w:marBottom w:val="0"/>
                                                          <w:divBdr>
                                                            <w:top w:val="none" w:sz="0" w:space="0" w:color="auto"/>
                                                            <w:left w:val="none" w:sz="0" w:space="0" w:color="auto"/>
                                                            <w:bottom w:val="none" w:sz="0" w:space="0" w:color="auto"/>
                                                            <w:right w:val="none" w:sz="0" w:space="0" w:color="auto"/>
                                                          </w:divBdr>
                                                          <w:divsChild>
                                                            <w:div w:id="447941944">
                                                              <w:marLeft w:val="0"/>
                                                              <w:marRight w:val="0"/>
                                                              <w:marTop w:val="0"/>
                                                              <w:marBottom w:val="0"/>
                                                              <w:divBdr>
                                                                <w:top w:val="none" w:sz="0" w:space="0" w:color="auto"/>
                                                                <w:left w:val="none" w:sz="0" w:space="0" w:color="auto"/>
                                                                <w:bottom w:val="none" w:sz="0" w:space="0" w:color="auto"/>
                                                                <w:right w:val="none" w:sz="0" w:space="0" w:color="auto"/>
                                                              </w:divBdr>
                                                              <w:divsChild>
                                                                <w:div w:id="447941914">
                                                                  <w:marLeft w:val="0"/>
                                                                  <w:marRight w:val="0"/>
                                                                  <w:marTop w:val="0"/>
                                                                  <w:marBottom w:val="0"/>
                                                                  <w:divBdr>
                                                                    <w:top w:val="none" w:sz="0" w:space="0" w:color="auto"/>
                                                                    <w:left w:val="none" w:sz="0" w:space="0" w:color="auto"/>
                                                                    <w:bottom w:val="none" w:sz="0" w:space="0" w:color="auto"/>
                                                                    <w:right w:val="none" w:sz="0" w:space="0" w:color="auto"/>
                                                                  </w:divBdr>
                                                                  <w:divsChild>
                                                                    <w:div w:id="447941923">
                                                                      <w:marLeft w:val="0"/>
                                                                      <w:marRight w:val="0"/>
                                                                      <w:marTop w:val="0"/>
                                                                      <w:marBottom w:val="0"/>
                                                                      <w:divBdr>
                                                                        <w:top w:val="none" w:sz="0" w:space="0" w:color="auto"/>
                                                                        <w:left w:val="none" w:sz="0" w:space="0" w:color="auto"/>
                                                                        <w:bottom w:val="none" w:sz="0" w:space="0" w:color="auto"/>
                                                                        <w:right w:val="none" w:sz="0" w:space="0" w:color="auto"/>
                                                                      </w:divBdr>
                                                                      <w:divsChild>
                                                                        <w:div w:id="447941927">
                                                                          <w:marLeft w:val="0"/>
                                                                          <w:marRight w:val="0"/>
                                                                          <w:marTop w:val="0"/>
                                                                          <w:marBottom w:val="0"/>
                                                                          <w:divBdr>
                                                                            <w:top w:val="none" w:sz="0" w:space="0" w:color="auto"/>
                                                                            <w:left w:val="none" w:sz="0" w:space="0" w:color="auto"/>
                                                                            <w:bottom w:val="none" w:sz="0" w:space="0" w:color="auto"/>
                                                                            <w:right w:val="none" w:sz="0" w:space="0" w:color="auto"/>
                                                                          </w:divBdr>
                                                                          <w:divsChild>
                                                                            <w:div w:id="447941909">
                                                                              <w:marLeft w:val="0"/>
                                                                              <w:marRight w:val="0"/>
                                                                              <w:marTop w:val="0"/>
                                                                              <w:marBottom w:val="0"/>
                                                                              <w:divBdr>
                                                                                <w:top w:val="none" w:sz="0" w:space="0" w:color="auto"/>
                                                                                <w:left w:val="none" w:sz="0" w:space="0" w:color="auto"/>
                                                                                <w:bottom w:val="none" w:sz="0" w:space="0" w:color="auto"/>
                                                                                <w:right w:val="none" w:sz="0" w:space="0" w:color="auto"/>
                                                                              </w:divBdr>
                                                                              <w:divsChild>
                                                                                <w:div w:id="447941937">
                                                                                  <w:marLeft w:val="0"/>
                                                                                  <w:marRight w:val="0"/>
                                                                                  <w:marTop w:val="0"/>
                                                                                  <w:marBottom w:val="0"/>
                                                                                  <w:divBdr>
                                                                                    <w:top w:val="none" w:sz="0" w:space="0" w:color="auto"/>
                                                                                    <w:left w:val="none" w:sz="0" w:space="0" w:color="auto"/>
                                                                                    <w:bottom w:val="none" w:sz="0" w:space="0" w:color="auto"/>
                                                                                    <w:right w:val="none" w:sz="0" w:space="0" w:color="auto"/>
                                                                                  </w:divBdr>
                                                                                  <w:divsChild>
                                                                                    <w:div w:id="447941920">
                                                                                      <w:marLeft w:val="0"/>
                                                                                      <w:marRight w:val="0"/>
                                                                                      <w:marTop w:val="0"/>
                                                                                      <w:marBottom w:val="0"/>
                                                                                      <w:divBdr>
                                                                                        <w:top w:val="none" w:sz="0" w:space="0" w:color="auto"/>
                                                                                        <w:left w:val="none" w:sz="0" w:space="0" w:color="auto"/>
                                                                                        <w:bottom w:val="none" w:sz="0" w:space="0" w:color="auto"/>
                                                                                        <w:right w:val="none" w:sz="0" w:space="0" w:color="auto"/>
                                                                                      </w:divBdr>
                                                                                      <w:divsChild>
                                                                                        <w:div w:id="447941890">
                                                                                          <w:marLeft w:val="0"/>
                                                                                          <w:marRight w:val="0"/>
                                                                                          <w:marTop w:val="0"/>
                                                                                          <w:marBottom w:val="0"/>
                                                                                          <w:divBdr>
                                                                                            <w:top w:val="none" w:sz="0" w:space="0" w:color="auto"/>
                                                                                            <w:left w:val="none" w:sz="0" w:space="0" w:color="auto"/>
                                                                                            <w:bottom w:val="none" w:sz="0" w:space="0" w:color="auto"/>
                                                                                            <w:right w:val="none" w:sz="0" w:space="0" w:color="auto"/>
                                                                                          </w:divBdr>
                                                                                          <w:divsChild>
                                                                                            <w:div w:id="447941903">
                                                                                              <w:marLeft w:val="0"/>
                                                                                              <w:marRight w:val="0"/>
                                                                                              <w:marTop w:val="0"/>
                                                                                              <w:marBottom w:val="0"/>
                                                                                              <w:divBdr>
                                                                                                <w:top w:val="none" w:sz="0" w:space="0" w:color="auto"/>
                                                                                                <w:left w:val="none" w:sz="0" w:space="0" w:color="auto"/>
                                                                                                <w:bottom w:val="none" w:sz="0" w:space="0" w:color="auto"/>
                                                                                                <w:right w:val="none" w:sz="0" w:space="0" w:color="auto"/>
                                                                                              </w:divBdr>
                                                                                              <w:divsChild>
                                                                                                <w:div w:id="447941892">
                                                                                                  <w:marLeft w:val="0"/>
                                                                                                  <w:marRight w:val="0"/>
                                                                                                  <w:marTop w:val="0"/>
                                                                                                  <w:marBottom w:val="0"/>
                                                                                                  <w:divBdr>
                                                                                                    <w:top w:val="none" w:sz="0" w:space="0" w:color="auto"/>
                                                                                                    <w:left w:val="none" w:sz="0" w:space="0" w:color="auto"/>
                                                                                                    <w:bottom w:val="none" w:sz="0" w:space="0" w:color="auto"/>
                                                                                                    <w:right w:val="none" w:sz="0" w:space="0" w:color="auto"/>
                                                                                                  </w:divBdr>
                                                                                                </w:div>
                                                                                                <w:div w:id="447941893">
                                                                                                  <w:marLeft w:val="0"/>
                                                                                                  <w:marRight w:val="0"/>
                                                                                                  <w:marTop w:val="0"/>
                                                                                                  <w:marBottom w:val="0"/>
                                                                                                  <w:divBdr>
                                                                                                    <w:top w:val="none" w:sz="0" w:space="0" w:color="auto"/>
                                                                                                    <w:left w:val="none" w:sz="0" w:space="0" w:color="auto"/>
                                                                                                    <w:bottom w:val="none" w:sz="0" w:space="0" w:color="auto"/>
                                                                                                    <w:right w:val="none" w:sz="0" w:space="0" w:color="auto"/>
                                                                                                  </w:divBdr>
                                                                                                </w:div>
                                                                                                <w:div w:id="447941902">
                                                                                                  <w:marLeft w:val="0"/>
                                                                                                  <w:marRight w:val="0"/>
                                                                                                  <w:marTop w:val="0"/>
                                                                                                  <w:marBottom w:val="0"/>
                                                                                                  <w:divBdr>
                                                                                                    <w:top w:val="none" w:sz="0" w:space="0" w:color="auto"/>
                                                                                                    <w:left w:val="none" w:sz="0" w:space="0" w:color="auto"/>
                                                                                                    <w:bottom w:val="none" w:sz="0" w:space="0" w:color="auto"/>
                                                                                                    <w:right w:val="none" w:sz="0" w:space="0" w:color="auto"/>
                                                                                                  </w:divBdr>
                                                                                                </w:div>
                                                                                                <w:div w:id="447941908">
                                                                                                  <w:marLeft w:val="0"/>
                                                                                                  <w:marRight w:val="0"/>
                                                                                                  <w:marTop w:val="0"/>
                                                                                                  <w:marBottom w:val="0"/>
                                                                                                  <w:divBdr>
                                                                                                    <w:top w:val="none" w:sz="0" w:space="0" w:color="auto"/>
                                                                                                    <w:left w:val="none" w:sz="0" w:space="0" w:color="auto"/>
                                                                                                    <w:bottom w:val="none" w:sz="0" w:space="0" w:color="auto"/>
                                                                                                    <w:right w:val="none" w:sz="0" w:space="0" w:color="auto"/>
                                                                                                  </w:divBdr>
                                                                                                </w:div>
                                                                                                <w:div w:id="447941930">
                                                                                                  <w:marLeft w:val="0"/>
                                                                                                  <w:marRight w:val="0"/>
                                                                                                  <w:marTop w:val="0"/>
                                                                                                  <w:marBottom w:val="0"/>
                                                                                                  <w:divBdr>
                                                                                                    <w:top w:val="none" w:sz="0" w:space="0" w:color="auto"/>
                                                                                                    <w:left w:val="none" w:sz="0" w:space="0" w:color="auto"/>
                                                                                                    <w:bottom w:val="none" w:sz="0" w:space="0" w:color="auto"/>
                                                                                                    <w:right w:val="none" w:sz="0" w:space="0" w:color="auto"/>
                                                                                                  </w:divBdr>
                                                                                                </w:div>
                                                                                                <w:div w:id="447941943">
                                                                                                  <w:marLeft w:val="0"/>
                                                                                                  <w:marRight w:val="0"/>
                                                                                                  <w:marTop w:val="0"/>
                                                                                                  <w:marBottom w:val="0"/>
                                                                                                  <w:divBdr>
                                                                                                    <w:top w:val="none" w:sz="0" w:space="0" w:color="auto"/>
                                                                                                    <w:left w:val="none" w:sz="0" w:space="0" w:color="auto"/>
                                                                                                    <w:bottom w:val="none" w:sz="0" w:space="0" w:color="auto"/>
                                                                                                    <w:right w:val="none" w:sz="0" w:space="0" w:color="auto"/>
                                                                                                  </w:divBdr>
                                                                                                </w:div>
                                                                                                <w:div w:id="447941946">
                                                                                                  <w:marLeft w:val="0"/>
                                                                                                  <w:marRight w:val="0"/>
                                                                                                  <w:marTop w:val="0"/>
                                                                                                  <w:marBottom w:val="0"/>
                                                                                                  <w:divBdr>
                                                                                                    <w:top w:val="none" w:sz="0" w:space="0" w:color="auto"/>
                                                                                                    <w:left w:val="none" w:sz="0" w:space="0" w:color="auto"/>
                                                                                                    <w:bottom w:val="none" w:sz="0" w:space="0" w:color="auto"/>
                                                                                                    <w:right w:val="none" w:sz="0" w:space="0" w:color="auto"/>
                                                                                                  </w:divBdr>
                                                                                                </w:div>
                                                                                                <w:div w:id="44794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2788553">
      <w:bodyDiv w:val="1"/>
      <w:marLeft w:val="0"/>
      <w:marRight w:val="0"/>
      <w:marTop w:val="0"/>
      <w:marBottom w:val="0"/>
      <w:divBdr>
        <w:top w:val="none" w:sz="0" w:space="0" w:color="auto"/>
        <w:left w:val="none" w:sz="0" w:space="0" w:color="auto"/>
        <w:bottom w:val="none" w:sz="0" w:space="0" w:color="auto"/>
        <w:right w:val="none" w:sz="0" w:space="0" w:color="auto"/>
      </w:divBdr>
    </w:div>
    <w:div w:id="1236892659">
      <w:bodyDiv w:val="1"/>
      <w:marLeft w:val="0"/>
      <w:marRight w:val="0"/>
      <w:marTop w:val="0"/>
      <w:marBottom w:val="0"/>
      <w:divBdr>
        <w:top w:val="none" w:sz="0" w:space="0" w:color="auto"/>
        <w:left w:val="none" w:sz="0" w:space="0" w:color="auto"/>
        <w:bottom w:val="none" w:sz="0" w:space="0" w:color="auto"/>
        <w:right w:val="none" w:sz="0" w:space="0" w:color="auto"/>
      </w:divBdr>
      <w:divsChild>
        <w:div w:id="579606051">
          <w:marLeft w:val="0"/>
          <w:marRight w:val="0"/>
          <w:marTop w:val="0"/>
          <w:marBottom w:val="0"/>
          <w:divBdr>
            <w:top w:val="none" w:sz="0" w:space="0" w:color="auto"/>
            <w:left w:val="none" w:sz="0" w:space="0" w:color="auto"/>
            <w:bottom w:val="none" w:sz="0" w:space="0" w:color="auto"/>
            <w:right w:val="none" w:sz="0" w:space="0" w:color="auto"/>
          </w:divBdr>
          <w:divsChild>
            <w:div w:id="743986640">
              <w:marLeft w:val="0"/>
              <w:marRight w:val="0"/>
              <w:marTop w:val="0"/>
              <w:marBottom w:val="0"/>
              <w:divBdr>
                <w:top w:val="none" w:sz="0" w:space="0" w:color="auto"/>
                <w:left w:val="none" w:sz="0" w:space="0" w:color="auto"/>
                <w:bottom w:val="none" w:sz="0" w:space="0" w:color="auto"/>
                <w:right w:val="none" w:sz="0" w:space="0" w:color="auto"/>
              </w:divBdr>
              <w:divsChild>
                <w:div w:id="1604997016">
                  <w:marLeft w:val="0"/>
                  <w:marRight w:val="0"/>
                  <w:marTop w:val="0"/>
                  <w:marBottom w:val="0"/>
                  <w:divBdr>
                    <w:top w:val="none" w:sz="0" w:space="0" w:color="auto"/>
                    <w:left w:val="none" w:sz="0" w:space="0" w:color="auto"/>
                    <w:bottom w:val="none" w:sz="0" w:space="0" w:color="auto"/>
                    <w:right w:val="none" w:sz="0" w:space="0" w:color="auto"/>
                  </w:divBdr>
                  <w:divsChild>
                    <w:div w:id="123446644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790393521">
      <w:bodyDiv w:val="1"/>
      <w:marLeft w:val="0"/>
      <w:marRight w:val="0"/>
      <w:marTop w:val="0"/>
      <w:marBottom w:val="0"/>
      <w:divBdr>
        <w:top w:val="none" w:sz="0" w:space="0" w:color="auto"/>
        <w:left w:val="none" w:sz="0" w:space="0" w:color="auto"/>
        <w:bottom w:val="none" w:sz="0" w:space="0" w:color="auto"/>
        <w:right w:val="none" w:sz="0" w:space="0" w:color="auto"/>
      </w:divBdr>
    </w:div>
    <w:div w:id="204289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benelux.int/files/4414/3375/5898/Jointdeclaration.pdf" TargetMode="External"/><Relationship Id="rId2" Type="http://schemas.openxmlformats.org/officeDocument/2006/relationships/hyperlink" Target="http://ec.europa.eu/energy/en/topics/infrastructure/central-and-south-eastern-europe-gas-connectivity" TargetMode="External"/><Relationship Id="rId1" Type="http://schemas.openxmlformats.org/officeDocument/2006/relationships/hyperlink" Target="http://www.eefig.eu" TargetMode="External"/><Relationship Id="rId5" Type="http://schemas.openxmlformats.org/officeDocument/2006/relationships/hyperlink" Target="http://ec.europa.eu/taxation_customs/resources/documents/taxation/gen_info/economic_analysis/tax_papers/taxation_paper_58.pdf" TargetMode="External"/><Relationship Id="rId4" Type="http://schemas.openxmlformats.org/officeDocument/2006/relationships/hyperlink" Target="http://s3platform.jrc.ec.europa.eu/s3p-en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2C423-10C8-4855-A684-F7A212535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7490</Words>
  <Characters>41649</Characters>
  <Application>Microsoft Office Word</Application>
  <DocSecurity>0</DocSecurity>
  <Lines>613</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2015-11-17T10:10:00Z</dcterms:created>
  <dcterms:modified xsi:type="dcterms:W3CDTF">2015-11-18T09:21:00Z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