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C2F" w:rsidRDefault="00AB00AD" w:rsidP="00B43FA5">
      <w:pPr>
        <w:pStyle w:val="Pagedecouverture"/>
      </w:pPr>
      <w:bookmarkStart w:id="0" w:name="LW_BM_COVERPAGE"/>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0B8E8C61289E4953AF6BD2F1698A5A0D" style="width:450.75pt;height:361.5pt">
            <v:imagedata r:id="rId9" o:title=""/>
          </v:shape>
        </w:pict>
      </w:r>
    </w:p>
    <w:bookmarkEnd w:id="0"/>
    <w:p w:rsidR="00097C2F" w:rsidRDefault="00097C2F">
      <w:pPr>
        <w:sectPr w:rsidR="00097C2F" w:rsidSect="00B43FA5">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rsidR="00097C2F" w:rsidRDefault="008C0DFC">
      <w:pPr>
        <w:spacing w:after="240" w:line="240" w:lineRule="auto"/>
        <w:jc w:val="both"/>
        <w:rPr>
          <w:rFonts w:ascii="Times New Roman" w:hAnsi="Times New Roman"/>
          <w:b/>
          <w:smallCaps/>
          <w:sz w:val="24"/>
          <w:szCs w:val="24"/>
        </w:rPr>
      </w:pPr>
      <w:r w:rsidRPr="005A0F82">
        <w:rPr>
          <w:rFonts w:ascii="Times New Roman" w:hAnsi="Times New Roman"/>
          <w:b/>
          <w:smallCaps/>
          <w:sz w:val="24"/>
        </w:rPr>
        <w:lastRenderedPageBreak/>
        <w:t>1</w:t>
      </w:r>
      <w:r>
        <w:rPr>
          <w:rFonts w:ascii="Times New Roman" w:hAnsi="Times New Roman"/>
          <w:b/>
          <w:smallCaps/>
          <w:sz w:val="24"/>
        </w:rPr>
        <w:t xml:space="preserve">. </w:t>
      </w:r>
      <w:r>
        <w:tab/>
      </w:r>
      <w:r>
        <w:rPr>
          <w:rFonts w:ascii="Times New Roman" w:hAnsi="Times New Roman"/>
          <w:b/>
          <w:smallCaps/>
          <w:sz w:val="24"/>
        </w:rPr>
        <w:t>Introduction</w:t>
      </w:r>
    </w:p>
    <w:p w:rsidR="00097C2F" w:rsidRDefault="008C0DFC">
      <w:pPr>
        <w:spacing w:after="240" w:line="240" w:lineRule="auto"/>
        <w:jc w:val="both"/>
        <w:rPr>
          <w:rFonts w:ascii="Times New Roman" w:hAnsi="Times New Roman"/>
          <w:sz w:val="24"/>
          <w:szCs w:val="24"/>
        </w:rPr>
      </w:pPr>
      <w:r>
        <w:rPr>
          <w:rFonts w:ascii="Times New Roman" w:hAnsi="Times New Roman"/>
          <w:sz w:val="24"/>
        </w:rPr>
        <w:t>La communication de la Commission européenne intitulée «Cadre stratégique pour une union de l</w:t>
      </w:r>
      <w:r w:rsidR="00B0065F">
        <w:rPr>
          <w:rFonts w:ascii="Times New Roman" w:hAnsi="Times New Roman"/>
          <w:sz w:val="24"/>
        </w:rPr>
        <w:t>’</w:t>
      </w:r>
      <w:r>
        <w:rPr>
          <w:rFonts w:ascii="Times New Roman" w:hAnsi="Times New Roman"/>
          <w:sz w:val="24"/>
        </w:rPr>
        <w:t>énergie résiliente, dotée d</w:t>
      </w:r>
      <w:r w:rsidR="00B0065F">
        <w:rPr>
          <w:rFonts w:ascii="Times New Roman" w:hAnsi="Times New Roman"/>
          <w:sz w:val="24"/>
        </w:rPr>
        <w:t>’</w:t>
      </w:r>
      <w:r>
        <w:rPr>
          <w:rFonts w:ascii="Times New Roman" w:hAnsi="Times New Roman"/>
          <w:sz w:val="24"/>
        </w:rPr>
        <w:t>une politique clairvoyante en matière de changement climatique»</w:t>
      </w:r>
      <w:r>
        <w:rPr>
          <w:rStyle w:val="FootnoteReference"/>
          <w:rFonts w:ascii="Times New Roman" w:hAnsi="Times New Roman"/>
          <w:sz w:val="24"/>
        </w:rPr>
        <w:footnoteReference w:id="1"/>
      </w:r>
      <w:r>
        <w:rPr>
          <w:rFonts w:ascii="Times New Roman" w:hAnsi="Times New Roman"/>
          <w:sz w:val="24"/>
        </w:rPr>
        <w:t xml:space="preserve"> a donné un nouvel élan aux efforts déployés pour réaliser la transition vers une économie à faibles émissions de carbone, sûre et compétitive. Pour maintenir cet élan, le premier «état de l</w:t>
      </w:r>
      <w:r w:rsidR="00B0065F">
        <w:rPr>
          <w:rFonts w:ascii="Times New Roman" w:hAnsi="Times New Roman"/>
          <w:sz w:val="24"/>
        </w:rPr>
        <w:t>’</w:t>
      </w:r>
      <w:r>
        <w:rPr>
          <w:rFonts w:ascii="Times New Roman" w:hAnsi="Times New Roman"/>
          <w:sz w:val="24"/>
        </w:rPr>
        <w:t>union de l</w:t>
      </w:r>
      <w:r w:rsidR="00B0065F">
        <w:rPr>
          <w:rFonts w:ascii="Times New Roman" w:hAnsi="Times New Roman"/>
          <w:sz w:val="24"/>
        </w:rPr>
        <w:t>’</w:t>
      </w:r>
      <w:r>
        <w:rPr>
          <w:rFonts w:ascii="Times New Roman" w:hAnsi="Times New Roman"/>
          <w:sz w:val="24"/>
        </w:rPr>
        <w:t>énergie»</w:t>
      </w:r>
      <w:r>
        <w:rPr>
          <w:rStyle w:val="FootnoteReference"/>
          <w:rFonts w:ascii="Times New Roman" w:hAnsi="Times New Roman"/>
          <w:sz w:val="24"/>
        </w:rPr>
        <w:footnoteReference w:id="2"/>
      </w:r>
      <w:r>
        <w:rPr>
          <w:rFonts w:ascii="Times New Roman" w:hAnsi="Times New Roman"/>
          <w:sz w:val="24"/>
        </w:rPr>
        <w:t xml:space="preserve"> présenté ici dresse le bilan des progrès accomplis au cours des neuf derniers mois et recense les principales problématiques qui nécessiteront une attention politique particulière en </w:t>
      </w:r>
      <w:r w:rsidRPr="005A0F82">
        <w:rPr>
          <w:rFonts w:ascii="Times New Roman" w:hAnsi="Times New Roman"/>
          <w:sz w:val="24"/>
        </w:rPr>
        <w:t>2016</w:t>
      </w:r>
      <w:r>
        <w:rPr>
          <w:rFonts w:ascii="Times New Roman" w:hAnsi="Times New Roman"/>
          <w:sz w:val="24"/>
        </w:rPr>
        <w:t xml:space="preserve">, </w:t>
      </w:r>
      <w:r w:rsidR="003F1789">
        <w:rPr>
          <w:rFonts w:ascii="Times New Roman" w:hAnsi="Times New Roman"/>
          <w:sz w:val="24"/>
        </w:rPr>
        <w:t xml:space="preserve">qui sera </w:t>
      </w:r>
      <w:r>
        <w:rPr>
          <w:rFonts w:ascii="Times New Roman" w:hAnsi="Times New Roman"/>
          <w:sz w:val="24"/>
        </w:rPr>
        <w:t>une année clé pour la mise en œuvre de l</w:t>
      </w:r>
      <w:r w:rsidR="00B0065F">
        <w:rPr>
          <w:rFonts w:ascii="Times New Roman" w:hAnsi="Times New Roman"/>
          <w:sz w:val="24"/>
        </w:rPr>
        <w:t>’</w:t>
      </w:r>
      <w:r>
        <w:rPr>
          <w:rFonts w:ascii="Times New Roman" w:hAnsi="Times New Roman"/>
          <w:sz w:val="24"/>
        </w:rPr>
        <w:t>union de l</w:t>
      </w:r>
      <w:r w:rsidR="00B0065F">
        <w:rPr>
          <w:rFonts w:ascii="Times New Roman" w:hAnsi="Times New Roman"/>
          <w:sz w:val="24"/>
        </w:rPr>
        <w:t>’</w:t>
      </w:r>
      <w:r>
        <w:rPr>
          <w:rFonts w:ascii="Times New Roman" w:hAnsi="Times New Roman"/>
          <w:sz w:val="24"/>
        </w:rPr>
        <w:t>énergie</w:t>
      </w:r>
      <w:r>
        <w:rPr>
          <w:rStyle w:val="FootnoteReference"/>
          <w:rFonts w:ascii="Times New Roman" w:hAnsi="Times New Roman"/>
          <w:sz w:val="24"/>
        </w:rPr>
        <w:footnoteReference w:id="3"/>
      </w:r>
      <w:r>
        <w:rPr>
          <w:rFonts w:ascii="Times New Roman" w:hAnsi="Times New Roman"/>
          <w:sz w:val="24"/>
        </w:rPr>
        <w:t>.</w:t>
      </w:r>
    </w:p>
    <w:p w:rsidR="00097C2F" w:rsidRDefault="008C0DFC">
      <w:pPr>
        <w:spacing w:after="240" w:line="240" w:lineRule="auto"/>
        <w:jc w:val="both"/>
        <w:rPr>
          <w:rFonts w:ascii="Times New Roman" w:hAnsi="Times New Roman"/>
          <w:sz w:val="24"/>
          <w:szCs w:val="24"/>
        </w:rPr>
      </w:pPr>
      <w:r>
        <w:rPr>
          <w:rFonts w:ascii="Times New Roman" w:hAnsi="Times New Roman"/>
          <w:sz w:val="24"/>
        </w:rPr>
        <w:t xml:space="preserve">Dans quelques jours, les dirigeants du monde entier se réuniront à Paris pour </w:t>
      </w:r>
      <w:r w:rsidR="003F1789">
        <w:rPr>
          <w:rFonts w:ascii="Times New Roman" w:hAnsi="Times New Roman"/>
          <w:sz w:val="24"/>
        </w:rPr>
        <w:t>convenir d</w:t>
      </w:r>
      <w:r w:rsidR="0095452D">
        <w:rPr>
          <w:rFonts w:ascii="Times New Roman" w:hAnsi="Times New Roman"/>
          <w:sz w:val="24"/>
        </w:rPr>
        <w:t xml:space="preserve">es moyens à mettre en </w:t>
      </w:r>
      <w:r w:rsidR="003F1789">
        <w:rPr>
          <w:rFonts w:ascii="Times New Roman" w:hAnsi="Times New Roman"/>
          <w:sz w:val="24"/>
        </w:rPr>
        <w:t>œuvre</w:t>
      </w:r>
      <w:r w:rsidR="0095452D">
        <w:rPr>
          <w:rFonts w:ascii="Times New Roman" w:hAnsi="Times New Roman"/>
          <w:sz w:val="24"/>
        </w:rPr>
        <w:t xml:space="preserve"> </w:t>
      </w:r>
      <w:r w:rsidR="004B1A33">
        <w:rPr>
          <w:rFonts w:ascii="Times New Roman" w:hAnsi="Times New Roman"/>
          <w:sz w:val="24"/>
        </w:rPr>
        <w:t xml:space="preserve">en vue de </w:t>
      </w:r>
      <w:r>
        <w:rPr>
          <w:rFonts w:ascii="Times New Roman" w:hAnsi="Times New Roman"/>
          <w:sz w:val="24"/>
        </w:rPr>
        <w:t>s</w:t>
      </w:r>
      <w:r w:rsidR="00B0065F">
        <w:rPr>
          <w:rFonts w:ascii="Times New Roman" w:hAnsi="Times New Roman"/>
          <w:sz w:val="24"/>
        </w:rPr>
        <w:t>’</w:t>
      </w:r>
      <w:r>
        <w:rPr>
          <w:rFonts w:ascii="Times New Roman" w:hAnsi="Times New Roman"/>
          <w:sz w:val="24"/>
        </w:rPr>
        <w:t>attaquer à l</w:t>
      </w:r>
      <w:r w:rsidR="00B0065F">
        <w:rPr>
          <w:rFonts w:ascii="Times New Roman" w:hAnsi="Times New Roman"/>
          <w:sz w:val="24"/>
        </w:rPr>
        <w:t>’</w:t>
      </w:r>
      <w:r>
        <w:rPr>
          <w:rFonts w:ascii="Times New Roman" w:hAnsi="Times New Roman"/>
          <w:sz w:val="24"/>
        </w:rPr>
        <w:t>un</w:t>
      </w:r>
      <w:r w:rsidR="003F1789">
        <w:rPr>
          <w:rFonts w:ascii="Times New Roman" w:hAnsi="Times New Roman"/>
          <w:sz w:val="24"/>
        </w:rPr>
        <w:t>e</w:t>
      </w:r>
      <w:r>
        <w:rPr>
          <w:rFonts w:ascii="Times New Roman" w:hAnsi="Times New Roman"/>
          <w:sz w:val="24"/>
        </w:rPr>
        <w:t xml:space="preserve"> des plus grand</w:t>
      </w:r>
      <w:r w:rsidR="003F1789">
        <w:rPr>
          <w:rFonts w:ascii="Times New Roman" w:hAnsi="Times New Roman"/>
          <w:sz w:val="24"/>
        </w:rPr>
        <w:t>e</w:t>
      </w:r>
      <w:r>
        <w:rPr>
          <w:rFonts w:ascii="Times New Roman" w:hAnsi="Times New Roman"/>
          <w:sz w:val="24"/>
        </w:rPr>
        <w:t xml:space="preserve">s </w:t>
      </w:r>
      <w:r w:rsidR="003F1789">
        <w:rPr>
          <w:rFonts w:ascii="Times New Roman" w:hAnsi="Times New Roman"/>
          <w:sz w:val="24"/>
        </w:rPr>
        <w:t xml:space="preserve">problématiques </w:t>
      </w:r>
      <w:r>
        <w:rPr>
          <w:rFonts w:ascii="Times New Roman" w:hAnsi="Times New Roman"/>
          <w:sz w:val="24"/>
        </w:rPr>
        <w:t>de l</w:t>
      </w:r>
      <w:r w:rsidR="00B0065F">
        <w:rPr>
          <w:rFonts w:ascii="Times New Roman" w:hAnsi="Times New Roman"/>
          <w:sz w:val="24"/>
        </w:rPr>
        <w:t>’</w:t>
      </w:r>
      <w:r>
        <w:rPr>
          <w:rFonts w:ascii="Times New Roman" w:hAnsi="Times New Roman"/>
          <w:sz w:val="24"/>
        </w:rPr>
        <w:t>humanité: le changement climatique. L</w:t>
      </w:r>
      <w:r w:rsidR="00B0065F">
        <w:rPr>
          <w:rFonts w:ascii="Times New Roman" w:hAnsi="Times New Roman"/>
          <w:sz w:val="24"/>
        </w:rPr>
        <w:t>’</w:t>
      </w:r>
      <w:r>
        <w:rPr>
          <w:rFonts w:ascii="Times New Roman" w:hAnsi="Times New Roman"/>
          <w:sz w:val="24"/>
        </w:rPr>
        <w:t>état de l</w:t>
      </w:r>
      <w:r w:rsidR="00B0065F">
        <w:rPr>
          <w:rFonts w:ascii="Times New Roman" w:hAnsi="Times New Roman"/>
          <w:sz w:val="24"/>
        </w:rPr>
        <w:t>’</w:t>
      </w:r>
      <w:r>
        <w:rPr>
          <w:rFonts w:ascii="Times New Roman" w:hAnsi="Times New Roman"/>
          <w:sz w:val="24"/>
        </w:rPr>
        <w:t>union de l</w:t>
      </w:r>
      <w:r w:rsidR="00B0065F">
        <w:rPr>
          <w:rFonts w:ascii="Times New Roman" w:hAnsi="Times New Roman"/>
          <w:sz w:val="24"/>
        </w:rPr>
        <w:t>’</w:t>
      </w:r>
      <w:r>
        <w:rPr>
          <w:rFonts w:ascii="Times New Roman" w:hAnsi="Times New Roman"/>
          <w:sz w:val="24"/>
        </w:rPr>
        <w:t>énergie présente la contribution de l</w:t>
      </w:r>
      <w:r w:rsidR="00B0065F">
        <w:rPr>
          <w:rFonts w:ascii="Times New Roman" w:hAnsi="Times New Roman"/>
          <w:sz w:val="24"/>
        </w:rPr>
        <w:t>’</w:t>
      </w:r>
      <w:r>
        <w:rPr>
          <w:rFonts w:ascii="Times New Roman" w:hAnsi="Times New Roman"/>
          <w:sz w:val="24"/>
        </w:rPr>
        <w:t xml:space="preserve">Europe </w:t>
      </w:r>
      <w:r w:rsidR="003F1789">
        <w:rPr>
          <w:rFonts w:ascii="Times New Roman" w:hAnsi="Times New Roman"/>
          <w:sz w:val="24"/>
        </w:rPr>
        <w:t xml:space="preserve">en vue des </w:t>
      </w:r>
      <w:r>
        <w:rPr>
          <w:rFonts w:ascii="Times New Roman" w:hAnsi="Times New Roman"/>
          <w:sz w:val="24"/>
        </w:rPr>
        <w:t>négociations de Paris et met l</w:t>
      </w:r>
      <w:r w:rsidR="00B0065F">
        <w:rPr>
          <w:rFonts w:ascii="Times New Roman" w:hAnsi="Times New Roman"/>
          <w:sz w:val="24"/>
        </w:rPr>
        <w:t>’</w:t>
      </w:r>
      <w:r>
        <w:rPr>
          <w:rFonts w:ascii="Times New Roman" w:hAnsi="Times New Roman"/>
          <w:sz w:val="24"/>
        </w:rPr>
        <w:t xml:space="preserve">accent </w:t>
      </w:r>
      <w:r w:rsidR="004B1A33">
        <w:rPr>
          <w:rFonts w:ascii="Times New Roman" w:hAnsi="Times New Roman"/>
          <w:sz w:val="24"/>
        </w:rPr>
        <w:t>ce qui se passera après</w:t>
      </w:r>
      <w:r>
        <w:rPr>
          <w:rFonts w:ascii="Times New Roman" w:hAnsi="Times New Roman"/>
          <w:sz w:val="24"/>
        </w:rPr>
        <w:t>. Il faut que l</w:t>
      </w:r>
      <w:r w:rsidR="00B0065F">
        <w:rPr>
          <w:rFonts w:ascii="Times New Roman" w:hAnsi="Times New Roman"/>
          <w:sz w:val="24"/>
        </w:rPr>
        <w:t>’</w:t>
      </w:r>
      <w:r>
        <w:rPr>
          <w:rFonts w:ascii="Times New Roman" w:hAnsi="Times New Roman"/>
          <w:sz w:val="24"/>
        </w:rPr>
        <w:t xml:space="preserve">avance </w:t>
      </w:r>
      <w:r w:rsidR="003F1789">
        <w:rPr>
          <w:rFonts w:ascii="Times New Roman" w:hAnsi="Times New Roman"/>
          <w:sz w:val="24"/>
        </w:rPr>
        <w:t>de</w:t>
      </w:r>
      <w:r>
        <w:rPr>
          <w:rFonts w:ascii="Times New Roman" w:hAnsi="Times New Roman"/>
          <w:sz w:val="24"/>
        </w:rPr>
        <w:t xml:space="preserve"> l</w:t>
      </w:r>
      <w:r w:rsidR="00B0065F">
        <w:rPr>
          <w:rFonts w:ascii="Times New Roman" w:hAnsi="Times New Roman"/>
          <w:sz w:val="24"/>
        </w:rPr>
        <w:t>’</w:t>
      </w:r>
      <w:r>
        <w:rPr>
          <w:rFonts w:ascii="Times New Roman" w:hAnsi="Times New Roman"/>
          <w:sz w:val="24"/>
        </w:rPr>
        <w:t xml:space="preserve">Europe dans la transition vers une économie </w:t>
      </w:r>
      <w:r w:rsidR="0095452D">
        <w:rPr>
          <w:rFonts w:ascii="Times New Roman" w:hAnsi="Times New Roman"/>
          <w:sz w:val="24"/>
        </w:rPr>
        <w:t xml:space="preserve">sobre en </w:t>
      </w:r>
      <w:r>
        <w:rPr>
          <w:rFonts w:ascii="Times New Roman" w:hAnsi="Times New Roman"/>
          <w:sz w:val="24"/>
        </w:rPr>
        <w:t xml:space="preserve">carbone se maintienne après Paris, à la fois par </w:t>
      </w:r>
      <w:r w:rsidR="003F1789">
        <w:rPr>
          <w:rFonts w:ascii="Times New Roman" w:hAnsi="Times New Roman"/>
          <w:sz w:val="24"/>
        </w:rPr>
        <w:t xml:space="preserve">la réalisation </w:t>
      </w:r>
      <w:r>
        <w:rPr>
          <w:rFonts w:ascii="Times New Roman" w:hAnsi="Times New Roman"/>
          <w:sz w:val="24"/>
        </w:rPr>
        <w:t>des objectifs en matière de climat et d</w:t>
      </w:r>
      <w:r w:rsidR="00B0065F">
        <w:rPr>
          <w:rFonts w:ascii="Times New Roman" w:hAnsi="Times New Roman"/>
          <w:sz w:val="24"/>
        </w:rPr>
        <w:t>’</w:t>
      </w:r>
      <w:r>
        <w:rPr>
          <w:rFonts w:ascii="Times New Roman" w:hAnsi="Times New Roman"/>
          <w:sz w:val="24"/>
        </w:rPr>
        <w:t xml:space="preserve">énergie pour </w:t>
      </w:r>
      <w:r w:rsidRPr="005A0F82">
        <w:rPr>
          <w:rFonts w:ascii="Times New Roman" w:hAnsi="Times New Roman"/>
          <w:sz w:val="24"/>
        </w:rPr>
        <w:t>2030</w:t>
      </w:r>
      <w:r>
        <w:rPr>
          <w:rFonts w:ascii="Times New Roman" w:hAnsi="Times New Roman"/>
          <w:sz w:val="24"/>
        </w:rPr>
        <w:t xml:space="preserve"> et par l</w:t>
      </w:r>
      <w:r w:rsidR="00B0065F">
        <w:rPr>
          <w:rFonts w:ascii="Times New Roman" w:hAnsi="Times New Roman"/>
          <w:sz w:val="24"/>
        </w:rPr>
        <w:t>’</w:t>
      </w:r>
      <w:r>
        <w:rPr>
          <w:rFonts w:ascii="Times New Roman" w:hAnsi="Times New Roman"/>
          <w:sz w:val="24"/>
        </w:rPr>
        <w:t>exercice d</w:t>
      </w:r>
      <w:r w:rsidR="00B0065F">
        <w:rPr>
          <w:rFonts w:ascii="Times New Roman" w:hAnsi="Times New Roman"/>
          <w:sz w:val="24"/>
        </w:rPr>
        <w:t>’</w:t>
      </w:r>
      <w:r>
        <w:rPr>
          <w:rFonts w:ascii="Times New Roman" w:hAnsi="Times New Roman"/>
          <w:sz w:val="24"/>
        </w:rPr>
        <w:t>une diplomatie cohérente en matière d</w:t>
      </w:r>
      <w:r w:rsidR="00B0065F">
        <w:rPr>
          <w:rFonts w:ascii="Times New Roman" w:hAnsi="Times New Roman"/>
          <w:sz w:val="24"/>
        </w:rPr>
        <w:t>’</w:t>
      </w:r>
      <w:r>
        <w:rPr>
          <w:rFonts w:ascii="Times New Roman" w:hAnsi="Times New Roman"/>
          <w:sz w:val="24"/>
        </w:rPr>
        <w:t>énergie et de climat, visant à faire en sorte que tous les pays concrétisent leurs engagements.</w:t>
      </w:r>
    </w:p>
    <w:p w:rsidR="00097C2F" w:rsidRDefault="008C0DFC">
      <w:pPr>
        <w:spacing w:after="240" w:line="240" w:lineRule="auto"/>
        <w:jc w:val="both"/>
        <w:rPr>
          <w:rFonts w:ascii="Times New Roman" w:hAnsi="Times New Roman"/>
          <w:sz w:val="24"/>
          <w:szCs w:val="24"/>
        </w:rPr>
      </w:pPr>
      <w:r>
        <w:rPr>
          <w:rFonts w:ascii="Times New Roman" w:hAnsi="Times New Roman"/>
          <w:sz w:val="24"/>
        </w:rPr>
        <w:t xml:space="preserve">Cette transition revêt un intérêt économique majeur. </w:t>
      </w:r>
      <w:r w:rsidR="003F1789">
        <w:rPr>
          <w:rFonts w:ascii="Times New Roman" w:hAnsi="Times New Roman"/>
          <w:sz w:val="24"/>
        </w:rPr>
        <w:t xml:space="preserve">De </w:t>
      </w:r>
      <w:r>
        <w:rPr>
          <w:rFonts w:ascii="Times New Roman" w:hAnsi="Times New Roman"/>
          <w:sz w:val="24"/>
        </w:rPr>
        <w:t>grandes entreprises européennes ont entamé une mutation de leurs modèles économiques. Les sources d</w:t>
      </w:r>
      <w:r w:rsidR="00B0065F">
        <w:rPr>
          <w:rFonts w:ascii="Times New Roman" w:hAnsi="Times New Roman"/>
          <w:sz w:val="24"/>
        </w:rPr>
        <w:t>’</w:t>
      </w:r>
      <w:r>
        <w:rPr>
          <w:rFonts w:ascii="Times New Roman" w:hAnsi="Times New Roman"/>
          <w:sz w:val="24"/>
        </w:rPr>
        <w:t>énergie renouvelables et l</w:t>
      </w:r>
      <w:r w:rsidR="00B0065F">
        <w:rPr>
          <w:rFonts w:ascii="Times New Roman" w:hAnsi="Times New Roman"/>
          <w:sz w:val="24"/>
        </w:rPr>
        <w:t>’</w:t>
      </w:r>
      <w:r>
        <w:rPr>
          <w:rFonts w:ascii="Times New Roman" w:hAnsi="Times New Roman"/>
          <w:sz w:val="24"/>
        </w:rPr>
        <w:t xml:space="preserve">efficacité énergétique créent des emplois en Europe, mais elles requièrent de nouvelles compétences et de nouveaux investissements. Un grand nombre des changements liés à cette transition </w:t>
      </w:r>
      <w:r w:rsidR="00B278F6">
        <w:rPr>
          <w:rFonts w:ascii="Times New Roman" w:hAnsi="Times New Roman"/>
          <w:sz w:val="24"/>
        </w:rPr>
        <w:t xml:space="preserve">concerneront </w:t>
      </w:r>
      <w:r>
        <w:rPr>
          <w:rFonts w:ascii="Times New Roman" w:hAnsi="Times New Roman"/>
          <w:sz w:val="24"/>
        </w:rPr>
        <w:t xml:space="preserve">les villes et agglomérations; en devenant plus intelligentes, nos villes </w:t>
      </w:r>
      <w:r w:rsidR="00B278F6">
        <w:rPr>
          <w:rFonts w:ascii="Times New Roman" w:hAnsi="Times New Roman"/>
          <w:sz w:val="24"/>
        </w:rPr>
        <w:t xml:space="preserve">seront </w:t>
      </w:r>
      <w:r>
        <w:rPr>
          <w:rFonts w:ascii="Times New Roman" w:hAnsi="Times New Roman"/>
          <w:sz w:val="24"/>
        </w:rPr>
        <w:t>des catalyseurs essentiels des politiques énergétiques durables de l</w:t>
      </w:r>
      <w:r w:rsidR="00B0065F">
        <w:rPr>
          <w:rFonts w:ascii="Times New Roman" w:hAnsi="Times New Roman"/>
          <w:sz w:val="24"/>
        </w:rPr>
        <w:t>’</w:t>
      </w:r>
      <w:r>
        <w:rPr>
          <w:rFonts w:ascii="Times New Roman" w:hAnsi="Times New Roman"/>
          <w:sz w:val="24"/>
        </w:rPr>
        <w:t>UE.</w:t>
      </w:r>
    </w:p>
    <w:p w:rsidR="00097C2F" w:rsidRDefault="008C0DFC">
      <w:pPr>
        <w:spacing w:after="240" w:line="240" w:lineRule="auto"/>
        <w:jc w:val="both"/>
        <w:rPr>
          <w:rFonts w:ascii="Times New Roman" w:hAnsi="Times New Roman"/>
          <w:sz w:val="24"/>
          <w:szCs w:val="24"/>
        </w:rPr>
      </w:pPr>
      <w:r>
        <w:rPr>
          <w:rFonts w:ascii="Times New Roman" w:hAnsi="Times New Roman"/>
          <w:sz w:val="24"/>
        </w:rPr>
        <w:t>Les marchés de l</w:t>
      </w:r>
      <w:r w:rsidR="00B0065F">
        <w:rPr>
          <w:rFonts w:ascii="Times New Roman" w:hAnsi="Times New Roman"/>
          <w:sz w:val="24"/>
        </w:rPr>
        <w:t>’</w:t>
      </w:r>
      <w:r>
        <w:rPr>
          <w:rFonts w:ascii="Times New Roman" w:hAnsi="Times New Roman"/>
          <w:sz w:val="24"/>
        </w:rPr>
        <w:t xml:space="preserve">électricité et du gaz ne fonctionnent toujours pas </w:t>
      </w:r>
      <w:r w:rsidR="00B278F6">
        <w:rPr>
          <w:rFonts w:ascii="Times New Roman" w:hAnsi="Times New Roman"/>
          <w:sz w:val="24"/>
        </w:rPr>
        <w:t>de manière optimale</w:t>
      </w:r>
      <w:r>
        <w:rPr>
          <w:rFonts w:ascii="Times New Roman" w:hAnsi="Times New Roman"/>
          <w:sz w:val="24"/>
        </w:rPr>
        <w:t>. Pour que la transition vers une économie et une société à faible intensité de carbone soit fructueuse et équitable sur le plan social, il fau</w:t>
      </w:r>
      <w:r w:rsidR="00B278F6">
        <w:rPr>
          <w:rFonts w:ascii="Times New Roman" w:hAnsi="Times New Roman"/>
          <w:sz w:val="24"/>
        </w:rPr>
        <w:t>drai</w:t>
      </w:r>
      <w:r>
        <w:rPr>
          <w:rFonts w:ascii="Times New Roman" w:hAnsi="Times New Roman"/>
          <w:sz w:val="24"/>
        </w:rPr>
        <w:t>t que les citoyens s</w:t>
      </w:r>
      <w:r w:rsidR="00B0065F">
        <w:rPr>
          <w:rFonts w:ascii="Times New Roman" w:hAnsi="Times New Roman"/>
          <w:sz w:val="24"/>
        </w:rPr>
        <w:t>’</w:t>
      </w:r>
      <w:r>
        <w:rPr>
          <w:rFonts w:ascii="Times New Roman" w:hAnsi="Times New Roman"/>
          <w:sz w:val="24"/>
        </w:rPr>
        <w:t>approprient davantage cette transition, profitent des nouvelles technologies et du renforcement de la concurrence pour réduire leurs factures, et participent plus activement au marché.</w:t>
      </w:r>
    </w:p>
    <w:p w:rsidR="00097C2F" w:rsidRDefault="008C0DFC">
      <w:pPr>
        <w:spacing w:after="240" w:line="240" w:lineRule="auto"/>
        <w:jc w:val="both"/>
        <w:rPr>
          <w:rFonts w:ascii="Times New Roman" w:hAnsi="Times New Roman"/>
          <w:sz w:val="24"/>
          <w:szCs w:val="24"/>
        </w:rPr>
      </w:pPr>
      <w:r>
        <w:rPr>
          <w:rFonts w:ascii="Times New Roman" w:hAnsi="Times New Roman"/>
          <w:sz w:val="24"/>
        </w:rPr>
        <w:t xml:space="preserve">Les événements géopolitiques </w:t>
      </w:r>
      <w:r w:rsidR="00B278F6">
        <w:rPr>
          <w:rFonts w:ascii="Times New Roman" w:hAnsi="Times New Roman"/>
          <w:sz w:val="24"/>
        </w:rPr>
        <w:t>survenus dans le</w:t>
      </w:r>
      <w:r>
        <w:rPr>
          <w:rFonts w:ascii="Times New Roman" w:hAnsi="Times New Roman"/>
          <w:sz w:val="24"/>
        </w:rPr>
        <w:t xml:space="preserve"> voisinage direct </w:t>
      </w:r>
      <w:r w:rsidR="00B278F6">
        <w:rPr>
          <w:rFonts w:ascii="Times New Roman" w:hAnsi="Times New Roman"/>
          <w:sz w:val="24"/>
        </w:rPr>
        <w:t>de l</w:t>
      </w:r>
      <w:r w:rsidR="00B0065F">
        <w:rPr>
          <w:rFonts w:ascii="Times New Roman" w:hAnsi="Times New Roman"/>
          <w:sz w:val="24"/>
        </w:rPr>
        <w:t>’</w:t>
      </w:r>
      <w:r w:rsidR="00B278F6">
        <w:rPr>
          <w:rFonts w:ascii="Times New Roman" w:hAnsi="Times New Roman"/>
          <w:sz w:val="24"/>
        </w:rPr>
        <w:t xml:space="preserve">UE </w:t>
      </w:r>
      <w:r>
        <w:rPr>
          <w:rFonts w:ascii="Times New Roman" w:hAnsi="Times New Roman"/>
          <w:sz w:val="24"/>
        </w:rPr>
        <w:t xml:space="preserve">en </w:t>
      </w:r>
      <w:r w:rsidRPr="005A0F82">
        <w:rPr>
          <w:rFonts w:ascii="Times New Roman" w:hAnsi="Times New Roman"/>
          <w:sz w:val="24"/>
        </w:rPr>
        <w:t>2015</w:t>
      </w:r>
      <w:r>
        <w:rPr>
          <w:rFonts w:ascii="Times New Roman" w:hAnsi="Times New Roman"/>
          <w:sz w:val="24"/>
        </w:rPr>
        <w:t xml:space="preserve"> justifient que l</w:t>
      </w:r>
      <w:r w:rsidR="00B0065F">
        <w:rPr>
          <w:rFonts w:ascii="Times New Roman" w:hAnsi="Times New Roman"/>
          <w:sz w:val="24"/>
        </w:rPr>
        <w:t>’</w:t>
      </w:r>
      <w:r>
        <w:rPr>
          <w:rFonts w:ascii="Times New Roman" w:hAnsi="Times New Roman"/>
          <w:sz w:val="24"/>
        </w:rPr>
        <w:t>énergie reste l</w:t>
      </w:r>
      <w:r w:rsidR="00B0065F">
        <w:rPr>
          <w:rFonts w:ascii="Times New Roman" w:hAnsi="Times New Roman"/>
          <w:sz w:val="24"/>
        </w:rPr>
        <w:t>’</w:t>
      </w:r>
      <w:r>
        <w:rPr>
          <w:rFonts w:ascii="Times New Roman" w:hAnsi="Times New Roman"/>
          <w:sz w:val="24"/>
        </w:rPr>
        <w:t xml:space="preserve">une de </w:t>
      </w:r>
      <w:r w:rsidR="00B278F6">
        <w:rPr>
          <w:rFonts w:ascii="Times New Roman" w:hAnsi="Times New Roman"/>
          <w:sz w:val="24"/>
        </w:rPr>
        <w:t xml:space="preserve">ses </w:t>
      </w:r>
      <w:r>
        <w:rPr>
          <w:rFonts w:ascii="Times New Roman" w:hAnsi="Times New Roman"/>
          <w:sz w:val="24"/>
        </w:rPr>
        <w:t xml:space="preserve">grandes priorités. </w:t>
      </w:r>
      <w:r w:rsidR="00B278F6">
        <w:rPr>
          <w:rFonts w:ascii="Times New Roman" w:hAnsi="Times New Roman"/>
          <w:sz w:val="24"/>
        </w:rPr>
        <w:t xml:space="preserve">Toute action en la matière doit tenir compte du fait que </w:t>
      </w:r>
      <w:r>
        <w:rPr>
          <w:rFonts w:ascii="Times New Roman" w:hAnsi="Times New Roman"/>
          <w:sz w:val="24"/>
        </w:rPr>
        <w:t>la sécurité de l</w:t>
      </w:r>
      <w:r w:rsidR="00B0065F">
        <w:rPr>
          <w:rFonts w:ascii="Times New Roman" w:hAnsi="Times New Roman"/>
          <w:sz w:val="24"/>
        </w:rPr>
        <w:t>’</w:t>
      </w:r>
      <w:r>
        <w:rPr>
          <w:rFonts w:ascii="Times New Roman" w:hAnsi="Times New Roman"/>
          <w:sz w:val="24"/>
        </w:rPr>
        <w:t>approvisionnement en énergie, l</w:t>
      </w:r>
      <w:r w:rsidR="00B0065F">
        <w:rPr>
          <w:rFonts w:ascii="Times New Roman" w:hAnsi="Times New Roman"/>
          <w:sz w:val="24"/>
        </w:rPr>
        <w:t>’</w:t>
      </w:r>
      <w:r>
        <w:rPr>
          <w:rFonts w:ascii="Times New Roman" w:hAnsi="Times New Roman"/>
          <w:sz w:val="24"/>
        </w:rPr>
        <w:t>efficacité énergétique, le développement des infrastructures, l</w:t>
      </w:r>
      <w:r w:rsidR="00B0065F">
        <w:rPr>
          <w:rFonts w:ascii="Times New Roman" w:hAnsi="Times New Roman"/>
          <w:sz w:val="24"/>
        </w:rPr>
        <w:t>’</w:t>
      </w:r>
      <w:r>
        <w:rPr>
          <w:rFonts w:ascii="Times New Roman" w:hAnsi="Times New Roman"/>
          <w:sz w:val="24"/>
        </w:rPr>
        <w:t>achèvement du marché intérieur de l</w:t>
      </w:r>
      <w:r w:rsidR="00B0065F">
        <w:rPr>
          <w:rFonts w:ascii="Times New Roman" w:hAnsi="Times New Roman"/>
          <w:sz w:val="24"/>
        </w:rPr>
        <w:t>’</w:t>
      </w:r>
      <w:r>
        <w:rPr>
          <w:rFonts w:ascii="Times New Roman" w:hAnsi="Times New Roman"/>
          <w:sz w:val="24"/>
        </w:rPr>
        <w:t xml:space="preserve">énergie et la durabilité sont des </w:t>
      </w:r>
      <w:r w:rsidR="00B278F6">
        <w:rPr>
          <w:rFonts w:ascii="Times New Roman" w:hAnsi="Times New Roman"/>
          <w:sz w:val="24"/>
        </w:rPr>
        <w:t xml:space="preserve">questions </w:t>
      </w:r>
      <w:r>
        <w:rPr>
          <w:rFonts w:ascii="Times New Roman" w:hAnsi="Times New Roman"/>
          <w:sz w:val="24"/>
        </w:rPr>
        <w:t xml:space="preserve">étroitement liées. La </w:t>
      </w:r>
      <w:r w:rsidRPr="005A0F82">
        <w:rPr>
          <w:rFonts w:ascii="Times New Roman" w:hAnsi="Times New Roman"/>
          <w:sz w:val="24"/>
        </w:rPr>
        <w:t>2</w:t>
      </w:r>
      <w:r>
        <w:rPr>
          <w:rFonts w:ascii="Times New Roman" w:hAnsi="Times New Roman"/>
          <w:sz w:val="24"/>
          <w:vertAlign w:val="superscript"/>
        </w:rPr>
        <w:t>e</w:t>
      </w:r>
      <w:r>
        <w:rPr>
          <w:rFonts w:ascii="Times New Roman" w:hAnsi="Times New Roman"/>
          <w:sz w:val="24"/>
        </w:rPr>
        <w:t xml:space="preserve"> liste de projets d</w:t>
      </w:r>
      <w:r w:rsidR="00B0065F">
        <w:rPr>
          <w:rFonts w:ascii="Times New Roman" w:hAnsi="Times New Roman"/>
          <w:sz w:val="24"/>
        </w:rPr>
        <w:t>’</w:t>
      </w:r>
      <w:r>
        <w:rPr>
          <w:rFonts w:ascii="Times New Roman" w:hAnsi="Times New Roman"/>
          <w:sz w:val="24"/>
        </w:rPr>
        <w:t>intérêt commun énumère les projets d</w:t>
      </w:r>
      <w:r w:rsidR="00B0065F">
        <w:rPr>
          <w:rFonts w:ascii="Times New Roman" w:hAnsi="Times New Roman"/>
          <w:sz w:val="24"/>
        </w:rPr>
        <w:t>’</w:t>
      </w:r>
      <w:r>
        <w:rPr>
          <w:rFonts w:ascii="Times New Roman" w:hAnsi="Times New Roman"/>
          <w:sz w:val="24"/>
        </w:rPr>
        <w:t xml:space="preserve">infrastructure dont </w:t>
      </w:r>
      <w:r w:rsidR="00B278F6">
        <w:rPr>
          <w:rFonts w:ascii="Times New Roman" w:hAnsi="Times New Roman"/>
          <w:sz w:val="24"/>
        </w:rPr>
        <w:t>l</w:t>
      </w:r>
      <w:r w:rsidR="00B0065F">
        <w:rPr>
          <w:rFonts w:ascii="Times New Roman" w:hAnsi="Times New Roman"/>
          <w:sz w:val="24"/>
        </w:rPr>
        <w:t>’</w:t>
      </w:r>
      <w:r w:rsidR="00B278F6">
        <w:rPr>
          <w:rFonts w:ascii="Times New Roman" w:hAnsi="Times New Roman"/>
          <w:sz w:val="24"/>
        </w:rPr>
        <w:t xml:space="preserve">UE </w:t>
      </w:r>
      <w:r>
        <w:rPr>
          <w:rFonts w:ascii="Times New Roman" w:hAnsi="Times New Roman"/>
          <w:sz w:val="24"/>
        </w:rPr>
        <w:t>a besoin d</w:t>
      </w:r>
      <w:r w:rsidR="00B0065F">
        <w:rPr>
          <w:rFonts w:ascii="Times New Roman" w:hAnsi="Times New Roman"/>
          <w:sz w:val="24"/>
        </w:rPr>
        <w:t>’</w:t>
      </w:r>
      <w:r>
        <w:rPr>
          <w:rFonts w:ascii="Times New Roman" w:hAnsi="Times New Roman"/>
          <w:sz w:val="24"/>
        </w:rPr>
        <w:t xml:space="preserve">urgence pour atteindre </w:t>
      </w:r>
      <w:r w:rsidR="00B278F6">
        <w:rPr>
          <w:rFonts w:ascii="Times New Roman" w:hAnsi="Times New Roman"/>
          <w:sz w:val="24"/>
        </w:rPr>
        <w:t xml:space="preserve">ses </w:t>
      </w:r>
      <w:r>
        <w:rPr>
          <w:rFonts w:ascii="Times New Roman" w:hAnsi="Times New Roman"/>
          <w:sz w:val="24"/>
        </w:rPr>
        <w:t>objectifs en matière de politique énergétique.</w:t>
      </w:r>
    </w:p>
    <w:p w:rsidR="00097C2F" w:rsidRDefault="008C0DFC">
      <w:pPr>
        <w:spacing w:after="240" w:line="240" w:lineRule="auto"/>
        <w:jc w:val="both"/>
        <w:rPr>
          <w:rFonts w:ascii="Times New Roman" w:hAnsi="Times New Roman"/>
          <w:sz w:val="24"/>
          <w:szCs w:val="24"/>
        </w:rPr>
      </w:pPr>
      <w:r>
        <w:rPr>
          <w:rFonts w:ascii="Times New Roman" w:hAnsi="Times New Roman"/>
          <w:sz w:val="24"/>
        </w:rPr>
        <w:t>L</w:t>
      </w:r>
      <w:r w:rsidR="00B0065F">
        <w:rPr>
          <w:rFonts w:ascii="Times New Roman" w:hAnsi="Times New Roman"/>
          <w:sz w:val="24"/>
        </w:rPr>
        <w:t>’</w:t>
      </w:r>
      <w:r>
        <w:rPr>
          <w:rFonts w:ascii="Times New Roman" w:hAnsi="Times New Roman"/>
          <w:sz w:val="24"/>
        </w:rPr>
        <w:t>état de l</w:t>
      </w:r>
      <w:r w:rsidR="00B0065F">
        <w:rPr>
          <w:rFonts w:ascii="Times New Roman" w:hAnsi="Times New Roman"/>
          <w:sz w:val="24"/>
        </w:rPr>
        <w:t>’</w:t>
      </w:r>
      <w:r>
        <w:rPr>
          <w:rFonts w:ascii="Times New Roman" w:hAnsi="Times New Roman"/>
          <w:sz w:val="24"/>
        </w:rPr>
        <w:t>union de l</w:t>
      </w:r>
      <w:r w:rsidR="00B0065F">
        <w:rPr>
          <w:rFonts w:ascii="Times New Roman" w:hAnsi="Times New Roman"/>
          <w:sz w:val="24"/>
        </w:rPr>
        <w:t>’</w:t>
      </w:r>
      <w:r>
        <w:rPr>
          <w:rFonts w:ascii="Times New Roman" w:hAnsi="Times New Roman"/>
          <w:sz w:val="24"/>
        </w:rPr>
        <w:t>énergie présente les éléments fondamentaux d</w:t>
      </w:r>
      <w:r w:rsidR="00B0065F">
        <w:rPr>
          <w:rFonts w:ascii="Times New Roman" w:hAnsi="Times New Roman"/>
          <w:sz w:val="24"/>
        </w:rPr>
        <w:t>’</w:t>
      </w:r>
      <w:r>
        <w:rPr>
          <w:rFonts w:ascii="Times New Roman" w:hAnsi="Times New Roman"/>
          <w:sz w:val="24"/>
        </w:rPr>
        <w:t xml:space="preserve">un mécanisme de mise en œuvre qui doit conduire à la définition de politiques plus prévisibles, transparentes et stables. </w:t>
      </w:r>
      <w:r>
        <w:rPr>
          <w:rFonts w:ascii="Times New Roman" w:hAnsi="Times New Roman"/>
          <w:sz w:val="24"/>
        </w:rPr>
        <w:lastRenderedPageBreak/>
        <w:t xml:space="preserve">Les orientations </w:t>
      </w:r>
      <w:r w:rsidR="00B278F6">
        <w:rPr>
          <w:rFonts w:ascii="Times New Roman" w:hAnsi="Times New Roman"/>
          <w:sz w:val="24"/>
        </w:rPr>
        <w:t xml:space="preserve">relatives aux </w:t>
      </w:r>
      <w:r>
        <w:rPr>
          <w:rFonts w:ascii="Times New Roman" w:hAnsi="Times New Roman"/>
          <w:sz w:val="24"/>
        </w:rPr>
        <w:t>plans nationaux intégrés en matière d</w:t>
      </w:r>
      <w:r w:rsidR="00B0065F">
        <w:rPr>
          <w:rFonts w:ascii="Times New Roman" w:hAnsi="Times New Roman"/>
          <w:sz w:val="24"/>
        </w:rPr>
        <w:t>’</w:t>
      </w:r>
      <w:r>
        <w:rPr>
          <w:rFonts w:ascii="Times New Roman" w:hAnsi="Times New Roman"/>
          <w:sz w:val="24"/>
        </w:rPr>
        <w:t xml:space="preserve">énergie et de climat </w:t>
      </w:r>
      <w:r w:rsidR="00577F0F">
        <w:rPr>
          <w:rFonts w:ascii="Times New Roman" w:hAnsi="Times New Roman"/>
          <w:sz w:val="24"/>
        </w:rPr>
        <w:t xml:space="preserve">constituent </w:t>
      </w:r>
      <w:r>
        <w:rPr>
          <w:rFonts w:ascii="Times New Roman" w:hAnsi="Times New Roman"/>
          <w:sz w:val="24"/>
        </w:rPr>
        <w:t>la base sur laquelle les États membres commencer</w:t>
      </w:r>
      <w:r w:rsidR="004B1A33">
        <w:rPr>
          <w:rFonts w:ascii="Times New Roman" w:hAnsi="Times New Roman"/>
          <w:sz w:val="24"/>
        </w:rPr>
        <w:t>ont</w:t>
      </w:r>
      <w:r>
        <w:rPr>
          <w:rFonts w:ascii="Times New Roman" w:hAnsi="Times New Roman"/>
          <w:sz w:val="24"/>
        </w:rPr>
        <w:t xml:space="preserve"> à élaborer leurs plans pour la période </w:t>
      </w:r>
      <w:r w:rsidRPr="005A0F82">
        <w:rPr>
          <w:rFonts w:ascii="Times New Roman" w:hAnsi="Times New Roman"/>
          <w:sz w:val="24"/>
        </w:rPr>
        <w:t>2021</w:t>
      </w:r>
      <w:r w:rsidR="00B278F6">
        <w:rPr>
          <w:rFonts w:ascii="Times New Roman" w:hAnsi="Times New Roman"/>
          <w:sz w:val="24"/>
        </w:rPr>
        <w:t>-</w:t>
      </w:r>
      <w:r w:rsidRPr="005A0F82">
        <w:rPr>
          <w:rFonts w:ascii="Times New Roman" w:hAnsi="Times New Roman"/>
          <w:sz w:val="24"/>
        </w:rPr>
        <w:t>2030</w:t>
      </w:r>
      <w:r>
        <w:rPr>
          <w:rFonts w:ascii="Times New Roman" w:hAnsi="Times New Roman"/>
          <w:sz w:val="24"/>
        </w:rPr>
        <w:t xml:space="preserve">. La méthodologie proposée sur les indicateurs clés </w:t>
      </w:r>
      <w:r w:rsidR="00577F0F">
        <w:rPr>
          <w:rFonts w:ascii="Times New Roman" w:hAnsi="Times New Roman"/>
          <w:sz w:val="24"/>
        </w:rPr>
        <w:t xml:space="preserve">est </w:t>
      </w:r>
      <w:r>
        <w:rPr>
          <w:rFonts w:ascii="Times New Roman" w:hAnsi="Times New Roman"/>
          <w:sz w:val="24"/>
        </w:rPr>
        <w:t>une première étape en vue de mesurer et de surveiller la mise en œuvre de l</w:t>
      </w:r>
      <w:r w:rsidR="00B0065F">
        <w:rPr>
          <w:rFonts w:ascii="Times New Roman" w:hAnsi="Times New Roman"/>
          <w:sz w:val="24"/>
        </w:rPr>
        <w:t>’</w:t>
      </w:r>
      <w:r>
        <w:rPr>
          <w:rFonts w:ascii="Times New Roman" w:hAnsi="Times New Roman"/>
          <w:sz w:val="24"/>
        </w:rPr>
        <w:t>union de l</w:t>
      </w:r>
      <w:r w:rsidR="00B0065F">
        <w:rPr>
          <w:rFonts w:ascii="Times New Roman" w:hAnsi="Times New Roman"/>
          <w:sz w:val="24"/>
        </w:rPr>
        <w:t>’</w:t>
      </w:r>
      <w:r>
        <w:rPr>
          <w:rFonts w:ascii="Times New Roman" w:hAnsi="Times New Roman"/>
          <w:sz w:val="24"/>
        </w:rPr>
        <w:t>énergie.</w:t>
      </w:r>
    </w:p>
    <w:p w:rsidR="00097C2F" w:rsidRDefault="008C0DFC">
      <w:pPr>
        <w:spacing w:after="240" w:line="240" w:lineRule="auto"/>
        <w:jc w:val="both"/>
        <w:rPr>
          <w:rFonts w:ascii="Times New Roman" w:hAnsi="Times New Roman"/>
          <w:b/>
          <w:smallCaps/>
          <w:sz w:val="24"/>
          <w:szCs w:val="24"/>
        </w:rPr>
      </w:pPr>
      <w:r>
        <w:rPr>
          <w:rFonts w:ascii="Times New Roman" w:hAnsi="Times New Roman"/>
          <w:sz w:val="24"/>
        </w:rPr>
        <w:t>Au cours des derniers mois, la Commission a organisé des visites dans un grand nombre d</w:t>
      </w:r>
      <w:r w:rsidR="00B0065F">
        <w:rPr>
          <w:rFonts w:ascii="Times New Roman" w:hAnsi="Times New Roman"/>
          <w:sz w:val="24"/>
        </w:rPr>
        <w:t>’</w:t>
      </w:r>
      <w:r>
        <w:rPr>
          <w:rFonts w:ascii="Times New Roman" w:hAnsi="Times New Roman"/>
          <w:sz w:val="24"/>
        </w:rPr>
        <w:t>États membres afin de débattre de l</w:t>
      </w:r>
      <w:r w:rsidR="00B0065F">
        <w:rPr>
          <w:rFonts w:ascii="Times New Roman" w:hAnsi="Times New Roman"/>
          <w:sz w:val="24"/>
        </w:rPr>
        <w:t>’</w:t>
      </w:r>
      <w:r>
        <w:rPr>
          <w:rFonts w:ascii="Times New Roman" w:hAnsi="Times New Roman"/>
          <w:sz w:val="24"/>
        </w:rPr>
        <w:t>union de l</w:t>
      </w:r>
      <w:r w:rsidR="00B0065F">
        <w:rPr>
          <w:rFonts w:ascii="Times New Roman" w:hAnsi="Times New Roman"/>
          <w:sz w:val="24"/>
        </w:rPr>
        <w:t>’</w:t>
      </w:r>
      <w:r>
        <w:rPr>
          <w:rFonts w:ascii="Times New Roman" w:hAnsi="Times New Roman"/>
          <w:sz w:val="24"/>
        </w:rPr>
        <w:t xml:space="preserve">énergie avec un large éventail de parties </w:t>
      </w:r>
      <w:r w:rsidR="004B1A33">
        <w:rPr>
          <w:rFonts w:ascii="Times New Roman" w:hAnsi="Times New Roman"/>
          <w:sz w:val="24"/>
        </w:rPr>
        <w:t>intéressées</w:t>
      </w:r>
      <w:r>
        <w:rPr>
          <w:rFonts w:ascii="Times New Roman" w:hAnsi="Times New Roman"/>
          <w:sz w:val="24"/>
        </w:rPr>
        <w:t>. Des discussions techniques avec tous les États membres ont complété ces rencontres. Ces contacts ont permis à la Commission d</w:t>
      </w:r>
      <w:r w:rsidR="00B0065F">
        <w:rPr>
          <w:rFonts w:ascii="Times New Roman" w:hAnsi="Times New Roman"/>
          <w:sz w:val="24"/>
        </w:rPr>
        <w:t>’</w:t>
      </w:r>
      <w:r>
        <w:rPr>
          <w:rFonts w:ascii="Times New Roman" w:hAnsi="Times New Roman"/>
          <w:sz w:val="24"/>
        </w:rPr>
        <w:t>élaborer une analyse par pays pour chaque État membre sous l</w:t>
      </w:r>
      <w:r w:rsidR="00B0065F">
        <w:rPr>
          <w:rFonts w:ascii="Times New Roman" w:hAnsi="Times New Roman"/>
          <w:sz w:val="24"/>
        </w:rPr>
        <w:t>’</w:t>
      </w:r>
      <w:r>
        <w:rPr>
          <w:rFonts w:ascii="Times New Roman" w:hAnsi="Times New Roman"/>
          <w:sz w:val="24"/>
        </w:rPr>
        <w:t>angle de l</w:t>
      </w:r>
      <w:r w:rsidR="00B0065F">
        <w:rPr>
          <w:rFonts w:ascii="Times New Roman" w:hAnsi="Times New Roman"/>
          <w:sz w:val="24"/>
        </w:rPr>
        <w:t>’</w:t>
      </w:r>
      <w:r>
        <w:rPr>
          <w:rFonts w:ascii="Times New Roman" w:hAnsi="Times New Roman"/>
          <w:sz w:val="24"/>
        </w:rPr>
        <w:t>union de l</w:t>
      </w:r>
      <w:r w:rsidR="00B0065F">
        <w:rPr>
          <w:rFonts w:ascii="Times New Roman" w:hAnsi="Times New Roman"/>
          <w:sz w:val="24"/>
        </w:rPr>
        <w:t>’</w:t>
      </w:r>
      <w:r>
        <w:rPr>
          <w:rFonts w:ascii="Times New Roman" w:hAnsi="Times New Roman"/>
          <w:sz w:val="24"/>
        </w:rPr>
        <w:t xml:space="preserve">énergie, et de </w:t>
      </w:r>
      <w:r w:rsidR="00577F0F">
        <w:rPr>
          <w:rFonts w:ascii="Times New Roman" w:hAnsi="Times New Roman"/>
          <w:sz w:val="24"/>
        </w:rPr>
        <w:t xml:space="preserve">dégager </w:t>
      </w:r>
      <w:r>
        <w:rPr>
          <w:rFonts w:ascii="Times New Roman" w:hAnsi="Times New Roman"/>
          <w:sz w:val="24"/>
        </w:rPr>
        <w:t>des conclusions d</w:t>
      </w:r>
      <w:r w:rsidR="00B0065F">
        <w:rPr>
          <w:rFonts w:ascii="Times New Roman" w:hAnsi="Times New Roman"/>
          <w:sz w:val="24"/>
        </w:rPr>
        <w:t>’</w:t>
      </w:r>
      <w:r>
        <w:rPr>
          <w:rFonts w:ascii="Times New Roman" w:hAnsi="Times New Roman"/>
          <w:sz w:val="24"/>
        </w:rPr>
        <w:t>ordre politique pour chacune des cinq dimensions de l</w:t>
      </w:r>
      <w:r w:rsidR="00B0065F">
        <w:rPr>
          <w:rFonts w:ascii="Times New Roman" w:hAnsi="Times New Roman"/>
          <w:sz w:val="24"/>
        </w:rPr>
        <w:t>’</w:t>
      </w:r>
      <w:r>
        <w:rPr>
          <w:rFonts w:ascii="Times New Roman" w:hAnsi="Times New Roman"/>
          <w:sz w:val="24"/>
        </w:rPr>
        <w:t>union de l</w:t>
      </w:r>
      <w:r w:rsidR="00B0065F">
        <w:rPr>
          <w:rFonts w:ascii="Times New Roman" w:hAnsi="Times New Roman"/>
          <w:sz w:val="24"/>
        </w:rPr>
        <w:t>’</w:t>
      </w:r>
      <w:r>
        <w:rPr>
          <w:rFonts w:ascii="Times New Roman" w:hAnsi="Times New Roman"/>
          <w:sz w:val="24"/>
        </w:rPr>
        <w:t>énergie.</w:t>
      </w:r>
    </w:p>
    <w:p w:rsidR="00097C2F" w:rsidRDefault="008C0DFC">
      <w:pPr>
        <w:spacing w:after="240" w:line="240" w:lineRule="auto"/>
        <w:jc w:val="both"/>
        <w:rPr>
          <w:rFonts w:ascii="Times New Roman" w:hAnsi="Times New Roman"/>
          <w:b/>
          <w:smallCaps/>
          <w:sz w:val="24"/>
          <w:szCs w:val="24"/>
        </w:rPr>
      </w:pPr>
      <w:r w:rsidRPr="005A0F82">
        <w:rPr>
          <w:rFonts w:ascii="Times New Roman" w:hAnsi="Times New Roman"/>
          <w:b/>
          <w:smallCaps/>
          <w:sz w:val="24"/>
        </w:rPr>
        <w:t>2</w:t>
      </w:r>
      <w:r>
        <w:rPr>
          <w:rFonts w:ascii="Times New Roman" w:hAnsi="Times New Roman"/>
          <w:b/>
          <w:smallCaps/>
          <w:sz w:val="24"/>
        </w:rPr>
        <w:t>.</w:t>
      </w:r>
      <w:r>
        <w:tab/>
      </w:r>
      <w:r>
        <w:rPr>
          <w:rFonts w:ascii="Times New Roman" w:hAnsi="Times New Roman"/>
          <w:b/>
          <w:smallCaps/>
          <w:sz w:val="24"/>
        </w:rPr>
        <w:t>Décarbonisation de l</w:t>
      </w:r>
      <w:r w:rsidR="00B0065F">
        <w:rPr>
          <w:rFonts w:ascii="Times New Roman" w:hAnsi="Times New Roman"/>
          <w:b/>
          <w:smallCaps/>
          <w:sz w:val="24"/>
        </w:rPr>
        <w:t>’</w:t>
      </w:r>
      <w:r>
        <w:rPr>
          <w:rFonts w:ascii="Times New Roman" w:hAnsi="Times New Roman"/>
          <w:b/>
          <w:smallCaps/>
          <w:sz w:val="24"/>
        </w:rPr>
        <w:t>économie</w:t>
      </w:r>
    </w:p>
    <w:p w:rsidR="00097C2F" w:rsidRDefault="008C0DFC">
      <w:pPr>
        <w:spacing w:after="240" w:line="240" w:lineRule="auto"/>
        <w:jc w:val="both"/>
        <w:rPr>
          <w:rFonts w:ascii="Times New Roman" w:hAnsi="Times New Roman"/>
          <w:sz w:val="24"/>
          <w:szCs w:val="24"/>
        </w:rPr>
      </w:pPr>
      <w:r>
        <w:rPr>
          <w:rFonts w:ascii="Times New Roman" w:hAnsi="Times New Roman"/>
          <w:i/>
          <w:sz w:val="24"/>
        </w:rPr>
        <w:t>Progrès accomplis</w:t>
      </w:r>
    </w:p>
    <w:p w:rsidR="00097C2F" w:rsidRDefault="008C0DFC">
      <w:pPr>
        <w:spacing w:after="240" w:line="240" w:lineRule="auto"/>
        <w:jc w:val="both"/>
        <w:rPr>
          <w:rFonts w:ascii="Times New Roman" w:hAnsi="Times New Roman"/>
          <w:sz w:val="24"/>
          <w:szCs w:val="24"/>
        </w:rPr>
      </w:pPr>
      <w:r>
        <w:rPr>
          <w:rFonts w:ascii="Times New Roman" w:hAnsi="Times New Roman"/>
          <w:sz w:val="24"/>
        </w:rPr>
        <w:t>L</w:t>
      </w:r>
      <w:r w:rsidR="00B0065F">
        <w:rPr>
          <w:rFonts w:ascii="Times New Roman" w:hAnsi="Times New Roman"/>
          <w:sz w:val="24"/>
        </w:rPr>
        <w:t>’</w:t>
      </w:r>
      <w:r>
        <w:rPr>
          <w:rFonts w:ascii="Times New Roman" w:hAnsi="Times New Roman"/>
          <w:sz w:val="24"/>
        </w:rPr>
        <w:t>économie de l</w:t>
      </w:r>
      <w:r w:rsidR="00B0065F">
        <w:rPr>
          <w:rFonts w:ascii="Times New Roman" w:hAnsi="Times New Roman"/>
          <w:sz w:val="24"/>
        </w:rPr>
        <w:t>’</w:t>
      </w:r>
      <w:r>
        <w:rPr>
          <w:rFonts w:ascii="Times New Roman" w:hAnsi="Times New Roman"/>
          <w:sz w:val="24"/>
        </w:rPr>
        <w:t xml:space="preserve">UE est actuellement la plus efficace des grandes économies mondiales sur le plan des émissions de carbone. Ses efforts pour briser le lien entre la croissance économique et les émissions de gaz à effet de serre ont été particulièrement fructueux. Entre </w:t>
      </w:r>
      <w:r w:rsidRPr="005A0F82">
        <w:rPr>
          <w:rFonts w:ascii="Times New Roman" w:hAnsi="Times New Roman"/>
          <w:sz w:val="24"/>
        </w:rPr>
        <w:t>1990</w:t>
      </w:r>
      <w:r>
        <w:rPr>
          <w:rFonts w:ascii="Times New Roman" w:hAnsi="Times New Roman"/>
          <w:sz w:val="24"/>
        </w:rPr>
        <w:t xml:space="preserve"> et </w:t>
      </w:r>
      <w:r w:rsidRPr="005A0F82">
        <w:rPr>
          <w:rFonts w:ascii="Times New Roman" w:hAnsi="Times New Roman"/>
          <w:sz w:val="24"/>
        </w:rPr>
        <w:t>2014</w:t>
      </w:r>
      <w:r>
        <w:rPr>
          <w:rFonts w:ascii="Times New Roman" w:hAnsi="Times New Roman"/>
          <w:sz w:val="24"/>
        </w:rPr>
        <w:t>, le PIB global de l</w:t>
      </w:r>
      <w:r w:rsidR="00B0065F">
        <w:rPr>
          <w:rFonts w:ascii="Times New Roman" w:hAnsi="Times New Roman"/>
          <w:sz w:val="24"/>
        </w:rPr>
        <w:t>’</w:t>
      </w:r>
      <w:r>
        <w:rPr>
          <w:rFonts w:ascii="Times New Roman" w:hAnsi="Times New Roman"/>
          <w:sz w:val="24"/>
        </w:rPr>
        <w:t xml:space="preserve">UE a augmenté de </w:t>
      </w:r>
      <w:r w:rsidRPr="005A0F82">
        <w:rPr>
          <w:rFonts w:ascii="Times New Roman" w:hAnsi="Times New Roman"/>
          <w:sz w:val="24"/>
        </w:rPr>
        <w:t>46</w:t>
      </w:r>
      <w:r>
        <w:rPr>
          <w:rFonts w:ascii="Times New Roman" w:hAnsi="Times New Roman"/>
          <w:sz w:val="24"/>
        </w:rPr>
        <w:t xml:space="preserve"> %, alors que ses émissions totales de gaz à effet de serre diminuaient de </w:t>
      </w:r>
      <w:r w:rsidRPr="005A0F82">
        <w:rPr>
          <w:rFonts w:ascii="Times New Roman" w:hAnsi="Times New Roman"/>
          <w:sz w:val="24"/>
        </w:rPr>
        <w:t>23</w:t>
      </w:r>
      <w:r>
        <w:rPr>
          <w:rFonts w:ascii="Times New Roman" w:hAnsi="Times New Roman"/>
          <w:sz w:val="24"/>
        </w:rPr>
        <w:t> %. L</w:t>
      </w:r>
      <w:r w:rsidR="00B0065F">
        <w:rPr>
          <w:rFonts w:ascii="Times New Roman" w:hAnsi="Times New Roman"/>
          <w:sz w:val="24"/>
        </w:rPr>
        <w:t>’</w:t>
      </w:r>
      <w:r>
        <w:rPr>
          <w:rFonts w:ascii="Times New Roman" w:hAnsi="Times New Roman"/>
          <w:sz w:val="24"/>
        </w:rPr>
        <w:t>UE est l</w:t>
      </w:r>
      <w:r w:rsidR="00B0065F">
        <w:rPr>
          <w:rFonts w:ascii="Times New Roman" w:hAnsi="Times New Roman"/>
          <w:sz w:val="24"/>
        </w:rPr>
        <w:t>’</w:t>
      </w:r>
      <w:r>
        <w:rPr>
          <w:rFonts w:ascii="Times New Roman" w:hAnsi="Times New Roman"/>
          <w:sz w:val="24"/>
        </w:rPr>
        <w:t>un des trois seuls grands ensembles économiques mondiaux</w:t>
      </w:r>
      <w:r>
        <w:rPr>
          <w:rStyle w:val="FootnoteReference"/>
          <w:rFonts w:ascii="Times New Roman" w:hAnsi="Times New Roman"/>
          <w:sz w:val="24"/>
        </w:rPr>
        <w:footnoteReference w:id="4"/>
      </w:r>
      <w:r>
        <w:rPr>
          <w:rFonts w:ascii="Times New Roman" w:hAnsi="Times New Roman"/>
          <w:sz w:val="24"/>
        </w:rPr>
        <w:t xml:space="preserve"> qui produisent plus de la moitié de leur électricité sans émissions de gaz à effet de serre</w:t>
      </w:r>
      <w:r>
        <w:rPr>
          <w:rStyle w:val="FootnoteReference"/>
          <w:rFonts w:ascii="Times New Roman" w:hAnsi="Times New Roman"/>
          <w:sz w:val="24"/>
        </w:rPr>
        <w:footnoteReference w:id="5"/>
      </w:r>
      <w:r>
        <w:rPr>
          <w:rFonts w:ascii="Times New Roman" w:hAnsi="Times New Roman"/>
          <w:sz w:val="24"/>
        </w:rPr>
        <w:t>.</w:t>
      </w:r>
    </w:p>
    <w:p w:rsidR="00097C2F" w:rsidRDefault="008C0DFC">
      <w:pPr>
        <w:spacing w:after="240" w:line="240" w:lineRule="auto"/>
        <w:jc w:val="both"/>
        <w:rPr>
          <w:rFonts w:ascii="Times New Roman" w:hAnsi="Times New Roman"/>
          <w:sz w:val="24"/>
          <w:szCs w:val="24"/>
        </w:rPr>
      </w:pPr>
      <w:r>
        <w:rPr>
          <w:rFonts w:ascii="Times New Roman" w:hAnsi="Times New Roman"/>
          <w:sz w:val="24"/>
        </w:rPr>
        <w:t>L</w:t>
      </w:r>
      <w:r w:rsidR="00B0065F">
        <w:rPr>
          <w:rFonts w:ascii="Times New Roman" w:hAnsi="Times New Roman"/>
          <w:sz w:val="24"/>
        </w:rPr>
        <w:t>’</w:t>
      </w:r>
      <w:r>
        <w:rPr>
          <w:rFonts w:ascii="Times New Roman" w:hAnsi="Times New Roman"/>
          <w:sz w:val="24"/>
        </w:rPr>
        <w:t>un des objectifs de la stratégie de l</w:t>
      </w:r>
      <w:r w:rsidR="00B0065F">
        <w:rPr>
          <w:rFonts w:ascii="Times New Roman" w:hAnsi="Times New Roman"/>
          <w:sz w:val="24"/>
        </w:rPr>
        <w:t>’</w:t>
      </w:r>
      <w:r>
        <w:rPr>
          <w:rFonts w:ascii="Times New Roman" w:hAnsi="Times New Roman"/>
          <w:sz w:val="24"/>
        </w:rPr>
        <w:t>union de l</w:t>
      </w:r>
      <w:r w:rsidR="00B0065F">
        <w:rPr>
          <w:rFonts w:ascii="Times New Roman" w:hAnsi="Times New Roman"/>
          <w:sz w:val="24"/>
        </w:rPr>
        <w:t>’</w:t>
      </w:r>
      <w:r>
        <w:rPr>
          <w:rFonts w:ascii="Times New Roman" w:hAnsi="Times New Roman"/>
          <w:sz w:val="24"/>
        </w:rPr>
        <w:t xml:space="preserve">énergie est de délaisser encore davantage le modèle économique reposant sur les combustibles fossiles. En </w:t>
      </w:r>
      <w:r w:rsidRPr="005A0F82">
        <w:rPr>
          <w:rFonts w:ascii="Times New Roman" w:hAnsi="Times New Roman"/>
          <w:sz w:val="24"/>
        </w:rPr>
        <w:t>2015</w:t>
      </w:r>
      <w:r>
        <w:rPr>
          <w:rFonts w:ascii="Times New Roman" w:hAnsi="Times New Roman"/>
          <w:sz w:val="24"/>
        </w:rPr>
        <w:t>, des progrès ont été enregistrés dans trois domaines qui jouent un rôle essentiel dans cette transition: les échanges de quotas d</w:t>
      </w:r>
      <w:r w:rsidR="00B0065F">
        <w:rPr>
          <w:rFonts w:ascii="Times New Roman" w:hAnsi="Times New Roman"/>
          <w:sz w:val="24"/>
        </w:rPr>
        <w:t>’</w:t>
      </w:r>
      <w:r>
        <w:rPr>
          <w:rFonts w:ascii="Times New Roman" w:hAnsi="Times New Roman"/>
          <w:sz w:val="24"/>
        </w:rPr>
        <w:t>émission, les sources d</w:t>
      </w:r>
      <w:r w:rsidR="00B0065F">
        <w:rPr>
          <w:rFonts w:ascii="Times New Roman" w:hAnsi="Times New Roman"/>
          <w:sz w:val="24"/>
        </w:rPr>
        <w:t>’</w:t>
      </w:r>
      <w:r>
        <w:rPr>
          <w:rFonts w:ascii="Times New Roman" w:hAnsi="Times New Roman"/>
          <w:sz w:val="24"/>
        </w:rPr>
        <w:t xml:space="preserve">énergie renouvelables et </w:t>
      </w:r>
      <w:r w:rsidR="000311FF">
        <w:rPr>
          <w:rFonts w:ascii="Times New Roman" w:hAnsi="Times New Roman"/>
          <w:sz w:val="24"/>
        </w:rPr>
        <w:t xml:space="preserve">la réalisation </w:t>
      </w:r>
      <w:r>
        <w:rPr>
          <w:rFonts w:ascii="Times New Roman" w:hAnsi="Times New Roman"/>
          <w:sz w:val="24"/>
        </w:rPr>
        <w:t>de nouveaux investissements dans les technologies à faible intensité de carbone et l</w:t>
      </w:r>
      <w:r w:rsidR="00B0065F">
        <w:rPr>
          <w:rFonts w:ascii="Times New Roman" w:hAnsi="Times New Roman"/>
          <w:sz w:val="24"/>
        </w:rPr>
        <w:t>’</w:t>
      </w:r>
      <w:r>
        <w:rPr>
          <w:rFonts w:ascii="Times New Roman" w:hAnsi="Times New Roman"/>
          <w:sz w:val="24"/>
        </w:rPr>
        <w:t>efficacité énergétique.</w:t>
      </w:r>
    </w:p>
    <w:p w:rsidR="00097C2F" w:rsidRDefault="008C0DFC">
      <w:pPr>
        <w:spacing w:after="240" w:line="240" w:lineRule="auto"/>
        <w:jc w:val="both"/>
        <w:rPr>
          <w:rFonts w:ascii="Times New Roman" w:hAnsi="Times New Roman"/>
          <w:sz w:val="24"/>
          <w:szCs w:val="24"/>
        </w:rPr>
      </w:pPr>
      <w:r>
        <w:rPr>
          <w:rFonts w:ascii="Times New Roman" w:hAnsi="Times New Roman"/>
          <w:sz w:val="24"/>
        </w:rPr>
        <w:t>L</w:t>
      </w:r>
      <w:r w:rsidR="00B0065F">
        <w:rPr>
          <w:rFonts w:ascii="Times New Roman" w:hAnsi="Times New Roman"/>
          <w:sz w:val="24"/>
        </w:rPr>
        <w:t>’</w:t>
      </w:r>
      <w:r>
        <w:rPr>
          <w:rFonts w:ascii="Times New Roman" w:hAnsi="Times New Roman"/>
          <w:sz w:val="24"/>
        </w:rPr>
        <w:t>accord sur l</w:t>
      </w:r>
      <w:r w:rsidR="00B0065F">
        <w:rPr>
          <w:rFonts w:ascii="Times New Roman" w:hAnsi="Times New Roman"/>
          <w:sz w:val="24"/>
        </w:rPr>
        <w:t>’</w:t>
      </w:r>
      <w:r>
        <w:rPr>
          <w:rFonts w:ascii="Times New Roman" w:hAnsi="Times New Roman"/>
          <w:sz w:val="24"/>
        </w:rPr>
        <w:t xml:space="preserve">introduction de la réserve de stabilité du marché, qui sera opérationnelle en </w:t>
      </w:r>
      <w:r w:rsidRPr="005A0F82">
        <w:rPr>
          <w:rFonts w:ascii="Times New Roman" w:hAnsi="Times New Roman"/>
          <w:sz w:val="24"/>
        </w:rPr>
        <w:t>2019</w:t>
      </w:r>
      <w:r>
        <w:rPr>
          <w:rFonts w:ascii="Times New Roman" w:hAnsi="Times New Roman"/>
          <w:sz w:val="24"/>
        </w:rPr>
        <w:t>, renforcera le système d</w:t>
      </w:r>
      <w:r w:rsidR="00B0065F">
        <w:rPr>
          <w:rFonts w:ascii="Times New Roman" w:hAnsi="Times New Roman"/>
          <w:sz w:val="24"/>
        </w:rPr>
        <w:t>’</w:t>
      </w:r>
      <w:r>
        <w:rPr>
          <w:rFonts w:ascii="Times New Roman" w:hAnsi="Times New Roman"/>
          <w:sz w:val="24"/>
        </w:rPr>
        <w:t>échange de quotas d</w:t>
      </w:r>
      <w:r w:rsidR="00B0065F">
        <w:rPr>
          <w:rFonts w:ascii="Times New Roman" w:hAnsi="Times New Roman"/>
          <w:sz w:val="24"/>
        </w:rPr>
        <w:t>’</w:t>
      </w:r>
      <w:r>
        <w:rPr>
          <w:rFonts w:ascii="Times New Roman" w:hAnsi="Times New Roman"/>
          <w:sz w:val="24"/>
        </w:rPr>
        <w:t>émission de l</w:t>
      </w:r>
      <w:r w:rsidR="00B0065F">
        <w:rPr>
          <w:rFonts w:ascii="Times New Roman" w:hAnsi="Times New Roman"/>
          <w:sz w:val="24"/>
        </w:rPr>
        <w:t>’</w:t>
      </w:r>
      <w:r>
        <w:rPr>
          <w:rFonts w:ascii="Times New Roman" w:hAnsi="Times New Roman"/>
          <w:sz w:val="24"/>
        </w:rPr>
        <w:t xml:space="preserve">UE (SEQE). En juillet </w:t>
      </w:r>
      <w:r w:rsidRPr="005A0F82">
        <w:rPr>
          <w:rFonts w:ascii="Times New Roman" w:hAnsi="Times New Roman"/>
          <w:sz w:val="24"/>
        </w:rPr>
        <w:t>2019</w:t>
      </w:r>
      <w:r>
        <w:rPr>
          <w:rFonts w:ascii="Times New Roman" w:hAnsi="Times New Roman"/>
          <w:sz w:val="24"/>
        </w:rPr>
        <w:t xml:space="preserve">, la Commission a présenté une proposition de révision du </w:t>
      </w:r>
      <w:r w:rsidR="00577F0F">
        <w:rPr>
          <w:rFonts w:ascii="Times New Roman" w:hAnsi="Times New Roman"/>
          <w:sz w:val="24"/>
        </w:rPr>
        <w:t>SEQE</w:t>
      </w:r>
      <w:r>
        <w:rPr>
          <w:rFonts w:ascii="Times New Roman" w:hAnsi="Times New Roman"/>
          <w:sz w:val="24"/>
        </w:rPr>
        <w:t>. Il s</w:t>
      </w:r>
      <w:r w:rsidR="00B0065F">
        <w:rPr>
          <w:rFonts w:ascii="Times New Roman" w:hAnsi="Times New Roman"/>
          <w:sz w:val="24"/>
        </w:rPr>
        <w:t>’</w:t>
      </w:r>
      <w:r>
        <w:rPr>
          <w:rFonts w:ascii="Times New Roman" w:hAnsi="Times New Roman"/>
          <w:sz w:val="24"/>
        </w:rPr>
        <w:t xml:space="preserve">agit de la dernière étape </w:t>
      </w:r>
      <w:r w:rsidR="000311FF">
        <w:rPr>
          <w:rFonts w:ascii="Times New Roman" w:hAnsi="Times New Roman"/>
          <w:sz w:val="24"/>
        </w:rPr>
        <w:t xml:space="preserve">avant </w:t>
      </w:r>
      <w:r w:rsidR="00577F0F">
        <w:rPr>
          <w:rFonts w:ascii="Times New Roman" w:hAnsi="Times New Roman"/>
          <w:sz w:val="24"/>
        </w:rPr>
        <w:t xml:space="preserve">que </w:t>
      </w:r>
      <w:r>
        <w:rPr>
          <w:rFonts w:ascii="Times New Roman" w:hAnsi="Times New Roman"/>
          <w:sz w:val="24"/>
        </w:rPr>
        <w:t xml:space="preserve">ce système </w:t>
      </w:r>
      <w:r w:rsidR="00577F0F">
        <w:rPr>
          <w:rFonts w:ascii="Times New Roman" w:hAnsi="Times New Roman"/>
          <w:sz w:val="24"/>
        </w:rPr>
        <w:t xml:space="preserve">soit </w:t>
      </w:r>
      <w:r>
        <w:rPr>
          <w:rFonts w:ascii="Times New Roman" w:hAnsi="Times New Roman"/>
          <w:sz w:val="24"/>
        </w:rPr>
        <w:t>apte à jouer pleinement son rôle de principal instrument européen en vue d</w:t>
      </w:r>
      <w:r w:rsidR="00B0065F">
        <w:rPr>
          <w:rFonts w:ascii="Times New Roman" w:hAnsi="Times New Roman"/>
          <w:sz w:val="24"/>
        </w:rPr>
        <w:t>’</w:t>
      </w:r>
      <w:r>
        <w:rPr>
          <w:rFonts w:ascii="Times New Roman" w:hAnsi="Times New Roman"/>
          <w:sz w:val="24"/>
        </w:rPr>
        <w:t>atteindre l</w:t>
      </w:r>
      <w:r w:rsidR="00B0065F">
        <w:rPr>
          <w:rFonts w:ascii="Times New Roman" w:hAnsi="Times New Roman"/>
          <w:sz w:val="24"/>
        </w:rPr>
        <w:t>’</w:t>
      </w:r>
      <w:r>
        <w:rPr>
          <w:rFonts w:ascii="Times New Roman" w:hAnsi="Times New Roman"/>
          <w:sz w:val="24"/>
        </w:rPr>
        <w:t>objectif de réduction des émissions de gaz à effet de serre à l</w:t>
      </w:r>
      <w:r w:rsidR="00B0065F">
        <w:rPr>
          <w:rFonts w:ascii="Times New Roman" w:hAnsi="Times New Roman"/>
          <w:sz w:val="24"/>
        </w:rPr>
        <w:t>’</w:t>
      </w:r>
      <w:r>
        <w:rPr>
          <w:rFonts w:ascii="Times New Roman" w:hAnsi="Times New Roman"/>
          <w:sz w:val="24"/>
        </w:rPr>
        <w:t xml:space="preserve">horizon </w:t>
      </w:r>
      <w:r w:rsidRPr="005A0F82">
        <w:rPr>
          <w:rFonts w:ascii="Times New Roman" w:hAnsi="Times New Roman"/>
          <w:sz w:val="24"/>
        </w:rPr>
        <w:t>2030</w:t>
      </w:r>
      <w:r>
        <w:rPr>
          <w:rFonts w:ascii="Times New Roman" w:hAnsi="Times New Roman"/>
          <w:sz w:val="24"/>
        </w:rPr>
        <w:t>. La Commission invite instamment le Parlement européen et le Conseil à accorder un traitement prioritaire aux travaux relatifs à cette proposition.</w:t>
      </w:r>
    </w:p>
    <w:p w:rsidR="00097C2F" w:rsidRDefault="008C0DFC">
      <w:pPr>
        <w:spacing w:after="240" w:line="240" w:lineRule="auto"/>
        <w:jc w:val="both"/>
        <w:rPr>
          <w:rFonts w:ascii="Times New Roman" w:hAnsi="Times New Roman"/>
          <w:i/>
          <w:strike/>
          <w:sz w:val="24"/>
          <w:szCs w:val="24"/>
        </w:rPr>
      </w:pPr>
      <w:r>
        <w:rPr>
          <w:rFonts w:ascii="Times New Roman" w:hAnsi="Times New Roman"/>
          <w:sz w:val="24"/>
        </w:rPr>
        <w:t>Soutenant l</w:t>
      </w:r>
      <w:r w:rsidR="00B0065F">
        <w:rPr>
          <w:rFonts w:ascii="Times New Roman" w:hAnsi="Times New Roman"/>
          <w:sz w:val="24"/>
        </w:rPr>
        <w:t>’</w:t>
      </w:r>
      <w:r>
        <w:rPr>
          <w:rFonts w:ascii="Times New Roman" w:hAnsi="Times New Roman"/>
          <w:sz w:val="24"/>
        </w:rPr>
        <w:t>ambition de faire de l</w:t>
      </w:r>
      <w:r w:rsidR="00B0065F">
        <w:rPr>
          <w:rFonts w:ascii="Times New Roman" w:hAnsi="Times New Roman"/>
          <w:sz w:val="24"/>
        </w:rPr>
        <w:t>’</w:t>
      </w:r>
      <w:r>
        <w:rPr>
          <w:rFonts w:ascii="Times New Roman" w:hAnsi="Times New Roman"/>
          <w:sz w:val="24"/>
        </w:rPr>
        <w:t xml:space="preserve">Europe le leader mondial des énergies renouvelables, la Commission a présenté en juillet </w:t>
      </w:r>
      <w:r w:rsidRPr="005A0F82">
        <w:rPr>
          <w:rFonts w:ascii="Times New Roman" w:hAnsi="Times New Roman"/>
          <w:sz w:val="24"/>
        </w:rPr>
        <w:t>2015</w:t>
      </w:r>
      <w:r>
        <w:rPr>
          <w:rFonts w:ascii="Times New Roman" w:hAnsi="Times New Roman"/>
          <w:sz w:val="24"/>
        </w:rPr>
        <w:t xml:space="preserve"> une communication consultative sur une nouvelle organisation du marché de l</w:t>
      </w:r>
      <w:r w:rsidR="00B0065F">
        <w:rPr>
          <w:rFonts w:ascii="Times New Roman" w:hAnsi="Times New Roman"/>
          <w:sz w:val="24"/>
        </w:rPr>
        <w:t>’</w:t>
      </w:r>
      <w:r>
        <w:rPr>
          <w:rFonts w:ascii="Times New Roman" w:hAnsi="Times New Roman"/>
          <w:sz w:val="24"/>
        </w:rPr>
        <w:t>électricité, dont l</w:t>
      </w:r>
      <w:r w:rsidR="00B0065F">
        <w:rPr>
          <w:rFonts w:ascii="Times New Roman" w:hAnsi="Times New Roman"/>
          <w:sz w:val="24"/>
        </w:rPr>
        <w:t>’</w:t>
      </w:r>
      <w:r>
        <w:rPr>
          <w:rFonts w:ascii="Times New Roman" w:hAnsi="Times New Roman"/>
          <w:sz w:val="24"/>
        </w:rPr>
        <w:t xml:space="preserve">un des principaux objectifs est </w:t>
      </w:r>
      <w:r w:rsidR="000311FF">
        <w:rPr>
          <w:rFonts w:ascii="Times New Roman" w:hAnsi="Times New Roman"/>
          <w:sz w:val="24"/>
        </w:rPr>
        <w:t>d</w:t>
      </w:r>
      <w:r w:rsidR="00B0065F">
        <w:rPr>
          <w:rFonts w:ascii="Times New Roman" w:hAnsi="Times New Roman"/>
          <w:sz w:val="24"/>
        </w:rPr>
        <w:t>’</w:t>
      </w:r>
      <w:r w:rsidR="000311FF">
        <w:rPr>
          <w:rFonts w:ascii="Times New Roman" w:hAnsi="Times New Roman"/>
          <w:sz w:val="24"/>
        </w:rPr>
        <w:t>adapter celui-ci à</w:t>
      </w:r>
      <w:r>
        <w:rPr>
          <w:rFonts w:ascii="Times New Roman" w:hAnsi="Times New Roman"/>
          <w:sz w:val="24"/>
        </w:rPr>
        <w:t xml:space="preserve"> une augmentation de la part des énergies renouvelables</w:t>
      </w:r>
      <w:r w:rsidR="000311FF">
        <w:rPr>
          <w:rFonts w:ascii="Times New Roman" w:hAnsi="Times New Roman"/>
          <w:sz w:val="24"/>
        </w:rPr>
        <w:t>, qui</w:t>
      </w:r>
      <w:r>
        <w:rPr>
          <w:rFonts w:ascii="Times New Roman" w:hAnsi="Times New Roman"/>
          <w:sz w:val="24"/>
        </w:rPr>
        <w:t xml:space="preserve"> deviennent une source d</w:t>
      </w:r>
      <w:r w:rsidR="00B0065F">
        <w:rPr>
          <w:rFonts w:ascii="Times New Roman" w:hAnsi="Times New Roman"/>
          <w:sz w:val="24"/>
        </w:rPr>
        <w:t>’</w:t>
      </w:r>
      <w:r>
        <w:rPr>
          <w:rFonts w:ascii="Times New Roman" w:hAnsi="Times New Roman"/>
          <w:sz w:val="24"/>
        </w:rPr>
        <w:t xml:space="preserve">énergie importante. Elles couvrent déjà les besoins de </w:t>
      </w:r>
      <w:r w:rsidRPr="005A0F82">
        <w:rPr>
          <w:rFonts w:ascii="Times New Roman" w:hAnsi="Times New Roman"/>
          <w:sz w:val="24"/>
        </w:rPr>
        <w:t>78</w:t>
      </w:r>
      <w:r>
        <w:rPr>
          <w:rFonts w:ascii="Times New Roman" w:hAnsi="Times New Roman"/>
          <w:sz w:val="24"/>
        </w:rPr>
        <w:t xml:space="preserve"> millions d</w:t>
      </w:r>
      <w:r w:rsidR="00B0065F">
        <w:rPr>
          <w:rFonts w:ascii="Times New Roman" w:hAnsi="Times New Roman"/>
          <w:sz w:val="24"/>
        </w:rPr>
        <w:t>’</w:t>
      </w:r>
      <w:r>
        <w:rPr>
          <w:rFonts w:ascii="Times New Roman" w:hAnsi="Times New Roman"/>
          <w:sz w:val="24"/>
        </w:rPr>
        <w:t>Européens, et l</w:t>
      </w:r>
      <w:r w:rsidR="00B0065F">
        <w:rPr>
          <w:rFonts w:ascii="Times New Roman" w:hAnsi="Times New Roman"/>
          <w:sz w:val="24"/>
        </w:rPr>
        <w:t>’</w:t>
      </w:r>
      <w:r>
        <w:rPr>
          <w:rFonts w:ascii="Times New Roman" w:hAnsi="Times New Roman"/>
          <w:sz w:val="24"/>
        </w:rPr>
        <w:t xml:space="preserve">Union en tant que telle est sur la bonne voie pour atteindre son objectif </w:t>
      </w:r>
      <w:r w:rsidR="000311FF">
        <w:rPr>
          <w:rFonts w:ascii="Times New Roman" w:hAnsi="Times New Roman"/>
          <w:sz w:val="24"/>
        </w:rPr>
        <w:t xml:space="preserve">de </w:t>
      </w:r>
      <w:r w:rsidRPr="005A0F82">
        <w:rPr>
          <w:rFonts w:ascii="Times New Roman" w:hAnsi="Times New Roman"/>
          <w:sz w:val="24"/>
        </w:rPr>
        <w:t>20</w:t>
      </w:r>
      <w:r>
        <w:rPr>
          <w:rFonts w:ascii="Times New Roman" w:hAnsi="Times New Roman"/>
          <w:sz w:val="24"/>
        </w:rPr>
        <w:t xml:space="preserve"> % </w:t>
      </w:r>
      <w:r w:rsidR="000311FF">
        <w:rPr>
          <w:rFonts w:ascii="Times New Roman" w:hAnsi="Times New Roman"/>
          <w:sz w:val="24"/>
        </w:rPr>
        <w:t>d</w:t>
      </w:r>
      <w:r w:rsidR="00B0065F">
        <w:rPr>
          <w:rFonts w:ascii="Times New Roman" w:hAnsi="Times New Roman"/>
          <w:sz w:val="24"/>
        </w:rPr>
        <w:t>’</w:t>
      </w:r>
      <w:r w:rsidR="000311FF">
        <w:rPr>
          <w:rFonts w:ascii="Times New Roman" w:hAnsi="Times New Roman"/>
          <w:sz w:val="24"/>
        </w:rPr>
        <w:t>énergie produite à partir de sources renouvelables dans</w:t>
      </w:r>
      <w:r>
        <w:rPr>
          <w:rFonts w:ascii="Times New Roman" w:hAnsi="Times New Roman"/>
          <w:sz w:val="24"/>
        </w:rPr>
        <w:t xml:space="preserve"> sa consommation finale d</w:t>
      </w:r>
      <w:r w:rsidR="00B0065F">
        <w:rPr>
          <w:rFonts w:ascii="Times New Roman" w:hAnsi="Times New Roman"/>
          <w:sz w:val="24"/>
        </w:rPr>
        <w:t>’</w:t>
      </w:r>
      <w:r>
        <w:rPr>
          <w:rFonts w:ascii="Times New Roman" w:hAnsi="Times New Roman"/>
          <w:sz w:val="24"/>
        </w:rPr>
        <w:t>énergie à l</w:t>
      </w:r>
      <w:r w:rsidR="00B0065F">
        <w:rPr>
          <w:rFonts w:ascii="Times New Roman" w:hAnsi="Times New Roman"/>
          <w:sz w:val="24"/>
        </w:rPr>
        <w:t>’</w:t>
      </w:r>
      <w:r>
        <w:rPr>
          <w:rFonts w:ascii="Times New Roman" w:hAnsi="Times New Roman"/>
          <w:sz w:val="24"/>
        </w:rPr>
        <w:t xml:space="preserve">horizon </w:t>
      </w:r>
      <w:r w:rsidRPr="005A0F82">
        <w:rPr>
          <w:rFonts w:ascii="Times New Roman" w:hAnsi="Times New Roman"/>
          <w:sz w:val="24"/>
        </w:rPr>
        <w:t>2020</w:t>
      </w:r>
      <w:r>
        <w:rPr>
          <w:rFonts w:ascii="Times New Roman" w:hAnsi="Times New Roman"/>
          <w:sz w:val="24"/>
        </w:rPr>
        <w:t>.</w:t>
      </w:r>
    </w:p>
    <w:p w:rsidR="00097C2F" w:rsidRDefault="008C0DFC">
      <w:pPr>
        <w:spacing w:after="240" w:line="240" w:lineRule="auto"/>
        <w:jc w:val="both"/>
        <w:rPr>
          <w:rFonts w:ascii="Times New Roman" w:hAnsi="Times New Roman"/>
          <w:color w:val="000000"/>
          <w:sz w:val="24"/>
          <w:szCs w:val="24"/>
        </w:rPr>
      </w:pPr>
      <w:r>
        <w:rPr>
          <w:rFonts w:ascii="Times New Roman" w:hAnsi="Times New Roman"/>
          <w:color w:val="000000"/>
          <w:sz w:val="24"/>
        </w:rPr>
        <w:lastRenderedPageBreak/>
        <w:t xml:space="preserve">La transition vers une économie à faible intensité de carbone nécessitera des investissements considérables, notamment dans les réseaux électriques, la production </w:t>
      </w:r>
      <w:r w:rsidR="000311FF">
        <w:rPr>
          <w:rFonts w:ascii="Times New Roman" w:hAnsi="Times New Roman"/>
          <w:color w:val="000000"/>
          <w:sz w:val="24"/>
        </w:rPr>
        <w:t>d</w:t>
      </w:r>
      <w:r w:rsidR="00B0065F">
        <w:rPr>
          <w:rFonts w:ascii="Times New Roman" w:hAnsi="Times New Roman"/>
          <w:color w:val="000000"/>
          <w:sz w:val="24"/>
        </w:rPr>
        <w:t>’</w:t>
      </w:r>
      <w:r w:rsidR="000311FF">
        <w:rPr>
          <w:rFonts w:ascii="Times New Roman" w:hAnsi="Times New Roman"/>
          <w:color w:val="000000"/>
          <w:sz w:val="24"/>
        </w:rPr>
        <w:t>énergie</w:t>
      </w:r>
      <w:r>
        <w:rPr>
          <w:rFonts w:ascii="Times New Roman" w:hAnsi="Times New Roman"/>
          <w:color w:val="000000"/>
          <w:sz w:val="24"/>
        </w:rPr>
        <w:t>, l</w:t>
      </w:r>
      <w:r w:rsidR="00B0065F">
        <w:rPr>
          <w:rFonts w:ascii="Times New Roman" w:hAnsi="Times New Roman"/>
          <w:color w:val="000000"/>
          <w:sz w:val="24"/>
        </w:rPr>
        <w:t>’</w:t>
      </w:r>
      <w:r>
        <w:rPr>
          <w:rFonts w:ascii="Times New Roman" w:hAnsi="Times New Roman"/>
          <w:color w:val="000000"/>
          <w:sz w:val="24"/>
        </w:rPr>
        <w:t>efficacité énergétique et l</w:t>
      </w:r>
      <w:r w:rsidR="00B0065F">
        <w:rPr>
          <w:rFonts w:ascii="Times New Roman" w:hAnsi="Times New Roman"/>
          <w:color w:val="000000"/>
          <w:sz w:val="24"/>
        </w:rPr>
        <w:t>’</w:t>
      </w:r>
      <w:r>
        <w:rPr>
          <w:rFonts w:ascii="Times New Roman" w:hAnsi="Times New Roman"/>
          <w:color w:val="000000"/>
          <w:sz w:val="24"/>
        </w:rPr>
        <w:t>innovation</w:t>
      </w:r>
      <w:r>
        <w:rPr>
          <w:rStyle w:val="FootnoteReference"/>
          <w:rFonts w:ascii="Times New Roman" w:hAnsi="Times New Roman"/>
          <w:color w:val="000000"/>
          <w:sz w:val="24"/>
        </w:rPr>
        <w:footnoteReference w:id="6"/>
      </w:r>
      <w:r>
        <w:rPr>
          <w:rFonts w:ascii="Times New Roman" w:hAnsi="Times New Roman"/>
          <w:color w:val="000000"/>
          <w:sz w:val="24"/>
        </w:rPr>
        <w:t>. Le budget de l</w:t>
      </w:r>
      <w:r w:rsidR="00B0065F">
        <w:rPr>
          <w:rFonts w:ascii="Times New Roman" w:hAnsi="Times New Roman"/>
          <w:color w:val="000000"/>
          <w:sz w:val="24"/>
        </w:rPr>
        <w:t>’</w:t>
      </w:r>
      <w:r>
        <w:rPr>
          <w:rFonts w:ascii="Times New Roman" w:hAnsi="Times New Roman"/>
          <w:color w:val="000000"/>
          <w:sz w:val="24"/>
        </w:rPr>
        <w:t xml:space="preserve">Union contribue à cette mutation en intégrant les objectifs climatiques dans toutes les initiatives politiques pertinentes, pour faire en sorte que </w:t>
      </w:r>
      <w:r w:rsidR="000311FF" w:rsidRPr="005A0F82">
        <w:rPr>
          <w:rFonts w:ascii="Times New Roman" w:hAnsi="Times New Roman"/>
          <w:color w:val="000000"/>
          <w:sz w:val="24"/>
        </w:rPr>
        <w:t>20</w:t>
      </w:r>
      <w:r w:rsidR="000311FF">
        <w:rPr>
          <w:rFonts w:ascii="Times New Roman" w:hAnsi="Times New Roman"/>
          <w:color w:val="000000"/>
          <w:sz w:val="24"/>
        </w:rPr>
        <w:t> </w:t>
      </w:r>
      <w:r>
        <w:rPr>
          <w:rFonts w:ascii="Times New Roman" w:hAnsi="Times New Roman"/>
          <w:color w:val="000000"/>
          <w:sz w:val="24"/>
        </w:rPr>
        <w:t xml:space="preserve">% du budget </w:t>
      </w:r>
      <w:r w:rsidRPr="005A0F82">
        <w:rPr>
          <w:rFonts w:ascii="Times New Roman" w:hAnsi="Times New Roman"/>
          <w:color w:val="000000"/>
          <w:sz w:val="24"/>
        </w:rPr>
        <w:t>2014</w:t>
      </w:r>
      <w:r>
        <w:rPr>
          <w:rFonts w:ascii="Times New Roman" w:hAnsi="Times New Roman"/>
          <w:color w:val="000000"/>
          <w:sz w:val="24"/>
        </w:rPr>
        <w:t>-</w:t>
      </w:r>
      <w:r w:rsidRPr="005A0F82">
        <w:rPr>
          <w:rFonts w:ascii="Times New Roman" w:hAnsi="Times New Roman"/>
          <w:color w:val="000000"/>
          <w:sz w:val="24"/>
        </w:rPr>
        <w:t>2020</w:t>
      </w:r>
      <w:r>
        <w:rPr>
          <w:rFonts w:ascii="Times New Roman" w:hAnsi="Times New Roman"/>
          <w:color w:val="000000"/>
          <w:sz w:val="24"/>
        </w:rPr>
        <w:t xml:space="preserve"> de l</w:t>
      </w:r>
      <w:r w:rsidR="00B0065F">
        <w:rPr>
          <w:rFonts w:ascii="Times New Roman" w:hAnsi="Times New Roman"/>
          <w:color w:val="000000"/>
          <w:sz w:val="24"/>
        </w:rPr>
        <w:t>’</w:t>
      </w:r>
      <w:r>
        <w:rPr>
          <w:rFonts w:ascii="Times New Roman" w:hAnsi="Times New Roman"/>
          <w:color w:val="000000"/>
          <w:sz w:val="24"/>
        </w:rPr>
        <w:t>Union soit alloué à des actions en faveur du climat</w:t>
      </w:r>
      <w:r w:rsidR="000311FF">
        <w:rPr>
          <w:rFonts w:ascii="Times New Roman" w:hAnsi="Times New Roman"/>
          <w:color w:val="000000"/>
          <w:sz w:val="24"/>
        </w:rPr>
        <w:t xml:space="preserve">, soit </w:t>
      </w:r>
      <w:r>
        <w:rPr>
          <w:rFonts w:ascii="Times New Roman" w:hAnsi="Times New Roman"/>
          <w:color w:val="000000"/>
          <w:sz w:val="24"/>
        </w:rPr>
        <w:t xml:space="preserve">environ </w:t>
      </w:r>
      <w:r w:rsidRPr="005A0F82">
        <w:rPr>
          <w:rFonts w:ascii="Times New Roman" w:hAnsi="Times New Roman"/>
          <w:color w:val="000000"/>
          <w:sz w:val="24"/>
        </w:rPr>
        <w:t>180</w:t>
      </w:r>
      <w:r>
        <w:rPr>
          <w:rFonts w:ascii="Times New Roman" w:hAnsi="Times New Roman"/>
          <w:color w:val="000000"/>
          <w:sz w:val="24"/>
        </w:rPr>
        <w:t xml:space="preserve"> milliards d</w:t>
      </w:r>
      <w:r w:rsidR="00B0065F">
        <w:rPr>
          <w:rFonts w:ascii="Times New Roman" w:hAnsi="Times New Roman"/>
          <w:color w:val="000000"/>
          <w:sz w:val="24"/>
        </w:rPr>
        <w:t>’</w:t>
      </w:r>
      <w:r>
        <w:rPr>
          <w:rFonts w:ascii="Times New Roman" w:hAnsi="Times New Roman"/>
          <w:color w:val="000000"/>
          <w:sz w:val="24"/>
        </w:rPr>
        <w:t xml:space="preserve">euros. Plus de </w:t>
      </w:r>
      <w:r w:rsidRPr="005A0F82">
        <w:rPr>
          <w:rFonts w:ascii="Times New Roman" w:hAnsi="Times New Roman"/>
          <w:color w:val="000000"/>
          <w:sz w:val="24"/>
        </w:rPr>
        <w:t>110</w:t>
      </w:r>
      <w:r>
        <w:rPr>
          <w:rFonts w:ascii="Times New Roman" w:hAnsi="Times New Roman"/>
          <w:color w:val="000000"/>
          <w:sz w:val="24"/>
        </w:rPr>
        <w:t xml:space="preserve"> milliards d</w:t>
      </w:r>
      <w:r w:rsidR="00B0065F">
        <w:rPr>
          <w:rFonts w:ascii="Times New Roman" w:hAnsi="Times New Roman"/>
          <w:color w:val="000000"/>
          <w:sz w:val="24"/>
        </w:rPr>
        <w:t>’</w:t>
      </w:r>
      <w:r>
        <w:rPr>
          <w:rFonts w:ascii="Times New Roman" w:hAnsi="Times New Roman"/>
          <w:color w:val="000000"/>
          <w:sz w:val="24"/>
        </w:rPr>
        <w:t>euros sont mis à disposition via les Fonds structurels et d</w:t>
      </w:r>
      <w:r w:rsidR="00B0065F">
        <w:rPr>
          <w:rFonts w:ascii="Times New Roman" w:hAnsi="Times New Roman"/>
          <w:color w:val="000000"/>
          <w:sz w:val="24"/>
        </w:rPr>
        <w:t>’</w:t>
      </w:r>
      <w:r>
        <w:rPr>
          <w:rFonts w:ascii="Times New Roman" w:hAnsi="Times New Roman"/>
          <w:color w:val="000000"/>
          <w:sz w:val="24"/>
        </w:rPr>
        <w:t>investissement européens (Fonds ESI). En outre, des projets dans le domaine de l</w:t>
      </w:r>
      <w:r w:rsidR="00B0065F">
        <w:rPr>
          <w:rFonts w:ascii="Times New Roman" w:hAnsi="Times New Roman"/>
          <w:color w:val="000000"/>
          <w:sz w:val="24"/>
        </w:rPr>
        <w:t>’</w:t>
      </w:r>
      <w:r>
        <w:rPr>
          <w:rFonts w:ascii="Times New Roman" w:hAnsi="Times New Roman"/>
          <w:color w:val="000000"/>
          <w:sz w:val="24"/>
        </w:rPr>
        <w:t>énergie durable figurent parmi les premiers projets approuvés pour bénéficier de la garantie du Fonds européen pour les investissements stratégiques (EFSI), notamment au Danemark, en Finlande, en France, en Espagne et au Royaume-Uni.</w:t>
      </w:r>
    </w:p>
    <w:p w:rsidR="00097C2F" w:rsidRDefault="008C0DFC">
      <w:pPr>
        <w:pStyle w:val="NormalWeb"/>
        <w:spacing w:before="0" w:beforeAutospacing="0" w:after="240" w:afterAutospacing="0"/>
        <w:jc w:val="both"/>
        <w:textAlignment w:val="top"/>
        <w:rPr>
          <w:color w:val="000000"/>
        </w:rPr>
      </w:pPr>
      <w:r>
        <w:rPr>
          <w:color w:val="000000"/>
        </w:rPr>
        <w:t xml:space="preserve">En mars </w:t>
      </w:r>
      <w:r w:rsidRPr="005A0F82">
        <w:rPr>
          <w:color w:val="000000"/>
        </w:rPr>
        <w:t>2015</w:t>
      </w:r>
      <w:r>
        <w:rPr>
          <w:color w:val="000000"/>
        </w:rPr>
        <w:t>, en s</w:t>
      </w:r>
      <w:r w:rsidR="00B0065F">
        <w:rPr>
          <w:color w:val="000000"/>
        </w:rPr>
        <w:t>’</w:t>
      </w:r>
      <w:r>
        <w:rPr>
          <w:color w:val="000000"/>
        </w:rPr>
        <w:t>appuyant sur le cadre d</w:t>
      </w:r>
      <w:r w:rsidR="00B0065F">
        <w:rPr>
          <w:color w:val="000000"/>
        </w:rPr>
        <w:t>’</w:t>
      </w:r>
      <w:r>
        <w:rPr>
          <w:color w:val="000000"/>
        </w:rPr>
        <w:t>action en matière de climat et d</w:t>
      </w:r>
      <w:r w:rsidR="00B0065F">
        <w:rPr>
          <w:color w:val="000000"/>
        </w:rPr>
        <w:t>’</w:t>
      </w:r>
      <w:r>
        <w:rPr>
          <w:color w:val="000000"/>
        </w:rPr>
        <w:t>énergie à l</w:t>
      </w:r>
      <w:r w:rsidR="00B0065F">
        <w:rPr>
          <w:color w:val="000000"/>
        </w:rPr>
        <w:t>’</w:t>
      </w:r>
      <w:r>
        <w:rPr>
          <w:color w:val="000000"/>
        </w:rPr>
        <w:t xml:space="preserve">horizon </w:t>
      </w:r>
      <w:r w:rsidRPr="005A0F82">
        <w:rPr>
          <w:color w:val="000000"/>
        </w:rPr>
        <w:t>2030</w:t>
      </w:r>
      <w:r>
        <w:rPr>
          <w:color w:val="000000"/>
        </w:rPr>
        <w:t xml:space="preserve"> élaboré par la Commission, l</w:t>
      </w:r>
      <w:r w:rsidR="00B0065F">
        <w:rPr>
          <w:color w:val="000000"/>
        </w:rPr>
        <w:t>’</w:t>
      </w:r>
      <w:r>
        <w:rPr>
          <w:color w:val="000000"/>
        </w:rPr>
        <w:t>UE a présenté un objectif contraignant de réduction de ses émissions, applicable à l</w:t>
      </w:r>
      <w:r w:rsidR="00B0065F">
        <w:rPr>
          <w:color w:val="000000"/>
        </w:rPr>
        <w:t>’</w:t>
      </w:r>
      <w:r>
        <w:rPr>
          <w:color w:val="000000"/>
        </w:rPr>
        <w:t>ensemble de l</w:t>
      </w:r>
      <w:r w:rsidR="00B0065F">
        <w:rPr>
          <w:color w:val="000000"/>
        </w:rPr>
        <w:t>’</w:t>
      </w:r>
      <w:r>
        <w:rPr>
          <w:color w:val="000000"/>
        </w:rPr>
        <w:t>économie, d</w:t>
      </w:r>
      <w:r w:rsidR="00B0065F">
        <w:rPr>
          <w:color w:val="000000"/>
        </w:rPr>
        <w:t>’</w:t>
      </w:r>
      <w:r>
        <w:rPr>
          <w:color w:val="000000"/>
        </w:rPr>
        <w:t xml:space="preserve">au moins </w:t>
      </w:r>
      <w:r w:rsidRPr="005A0F82">
        <w:rPr>
          <w:color w:val="000000"/>
        </w:rPr>
        <w:t>40</w:t>
      </w:r>
      <w:r>
        <w:rPr>
          <w:color w:val="000000"/>
        </w:rPr>
        <w:t> % d</w:t>
      </w:r>
      <w:r w:rsidR="00B0065F">
        <w:rPr>
          <w:color w:val="000000"/>
        </w:rPr>
        <w:t>’</w:t>
      </w:r>
      <w:r>
        <w:rPr>
          <w:color w:val="000000"/>
        </w:rPr>
        <w:t xml:space="preserve">ici à </w:t>
      </w:r>
      <w:r w:rsidRPr="005A0F82">
        <w:rPr>
          <w:color w:val="000000"/>
        </w:rPr>
        <w:t>2030</w:t>
      </w:r>
      <w:r>
        <w:rPr>
          <w:color w:val="000000"/>
        </w:rPr>
        <w:t xml:space="preserve"> par rapport aux niveaux de </w:t>
      </w:r>
      <w:r w:rsidRPr="005A0F82">
        <w:rPr>
          <w:color w:val="000000"/>
        </w:rPr>
        <w:t>1990</w:t>
      </w:r>
      <w:r>
        <w:rPr>
          <w:color w:val="000000"/>
        </w:rPr>
        <w:t xml:space="preserve">. En septembre </w:t>
      </w:r>
      <w:r w:rsidRPr="005A0F82">
        <w:rPr>
          <w:color w:val="000000"/>
        </w:rPr>
        <w:t>2015</w:t>
      </w:r>
      <w:r>
        <w:rPr>
          <w:color w:val="000000"/>
        </w:rPr>
        <w:t xml:space="preserve">, </w:t>
      </w:r>
      <w:r w:rsidR="0009070C">
        <w:rPr>
          <w:color w:val="000000"/>
        </w:rPr>
        <w:t>elle</w:t>
      </w:r>
      <w:r>
        <w:rPr>
          <w:color w:val="000000"/>
        </w:rPr>
        <w:t xml:space="preserve"> a adopté sa position en vue de la conférence de Paris sur le climat (COP </w:t>
      </w:r>
      <w:r w:rsidRPr="005A0F82">
        <w:rPr>
          <w:color w:val="000000"/>
        </w:rPr>
        <w:t>21</w:t>
      </w:r>
      <w:r>
        <w:rPr>
          <w:color w:val="000000"/>
        </w:rPr>
        <w:t>)</w:t>
      </w:r>
      <w:r>
        <w:rPr>
          <w:rStyle w:val="FootnoteReference"/>
          <w:color w:val="000000"/>
        </w:rPr>
        <w:footnoteReference w:id="7"/>
      </w:r>
      <w:r>
        <w:rPr>
          <w:color w:val="000000"/>
        </w:rPr>
        <w:t xml:space="preserve">. </w:t>
      </w:r>
      <w:r w:rsidR="0009070C">
        <w:rPr>
          <w:color w:val="000000"/>
        </w:rPr>
        <w:t xml:space="preserve">Elle </w:t>
      </w:r>
      <w:r>
        <w:rPr>
          <w:color w:val="000000"/>
        </w:rPr>
        <w:t xml:space="preserve">y confirme être disposée à négocier un accord mondial ambitieux sur le climat, contraignant et transparent, qui définisse clairement la voie à suivre pour limiter la hausse de la température mondiale moyenne à moins de </w:t>
      </w:r>
      <w:r w:rsidRPr="005A0F82">
        <w:rPr>
          <w:color w:val="000000"/>
        </w:rPr>
        <w:t>2</w:t>
      </w:r>
      <w:r>
        <w:rPr>
          <w:color w:val="000000"/>
        </w:rPr>
        <w:t> °C. À la date d</w:t>
      </w:r>
      <w:r w:rsidR="00B0065F">
        <w:rPr>
          <w:color w:val="000000"/>
        </w:rPr>
        <w:t>’</w:t>
      </w:r>
      <w:r>
        <w:rPr>
          <w:color w:val="000000"/>
        </w:rPr>
        <w:t>adoption du présent état de l</w:t>
      </w:r>
      <w:r w:rsidR="00B0065F">
        <w:rPr>
          <w:color w:val="000000"/>
        </w:rPr>
        <w:t>’</w:t>
      </w:r>
      <w:r>
        <w:rPr>
          <w:color w:val="000000"/>
        </w:rPr>
        <w:t>union de l</w:t>
      </w:r>
      <w:r w:rsidR="00B0065F">
        <w:rPr>
          <w:color w:val="000000"/>
        </w:rPr>
        <w:t>’</w:t>
      </w:r>
      <w:r>
        <w:rPr>
          <w:color w:val="000000"/>
        </w:rPr>
        <w:t xml:space="preserve">énergie, plus de </w:t>
      </w:r>
      <w:r w:rsidRPr="005A0F82">
        <w:rPr>
          <w:color w:val="000000"/>
        </w:rPr>
        <w:t>160</w:t>
      </w:r>
      <w:r>
        <w:rPr>
          <w:color w:val="000000"/>
        </w:rPr>
        <w:t xml:space="preserve"> pays représentant plus de </w:t>
      </w:r>
      <w:r w:rsidRPr="005A0F82">
        <w:rPr>
          <w:color w:val="000000"/>
        </w:rPr>
        <w:t>90</w:t>
      </w:r>
      <w:r>
        <w:rPr>
          <w:color w:val="000000"/>
        </w:rPr>
        <w:t xml:space="preserve"> % des émissions mondiales actuelles ont présenté leur contribution prévue déterminée au niveau national (CPDN). </w:t>
      </w:r>
      <w:r>
        <w:t>L</w:t>
      </w:r>
      <w:r w:rsidR="00B0065F">
        <w:t>’</w:t>
      </w:r>
      <w:r>
        <w:t>ampleur de ces contributions est sans précédent et entraînera une réduction significative des émissions dans le monde entier.</w:t>
      </w:r>
      <w:r>
        <w:rPr>
          <w:color w:val="000000"/>
        </w:rPr>
        <w:t xml:space="preserve"> Elle marque le passage d</w:t>
      </w:r>
      <w:r w:rsidR="00B0065F">
        <w:rPr>
          <w:color w:val="000000"/>
        </w:rPr>
        <w:t>’</w:t>
      </w:r>
      <w:r>
        <w:rPr>
          <w:color w:val="000000"/>
        </w:rPr>
        <w:t>une «action de quelques-uns», dans le cadre du protocole de Kyoto, à «l</w:t>
      </w:r>
      <w:r w:rsidR="00B0065F">
        <w:rPr>
          <w:color w:val="000000"/>
        </w:rPr>
        <w:t>’</w:t>
      </w:r>
      <w:r>
        <w:rPr>
          <w:color w:val="000000"/>
        </w:rPr>
        <w:t>action de tous».</w:t>
      </w:r>
    </w:p>
    <w:p w:rsidR="00097C2F" w:rsidRDefault="008C0DFC">
      <w:pPr>
        <w:pStyle w:val="NormalWeb"/>
        <w:spacing w:before="0" w:beforeAutospacing="0" w:after="240" w:afterAutospacing="0"/>
        <w:jc w:val="both"/>
        <w:textAlignment w:val="top"/>
      </w:pPr>
      <w:r>
        <w:rPr>
          <w:color w:val="000000"/>
        </w:rPr>
        <w:t xml:space="preserve">La réalisation de ces objectifs nécessitera de nouvelles mesures courageuses sur le plan local. </w:t>
      </w:r>
      <w:r>
        <w:t xml:space="preserve">Dans cette perspective, la Commission a réuni, le </w:t>
      </w:r>
      <w:r w:rsidRPr="005A0F82">
        <w:t>15</w:t>
      </w:r>
      <w:r>
        <w:t xml:space="preserve"> octobre </w:t>
      </w:r>
      <w:r w:rsidRPr="005A0F82">
        <w:t>2015</w:t>
      </w:r>
      <w:r>
        <w:t xml:space="preserve">, les représentants des villes et municipalités </w:t>
      </w:r>
      <w:r w:rsidR="00577F0F">
        <w:t>pour le lancement d</w:t>
      </w:r>
      <w:r w:rsidR="00B0065F">
        <w:t>’</w:t>
      </w:r>
      <w:r>
        <w:t xml:space="preserve">un nouveau «pacte des maires», couvrant à la fois des </w:t>
      </w:r>
      <w:r w:rsidR="0009070C">
        <w:t xml:space="preserve">initiatives visant à </w:t>
      </w:r>
      <w:r>
        <w:t>atténu</w:t>
      </w:r>
      <w:r w:rsidR="0009070C">
        <w:t>er le</w:t>
      </w:r>
      <w:r>
        <w:t xml:space="preserve"> changement climatique et </w:t>
      </w:r>
      <w:r w:rsidR="0009070C">
        <w:t>à s</w:t>
      </w:r>
      <w:r w:rsidR="00B0065F">
        <w:t>’</w:t>
      </w:r>
      <w:r w:rsidR="0009070C">
        <w:t>y adapter</w:t>
      </w:r>
      <w:r>
        <w:t xml:space="preserve">. En lançant un «pacte des maires mondial», elle encouragera les autorités locales du monde entier à agir, y compris dans des régions </w:t>
      </w:r>
      <w:r w:rsidR="0009070C">
        <w:t>qui n</w:t>
      </w:r>
      <w:r w:rsidR="00B0065F">
        <w:t>’</w:t>
      </w:r>
      <w:r w:rsidR="0009070C">
        <w:t>avaient pris aucune mesure en la matière jusqu</w:t>
      </w:r>
      <w:r w:rsidR="00B0065F">
        <w:t>’</w:t>
      </w:r>
      <w:r w:rsidR="0009070C">
        <w:t>ici</w:t>
      </w:r>
      <w:r>
        <w:t>.</w:t>
      </w:r>
    </w:p>
    <w:p w:rsidR="00097C2F" w:rsidRDefault="008C0DFC">
      <w:pPr>
        <w:pStyle w:val="NormalWeb"/>
        <w:spacing w:before="0" w:beforeAutospacing="0" w:after="240" w:afterAutospacing="0"/>
        <w:jc w:val="both"/>
        <w:textAlignment w:val="top"/>
      </w:pPr>
      <w:r>
        <w:t>D</w:t>
      </w:r>
      <w:r w:rsidR="00B0065F">
        <w:t>’</w:t>
      </w:r>
      <w:r>
        <w:t xml:space="preserve">ici à la COP </w:t>
      </w:r>
      <w:r w:rsidRPr="005A0F82">
        <w:t>21</w:t>
      </w:r>
      <w:r>
        <w:t xml:space="preserve">, plus de </w:t>
      </w:r>
      <w:r w:rsidRPr="005A0F82">
        <w:t>4</w:t>
      </w:r>
      <w:r>
        <w:t> </w:t>
      </w:r>
      <w:r w:rsidRPr="005A0F82">
        <w:t>000</w:t>
      </w:r>
      <w:r>
        <w:t xml:space="preserve"> entreprises auront également pris des engagements. Leur concrétisation sur le terrain ouvrira d</w:t>
      </w:r>
      <w:r w:rsidR="00B0065F">
        <w:t>’</w:t>
      </w:r>
      <w:r>
        <w:t xml:space="preserve">importantes perspectives commerciales </w:t>
      </w:r>
      <w:r w:rsidR="00E21E2D">
        <w:t xml:space="preserve">pour les </w:t>
      </w:r>
      <w:r>
        <w:t>entreprises européennes innovantes et permettra de créer des emplois et de la croissance dans l</w:t>
      </w:r>
      <w:r w:rsidR="00B0065F">
        <w:t>’</w:t>
      </w:r>
      <w:r>
        <w:t>UE.</w:t>
      </w:r>
    </w:p>
    <w:p w:rsidR="00097C2F" w:rsidRDefault="008C0DFC">
      <w:pPr>
        <w:spacing w:after="240" w:line="240" w:lineRule="auto"/>
        <w:jc w:val="both"/>
        <w:rPr>
          <w:rFonts w:ascii="Times New Roman" w:hAnsi="Times New Roman"/>
          <w:i/>
          <w:sz w:val="24"/>
          <w:szCs w:val="24"/>
        </w:rPr>
      </w:pPr>
      <w:r>
        <w:rPr>
          <w:rFonts w:ascii="Times New Roman" w:hAnsi="Times New Roman"/>
          <w:i/>
          <w:sz w:val="24"/>
        </w:rPr>
        <w:t>Étapes ultérieures</w:t>
      </w:r>
    </w:p>
    <w:p w:rsidR="00097C2F" w:rsidRDefault="008C0DFC">
      <w:pPr>
        <w:spacing w:after="240" w:line="240" w:lineRule="auto"/>
        <w:jc w:val="both"/>
        <w:rPr>
          <w:rFonts w:ascii="Times New Roman" w:hAnsi="Times New Roman"/>
          <w:sz w:val="24"/>
          <w:szCs w:val="24"/>
        </w:rPr>
      </w:pPr>
      <w:r>
        <w:rPr>
          <w:rFonts w:ascii="Times New Roman" w:hAnsi="Times New Roman"/>
          <w:sz w:val="24"/>
        </w:rPr>
        <w:t xml:space="preserve">Immédiatement après la conférence de Paris sur le climat, tous les pays devront transformer leurs engagements en mesures concrètes. Au cours du premier semestre </w:t>
      </w:r>
      <w:r w:rsidRPr="005A0F82">
        <w:rPr>
          <w:rFonts w:ascii="Times New Roman" w:hAnsi="Times New Roman"/>
          <w:sz w:val="24"/>
        </w:rPr>
        <w:t>2016</w:t>
      </w:r>
      <w:r>
        <w:rPr>
          <w:rFonts w:ascii="Times New Roman" w:hAnsi="Times New Roman"/>
          <w:sz w:val="24"/>
        </w:rPr>
        <w:t>, la Commission entend donc faire des propositions sur la mise en œuvre de l</w:t>
      </w:r>
      <w:r w:rsidR="00B0065F">
        <w:rPr>
          <w:rFonts w:ascii="Times New Roman" w:hAnsi="Times New Roman"/>
          <w:sz w:val="24"/>
        </w:rPr>
        <w:t>’</w:t>
      </w:r>
      <w:r>
        <w:rPr>
          <w:rFonts w:ascii="Times New Roman" w:hAnsi="Times New Roman"/>
          <w:sz w:val="24"/>
        </w:rPr>
        <w:t xml:space="preserve">objectif de réduction des émissions non couvertes par le SEQE (moins </w:t>
      </w:r>
      <w:r w:rsidRPr="005A0F82">
        <w:rPr>
          <w:rFonts w:ascii="Times New Roman" w:hAnsi="Times New Roman"/>
          <w:sz w:val="24"/>
        </w:rPr>
        <w:t>30</w:t>
      </w:r>
      <w:r w:rsidR="00B0065F">
        <w:rPr>
          <w:rFonts w:ascii="Times New Roman" w:hAnsi="Times New Roman"/>
          <w:sz w:val="24"/>
        </w:rPr>
        <w:t> </w:t>
      </w:r>
      <w:r>
        <w:rPr>
          <w:rFonts w:ascii="Times New Roman" w:hAnsi="Times New Roman"/>
          <w:sz w:val="24"/>
        </w:rPr>
        <w:t xml:space="preserve">% par rapport aux niveaux de </w:t>
      </w:r>
      <w:r w:rsidRPr="005A0F82">
        <w:rPr>
          <w:rFonts w:ascii="Times New Roman" w:hAnsi="Times New Roman"/>
          <w:sz w:val="24"/>
        </w:rPr>
        <w:t>2005</w:t>
      </w:r>
      <w:r>
        <w:rPr>
          <w:rFonts w:ascii="Times New Roman" w:hAnsi="Times New Roman"/>
          <w:sz w:val="24"/>
        </w:rPr>
        <w:t>) en fixant des objectifs chiffrés nationaux de réduction des émissions de gaz à effet de serre et en intégrant dans cet objectif l</w:t>
      </w:r>
      <w:r w:rsidR="00B0065F">
        <w:rPr>
          <w:rFonts w:ascii="Times New Roman" w:hAnsi="Times New Roman"/>
          <w:sz w:val="24"/>
        </w:rPr>
        <w:t>’</w:t>
      </w:r>
      <w:r>
        <w:rPr>
          <w:rFonts w:ascii="Times New Roman" w:hAnsi="Times New Roman"/>
          <w:sz w:val="24"/>
        </w:rPr>
        <w:t>utilisation des terres, le changement d</w:t>
      </w:r>
      <w:r w:rsidR="00B0065F">
        <w:rPr>
          <w:rFonts w:ascii="Times New Roman" w:hAnsi="Times New Roman"/>
          <w:sz w:val="24"/>
        </w:rPr>
        <w:t>’</w:t>
      </w:r>
      <w:r>
        <w:rPr>
          <w:rFonts w:ascii="Times New Roman" w:hAnsi="Times New Roman"/>
          <w:sz w:val="24"/>
        </w:rPr>
        <w:t>affectation des terres et la foresterie (secteur UTCATF).</w:t>
      </w:r>
    </w:p>
    <w:p w:rsidR="00097C2F" w:rsidRDefault="008C0DFC">
      <w:pPr>
        <w:spacing w:after="240" w:line="240" w:lineRule="auto"/>
        <w:jc w:val="both"/>
        <w:rPr>
          <w:rFonts w:ascii="Times New Roman" w:hAnsi="Times New Roman"/>
          <w:sz w:val="24"/>
          <w:szCs w:val="24"/>
        </w:rPr>
      </w:pPr>
      <w:r>
        <w:rPr>
          <w:rFonts w:ascii="Times New Roman" w:hAnsi="Times New Roman"/>
          <w:sz w:val="24"/>
        </w:rPr>
        <w:lastRenderedPageBreak/>
        <w:t xml:space="preserve">Étant donné que les transports génèrent environ un tiers des émissions de gaz à effet de serre </w:t>
      </w:r>
      <w:r w:rsidR="00577F0F">
        <w:rPr>
          <w:rFonts w:ascii="Times New Roman" w:hAnsi="Times New Roman"/>
          <w:sz w:val="24"/>
        </w:rPr>
        <w:t xml:space="preserve">produites </w:t>
      </w:r>
      <w:r>
        <w:rPr>
          <w:rFonts w:ascii="Times New Roman" w:hAnsi="Times New Roman"/>
          <w:sz w:val="24"/>
        </w:rPr>
        <w:t>dans les secteurs non couverts par le SEQE, la Commission prévoit une communication sur les mesures nécessaires pour décarboniser tous les modes de transport. Elle devrait être suivie de propositions portant notamment sur les normes d</w:t>
      </w:r>
      <w:r w:rsidR="00B0065F">
        <w:rPr>
          <w:rFonts w:ascii="Times New Roman" w:hAnsi="Times New Roman"/>
          <w:sz w:val="24"/>
        </w:rPr>
        <w:t>’</w:t>
      </w:r>
      <w:r>
        <w:rPr>
          <w:rFonts w:ascii="Times New Roman" w:hAnsi="Times New Roman"/>
          <w:sz w:val="24"/>
        </w:rPr>
        <w:t>émission de CO</w:t>
      </w:r>
      <w:r w:rsidRPr="005A0F82">
        <w:rPr>
          <w:rFonts w:ascii="Times New Roman" w:hAnsi="Times New Roman"/>
          <w:sz w:val="24"/>
          <w:vertAlign w:val="subscript"/>
        </w:rPr>
        <w:t>2</w:t>
      </w:r>
      <w:r>
        <w:rPr>
          <w:rFonts w:ascii="Times New Roman" w:hAnsi="Times New Roman"/>
          <w:sz w:val="24"/>
        </w:rPr>
        <w:t xml:space="preserve"> des voitures et des camionnettes, sur le contrôle des véhicules utilitaires lourds, sur une tarification équitable et efficace et sur les règles d</w:t>
      </w:r>
      <w:r w:rsidR="00B0065F">
        <w:rPr>
          <w:rFonts w:ascii="Times New Roman" w:hAnsi="Times New Roman"/>
          <w:sz w:val="24"/>
        </w:rPr>
        <w:t>’</w:t>
      </w:r>
      <w:r>
        <w:rPr>
          <w:rFonts w:ascii="Times New Roman" w:hAnsi="Times New Roman"/>
          <w:sz w:val="24"/>
        </w:rPr>
        <w:t>accès au marché pour le transport routier.</w:t>
      </w:r>
    </w:p>
    <w:p w:rsidR="00097C2F" w:rsidRDefault="00F2762B">
      <w:pPr>
        <w:spacing w:after="240" w:line="240" w:lineRule="auto"/>
        <w:jc w:val="both"/>
        <w:rPr>
          <w:rFonts w:ascii="Times New Roman" w:hAnsi="Times New Roman"/>
          <w:sz w:val="24"/>
          <w:szCs w:val="24"/>
        </w:rPr>
      </w:pPr>
      <w:r>
        <w:rPr>
          <w:rFonts w:ascii="Times New Roman" w:hAnsi="Times New Roman"/>
          <w:sz w:val="24"/>
        </w:rPr>
        <w:t>Il est essentiel d</w:t>
      </w:r>
      <w:r w:rsidR="00B0065F">
        <w:rPr>
          <w:rFonts w:ascii="Times New Roman" w:hAnsi="Times New Roman"/>
          <w:sz w:val="24"/>
        </w:rPr>
        <w:t>’</w:t>
      </w:r>
      <w:r>
        <w:rPr>
          <w:rFonts w:ascii="Times New Roman" w:hAnsi="Times New Roman"/>
          <w:sz w:val="24"/>
        </w:rPr>
        <w:t>a</w:t>
      </w:r>
      <w:r w:rsidR="008C0DFC">
        <w:rPr>
          <w:rFonts w:ascii="Times New Roman" w:hAnsi="Times New Roman"/>
          <w:sz w:val="24"/>
        </w:rPr>
        <w:t>ssurer l</w:t>
      </w:r>
      <w:r w:rsidR="00B0065F">
        <w:rPr>
          <w:rFonts w:ascii="Times New Roman" w:hAnsi="Times New Roman"/>
          <w:sz w:val="24"/>
        </w:rPr>
        <w:t>’</w:t>
      </w:r>
      <w:r w:rsidR="008C0DFC">
        <w:rPr>
          <w:rFonts w:ascii="Times New Roman" w:hAnsi="Times New Roman"/>
          <w:sz w:val="24"/>
        </w:rPr>
        <w:t>application effective des normes réglementaires pour réduire les émissions du transport routier. Les systèmes d</w:t>
      </w:r>
      <w:r w:rsidR="00B0065F">
        <w:rPr>
          <w:rFonts w:ascii="Times New Roman" w:hAnsi="Times New Roman"/>
          <w:sz w:val="24"/>
        </w:rPr>
        <w:t>’</w:t>
      </w:r>
      <w:r w:rsidR="008C0DFC">
        <w:rPr>
          <w:rFonts w:ascii="Times New Roman" w:hAnsi="Times New Roman"/>
          <w:sz w:val="24"/>
        </w:rPr>
        <w:t>essais sous-estiment gravement les émissions de gaz à effet de serre et de certains polluants atmosphériques. Dans ce contexte, la Commission prépare une proposition visant à appliquer dans l</w:t>
      </w:r>
      <w:r w:rsidR="00B0065F">
        <w:rPr>
          <w:rFonts w:ascii="Times New Roman" w:hAnsi="Times New Roman"/>
          <w:sz w:val="24"/>
        </w:rPr>
        <w:t>’</w:t>
      </w:r>
      <w:r w:rsidR="008C0DFC">
        <w:rPr>
          <w:rFonts w:ascii="Times New Roman" w:hAnsi="Times New Roman"/>
          <w:sz w:val="24"/>
        </w:rPr>
        <w:t>UE la procédure d</w:t>
      </w:r>
      <w:r w:rsidR="00B0065F">
        <w:rPr>
          <w:rFonts w:ascii="Times New Roman" w:hAnsi="Times New Roman"/>
          <w:sz w:val="24"/>
        </w:rPr>
        <w:t>’</w:t>
      </w:r>
      <w:r w:rsidR="008C0DFC">
        <w:rPr>
          <w:rFonts w:ascii="Times New Roman" w:hAnsi="Times New Roman"/>
          <w:sz w:val="24"/>
        </w:rPr>
        <w:t>essai mondiale harmonisée pour les voitures particulières et véhicules utilitaires légers (WLTP)</w:t>
      </w:r>
      <w:r w:rsidR="008C0DFC">
        <w:rPr>
          <w:rStyle w:val="FootnoteReference"/>
          <w:rFonts w:ascii="Times New Roman" w:hAnsi="Times New Roman"/>
          <w:sz w:val="24"/>
        </w:rPr>
        <w:footnoteReference w:id="8"/>
      </w:r>
      <w:r w:rsidR="008C0DFC">
        <w:rPr>
          <w:rFonts w:ascii="Times New Roman" w:hAnsi="Times New Roman"/>
          <w:sz w:val="24"/>
        </w:rPr>
        <w:t xml:space="preserve">. Une fois entrée en vigueur en </w:t>
      </w:r>
      <w:r w:rsidR="008C0DFC" w:rsidRPr="005A0F82">
        <w:rPr>
          <w:rFonts w:ascii="Times New Roman" w:hAnsi="Times New Roman"/>
          <w:sz w:val="24"/>
        </w:rPr>
        <w:t>2017</w:t>
      </w:r>
      <w:r w:rsidR="008C0DFC">
        <w:rPr>
          <w:rFonts w:ascii="Times New Roman" w:hAnsi="Times New Roman"/>
          <w:sz w:val="24"/>
        </w:rPr>
        <w:t>, elle fournira des informations plus précises sur les émissions de CO</w:t>
      </w:r>
      <w:r w:rsidR="008C0DFC" w:rsidRPr="005A0F82">
        <w:rPr>
          <w:rFonts w:ascii="Times New Roman" w:hAnsi="Times New Roman"/>
          <w:sz w:val="24"/>
          <w:vertAlign w:val="subscript"/>
        </w:rPr>
        <w:t>2</w:t>
      </w:r>
      <w:r w:rsidR="008C0DFC">
        <w:rPr>
          <w:rFonts w:ascii="Times New Roman" w:hAnsi="Times New Roman"/>
          <w:sz w:val="24"/>
        </w:rPr>
        <w:t xml:space="preserve"> et la consommation de carburant. En outre, pour mesurer les émissions de polluants atmosphériques des voitures à moteur diesel, des protocoles d</w:t>
      </w:r>
      <w:r w:rsidR="00B0065F">
        <w:rPr>
          <w:rFonts w:ascii="Times New Roman" w:hAnsi="Times New Roman"/>
          <w:sz w:val="24"/>
        </w:rPr>
        <w:t>’</w:t>
      </w:r>
      <w:r w:rsidR="008C0DFC">
        <w:rPr>
          <w:rFonts w:ascii="Times New Roman" w:hAnsi="Times New Roman"/>
          <w:sz w:val="24"/>
        </w:rPr>
        <w:t xml:space="preserve">essai en conditions de conduite réelles deviendront obligatoires à partir de </w:t>
      </w:r>
      <w:r w:rsidR="008C0DFC" w:rsidRPr="005A0F82">
        <w:rPr>
          <w:rFonts w:ascii="Times New Roman" w:hAnsi="Times New Roman"/>
          <w:sz w:val="24"/>
        </w:rPr>
        <w:t>2017</w:t>
      </w:r>
      <w:r w:rsidR="008C0DFC">
        <w:rPr>
          <w:rFonts w:ascii="Times New Roman" w:hAnsi="Times New Roman"/>
          <w:sz w:val="24"/>
        </w:rPr>
        <w:t>, afin de réduire efficacement les émissions d</w:t>
      </w:r>
      <w:r w:rsidR="00B0065F">
        <w:rPr>
          <w:rFonts w:ascii="Times New Roman" w:hAnsi="Times New Roman"/>
          <w:sz w:val="24"/>
        </w:rPr>
        <w:t>’</w:t>
      </w:r>
      <w:r w:rsidR="008C0DFC">
        <w:rPr>
          <w:rFonts w:ascii="Times New Roman" w:hAnsi="Times New Roman"/>
          <w:sz w:val="24"/>
        </w:rPr>
        <w:t>oxydes d</w:t>
      </w:r>
      <w:r w:rsidR="00B0065F">
        <w:rPr>
          <w:rFonts w:ascii="Times New Roman" w:hAnsi="Times New Roman"/>
          <w:sz w:val="24"/>
        </w:rPr>
        <w:t>’</w:t>
      </w:r>
      <w:r w:rsidR="008C0DFC">
        <w:rPr>
          <w:rFonts w:ascii="Times New Roman" w:hAnsi="Times New Roman"/>
          <w:sz w:val="24"/>
        </w:rPr>
        <w:t>azote (NOx)</w:t>
      </w:r>
      <w:r w:rsidR="008C0DFC">
        <w:rPr>
          <w:rStyle w:val="FootnoteReference"/>
          <w:rFonts w:ascii="Times New Roman" w:hAnsi="Times New Roman"/>
          <w:sz w:val="24"/>
        </w:rPr>
        <w:footnoteReference w:id="9"/>
      </w:r>
      <w:r w:rsidR="008C0DFC">
        <w:rPr>
          <w:rFonts w:ascii="Times New Roman" w:hAnsi="Times New Roman"/>
          <w:sz w:val="24"/>
        </w:rPr>
        <w:t>. La Commission prépare aussi des propositions visant à durcir le système de réception par type et de surveillance du marché, et</w:t>
      </w:r>
      <w:r w:rsidR="00577F0F">
        <w:rPr>
          <w:rFonts w:ascii="Times New Roman" w:hAnsi="Times New Roman"/>
          <w:sz w:val="24"/>
        </w:rPr>
        <w:t xml:space="preserve"> à</w:t>
      </w:r>
      <w:r w:rsidR="008C0DFC">
        <w:rPr>
          <w:rFonts w:ascii="Times New Roman" w:hAnsi="Times New Roman"/>
          <w:sz w:val="24"/>
        </w:rPr>
        <w:t xml:space="preserve"> renforcer l</w:t>
      </w:r>
      <w:r w:rsidR="00B0065F">
        <w:rPr>
          <w:rFonts w:ascii="Times New Roman" w:hAnsi="Times New Roman"/>
          <w:sz w:val="24"/>
        </w:rPr>
        <w:t>’</w:t>
      </w:r>
      <w:r w:rsidR="008C0DFC">
        <w:rPr>
          <w:rFonts w:ascii="Times New Roman" w:hAnsi="Times New Roman"/>
          <w:sz w:val="24"/>
        </w:rPr>
        <w:t>indépendance des essais réalisés sur les véhicules.</w:t>
      </w:r>
    </w:p>
    <w:p w:rsidR="00097C2F" w:rsidRDefault="008C0DFC">
      <w:pPr>
        <w:spacing w:after="240" w:line="240" w:lineRule="auto"/>
        <w:jc w:val="both"/>
        <w:rPr>
          <w:rFonts w:ascii="Times New Roman" w:hAnsi="Times New Roman"/>
          <w:sz w:val="24"/>
          <w:szCs w:val="24"/>
        </w:rPr>
      </w:pPr>
      <w:r>
        <w:rPr>
          <w:rFonts w:ascii="Times New Roman" w:hAnsi="Times New Roman"/>
          <w:sz w:val="24"/>
        </w:rPr>
        <w:t>La nouvelle directive sur les énergies renouvelables</w:t>
      </w:r>
      <w:r w:rsidR="00577F0F">
        <w:rPr>
          <w:rFonts w:ascii="Times New Roman" w:hAnsi="Times New Roman"/>
          <w:sz w:val="24"/>
        </w:rPr>
        <w:t>,</w:t>
      </w:r>
      <w:r>
        <w:rPr>
          <w:rFonts w:ascii="Times New Roman" w:hAnsi="Times New Roman"/>
          <w:sz w:val="24"/>
        </w:rPr>
        <w:t xml:space="preserve"> et la politique d</w:t>
      </w:r>
      <w:r w:rsidR="00B0065F">
        <w:rPr>
          <w:rFonts w:ascii="Times New Roman" w:hAnsi="Times New Roman"/>
          <w:sz w:val="24"/>
        </w:rPr>
        <w:t>’</w:t>
      </w:r>
      <w:r>
        <w:rPr>
          <w:rFonts w:ascii="Times New Roman" w:hAnsi="Times New Roman"/>
          <w:sz w:val="24"/>
        </w:rPr>
        <w:t>exploitation durable de la bioénergie à l</w:t>
      </w:r>
      <w:r w:rsidR="00B0065F">
        <w:rPr>
          <w:rFonts w:ascii="Times New Roman" w:hAnsi="Times New Roman"/>
          <w:sz w:val="24"/>
        </w:rPr>
        <w:t>’</w:t>
      </w:r>
      <w:r>
        <w:rPr>
          <w:rFonts w:ascii="Times New Roman" w:hAnsi="Times New Roman"/>
          <w:sz w:val="24"/>
        </w:rPr>
        <w:t xml:space="preserve">horizon </w:t>
      </w:r>
      <w:r w:rsidRPr="005A0F82">
        <w:rPr>
          <w:rFonts w:ascii="Times New Roman" w:hAnsi="Times New Roman"/>
          <w:sz w:val="24"/>
        </w:rPr>
        <w:t>2030</w:t>
      </w:r>
      <w:r>
        <w:rPr>
          <w:rFonts w:ascii="Times New Roman" w:hAnsi="Times New Roman"/>
          <w:sz w:val="24"/>
        </w:rPr>
        <w:t xml:space="preserve">, à présenter en </w:t>
      </w:r>
      <w:r w:rsidRPr="005A0F82">
        <w:rPr>
          <w:rFonts w:ascii="Times New Roman" w:hAnsi="Times New Roman"/>
          <w:sz w:val="24"/>
        </w:rPr>
        <w:t>2016</w:t>
      </w:r>
      <w:r>
        <w:rPr>
          <w:rFonts w:ascii="Times New Roman" w:hAnsi="Times New Roman"/>
          <w:sz w:val="24"/>
        </w:rPr>
        <w:t>, devraient fournir le cadre approprié pour atteindre l</w:t>
      </w:r>
      <w:r w:rsidR="00B0065F">
        <w:rPr>
          <w:rFonts w:ascii="Times New Roman" w:hAnsi="Times New Roman"/>
          <w:sz w:val="24"/>
        </w:rPr>
        <w:t>’</w:t>
      </w:r>
      <w:r>
        <w:rPr>
          <w:rFonts w:ascii="Times New Roman" w:hAnsi="Times New Roman"/>
          <w:sz w:val="24"/>
        </w:rPr>
        <w:t>objectif contraignant, fixé au niveau de l</w:t>
      </w:r>
      <w:r w:rsidR="00B0065F">
        <w:rPr>
          <w:rFonts w:ascii="Times New Roman" w:hAnsi="Times New Roman"/>
          <w:sz w:val="24"/>
        </w:rPr>
        <w:t>’</w:t>
      </w:r>
      <w:r>
        <w:rPr>
          <w:rFonts w:ascii="Times New Roman" w:hAnsi="Times New Roman"/>
          <w:sz w:val="24"/>
        </w:rPr>
        <w:t xml:space="preserve">UE, </w:t>
      </w:r>
      <w:r w:rsidR="00F2762B">
        <w:rPr>
          <w:rFonts w:ascii="Times New Roman" w:hAnsi="Times New Roman"/>
          <w:sz w:val="24"/>
        </w:rPr>
        <w:t>d</w:t>
      </w:r>
      <w:r w:rsidR="00B0065F">
        <w:rPr>
          <w:rFonts w:ascii="Times New Roman" w:hAnsi="Times New Roman"/>
          <w:sz w:val="24"/>
        </w:rPr>
        <w:t>’</w:t>
      </w:r>
      <w:r w:rsidR="00F2762B">
        <w:rPr>
          <w:rFonts w:ascii="Times New Roman" w:hAnsi="Times New Roman"/>
          <w:sz w:val="24"/>
        </w:rPr>
        <w:t>une élévation de</w:t>
      </w:r>
      <w:r w:rsidR="00577F0F">
        <w:rPr>
          <w:rFonts w:ascii="Times New Roman" w:hAnsi="Times New Roman"/>
          <w:sz w:val="24"/>
        </w:rPr>
        <w:t xml:space="preserve"> la part des </w:t>
      </w:r>
      <w:r>
        <w:rPr>
          <w:rFonts w:ascii="Times New Roman" w:hAnsi="Times New Roman"/>
          <w:sz w:val="24"/>
        </w:rPr>
        <w:t xml:space="preserve">énergies renouvelables dans le bouquet énergétique </w:t>
      </w:r>
      <w:r w:rsidR="00577F0F">
        <w:rPr>
          <w:rFonts w:ascii="Times New Roman" w:hAnsi="Times New Roman"/>
          <w:sz w:val="24"/>
        </w:rPr>
        <w:t xml:space="preserve">à au moins </w:t>
      </w:r>
      <w:r w:rsidR="00577F0F" w:rsidRPr="005A0F82">
        <w:rPr>
          <w:rFonts w:ascii="Times New Roman" w:hAnsi="Times New Roman"/>
          <w:sz w:val="24"/>
        </w:rPr>
        <w:t>27</w:t>
      </w:r>
      <w:r w:rsidR="00577F0F">
        <w:rPr>
          <w:rFonts w:ascii="Times New Roman" w:hAnsi="Times New Roman"/>
          <w:sz w:val="24"/>
        </w:rPr>
        <w:t xml:space="preserve"> % </w:t>
      </w:r>
      <w:r>
        <w:rPr>
          <w:rFonts w:ascii="Times New Roman" w:hAnsi="Times New Roman"/>
          <w:sz w:val="24"/>
        </w:rPr>
        <w:t>d</w:t>
      </w:r>
      <w:r w:rsidR="00B0065F">
        <w:rPr>
          <w:rFonts w:ascii="Times New Roman" w:hAnsi="Times New Roman"/>
          <w:sz w:val="24"/>
        </w:rPr>
        <w:t>’</w:t>
      </w:r>
      <w:r>
        <w:rPr>
          <w:rFonts w:ascii="Times New Roman" w:hAnsi="Times New Roman"/>
          <w:sz w:val="24"/>
        </w:rPr>
        <w:t xml:space="preserve">ici à </w:t>
      </w:r>
      <w:r w:rsidRPr="005A0F82">
        <w:rPr>
          <w:rFonts w:ascii="Times New Roman" w:hAnsi="Times New Roman"/>
          <w:sz w:val="24"/>
        </w:rPr>
        <w:t>2030</w:t>
      </w:r>
      <w:r>
        <w:rPr>
          <w:rFonts w:ascii="Times New Roman" w:hAnsi="Times New Roman"/>
          <w:sz w:val="24"/>
        </w:rPr>
        <w:t>. Elles définiront les politiques et les mesures de l</w:t>
      </w:r>
      <w:r w:rsidR="00B0065F">
        <w:rPr>
          <w:rFonts w:ascii="Times New Roman" w:hAnsi="Times New Roman"/>
          <w:sz w:val="24"/>
        </w:rPr>
        <w:t>’</w:t>
      </w:r>
      <w:r>
        <w:rPr>
          <w:rFonts w:ascii="Times New Roman" w:hAnsi="Times New Roman"/>
          <w:sz w:val="24"/>
        </w:rPr>
        <w:t>UE qui, conjointement avec les contributions décrites dans les plans nationaux des États membres en matière d</w:t>
      </w:r>
      <w:r w:rsidR="00B0065F">
        <w:rPr>
          <w:rFonts w:ascii="Times New Roman" w:hAnsi="Times New Roman"/>
          <w:sz w:val="24"/>
        </w:rPr>
        <w:t>’</w:t>
      </w:r>
      <w:r>
        <w:rPr>
          <w:rFonts w:ascii="Times New Roman" w:hAnsi="Times New Roman"/>
          <w:sz w:val="24"/>
        </w:rPr>
        <w:t xml:space="preserve">énergie et de climat, devraient assurer la réalisation de cet objectif. Afin de mettre en place les mesures incitatives appropriées en faveur de la décarbonisation, </w:t>
      </w:r>
      <w:r w:rsidR="00F2762B">
        <w:rPr>
          <w:rFonts w:ascii="Times New Roman" w:hAnsi="Times New Roman"/>
          <w:sz w:val="24"/>
        </w:rPr>
        <w:t xml:space="preserve">la Commission plaidera </w:t>
      </w:r>
      <w:r>
        <w:rPr>
          <w:rFonts w:ascii="Times New Roman" w:hAnsi="Times New Roman"/>
          <w:sz w:val="24"/>
        </w:rPr>
        <w:t>également pour l</w:t>
      </w:r>
      <w:r w:rsidR="00B0065F">
        <w:rPr>
          <w:rFonts w:ascii="Times New Roman" w:hAnsi="Times New Roman"/>
          <w:sz w:val="24"/>
        </w:rPr>
        <w:t>’</w:t>
      </w:r>
      <w:r>
        <w:rPr>
          <w:rFonts w:ascii="Times New Roman" w:hAnsi="Times New Roman"/>
          <w:sz w:val="24"/>
        </w:rPr>
        <w:t xml:space="preserve">élimination progressive des subventions </w:t>
      </w:r>
      <w:r w:rsidR="00F2762B">
        <w:rPr>
          <w:rFonts w:ascii="Times New Roman" w:hAnsi="Times New Roman"/>
          <w:sz w:val="24"/>
        </w:rPr>
        <w:t>en faveur des</w:t>
      </w:r>
      <w:r>
        <w:rPr>
          <w:rFonts w:ascii="Times New Roman" w:hAnsi="Times New Roman"/>
          <w:sz w:val="24"/>
        </w:rPr>
        <w:t xml:space="preserve"> combustibles fossiles.</w:t>
      </w:r>
    </w:p>
    <w:p w:rsidR="00097C2F" w:rsidRDefault="008C0DFC">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sz w:val="24"/>
          <w:szCs w:val="24"/>
        </w:rPr>
      </w:pPr>
      <w:r>
        <w:rPr>
          <w:rFonts w:ascii="Times New Roman" w:hAnsi="Times New Roman"/>
          <w:i/>
          <w:sz w:val="24"/>
        </w:rPr>
        <w:t>Conclusions d</w:t>
      </w:r>
      <w:r w:rsidR="00B0065F">
        <w:rPr>
          <w:rFonts w:ascii="Times New Roman" w:hAnsi="Times New Roman"/>
          <w:i/>
          <w:sz w:val="24"/>
        </w:rPr>
        <w:t>’</w:t>
      </w:r>
      <w:r>
        <w:rPr>
          <w:rFonts w:ascii="Times New Roman" w:hAnsi="Times New Roman"/>
          <w:i/>
          <w:sz w:val="24"/>
        </w:rPr>
        <w:t>ordre politique aux niveaux national, régional et de l</w:t>
      </w:r>
      <w:r w:rsidR="00B0065F">
        <w:rPr>
          <w:rFonts w:ascii="Times New Roman" w:hAnsi="Times New Roman"/>
          <w:i/>
          <w:sz w:val="24"/>
        </w:rPr>
        <w:t>’</w:t>
      </w:r>
      <w:r>
        <w:rPr>
          <w:rFonts w:ascii="Times New Roman" w:hAnsi="Times New Roman"/>
          <w:i/>
          <w:sz w:val="24"/>
        </w:rPr>
        <w:t>UE:</w:t>
      </w:r>
    </w:p>
    <w:p w:rsidR="00097C2F" w:rsidRDefault="008C0DFC">
      <w:pPr>
        <w:pStyle w:val="ListParagraph"/>
        <w:numPr>
          <w:ilvl w:val="0"/>
          <w:numId w:val="3"/>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Pr>
          <w:rFonts w:ascii="Times New Roman" w:hAnsi="Times New Roman"/>
          <w:i/>
          <w:sz w:val="24"/>
        </w:rPr>
        <w:t>L</w:t>
      </w:r>
      <w:r w:rsidR="00B0065F">
        <w:rPr>
          <w:rFonts w:ascii="Times New Roman" w:hAnsi="Times New Roman"/>
          <w:i/>
          <w:sz w:val="24"/>
        </w:rPr>
        <w:t>’</w:t>
      </w:r>
      <w:r>
        <w:rPr>
          <w:rFonts w:ascii="Times New Roman" w:hAnsi="Times New Roman"/>
          <w:i/>
          <w:sz w:val="24"/>
        </w:rPr>
        <w:t>UE est sur la bonne voie pour atteindre l</w:t>
      </w:r>
      <w:r w:rsidR="00B0065F">
        <w:rPr>
          <w:rFonts w:ascii="Times New Roman" w:hAnsi="Times New Roman"/>
          <w:i/>
          <w:sz w:val="24"/>
        </w:rPr>
        <w:t>’</w:t>
      </w:r>
      <w:r>
        <w:rPr>
          <w:rFonts w:ascii="Times New Roman" w:hAnsi="Times New Roman"/>
          <w:i/>
          <w:sz w:val="24"/>
        </w:rPr>
        <w:t xml:space="preserve">objectif fixé pour </w:t>
      </w:r>
      <w:r w:rsidRPr="005A0F82">
        <w:rPr>
          <w:rFonts w:ascii="Times New Roman" w:hAnsi="Times New Roman"/>
          <w:i/>
          <w:sz w:val="24"/>
        </w:rPr>
        <w:t>2020</w:t>
      </w:r>
      <w:r>
        <w:rPr>
          <w:rFonts w:ascii="Times New Roman" w:hAnsi="Times New Roman"/>
          <w:i/>
          <w:sz w:val="24"/>
        </w:rPr>
        <w:t xml:space="preserve"> en matière</w:t>
      </w:r>
      <w:r w:rsidR="00901673">
        <w:rPr>
          <w:rFonts w:ascii="Times New Roman" w:hAnsi="Times New Roman"/>
          <w:i/>
          <w:sz w:val="24"/>
        </w:rPr>
        <w:t xml:space="preserve"> d</w:t>
      </w:r>
      <w:r w:rsidR="00B0065F">
        <w:rPr>
          <w:rFonts w:ascii="Times New Roman" w:hAnsi="Times New Roman"/>
          <w:i/>
          <w:sz w:val="24"/>
        </w:rPr>
        <w:t>’</w:t>
      </w:r>
      <w:r w:rsidR="00901673">
        <w:rPr>
          <w:rFonts w:ascii="Times New Roman" w:hAnsi="Times New Roman"/>
          <w:i/>
          <w:sz w:val="24"/>
        </w:rPr>
        <w:t>émissions</w:t>
      </w:r>
      <w:r>
        <w:rPr>
          <w:rFonts w:ascii="Times New Roman" w:hAnsi="Times New Roman"/>
          <w:i/>
          <w:sz w:val="24"/>
        </w:rPr>
        <w:t xml:space="preserve"> de gaz à effet de serre (à savoir une réduction de </w:t>
      </w:r>
      <w:r w:rsidRPr="005A0F82">
        <w:rPr>
          <w:rFonts w:ascii="Times New Roman" w:hAnsi="Times New Roman"/>
          <w:i/>
          <w:sz w:val="24"/>
        </w:rPr>
        <w:t>20</w:t>
      </w:r>
      <w:r>
        <w:rPr>
          <w:rFonts w:ascii="Times New Roman" w:hAnsi="Times New Roman"/>
          <w:i/>
          <w:sz w:val="24"/>
        </w:rPr>
        <w:t xml:space="preserve"> % par rapport au niveau de </w:t>
      </w:r>
      <w:r w:rsidRPr="005A0F82">
        <w:rPr>
          <w:rFonts w:ascii="Times New Roman" w:hAnsi="Times New Roman"/>
          <w:i/>
          <w:sz w:val="24"/>
        </w:rPr>
        <w:t>1990</w:t>
      </w:r>
      <w:r>
        <w:rPr>
          <w:rFonts w:ascii="Times New Roman" w:hAnsi="Times New Roman"/>
          <w:i/>
          <w:sz w:val="24"/>
        </w:rPr>
        <w:t xml:space="preserve">). En </w:t>
      </w:r>
      <w:r w:rsidRPr="005A0F82">
        <w:rPr>
          <w:rFonts w:ascii="Times New Roman" w:hAnsi="Times New Roman"/>
          <w:i/>
          <w:sz w:val="24"/>
        </w:rPr>
        <w:t>2014</w:t>
      </w:r>
      <w:r>
        <w:rPr>
          <w:rFonts w:ascii="Times New Roman" w:hAnsi="Times New Roman"/>
          <w:i/>
          <w:sz w:val="24"/>
        </w:rPr>
        <w:t>, les émissions de l</w:t>
      </w:r>
      <w:r w:rsidR="00B0065F">
        <w:rPr>
          <w:rFonts w:ascii="Times New Roman" w:hAnsi="Times New Roman"/>
          <w:i/>
          <w:sz w:val="24"/>
        </w:rPr>
        <w:t>’</w:t>
      </w:r>
      <w:r>
        <w:rPr>
          <w:rFonts w:ascii="Times New Roman" w:hAnsi="Times New Roman"/>
          <w:i/>
          <w:sz w:val="24"/>
        </w:rPr>
        <w:t xml:space="preserve">UE avaient diminué de </w:t>
      </w:r>
      <w:r w:rsidRPr="005A0F82">
        <w:rPr>
          <w:rFonts w:ascii="Times New Roman" w:hAnsi="Times New Roman"/>
          <w:i/>
          <w:sz w:val="24"/>
        </w:rPr>
        <w:t>23</w:t>
      </w:r>
      <w:r w:rsidR="00B0065F">
        <w:rPr>
          <w:rFonts w:ascii="Times New Roman" w:hAnsi="Times New Roman"/>
          <w:i/>
          <w:sz w:val="24"/>
        </w:rPr>
        <w:t> </w:t>
      </w:r>
      <w:r>
        <w:rPr>
          <w:rFonts w:ascii="Times New Roman" w:hAnsi="Times New Roman"/>
          <w:i/>
          <w:sz w:val="24"/>
        </w:rPr>
        <w:t xml:space="preserve">% par rapport au niveau de </w:t>
      </w:r>
      <w:r w:rsidRPr="005A0F82">
        <w:rPr>
          <w:rFonts w:ascii="Times New Roman" w:hAnsi="Times New Roman"/>
          <w:i/>
          <w:sz w:val="24"/>
        </w:rPr>
        <w:t>1990</w:t>
      </w:r>
      <w:r>
        <w:rPr>
          <w:rFonts w:ascii="Times New Roman" w:hAnsi="Times New Roman"/>
          <w:i/>
          <w:sz w:val="24"/>
        </w:rPr>
        <w:t xml:space="preserve"> et, d</w:t>
      </w:r>
      <w:r w:rsidR="00B0065F">
        <w:rPr>
          <w:rFonts w:ascii="Times New Roman" w:hAnsi="Times New Roman"/>
          <w:i/>
          <w:sz w:val="24"/>
        </w:rPr>
        <w:t>’</w:t>
      </w:r>
      <w:r>
        <w:rPr>
          <w:rFonts w:ascii="Times New Roman" w:hAnsi="Times New Roman"/>
          <w:i/>
          <w:sz w:val="24"/>
        </w:rPr>
        <w:t xml:space="preserve">après les projections les plus récentes présentées par les États membres, en </w:t>
      </w:r>
      <w:r w:rsidRPr="005A0F82">
        <w:rPr>
          <w:rFonts w:ascii="Times New Roman" w:hAnsi="Times New Roman"/>
          <w:i/>
          <w:sz w:val="24"/>
        </w:rPr>
        <w:t>2020</w:t>
      </w:r>
      <w:r w:rsidR="00901673">
        <w:rPr>
          <w:rFonts w:ascii="Times New Roman" w:hAnsi="Times New Roman"/>
          <w:i/>
          <w:sz w:val="24"/>
        </w:rPr>
        <w:t>,</w:t>
      </w:r>
      <w:r>
        <w:rPr>
          <w:rFonts w:ascii="Times New Roman" w:hAnsi="Times New Roman"/>
          <w:i/>
          <w:sz w:val="24"/>
        </w:rPr>
        <w:t xml:space="preserve"> ces émissions devraient être inférieures de </w:t>
      </w:r>
      <w:r w:rsidRPr="005A0F82">
        <w:rPr>
          <w:rFonts w:ascii="Times New Roman" w:hAnsi="Times New Roman"/>
          <w:i/>
          <w:sz w:val="24"/>
        </w:rPr>
        <w:t>24</w:t>
      </w:r>
      <w:r w:rsidR="00B0065F">
        <w:rPr>
          <w:rFonts w:ascii="Times New Roman" w:hAnsi="Times New Roman"/>
          <w:i/>
          <w:sz w:val="24"/>
        </w:rPr>
        <w:t> </w:t>
      </w:r>
      <w:r>
        <w:rPr>
          <w:rFonts w:ascii="Times New Roman" w:hAnsi="Times New Roman"/>
          <w:i/>
          <w:sz w:val="24"/>
        </w:rPr>
        <w:t xml:space="preserve">% par rapport au niveau de </w:t>
      </w:r>
      <w:r w:rsidRPr="005A0F82">
        <w:rPr>
          <w:rFonts w:ascii="Times New Roman" w:hAnsi="Times New Roman"/>
          <w:i/>
          <w:sz w:val="24"/>
        </w:rPr>
        <w:t>1990</w:t>
      </w:r>
      <w:r>
        <w:rPr>
          <w:rFonts w:ascii="Times New Roman" w:hAnsi="Times New Roman"/>
          <w:i/>
          <w:sz w:val="24"/>
        </w:rPr>
        <w:t>.</w:t>
      </w:r>
    </w:p>
    <w:p w:rsidR="00097C2F" w:rsidRDefault="00F2762B">
      <w:pPr>
        <w:pStyle w:val="ListParagraph"/>
        <w:numPr>
          <w:ilvl w:val="0"/>
          <w:numId w:val="2"/>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Pr>
          <w:rFonts w:ascii="Times New Roman" w:hAnsi="Times New Roman"/>
          <w:i/>
          <w:noProof/>
          <w:sz w:val="24"/>
        </w:rPr>
        <w:t xml:space="preserve">Vingt-quatre </w:t>
      </w:r>
      <w:r w:rsidR="008C0DFC">
        <w:rPr>
          <w:rFonts w:ascii="Times New Roman" w:hAnsi="Times New Roman"/>
          <w:i/>
          <w:noProof/>
          <w:sz w:val="24"/>
        </w:rPr>
        <w:t xml:space="preserve">États membres devraient atteindre leur objectif national pour </w:t>
      </w:r>
      <w:r w:rsidR="008C0DFC" w:rsidRPr="005A0F82">
        <w:rPr>
          <w:rFonts w:ascii="Times New Roman" w:hAnsi="Times New Roman"/>
          <w:i/>
          <w:noProof/>
          <w:sz w:val="24"/>
        </w:rPr>
        <w:t>2020</w:t>
      </w:r>
      <w:r w:rsidR="008C0DFC">
        <w:rPr>
          <w:rFonts w:ascii="Times New Roman" w:hAnsi="Times New Roman"/>
          <w:i/>
          <w:noProof/>
          <w:sz w:val="24"/>
        </w:rPr>
        <w:t xml:space="preserve"> dans les secteurs hors SEQE </w:t>
      </w:r>
      <w:r w:rsidR="00577F0F">
        <w:rPr>
          <w:rFonts w:ascii="Times New Roman" w:hAnsi="Times New Roman"/>
          <w:i/>
          <w:noProof/>
          <w:sz w:val="24"/>
        </w:rPr>
        <w:t xml:space="preserve">grâce aux </w:t>
      </w:r>
      <w:r w:rsidR="008C0DFC">
        <w:rPr>
          <w:rFonts w:ascii="Times New Roman" w:hAnsi="Times New Roman"/>
          <w:i/>
          <w:noProof/>
          <w:sz w:val="24"/>
        </w:rPr>
        <w:t>politiques et mesures existantes. Quatre États membres (l</w:t>
      </w:r>
      <w:r w:rsidR="00B0065F">
        <w:rPr>
          <w:rFonts w:ascii="Times New Roman" w:hAnsi="Times New Roman"/>
          <w:i/>
          <w:noProof/>
          <w:sz w:val="24"/>
        </w:rPr>
        <w:t>’</w:t>
      </w:r>
      <w:r w:rsidR="008C0DFC">
        <w:rPr>
          <w:rFonts w:ascii="Times New Roman" w:hAnsi="Times New Roman"/>
          <w:i/>
          <w:noProof/>
          <w:sz w:val="24"/>
        </w:rPr>
        <w:t>Irlande, le Luxembourg, la Belgique et l</w:t>
      </w:r>
      <w:r w:rsidR="00B0065F">
        <w:rPr>
          <w:rFonts w:ascii="Times New Roman" w:hAnsi="Times New Roman"/>
          <w:i/>
          <w:noProof/>
          <w:sz w:val="24"/>
        </w:rPr>
        <w:t>’</w:t>
      </w:r>
      <w:r w:rsidR="008C0DFC">
        <w:rPr>
          <w:rFonts w:ascii="Times New Roman" w:hAnsi="Times New Roman"/>
          <w:i/>
          <w:noProof/>
          <w:sz w:val="24"/>
        </w:rPr>
        <w:t xml:space="preserve">Autriche) vont devoir déployer des efforts supplémentaires pour respecter leurs objectifs nationaux </w:t>
      </w:r>
      <w:r>
        <w:rPr>
          <w:rFonts w:ascii="Times New Roman" w:hAnsi="Times New Roman"/>
          <w:i/>
          <w:noProof/>
          <w:sz w:val="24"/>
        </w:rPr>
        <w:t xml:space="preserve">pour </w:t>
      </w:r>
      <w:r w:rsidR="008C0DFC" w:rsidRPr="005A0F82">
        <w:rPr>
          <w:rFonts w:ascii="Times New Roman" w:hAnsi="Times New Roman"/>
          <w:i/>
          <w:noProof/>
          <w:sz w:val="24"/>
        </w:rPr>
        <w:t>2020</w:t>
      </w:r>
      <w:r w:rsidR="008C0DFC">
        <w:rPr>
          <w:rFonts w:ascii="Times New Roman" w:hAnsi="Times New Roman"/>
          <w:i/>
          <w:noProof/>
          <w:sz w:val="24"/>
        </w:rPr>
        <w:t xml:space="preserve"> </w:t>
      </w:r>
      <w:r>
        <w:rPr>
          <w:rFonts w:ascii="Times New Roman" w:hAnsi="Times New Roman"/>
          <w:i/>
          <w:noProof/>
          <w:sz w:val="24"/>
        </w:rPr>
        <w:t xml:space="preserve">dans </w:t>
      </w:r>
      <w:r w:rsidR="008C0DFC">
        <w:rPr>
          <w:rFonts w:ascii="Times New Roman" w:hAnsi="Times New Roman"/>
          <w:i/>
          <w:noProof/>
          <w:sz w:val="24"/>
        </w:rPr>
        <w:t xml:space="preserve">les secteurs non </w:t>
      </w:r>
      <w:r w:rsidR="008C0DFC">
        <w:rPr>
          <w:rFonts w:ascii="Times New Roman" w:hAnsi="Times New Roman"/>
          <w:i/>
          <w:noProof/>
          <w:sz w:val="24"/>
        </w:rPr>
        <w:lastRenderedPageBreak/>
        <w:t>couverts par le SEQE, ou faire usage des possibilités prévues dans la décision relative à la répartition de l</w:t>
      </w:r>
      <w:r w:rsidR="00B0065F">
        <w:rPr>
          <w:rFonts w:ascii="Times New Roman" w:hAnsi="Times New Roman"/>
          <w:i/>
          <w:noProof/>
          <w:sz w:val="24"/>
        </w:rPr>
        <w:t>’</w:t>
      </w:r>
      <w:r w:rsidR="008C0DFC">
        <w:rPr>
          <w:rFonts w:ascii="Times New Roman" w:hAnsi="Times New Roman"/>
          <w:i/>
          <w:noProof/>
          <w:sz w:val="24"/>
        </w:rPr>
        <w:t>effort</w:t>
      </w:r>
      <w:r w:rsidR="008C0DFC">
        <w:rPr>
          <w:rStyle w:val="FootnoteReference"/>
          <w:rFonts w:ascii="Times New Roman" w:hAnsi="Times New Roman"/>
          <w:i/>
          <w:noProof/>
          <w:sz w:val="24"/>
        </w:rPr>
        <w:footnoteReference w:id="10"/>
      </w:r>
      <w:r w:rsidR="008C0DFC">
        <w:rPr>
          <w:rFonts w:ascii="Times New Roman" w:hAnsi="Times New Roman"/>
          <w:i/>
          <w:noProof/>
          <w:sz w:val="24"/>
        </w:rPr>
        <w:t>.</w:t>
      </w:r>
    </w:p>
    <w:p w:rsidR="00097C2F" w:rsidRDefault="008C0DFC">
      <w:pPr>
        <w:pStyle w:val="ListParagraph"/>
        <w:numPr>
          <w:ilvl w:val="0"/>
          <w:numId w:val="2"/>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Pr>
          <w:rFonts w:ascii="Times New Roman" w:hAnsi="Times New Roman"/>
          <w:i/>
          <w:sz w:val="24"/>
        </w:rPr>
        <w:t>En ce qui concerne les énergies renouvelables, l</w:t>
      </w:r>
      <w:r w:rsidR="00B0065F">
        <w:rPr>
          <w:rFonts w:ascii="Times New Roman" w:hAnsi="Times New Roman"/>
          <w:i/>
          <w:sz w:val="24"/>
        </w:rPr>
        <w:t>’</w:t>
      </w:r>
      <w:r>
        <w:rPr>
          <w:rFonts w:ascii="Times New Roman" w:hAnsi="Times New Roman"/>
          <w:i/>
          <w:sz w:val="24"/>
        </w:rPr>
        <w:t>UE en tant que telle est sur la bonne voie pour atteindre l</w:t>
      </w:r>
      <w:r w:rsidR="00B0065F">
        <w:rPr>
          <w:rFonts w:ascii="Times New Roman" w:hAnsi="Times New Roman"/>
          <w:i/>
          <w:sz w:val="24"/>
        </w:rPr>
        <w:t>’</w:t>
      </w:r>
      <w:r>
        <w:rPr>
          <w:rFonts w:ascii="Times New Roman" w:hAnsi="Times New Roman"/>
          <w:i/>
          <w:sz w:val="24"/>
        </w:rPr>
        <w:t xml:space="preserve">objectif fixé pour </w:t>
      </w:r>
      <w:r w:rsidRPr="005A0F82">
        <w:rPr>
          <w:rFonts w:ascii="Times New Roman" w:hAnsi="Times New Roman"/>
          <w:i/>
          <w:sz w:val="24"/>
        </w:rPr>
        <w:t>2020</w:t>
      </w:r>
      <w:r>
        <w:rPr>
          <w:rFonts w:ascii="Times New Roman" w:hAnsi="Times New Roman"/>
          <w:i/>
          <w:sz w:val="24"/>
        </w:rPr>
        <w:t xml:space="preserve">. Tous les États membres sauf trois (le Luxembourg, les Pays-Bas et le Royaume-Uni) ont atteint leurs objectifs intermédiaires pour </w:t>
      </w:r>
      <w:r w:rsidRPr="005A0F82">
        <w:rPr>
          <w:rFonts w:ascii="Times New Roman" w:hAnsi="Times New Roman"/>
          <w:i/>
          <w:sz w:val="24"/>
        </w:rPr>
        <w:t>2013</w:t>
      </w:r>
      <w:r>
        <w:rPr>
          <w:rFonts w:ascii="Times New Roman" w:hAnsi="Times New Roman"/>
          <w:i/>
          <w:sz w:val="24"/>
        </w:rPr>
        <w:t>/</w:t>
      </w:r>
      <w:r w:rsidRPr="005A0F82">
        <w:rPr>
          <w:rFonts w:ascii="Times New Roman" w:hAnsi="Times New Roman"/>
          <w:i/>
          <w:sz w:val="24"/>
        </w:rPr>
        <w:t>2014</w:t>
      </w:r>
      <w:r>
        <w:rPr>
          <w:rFonts w:ascii="Times New Roman" w:hAnsi="Times New Roman"/>
          <w:i/>
          <w:sz w:val="24"/>
        </w:rPr>
        <w:t>, d</w:t>
      </w:r>
      <w:r w:rsidR="00B0065F">
        <w:rPr>
          <w:rFonts w:ascii="Times New Roman" w:hAnsi="Times New Roman"/>
          <w:i/>
          <w:sz w:val="24"/>
        </w:rPr>
        <w:t>’</w:t>
      </w:r>
      <w:r>
        <w:rPr>
          <w:rFonts w:ascii="Times New Roman" w:hAnsi="Times New Roman"/>
          <w:i/>
          <w:sz w:val="24"/>
        </w:rPr>
        <w:t xml:space="preserve">après les données de </w:t>
      </w:r>
      <w:r w:rsidRPr="005A0F82">
        <w:rPr>
          <w:rFonts w:ascii="Times New Roman" w:hAnsi="Times New Roman"/>
          <w:i/>
          <w:sz w:val="24"/>
        </w:rPr>
        <w:t>2013</w:t>
      </w:r>
      <w:r>
        <w:rPr>
          <w:rStyle w:val="FootnoteReference"/>
          <w:rFonts w:ascii="Times New Roman" w:hAnsi="Times New Roman"/>
          <w:i/>
          <w:sz w:val="24"/>
        </w:rPr>
        <w:footnoteReference w:id="11"/>
      </w:r>
      <w:r>
        <w:rPr>
          <w:rFonts w:ascii="Times New Roman" w:hAnsi="Times New Roman"/>
          <w:i/>
          <w:sz w:val="24"/>
        </w:rPr>
        <w:t>. Certains États membres (la France, le Luxembourg, Malte, les Pays-Bas et le Royaume-Uni et, dans une moindre mesure, la Belgique et l</w:t>
      </w:r>
      <w:r w:rsidR="00B0065F">
        <w:rPr>
          <w:rFonts w:ascii="Times New Roman" w:hAnsi="Times New Roman"/>
          <w:i/>
          <w:sz w:val="24"/>
        </w:rPr>
        <w:t>’</w:t>
      </w:r>
      <w:r>
        <w:rPr>
          <w:rFonts w:ascii="Times New Roman" w:hAnsi="Times New Roman"/>
          <w:i/>
          <w:sz w:val="24"/>
        </w:rPr>
        <w:t>Espagne) doivent déterminer si leurs politiques et outils sont suffisants et efficaces pour réaliser leurs objectifs en matière d</w:t>
      </w:r>
      <w:r w:rsidR="00B0065F">
        <w:rPr>
          <w:rFonts w:ascii="Times New Roman" w:hAnsi="Times New Roman"/>
          <w:i/>
          <w:sz w:val="24"/>
        </w:rPr>
        <w:t>’</w:t>
      </w:r>
      <w:r>
        <w:rPr>
          <w:rFonts w:ascii="Times New Roman" w:hAnsi="Times New Roman"/>
          <w:i/>
          <w:sz w:val="24"/>
        </w:rPr>
        <w:t>énergies renouvelables. Il n</w:t>
      </w:r>
      <w:r w:rsidR="00B0065F">
        <w:rPr>
          <w:rFonts w:ascii="Times New Roman" w:hAnsi="Times New Roman"/>
          <w:i/>
          <w:sz w:val="24"/>
        </w:rPr>
        <w:t>’</w:t>
      </w:r>
      <w:r>
        <w:rPr>
          <w:rFonts w:ascii="Times New Roman" w:hAnsi="Times New Roman"/>
          <w:i/>
          <w:sz w:val="24"/>
        </w:rPr>
        <w:t xml:space="preserve">est pas non plus certain que la Hongrie et la Pologne atteignent leurs objectifs pour </w:t>
      </w:r>
      <w:r w:rsidRPr="005A0F82">
        <w:rPr>
          <w:rFonts w:ascii="Times New Roman" w:hAnsi="Times New Roman"/>
          <w:i/>
          <w:sz w:val="24"/>
        </w:rPr>
        <w:t>2020</w:t>
      </w:r>
      <w:r>
        <w:rPr>
          <w:rFonts w:ascii="Times New Roman" w:hAnsi="Times New Roman"/>
          <w:i/>
          <w:sz w:val="24"/>
        </w:rPr>
        <w:t xml:space="preserve">. </w:t>
      </w:r>
      <w:r w:rsidR="00577F0F">
        <w:rPr>
          <w:rFonts w:ascii="Times New Roman" w:hAnsi="Times New Roman"/>
          <w:i/>
          <w:sz w:val="24"/>
        </w:rPr>
        <w:t xml:space="preserve">Quant aux </w:t>
      </w:r>
      <w:r>
        <w:rPr>
          <w:rFonts w:ascii="Times New Roman" w:hAnsi="Times New Roman"/>
          <w:i/>
          <w:sz w:val="24"/>
        </w:rPr>
        <w:t>dix-neuf autres États membres</w:t>
      </w:r>
      <w:r w:rsidR="00577F0F">
        <w:rPr>
          <w:rFonts w:ascii="Times New Roman" w:hAnsi="Times New Roman"/>
          <w:i/>
          <w:sz w:val="24"/>
        </w:rPr>
        <w:t>, il se peut qu</w:t>
      </w:r>
      <w:r w:rsidR="00B0065F">
        <w:rPr>
          <w:rFonts w:ascii="Times New Roman" w:hAnsi="Times New Roman"/>
          <w:i/>
          <w:sz w:val="24"/>
        </w:rPr>
        <w:t>’</w:t>
      </w:r>
      <w:r w:rsidR="00577F0F">
        <w:rPr>
          <w:rFonts w:ascii="Times New Roman" w:hAnsi="Times New Roman"/>
          <w:i/>
          <w:sz w:val="24"/>
        </w:rPr>
        <w:t>ils</w:t>
      </w:r>
      <w:r>
        <w:rPr>
          <w:rFonts w:ascii="Times New Roman" w:hAnsi="Times New Roman"/>
          <w:i/>
          <w:sz w:val="24"/>
        </w:rPr>
        <w:t xml:space="preserve"> dépassent, parfois même de loin, leurs objectifs en matière d</w:t>
      </w:r>
      <w:r w:rsidR="00B0065F">
        <w:rPr>
          <w:rFonts w:ascii="Times New Roman" w:hAnsi="Times New Roman"/>
          <w:i/>
          <w:sz w:val="24"/>
        </w:rPr>
        <w:t>’</w:t>
      </w:r>
      <w:r>
        <w:rPr>
          <w:rFonts w:ascii="Times New Roman" w:hAnsi="Times New Roman"/>
          <w:i/>
          <w:sz w:val="24"/>
        </w:rPr>
        <w:t>énergies renouvelables à l</w:t>
      </w:r>
      <w:r w:rsidR="00B0065F">
        <w:rPr>
          <w:rFonts w:ascii="Times New Roman" w:hAnsi="Times New Roman"/>
          <w:i/>
          <w:sz w:val="24"/>
        </w:rPr>
        <w:t>’</w:t>
      </w:r>
      <w:r>
        <w:rPr>
          <w:rFonts w:ascii="Times New Roman" w:hAnsi="Times New Roman"/>
          <w:i/>
          <w:sz w:val="24"/>
        </w:rPr>
        <w:t xml:space="preserve">horizon </w:t>
      </w:r>
      <w:r w:rsidRPr="005A0F82">
        <w:rPr>
          <w:rFonts w:ascii="Times New Roman" w:hAnsi="Times New Roman"/>
          <w:i/>
          <w:sz w:val="24"/>
        </w:rPr>
        <w:t>2020</w:t>
      </w:r>
      <w:r>
        <w:rPr>
          <w:rFonts w:ascii="Times New Roman" w:hAnsi="Times New Roman"/>
          <w:i/>
          <w:sz w:val="24"/>
        </w:rPr>
        <w:t xml:space="preserve">. La part </w:t>
      </w:r>
      <w:r w:rsidR="00F2762B">
        <w:rPr>
          <w:rFonts w:ascii="Times New Roman" w:hAnsi="Times New Roman"/>
          <w:i/>
          <w:sz w:val="24"/>
        </w:rPr>
        <w:t xml:space="preserve">croissante </w:t>
      </w:r>
      <w:r>
        <w:rPr>
          <w:rFonts w:ascii="Times New Roman" w:hAnsi="Times New Roman"/>
          <w:i/>
          <w:sz w:val="24"/>
        </w:rPr>
        <w:t>des énergies renouvelables contribue à améliorer la sécurité énergétique de l</w:t>
      </w:r>
      <w:r w:rsidR="00B0065F">
        <w:rPr>
          <w:rFonts w:ascii="Times New Roman" w:hAnsi="Times New Roman"/>
          <w:i/>
          <w:sz w:val="24"/>
        </w:rPr>
        <w:t>’</w:t>
      </w:r>
      <w:r>
        <w:rPr>
          <w:rFonts w:ascii="Times New Roman" w:hAnsi="Times New Roman"/>
          <w:i/>
          <w:sz w:val="24"/>
        </w:rPr>
        <w:t>Europe.</w:t>
      </w:r>
    </w:p>
    <w:p w:rsidR="00097C2F" w:rsidRDefault="008C0DFC">
      <w:pPr>
        <w:pStyle w:val="ListParagraph"/>
        <w:numPr>
          <w:ilvl w:val="0"/>
          <w:numId w:val="2"/>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Pr>
          <w:rFonts w:ascii="Times New Roman" w:hAnsi="Times New Roman"/>
          <w:i/>
          <w:sz w:val="24"/>
        </w:rPr>
        <w:t>De plus, la grande majorité des États membres doivent déployer des efforts supplémentaires pour assurer une meilleure intégration des énergies renouvelables dans le marché et la cohérence entre les régimes d</w:t>
      </w:r>
      <w:r w:rsidR="00B0065F">
        <w:rPr>
          <w:rFonts w:ascii="Times New Roman" w:hAnsi="Times New Roman"/>
          <w:i/>
          <w:sz w:val="24"/>
        </w:rPr>
        <w:t>’</w:t>
      </w:r>
      <w:r>
        <w:rPr>
          <w:rFonts w:ascii="Times New Roman" w:hAnsi="Times New Roman"/>
          <w:i/>
          <w:sz w:val="24"/>
        </w:rPr>
        <w:t>aide et le fonctionnement des marchés de l</w:t>
      </w:r>
      <w:r w:rsidR="00B0065F">
        <w:rPr>
          <w:rFonts w:ascii="Times New Roman" w:hAnsi="Times New Roman"/>
          <w:i/>
          <w:sz w:val="24"/>
        </w:rPr>
        <w:t>’</w:t>
      </w:r>
      <w:r>
        <w:rPr>
          <w:rFonts w:ascii="Times New Roman" w:hAnsi="Times New Roman"/>
          <w:i/>
          <w:sz w:val="24"/>
        </w:rPr>
        <w:t>électricité</w:t>
      </w:r>
      <w:r w:rsidR="00577F0F">
        <w:rPr>
          <w:rFonts w:ascii="Times New Roman" w:hAnsi="Times New Roman"/>
          <w:i/>
          <w:sz w:val="24"/>
        </w:rPr>
        <w:t xml:space="preserve"> en particulier</w:t>
      </w:r>
      <w:r>
        <w:rPr>
          <w:rFonts w:ascii="Times New Roman" w:hAnsi="Times New Roman"/>
          <w:i/>
          <w:sz w:val="24"/>
        </w:rPr>
        <w:t>. Tous les États membres doivent veiller à ce que les nouvelles lignes directrices concernant les aides d</w:t>
      </w:r>
      <w:r w:rsidR="00B0065F">
        <w:rPr>
          <w:rFonts w:ascii="Times New Roman" w:hAnsi="Times New Roman"/>
          <w:i/>
          <w:sz w:val="24"/>
        </w:rPr>
        <w:t>’</w:t>
      </w:r>
      <w:r>
        <w:rPr>
          <w:rFonts w:ascii="Times New Roman" w:hAnsi="Times New Roman"/>
          <w:i/>
          <w:sz w:val="24"/>
        </w:rPr>
        <w:t>État à la protection de l</w:t>
      </w:r>
      <w:r w:rsidR="00B0065F">
        <w:rPr>
          <w:rFonts w:ascii="Times New Roman" w:hAnsi="Times New Roman"/>
          <w:i/>
          <w:sz w:val="24"/>
        </w:rPr>
        <w:t>’</w:t>
      </w:r>
      <w:r>
        <w:rPr>
          <w:rFonts w:ascii="Times New Roman" w:hAnsi="Times New Roman"/>
          <w:i/>
          <w:sz w:val="24"/>
        </w:rPr>
        <w:t>environnement et à l</w:t>
      </w:r>
      <w:r w:rsidR="00B0065F">
        <w:rPr>
          <w:rFonts w:ascii="Times New Roman" w:hAnsi="Times New Roman"/>
          <w:i/>
          <w:sz w:val="24"/>
        </w:rPr>
        <w:t>’</w:t>
      </w:r>
      <w:r>
        <w:rPr>
          <w:rFonts w:ascii="Times New Roman" w:hAnsi="Times New Roman"/>
          <w:i/>
          <w:sz w:val="24"/>
        </w:rPr>
        <w:t>énergie soient respectées, notamment l</w:t>
      </w:r>
      <w:r w:rsidR="00B0065F">
        <w:rPr>
          <w:rFonts w:ascii="Times New Roman" w:hAnsi="Times New Roman"/>
          <w:i/>
          <w:sz w:val="24"/>
        </w:rPr>
        <w:t>’</w:t>
      </w:r>
      <w:r>
        <w:rPr>
          <w:rFonts w:ascii="Times New Roman" w:hAnsi="Times New Roman"/>
          <w:i/>
          <w:sz w:val="24"/>
        </w:rPr>
        <w:t>exigence fondamentale</w:t>
      </w:r>
      <w:r w:rsidR="00901673">
        <w:rPr>
          <w:rFonts w:ascii="Times New Roman" w:hAnsi="Times New Roman"/>
          <w:i/>
          <w:sz w:val="24"/>
        </w:rPr>
        <w:t xml:space="preserve"> selon laquelle, d</w:t>
      </w:r>
      <w:r w:rsidR="00B0065F">
        <w:rPr>
          <w:rFonts w:ascii="Times New Roman" w:hAnsi="Times New Roman"/>
          <w:i/>
          <w:sz w:val="24"/>
        </w:rPr>
        <w:t>’</w:t>
      </w:r>
      <w:r w:rsidR="00901673">
        <w:rPr>
          <w:rFonts w:ascii="Times New Roman" w:hAnsi="Times New Roman"/>
          <w:i/>
          <w:sz w:val="24"/>
        </w:rPr>
        <w:t>une part, les aides doivent être octroyées</w:t>
      </w:r>
      <w:r>
        <w:rPr>
          <w:rFonts w:ascii="Times New Roman" w:hAnsi="Times New Roman"/>
          <w:i/>
          <w:sz w:val="24"/>
        </w:rPr>
        <w:t xml:space="preserve"> sur la base d</w:t>
      </w:r>
      <w:r w:rsidR="00B0065F">
        <w:rPr>
          <w:rFonts w:ascii="Times New Roman" w:hAnsi="Times New Roman"/>
          <w:i/>
          <w:sz w:val="24"/>
        </w:rPr>
        <w:t>’</w:t>
      </w:r>
      <w:r>
        <w:rPr>
          <w:rFonts w:ascii="Times New Roman" w:hAnsi="Times New Roman"/>
          <w:i/>
          <w:sz w:val="24"/>
        </w:rPr>
        <w:t>une procédure de mise en concurrence fondée sur des critères clairs, transparents et non discriminatoires et</w:t>
      </w:r>
      <w:r w:rsidR="00901673">
        <w:rPr>
          <w:rFonts w:ascii="Times New Roman" w:hAnsi="Times New Roman"/>
          <w:i/>
          <w:sz w:val="24"/>
        </w:rPr>
        <w:t>, d</w:t>
      </w:r>
      <w:r w:rsidR="00B0065F">
        <w:rPr>
          <w:rFonts w:ascii="Times New Roman" w:hAnsi="Times New Roman"/>
          <w:i/>
          <w:sz w:val="24"/>
        </w:rPr>
        <w:t>’</w:t>
      </w:r>
      <w:r w:rsidR="00901673">
        <w:rPr>
          <w:rFonts w:ascii="Times New Roman" w:hAnsi="Times New Roman"/>
          <w:i/>
          <w:sz w:val="24"/>
        </w:rPr>
        <w:t>autre part,</w:t>
      </w:r>
      <w:r>
        <w:rPr>
          <w:rFonts w:ascii="Times New Roman" w:hAnsi="Times New Roman"/>
          <w:i/>
          <w:sz w:val="24"/>
        </w:rPr>
        <w:t xml:space="preserve"> </w:t>
      </w:r>
      <w:r w:rsidR="00901673">
        <w:rPr>
          <w:rFonts w:ascii="Times New Roman" w:hAnsi="Times New Roman"/>
          <w:i/>
          <w:sz w:val="24"/>
        </w:rPr>
        <w:t>l</w:t>
      </w:r>
      <w:r>
        <w:rPr>
          <w:rFonts w:ascii="Times New Roman" w:hAnsi="Times New Roman"/>
          <w:i/>
          <w:sz w:val="24"/>
        </w:rPr>
        <w:t xml:space="preserve">es énergies renouvelables </w:t>
      </w:r>
      <w:r w:rsidR="00901673">
        <w:rPr>
          <w:rFonts w:ascii="Times New Roman" w:hAnsi="Times New Roman"/>
          <w:i/>
          <w:sz w:val="24"/>
        </w:rPr>
        <w:t xml:space="preserve">doivent être rapprochées </w:t>
      </w:r>
      <w:r>
        <w:rPr>
          <w:rFonts w:ascii="Times New Roman" w:hAnsi="Times New Roman"/>
          <w:i/>
          <w:sz w:val="24"/>
        </w:rPr>
        <w:t>du stade de la commercialisation.</w:t>
      </w:r>
    </w:p>
    <w:p w:rsidR="00097C2F" w:rsidRDefault="008C0DFC">
      <w:pPr>
        <w:pStyle w:val="ListParagraph"/>
        <w:numPr>
          <w:ilvl w:val="0"/>
          <w:numId w:val="2"/>
        </w:numPr>
        <w:pBdr>
          <w:top w:val="single" w:sz="4" w:space="1" w:color="auto"/>
          <w:left w:val="single" w:sz="4" w:space="4" w:color="auto"/>
          <w:bottom w:val="single" w:sz="4" w:space="1" w:color="auto"/>
          <w:right w:val="single" w:sz="4" w:space="4" w:color="auto"/>
        </w:pBdr>
        <w:spacing w:after="240" w:line="240" w:lineRule="auto"/>
        <w:ind w:left="426" w:hanging="426"/>
        <w:jc w:val="both"/>
        <w:rPr>
          <w:rFonts w:ascii="Times New Roman" w:hAnsi="Times New Roman"/>
          <w:sz w:val="24"/>
          <w:szCs w:val="24"/>
        </w:rPr>
      </w:pPr>
      <w:r>
        <w:rPr>
          <w:rFonts w:ascii="Times New Roman" w:hAnsi="Times New Roman"/>
          <w:i/>
          <w:sz w:val="24"/>
        </w:rPr>
        <w:t>La Suède est le seul État membre jusqu</w:t>
      </w:r>
      <w:r w:rsidR="00B0065F">
        <w:rPr>
          <w:rFonts w:ascii="Times New Roman" w:hAnsi="Times New Roman"/>
          <w:i/>
          <w:sz w:val="24"/>
        </w:rPr>
        <w:t>’</w:t>
      </w:r>
      <w:r>
        <w:rPr>
          <w:rFonts w:ascii="Times New Roman" w:hAnsi="Times New Roman"/>
          <w:i/>
          <w:sz w:val="24"/>
        </w:rPr>
        <w:t>ici à avoir mis en place un mécanisme de coopération en matière d</w:t>
      </w:r>
      <w:r w:rsidR="00B0065F">
        <w:rPr>
          <w:rFonts w:ascii="Times New Roman" w:hAnsi="Times New Roman"/>
          <w:i/>
          <w:sz w:val="24"/>
        </w:rPr>
        <w:t>’</w:t>
      </w:r>
      <w:r>
        <w:rPr>
          <w:rFonts w:ascii="Times New Roman" w:hAnsi="Times New Roman"/>
          <w:i/>
          <w:sz w:val="24"/>
        </w:rPr>
        <w:t>énergies renouvelables avec un autre pays (la Norvège).</w:t>
      </w:r>
      <w:r w:rsidR="00B0065F">
        <w:rPr>
          <w:rFonts w:ascii="Times New Roman" w:hAnsi="Times New Roman"/>
          <w:i/>
          <w:sz w:val="24"/>
        </w:rPr>
        <w:t xml:space="preserve"> </w:t>
      </w:r>
      <w:r>
        <w:rPr>
          <w:rFonts w:ascii="Times New Roman" w:hAnsi="Times New Roman"/>
          <w:i/>
          <w:sz w:val="24"/>
        </w:rPr>
        <w:t>L</w:t>
      </w:r>
      <w:r w:rsidR="00B0065F">
        <w:rPr>
          <w:rFonts w:ascii="Times New Roman" w:hAnsi="Times New Roman"/>
          <w:i/>
          <w:sz w:val="24"/>
        </w:rPr>
        <w:t>’</w:t>
      </w:r>
      <w:r>
        <w:rPr>
          <w:rFonts w:ascii="Times New Roman" w:hAnsi="Times New Roman"/>
          <w:i/>
          <w:sz w:val="24"/>
        </w:rPr>
        <w:t>ajout, dans le champ d</w:t>
      </w:r>
      <w:r w:rsidR="00B0065F">
        <w:rPr>
          <w:rFonts w:ascii="Times New Roman" w:hAnsi="Times New Roman"/>
          <w:i/>
          <w:sz w:val="24"/>
        </w:rPr>
        <w:t>’</w:t>
      </w:r>
      <w:r>
        <w:rPr>
          <w:rFonts w:ascii="Times New Roman" w:hAnsi="Times New Roman"/>
          <w:i/>
          <w:sz w:val="24"/>
        </w:rPr>
        <w:t>activité d</w:t>
      </w:r>
      <w:r w:rsidR="00F2762B">
        <w:rPr>
          <w:rFonts w:ascii="Times New Roman" w:hAnsi="Times New Roman"/>
          <w:i/>
          <w:sz w:val="24"/>
        </w:rPr>
        <w:t xml:space="preserve">e certaines </w:t>
      </w:r>
      <w:r>
        <w:rPr>
          <w:rFonts w:ascii="Times New Roman" w:hAnsi="Times New Roman"/>
          <w:i/>
          <w:sz w:val="24"/>
        </w:rPr>
        <w:t>enceintes régionales telles que le PIMERB (plan d</w:t>
      </w:r>
      <w:r w:rsidR="00B0065F">
        <w:rPr>
          <w:rFonts w:ascii="Times New Roman" w:hAnsi="Times New Roman"/>
          <w:i/>
          <w:sz w:val="24"/>
        </w:rPr>
        <w:t>’</w:t>
      </w:r>
      <w:r>
        <w:rPr>
          <w:rFonts w:ascii="Times New Roman" w:hAnsi="Times New Roman"/>
          <w:i/>
          <w:sz w:val="24"/>
        </w:rPr>
        <w:t>interconnexion des marchés énergétiques de la région de la Baltique), de la coopération entre États membres sur les énergies renouvelables, est encourageant. Davantage d</w:t>
      </w:r>
      <w:r w:rsidR="00B0065F">
        <w:rPr>
          <w:rFonts w:ascii="Times New Roman" w:hAnsi="Times New Roman"/>
          <w:i/>
          <w:sz w:val="24"/>
        </w:rPr>
        <w:t>’</w:t>
      </w:r>
      <w:r>
        <w:rPr>
          <w:rFonts w:ascii="Times New Roman" w:hAnsi="Times New Roman"/>
          <w:i/>
          <w:sz w:val="24"/>
        </w:rPr>
        <w:t xml:space="preserve">initiatives régionales de ce genre sont nécessaires, notamment dans la région des mers septentrionales et </w:t>
      </w:r>
      <w:r w:rsidR="00543C4A">
        <w:rPr>
          <w:rFonts w:ascii="Times New Roman" w:hAnsi="Times New Roman"/>
          <w:i/>
          <w:sz w:val="24"/>
        </w:rPr>
        <w:t xml:space="preserve">dans </w:t>
      </w:r>
      <w:r>
        <w:rPr>
          <w:rFonts w:ascii="Times New Roman" w:hAnsi="Times New Roman"/>
          <w:i/>
          <w:sz w:val="24"/>
        </w:rPr>
        <w:t>la région méditerranéenne.</w:t>
      </w:r>
    </w:p>
    <w:p w:rsidR="00097C2F" w:rsidRDefault="008C0DFC">
      <w:pPr>
        <w:spacing w:after="240" w:line="240" w:lineRule="auto"/>
        <w:jc w:val="both"/>
        <w:rPr>
          <w:rFonts w:ascii="Times New Roman" w:hAnsi="Times New Roman"/>
          <w:b/>
          <w:smallCaps/>
          <w:sz w:val="24"/>
          <w:szCs w:val="24"/>
        </w:rPr>
      </w:pPr>
      <w:r w:rsidRPr="005A0F82">
        <w:rPr>
          <w:rFonts w:ascii="Times New Roman" w:hAnsi="Times New Roman"/>
          <w:b/>
          <w:smallCaps/>
          <w:sz w:val="24"/>
        </w:rPr>
        <w:t>3</w:t>
      </w:r>
      <w:r>
        <w:rPr>
          <w:rFonts w:ascii="Times New Roman" w:hAnsi="Times New Roman"/>
          <w:b/>
          <w:smallCaps/>
          <w:sz w:val="24"/>
        </w:rPr>
        <w:t>.</w:t>
      </w:r>
      <w:r>
        <w:tab/>
      </w:r>
      <w:r>
        <w:rPr>
          <w:rFonts w:ascii="Times New Roman" w:hAnsi="Times New Roman"/>
          <w:b/>
          <w:smallCaps/>
          <w:sz w:val="24"/>
        </w:rPr>
        <w:t>Contribution de l</w:t>
      </w:r>
      <w:r w:rsidR="00B0065F">
        <w:rPr>
          <w:rFonts w:ascii="Times New Roman" w:hAnsi="Times New Roman"/>
          <w:b/>
          <w:smallCaps/>
          <w:sz w:val="24"/>
        </w:rPr>
        <w:t>’</w:t>
      </w:r>
      <w:r>
        <w:rPr>
          <w:rFonts w:ascii="Times New Roman" w:hAnsi="Times New Roman"/>
          <w:b/>
          <w:smallCaps/>
          <w:sz w:val="24"/>
        </w:rPr>
        <w:t>efficacité énergétique à la modération de la demande d</w:t>
      </w:r>
      <w:r w:rsidR="00B0065F">
        <w:rPr>
          <w:rFonts w:ascii="Times New Roman" w:hAnsi="Times New Roman"/>
          <w:b/>
          <w:smallCaps/>
          <w:sz w:val="24"/>
        </w:rPr>
        <w:t>’</w:t>
      </w:r>
      <w:r>
        <w:rPr>
          <w:rFonts w:ascii="Times New Roman" w:hAnsi="Times New Roman"/>
          <w:b/>
          <w:smallCaps/>
          <w:sz w:val="24"/>
        </w:rPr>
        <w:t>énergie</w:t>
      </w:r>
    </w:p>
    <w:p w:rsidR="00097C2F" w:rsidRDefault="008C0DFC">
      <w:pPr>
        <w:spacing w:after="240" w:line="240" w:lineRule="auto"/>
        <w:jc w:val="both"/>
        <w:rPr>
          <w:rFonts w:ascii="Times New Roman" w:hAnsi="Times New Roman"/>
          <w:i/>
          <w:sz w:val="24"/>
          <w:szCs w:val="24"/>
        </w:rPr>
      </w:pPr>
      <w:r>
        <w:rPr>
          <w:rFonts w:ascii="Times New Roman" w:hAnsi="Times New Roman"/>
          <w:i/>
          <w:sz w:val="24"/>
        </w:rPr>
        <w:t>Progrès accomplis</w:t>
      </w:r>
    </w:p>
    <w:p w:rsidR="00097C2F" w:rsidRDefault="008C0DFC">
      <w:pPr>
        <w:spacing w:after="240" w:line="240" w:lineRule="auto"/>
        <w:jc w:val="both"/>
        <w:rPr>
          <w:rFonts w:ascii="Times New Roman" w:hAnsi="Times New Roman"/>
          <w:sz w:val="24"/>
          <w:szCs w:val="24"/>
        </w:rPr>
      </w:pPr>
      <w:r>
        <w:rPr>
          <w:rFonts w:ascii="Times New Roman" w:hAnsi="Times New Roman"/>
          <w:sz w:val="24"/>
        </w:rPr>
        <w:t>Pour parvenir à un niveau ambitieux d</w:t>
      </w:r>
      <w:r w:rsidR="00B0065F">
        <w:rPr>
          <w:rFonts w:ascii="Times New Roman" w:hAnsi="Times New Roman"/>
          <w:sz w:val="24"/>
        </w:rPr>
        <w:t>’</w:t>
      </w:r>
      <w:r>
        <w:rPr>
          <w:rFonts w:ascii="Times New Roman" w:hAnsi="Times New Roman"/>
          <w:sz w:val="24"/>
        </w:rPr>
        <w:t>efficacité énergétique d</w:t>
      </w:r>
      <w:r w:rsidR="00B0065F">
        <w:rPr>
          <w:rFonts w:ascii="Times New Roman" w:hAnsi="Times New Roman"/>
          <w:sz w:val="24"/>
        </w:rPr>
        <w:t>’</w:t>
      </w:r>
      <w:r>
        <w:rPr>
          <w:rFonts w:ascii="Times New Roman" w:hAnsi="Times New Roman"/>
          <w:sz w:val="24"/>
        </w:rPr>
        <w:t xml:space="preserve">ici à </w:t>
      </w:r>
      <w:r w:rsidRPr="005A0F82">
        <w:rPr>
          <w:rFonts w:ascii="Times New Roman" w:hAnsi="Times New Roman"/>
          <w:sz w:val="24"/>
        </w:rPr>
        <w:t>2030</w:t>
      </w:r>
      <w:r>
        <w:rPr>
          <w:rFonts w:ascii="Times New Roman" w:hAnsi="Times New Roman"/>
          <w:sz w:val="24"/>
        </w:rPr>
        <w:t xml:space="preserve">, la Commission a commencé à mettre en place des outils et instruments qui </w:t>
      </w:r>
      <w:r w:rsidR="00F2762B">
        <w:rPr>
          <w:rFonts w:ascii="Times New Roman" w:hAnsi="Times New Roman"/>
          <w:sz w:val="24"/>
        </w:rPr>
        <w:t xml:space="preserve">prennent en compte </w:t>
      </w:r>
      <w:r>
        <w:rPr>
          <w:rFonts w:ascii="Times New Roman" w:hAnsi="Times New Roman"/>
          <w:sz w:val="24"/>
        </w:rPr>
        <w:t>l</w:t>
      </w:r>
      <w:r w:rsidR="00B0065F">
        <w:rPr>
          <w:rFonts w:ascii="Times New Roman" w:hAnsi="Times New Roman"/>
          <w:sz w:val="24"/>
        </w:rPr>
        <w:t>’</w:t>
      </w:r>
      <w:r>
        <w:rPr>
          <w:rFonts w:ascii="Times New Roman" w:hAnsi="Times New Roman"/>
          <w:sz w:val="24"/>
        </w:rPr>
        <w:t>efficacité énergétique comme une source d</w:t>
      </w:r>
      <w:r w:rsidR="00B0065F">
        <w:rPr>
          <w:rFonts w:ascii="Times New Roman" w:hAnsi="Times New Roman"/>
          <w:sz w:val="24"/>
        </w:rPr>
        <w:t>’</w:t>
      </w:r>
      <w:r>
        <w:rPr>
          <w:rFonts w:ascii="Times New Roman" w:hAnsi="Times New Roman"/>
          <w:sz w:val="24"/>
        </w:rPr>
        <w:t xml:space="preserve">énergie à part entière. En juillet </w:t>
      </w:r>
      <w:r w:rsidRPr="005A0F82">
        <w:rPr>
          <w:rFonts w:ascii="Times New Roman" w:hAnsi="Times New Roman"/>
          <w:sz w:val="24"/>
        </w:rPr>
        <w:t>2015</w:t>
      </w:r>
      <w:r>
        <w:rPr>
          <w:rFonts w:ascii="Times New Roman" w:hAnsi="Times New Roman"/>
          <w:sz w:val="24"/>
        </w:rPr>
        <w:t>, la Commission a proposé à titre de première étape une révision de la directive sur l</w:t>
      </w:r>
      <w:r w:rsidR="00B0065F">
        <w:rPr>
          <w:rFonts w:ascii="Times New Roman" w:hAnsi="Times New Roman"/>
          <w:sz w:val="24"/>
        </w:rPr>
        <w:t>’</w:t>
      </w:r>
      <w:r>
        <w:rPr>
          <w:rFonts w:ascii="Times New Roman" w:hAnsi="Times New Roman"/>
          <w:sz w:val="24"/>
        </w:rPr>
        <w:t>étiquetage énergétique</w:t>
      </w:r>
      <w:r>
        <w:rPr>
          <w:rStyle w:val="FootnoteReference"/>
          <w:rFonts w:ascii="Times New Roman" w:hAnsi="Times New Roman"/>
          <w:sz w:val="24"/>
        </w:rPr>
        <w:footnoteReference w:id="12"/>
      </w:r>
      <w:r>
        <w:rPr>
          <w:rFonts w:ascii="Times New Roman" w:hAnsi="Times New Roman"/>
          <w:sz w:val="24"/>
        </w:rPr>
        <w:t xml:space="preserve">. </w:t>
      </w:r>
      <w:r w:rsidR="00F2762B">
        <w:rPr>
          <w:rFonts w:ascii="Times New Roman" w:hAnsi="Times New Roman"/>
          <w:sz w:val="24"/>
        </w:rPr>
        <w:t xml:space="preserve">Cette proposition </w:t>
      </w:r>
      <w:r w:rsidR="00577F0F">
        <w:rPr>
          <w:rFonts w:ascii="Times New Roman" w:hAnsi="Times New Roman"/>
          <w:sz w:val="24"/>
        </w:rPr>
        <w:t xml:space="preserve">vise à </w:t>
      </w:r>
      <w:r>
        <w:rPr>
          <w:rFonts w:ascii="Times New Roman" w:hAnsi="Times New Roman"/>
          <w:sz w:val="24"/>
        </w:rPr>
        <w:t>améliore</w:t>
      </w:r>
      <w:r w:rsidR="00577F0F">
        <w:rPr>
          <w:rFonts w:ascii="Times New Roman" w:hAnsi="Times New Roman"/>
          <w:sz w:val="24"/>
        </w:rPr>
        <w:t>r</w:t>
      </w:r>
      <w:r>
        <w:rPr>
          <w:rFonts w:ascii="Times New Roman" w:hAnsi="Times New Roman"/>
          <w:sz w:val="24"/>
        </w:rPr>
        <w:t xml:space="preserve"> l</w:t>
      </w:r>
      <w:r w:rsidR="00B0065F">
        <w:rPr>
          <w:rFonts w:ascii="Times New Roman" w:hAnsi="Times New Roman"/>
          <w:sz w:val="24"/>
        </w:rPr>
        <w:t>’</w:t>
      </w:r>
      <w:r>
        <w:rPr>
          <w:rFonts w:ascii="Times New Roman" w:hAnsi="Times New Roman"/>
          <w:sz w:val="24"/>
        </w:rPr>
        <w:t>efficacité de l</w:t>
      </w:r>
      <w:r w:rsidR="00B0065F">
        <w:rPr>
          <w:rFonts w:ascii="Times New Roman" w:hAnsi="Times New Roman"/>
          <w:sz w:val="24"/>
        </w:rPr>
        <w:t>’</w:t>
      </w:r>
      <w:r>
        <w:rPr>
          <w:rFonts w:ascii="Times New Roman" w:hAnsi="Times New Roman"/>
          <w:sz w:val="24"/>
        </w:rPr>
        <w:t>acquis en matière d</w:t>
      </w:r>
      <w:r w:rsidR="00B0065F">
        <w:rPr>
          <w:rFonts w:ascii="Times New Roman" w:hAnsi="Times New Roman"/>
          <w:sz w:val="24"/>
        </w:rPr>
        <w:t>’</w:t>
      </w:r>
      <w:r>
        <w:rPr>
          <w:rFonts w:ascii="Times New Roman" w:hAnsi="Times New Roman"/>
          <w:sz w:val="24"/>
        </w:rPr>
        <w:t xml:space="preserve">étiquetage énergétique et </w:t>
      </w:r>
      <w:r w:rsidR="00F2762B">
        <w:rPr>
          <w:rFonts w:ascii="Times New Roman" w:hAnsi="Times New Roman"/>
          <w:sz w:val="24"/>
        </w:rPr>
        <w:t xml:space="preserve">elle </w:t>
      </w:r>
      <w:r>
        <w:rPr>
          <w:rFonts w:ascii="Times New Roman" w:hAnsi="Times New Roman"/>
          <w:sz w:val="24"/>
        </w:rPr>
        <w:t xml:space="preserve">renforcera le contrôle de son application. En </w:t>
      </w:r>
      <w:r w:rsidRPr="005A0F82">
        <w:rPr>
          <w:rFonts w:ascii="Times New Roman" w:hAnsi="Times New Roman"/>
          <w:sz w:val="24"/>
        </w:rPr>
        <w:t>2015</w:t>
      </w:r>
      <w:r>
        <w:rPr>
          <w:rFonts w:ascii="Times New Roman" w:hAnsi="Times New Roman"/>
          <w:sz w:val="24"/>
        </w:rPr>
        <w:t xml:space="preserve"> également sont entrées en vigueur un certain nombre de mesures d</w:t>
      </w:r>
      <w:r w:rsidR="00B0065F">
        <w:rPr>
          <w:rFonts w:ascii="Times New Roman" w:hAnsi="Times New Roman"/>
          <w:sz w:val="24"/>
        </w:rPr>
        <w:t>’</w:t>
      </w:r>
      <w:r>
        <w:rPr>
          <w:rFonts w:ascii="Times New Roman" w:hAnsi="Times New Roman"/>
          <w:sz w:val="24"/>
        </w:rPr>
        <w:t>écoconception et d</w:t>
      </w:r>
      <w:r w:rsidR="00B0065F">
        <w:rPr>
          <w:rFonts w:ascii="Times New Roman" w:hAnsi="Times New Roman"/>
          <w:sz w:val="24"/>
        </w:rPr>
        <w:t>’</w:t>
      </w:r>
      <w:r>
        <w:rPr>
          <w:rFonts w:ascii="Times New Roman" w:hAnsi="Times New Roman"/>
          <w:sz w:val="24"/>
        </w:rPr>
        <w:t xml:space="preserve">étiquetage énergétique, qui pourront réduire </w:t>
      </w:r>
      <w:r>
        <w:rPr>
          <w:rFonts w:ascii="Times New Roman" w:hAnsi="Times New Roman"/>
          <w:sz w:val="24"/>
        </w:rPr>
        <w:lastRenderedPageBreak/>
        <w:t>encore la consommation d</w:t>
      </w:r>
      <w:r w:rsidR="00B0065F">
        <w:rPr>
          <w:rFonts w:ascii="Times New Roman" w:hAnsi="Times New Roman"/>
          <w:sz w:val="24"/>
        </w:rPr>
        <w:t>’</w:t>
      </w:r>
      <w:r>
        <w:rPr>
          <w:rFonts w:ascii="Times New Roman" w:hAnsi="Times New Roman"/>
          <w:sz w:val="24"/>
        </w:rPr>
        <w:t>énergie des ménages et, partant, leurs factures. Plus tard dans l</w:t>
      </w:r>
      <w:r w:rsidR="00B0065F">
        <w:rPr>
          <w:rFonts w:ascii="Times New Roman" w:hAnsi="Times New Roman"/>
          <w:sz w:val="24"/>
        </w:rPr>
        <w:t>’</w:t>
      </w:r>
      <w:r>
        <w:rPr>
          <w:rFonts w:ascii="Times New Roman" w:hAnsi="Times New Roman"/>
          <w:sz w:val="24"/>
        </w:rPr>
        <w:t>année, la Commission compte présenter un nouveau plan de travail pour l</w:t>
      </w:r>
      <w:r w:rsidR="00B0065F">
        <w:rPr>
          <w:rFonts w:ascii="Times New Roman" w:hAnsi="Times New Roman"/>
          <w:sz w:val="24"/>
        </w:rPr>
        <w:t>’</w:t>
      </w:r>
      <w:r>
        <w:rPr>
          <w:rFonts w:ascii="Times New Roman" w:hAnsi="Times New Roman"/>
          <w:sz w:val="24"/>
        </w:rPr>
        <w:t xml:space="preserve">écoconception qui, en plus </w:t>
      </w:r>
      <w:r w:rsidR="00543C4A">
        <w:rPr>
          <w:rFonts w:ascii="Times New Roman" w:hAnsi="Times New Roman"/>
          <w:sz w:val="24"/>
        </w:rPr>
        <w:t xml:space="preserve">de viser à </w:t>
      </w:r>
      <w:r>
        <w:rPr>
          <w:rFonts w:ascii="Times New Roman" w:hAnsi="Times New Roman"/>
          <w:sz w:val="24"/>
        </w:rPr>
        <w:t>améliorer l</w:t>
      </w:r>
      <w:r w:rsidR="00B0065F">
        <w:rPr>
          <w:rFonts w:ascii="Times New Roman" w:hAnsi="Times New Roman"/>
          <w:sz w:val="24"/>
        </w:rPr>
        <w:t>’</w:t>
      </w:r>
      <w:r>
        <w:rPr>
          <w:rFonts w:ascii="Times New Roman" w:hAnsi="Times New Roman"/>
          <w:sz w:val="24"/>
        </w:rPr>
        <w:t>efficacité énergétique, soutiendra à l</w:t>
      </w:r>
      <w:r w:rsidR="00B0065F">
        <w:rPr>
          <w:rFonts w:ascii="Times New Roman" w:hAnsi="Times New Roman"/>
          <w:sz w:val="24"/>
        </w:rPr>
        <w:t>’</w:t>
      </w:r>
      <w:r>
        <w:rPr>
          <w:rFonts w:ascii="Times New Roman" w:hAnsi="Times New Roman"/>
          <w:sz w:val="24"/>
        </w:rPr>
        <w:t>avenir l</w:t>
      </w:r>
      <w:r w:rsidR="00B0065F">
        <w:rPr>
          <w:rFonts w:ascii="Times New Roman" w:hAnsi="Times New Roman"/>
          <w:sz w:val="24"/>
        </w:rPr>
        <w:t>’</w:t>
      </w:r>
      <w:r>
        <w:rPr>
          <w:rFonts w:ascii="Times New Roman" w:hAnsi="Times New Roman"/>
          <w:sz w:val="24"/>
        </w:rPr>
        <w:t>économie circulaire.</w:t>
      </w:r>
    </w:p>
    <w:p w:rsidR="00097C2F" w:rsidRDefault="008C0DFC">
      <w:pPr>
        <w:spacing w:after="240" w:line="240" w:lineRule="auto"/>
        <w:jc w:val="both"/>
        <w:rPr>
          <w:rFonts w:ascii="Times New Roman" w:hAnsi="Times New Roman"/>
          <w:sz w:val="24"/>
          <w:szCs w:val="24"/>
        </w:rPr>
      </w:pPr>
      <w:r>
        <w:rPr>
          <w:rFonts w:ascii="Times New Roman" w:hAnsi="Times New Roman"/>
          <w:sz w:val="24"/>
        </w:rPr>
        <w:t xml:space="preserve">Le Fonds européen pour les investissements stratégiques </w:t>
      </w:r>
      <w:r w:rsidR="00543C4A">
        <w:rPr>
          <w:rFonts w:ascii="Times New Roman" w:hAnsi="Times New Roman"/>
          <w:sz w:val="24"/>
        </w:rPr>
        <w:t xml:space="preserve">(EFSI) </w:t>
      </w:r>
      <w:r>
        <w:rPr>
          <w:rFonts w:ascii="Times New Roman" w:hAnsi="Times New Roman"/>
          <w:sz w:val="24"/>
        </w:rPr>
        <w:t>accorde une grande importance à l</w:t>
      </w:r>
      <w:r w:rsidR="00B0065F">
        <w:rPr>
          <w:rFonts w:ascii="Times New Roman" w:hAnsi="Times New Roman"/>
          <w:sz w:val="24"/>
        </w:rPr>
        <w:t>’</w:t>
      </w:r>
      <w:r>
        <w:rPr>
          <w:rFonts w:ascii="Times New Roman" w:hAnsi="Times New Roman"/>
          <w:sz w:val="24"/>
        </w:rPr>
        <w:t>efficacité énergétique. L</w:t>
      </w:r>
      <w:r w:rsidR="00B0065F">
        <w:rPr>
          <w:rFonts w:ascii="Times New Roman" w:hAnsi="Times New Roman"/>
          <w:sz w:val="24"/>
        </w:rPr>
        <w:t>’</w:t>
      </w:r>
      <w:r w:rsidR="00543C4A">
        <w:rPr>
          <w:rFonts w:ascii="Times New Roman" w:hAnsi="Times New Roman"/>
          <w:sz w:val="24"/>
        </w:rPr>
        <w:t>EFSI</w:t>
      </w:r>
      <w:r>
        <w:rPr>
          <w:rFonts w:ascii="Times New Roman" w:hAnsi="Times New Roman"/>
          <w:sz w:val="24"/>
        </w:rPr>
        <w:t xml:space="preserve"> soutient déjà des projets stratégiques en faveur de l</w:t>
      </w:r>
      <w:r w:rsidR="00B0065F">
        <w:rPr>
          <w:rFonts w:ascii="Times New Roman" w:hAnsi="Times New Roman"/>
          <w:sz w:val="24"/>
        </w:rPr>
        <w:t>’</w:t>
      </w:r>
      <w:r>
        <w:rPr>
          <w:rFonts w:ascii="Times New Roman" w:hAnsi="Times New Roman"/>
          <w:sz w:val="24"/>
        </w:rPr>
        <w:t>efficacité énergétique, par exemple en France et en Italie. Le processus d</w:t>
      </w:r>
      <w:r w:rsidR="00B0065F">
        <w:rPr>
          <w:rFonts w:ascii="Times New Roman" w:hAnsi="Times New Roman"/>
          <w:sz w:val="24"/>
        </w:rPr>
        <w:t>’</w:t>
      </w:r>
      <w:r>
        <w:rPr>
          <w:rFonts w:ascii="Times New Roman" w:hAnsi="Times New Roman"/>
          <w:sz w:val="24"/>
        </w:rPr>
        <w:t xml:space="preserve">approbation de nombreux autres projets est en cours. </w:t>
      </w:r>
      <w:r w:rsidR="00577F0F">
        <w:rPr>
          <w:rFonts w:ascii="Times New Roman" w:hAnsi="Times New Roman"/>
          <w:sz w:val="24"/>
        </w:rPr>
        <w:t>L</w:t>
      </w:r>
      <w:r>
        <w:rPr>
          <w:rFonts w:ascii="Times New Roman" w:hAnsi="Times New Roman"/>
          <w:sz w:val="24"/>
        </w:rPr>
        <w:t xml:space="preserve">es interventions </w:t>
      </w:r>
      <w:r w:rsidR="00577F0F">
        <w:rPr>
          <w:rFonts w:ascii="Times New Roman" w:hAnsi="Times New Roman"/>
          <w:sz w:val="24"/>
        </w:rPr>
        <w:t xml:space="preserve">du Fonds </w:t>
      </w:r>
      <w:r>
        <w:rPr>
          <w:rFonts w:ascii="Times New Roman" w:hAnsi="Times New Roman"/>
          <w:sz w:val="24"/>
        </w:rPr>
        <w:t>seront complémentaires des investissements réalisés avec les Fonds structurels et d</w:t>
      </w:r>
      <w:r w:rsidR="00B0065F">
        <w:rPr>
          <w:rFonts w:ascii="Times New Roman" w:hAnsi="Times New Roman"/>
          <w:sz w:val="24"/>
        </w:rPr>
        <w:t>’</w:t>
      </w:r>
      <w:r>
        <w:rPr>
          <w:rFonts w:ascii="Times New Roman" w:hAnsi="Times New Roman"/>
          <w:sz w:val="24"/>
        </w:rPr>
        <w:t>investissement européens</w:t>
      </w:r>
      <w:r w:rsidR="00543C4A">
        <w:rPr>
          <w:rFonts w:ascii="Times New Roman" w:hAnsi="Times New Roman"/>
          <w:sz w:val="24"/>
        </w:rPr>
        <w:t xml:space="preserve"> (Fonds ESI)</w:t>
      </w:r>
      <w:r>
        <w:rPr>
          <w:rFonts w:ascii="Times New Roman" w:hAnsi="Times New Roman"/>
          <w:sz w:val="24"/>
        </w:rPr>
        <w:t>.</w:t>
      </w:r>
    </w:p>
    <w:p w:rsidR="00097C2F" w:rsidRDefault="008C0DFC">
      <w:pPr>
        <w:spacing w:after="240" w:line="240" w:lineRule="auto"/>
        <w:jc w:val="both"/>
        <w:rPr>
          <w:rFonts w:ascii="Times New Roman" w:hAnsi="Times New Roman"/>
          <w:i/>
          <w:sz w:val="24"/>
          <w:szCs w:val="24"/>
        </w:rPr>
      </w:pPr>
      <w:r>
        <w:rPr>
          <w:rFonts w:ascii="Times New Roman" w:hAnsi="Times New Roman"/>
          <w:sz w:val="24"/>
        </w:rPr>
        <w:t>Le rapport sur l</w:t>
      </w:r>
      <w:r w:rsidR="00B0065F">
        <w:rPr>
          <w:rFonts w:ascii="Times New Roman" w:hAnsi="Times New Roman"/>
          <w:sz w:val="24"/>
        </w:rPr>
        <w:t>’</w:t>
      </w:r>
      <w:r>
        <w:rPr>
          <w:rFonts w:ascii="Times New Roman" w:hAnsi="Times New Roman"/>
          <w:sz w:val="24"/>
        </w:rPr>
        <w:t>avancement de la mise en œuvre de l</w:t>
      </w:r>
      <w:r w:rsidR="00B0065F">
        <w:rPr>
          <w:rFonts w:ascii="Times New Roman" w:hAnsi="Times New Roman"/>
          <w:sz w:val="24"/>
        </w:rPr>
        <w:t>’</w:t>
      </w:r>
      <w:r>
        <w:rPr>
          <w:rFonts w:ascii="Times New Roman" w:hAnsi="Times New Roman"/>
          <w:sz w:val="24"/>
        </w:rPr>
        <w:t>objectif d</w:t>
      </w:r>
      <w:r w:rsidR="00B0065F">
        <w:rPr>
          <w:rFonts w:ascii="Times New Roman" w:hAnsi="Times New Roman"/>
          <w:sz w:val="24"/>
        </w:rPr>
        <w:t>’</w:t>
      </w:r>
      <w:r w:rsidR="00543C4A">
        <w:rPr>
          <w:rFonts w:ascii="Times New Roman" w:hAnsi="Times New Roman"/>
          <w:sz w:val="24"/>
        </w:rPr>
        <w:t xml:space="preserve">une </w:t>
      </w:r>
      <w:r>
        <w:rPr>
          <w:rFonts w:ascii="Times New Roman" w:hAnsi="Times New Roman"/>
          <w:sz w:val="24"/>
        </w:rPr>
        <w:t>amélioration de l</w:t>
      </w:r>
      <w:r w:rsidR="00B0065F">
        <w:rPr>
          <w:rFonts w:ascii="Times New Roman" w:hAnsi="Times New Roman"/>
          <w:sz w:val="24"/>
        </w:rPr>
        <w:t>’</w:t>
      </w:r>
      <w:r>
        <w:rPr>
          <w:rFonts w:ascii="Times New Roman" w:hAnsi="Times New Roman"/>
          <w:sz w:val="24"/>
        </w:rPr>
        <w:t xml:space="preserve">efficacité énergétique de </w:t>
      </w:r>
      <w:r w:rsidR="00543C4A" w:rsidRPr="005A0F82">
        <w:rPr>
          <w:rFonts w:ascii="Times New Roman" w:hAnsi="Times New Roman"/>
          <w:sz w:val="24"/>
        </w:rPr>
        <w:t>20</w:t>
      </w:r>
      <w:r w:rsidR="00543C4A">
        <w:rPr>
          <w:rFonts w:ascii="Times New Roman" w:hAnsi="Times New Roman"/>
          <w:sz w:val="24"/>
        </w:rPr>
        <w:t> </w:t>
      </w:r>
      <w:r>
        <w:rPr>
          <w:rFonts w:ascii="Times New Roman" w:hAnsi="Times New Roman"/>
          <w:sz w:val="24"/>
        </w:rPr>
        <w:t xml:space="preserve">% pour </w:t>
      </w:r>
      <w:r w:rsidRPr="005A0F82">
        <w:rPr>
          <w:rFonts w:ascii="Times New Roman" w:hAnsi="Times New Roman"/>
          <w:sz w:val="24"/>
        </w:rPr>
        <w:t>2020</w:t>
      </w:r>
      <w:r>
        <w:rPr>
          <w:rStyle w:val="FootnoteReference"/>
          <w:rFonts w:ascii="Times New Roman" w:hAnsi="Times New Roman"/>
          <w:sz w:val="24"/>
        </w:rPr>
        <w:footnoteReference w:id="13"/>
      </w:r>
      <w:r>
        <w:rPr>
          <w:rFonts w:ascii="Times New Roman" w:hAnsi="Times New Roman"/>
          <w:sz w:val="24"/>
        </w:rPr>
        <w:t xml:space="preserve">, qui accompagne la présente communication, montre que malgré les progrès non négligeables qui ont été faits, les efforts collectifs des États membres </w:t>
      </w:r>
      <w:r w:rsidR="00543C4A">
        <w:rPr>
          <w:rFonts w:ascii="Times New Roman" w:hAnsi="Times New Roman"/>
          <w:sz w:val="24"/>
        </w:rPr>
        <w:t>ne se montent qu</w:t>
      </w:r>
      <w:r w:rsidR="00B0065F">
        <w:rPr>
          <w:rFonts w:ascii="Times New Roman" w:hAnsi="Times New Roman"/>
          <w:sz w:val="24"/>
        </w:rPr>
        <w:t>’</w:t>
      </w:r>
      <w:r w:rsidR="00543C4A">
        <w:rPr>
          <w:rFonts w:ascii="Times New Roman" w:hAnsi="Times New Roman"/>
          <w:sz w:val="24"/>
        </w:rPr>
        <w:t>à</w:t>
      </w:r>
      <w:r>
        <w:rPr>
          <w:rFonts w:ascii="Times New Roman" w:hAnsi="Times New Roman"/>
          <w:sz w:val="24"/>
        </w:rPr>
        <w:t xml:space="preserve"> </w:t>
      </w:r>
      <w:r w:rsidRPr="005A0F82">
        <w:rPr>
          <w:rFonts w:ascii="Times New Roman" w:hAnsi="Times New Roman"/>
          <w:sz w:val="24"/>
        </w:rPr>
        <w:t>17</w:t>
      </w:r>
      <w:r>
        <w:rPr>
          <w:rFonts w:ascii="Times New Roman" w:hAnsi="Times New Roman"/>
          <w:sz w:val="24"/>
        </w:rPr>
        <w:t>,</w:t>
      </w:r>
      <w:r w:rsidR="00543C4A" w:rsidRPr="005A0F82">
        <w:rPr>
          <w:rFonts w:ascii="Times New Roman" w:hAnsi="Times New Roman"/>
          <w:sz w:val="24"/>
        </w:rPr>
        <w:t>6</w:t>
      </w:r>
      <w:r w:rsidR="00543C4A">
        <w:rPr>
          <w:rFonts w:ascii="Times New Roman" w:hAnsi="Times New Roman"/>
          <w:sz w:val="24"/>
        </w:rPr>
        <w:t> </w:t>
      </w:r>
      <w:r>
        <w:rPr>
          <w:rFonts w:ascii="Times New Roman" w:hAnsi="Times New Roman"/>
          <w:sz w:val="24"/>
        </w:rPr>
        <w:t>% d</w:t>
      </w:r>
      <w:r w:rsidR="00B0065F">
        <w:rPr>
          <w:rFonts w:ascii="Times New Roman" w:hAnsi="Times New Roman"/>
          <w:sz w:val="24"/>
        </w:rPr>
        <w:t>’</w:t>
      </w:r>
      <w:r>
        <w:rPr>
          <w:rFonts w:ascii="Times New Roman" w:hAnsi="Times New Roman"/>
          <w:sz w:val="24"/>
        </w:rPr>
        <w:t>économies d</w:t>
      </w:r>
      <w:r w:rsidR="00B0065F">
        <w:rPr>
          <w:rFonts w:ascii="Times New Roman" w:hAnsi="Times New Roman"/>
          <w:sz w:val="24"/>
        </w:rPr>
        <w:t>’</w:t>
      </w:r>
      <w:r>
        <w:rPr>
          <w:rFonts w:ascii="Times New Roman" w:hAnsi="Times New Roman"/>
          <w:sz w:val="24"/>
        </w:rPr>
        <w:t xml:space="preserve">énergie primaire par rapport aux projections établies pour </w:t>
      </w:r>
      <w:r w:rsidRPr="005A0F82">
        <w:rPr>
          <w:rFonts w:ascii="Times New Roman" w:hAnsi="Times New Roman"/>
          <w:sz w:val="24"/>
        </w:rPr>
        <w:t>2020</w:t>
      </w:r>
      <w:r>
        <w:rPr>
          <w:rStyle w:val="FootnoteReference"/>
          <w:rFonts w:ascii="Times New Roman" w:hAnsi="Times New Roman"/>
          <w:sz w:val="24"/>
        </w:rPr>
        <w:footnoteReference w:id="14"/>
      </w:r>
      <w:r>
        <w:rPr>
          <w:rFonts w:ascii="Times New Roman" w:hAnsi="Times New Roman"/>
          <w:sz w:val="24"/>
        </w:rPr>
        <w:t>. La Commission reste toutefois optimiste sur la possibilité d</w:t>
      </w:r>
      <w:r w:rsidR="00B0065F">
        <w:rPr>
          <w:rFonts w:ascii="Times New Roman" w:hAnsi="Times New Roman"/>
          <w:sz w:val="24"/>
        </w:rPr>
        <w:t>’</w:t>
      </w:r>
      <w:r>
        <w:rPr>
          <w:rFonts w:ascii="Times New Roman" w:hAnsi="Times New Roman"/>
          <w:sz w:val="24"/>
        </w:rPr>
        <w:t>atteindre l</w:t>
      </w:r>
      <w:r w:rsidR="00B0065F">
        <w:rPr>
          <w:rFonts w:ascii="Times New Roman" w:hAnsi="Times New Roman"/>
          <w:sz w:val="24"/>
        </w:rPr>
        <w:t>’</w:t>
      </w:r>
      <w:r>
        <w:rPr>
          <w:rFonts w:ascii="Times New Roman" w:hAnsi="Times New Roman"/>
          <w:sz w:val="24"/>
        </w:rPr>
        <w:t xml:space="preserve">objectif de </w:t>
      </w:r>
      <w:r w:rsidR="00543C4A" w:rsidRPr="005A0F82">
        <w:rPr>
          <w:rFonts w:ascii="Times New Roman" w:hAnsi="Times New Roman"/>
          <w:sz w:val="24"/>
        </w:rPr>
        <w:t>20</w:t>
      </w:r>
      <w:r w:rsidR="00543C4A">
        <w:rPr>
          <w:rFonts w:ascii="Times New Roman" w:hAnsi="Times New Roman"/>
          <w:sz w:val="24"/>
        </w:rPr>
        <w:t> </w:t>
      </w:r>
      <w:r>
        <w:rPr>
          <w:rFonts w:ascii="Times New Roman" w:hAnsi="Times New Roman"/>
          <w:sz w:val="24"/>
        </w:rPr>
        <w:t>%, à condition que la législation européenne soit mise en œuvre correctement et intégralement. Les États membres devraient revoir leur ambition à la hausse et améliorer les conditions d</w:t>
      </w:r>
      <w:r w:rsidR="00B0065F">
        <w:rPr>
          <w:rFonts w:ascii="Times New Roman" w:hAnsi="Times New Roman"/>
          <w:sz w:val="24"/>
        </w:rPr>
        <w:t>’</w:t>
      </w:r>
      <w:r>
        <w:rPr>
          <w:rFonts w:ascii="Times New Roman" w:hAnsi="Times New Roman"/>
          <w:sz w:val="24"/>
        </w:rPr>
        <w:t>investissement, de manière à ce que l</w:t>
      </w:r>
      <w:r w:rsidR="00B0065F">
        <w:rPr>
          <w:rFonts w:ascii="Times New Roman" w:hAnsi="Times New Roman"/>
          <w:sz w:val="24"/>
        </w:rPr>
        <w:t>’</w:t>
      </w:r>
      <w:r>
        <w:rPr>
          <w:rFonts w:ascii="Times New Roman" w:hAnsi="Times New Roman"/>
          <w:sz w:val="24"/>
        </w:rPr>
        <w:t xml:space="preserve">efficacité énergétique continue </w:t>
      </w:r>
      <w:r w:rsidR="00543C4A">
        <w:rPr>
          <w:rFonts w:ascii="Times New Roman" w:hAnsi="Times New Roman"/>
          <w:sz w:val="24"/>
        </w:rPr>
        <w:t xml:space="preserve">de progresser </w:t>
      </w:r>
      <w:r>
        <w:rPr>
          <w:rFonts w:ascii="Times New Roman" w:hAnsi="Times New Roman"/>
          <w:sz w:val="24"/>
        </w:rPr>
        <w:t>en Europe.</w:t>
      </w:r>
    </w:p>
    <w:p w:rsidR="00097C2F" w:rsidRDefault="008C0DFC">
      <w:pPr>
        <w:spacing w:after="240" w:line="240" w:lineRule="auto"/>
        <w:jc w:val="both"/>
        <w:rPr>
          <w:rFonts w:ascii="Times New Roman" w:hAnsi="Times New Roman"/>
          <w:i/>
          <w:sz w:val="24"/>
          <w:szCs w:val="24"/>
        </w:rPr>
      </w:pPr>
      <w:r>
        <w:rPr>
          <w:rFonts w:ascii="Times New Roman" w:hAnsi="Times New Roman"/>
          <w:i/>
          <w:sz w:val="24"/>
        </w:rPr>
        <w:t>Étapes ultérieures</w:t>
      </w:r>
    </w:p>
    <w:p w:rsidR="00097C2F" w:rsidRDefault="008C0DFC">
      <w:pPr>
        <w:spacing w:after="240" w:line="240" w:lineRule="auto"/>
        <w:jc w:val="both"/>
        <w:rPr>
          <w:rFonts w:ascii="Times New Roman" w:hAnsi="Times New Roman"/>
          <w:color w:val="000000"/>
          <w:sz w:val="24"/>
          <w:szCs w:val="24"/>
        </w:rPr>
      </w:pPr>
      <w:r>
        <w:rPr>
          <w:rFonts w:ascii="Times New Roman" w:hAnsi="Times New Roman"/>
          <w:sz w:val="24"/>
        </w:rPr>
        <w:t>L</w:t>
      </w:r>
      <w:r w:rsidR="00B0065F">
        <w:rPr>
          <w:rFonts w:ascii="Times New Roman" w:hAnsi="Times New Roman"/>
          <w:sz w:val="24"/>
        </w:rPr>
        <w:t>’</w:t>
      </w:r>
      <w:r>
        <w:rPr>
          <w:rFonts w:ascii="Times New Roman" w:hAnsi="Times New Roman"/>
          <w:sz w:val="24"/>
        </w:rPr>
        <w:t>exploitation de toutes les possibilités que recèle l</w:t>
      </w:r>
      <w:r w:rsidR="00B0065F">
        <w:rPr>
          <w:rFonts w:ascii="Times New Roman" w:hAnsi="Times New Roman"/>
          <w:sz w:val="24"/>
        </w:rPr>
        <w:t>’</w:t>
      </w:r>
      <w:r>
        <w:rPr>
          <w:rFonts w:ascii="Times New Roman" w:hAnsi="Times New Roman"/>
          <w:sz w:val="24"/>
        </w:rPr>
        <w:t xml:space="preserve">efficacité énergétique se heurte encore à de nombreux obstacles, tels que le </w:t>
      </w:r>
      <w:r w:rsidR="00543C4A">
        <w:rPr>
          <w:rFonts w:ascii="Times New Roman" w:hAnsi="Times New Roman"/>
          <w:sz w:val="24"/>
        </w:rPr>
        <w:t xml:space="preserve">manque </w:t>
      </w:r>
      <w:r>
        <w:rPr>
          <w:rFonts w:ascii="Times New Roman" w:hAnsi="Times New Roman"/>
          <w:sz w:val="24"/>
        </w:rPr>
        <w:t>d</w:t>
      </w:r>
      <w:r w:rsidR="00B0065F">
        <w:rPr>
          <w:rFonts w:ascii="Times New Roman" w:hAnsi="Times New Roman"/>
          <w:sz w:val="24"/>
        </w:rPr>
        <w:t>’</w:t>
      </w:r>
      <w:r>
        <w:rPr>
          <w:rFonts w:ascii="Times New Roman" w:hAnsi="Times New Roman"/>
          <w:sz w:val="24"/>
        </w:rPr>
        <w:t>information</w:t>
      </w:r>
      <w:r w:rsidR="00543C4A">
        <w:rPr>
          <w:rFonts w:ascii="Times New Roman" w:hAnsi="Times New Roman"/>
          <w:sz w:val="24"/>
        </w:rPr>
        <w:t>s</w:t>
      </w:r>
      <w:r>
        <w:rPr>
          <w:rFonts w:ascii="Times New Roman" w:hAnsi="Times New Roman"/>
          <w:sz w:val="24"/>
        </w:rPr>
        <w:t xml:space="preserve"> ou d</w:t>
      </w:r>
      <w:r w:rsidR="00B0065F">
        <w:rPr>
          <w:rFonts w:ascii="Times New Roman" w:hAnsi="Times New Roman"/>
          <w:sz w:val="24"/>
        </w:rPr>
        <w:t>’</w:t>
      </w:r>
      <w:r>
        <w:rPr>
          <w:rFonts w:ascii="Times New Roman" w:hAnsi="Times New Roman"/>
          <w:sz w:val="24"/>
        </w:rPr>
        <w:t xml:space="preserve">outils financiers spécifiques. Le </w:t>
      </w:r>
      <w:r w:rsidR="00543C4A">
        <w:rPr>
          <w:rFonts w:ascii="Times New Roman" w:hAnsi="Times New Roman"/>
          <w:sz w:val="24"/>
        </w:rPr>
        <w:t xml:space="preserve">développement </w:t>
      </w:r>
      <w:r>
        <w:rPr>
          <w:rFonts w:ascii="Times New Roman" w:hAnsi="Times New Roman"/>
          <w:sz w:val="24"/>
        </w:rPr>
        <w:t>des possibilités, produits et technologies liés à l</w:t>
      </w:r>
      <w:r w:rsidR="00B0065F">
        <w:rPr>
          <w:rFonts w:ascii="Times New Roman" w:hAnsi="Times New Roman"/>
          <w:sz w:val="24"/>
        </w:rPr>
        <w:t>’</w:t>
      </w:r>
      <w:r>
        <w:rPr>
          <w:rFonts w:ascii="Times New Roman" w:hAnsi="Times New Roman"/>
          <w:sz w:val="24"/>
        </w:rPr>
        <w:t>efficacité énergétique reste par conséquent</w:t>
      </w:r>
      <w:r w:rsidR="00577F0F">
        <w:rPr>
          <w:rFonts w:ascii="Times New Roman" w:hAnsi="Times New Roman"/>
          <w:sz w:val="24"/>
        </w:rPr>
        <w:t xml:space="preserve"> à un niveau</w:t>
      </w:r>
      <w:r>
        <w:rPr>
          <w:rFonts w:ascii="Times New Roman" w:hAnsi="Times New Roman"/>
          <w:sz w:val="24"/>
        </w:rPr>
        <w:t xml:space="preserve"> limité.</w:t>
      </w:r>
    </w:p>
    <w:p w:rsidR="00097C2F" w:rsidRDefault="008C0DFC">
      <w:pPr>
        <w:autoSpaceDE w:val="0"/>
        <w:autoSpaceDN w:val="0"/>
        <w:adjustRightInd w:val="0"/>
        <w:spacing w:after="240" w:line="240" w:lineRule="auto"/>
        <w:contextualSpacing/>
        <w:jc w:val="both"/>
        <w:rPr>
          <w:rFonts w:ascii="Times New Roman" w:hAnsi="Times New Roman"/>
          <w:sz w:val="24"/>
          <w:szCs w:val="24"/>
        </w:rPr>
      </w:pPr>
      <w:r>
        <w:rPr>
          <w:rFonts w:ascii="Times New Roman" w:hAnsi="Times New Roman"/>
          <w:sz w:val="24"/>
        </w:rPr>
        <w:t xml:space="preserve">En </w:t>
      </w:r>
      <w:r w:rsidRPr="005A0F82">
        <w:rPr>
          <w:rFonts w:ascii="Times New Roman" w:hAnsi="Times New Roman"/>
          <w:sz w:val="24"/>
        </w:rPr>
        <w:t>2016</w:t>
      </w:r>
      <w:r>
        <w:rPr>
          <w:rFonts w:ascii="Times New Roman" w:hAnsi="Times New Roman"/>
          <w:sz w:val="24"/>
        </w:rPr>
        <w:t>, la Commission prévoit des propositions législatives visant à adapter la directive sur l</w:t>
      </w:r>
      <w:r w:rsidR="00B0065F">
        <w:rPr>
          <w:rFonts w:ascii="Times New Roman" w:hAnsi="Times New Roman"/>
          <w:sz w:val="24"/>
        </w:rPr>
        <w:t>’</w:t>
      </w:r>
      <w:r>
        <w:rPr>
          <w:rFonts w:ascii="Times New Roman" w:hAnsi="Times New Roman"/>
          <w:sz w:val="24"/>
        </w:rPr>
        <w:t>efficacité énergétique pour tenir compte de l</w:t>
      </w:r>
      <w:r w:rsidR="00B0065F">
        <w:rPr>
          <w:rFonts w:ascii="Times New Roman" w:hAnsi="Times New Roman"/>
          <w:sz w:val="24"/>
        </w:rPr>
        <w:t>’</w:t>
      </w:r>
      <w:r>
        <w:rPr>
          <w:rFonts w:ascii="Times New Roman" w:hAnsi="Times New Roman"/>
          <w:sz w:val="24"/>
        </w:rPr>
        <w:t>objectif indicatif à l</w:t>
      </w:r>
      <w:r w:rsidR="00B0065F">
        <w:rPr>
          <w:rFonts w:ascii="Times New Roman" w:hAnsi="Times New Roman"/>
          <w:sz w:val="24"/>
        </w:rPr>
        <w:t>’</w:t>
      </w:r>
      <w:r>
        <w:rPr>
          <w:rFonts w:ascii="Times New Roman" w:hAnsi="Times New Roman"/>
          <w:sz w:val="24"/>
        </w:rPr>
        <w:t xml:space="preserve">horizon </w:t>
      </w:r>
      <w:r w:rsidRPr="005A0F82">
        <w:rPr>
          <w:rFonts w:ascii="Times New Roman" w:hAnsi="Times New Roman"/>
          <w:sz w:val="24"/>
        </w:rPr>
        <w:t>2030</w:t>
      </w:r>
      <w:r>
        <w:rPr>
          <w:rFonts w:ascii="Times New Roman" w:hAnsi="Times New Roman"/>
          <w:sz w:val="24"/>
        </w:rPr>
        <w:t xml:space="preserve"> pour l</w:t>
      </w:r>
      <w:r w:rsidR="00B0065F">
        <w:rPr>
          <w:rFonts w:ascii="Times New Roman" w:hAnsi="Times New Roman"/>
          <w:sz w:val="24"/>
        </w:rPr>
        <w:t>’</w:t>
      </w:r>
      <w:r>
        <w:rPr>
          <w:rFonts w:ascii="Times New Roman" w:hAnsi="Times New Roman"/>
          <w:sz w:val="24"/>
        </w:rPr>
        <w:t>UE, consistant à améliorer l</w:t>
      </w:r>
      <w:r w:rsidR="00B0065F">
        <w:rPr>
          <w:rFonts w:ascii="Times New Roman" w:hAnsi="Times New Roman"/>
          <w:sz w:val="24"/>
        </w:rPr>
        <w:t>’</w:t>
      </w:r>
      <w:r>
        <w:rPr>
          <w:rFonts w:ascii="Times New Roman" w:hAnsi="Times New Roman"/>
          <w:sz w:val="24"/>
        </w:rPr>
        <w:t>efficacité énergétique d</w:t>
      </w:r>
      <w:r w:rsidR="00B0065F">
        <w:rPr>
          <w:rFonts w:ascii="Times New Roman" w:hAnsi="Times New Roman"/>
          <w:sz w:val="24"/>
        </w:rPr>
        <w:t>’</w:t>
      </w:r>
      <w:r>
        <w:rPr>
          <w:rFonts w:ascii="Times New Roman" w:hAnsi="Times New Roman"/>
          <w:sz w:val="24"/>
        </w:rPr>
        <w:t xml:space="preserve">au moins </w:t>
      </w:r>
      <w:r w:rsidRPr="005A0F82">
        <w:rPr>
          <w:rFonts w:ascii="Times New Roman" w:hAnsi="Times New Roman"/>
          <w:sz w:val="24"/>
        </w:rPr>
        <w:t>27</w:t>
      </w:r>
      <w:r w:rsidR="00B0065F">
        <w:rPr>
          <w:rFonts w:ascii="Times New Roman" w:hAnsi="Times New Roman"/>
          <w:sz w:val="24"/>
        </w:rPr>
        <w:t> </w:t>
      </w:r>
      <w:r>
        <w:rPr>
          <w:rFonts w:ascii="Times New Roman" w:hAnsi="Times New Roman"/>
          <w:sz w:val="24"/>
        </w:rPr>
        <w:t>% (et qui devra être réexaminé d</w:t>
      </w:r>
      <w:r w:rsidR="00B0065F">
        <w:rPr>
          <w:rFonts w:ascii="Times New Roman" w:hAnsi="Times New Roman"/>
          <w:sz w:val="24"/>
        </w:rPr>
        <w:t>’</w:t>
      </w:r>
      <w:r>
        <w:rPr>
          <w:rFonts w:ascii="Times New Roman" w:hAnsi="Times New Roman"/>
          <w:sz w:val="24"/>
        </w:rPr>
        <w:t xml:space="preserve">ici à </w:t>
      </w:r>
      <w:r w:rsidRPr="005A0F82">
        <w:rPr>
          <w:rFonts w:ascii="Times New Roman" w:hAnsi="Times New Roman"/>
          <w:sz w:val="24"/>
        </w:rPr>
        <w:t>2020</w:t>
      </w:r>
      <w:r>
        <w:rPr>
          <w:rFonts w:ascii="Times New Roman" w:hAnsi="Times New Roman"/>
          <w:sz w:val="24"/>
        </w:rPr>
        <w:t>, dans l</w:t>
      </w:r>
      <w:r w:rsidR="00B0065F">
        <w:rPr>
          <w:rFonts w:ascii="Times New Roman" w:hAnsi="Times New Roman"/>
          <w:sz w:val="24"/>
        </w:rPr>
        <w:t>’</w:t>
      </w:r>
      <w:r>
        <w:rPr>
          <w:rFonts w:ascii="Times New Roman" w:hAnsi="Times New Roman"/>
          <w:sz w:val="24"/>
        </w:rPr>
        <w:t xml:space="preserve">optique </w:t>
      </w:r>
      <w:r w:rsidR="00543C4A">
        <w:rPr>
          <w:rFonts w:ascii="Times New Roman" w:hAnsi="Times New Roman"/>
          <w:sz w:val="24"/>
        </w:rPr>
        <w:t>de le relever</w:t>
      </w:r>
      <w:r>
        <w:rPr>
          <w:rFonts w:ascii="Times New Roman" w:hAnsi="Times New Roman"/>
          <w:sz w:val="24"/>
        </w:rPr>
        <w:t xml:space="preserve"> à </w:t>
      </w:r>
      <w:r w:rsidRPr="005A0F82">
        <w:rPr>
          <w:rFonts w:ascii="Times New Roman" w:hAnsi="Times New Roman"/>
          <w:sz w:val="24"/>
        </w:rPr>
        <w:t>30</w:t>
      </w:r>
      <w:r>
        <w:rPr>
          <w:rFonts w:ascii="Times New Roman" w:hAnsi="Times New Roman"/>
          <w:sz w:val="24"/>
        </w:rPr>
        <w:t> % pour l</w:t>
      </w:r>
      <w:r w:rsidR="00B0065F">
        <w:rPr>
          <w:rFonts w:ascii="Times New Roman" w:hAnsi="Times New Roman"/>
          <w:sz w:val="24"/>
        </w:rPr>
        <w:t>’</w:t>
      </w:r>
      <w:r>
        <w:rPr>
          <w:rFonts w:ascii="Times New Roman" w:hAnsi="Times New Roman"/>
          <w:sz w:val="24"/>
        </w:rPr>
        <w:t>UE). Tout aussi importante est l</w:t>
      </w:r>
      <w:r w:rsidR="00B0065F">
        <w:rPr>
          <w:rFonts w:ascii="Times New Roman" w:hAnsi="Times New Roman"/>
          <w:sz w:val="24"/>
        </w:rPr>
        <w:t>’</w:t>
      </w:r>
      <w:r>
        <w:rPr>
          <w:rFonts w:ascii="Times New Roman" w:hAnsi="Times New Roman"/>
          <w:sz w:val="24"/>
        </w:rPr>
        <w:t>attention qu</w:t>
      </w:r>
      <w:r w:rsidR="00B0065F">
        <w:rPr>
          <w:rFonts w:ascii="Times New Roman" w:hAnsi="Times New Roman"/>
          <w:sz w:val="24"/>
        </w:rPr>
        <w:t>’</w:t>
      </w:r>
      <w:r>
        <w:rPr>
          <w:rFonts w:ascii="Times New Roman" w:hAnsi="Times New Roman"/>
          <w:sz w:val="24"/>
        </w:rPr>
        <w:t>il convient d</w:t>
      </w:r>
      <w:r w:rsidR="00B0065F">
        <w:rPr>
          <w:rFonts w:ascii="Times New Roman" w:hAnsi="Times New Roman"/>
          <w:sz w:val="24"/>
        </w:rPr>
        <w:t>’</w:t>
      </w:r>
      <w:r>
        <w:rPr>
          <w:rFonts w:ascii="Times New Roman" w:hAnsi="Times New Roman"/>
          <w:sz w:val="24"/>
        </w:rPr>
        <w:t>accorder aux bâtiments, dont la consommation d</w:t>
      </w:r>
      <w:r w:rsidR="00B0065F">
        <w:rPr>
          <w:rFonts w:ascii="Times New Roman" w:hAnsi="Times New Roman"/>
          <w:sz w:val="24"/>
        </w:rPr>
        <w:t>’</w:t>
      </w:r>
      <w:r>
        <w:rPr>
          <w:rFonts w:ascii="Times New Roman" w:hAnsi="Times New Roman"/>
          <w:sz w:val="24"/>
        </w:rPr>
        <w:t xml:space="preserve">énergie représente environ </w:t>
      </w:r>
      <w:r w:rsidRPr="005A0F82">
        <w:rPr>
          <w:rFonts w:ascii="Times New Roman" w:hAnsi="Times New Roman"/>
          <w:sz w:val="24"/>
        </w:rPr>
        <w:t>40</w:t>
      </w:r>
      <w:r>
        <w:rPr>
          <w:rFonts w:ascii="Times New Roman" w:hAnsi="Times New Roman"/>
          <w:sz w:val="24"/>
        </w:rPr>
        <w:t> % du total de la consommation d</w:t>
      </w:r>
      <w:r w:rsidR="00B0065F">
        <w:rPr>
          <w:rFonts w:ascii="Times New Roman" w:hAnsi="Times New Roman"/>
          <w:sz w:val="24"/>
        </w:rPr>
        <w:t>’</w:t>
      </w:r>
      <w:r>
        <w:rPr>
          <w:rFonts w:ascii="Times New Roman" w:hAnsi="Times New Roman"/>
          <w:sz w:val="24"/>
        </w:rPr>
        <w:t>énergie finale de l</w:t>
      </w:r>
      <w:r w:rsidR="00B0065F">
        <w:rPr>
          <w:rFonts w:ascii="Times New Roman" w:hAnsi="Times New Roman"/>
          <w:sz w:val="24"/>
        </w:rPr>
        <w:t>’</w:t>
      </w:r>
      <w:r>
        <w:rPr>
          <w:rFonts w:ascii="Times New Roman" w:hAnsi="Times New Roman"/>
          <w:sz w:val="24"/>
        </w:rPr>
        <w:t>UE et plus ou moins un quart des émissions directes de gaz à effet de serre non couvertes par le SEQE. Une évaluation approfondie de la directive sur la performance énergétique des bâtiments est en cours en vue de sa révision.</w:t>
      </w:r>
    </w:p>
    <w:p w:rsidR="00097C2F" w:rsidRDefault="008C0DFC">
      <w:pPr>
        <w:pStyle w:val="FootnoteText"/>
        <w:spacing w:after="240"/>
        <w:jc w:val="both"/>
        <w:rPr>
          <w:rFonts w:ascii="Times New Roman" w:hAnsi="Times New Roman"/>
          <w:sz w:val="24"/>
          <w:szCs w:val="24"/>
        </w:rPr>
      </w:pPr>
      <w:r>
        <w:rPr>
          <w:rFonts w:ascii="Times New Roman" w:hAnsi="Times New Roman"/>
          <w:sz w:val="24"/>
        </w:rPr>
        <w:t>Financer les investissements initiaux nécessaires dans l</w:t>
      </w:r>
      <w:r w:rsidR="00B0065F">
        <w:rPr>
          <w:rFonts w:ascii="Times New Roman" w:hAnsi="Times New Roman"/>
          <w:sz w:val="24"/>
        </w:rPr>
        <w:t>’</w:t>
      </w:r>
      <w:r>
        <w:rPr>
          <w:rFonts w:ascii="Times New Roman" w:hAnsi="Times New Roman"/>
          <w:sz w:val="24"/>
        </w:rPr>
        <w:t xml:space="preserve">efficacité énergétique demeure un défi majeur. </w:t>
      </w:r>
      <w:r w:rsidR="00C42624">
        <w:rPr>
          <w:rFonts w:ascii="Times New Roman" w:hAnsi="Times New Roman"/>
          <w:sz w:val="24"/>
        </w:rPr>
        <w:t>Il est nécessaire d</w:t>
      </w:r>
      <w:r w:rsidR="00B0065F">
        <w:rPr>
          <w:rFonts w:ascii="Times New Roman" w:hAnsi="Times New Roman"/>
          <w:sz w:val="24"/>
        </w:rPr>
        <w:t>’</w:t>
      </w:r>
      <w:r w:rsidR="00C42624">
        <w:rPr>
          <w:rFonts w:ascii="Times New Roman" w:hAnsi="Times New Roman"/>
          <w:sz w:val="24"/>
        </w:rPr>
        <w:t>attirer cinq fois plus d</w:t>
      </w:r>
      <w:r w:rsidR="00B0065F">
        <w:rPr>
          <w:rFonts w:ascii="Times New Roman" w:hAnsi="Times New Roman"/>
          <w:sz w:val="24"/>
        </w:rPr>
        <w:t>’</w:t>
      </w:r>
      <w:r>
        <w:rPr>
          <w:rFonts w:ascii="Times New Roman" w:hAnsi="Times New Roman"/>
          <w:sz w:val="24"/>
        </w:rPr>
        <w:t>investissements dans le domaine de l</w:t>
      </w:r>
      <w:r w:rsidR="00B0065F">
        <w:rPr>
          <w:rFonts w:ascii="Times New Roman" w:hAnsi="Times New Roman"/>
          <w:sz w:val="24"/>
        </w:rPr>
        <w:t>’</w:t>
      </w:r>
      <w:r>
        <w:rPr>
          <w:rFonts w:ascii="Times New Roman" w:hAnsi="Times New Roman"/>
          <w:sz w:val="24"/>
        </w:rPr>
        <w:t>efficacité énergétique d</w:t>
      </w:r>
      <w:r w:rsidR="00B0065F">
        <w:rPr>
          <w:rFonts w:ascii="Times New Roman" w:hAnsi="Times New Roman"/>
          <w:sz w:val="24"/>
        </w:rPr>
        <w:t>’</w:t>
      </w:r>
      <w:r>
        <w:rPr>
          <w:rFonts w:ascii="Times New Roman" w:hAnsi="Times New Roman"/>
          <w:sz w:val="24"/>
        </w:rPr>
        <w:t xml:space="preserve">ici à </w:t>
      </w:r>
      <w:r w:rsidRPr="005A0F82">
        <w:rPr>
          <w:rFonts w:ascii="Times New Roman" w:hAnsi="Times New Roman"/>
          <w:sz w:val="24"/>
        </w:rPr>
        <w:t>2030</w:t>
      </w:r>
      <w:r>
        <w:rPr>
          <w:rStyle w:val="FootnoteReference"/>
          <w:rFonts w:ascii="Times New Roman" w:hAnsi="Times New Roman"/>
          <w:sz w:val="24"/>
        </w:rPr>
        <w:footnoteReference w:id="15"/>
      </w:r>
      <w:r>
        <w:rPr>
          <w:rFonts w:ascii="Times New Roman" w:hAnsi="Times New Roman"/>
          <w:sz w:val="24"/>
        </w:rPr>
        <w:t xml:space="preserve">. La Commission travaillera en priorité avec ses partenaires à mettre en place en </w:t>
      </w:r>
      <w:r w:rsidRPr="005A0F82">
        <w:rPr>
          <w:rFonts w:ascii="Times New Roman" w:hAnsi="Times New Roman"/>
          <w:sz w:val="24"/>
        </w:rPr>
        <w:t>2016</w:t>
      </w:r>
      <w:r>
        <w:rPr>
          <w:rFonts w:ascii="Times New Roman" w:hAnsi="Times New Roman"/>
          <w:sz w:val="24"/>
        </w:rPr>
        <w:t xml:space="preserve"> des dispositifs visant à regrouper des projets de moindre envergure dans le domaine de l</w:t>
      </w:r>
      <w:r w:rsidR="00B0065F">
        <w:rPr>
          <w:rFonts w:ascii="Times New Roman" w:hAnsi="Times New Roman"/>
          <w:sz w:val="24"/>
        </w:rPr>
        <w:t>’</w:t>
      </w:r>
      <w:r>
        <w:rPr>
          <w:rFonts w:ascii="Times New Roman" w:hAnsi="Times New Roman"/>
          <w:sz w:val="24"/>
        </w:rPr>
        <w:t>efficacité énergétique. Ces dispositifs devraient offrir aux investisseurs des possibilités d</w:t>
      </w:r>
      <w:r w:rsidR="00B0065F">
        <w:rPr>
          <w:rFonts w:ascii="Times New Roman" w:hAnsi="Times New Roman"/>
          <w:sz w:val="24"/>
        </w:rPr>
        <w:t>’</w:t>
      </w:r>
      <w:r>
        <w:rPr>
          <w:rFonts w:ascii="Times New Roman" w:hAnsi="Times New Roman"/>
          <w:sz w:val="24"/>
        </w:rPr>
        <w:t>investissement plus intéressantes dans l</w:t>
      </w:r>
      <w:r w:rsidR="00B0065F">
        <w:rPr>
          <w:rFonts w:ascii="Times New Roman" w:hAnsi="Times New Roman"/>
          <w:sz w:val="24"/>
        </w:rPr>
        <w:t>’</w:t>
      </w:r>
      <w:r>
        <w:rPr>
          <w:rFonts w:ascii="Times New Roman" w:hAnsi="Times New Roman"/>
          <w:sz w:val="24"/>
        </w:rPr>
        <w:t xml:space="preserve">efficacité énergétique, </w:t>
      </w:r>
      <w:r>
        <w:rPr>
          <w:rFonts w:ascii="Times New Roman" w:hAnsi="Times New Roman"/>
          <w:sz w:val="24"/>
        </w:rPr>
        <w:lastRenderedPageBreak/>
        <w:t>et rendre les capitaux plus accessibles pour les plateformes et programmes d</w:t>
      </w:r>
      <w:r w:rsidR="00B0065F">
        <w:rPr>
          <w:rFonts w:ascii="Times New Roman" w:hAnsi="Times New Roman"/>
          <w:sz w:val="24"/>
        </w:rPr>
        <w:t>’</w:t>
      </w:r>
      <w:r>
        <w:rPr>
          <w:rFonts w:ascii="Times New Roman" w:hAnsi="Times New Roman"/>
          <w:sz w:val="24"/>
        </w:rPr>
        <w:t>efficacité énergétique nationaux, régionaux ou locaux, surtout dans les États membres qui en ont le plus besoin. Ils incluront un renforcement de l</w:t>
      </w:r>
      <w:r w:rsidR="00B0065F">
        <w:rPr>
          <w:rFonts w:ascii="Times New Roman" w:hAnsi="Times New Roman"/>
          <w:sz w:val="24"/>
        </w:rPr>
        <w:t>’</w:t>
      </w:r>
      <w:r>
        <w:rPr>
          <w:rFonts w:ascii="Times New Roman" w:hAnsi="Times New Roman"/>
          <w:sz w:val="24"/>
        </w:rPr>
        <w:t>assistance à l</w:t>
      </w:r>
      <w:r w:rsidR="00B0065F">
        <w:rPr>
          <w:rFonts w:ascii="Times New Roman" w:hAnsi="Times New Roman"/>
          <w:sz w:val="24"/>
        </w:rPr>
        <w:t>’</w:t>
      </w:r>
      <w:r>
        <w:rPr>
          <w:rFonts w:ascii="Times New Roman" w:hAnsi="Times New Roman"/>
          <w:sz w:val="24"/>
        </w:rPr>
        <w:t>élaboration de projet et de l</w:t>
      </w:r>
      <w:r w:rsidR="00B0065F">
        <w:rPr>
          <w:rFonts w:ascii="Times New Roman" w:hAnsi="Times New Roman"/>
          <w:sz w:val="24"/>
        </w:rPr>
        <w:t>’</w:t>
      </w:r>
      <w:r>
        <w:rPr>
          <w:rFonts w:ascii="Times New Roman" w:hAnsi="Times New Roman"/>
          <w:sz w:val="24"/>
        </w:rPr>
        <w:t>assistance technique dans le cadre de la plateforme européenne de conseil en investissement (EIAH) mise sur pied par la Commission et la Banque européenne d</w:t>
      </w:r>
      <w:r w:rsidR="00B0065F">
        <w:rPr>
          <w:rFonts w:ascii="Times New Roman" w:hAnsi="Times New Roman"/>
          <w:sz w:val="24"/>
        </w:rPr>
        <w:t>’</w:t>
      </w:r>
      <w:r>
        <w:rPr>
          <w:rFonts w:ascii="Times New Roman" w:hAnsi="Times New Roman"/>
          <w:sz w:val="24"/>
        </w:rPr>
        <w:t xml:space="preserve">investissement pour aider les promoteurs publics à structurer leurs projets et </w:t>
      </w:r>
      <w:r w:rsidR="00543C4A">
        <w:rPr>
          <w:rFonts w:ascii="Times New Roman" w:hAnsi="Times New Roman"/>
          <w:sz w:val="24"/>
        </w:rPr>
        <w:t xml:space="preserve">pour </w:t>
      </w:r>
      <w:r>
        <w:rPr>
          <w:rFonts w:ascii="Times New Roman" w:hAnsi="Times New Roman"/>
          <w:sz w:val="24"/>
        </w:rPr>
        <w:t xml:space="preserve">promouvoir des dispositifs de financement comportant des conditions standard, notamment dans le domaine </w:t>
      </w:r>
      <w:r w:rsidR="00C42624">
        <w:rPr>
          <w:rFonts w:ascii="Times New Roman" w:hAnsi="Times New Roman"/>
          <w:sz w:val="24"/>
        </w:rPr>
        <w:t>du bâtiment</w:t>
      </w:r>
      <w:r>
        <w:rPr>
          <w:rFonts w:ascii="Times New Roman" w:hAnsi="Times New Roman"/>
          <w:sz w:val="24"/>
        </w:rPr>
        <w:t xml:space="preserve">. La Commission lancera </w:t>
      </w:r>
      <w:r w:rsidR="00543C4A">
        <w:rPr>
          <w:rFonts w:ascii="Times New Roman" w:hAnsi="Times New Roman"/>
          <w:sz w:val="24"/>
        </w:rPr>
        <w:t xml:space="preserve">au début de </w:t>
      </w:r>
      <w:r w:rsidR="00543C4A" w:rsidRPr="005A0F82">
        <w:rPr>
          <w:rFonts w:ascii="Times New Roman" w:hAnsi="Times New Roman"/>
          <w:sz w:val="24"/>
        </w:rPr>
        <w:t>2016</w:t>
      </w:r>
      <w:r w:rsidR="00C42624">
        <w:rPr>
          <w:rFonts w:ascii="Times New Roman" w:hAnsi="Times New Roman"/>
          <w:sz w:val="24"/>
        </w:rPr>
        <w:t xml:space="preserve"> </w:t>
      </w:r>
      <w:r>
        <w:rPr>
          <w:rFonts w:ascii="Times New Roman" w:hAnsi="Times New Roman"/>
          <w:sz w:val="24"/>
        </w:rPr>
        <w:t xml:space="preserve">le </w:t>
      </w:r>
      <w:r w:rsidR="00577F0F">
        <w:rPr>
          <w:rFonts w:ascii="Times New Roman" w:hAnsi="Times New Roman"/>
          <w:sz w:val="24"/>
        </w:rPr>
        <w:t>p</w:t>
      </w:r>
      <w:r>
        <w:rPr>
          <w:rFonts w:ascii="Times New Roman" w:hAnsi="Times New Roman"/>
          <w:sz w:val="24"/>
        </w:rPr>
        <w:t>ortail européen de projets d</w:t>
      </w:r>
      <w:r w:rsidR="00B0065F">
        <w:rPr>
          <w:rFonts w:ascii="Times New Roman" w:hAnsi="Times New Roman"/>
          <w:sz w:val="24"/>
        </w:rPr>
        <w:t>’</w:t>
      </w:r>
      <w:r>
        <w:rPr>
          <w:rFonts w:ascii="Times New Roman" w:hAnsi="Times New Roman"/>
          <w:sz w:val="24"/>
        </w:rPr>
        <w:t>investissement (EIPP)</w:t>
      </w:r>
      <w:r w:rsidR="00543C4A">
        <w:rPr>
          <w:rFonts w:ascii="Times New Roman" w:hAnsi="Times New Roman"/>
          <w:sz w:val="24"/>
        </w:rPr>
        <w:t>, dont l</w:t>
      </w:r>
      <w:r w:rsidR="00B0065F">
        <w:rPr>
          <w:rFonts w:ascii="Times New Roman" w:hAnsi="Times New Roman"/>
          <w:sz w:val="24"/>
        </w:rPr>
        <w:t>’</w:t>
      </w:r>
      <w:r w:rsidR="00543C4A">
        <w:rPr>
          <w:rFonts w:ascii="Times New Roman" w:hAnsi="Times New Roman"/>
          <w:sz w:val="24"/>
        </w:rPr>
        <w:t>objectif est</w:t>
      </w:r>
      <w:r>
        <w:rPr>
          <w:rFonts w:ascii="Times New Roman" w:hAnsi="Times New Roman"/>
          <w:sz w:val="24"/>
        </w:rPr>
        <w:t xml:space="preserve"> d</w:t>
      </w:r>
      <w:r w:rsidR="00B0065F">
        <w:rPr>
          <w:rFonts w:ascii="Times New Roman" w:hAnsi="Times New Roman"/>
          <w:sz w:val="24"/>
        </w:rPr>
        <w:t>’</w:t>
      </w:r>
      <w:r>
        <w:rPr>
          <w:rFonts w:ascii="Times New Roman" w:hAnsi="Times New Roman"/>
          <w:sz w:val="24"/>
        </w:rPr>
        <w:t>attirer les investisseurs pour les amener à financer des projets d</w:t>
      </w:r>
      <w:r w:rsidR="00B0065F">
        <w:rPr>
          <w:rFonts w:ascii="Times New Roman" w:hAnsi="Times New Roman"/>
          <w:sz w:val="24"/>
        </w:rPr>
        <w:t>’</w:t>
      </w:r>
      <w:r>
        <w:rPr>
          <w:rFonts w:ascii="Times New Roman" w:hAnsi="Times New Roman"/>
          <w:sz w:val="24"/>
        </w:rPr>
        <w:t xml:space="preserve">investissement </w:t>
      </w:r>
      <w:r w:rsidR="00543C4A">
        <w:rPr>
          <w:rFonts w:ascii="Times New Roman" w:hAnsi="Times New Roman"/>
          <w:sz w:val="24"/>
        </w:rPr>
        <w:t xml:space="preserve">solides </w:t>
      </w:r>
      <w:r>
        <w:rPr>
          <w:rFonts w:ascii="Times New Roman" w:hAnsi="Times New Roman"/>
          <w:sz w:val="24"/>
        </w:rPr>
        <w:t>en Europe. Les acteurs du secteur de l</w:t>
      </w:r>
      <w:r w:rsidR="00B0065F">
        <w:rPr>
          <w:rFonts w:ascii="Times New Roman" w:hAnsi="Times New Roman"/>
          <w:sz w:val="24"/>
        </w:rPr>
        <w:t>’</w:t>
      </w:r>
      <w:r>
        <w:rPr>
          <w:rFonts w:ascii="Times New Roman" w:hAnsi="Times New Roman"/>
          <w:sz w:val="24"/>
        </w:rPr>
        <w:t xml:space="preserve">énergie sont encouragés à soumettre leurs projets de manière à constituer une masse critique de projets en amont </w:t>
      </w:r>
      <w:r w:rsidR="00543C4A">
        <w:rPr>
          <w:rFonts w:ascii="Times New Roman" w:hAnsi="Times New Roman"/>
          <w:sz w:val="24"/>
        </w:rPr>
        <w:t xml:space="preserve">de leur </w:t>
      </w:r>
      <w:r>
        <w:rPr>
          <w:rFonts w:ascii="Times New Roman" w:hAnsi="Times New Roman"/>
          <w:sz w:val="24"/>
        </w:rPr>
        <w:t>lancement.</w:t>
      </w:r>
    </w:p>
    <w:p w:rsidR="00097C2F" w:rsidRDefault="008C0DFC">
      <w:pPr>
        <w:pStyle w:val="Default"/>
        <w:spacing w:after="240"/>
        <w:jc w:val="both"/>
      </w:pPr>
      <w:r>
        <w:t>Le chauffage et le refroidissement forment le principal poste de consommation d</w:t>
      </w:r>
      <w:r w:rsidR="00B0065F">
        <w:t>’</w:t>
      </w:r>
      <w:r>
        <w:t>énergie dans l</w:t>
      </w:r>
      <w:r w:rsidR="00B0065F">
        <w:t>’</w:t>
      </w:r>
      <w:r>
        <w:t xml:space="preserve">UE. Une stratégie consacrée spécifiquement au chauffage et au refroidissement est prévue pour le début de </w:t>
      </w:r>
      <w:r w:rsidRPr="005A0F82">
        <w:t>2016</w:t>
      </w:r>
      <w:r>
        <w:t>, en vue d</w:t>
      </w:r>
      <w:r w:rsidR="00B0065F">
        <w:t>’</w:t>
      </w:r>
      <w:r>
        <w:t>une transformation intelligente de ce secteur. Cette stratégie devrait notamment recenser des solutions et des mesures pour réduire la demande de chauffage et de refroidissement dans les secteurs résidentiel, tertiaire et industriel, tout en contrôlant au moins la qualité des services et le confort, et pour réduire la dépendance aux combustibles fossiles.</w:t>
      </w:r>
    </w:p>
    <w:p w:rsidR="00097C2F" w:rsidRDefault="008C0DFC">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sz w:val="24"/>
          <w:szCs w:val="24"/>
        </w:rPr>
      </w:pPr>
      <w:r>
        <w:rPr>
          <w:rFonts w:ascii="Times New Roman" w:hAnsi="Times New Roman"/>
          <w:i/>
          <w:sz w:val="24"/>
        </w:rPr>
        <w:t>Conclusions d</w:t>
      </w:r>
      <w:r w:rsidR="00B0065F">
        <w:rPr>
          <w:rFonts w:ascii="Times New Roman" w:hAnsi="Times New Roman"/>
          <w:i/>
          <w:sz w:val="24"/>
        </w:rPr>
        <w:t>’</w:t>
      </w:r>
      <w:r>
        <w:rPr>
          <w:rFonts w:ascii="Times New Roman" w:hAnsi="Times New Roman"/>
          <w:i/>
          <w:sz w:val="24"/>
        </w:rPr>
        <w:t>ordre politique aux niveaux national, régional et de l</w:t>
      </w:r>
      <w:r w:rsidR="00B0065F">
        <w:rPr>
          <w:rFonts w:ascii="Times New Roman" w:hAnsi="Times New Roman"/>
          <w:i/>
          <w:sz w:val="24"/>
        </w:rPr>
        <w:t>’</w:t>
      </w:r>
      <w:r>
        <w:rPr>
          <w:rFonts w:ascii="Times New Roman" w:hAnsi="Times New Roman"/>
          <w:i/>
          <w:sz w:val="24"/>
        </w:rPr>
        <w:t>UE:</w:t>
      </w:r>
    </w:p>
    <w:p w:rsidR="00097C2F" w:rsidRDefault="008C0DFC">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Pr>
          <w:rFonts w:ascii="Times New Roman" w:hAnsi="Times New Roman"/>
          <w:i/>
          <w:sz w:val="24"/>
        </w:rPr>
        <w:t xml:space="preserve">La plupart des États membres devraient prendre les mesures supplémentaires requises pour revoir à la hausse le niveau de leur ambition et leurs efforts </w:t>
      </w:r>
      <w:r w:rsidR="00577F0F">
        <w:rPr>
          <w:rFonts w:ascii="Times New Roman" w:hAnsi="Times New Roman"/>
          <w:i/>
          <w:sz w:val="24"/>
        </w:rPr>
        <w:t>afin d</w:t>
      </w:r>
      <w:r w:rsidR="00B0065F">
        <w:rPr>
          <w:rFonts w:ascii="Times New Roman" w:hAnsi="Times New Roman"/>
          <w:i/>
          <w:sz w:val="24"/>
        </w:rPr>
        <w:t>’</w:t>
      </w:r>
      <w:r>
        <w:rPr>
          <w:rFonts w:ascii="Times New Roman" w:hAnsi="Times New Roman"/>
          <w:i/>
          <w:sz w:val="24"/>
        </w:rPr>
        <w:t>atteindre leurs objectifs nationaux en matière d</w:t>
      </w:r>
      <w:r w:rsidR="00B0065F">
        <w:rPr>
          <w:rFonts w:ascii="Times New Roman" w:hAnsi="Times New Roman"/>
          <w:i/>
          <w:sz w:val="24"/>
        </w:rPr>
        <w:t>’</w:t>
      </w:r>
      <w:r>
        <w:rPr>
          <w:rFonts w:ascii="Times New Roman" w:hAnsi="Times New Roman"/>
          <w:i/>
          <w:sz w:val="24"/>
        </w:rPr>
        <w:t>efficacité énergétique à l</w:t>
      </w:r>
      <w:r w:rsidR="00B0065F">
        <w:rPr>
          <w:rFonts w:ascii="Times New Roman" w:hAnsi="Times New Roman"/>
          <w:i/>
          <w:sz w:val="24"/>
        </w:rPr>
        <w:t>’</w:t>
      </w:r>
      <w:r>
        <w:rPr>
          <w:rFonts w:ascii="Times New Roman" w:hAnsi="Times New Roman"/>
          <w:i/>
          <w:sz w:val="24"/>
        </w:rPr>
        <w:t xml:space="preserve">horizon </w:t>
      </w:r>
      <w:r w:rsidRPr="005A0F82">
        <w:rPr>
          <w:rFonts w:ascii="Times New Roman" w:hAnsi="Times New Roman"/>
          <w:i/>
          <w:sz w:val="24"/>
        </w:rPr>
        <w:t>2020</w:t>
      </w:r>
      <w:r>
        <w:rPr>
          <w:rFonts w:ascii="Times New Roman" w:hAnsi="Times New Roman"/>
          <w:i/>
          <w:sz w:val="24"/>
        </w:rPr>
        <w:t>.</w:t>
      </w:r>
    </w:p>
    <w:p w:rsidR="00097C2F" w:rsidRDefault="008C0DFC">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Pr>
          <w:rFonts w:ascii="Times New Roman" w:hAnsi="Times New Roman"/>
          <w:i/>
          <w:sz w:val="24"/>
        </w:rPr>
        <w:t>Plusieurs États membres (l</w:t>
      </w:r>
      <w:r w:rsidR="00B0065F">
        <w:rPr>
          <w:rFonts w:ascii="Times New Roman" w:hAnsi="Times New Roman"/>
          <w:i/>
          <w:sz w:val="24"/>
        </w:rPr>
        <w:t>’</w:t>
      </w:r>
      <w:r>
        <w:rPr>
          <w:rFonts w:ascii="Times New Roman" w:hAnsi="Times New Roman"/>
          <w:i/>
          <w:sz w:val="24"/>
        </w:rPr>
        <w:t>Autriche, la Bulgarie, la Croatie, Chypre, la France, la Grèce, la Hongrie, l</w:t>
      </w:r>
      <w:r w:rsidR="00B0065F">
        <w:rPr>
          <w:rFonts w:ascii="Times New Roman" w:hAnsi="Times New Roman"/>
          <w:i/>
          <w:sz w:val="24"/>
        </w:rPr>
        <w:t>’</w:t>
      </w:r>
      <w:r>
        <w:rPr>
          <w:rFonts w:ascii="Times New Roman" w:hAnsi="Times New Roman"/>
          <w:i/>
          <w:sz w:val="24"/>
        </w:rPr>
        <w:t>Italie, Malte, l</w:t>
      </w:r>
      <w:r w:rsidR="00B0065F">
        <w:rPr>
          <w:rFonts w:ascii="Times New Roman" w:hAnsi="Times New Roman"/>
          <w:i/>
          <w:sz w:val="24"/>
        </w:rPr>
        <w:t>’</w:t>
      </w:r>
      <w:r>
        <w:rPr>
          <w:rFonts w:ascii="Times New Roman" w:hAnsi="Times New Roman"/>
          <w:i/>
          <w:sz w:val="24"/>
        </w:rPr>
        <w:t xml:space="preserve">Espagne et la Suède) ont notifié des objectifs nationaux plus ambitieux pour </w:t>
      </w:r>
      <w:r w:rsidRPr="005A0F82">
        <w:rPr>
          <w:rFonts w:ascii="Times New Roman" w:hAnsi="Times New Roman"/>
          <w:i/>
          <w:sz w:val="24"/>
        </w:rPr>
        <w:t>2020</w:t>
      </w:r>
      <w:r>
        <w:rPr>
          <w:rFonts w:ascii="Times New Roman" w:hAnsi="Times New Roman"/>
          <w:i/>
          <w:sz w:val="24"/>
        </w:rPr>
        <w:t xml:space="preserve"> fondés sur la consommation d</w:t>
      </w:r>
      <w:r w:rsidR="00B0065F">
        <w:rPr>
          <w:rFonts w:ascii="Times New Roman" w:hAnsi="Times New Roman"/>
          <w:i/>
          <w:sz w:val="24"/>
        </w:rPr>
        <w:t>’</w:t>
      </w:r>
      <w:r>
        <w:rPr>
          <w:rFonts w:ascii="Times New Roman" w:hAnsi="Times New Roman"/>
          <w:i/>
          <w:sz w:val="24"/>
        </w:rPr>
        <w:t>énergie primaire ou finale, ce qui est encourageant. Parallèlement, cinq États membres ont réduit leur niveau d</w:t>
      </w:r>
      <w:r w:rsidR="00B0065F">
        <w:rPr>
          <w:rFonts w:ascii="Times New Roman" w:hAnsi="Times New Roman"/>
          <w:i/>
          <w:sz w:val="24"/>
        </w:rPr>
        <w:t>’</w:t>
      </w:r>
      <w:r>
        <w:rPr>
          <w:rFonts w:ascii="Times New Roman" w:hAnsi="Times New Roman"/>
          <w:i/>
          <w:sz w:val="24"/>
        </w:rPr>
        <w:t>ambition en ce qui concerne l</w:t>
      </w:r>
      <w:r w:rsidR="00B0065F">
        <w:rPr>
          <w:rFonts w:ascii="Times New Roman" w:hAnsi="Times New Roman"/>
          <w:i/>
          <w:sz w:val="24"/>
        </w:rPr>
        <w:t>’</w:t>
      </w:r>
      <w:r>
        <w:rPr>
          <w:rFonts w:ascii="Times New Roman" w:hAnsi="Times New Roman"/>
          <w:i/>
          <w:sz w:val="24"/>
        </w:rPr>
        <w:t>un des deux objectifs. En général, le niveau de l</w:t>
      </w:r>
      <w:r w:rsidR="00B0065F">
        <w:rPr>
          <w:rFonts w:ascii="Times New Roman" w:hAnsi="Times New Roman"/>
          <w:i/>
          <w:sz w:val="24"/>
        </w:rPr>
        <w:t>’</w:t>
      </w:r>
      <w:r>
        <w:rPr>
          <w:rFonts w:ascii="Times New Roman" w:hAnsi="Times New Roman"/>
          <w:i/>
          <w:sz w:val="24"/>
        </w:rPr>
        <w:t xml:space="preserve">ensemble des objectifs indicatifs nationaux pour </w:t>
      </w:r>
      <w:r w:rsidRPr="005A0F82">
        <w:rPr>
          <w:rFonts w:ascii="Times New Roman" w:hAnsi="Times New Roman"/>
          <w:i/>
          <w:sz w:val="24"/>
        </w:rPr>
        <w:t>2020</w:t>
      </w:r>
      <w:r>
        <w:rPr>
          <w:rFonts w:ascii="Times New Roman" w:hAnsi="Times New Roman"/>
          <w:i/>
          <w:sz w:val="24"/>
        </w:rPr>
        <w:t>, fixés par exemple par la Croatie, la Finlande, la Grèce et la Roumanie — de même que par Chypre, l</w:t>
      </w:r>
      <w:r w:rsidR="00B0065F">
        <w:rPr>
          <w:rFonts w:ascii="Times New Roman" w:hAnsi="Times New Roman"/>
          <w:i/>
          <w:sz w:val="24"/>
        </w:rPr>
        <w:t>’</w:t>
      </w:r>
      <w:r>
        <w:rPr>
          <w:rFonts w:ascii="Times New Roman" w:hAnsi="Times New Roman"/>
          <w:i/>
          <w:sz w:val="24"/>
        </w:rPr>
        <w:t>Italie et le Portugal lorsqu</w:t>
      </w:r>
      <w:r w:rsidR="00B0065F">
        <w:rPr>
          <w:rFonts w:ascii="Times New Roman" w:hAnsi="Times New Roman"/>
          <w:i/>
          <w:sz w:val="24"/>
        </w:rPr>
        <w:t>’</w:t>
      </w:r>
      <w:r>
        <w:rPr>
          <w:rFonts w:ascii="Times New Roman" w:hAnsi="Times New Roman"/>
          <w:i/>
          <w:sz w:val="24"/>
        </w:rPr>
        <w:t>ils sont exprimés en termes de consommation finale d</w:t>
      </w:r>
      <w:r w:rsidR="00B0065F">
        <w:rPr>
          <w:rFonts w:ascii="Times New Roman" w:hAnsi="Times New Roman"/>
          <w:i/>
          <w:sz w:val="24"/>
        </w:rPr>
        <w:t>’</w:t>
      </w:r>
      <w:r>
        <w:rPr>
          <w:rFonts w:ascii="Times New Roman" w:hAnsi="Times New Roman"/>
          <w:i/>
          <w:sz w:val="24"/>
        </w:rPr>
        <w:t>énergie — n</w:t>
      </w:r>
      <w:r w:rsidR="00B0065F">
        <w:rPr>
          <w:rFonts w:ascii="Times New Roman" w:hAnsi="Times New Roman"/>
          <w:i/>
          <w:sz w:val="24"/>
        </w:rPr>
        <w:t>’</w:t>
      </w:r>
      <w:r>
        <w:rPr>
          <w:rFonts w:ascii="Times New Roman" w:hAnsi="Times New Roman"/>
          <w:i/>
          <w:sz w:val="24"/>
        </w:rPr>
        <w:t>est pas suffisamment ambitieux par rapport aux perspectives de croissance économique.</w:t>
      </w:r>
    </w:p>
    <w:p w:rsidR="00097C2F" w:rsidRDefault="008C0DFC">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Pr>
          <w:rFonts w:ascii="Times New Roman" w:hAnsi="Times New Roman"/>
          <w:i/>
          <w:sz w:val="24"/>
        </w:rPr>
        <w:t>Pour atteindre leurs objectifs indicatifs de consommation d</w:t>
      </w:r>
      <w:r w:rsidR="00B0065F">
        <w:rPr>
          <w:rFonts w:ascii="Times New Roman" w:hAnsi="Times New Roman"/>
          <w:i/>
          <w:sz w:val="24"/>
        </w:rPr>
        <w:t>’</w:t>
      </w:r>
      <w:r>
        <w:rPr>
          <w:rFonts w:ascii="Times New Roman" w:hAnsi="Times New Roman"/>
          <w:i/>
          <w:sz w:val="24"/>
        </w:rPr>
        <w:t xml:space="preserve">énergie primaire fixés pour </w:t>
      </w:r>
      <w:r w:rsidRPr="005A0F82">
        <w:rPr>
          <w:rFonts w:ascii="Times New Roman" w:hAnsi="Times New Roman"/>
          <w:i/>
          <w:sz w:val="24"/>
        </w:rPr>
        <w:t>2020</w:t>
      </w:r>
      <w:r>
        <w:rPr>
          <w:rFonts w:ascii="Times New Roman" w:hAnsi="Times New Roman"/>
          <w:i/>
          <w:sz w:val="24"/>
        </w:rPr>
        <w:t>, la Belgique, l</w:t>
      </w:r>
      <w:r w:rsidR="00B0065F">
        <w:rPr>
          <w:rFonts w:ascii="Times New Roman" w:hAnsi="Times New Roman"/>
          <w:i/>
          <w:sz w:val="24"/>
        </w:rPr>
        <w:t>’</w:t>
      </w:r>
      <w:r>
        <w:rPr>
          <w:rFonts w:ascii="Times New Roman" w:hAnsi="Times New Roman"/>
          <w:i/>
          <w:sz w:val="24"/>
        </w:rPr>
        <w:t>Estonie, la France, l</w:t>
      </w:r>
      <w:r w:rsidR="00B0065F">
        <w:rPr>
          <w:rFonts w:ascii="Times New Roman" w:hAnsi="Times New Roman"/>
          <w:i/>
          <w:sz w:val="24"/>
        </w:rPr>
        <w:t>’</w:t>
      </w:r>
      <w:r>
        <w:rPr>
          <w:rFonts w:ascii="Times New Roman" w:hAnsi="Times New Roman"/>
          <w:i/>
          <w:sz w:val="24"/>
        </w:rPr>
        <w:t>Allemagne, les Pays-Bas, la Pologne et la Suède devront réduire leur consommation d</w:t>
      </w:r>
      <w:r w:rsidR="00B0065F">
        <w:rPr>
          <w:rFonts w:ascii="Times New Roman" w:hAnsi="Times New Roman"/>
          <w:i/>
          <w:sz w:val="24"/>
        </w:rPr>
        <w:t>’</w:t>
      </w:r>
      <w:r>
        <w:rPr>
          <w:rFonts w:ascii="Times New Roman" w:hAnsi="Times New Roman"/>
          <w:i/>
          <w:sz w:val="24"/>
        </w:rPr>
        <w:t xml:space="preserve">énergie primaire à un rythme plus soutenu en </w:t>
      </w:r>
      <w:r w:rsidRPr="005A0F82">
        <w:rPr>
          <w:rFonts w:ascii="Times New Roman" w:hAnsi="Times New Roman"/>
          <w:i/>
          <w:sz w:val="24"/>
        </w:rPr>
        <w:t>2014</w:t>
      </w:r>
      <w:r>
        <w:rPr>
          <w:rFonts w:ascii="Times New Roman" w:hAnsi="Times New Roman"/>
          <w:i/>
          <w:sz w:val="24"/>
        </w:rPr>
        <w:t>-</w:t>
      </w:r>
      <w:r w:rsidRPr="005A0F82">
        <w:rPr>
          <w:rFonts w:ascii="Times New Roman" w:hAnsi="Times New Roman"/>
          <w:i/>
          <w:sz w:val="24"/>
        </w:rPr>
        <w:t>2020</w:t>
      </w:r>
      <w:r>
        <w:rPr>
          <w:rFonts w:ascii="Times New Roman" w:hAnsi="Times New Roman"/>
          <w:i/>
          <w:sz w:val="24"/>
        </w:rPr>
        <w:t xml:space="preserve"> qu</w:t>
      </w:r>
      <w:r w:rsidR="00B0065F">
        <w:rPr>
          <w:rFonts w:ascii="Times New Roman" w:hAnsi="Times New Roman"/>
          <w:i/>
          <w:sz w:val="24"/>
        </w:rPr>
        <w:t>’</w:t>
      </w:r>
      <w:r>
        <w:rPr>
          <w:rFonts w:ascii="Times New Roman" w:hAnsi="Times New Roman"/>
          <w:i/>
          <w:sz w:val="24"/>
        </w:rPr>
        <w:t xml:space="preserve">au cours de la période </w:t>
      </w:r>
      <w:r w:rsidRPr="005A0F82">
        <w:rPr>
          <w:rFonts w:ascii="Times New Roman" w:hAnsi="Times New Roman"/>
          <w:i/>
          <w:sz w:val="24"/>
        </w:rPr>
        <w:t>2005</w:t>
      </w:r>
      <w:r>
        <w:rPr>
          <w:rFonts w:ascii="Times New Roman" w:hAnsi="Times New Roman"/>
          <w:i/>
          <w:sz w:val="24"/>
        </w:rPr>
        <w:t>-</w:t>
      </w:r>
      <w:r w:rsidRPr="005A0F82">
        <w:rPr>
          <w:rFonts w:ascii="Times New Roman" w:hAnsi="Times New Roman"/>
          <w:i/>
          <w:sz w:val="24"/>
        </w:rPr>
        <w:t>2013</w:t>
      </w:r>
      <w:r>
        <w:rPr>
          <w:rFonts w:ascii="Times New Roman" w:hAnsi="Times New Roman"/>
          <w:i/>
          <w:sz w:val="24"/>
        </w:rPr>
        <w:t>. L</w:t>
      </w:r>
      <w:r w:rsidR="00B0065F">
        <w:rPr>
          <w:rFonts w:ascii="Times New Roman" w:hAnsi="Times New Roman"/>
          <w:i/>
          <w:sz w:val="24"/>
        </w:rPr>
        <w:t>’</w:t>
      </w:r>
      <w:r>
        <w:rPr>
          <w:rFonts w:ascii="Times New Roman" w:hAnsi="Times New Roman"/>
          <w:i/>
          <w:sz w:val="24"/>
        </w:rPr>
        <w:t>Autriche, la Belgique, l</w:t>
      </w:r>
      <w:r w:rsidR="00B0065F">
        <w:rPr>
          <w:rFonts w:ascii="Times New Roman" w:hAnsi="Times New Roman"/>
          <w:i/>
          <w:sz w:val="24"/>
        </w:rPr>
        <w:t>’</w:t>
      </w:r>
      <w:r>
        <w:rPr>
          <w:rFonts w:ascii="Times New Roman" w:hAnsi="Times New Roman"/>
          <w:i/>
          <w:sz w:val="24"/>
        </w:rPr>
        <w:t>Estonie, la France, l</w:t>
      </w:r>
      <w:r w:rsidR="00B0065F">
        <w:rPr>
          <w:rFonts w:ascii="Times New Roman" w:hAnsi="Times New Roman"/>
          <w:i/>
          <w:sz w:val="24"/>
        </w:rPr>
        <w:t>’</w:t>
      </w:r>
      <w:r>
        <w:rPr>
          <w:rFonts w:ascii="Times New Roman" w:hAnsi="Times New Roman"/>
          <w:i/>
          <w:sz w:val="24"/>
        </w:rPr>
        <w:t>Allemagne, la Lituanie, Malte et la Slovaquie se sont fixé des objectifs de consommation d</w:t>
      </w:r>
      <w:r w:rsidR="00B0065F">
        <w:rPr>
          <w:rFonts w:ascii="Times New Roman" w:hAnsi="Times New Roman"/>
          <w:i/>
          <w:sz w:val="24"/>
        </w:rPr>
        <w:t>’</w:t>
      </w:r>
      <w:r>
        <w:rPr>
          <w:rFonts w:ascii="Times New Roman" w:hAnsi="Times New Roman"/>
          <w:i/>
          <w:sz w:val="24"/>
        </w:rPr>
        <w:t xml:space="preserve">énergie finale en </w:t>
      </w:r>
      <w:r w:rsidRPr="005A0F82">
        <w:rPr>
          <w:rFonts w:ascii="Times New Roman" w:hAnsi="Times New Roman"/>
          <w:i/>
          <w:sz w:val="24"/>
        </w:rPr>
        <w:t>2020</w:t>
      </w:r>
      <w:r>
        <w:rPr>
          <w:rFonts w:ascii="Times New Roman" w:hAnsi="Times New Roman"/>
          <w:i/>
          <w:sz w:val="24"/>
        </w:rPr>
        <w:t xml:space="preserve"> qui nécessitent </w:t>
      </w:r>
      <w:r w:rsidR="00543C4A">
        <w:rPr>
          <w:rFonts w:ascii="Times New Roman" w:hAnsi="Times New Roman"/>
          <w:i/>
          <w:sz w:val="24"/>
        </w:rPr>
        <w:t xml:space="preserve">de réduire celle-ci entre </w:t>
      </w:r>
      <w:r w:rsidR="00543C4A" w:rsidRPr="005A0F82">
        <w:rPr>
          <w:rFonts w:ascii="Times New Roman" w:hAnsi="Times New Roman"/>
          <w:i/>
          <w:sz w:val="24"/>
        </w:rPr>
        <w:t>2014</w:t>
      </w:r>
      <w:r w:rsidR="00543C4A">
        <w:rPr>
          <w:rFonts w:ascii="Times New Roman" w:hAnsi="Times New Roman"/>
          <w:i/>
          <w:sz w:val="24"/>
        </w:rPr>
        <w:t xml:space="preserve"> et </w:t>
      </w:r>
      <w:r w:rsidR="00543C4A" w:rsidRPr="005A0F82">
        <w:rPr>
          <w:rFonts w:ascii="Times New Roman" w:hAnsi="Times New Roman"/>
          <w:i/>
          <w:sz w:val="24"/>
        </w:rPr>
        <w:t>2020</w:t>
      </w:r>
      <w:r w:rsidR="00543C4A">
        <w:rPr>
          <w:rFonts w:ascii="Times New Roman" w:hAnsi="Times New Roman"/>
          <w:i/>
          <w:sz w:val="24"/>
        </w:rPr>
        <w:t xml:space="preserve"> à </w:t>
      </w:r>
      <w:r>
        <w:rPr>
          <w:rFonts w:ascii="Times New Roman" w:hAnsi="Times New Roman"/>
          <w:i/>
          <w:sz w:val="24"/>
        </w:rPr>
        <w:t xml:space="preserve">des taux plus élevés que ceux enregistrés sur la période </w:t>
      </w:r>
      <w:r w:rsidRPr="005A0F82">
        <w:rPr>
          <w:rFonts w:ascii="Times New Roman" w:hAnsi="Times New Roman"/>
          <w:i/>
          <w:sz w:val="24"/>
        </w:rPr>
        <w:t>2005</w:t>
      </w:r>
      <w:r>
        <w:rPr>
          <w:rFonts w:ascii="Times New Roman" w:hAnsi="Times New Roman"/>
          <w:i/>
          <w:sz w:val="24"/>
        </w:rPr>
        <w:t>-</w:t>
      </w:r>
      <w:r w:rsidRPr="005A0F82">
        <w:rPr>
          <w:rFonts w:ascii="Times New Roman" w:hAnsi="Times New Roman"/>
          <w:i/>
          <w:sz w:val="24"/>
        </w:rPr>
        <w:t>2013</w:t>
      </w:r>
      <w:r>
        <w:rPr>
          <w:rFonts w:ascii="Times New Roman" w:hAnsi="Times New Roman"/>
          <w:i/>
          <w:sz w:val="24"/>
        </w:rPr>
        <w:t>.</w:t>
      </w:r>
    </w:p>
    <w:p w:rsidR="00097C2F" w:rsidRDefault="008C0DFC">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Pr>
          <w:rFonts w:ascii="Times New Roman" w:hAnsi="Times New Roman"/>
          <w:i/>
          <w:sz w:val="24"/>
        </w:rPr>
        <w:t>Pour ce qui est de l</w:t>
      </w:r>
      <w:r w:rsidR="00B0065F">
        <w:rPr>
          <w:rFonts w:ascii="Times New Roman" w:hAnsi="Times New Roman"/>
          <w:i/>
          <w:sz w:val="24"/>
        </w:rPr>
        <w:t>’</w:t>
      </w:r>
      <w:r>
        <w:rPr>
          <w:rFonts w:ascii="Times New Roman" w:hAnsi="Times New Roman"/>
          <w:i/>
          <w:sz w:val="24"/>
        </w:rPr>
        <w:t>intensité énergétique, on observe un écart important entre l</w:t>
      </w:r>
      <w:r w:rsidR="00B0065F">
        <w:rPr>
          <w:rFonts w:ascii="Times New Roman" w:hAnsi="Times New Roman"/>
          <w:i/>
          <w:sz w:val="24"/>
        </w:rPr>
        <w:t>’</w:t>
      </w:r>
      <w:r>
        <w:rPr>
          <w:rFonts w:ascii="Times New Roman" w:hAnsi="Times New Roman"/>
          <w:i/>
          <w:sz w:val="24"/>
        </w:rPr>
        <w:t>État membre dont l</w:t>
      </w:r>
      <w:r w:rsidR="00B0065F">
        <w:rPr>
          <w:rFonts w:ascii="Times New Roman" w:hAnsi="Times New Roman"/>
          <w:i/>
          <w:sz w:val="24"/>
        </w:rPr>
        <w:t>’</w:t>
      </w:r>
      <w:r>
        <w:rPr>
          <w:rFonts w:ascii="Times New Roman" w:hAnsi="Times New Roman"/>
          <w:i/>
          <w:sz w:val="24"/>
        </w:rPr>
        <w:t>industrie présente la plus forte intensité énergétique (la Bulgarie) et ceux où elle est la plus faible (le Danemark et l</w:t>
      </w:r>
      <w:r w:rsidR="00B0065F">
        <w:rPr>
          <w:rFonts w:ascii="Times New Roman" w:hAnsi="Times New Roman"/>
          <w:i/>
          <w:sz w:val="24"/>
        </w:rPr>
        <w:t>’</w:t>
      </w:r>
      <w:r>
        <w:rPr>
          <w:rFonts w:ascii="Times New Roman" w:hAnsi="Times New Roman"/>
          <w:i/>
          <w:sz w:val="24"/>
        </w:rPr>
        <w:t>Irlande). Cet écart est dans une large mesure lié aux différences structurelles entre les États membres. Toutefois, tous les États membres sauf la Grèce, la Hongrie, l</w:t>
      </w:r>
      <w:r w:rsidR="00B0065F">
        <w:rPr>
          <w:rFonts w:ascii="Times New Roman" w:hAnsi="Times New Roman"/>
          <w:i/>
          <w:sz w:val="24"/>
        </w:rPr>
        <w:t>’</w:t>
      </w:r>
      <w:r>
        <w:rPr>
          <w:rFonts w:ascii="Times New Roman" w:hAnsi="Times New Roman"/>
          <w:i/>
          <w:sz w:val="24"/>
        </w:rPr>
        <w:t xml:space="preserve">Irlande et la Lettonie ont enregistré une baisse de </w:t>
      </w:r>
      <w:r>
        <w:rPr>
          <w:rFonts w:ascii="Times New Roman" w:hAnsi="Times New Roman"/>
          <w:i/>
          <w:sz w:val="24"/>
        </w:rPr>
        <w:lastRenderedPageBreak/>
        <w:t>l</w:t>
      </w:r>
      <w:r w:rsidR="00B0065F">
        <w:rPr>
          <w:rFonts w:ascii="Times New Roman" w:hAnsi="Times New Roman"/>
          <w:i/>
          <w:sz w:val="24"/>
        </w:rPr>
        <w:t>’</w:t>
      </w:r>
      <w:r>
        <w:rPr>
          <w:rFonts w:ascii="Times New Roman" w:hAnsi="Times New Roman"/>
          <w:i/>
          <w:sz w:val="24"/>
        </w:rPr>
        <w:t>intensité énergétique dans l</w:t>
      </w:r>
      <w:r w:rsidR="00B0065F">
        <w:rPr>
          <w:rFonts w:ascii="Times New Roman" w:hAnsi="Times New Roman"/>
          <w:i/>
          <w:sz w:val="24"/>
        </w:rPr>
        <w:t>’</w:t>
      </w:r>
      <w:r>
        <w:rPr>
          <w:rFonts w:ascii="Times New Roman" w:hAnsi="Times New Roman"/>
          <w:i/>
          <w:sz w:val="24"/>
        </w:rPr>
        <w:t xml:space="preserve">industrie et le secteur de la construction entre </w:t>
      </w:r>
      <w:r w:rsidRPr="005A0F82">
        <w:rPr>
          <w:rFonts w:ascii="Times New Roman" w:hAnsi="Times New Roman"/>
          <w:i/>
          <w:sz w:val="24"/>
        </w:rPr>
        <w:t>2005</w:t>
      </w:r>
      <w:r>
        <w:rPr>
          <w:rFonts w:ascii="Times New Roman" w:hAnsi="Times New Roman"/>
          <w:i/>
          <w:sz w:val="24"/>
        </w:rPr>
        <w:t xml:space="preserve"> et </w:t>
      </w:r>
      <w:r w:rsidRPr="005A0F82">
        <w:rPr>
          <w:rFonts w:ascii="Times New Roman" w:hAnsi="Times New Roman"/>
          <w:i/>
          <w:sz w:val="24"/>
        </w:rPr>
        <w:t>2013</w:t>
      </w:r>
      <w:r>
        <w:rPr>
          <w:rFonts w:ascii="Times New Roman" w:hAnsi="Times New Roman"/>
          <w:i/>
          <w:sz w:val="24"/>
        </w:rPr>
        <w:t>.</w:t>
      </w:r>
    </w:p>
    <w:p w:rsidR="00097C2F" w:rsidRDefault="008C0DFC">
      <w:pPr>
        <w:pStyle w:val="ListParagraph"/>
        <w:numPr>
          <w:ilvl w:val="0"/>
          <w:numId w:val="1"/>
        </w:numPr>
        <w:pBdr>
          <w:top w:val="single" w:sz="4" w:space="1" w:color="auto"/>
          <w:left w:val="single" w:sz="4" w:space="4" w:color="auto"/>
          <w:bottom w:val="single" w:sz="4" w:space="1" w:color="auto"/>
          <w:right w:val="single" w:sz="4" w:space="4" w:color="auto"/>
        </w:pBdr>
        <w:spacing w:after="240" w:line="240" w:lineRule="auto"/>
        <w:ind w:left="426" w:hanging="426"/>
        <w:jc w:val="both"/>
        <w:rPr>
          <w:rFonts w:ascii="Times" w:hAnsi="Times"/>
          <w:sz w:val="24"/>
          <w:szCs w:val="24"/>
        </w:rPr>
      </w:pPr>
      <w:r>
        <w:rPr>
          <w:rFonts w:ascii="Times New Roman" w:hAnsi="Times New Roman"/>
          <w:i/>
          <w:sz w:val="24"/>
        </w:rPr>
        <w:t xml:space="preserve">En ce qui concerne le secteur de la production </w:t>
      </w:r>
      <w:r w:rsidR="00AB1AA0">
        <w:rPr>
          <w:rFonts w:ascii="Times New Roman" w:hAnsi="Times New Roman"/>
          <w:i/>
          <w:sz w:val="24"/>
        </w:rPr>
        <w:t>d</w:t>
      </w:r>
      <w:r w:rsidR="00B0065F">
        <w:rPr>
          <w:rFonts w:ascii="Times New Roman" w:hAnsi="Times New Roman"/>
          <w:i/>
          <w:sz w:val="24"/>
        </w:rPr>
        <w:t>’</w:t>
      </w:r>
      <w:r w:rsidR="00AB1AA0">
        <w:rPr>
          <w:rFonts w:ascii="Times New Roman" w:hAnsi="Times New Roman"/>
          <w:i/>
          <w:sz w:val="24"/>
        </w:rPr>
        <w:t>énergie</w:t>
      </w:r>
      <w:r>
        <w:rPr>
          <w:rFonts w:ascii="Times New Roman" w:hAnsi="Times New Roman"/>
          <w:i/>
          <w:sz w:val="24"/>
        </w:rPr>
        <w:t xml:space="preserve">, les indicateurs de performance analysés ont affiché une détérioration dans la plupart des pays. Les États membres </w:t>
      </w:r>
      <w:r w:rsidR="00AB1AA0">
        <w:rPr>
          <w:rFonts w:ascii="Times New Roman" w:hAnsi="Times New Roman"/>
          <w:i/>
          <w:sz w:val="24"/>
        </w:rPr>
        <w:t xml:space="preserve">doivent </w:t>
      </w:r>
      <w:r>
        <w:rPr>
          <w:rFonts w:ascii="Times New Roman" w:hAnsi="Times New Roman"/>
          <w:i/>
          <w:sz w:val="24"/>
        </w:rPr>
        <w:t>notamment promouvoir davantage le recours à la cogénération à haut rendement pour la production de chaleur, ainsi que les réseaux de chauffage et de refroidissement urbains à haut rendement.</w:t>
      </w:r>
    </w:p>
    <w:p w:rsidR="00097C2F" w:rsidRDefault="008C0DFC">
      <w:pPr>
        <w:spacing w:after="240" w:line="240" w:lineRule="auto"/>
        <w:jc w:val="both"/>
        <w:rPr>
          <w:rFonts w:ascii="Times New Roman" w:hAnsi="Times New Roman"/>
          <w:b/>
          <w:smallCaps/>
          <w:sz w:val="24"/>
          <w:szCs w:val="24"/>
        </w:rPr>
      </w:pPr>
      <w:r w:rsidRPr="005A0F82">
        <w:rPr>
          <w:rFonts w:ascii="Times New Roman" w:hAnsi="Times New Roman"/>
          <w:b/>
          <w:smallCaps/>
          <w:sz w:val="24"/>
        </w:rPr>
        <w:t>4</w:t>
      </w:r>
      <w:r>
        <w:rPr>
          <w:rFonts w:ascii="Times New Roman" w:hAnsi="Times New Roman"/>
          <w:b/>
          <w:smallCaps/>
          <w:sz w:val="24"/>
        </w:rPr>
        <w:t xml:space="preserve">. </w:t>
      </w:r>
      <w:r>
        <w:tab/>
      </w:r>
      <w:r>
        <w:rPr>
          <w:rFonts w:ascii="Times New Roman" w:hAnsi="Times New Roman"/>
          <w:b/>
          <w:smallCaps/>
          <w:sz w:val="24"/>
        </w:rPr>
        <w:t>Un marché intérieur de l</w:t>
      </w:r>
      <w:r w:rsidR="00B0065F">
        <w:rPr>
          <w:rFonts w:ascii="Times New Roman" w:hAnsi="Times New Roman"/>
          <w:b/>
          <w:smallCaps/>
          <w:sz w:val="24"/>
        </w:rPr>
        <w:t>’</w:t>
      </w:r>
      <w:r>
        <w:rPr>
          <w:rFonts w:ascii="Times New Roman" w:hAnsi="Times New Roman"/>
          <w:b/>
          <w:smallCaps/>
          <w:sz w:val="24"/>
        </w:rPr>
        <w:t>énergie pleinement intégré</w:t>
      </w:r>
    </w:p>
    <w:p w:rsidR="00097C2F" w:rsidRDefault="008C0DFC">
      <w:pPr>
        <w:spacing w:after="240" w:line="240" w:lineRule="auto"/>
        <w:jc w:val="both"/>
        <w:rPr>
          <w:rFonts w:ascii="Times New Roman" w:hAnsi="Times New Roman"/>
          <w:i/>
          <w:sz w:val="24"/>
          <w:szCs w:val="24"/>
        </w:rPr>
      </w:pPr>
      <w:r>
        <w:rPr>
          <w:rFonts w:ascii="Times New Roman" w:hAnsi="Times New Roman"/>
          <w:i/>
          <w:sz w:val="24"/>
        </w:rPr>
        <w:t>Progrès accomplis</w:t>
      </w:r>
    </w:p>
    <w:p w:rsidR="00097C2F" w:rsidRDefault="008C0DFC">
      <w:pPr>
        <w:tabs>
          <w:tab w:val="num" w:pos="753"/>
        </w:tabs>
        <w:spacing w:after="240" w:line="240" w:lineRule="auto"/>
        <w:jc w:val="both"/>
        <w:rPr>
          <w:rFonts w:ascii="Times New Roman" w:hAnsi="Times New Roman"/>
          <w:sz w:val="24"/>
          <w:szCs w:val="24"/>
        </w:rPr>
      </w:pPr>
      <w:r>
        <w:rPr>
          <w:rFonts w:ascii="Times New Roman" w:hAnsi="Times New Roman"/>
          <w:sz w:val="24"/>
        </w:rPr>
        <w:t>Les lignes électriques et les gazoducs constituent l</w:t>
      </w:r>
      <w:r w:rsidR="00B0065F">
        <w:rPr>
          <w:rFonts w:ascii="Times New Roman" w:hAnsi="Times New Roman"/>
          <w:sz w:val="24"/>
        </w:rPr>
        <w:t>’</w:t>
      </w:r>
      <w:r>
        <w:rPr>
          <w:rFonts w:ascii="Times New Roman" w:hAnsi="Times New Roman"/>
          <w:sz w:val="24"/>
        </w:rPr>
        <w:t>épine dorsale d</w:t>
      </w:r>
      <w:r w:rsidR="00B0065F">
        <w:rPr>
          <w:rFonts w:ascii="Times New Roman" w:hAnsi="Times New Roman"/>
          <w:sz w:val="24"/>
        </w:rPr>
        <w:t>’</w:t>
      </w:r>
      <w:r>
        <w:rPr>
          <w:rFonts w:ascii="Times New Roman" w:hAnsi="Times New Roman"/>
          <w:sz w:val="24"/>
        </w:rPr>
        <w:t>un marché intégré de l</w:t>
      </w:r>
      <w:r w:rsidR="00B0065F">
        <w:rPr>
          <w:rFonts w:ascii="Times New Roman" w:hAnsi="Times New Roman"/>
          <w:sz w:val="24"/>
        </w:rPr>
        <w:t>’</w:t>
      </w:r>
      <w:r>
        <w:rPr>
          <w:rFonts w:ascii="Times New Roman" w:hAnsi="Times New Roman"/>
          <w:sz w:val="24"/>
        </w:rPr>
        <w:t xml:space="preserve">énergie. </w:t>
      </w:r>
      <w:r w:rsidR="00C42624">
        <w:rPr>
          <w:rFonts w:ascii="Times New Roman" w:hAnsi="Times New Roman"/>
          <w:sz w:val="24"/>
        </w:rPr>
        <w:t>B</w:t>
      </w:r>
      <w:r>
        <w:rPr>
          <w:rFonts w:ascii="Times New Roman" w:hAnsi="Times New Roman"/>
          <w:sz w:val="24"/>
        </w:rPr>
        <w:t xml:space="preserve">eaucoup </w:t>
      </w:r>
      <w:r w:rsidR="00C42624">
        <w:rPr>
          <w:rFonts w:ascii="Times New Roman" w:hAnsi="Times New Roman"/>
          <w:sz w:val="24"/>
        </w:rPr>
        <w:t>d</w:t>
      </w:r>
      <w:r w:rsidR="00B0065F">
        <w:rPr>
          <w:rFonts w:ascii="Times New Roman" w:hAnsi="Times New Roman"/>
          <w:sz w:val="24"/>
        </w:rPr>
        <w:t>’</w:t>
      </w:r>
      <w:r w:rsidR="00C42624">
        <w:rPr>
          <w:rFonts w:ascii="Times New Roman" w:hAnsi="Times New Roman"/>
          <w:sz w:val="24"/>
        </w:rPr>
        <w:t>avancées ont été enregistrées</w:t>
      </w:r>
      <w:r>
        <w:rPr>
          <w:rFonts w:ascii="Times New Roman" w:hAnsi="Times New Roman"/>
          <w:sz w:val="24"/>
        </w:rPr>
        <w:t xml:space="preserve"> depuis la présentation du cadre stratégique pour une union de l</w:t>
      </w:r>
      <w:r w:rsidR="00B0065F">
        <w:rPr>
          <w:rFonts w:ascii="Times New Roman" w:hAnsi="Times New Roman"/>
          <w:sz w:val="24"/>
        </w:rPr>
        <w:t>’</w:t>
      </w:r>
      <w:r>
        <w:rPr>
          <w:rFonts w:ascii="Times New Roman" w:hAnsi="Times New Roman"/>
          <w:sz w:val="24"/>
        </w:rPr>
        <w:t>énergie. L</w:t>
      </w:r>
      <w:r w:rsidR="00B0065F">
        <w:rPr>
          <w:rFonts w:ascii="Times New Roman" w:hAnsi="Times New Roman"/>
          <w:sz w:val="24"/>
        </w:rPr>
        <w:t>’</w:t>
      </w:r>
      <w:r>
        <w:rPr>
          <w:rFonts w:ascii="Times New Roman" w:hAnsi="Times New Roman"/>
          <w:sz w:val="24"/>
        </w:rPr>
        <w:t>inauguration du câble électrique reliant l</w:t>
      </w:r>
      <w:r w:rsidR="00B0065F">
        <w:rPr>
          <w:rFonts w:ascii="Times New Roman" w:hAnsi="Times New Roman"/>
          <w:sz w:val="24"/>
        </w:rPr>
        <w:t>’</w:t>
      </w:r>
      <w:r>
        <w:rPr>
          <w:rFonts w:ascii="Times New Roman" w:hAnsi="Times New Roman"/>
          <w:sz w:val="24"/>
        </w:rPr>
        <w:t xml:space="preserve">Italie et Malte en avril </w:t>
      </w:r>
      <w:r w:rsidRPr="005A0F82">
        <w:rPr>
          <w:rFonts w:ascii="Times New Roman" w:hAnsi="Times New Roman"/>
          <w:sz w:val="24"/>
        </w:rPr>
        <w:t>2015</w:t>
      </w:r>
      <w:r>
        <w:rPr>
          <w:rFonts w:ascii="Times New Roman" w:hAnsi="Times New Roman"/>
          <w:sz w:val="24"/>
        </w:rPr>
        <w:t xml:space="preserve"> a mis fin à l</w:t>
      </w:r>
      <w:r w:rsidR="00B0065F">
        <w:rPr>
          <w:rFonts w:ascii="Times New Roman" w:hAnsi="Times New Roman"/>
          <w:sz w:val="24"/>
        </w:rPr>
        <w:t>’</w:t>
      </w:r>
      <w:r>
        <w:rPr>
          <w:rFonts w:ascii="Times New Roman" w:hAnsi="Times New Roman"/>
          <w:sz w:val="24"/>
        </w:rPr>
        <w:t>isolement énergétique du réseau électrique maltais. L</w:t>
      </w:r>
      <w:r w:rsidR="00B0065F">
        <w:rPr>
          <w:rFonts w:ascii="Times New Roman" w:hAnsi="Times New Roman"/>
          <w:sz w:val="24"/>
        </w:rPr>
        <w:t>’</w:t>
      </w:r>
      <w:r>
        <w:rPr>
          <w:rFonts w:ascii="Times New Roman" w:hAnsi="Times New Roman"/>
          <w:sz w:val="24"/>
        </w:rPr>
        <w:t>achèvement de l</w:t>
      </w:r>
      <w:r w:rsidR="00B0065F">
        <w:rPr>
          <w:rFonts w:ascii="Times New Roman" w:hAnsi="Times New Roman"/>
          <w:sz w:val="24"/>
        </w:rPr>
        <w:t>’</w:t>
      </w:r>
      <w:r>
        <w:rPr>
          <w:rFonts w:ascii="Times New Roman" w:hAnsi="Times New Roman"/>
          <w:sz w:val="24"/>
        </w:rPr>
        <w:t>interconnexion Estlink entre la Finlande et l</w:t>
      </w:r>
      <w:r w:rsidR="00B0065F">
        <w:rPr>
          <w:rFonts w:ascii="Times New Roman" w:hAnsi="Times New Roman"/>
          <w:sz w:val="24"/>
        </w:rPr>
        <w:t>’</w:t>
      </w:r>
      <w:r>
        <w:rPr>
          <w:rFonts w:ascii="Times New Roman" w:hAnsi="Times New Roman"/>
          <w:sz w:val="24"/>
        </w:rPr>
        <w:t>Estonie, et de l</w:t>
      </w:r>
      <w:r w:rsidR="00B0065F">
        <w:rPr>
          <w:rFonts w:ascii="Times New Roman" w:hAnsi="Times New Roman"/>
          <w:sz w:val="24"/>
        </w:rPr>
        <w:t>’</w:t>
      </w:r>
      <w:r>
        <w:rPr>
          <w:rFonts w:ascii="Times New Roman" w:hAnsi="Times New Roman"/>
          <w:sz w:val="24"/>
        </w:rPr>
        <w:t xml:space="preserve">interconnexion Nordbalt entre la Lituanie et la Suède, a permis aux États baltes de </w:t>
      </w:r>
      <w:r w:rsidR="00C42624">
        <w:rPr>
          <w:rFonts w:ascii="Times New Roman" w:hAnsi="Times New Roman"/>
          <w:sz w:val="24"/>
        </w:rPr>
        <w:t xml:space="preserve">commencer à </w:t>
      </w:r>
      <w:r>
        <w:rPr>
          <w:rFonts w:ascii="Times New Roman" w:hAnsi="Times New Roman"/>
          <w:sz w:val="24"/>
        </w:rPr>
        <w:t>participer au marché de l</w:t>
      </w:r>
      <w:r w:rsidR="00B0065F">
        <w:rPr>
          <w:rFonts w:ascii="Times New Roman" w:hAnsi="Times New Roman"/>
          <w:sz w:val="24"/>
        </w:rPr>
        <w:t>’</w:t>
      </w:r>
      <w:r>
        <w:rPr>
          <w:rFonts w:ascii="Times New Roman" w:hAnsi="Times New Roman"/>
          <w:sz w:val="24"/>
        </w:rPr>
        <w:t>électricité NordPool cette année. L</w:t>
      </w:r>
      <w:r w:rsidR="00B0065F">
        <w:rPr>
          <w:rFonts w:ascii="Times New Roman" w:hAnsi="Times New Roman"/>
          <w:sz w:val="24"/>
        </w:rPr>
        <w:t>’</w:t>
      </w:r>
      <w:r>
        <w:rPr>
          <w:rFonts w:ascii="Times New Roman" w:hAnsi="Times New Roman"/>
          <w:sz w:val="24"/>
        </w:rPr>
        <w:t>interconnexion LitPolLink entre la Lituanie et la Pologne, dont l</w:t>
      </w:r>
      <w:r w:rsidR="00B0065F">
        <w:rPr>
          <w:rFonts w:ascii="Times New Roman" w:hAnsi="Times New Roman"/>
          <w:sz w:val="24"/>
        </w:rPr>
        <w:t>’</w:t>
      </w:r>
      <w:r>
        <w:rPr>
          <w:rFonts w:ascii="Times New Roman" w:hAnsi="Times New Roman"/>
          <w:sz w:val="24"/>
        </w:rPr>
        <w:t xml:space="preserve">inauguration aura lieu en décembre </w:t>
      </w:r>
      <w:r w:rsidRPr="005A0F82">
        <w:rPr>
          <w:rFonts w:ascii="Times New Roman" w:hAnsi="Times New Roman"/>
          <w:sz w:val="24"/>
        </w:rPr>
        <w:t>2015</w:t>
      </w:r>
      <w:r>
        <w:rPr>
          <w:rFonts w:ascii="Times New Roman" w:hAnsi="Times New Roman"/>
          <w:sz w:val="24"/>
        </w:rPr>
        <w:t>, offre un autre exemple de bonne coopération. L</w:t>
      </w:r>
      <w:r w:rsidR="00B0065F">
        <w:rPr>
          <w:rFonts w:ascii="Times New Roman" w:hAnsi="Times New Roman"/>
          <w:sz w:val="24"/>
        </w:rPr>
        <w:t>’</w:t>
      </w:r>
      <w:r>
        <w:rPr>
          <w:rFonts w:ascii="Times New Roman" w:hAnsi="Times New Roman"/>
          <w:sz w:val="24"/>
        </w:rPr>
        <w:t xml:space="preserve">année </w:t>
      </w:r>
      <w:r w:rsidRPr="005A0F82">
        <w:rPr>
          <w:rFonts w:ascii="Times New Roman" w:hAnsi="Times New Roman"/>
          <w:sz w:val="24"/>
        </w:rPr>
        <w:t>2015</w:t>
      </w:r>
      <w:r>
        <w:rPr>
          <w:rFonts w:ascii="Times New Roman" w:hAnsi="Times New Roman"/>
          <w:sz w:val="24"/>
        </w:rPr>
        <w:t xml:space="preserve"> a également vu l</w:t>
      </w:r>
      <w:r w:rsidR="00B0065F">
        <w:rPr>
          <w:rFonts w:ascii="Times New Roman" w:hAnsi="Times New Roman"/>
          <w:sz w:val="24"/>
        </w:rPr>
        <w:t>’</w:t>
      </w:r>
      <w:r>
        <w:rPr>
          <w:rFonts w:ascii="Times New Roman" w:hAnsi="Times New Roman"/>
          <w:sz w:val="24"/>
        </w:rPr>
        <w:t>inauguration de l</w:t>
      </w:r>
      <w:r w:rsidR="00B0065F">
        <w:rPr>
          <w:rFonts w:ascii="Times New Roman" w:hAnsi="Times New Roman"/>
          <w:sz w:val="24"/>
        </w:rPr>
        <w:t>’</w:t>
      </w:r>
      <w:r>
        <w:rPr>
          <w:rFonts w:ascii="Times New Roman" w:hAnsi="Times New Roman"/>
          <w:sz w:val="24"/>
        </w:rPr>
        <w:t>interconnexion électrique France-Espagne, qui a doublé la capacité de transport entre les deux pays. Dans le secteur du gaz, le nouveau terminal GNL (gaz naturel liquéfié) à Klaipeda (Lituanie) a permis pour la première fois de diversifier l</w:t>
      </w:r>
      <w:r w:rsidR="00B0065F">
        <w:rPr>
          <w:rFonts w:ascii="Times New Roman" w:hAnsi="Times New Roman"/>
          <w:sz w:val="24"/>
        </w:rPr>
        <w:t>’</w:t>
      </w:r>
      <w:r>
        <w:rPr>
          <w:rFonts w:ascii="Times New Roman" w:hAnsi="Times New Roman"/>
          <w:sz w:val="24"/>
        </w:rPr>
        <w:t>approvisionnement du marché balte, tandis que le récent accord sur l</w:t>
      </w:r>
      <w:r w:rsidR="00B0065F">
        <w:rPr>
          <w:rFonts w:ascii="Times New Roman" w:hAnsi="Times New Roman"/>
          <w:sz w:val="24"/>
        </w:rPr>
        <w:t>’</w:t>
      </w:r>
      <w:r>
        <w:rPr>
          <w:rFonts w:ascii="Times New Roman" w:hAnsi="Times New Roman"/>
          <w:sz w:val="24"/>
        </w:rPr>
        <w:t>interconnexion gazière entre la Pologne et la Lituanie mettra un terme à l</w:t>
      </w:r>
      <w:r w:rsidR="00B0065F">
        <w:rPr>
          <w:rFonts w:ascii="Times New Roman" w:hAnsi="Times New Roman"/>
          <w:sz w:val="24"/>
        </w:rPr>
        <w:t>’</w:t>
      </w:r>
      <w:r>
        <w:rPr>
          <w:rFonts w:ascii="Times New Roman" w:hAnsi="Times New Roman"/>
          <w:sz w:val="24"/>
        </w:rPr>
        <w:t>isolement des États baltes par rapport au marché intérieur du gaz. L</w:t>
      </w:r>
      <w:r w:rsidR="00B0065F">
        <w:rPr>
          <w:rFonts w:ascii="Times New Roman" w:hAnsi="Times New Roman"/>
          <w:sz w:val="24"/>
        </w:rPr>
        <w:t>’</w:t>
      </w:r>
      <w:r>
        <w:rPr>
          <w:rFonts w:ascii="Times New Roman" w:hAnsi="Times New Roman"/>
          <w:sz w:val="24"/>
        </w:rPr>
        <w:t>interconnexion entre la Hongrie et la Slovaquie constitue également une étape importante, tandis que d</w:t>
      </w:r>
      <w:r w:rsidR="00B0065F">
        <w:rPr>
          <w:rFonts w:ascii="Times New Roman" w:hAnsi="Times New Roman"/>
          <w:sz w:val="24"/>
        </w:rPr>
        <w:t>’</w:t>
      </w:r>
      <w:r>
        <w:rPr>
          <w:rFonts w:ascii="Times New Roman" w:hAnsi="Times New Roman"/>
          <w:sz w:val="24"/>
        </w:rPr>
        <w:t>importants équipements d</w:t>
      </w:r>
      <w:r w:rsidR="00B0065F">
        <w:rPr>
          <w:rFonts w:ascii="Times New Roman" w:hAnsi="Times New Roman"/>
          <w:sz w:val="24"/>
        </w:rPr>
        <w:t>’</w:t>
      </w:r>
      <w:r>
        <w:rPr>
          <w:rFonts w:ascii="Times New Roman" w:hAnsi="Times New Roman"/>
          <w:sz w:val="24"/>
        </w:rPr>
        <w:t>inversion de</w:t>
      </w:r>
      <w:r w:rsidR="00C42624">
        <w:rPr>
          <w:rFonts w:ascii="Times New Roman" w:hAnsi="Times New Roman"/>
          <w:sz w:val="24"/>
        </w:rPr>
        <w:t>s</w:t>
      </w:r>
      <w:r>
        <w:rPr>
          <w:rFonts w:ascii="Times New Roman" w:hAnsi="Times New Roman"/>
          <w:sz w:val="24"/>
        </w:rPr>
        <w:t xml:space="preserve"> flux ont été installés </w:t>
      </w:r>
      <w:r w:rsidR="00C42624">
        <w:rPr>
          <w:rFonts w:ascii="Times New Roman" w:hAnsi="Times New Roman"/>
          <w:sz w:val="24"/>
        </w:rPr>
        <w:t>sur le territoire</w:t>
      </w:r>
      <w:r>
        <w:rPr>
          <w:rFonts w:ascii="Times New Roman" w:hAnsi="Times New Roman"/>
          <w:sz w:val="24"/>
        </w:rPr>
        <w:t xml:space="preserve"> l</w:t>
      </w:r>
      <w:r w:rsidR="00B0065F">
        <w:rPr>
          <w:rFonts w:ascii="Times New Roman" w:hAnsi="Times New Roman"/>
          <w:sz w:val="24"/>
        </w:rPr>
        <w:t>’</w:t>
      </w:r>
      <w:r>
        <w:rPr>
          <w:rFonts w:ascii="Times New Roman" w:hAnsi="Times New Roman"/>
          <w:sz w:val="24"/>
        </w:rPr>
        <w:t>UE ainsi qu</w:t>
      </w:r>
      <w:r w:rsidR="00B0065F">
        <w:rPr>
          <w:rFonts w:ascii="Times New Roman" w:hAnsi="Times New Roman"/>
          <w:sz w:val="24"/>
        </w:rPr>
        <w:t>’</w:t>
      </w:r>
      <w:r>
        <w:rPr>
          <w:rFonts w:ascii="Times New Roman" w:hAnsi="Times New Roman"/>
          <w:sz w:val="24"/>
        </w:rPr>
        <w:t>à sa frontière avec l</w:t>
      </w:r>
      <w:r w:rsidR="00B0065F">
        <w:rPr>
          <w:rFonts w:ascii="Times New Roman" w:hAnsi="Times New Roman"/>
          <w:sz w:val="24"/>
        </w:rPr>
        <w:t>’</w:t>
      </w:r>
      <w:r>
        <w:rPr>
          <w:rFonts w:ascii="Times New Roman" w:hAnsi="Times New Roman"/>
          <w:sz w:val="24"/>
        </w:rPr>
        <w:t>Ukraine, facilitant ainsi les échanges bidirectionnels. Les États baltes se sont mis d</w:t>
      </w:r>
      <w:r w:rsidR="00B0065F">
        <w:rPr>
          <w:rFonts w:ascii="Times New Roman" w:hAnsi="Times New Roman"/>
          <w:sz w:val="24"/>
        </w:rPr>
        <w:t>’</w:t>
      </w:r>
      <w:r>
        <w:rPr>
          <w:rFonts w:ascii="Times New Roman" w:hAnsi="Times New Roman"/>
          <w:sz w:val="24"/>
        </w:rPr>
        <w:t>accord sur l</w:t>
      </w:r>
      <w:r w:rsidR="00B0065F">
        <w:rPr>
          <w:rFonts w:ascii="Times New Roman" w:hAnsi="Times New Roman"/>
          <w:sz w:val="24"/>
        </w:rPr>
        <w:t>’</w:t>
      </w:r>
      <w:r>
        <w:rPr>
          <w:rFonts w:ascii="Times New Roman" w:hAnsi="Times New Roman"/>
          <w:sz w:val="24"/>
        </w:rPr>
        <w:t>objectif stratégique commun consistant à synchroniser leurs systèmes électriques avec le réseau continental européen.</w:t>
      </w:r>
    </w:p>
    <w:p w:rsidR="00097C2F" w:rsidRDefault="008C0DFC">
      <w:pPr>
        <w:spacing w:after="240" w:line="240" w:lineRule="auto"/>
        <w:jc w:val="both"/>
        <w:rPr>
          <w:rFonts w:ascii="Times New Roman" w:hAnsi="Times New Roman"/>
          <w:sz w:val="24"/>
          <w:szCs w:val="24"/>
        </w:rPr>
      </w:pPr>
      <w:r>
        <w:rPr>
          <w:rFonts w:ascii="Times New Roman" w:hAnsi="Times New Roman"/>
          <w:sz w:val="24"/>
        </w:rPr>
        <w:t xml:space="preserve">En </w:t>
      </w:r>
      <w:r w:rsidRPr="005A0F82">
        <w:rPr>
          <w:rFonts w:ascii="Times New Roman" w:hAnsi="Times New Roman"/>
          <w:sz w:val="24"/>
        </w:rPr>
        <w:t>2015</w:t>
      </w:r>
      <w:r>
        <w:rPr>
          <w:rFonts w:ascii="Times New Roman" w:hAnsi="Times New Roman"/>
          <w:sz w:val="24"/>
        </w:rPr>
        <w:t xml:space="preserve">, la Commission a travaillé intensivement avec les États membres pour mettre en place </w:t>
      </w:r>
      <w:r w:rsidR="00577F0F">
        <w:rPr>
          <w:rFonts w:ascii="Times New Roman" w:hAnsi="Times New Roman"/>
          <w:sz w:val="24"/>
        </w:rPr>
        <w:t>le</w:t>
      </w:r>
      <w:r>
        <w:rPr>
          <w:rFonts w:ascii="Times New Roman" w:hAnsi="Times New Roman"/>
          <w:sz w:val="24"/>
        </w:rPr>
        <w:t xml:space="preserve"> groupe à haut niveau sur la connectivité électrique et gazière </w:t>
      </w:r>
      <w:r w:rsidR="00B0065F">
        <w:rPr>
          <w:rFonts w:ascii="Times New Roman" w:hAnsi="Times New Roman"/>
          <w:sz w:val="24"/>
        </w:rPr>
        <w:t xml:space="preserve">pour </w:t>
      </w:r>
      <w:r>
        <w:rPr>
          <w:rFonts w:ascii="Times New Roman" w:hAnsi="Times New Roman"/>
          <w:sz w:val="24"/>
        </w:rPr>
        <w:t xml:space="preserve">la péninsule ibérique et </w:t>
      </w:r>
      <w:r w:rsidR="00577F0F">
        <w:rPr>
          <w:rFonts w:ascii="Times New Roman" w:hAnsi="Times New Roman"/>
          <w:sz w:val="24"/>
        </w:rPr>
        <w:t>le</w:t>
      </w:r>
      <w:r>
        <w:rPr>
          <w:rFonts w:ascii="Times New Roman" w:hAnsi="Times New Roman"/>
          <w:sz w:val="24"/>
        </w:rPr>
        <w:t xml:space="preserve"> groupe à haut niveau sur la connectivité gazière pour l</w:t>
      </w:r>
      <w:r w:rsidR="00B0065F">
        <w:rPr>
          <w:rFonts w:ascii="Times New Roman" w:hAnsi="Times New Roman"/>
          <w:sz w:val="24"/>
        </w:rPr>
        <w:t>’</w:t>
      </w:r>
      <w:r>
        <w:rPr>
          <w:rFonts w:ascii="Times New Roman" w:hAnsi="Times New Roman"/>
          <w:sz w:val="24"/>
        </w:rPr>
        <w:t xml:space="preserve">Europe centrale et du Sud-Est, ainsi que pour réformer le groupe à haut niveau pour la région de la mer Baltique (PIMERB). Les États membres ont intensifié leur coopération au sein de groupements régionaux, </w:t>
      </w:r>
      <w:r w:rsidR="00C42624">
        <w:rPr>
          <w:rFonts w:ascii="Times New Roman" w:hAnsi="Times New Roman"/>
          <w:sz w:val="24"/>
        </w:rPr>
        <w:t xml:space="preserve">laquelle </w:t>
      </w:r>
      <w:r>
        <w:rPr>
          <w:rFonts w:ascii="Times New Roman" w:hAnsi="Times New Roman"/>
          <w:sz w:val="24"/>
        </w:rPr>
        <w:t xml:space="preserve">a commencé à porter </w:t>
      </w:r>
      <w:r w:rsidR="00C42624">
        <w:rPr>
          <w:rFonts w:ascii="Times New Roman" w:hAnsi="Times New Roman"/>
          <w:sz w:val="24"/>
        </w:rPr>
        <w:t xml:space="preserve">ses </w:t>
      </w:r>
      <w:r>
        <w:rPr>
          <w:rFonts w:ascii="Times New Roman" w:hAnsi="Times New Roman"/>
          <w:sz w:val="24"/>
        </w:rPr>
        <w:t>fruits. Le groupe à haut niveau sur la connectivité gazière pour l</w:t>
      </w:r>
      <w:r w:rsidR="00B0065F">
        <w:rPr>
          <w:rFonts w:ascii="Times New Roman" w:hAnsi="Times New Roman"/>
          <w:sz w:val="24"/>
        </w:rPr>
        <w:t>’</w:t>
      </w:r>
      <w:r>
        <w:rPr>
          <w:rFonts w:ascii="Times New Roman" w:hAnsi="Times New Roman"/>
          <w:sz w:val="24"/>
        </w:rPr>
        <w:t>Europe centrale et du Sud-Est, par exemple, a adopté une liste de projets prioritaires</w:t>
      </w:r>
      <w:r>
        <w:rPr>
          <w:rStyle w:val="FootnoteReference"/>
          <w:rFonts w:ascii="Times New Roman" w:hAnsi="Times New Roman"/>
          <w:sz w:val="24"/>
        </w:rPr>
        <w:footnoteReference w:id="16"/>
      </w:r>
      <w:r>
        <w:rPr>
          <w:rFonts w:ascii="Times New Roman" w:hAnsi="Times New Roman"/>
          <w:sz w:val="24"/>
        </w:rPr>
        <w:t>, dont la mise en œuvre permettra aux pays de la région d</w:t>
      </w:r>
      <w:r w:rsidR="00B0065F">
        <w:rPr>
          <w:rFonts w:ascii="Times New Roman" w:hAnsi="Times New Roman"/>
          <w:sz w:val="24"/>
        </w:rPr>
        <w:t>’</w:t>
      </w:r>
      <w:r>
        <w:rPr>
          <w:rFonts w:ascii="Times New Roman" w:hAnsi="Times New Roman"/>
          <w:sz w:val="24"/>
        </w:rPr>
        <w:t>avoir accès à au moins trois sources d</w:t>
      </w:r>
      <w:r w:rsidR="00B0065F">
        <w:rPr>
          <w:rFonts w:ascii="Times New Roman" w:hAnsi="Times New Roman"/>
          <w:sz w:val="24"/>
        </w:rPr>
        <w:t>’</w:t>
      </w:r>
      <w:r>
        <w:rPr>
          <w:rFonts w:ascii="Times New Roman" w:hAnsi="Times New Roman"/>
          <w:sz w:val="24"/>
        </w:rPr>
        <w:t>approvisionnement en gaz.</w:t>
      </w:r>
    </w:p>
    <w:p w:rsidR="00097C2F" w:rsidRDefault="008C0DFC">
      <w:pPr>
        <w:spacing w:after="240" w:line="240" w:lineRule="auto"/>
        <w:jc w:val="both"/>
        <w:rPr>
          <w:rFonts w:ascii="Times New Roman" w:hAnsi="Times New Roman"/>
          <w:sz w:val="24"/>
          <w:szCs w:val="24"/>
        </w:rPr>
      </w:pPr>
      <w:r>
        <w:rPr>
          <w:rFonts w:ascii="Times New Roman" w:hAnsi="Times New Roman"/>
          <w:sz w:val="24"/>
        </w:rPr>
        <w:t xml:space="preserve">Le forum consacré aux infrastructures énergétiques mis en place par la Commission, qui a tenu sa réunion inaugurale à Copenhague les </w:t>
      </w:r>
      <w:r w:rsidRPr="005A0F82">
        <w:rPr>
          <w:rFonts w:ascii="Times New Roman" w:hAnsi="Times New Roman"/>
          <w:sz w:val="24"/>
        </w:rPr>
        <w:t>9</w:t>
      </w:r>
      <w:r>
        <w:rPr>
          <w:rFonts w:ascii="Times New Roman" w:hAnsi="Times New Roman"/>
          <w:sz w:val="24"/>
        </w:rPr>
        <w:t xml:space="preserve"> et </w:t>
      </w:r>
      <w:r w:rsidRPr="005A0F82">
        <w:rPr>
          <w:rFonts w:ascii="Times New Roman" w:hAnsi="Times New Roman"/>
          <w:sz w:val="24"/>
        </w:rPr>
        <w:t>10</w:t>
      </w:r>
      <w:r>
        <w:rPr>
          <w:rFonts w:ascii="Times New Roman" w:hAnsi="Times New Roman"/>
          <w:sz w:val="24"/>
        </w:rPr>
        <w:t xml:space="preserve"> novembre, s</w:t>
      </w:r>
      <w:r w:rsidR="00B0065F">
        <w:rPr>
          <w:rFonts w:ascii="Times New Roman" w:hAnsi="Times New Roman"/>
          <w:sz w:val="24"/>
        </w:rPr>
        <w:t>’</w:t>
      </w:r>
      <w:r>
        <w:rPr>
          <w:rFonts w:ascii="Times New Roman" w:hAnsi="Times New Roman"/>
          <w:sz w:val="24"/>
        </w:rPr>
        <w:t>emploiera à définir les meilleures pratiques sur des problématiques telles que les obstacles réglementaires, le développement des infrastructures et leur acceptation par le public, ainsi que leur financement.</w:t>
      </w:r>
    </w:p>
    <w:p w:rsidR="00097C2F" w:rsidRDefault="008C0DFC">
      <w:pPr>
        <w:spacing w:after="240" w:line="240" w:lineRule="auto"/>
        <w:jc w:val="both"/>
        <w:rPr>
          <w:rFonts w:ascii="Times New Roman" w:hAnsi="Times New Roman"/>
          <w:sz w:val="24"/>
          <w:szCs w:val="24"/>
        </w:rPr>
      </w:pPr>
      <w:r>
        <w:rPr>
          <w:rFonts w:ascii="Times New Roman" w:hAnsi="Times New Roman"/>
          <w:sz w:val="24"/>
        </w:rPr>
        <w:lastRenderedPageBreak/>
        <w:t>La Commission a beaucoup coopéré avec les États membres en vue d</w:t>
      </w:r>
      <w:r w:rsidR="00B0065F">
        <w:rPr>
          <w:rFonts w:ascii="Times New Roman" w:hAnsi="Times New Roman"/>
          <w:sz w:val="24"/>
        </w:rPr>
        <w:t>’</w:t>
      </w:r>
      <w:r>
        <w:rPr>
          <w:rFonts w:ascii="Times New Roman" w:hAnsi="Times New Roman"/>
          <w:sz w:val="24"/>
        </w:rPr>
        <w:t>éliminer les obstacles réglementaires au commerce transfrontalier d</w:t>
      </w:r>
      <w:r w:rsidR="00B0065F">
        <w:rPr>
          <w:rFonts w:ascii="Times New Roman" w:hAnsi="Times New Roman"/>
          <w:sz w:val="24"/>
        </w:rPr>
        <w:t>’</w:t>
      </w:r>
      <w:r>
        <w:rPr>
          <w:rFonts w:ascii="Times New Roman" w:hAnsi="Times New Roman"/>
          <w:sz w:val="24"/>
        </w:rPr>
        <w:t>électricité et de gaz. En étroite coopération avec les États membres, elle s</w:t>
      </w:r>
      <w:r w:rsidR="00B0065F">
        <w:rPr>
          <w:rFonts w:ascii="Times New Roman" w:hAnsi="Times New Roman"/>
          <w:sz w:val="24"/>
        </w:rPr>
        <w:t>’</w:t>
      </w:r>
      <w:r>
        <w:rPr>
          <w:rFonts w:ascii="Times New Roman" w:hAnsi="Times New Roman"/>
          <w:sz w:val="24"/>
        </w:rPr>
        <w:t>est attaquée aux problèmes liés à la mise en œuvre complète du troisième paquet «énergie» dans plusieurs États membres. L</w:t>
      </w:r>
      <w:r w:rsidR="00B0065F">
        <w:rPr>
          <w:rFonts w:ascii="Times New Roman" w:hAnsi="Times New Roman"/>
          <w:sz w:val="24"/>
        </w:rPr>
        <w:t>’</w:t>
      </w:r>
      <w:r>
        <w:rPr>
          <w:rFonts w:ascii="Times New Roman" w:hAnsi="Times New Roman"/>
          <w:sz w:val="24"/>
        </w:rPr>
        <w:t>initiative de la Commission sur une nouvelle organisation du marché</w:t>
      </w:r>
      <w:r>
        <w:rPr>
          <w:rStyle w:val="FootnoteReference"/>
          <w:rFonts w:ascii="Times New Roman" w:hAnsi="Times New Roman"/>
          <w:sz w:val="24"/>
        </w:rPr>
        <w:footnoteReference w:id="17"/>
      </w:r>
      <w:r>
        <w:rPr>
          <w:rFonts w:ascii="Times New Roman" w:hAnsi="Times New Roman"/>
          <w:sz w:val="24"/>
        </w:rPr>
        <w:t xml:space="preserve"> a pour but de préparer la voie à une adaptation plus poussée du cadre réglementaire européen à la réalité des marchés de l</w:t>
      </w:r>
      <w:r w:rsidR="00B0065F">
        <w:rPr>
          <w:rFonts w:ascii="Times New Roman" w:hAnsi="Times New Roman"/>
          <w:sz w:val="24"/>
        </w:rPr>
        <w:t>’</w:t>
      </w:r>
      <w:r>
        <w:rPr>
          <w:rFonts w:ascii="Times New Roman" w:hAnsi="Times New Roman"/>
          <w:sz w:val="24"/>
        </w:rPr>
        <w:t>énergie européens, de plus en plus intégrés. La Commission a également continué à faire appliquer strictement les règles de concurrence du traité.</w:t>
      </w:r>
    </w:p>
    <w:p w:rsidR="00097C2F" w:rsidRDefault="008C0DFC">
      <w:pPr>
        <w:spacing w:after="240" w:line="240" w:lineRule="auto"/>
        <w:jc w:val="both"/>
        <w:rPr>
          <w:rFonts w:ascii="Times New Roman" w:hAnsi="Times New Roman"/>
          <w:sz w:val="24"/>
          <w:szCs w:val="24"/>
        </w:rPr>
      </w:pPr>
      <w:r>
        <w:rPr>
          <w:rFonts w:ascii="Times New Roman" w:hAnsi="Times New Roman"/>
          <w:sz w:val="24"/>
        </w:rPr>
        <w:t>Un marché intérieur de l</w:t>
      </w:r>
      <w:r w:rsidR="00B0065F">
        <w:rPr>
          <w:rFonts w:ascii="Times New Roman" w:hAnsi="Times New Roman"/>
          <w:sz w:val="24"/>
        </w:rPr>
        <w:t>’</w:t>
      </w:r>
      <w:r>
        <w:rPr>
          <w:rFonts w:ascii="Times New Roman" w:hAnsi="Times New Roman"/>
          <w:sz w:val="24"/>
        </w:rPr>
        <w:t>énergie totalement intégré devrait avant tout apporter des avantages concrets aux consommateurs. Ce principe se reflète pleinement dans la communication intitulée «Une nouvelle donne pour les consommateurs d</w:t>
      </w:r>
      <w:r w:rsidR="00B0065F">
        <w:rPr>
          <w:rFonts w:ascii="Times New Roman" w:hAnsi="Times New Roman"/>
          <w:sz w:val="24"/>
        </w:rPr>
        <w:t>’</w:t>
      </w:r>
      <w:r>
        <w:rPr>
          <w:rFonts w:ascii="Times New Roman" w:hAnsi="Times New Roman"/>
          <w:sz w:val="24"/>
        </w:rPr>
        <w:t xml:space="preserve">énergie» de juillet </w:t>
      </w:r>
      <w:r w:rsidRPr="005A0F82">
        <w:rPr>
          <w:rFonts w:ascii="Times New Roman" w:hAnsi="Times New Roman"/>
          <w:sz w:val="24"/>
        </w:rPr>
        <w:t>2015</w:t>
      </w:r>
      <w:r>
        <w:rPr>
          <w:rStyle w:val="FootnoteReference"/>
          <w:rFonts w:ascii="Times New Roman" w:hAnsi="Times New Roman"/>
          <w:sz w:val="24"/>
        </w:rPr>
        <w:footnoteReference w:id="18"/>
      </w:r>
      <w:r>
        <w:rPr>
          <w:rFonts w:ascii="Times New Roman" w:hAnsi="Times New Roman"/>
          <w:sz w:val="24"/>
        </w:rPr>
        <w:t>. Cette communication reconnaît que les consommateurs n</w:t>
      </w:r>
      <w:r w:rsidR="00B0065F">
        <w:rPr>
          <w:rFonts w:ascii="Times New Roman" w:hAnsi="Times New Roman"/>
          <w:sz w:val="24"/>
        </w:rPr>
        <w:t>’</w:t>
      </w:r>
      <w:r>
        <w:rPr>
          <w:rFonts w:ascii="Times New Roman" w:hAnsi="Times New Roman"/>
          <w:sz w:val="24"/>
        </w:rPr>
        <w:t xml:space="preserve">ont toujours pas la possibilité de jouer pleinement leur rôle dans la transition du système énergétique. </w:t>
      </w:r>
      <w:r w:rsidR="00AB1AA0">
        <w:rPr>
          <w:rFonts w:ascii="Times New Roman" w:hAnsi="Times New Roman"/>
          <w:sz w:val="24"/>
        </w:rPr>
        <w:t>Si l</w:t>
      </w:r>
      <w:r w:rsidR="00B0065F">
        <w:rPr>
          <w:rFonts w:ascii="Times New Roman" w:hAnsi="Times New Roman"/>
          <w:sz w:val="24"/>
        </w:rPr>
        <w:t>’</w:t>
      </w:r>
      <w:r w:rsidR="00AB1AA0">
        <w:rPr>
          <w:rFonts w:ascii="Times New Roman" w:hAnsi="Times New Roman"/>
          <w:sz w:val="24"/>
        </w:rPr>
        <w:t>on se place d</w:t>
      </w:r>
      <w:r>
        <w:rPr>
          <w:rFonts w:ascii="Times New Roman" w:hAnsi="Times New Roman"/>
          <w:sz w:val="24"/>
        </w:rPr>
        <w:t>u point de vue du consommateur, les marchés de l</w:t>
      </w:r>
      <w:r w:rsidR="00B0065F">
        <w:rPr>
          <w:rFonts w:ascii="Times New Roman" w:hAnsi="Times New Roman"/>
          <w:sz w:val="24"/>
        </w:rPr>
        <w:t>’</w:t>
      </w:r>
      <w:r>
        <w:rPr>
          <w:rFonts w:ascii="Times New Roman" w:hAnsi="Times New Roman"/>
          <w:sz w:val="24"/>
        </w:rPr>
        <w:t xml:space="preserve">électricité et du gaz ne fonctionnent toujours pas </w:t>
      </w:r>
      <w:r w:rsidR="00C42624">
        <w:rPr>
          <w:rFonts w:ascii="Times New Roman" w:hAnsi="Times New Roman"/>
          <w:sz w:val="24"/>
        </w:rPr>
        <w:t>de façon optimale</w:t>
      </w:r>
      <w:r>
        <w:rPr>
          <w:rFonts w:ascii="Times New Roman" w:hAnsi="Times New Roman"/>
          <w:sz w:val="24"/>
        </w:rPr>
        <w:t>, ainsi qu</w:t>
      </w:r>
      <w:r w:rsidR="00B0065F">
        <w:rPr>
          <w:rFonts w:ascii="Times New Roman" w:hAnsi="Times New Roman"/>
          <w:sz w:val="24"/>
        </w:rPr>
        <w:t>’</w:t>
      </w:r>
      <w:r>
        <w:rPr>
          <w:rFonts w:ascii="Times New Roman" w:hAnsi="Times New Roman"/>
          <w:sz w:val="24"/>
        </w:rPr>
        <w:t>en témoigne le document sur les tendances en matière de consommation d</w:t>
      </w:r>
      <w:r w:rsidR="00B0065F">
        <w:rPr>
          <w:rFonts w:ascii="Times New Roman" w:hAnsi="Times New Roman"/>
          <w:sz w:val="24"/>
        </w:rPr>
        <w:t>’</w:t>
      </w:r>
      <w:r>
        <w:rPr>
          <w:rFonts w:ascii="Times New Roman" w:hAnsi="Times New Roman"/>
          <w:sz w:val="24"/>
        </w:rPr>
        <w:t>énergie présenté avec le présent état de l</w:t>
      </w:r>
      <w:r w:rsidR="00B0065F">
        <w:rPr>
          <w:rFonts w:ascii="Times New Roman" w:hAnsi="Times New Roman"/>
          <w:sz w:val="24"/>
        </w:rPr>
        <w:t>’</w:t>
      </w:r>
      <w:r>
        <w:rPr>
          <w:rFonts w:ascii="Times New Roman" w:hAnsi="Times New Roman"/>
          <w:sz w:val="24"/>
        </w:rPr>
        <w:t>union de l</w:t>
      </w:r>
      <w:r w:rsidR="00B0065F">
        <w:rPr>
          <w:rFonts w:ascii="Times New Roman" w:hAnsi="Times New Roman"/>
          <w:sz w:val="24"/>
        </w:rPr>
        <w:t>’</w:t>
      </w:r>
      <w:r>
        <w:rPr>
          <w:rFonts w:ascii="Times New Roman" w:hAnsi="Times New Roman"/>
          <w:sz w:val="24"/>
        </w:rPr>
        <w:t>énergie</w:t>
      </w:r>
      <w:r>
        <w:rPr>
          <w:rStyle w:val="FootnoteReference"/>
          <w:rFonts w:ascii="Times New Roman" w:hAnsi="Times New Roman"/>
          <w:sz w:val="24"/>
        </w:rPr>
        <w:footnoteReference w:id="19"/>
      </w:r>
      <w:r>
        <w:rPr>
          <w:rFonts w:ascii="Times New Roman" w:hAnsi="Times New Roman"/>
          <w:sz w:val="24"/>
        </w:rPr>
        <w:t>.</w:t>
      </w:r>
    </w:p>
    <w:p w:rsidR="00097C2F" w:rsidRDefault="008C0DFC">
      <w:pPr>
        <w:spacing w:after="240" w:line="240" w:lineRule="auto"/>
        <w:jc w:val="both"/>
        <w:rPr>
          <w:rFonts w:ascii="Times New Roman" w:hAnsi="Times New Roman"/>
          <w:i/>
          <w:sz w:val="24"/>
          <w:szCs w:val="24"/>
        </w:rPr>
      </w:pPr>
      <w:r>
        <w:rPr>
          <w:rFonts w:ascii="Times New Roman" w:hAnsi="Times New Roman"/>
          <w:i/>
          <w:sz w:val="24"/>
        </w:rPr>
        <w:t>Étapes ultérieures</w:t>
      </w:r>
    </w:p>
    <w:p w:rsidR="00097C2F" w:rsidRDefault="008C0DFC">
      <w:pPr>
        <w:tabs>
          <w:tab w:val="num" w:pos="753"/>
        </w:tabs>
        <w:spacing w:after="240" w:line="240" w:lineRule="auto"/>
        <w:jc w:val="both"/>
        <w:rPr>
          <w:rFonts w:ascii="Times New Roman" w:hAnsi="Times New Roman"/>
          <w:sz w:val="24"/>
          <w:szCs w:val="24"/>
        </w:rPr>
      </w:pPr>
      <w:r>
        <w:rPr>
          <w:rFonts w:ascii="Times New Roman" w:hAnsi="Times New Roman"/>
          <w:sz w:val="24"/>
        </w:rPr>
        <w:t xml:space="preserve">En </w:t>
      </w:r>
      <w:r w:rsidRPr="005A0F82">
        <w:rPr>
          <w:rFonts w:ascii="Times New Roman" w:hAnsi="Times New Roman"/>
          <w:sz w:val="24"/>
        </w:rPr>
        <w:t>2016</w:t>
      </w:r>
      <w:r>
        <w:rPr>
          <w:rFonts w:ascii="Times New Roman" w:hAnsi="Times New Roman"/>
          <w:sz w:val="24"/>
        </w:rPr>
        <w:t>, tous les acteurs devront intensifier leur action relative aux projets d</w:t>
      </w:r>
      <w:r w:rsidR="00B0065F">
        <w:rPr>
          <w:rFonts w:ascii="Times New Roman" w:hAnsi="Times New Roman"/>
          <w:sz w:val="24"/>
        </w:rPr>
        <w:t>’</w:t>
      </w:r>
      <w:r>
        <w:rPr>
          <w:rFonts w:ascii="Times New Roman" w:hAnsi="Times New Roman"/>
          <w:sz w:val="24"/>
        </w:rPr>
        <w:t>infrastructure. Il est notamment urgent de donner un élan politique aux projets d</w:t>
      </w:r>
      <w:r w:rsidR="00B0065F">
        <w:rPr>
          <w:rFonts w:ascii="Times New Roman" w:hAnsi="Times New Roman"/>
          <w:sz w:val="24"/>
        </w:rPr>
        <w:t>’</w:t>
      </w:r>
      <w:r>
        <w:rPr>
          <w:rFonts w:ascii="Times New Roman" w:hAnsi="Times New Roman"/>
          <w:sz w:val="24"/>
        </w:rPr>
        <w:t>intérêt commun (PIC). S</w:t>
      </w:r>
      <w:r w:rsidR="00B0065F">
        <w:rPr>
          <w:rFonts w:ascii="Times New Roman" w:hAnsi="Times New Roman"/>
          <w:sz w:val="24"/>
        </w:rPr>
        <w:t>’</w:t>
      </w:r>
      <w:r>
        <w:rPr>
          <w:rFonts w:ascii="Times New Roman" w:hAnsi="Times New Roman"/>
          <w:sz w:val="24"/>
        </w:rPr>
        <w:t xml:space="preserve">il est vrai que </w:t>
      </w:r>
      <w:r w:rsidRPr="005A0F82">
        <w:rPr>
          <w:rFonts w:ascii="Times New Roman" w:hAnsi="Times New Roman"/>
          <w:sz w:val="24"/>
        </w:rPr>
        <w:t>13</w:t>
      </w:r>
      <w:r>
        <w:rPr>
          <w:rFonts w:ascii="Times New Roman" w:hAnsi="Times New Roman"/>
          <w:sz w:val="24"/>
        </w:rPr>
        <w:t xml:space="preserve"> projets issus de la première liste de </w:t>
      </w:r>
      <w:r w:rsidR="00577F0F">
        <w:rPr>
          <w:rFonts w:ascii="Times New Roman" w:hAnsi="Times New Roman"/>
          <w:sz w:val="24"/>
        </w:rPr>
        <w:t xml:space="preserve">PIC </w:t>
      </w:r>
      <w:r>
        <w:rPr>
          <w:rFonts w:ascii="Times New Roman" w:hAnsi="Times New Roman"/>
          <w:sz w:val="24"/>
        </w:rPr>
        <w:t>seront achevés d</w:t>
      </w:r>
      <w:r w:rsidR="00B0065F">
        <w:rPr>
          <w:rFonts w:ascii="Times New Roman" w:hAnsi="Times New Roman"/>
          <w:sz w:val="24"/>
        </w:rPr>
        <w:t>’</w:t>
      </w:r>
      <w:r>
        <w:rPr>
          <w:rFonts w:ascii="Times New Roman" w:hAnsi="Times New Roman"/>
          <w:sz w:val="24"/>
        </w:rPr>
        <w:t xml:space="preserve">ici la fin de </w:t>
      </w:r>
      <w:r w:rsidRPr="005A0F82">
        <w:rPr>
          <w:rFonts w:ascii="Times New Roman" w:hAnsi="Times New Roman"/>
          <w:sz w:val="24"/>
        </w:rPr>
        <w:t>2015</w:t>
      </w:r>
      <w:r>
        <w:rPr>
          <w:rFonts w:ascii="Times New Roman" w:hAnsi="Times New Roman"/>
          <w:sz w:val="24"/>
        </w:rPr>
        <w:t>, et qu</w:t>
      </w:r>
      <w:r w:rsidR="00B0065F">
        <w:rPr>
          <w:rFonts w:ascii="Times New Roman" w:hAnsi="Times New Roman"/>
          <w:sz w:val="24"/>
        </w:rPr>
        <w:t>’</w:t>
      </w:r>
      <w:r>
        <w:rPr>
          <w:rFonts w:ascii="Times New Roman" w:hAnsi="Times New Roman"/>
          <w:sz w:val="24"/>
        </w:rPr>
        <w:t xml:space="preserve">un peu plus de </w:t>
      </w:r>
      <w:r w:rsidRPr="005A0F82">
        <w:rPr>
          <w:rFonts w:ascii="Times New Roman" w:hAnsi="Times New Roman"/>
          <w:sz w:val="24"/>
        </w:rPr>
        <w:t>100</w:t>
      </w:r>
      <w:r>
        <w:rPr>
          <w:rFonts w:ascii="Times New Roman" w:hAnsi="Times New Roman"/>
          <w:sz w:val="24"/>
        </w:rPr>
        <w:t xml:space="preserve"> PIC sont au stade de l</w:t>
      </w:r>
      <w:r w:rsidR="00B0065F">
        <w:rPr>
          <w:rFonts w:ascii="Times New Roman" w:hAnsi="Times New Roman"/>
          <w:sz w:val="24"/>
        </w:rPr>
        <w:t>’</w:t>
      </w:r>
      <w:r>
        <w:rPr>
          <w:rFonts w:ascii="Times New Roman" w:hAnsi="Times New Roman"/>
          <w:sz w:val="24"/>
        </w:rPr>
        <w:t>octroi des autorisations, plus d</w:t>
      </w:r>
      <w:r w:rsidR="00B0065F">
        <w:rPr>
          <w:rFonts w:ascii="Times New Roman" w:hAnsi="Times New Roman"/>
          <w:sz w:val="24"/>
        </w:rPr>
        <w:t>’</w:t>
      </w:r>
      <w:r>
        <w:rPr>
          <w:rFonts w:ascii="Times New Roman" w:hAnsi="Times New Roman"/>
          <w:sz w:val="24"/>
        </w:rPr>
        <w:t>un quart</w:t>
      </w:r>
      <w:r>
        <w:rPr>
          <w:rStyle w:val="FootnoteReference"/>
          <w:rFonts w:ascii="Times New Roman" w:hAnsi="Times New Roman"/>
          <w:sz w:val="24"/>
        </w:rPr>
        <w:footnoteReference w:id="20"/>
      </w:r>
      <w:r>
        <w:rPr>
          <w:rFonts w:ascii="Times New Roman" w:hAnsi="Times New Roman"/>
          <w:sz w:val="24"/>
        </w:rPr>
        <w:t xml:space="preserve"> connaissent des retards, principalement en raison de problèmes d</w:t>
      </w:r>
      <w:r w:rsidR="00B0065F">
        <w:rPr>
          <w:rFonts w:ascii="Times New Roman" w:hAnsi="Times New Roman"/>
          <w:sz w:val="24"/>
        </w:rPr>
        <w:t>’</w:t>
      </w:r>
      <w:r>
        <w:rPr>
          <w:rFonts w:ascii="Times New Roman" w:hAnsi="Times New Roman"/>
          <w:sz w:val="24"/>
        </w:rPr>
        <w:t>octroi d</w:t>
      </w:r>
      <w:r w:rsidR="00B0065F">
        <w:rPr>
          <w:rFonts w:ascii="Times New Roman" w:hAnsi="Times New Roman"/>
          <w:sz w:val="24"/>
        </w:rPr>
        <w:t>’</w:t>
      </w:r>
      <w:r>
        <w:rPr>
          <w:rFonts w:ascii="Times New Roman" w:hAnsi="Times New Roman"/>
          <w:sz w:val="24"/>
        </w:rPr>
        <w:t xml:space="preserve">autorisation et/ou de financement. Les procédures sont </w:t>
      </w:r>
      <w:r w:rsidR="00C42624">
        <w:rPr>
          <w:rFonts w:ascii="Times New Roman" w:hAnsi="Times New Roman"/>
          <w:sz w:val="24"/>
        </w:rPr>
        <w:t xml:space="preserve">tout </w:t>
      </w:r>
      <w:r>
        <w:rPr>
          <w:rFonts w:ascii="Times New Roman" w:hAnsi="Times New Roman"/>
          <w:sz w:val="24"/>
        </w:rPr>
        <w:t>simplement trop longues pour être efficaces. Pour les mener à bien, les États membres sont obligés de mettre intégralement en œuvre les dispositions du règlement concernant des orientations pour les infrastructures énergétiques transeuropéennes (RTE-E), notamment celles qui portent sur l</w:t>
      </w:r>
      <w:r w:rsidR="00B0065F">
        <w:rPr>
          <w:rFonts w:ascii="Times New Roman" w:hAnsi="Times New Roman"/>
          <w:sz w:val="24"/>
        </w:rPr>
        <w:t>’</w:t>
      </w:r>
      <w:r>
        <w:rPr>
          <w:rFonts w:ascii="Times New Roman" w:hAnsi="Times New Roman"/>
          <w:sz w:val="24"/>
        </w:rPr>
        <w:t>octroi des autorisations.</w:t>
      </w:r>
    </w:p>
    <w:p w:rsidR="00097C2F" w:rsidRDefault="008C0DFC">
      <w:pPr>
        <w:spacing w:after="240" w:line="240" w:lineRule="auto"/>
        <w:jc w:val="both"/>
        <w:rPr>
          <w:rFonts w:ascii="Times New Roman" w:hAnsi="Times New Roman"/>
          <w:sz w:val="24"/>
          <w:szCs w:val="24"/>
        </w:rPr>
      </w:pPr>
      <w:r>
        <w:rPr>
          <w:rFonts w:ascii="Times New Roman" w:hAnsi="Times New Roman"/>
          <w:sz w:val="24"/>
        </w:rPr>
        <w:t>La deuxième liste de projets d</w:t>
      </w:r>
      <w:r w:rsidR="00B0065F">
        <w:rPr>
          <w:rFonts w:ascii="Times New Roman" w:hAnsi="Times New Roman"/>
          <w:sz w:val="24"/>
        </w:rPr>
        <w:t>’</w:t>
      </w:r>
      <w:r>
        <w:rPr>
          <w:rFonts w:ascii="Times New Roman" w:hAnsi="Times New Roman"/>
          <w:sz w:val="24"/>
        </w:rPr>
        <w:t>intérêt commun</w:t>
      </w:r>
      <w:r>
        <w:rPr>
          <w:rStyle w:val="FootnoteReference"/>
          <w:rFonts w:ascii="Times New Roman" w:hAnsi="Times New Roman"/>
          <w:sz w:val="24"/>
        </w:rPr>
        <w:footnoteReference w:id="21"/>
      </w:r>
      <w:r>
        <w:rPr>
          <w:rFonts w:ascii="Times New Roman" w:hAnsi="Times New Roman"/>
          <w:sz w:val="24"/>
        </w:rPr>
        <w:t xml:space="preserve">, adoptée en même temps que la présente communication, énumère les projets dont </w:t>
      </w:r>
      <w:r w:rsidR="00C42624">
        <w:rPr>
          <w:rFonts w:ascii="Times New Roman" w:hAnsi="Times New Roman"/>
          <w:sz w:val="24"/>
        </w:rPr>
        <w:t>l</w:t>
      </w:r>
      <w:r w:rsidR="00B0065F">
        <w:rPr>
          <w:rFonts w:ascii="Times New Roman" w:hAnsi="Times New Roman"/>
          <w:sz w:val="24"/>
        </w:rPr>
        <w:t>’</w:t>
      </w:r>
      <w:r w:rsidR="00C42624">
        <w:rPr>
          <w:rFonts w:ascii="Times New Roman" w:hAnsi="Times New Roman"/>
          <w:sz w:val="24"/>
        </w:rPr>
        <w:t>UE a</w:t>
      </w:r>
      <w:r>
        <w:rPr>
          <w:rFonts w:ascii="Times New Roman" w:hAnsi="Times New Roman"/>
          <w:sz w:val="24"/>
        </w:rPr>
        <w:t xml:space="preserve"> besoin d</w:t>
      </w:r>
      <w:r w:rsidR="00B0065F">
        <w:rPr>
          <w:rFonts w:ascii="Times New Roman" w:hAnsi="Times New Roman"/>
          <w:sz w:val="24"/>
        </w:rPr>
        <w:t>’</w:t>
      </w:r>
      <w:r>
        <w:rPr>
          <w:rFonts w:ascii="Times New Roman" w:hAnsi="Times New Roman"/>
          <w:sz w:val="24"/>
        </w:rPr>
        <w:t xml:space="preserve">urgence pour atteindre </w:t>
      </w:r>
      <w:r w:rsidR="007A06FF">
        <w:rPr>
          <w:rFonts w:ascii="Times New Roman" w:hAnsi="Times New Roman"/>
          <w:sz w:val="24"/>
        </w:rPr>
        <w:t xml:space="preserve">ses </w:t>
      </w:r>
      <w:r>
        <w:rPr>
          <w:rFonts w:ascii="Times New Roman" w:hAnsi="Times New Roman"/>
          <w:sz w:val="24"/>
        </w:rPr>
        <w:t>objectifs en matière de politique énergétique. Le document de travail des services de la Commission qui l</w:t>
      </w:r>
      <w:r w:rsidR="00B0065F">
        <w:rPr>
          <w:rFonts w:ascii="Times New Roman" w:hAnsi="Times New Roman"/>
          <w:sz w:val="24"/>
        </w:rPr>
        <w:t>’</w:t>
      </w:r>
      <w:r>
        <w:rPr>
          <w:rFonts w:ascii="Times New Roman" w:hAnsi="Times New Roman"/>
          <w:sz w:val="24"/>
        </w:rPr>
        <w:t>accompagne</w:t>
      </w:r>
      <w:r>
        <w:rPr>
          <w:rStyle w:val="FootnoteReference"/>
          <w:rFonts w:ascii="Times New Roman" w:hAnsi="Times New Roman"/>
          <w:sz w:val="24"/>
        </w:rPr>
        <w:footnoteReference w:id="22"/>
      </w:r>
      <w:r>
        <w:rPr>
          <w:rFonts w:ascii="Times New Roman" w:hAnsi="Times New Roman"/>
          <w:sz w:val="24"/>
        </w:rPr>
        <w:t xml:space="preserve"> définit les améliorations nécessaires pour mettre en place l</w:t>
      </w:r>
      <w:r w:rsidR="00B0065F">
        <w:rPr>
          <w:rFonts w:ascii="Times New Roman" w:hAnsi="Times New Roman"/>
          <w:sz w:val="24"/>
        </w:rPr>
        <w:t>’</w:t>
      </w:r>
      <w:r>
        <w:rPr>
          <w:rFonts w:ascii="Times New Roman" w:hAnsi="Times New Roman"/>
          <w:sz w:val="24"/>
        </w:rPr>
        <w:t>infrastructure essentielle au fonctionnement d</w:t>
      </w:r>
      <w:r w:rsidR="00B0065F">
        <w:rPr>
          <w:rFonts w:ascii="Times New Roman" w:hAnsi="Times New Roman"/>
          <w:sz w:val="24"/>
        </w:rPr>
        <w:t>’</w:t>
      </w:r>
      <w:r>
        <w:rPr>
          <w:rFonts w:ascii="Times New Roman" w:hAnsi="Times New Roman"/>
          <w:sz w:val="24"/>
        </w:rPr>
        <w:t>un marché de l</w:t>
      </w:r>
      <w:r w:rsidR="00B0065F">
        <w:rPr>
          <w:rFonts w:ascii="Times New Roman" w:hAnsi="Times New Roman"/>
          <w:sz w:val="24"/>
        </w:rPr>
        <w:t>’</w:t>
      </w:r>
      <w:r>
        <w:rPr>
          <w:rFonts w:ascii="Times New Roman" w:hAnsi="Times New Roman"/>
          <w:sz w:val="24"/>
        </w:rPr>
        <w:t xml:space="preserve">énergie intégré en Europe. Les instruments élaborés dans le cadre du Fonds européen pour les investissements stratégiques </w:t>
      </w:r>
      <w:r w:rsidR="00C42624">
        <w:rPr>
          <w:rFonts w:ascii="Times New Roman" w:hAnsi="Times New Roman"/>
          <w:sz w:val="24"/>
        </w:rPr>
        <w:t xml:space="preserve">(EFSI) </w:t>
      </w:r>
      <w:r w:rsidR="00AB1AA0">
        <w:rPr>
          <w:rFonts w:ascii="Times New Roman" w:hAnsi="Times New Roman"/>
          <w:sz w:val="24"/>
        </w:rPr>
        <w:t xml:space="preserve">devraient produire </w:t>
      </w:r>
      <w:r>
        <w:rPr>
          <w:rFonts w:ascii="Times New Roman" w:hAnsi="Times New Roman"/>
          <w:sz w:val="24"/>
        </w:rPr>
        <w:t xml:space="preserve">leurs premiers </w:t>
      </w:r>
      <w:r w:rsidR="00577F0F">
        <w:rPr>
          <w:rFonts w:ascii="Times New Roman" w:hAnsi="Times New Roman"/>
          <w:sz w:val="24"/>
        </w:rPr>
        <w:t xml:space="preserve">effets positifs </w:t>
      </w:r>
      <w:r w:rsidR="00C42624">
        <w:rPr>
          <w:rFonts w:ascii="Times New Roman" w:hAnsi="Times New Roman"/>
          <w:sz w:val="24"/>
        </w:rPr>
        <w:t xml:space="preserve">sur </w:t>
      </w:r>
      <w:r>
        <w:rPr>
          <w:rFonts w:ascii="Times New Roman" w:hAnsi="Times New Roman"/>
          <w:sz w:val="24"/>
        </w:rPr>
        <w:t xml:space="preserve">les investissements dans les infrastructures en </w:t>
      </w:r>
      <w:r w:rsidRPr="005A0F82">
        <w:rPr>
          <w:rFonts w:ascii="Times New Roman" w:hAnsi="Times New Roman"/>
          <w:sz w:val="24"/>
        </w:rPr>
        <w:t>2016</w:t>
      </w:r>
      <w:r>
        <w:rPr>
          <w:rFonts w:ascii="Times New Roman" w:hAnsi="Times New Roman"/>
          <w:sz w:val="24"/>
        </w:rPr>
        <w:t>. Dans le domaine spécifique de l</w:t>
      </w:r>
      <w:r w:rsidR="00B0065F">
        <w:rPr>
          <w:rFonts w:ascii="Times New Roman" w:hAnsi="Times New Roman"/>
          <w:sz w:val="24"/>
        </w:rPr>
        <w:t>’</w:t>
      </w:r>
      <w:r>
        <w:rPr>
          <w:rFonts w:ascii="Times New Roman" w:hAnsi="Times New Roman"/>
          <w:sz w:val="24"/>
        </w:rPr>
        <w:t>électricité, la Commission prévoit une communication sur les mesures nécessaires pour atteindre l</w:t>
      </w:r>
      <w:r w:rsidR="00B0065F">
        <w:rPr>
          <w:rFonts w:ascii="Times New Roman" w:hAnsi="Times New Roman"/>
          <w:sz w:val="24"/>
        </w:rPr>
        <w:t>’</w:t>
      </w:r>
      <w:r>
        <w:rPr>
          <w:rFonts w:ascii="Times New Roman" w:hAnsi="Times New Roman"/>
          <w:sz w:val="24"/>
        </w:rPr>
        <w:t xml:space="preserve">objectif de </w:t>
      </w:r>
      <w:r w:rsidRPr="005A0F82">
        <w:rPr>
          <w:rFonts w:ascii="Times New Roman" w:hAnsi="Times New Roman"/>
          <w:sz w:val="24"/>
        </w:rPr>
        <w:t>15</w:t>
      </w:r>
      <w:r>
        <w:rPr>
          <w:rFonts w:ascii="Times New Roman" w:hAnsi="Times New Roman"/>
          <w:sz w:val="24"/>
        </w:rPr>
        <w:t> % d</w:t>
      </w:r>
      <w:r w:rsidR="00B0065F">
        <w:rPr>
          <w:rFonts w:ascii="Times New Roman" w:hAnsi="Times New Roman"/>
          <w:sz w:val="24"/>
        </w:rPr>
        <w:t>’</w:t>
      </w:r>
      <w:r>
        <w:rPr>
          <w:rFonts w:ascii="Times New Roman" w:hAnsi="Times New Roman"/>
          <w:sz w:val="24"/>
        </w:rPr>
        <w:t xml:space="preserve">interconnexion électrique pour </w:t>
      </w:r>
      <w:r w:rsidRPr="005A0F82">
        <w:rPr>
          <w:rFonts w:ascii="Times New Roman" w:hAnsi="Times New Roman"/>
          <w:sz w:val="24"/>
        </w:rPr>
        <w:t>2030</w:t>
      </w:r>
      <w:r>
        <w:rPr>
          <w:rFonts w:ascii="Times New Roman" w:hAnsi="Times New Roman"/>
          <w:sz w:val="24"/>
        </w:rPr>
        <w:t xml:space="preserve">. La Commission étudiera en outre les moyens de financer les deux </w:t>
      </w:r>
      <w:r w:rsidR="00C42624">
        <w:rPr>
          <w:rFonts w:ascii="Times New Roman" w:hAnsi="Times New Roman"/>
          <w:sz w:val="24"/>
        </w:rPr>
        <w:lastRenderedPageBreak/>
        <w:t xml:space="preserve">parties </w:t>
      </w:r>
      <w:r>
        <w:rPr>
          <w:rFonts w:ascii="Times New Roman" w:hAnsi="Times New Roman"/>
          <w:sz w:val="24"/>
        </w:rPr>
        <w:t>de</w:t>
      </w:r>
      <w:r w:rsidR="00C42624">
        <w:rPr>
          <w:rFonts w:ascii="Times New Roman" w:hAnsi="Times New Roman"/>
          <w:sz w:val="24"/>
        </w:rPr>
        <w:t>s</w:t>
      </w:r>
      <w:r>
        <w:rPr>
          <w:rFonts w:ascii="Times New Roman" w:hAnsi="Times New Roman"/>
          <w:sz w:val="24"/>
        </w:rPr>
        <w:t xml:space="preserve"> projets localisés aux frontières de l</w:t>
      </w:r>
      <w:r w:rsidR="00B0065F">
        <w:rPr>
          <w:rFonts w:ascii="Times New Roman" w:hAnsi="Times New Roman"/>
          <w:sz w:val="24"/>
        </w:rPr>
        <w:t>’</w:t>
      </w:r>
      <w:r>
        <w:rPr>
          <w:rFonts w:ascii="Times New Roman" w:hAnsi="Times New Roman"/>
          <w:sz w:val="24"/>
        </w:rPr>
        <w:t>Union européenne et de la Communauté de l</w:t>
      </w:r>
      <w:r w:rsidR="00B0065F">
        <w:rPr>
          <w:rFonts w:ascii="Times New Roman" w:hAnsi="Times New Roman"/>
          <w:sz w:val="24"/>
        </w:rPr>
        <w:t>’</w:t>
      </w:r>
      <w:r>
        <w:rPr>
          <w:rFonts w:ascii="Times New Roman" w:hAnsi="Times New Roman"/>
          <w:sz w:val="24"/>
        </w:rPr>
        <w:t>énergie.</w:t>
      </w:r>
    </w:p>
    <w:p w:rsidR="00097C2F" w:rsidRDefault="008C0DFC">
      <w:pPr>
        <w:spacing w:after="240" w:line="240" w:lineRule="auto"/>
        <w:jc w:val="both"/>
        <w:rPr>
          <w:rFonts w:ascii="Times New Roman" w:hAnsi="Times New Roman"/>
          <w:sz w:val="24"/>
          <w:szCs w:val="24"/>
        </w:rPr>
      </w:pPr>
      <w:r>
        <w:rPr>
          <w:rFonts w:ascii="Times New Roman" w:hAnsi="Times New Roman"/>
          <w:sz w:val="24"/>
        </w:rPr>
        <w:t xml:space="preserve">Les États membres et les parties intéressées ont manifesté un grand intérêt pour une coopération dans la région des mers septentrionales. Les investissements dans cette région absorberont près de la moitié des dépenses en capital </w:t>
      </w:r>
      <w:r w:rsidR="00AB1AA0">
        <w:rPr>
          <w:rFonts w:ascii="Times New Roman" w:hAnsi="Times New Roman"/>
          <w:sz w:val="24"/>
        </w:rPr>
        <w:t>effectuées pour l</w:t>
      </w:r>
      <w:r w:rsidR="00B0065F">
        <w:rPr>
          <w:rFonts w:ascii="Times New Roman" w:hAnsi="Times New Roman"/>
          <w:sz w:val="24"/>
        </w:rPr>
        <w:t>’</w:t>
      </w:r>
      <w:r w:rsidR="00AB1AA0">
        <w:rPr>
          <w:rFonts w:ascii="Times New Roman" w:hAnsi="Times New Roman"/>
          <w:sz w:val="24"/>
        </w:rPr>
        <w:t>ensemble d</w:t>
      </w:r>
      <w:r>
        <w:rPr>
          <w:rFonts w:ascii="Times New Roman" w:hAnsi="Times New Roman"/>
          <w:sz w:val="24"/>
        </w:rPr>
        <w:t>es projets d</w:t>
      </w:r>
      <w:r w:rsidR="00B0065F">
        <w:rPr>
          <w:rFonts w:ascii="Times New Roman" w:hAnsi="Times New Roman"/>
          <w:sz w:val="24"/>
        </w:rPr>
        <w:t>’</w:t>
      </w:r>
      <w:r>
        <w:rPr>
          <w:rFonts w:ascii="Times New Roman" w:hAnsi="Times New Roman"/>
          <w:sz w:val="24"/>
        </w:rPr>
        <w:t>intérêt commun en matière d</w:t>
      </w:r>
      <w:r w:rsidR="00B0065F">
        <w:rPr>
          <w:rFonts w:ascii="Times New Roman" w:hAnsi="Times New Roman"/>
          <w:sz w:val="24"/>
        </w:rPr>
        <w:t>’</w:t>
      </w:r>
      <w:r>
        <w:rPr>
          <w:rFonts w:ascii="Times New Roman" w:hAnsi="Times New Roman"/>
          <w:sz w:val="24"/>
        </w:rPr>
        <w:t>électricité. C</w:t>
      </w:r>
      <w:r w:rsidR="00B0065F">
        <w:rPr>
          <w:rFonts w:ascii="Times New Roman" w:hAnsi="Times New Roman"/>
          <w:sz w:val="24"/>
        </w:rPr>
        <w:t>’</w:t>
      </w:r>
      <w:r>
        <w:rPr>
          <w:rFonts w:ascii="Times New Roman" w:hAnsi="Times New Roman"/>
          <w:sz w:val="24"/>
        </w:rPr>
        <w:t>est pourquoi la Commission a l</w:t>
      </w:r>
      <w:r w:rsidR="00B0065F">
        <w:rPr>
          <w:rFonts w:ascii="Times New Roman" w:hAnsi="Times New Roman"/>
          <w:sz w:val="24"/>
        </w:rPr>
        <w:t>’</w:t>
      </w:r>
      <w:r>
        <w:rPr>
          <w:rFonts w:ascii="Times New Roman" w:hAnsi="Times New Roman"/>
          <w:sz w:val="24"/>
        </w:rPr>
        <w:t>intention de créer un groupe à haut niveau pour la coopération régionale dans la région de la mer du Nord, afin de résoudre les problèmes de réglementation, de financement et d</w:t>
      </w:r>
      <w:r w:rsidR="00B0065F">
        <w:rPr>
          <w:rFonts w:ascii="Times New Roman" w:hAnsi="Times New Roman"/>
          <w:sz w:val="24"/>
        </w:rPr>
        <w:t>’</w:t>
      </w:r>
      <w:r>
        <w:rPr>
          <w:rFonts w:ascii="Times New Roman" w:hAnsi="Times New Roman"/>
          <w:sz w:val="24"/>
        </w:rPr>
        <w:t>aménagement du territoire qui entravent la mise en œuvre de ces projets.</w:t>
      </w:r>
    </w:p>
    <w:p w:rsidR="00097C2F" w:rsidRDefault="008C0DFC">
      <w:pPr>
        <w:spacing w:after="240" w:line="240" w:lineRule="auto"/>
        <w:jc w:val="both"/>
        <w:rPr>
          <w:rFonts w:ascii="Times New Roman" w:hAnsi="Times New Roman"/>
          <w:sz w:val="24"/>
          <w:szCs w:val="24"/>
        </w:rPr>
      </w:pPr>
      <w:r>
        <w:rPr>
          <w:rFonts w:ascii="Times New Roman" w:hAnsi="Times New Roman"/>
          <w:sz w:val="24"/>
        </w:rPr>
        <w:t>Il restera indispensable de continuer à investir dans les infrastructures de réseau nationales, pour éviter les contraintes régionales. Les distorsions que provoque l</w:t>
      </w:r>
      <w:r w:rsidR="00B0065F">
        <w:rPr>
          <w:rFonts w:ascii="Times New Roman" w:hAnsi="Times New Roman"/>
          <w:sz w:val="24"/>
        </w:rPr>
        <w:t>’</w:t>
      </w:r>
      <w:r>
        <w:rPr>
          <w:rFonts w:ascii="Times New Roman" w:hAnsi="Times New Roman"/>
          <w:sz w:val="24"/>
        </w:rPr>
        <w:t xml:space="preserve">insuffisance des infrastructures nationales </w:t>
      </w:r>
      <w:r w:rsidR="007A06FF">
        <w:rPr>
          <w:rFonts w:ascii="Times New Roman" w:hAnsi="Times New Roman"/>
          <w:sz w:val="24"/>
        </w:rPr>
        <w:t>associées à de</w:t>
      </w:r>
      <w:r>
        <w:rPr>
          <w:rFonts w:ascii="Times New Roman" w:hAnsi="Times New Roman"/>
          <w:sz w:val="24"/>
        </w:rPr>
        <w:t xml:space="preserve"> grandes zones de dépôt des offres uniques sont particulièrement préoccupantes. Le processus de révision des zones de dépôt des offres, mené par le réseau européen des gestionnaires de réseau de transport d</w:t>
      </w:r>
      <w:r w:rsidR="00B0065F">
        <w:rPr>
          <w:rFonts w:ascii="Times New Roman" w:hAnsi="Times New Roman"/>
          <w:sz w:val="24"/>
        </w:rPr>
        <w:t>’</w:t>
      </w:r>
      <w:r>
        <w:rPr>
          <w:rFonts w:ascii="Times New Roman" w:hAnsi="Times New Roman"/>
          <w:sz w:val="24"/>
        </w:rPr>
        <w:t>électricité (</w:t>
      </w:r>
      <w:r w:rsidR="007A06FF">
        <w:rPr>
          <w:rFonts w:ascii="Times New Roman" w:hAnsi="Times New Roman"/>
          <w:sz w:val="24"/>
        </w:rPr>
        <w:t>ENTSO pour l</w:t>
      </w:r>
      <w:r w:rsidR="00B0065F">
        <w:rPr>
          <w:rFonts w:ascii="Times New Roman" w:hAnsi="Times New Roman"/>
          <w:sz w:val="24"/>
        </w:rPr>
        <w:t>’</w:t>
      </w:r>
      <w:r w:rsidR="007A06FF">
        <w:rPr>
          <w:rFonts w:ascii="Times New Roman" w:hAnsi="Times New Roman"/>
          <w:sz w:val="24"/>
        </w:rPr>
        <w:t>électricité</w:t>
      </w:r>
      <w:r>
        <w:rPr>
          <w:rFonts w:ascii="Times New Roman" w:hAnsi="Times New Roman"/>
          <w:sz w:val="24"/>
        </w:rPr>
        <w:t xml:space="preserve">) devrait mettre en lumière les contraintes </w:t>
      </w:r>
      <w:r w:rsidR="007A06FF">
        <w:rPr>
          <w:rFonts w:ascii="Times New Roman" w:hAnsi="Times New Roman"/>
          <w:sz w:val="24"/>
        </w:rPr>
        <w:t xml:space="preserve">de </w:t>
      </w:r>
      <w:r>
        <w:rPr>
          <w:rFonts w:ascii="Times New Roman" w:hAnsi="Times New Roman"/>
          <w:sz w:val="24"/>
        </w:rPr>
        <w:t>réseau critiques et, le cas échéant, définir des zones de dépôt des offres distinctes pour les zones soumises à des contraintes. La création de telles zones de dépôt des offres pourrait aussi aider à mieux cerner les besoins d</w:t>
      </w:r>
      <w:r w:rsidR="00B0065F">
        <w:rPr>
          <w:rFonts w:ascii="Times New Roman" w:hAnsi="Times New Roman"/>
          <w:sz w:val="24"/>
        </w:rPr>
        <w:t>’</w:t>
      </w:r>
      <w:r>
        <w:rPr>
          <w:rFonts w:ascii="Times New Roman" w:hAnsi="Times New Roman"/>
          <w:sz w:val="24"/>
        </w:rPr>
        <w:t>investissements accrus dans les réseaux.</w:t>
      </w:r>
    </w:p>
    <w:p w:rsidR="00097C2F" w:rsidRDefault="008C0DFC">
      <w:pPr>
        <w:spacing w:after="240" w:line="240" w:lineRule="auto"/>
        <w:jc w:val="both"/>
        <w:rPr>
          <w:rFonts w:ascii="Times New Roman" w:hAnsi="Times New Roman"/>
          <w:sz w:val="24"/>
          <w:szCs w:val="24"/>
        </w:rPr>
      </w:pPr>
      <w:r>
        <w:rPr>
          <w:rFonts w:ascii="Times New Roman" w:hAnsi="Times New Roman"/>
          <w:sz w:val="24"/>
        </w:rPr>
        <w:t>Il importe en outre de veiller à ce que l</w:t>
      </w:r>
      <w:r w:rsidR="00B0065F">
        <w:rPr>
          <w:rFonts w:ascii="Times New Roman" w:hAnsi="Times New Roman"/>
          <w:sz w:val="24"/>
        </w:rPr>
        <w:t>’</w:t>
      </w:r>
      <w:r>
        <w:rPr>
          <w:rFonts w:ascii="Times New Roman" w:hAnsi="Times New Roman"/>
          <w:sz w:val="24"/>
        </w:rPr>
        <w:t>infrastructure électrique et gazière existante soit utilisée intégralement dans l</w:t>
      </w:r>
      <w:r w:rsidR="00B0065F">
        <w:rPr>
          <w:rFonts w:ascii="Times New Roman" w:hAnsi="Times New Roman"/>
          <w:sz w:val="24"/>
        </w:rPr>
        <w:t>’</w:t>
      </w:r>
      <w:r>
        <w:rPr>
          <w:rFonts w:ascii="Times New Roman" w:hAnsi="Times New Roman"/>
          <w:sz w:val="24"/>
        </w:rPr>
        <w:t>intérêt de l</w:t>
      </w:r>
      <w:r w:rsidR="00B0065F">
        <w:rPr>
          <w:rFonts w:ascii="Times New Roman" w:hAnsi="Times New Roman"/>
          <w:sz w:val="24"/>
        </w:rPr>
        <w:t>’</w:t>
      </w:r>
      <w:r>
        <w:rPr>
          <w:rFonts w:ascii="Times New Roman" w:hAnsi="Times New Roman"/>
          <w:sz w:val="24"/>
        </w:rPr>
        <w:t>intégration du marché. Le maintien d</w:t>
      </w:r>
      <w:r w:rsidR="00B0065F">
        <w:rPr>
          <w:rFonts w:ascii="Times New Roman" w:hAnsi="Times New Roman"/>
          <w:sz w:val="24"/>
        </w:rPr>
        <w:t>’</w:t>
      </w:r>
      <w:r>
        <w:rPr>
          <w:rFonts w:ascii="Times New Roman" w:hAnsi="Times New Roman"/>
          <w:sz w:val="24"/>
        </w:rPr>
        <w:t>une application stricte des règles de concurrence visera notamment à faire en sorte que les marchés ne soient pas cloisonnés par des restrictions artificielles dans l</w:t>
      </w:r>
      <w:r w:rsidR="00B0065F">
        <w:rPr>
          <w:rFonts w:ascii="Times New Roman" w:hAnsi="Times New Roman"/>
          <w:sz w:val="24"/>
        </w:rPr>
        <w:t>’</w:t>
      </w:r>
      <w:r>
        <w:rPr>
          <w:rFonts w:ascii="Times New Roman" w:hAnsi="Times New Roman"/>
          <w:sz w:val="24"/>
        </w:rPr>
        <w:t>utilisation des capacités existantes.</w:t>
      </w:r>
    </w:p>
    <w:p w:rsidR="00097C2F" w:rsidRDefault="008C0DFC">
      <w:pPr>
        <w:spacing w:after="240" w:line="240" w:lineRule="auto"/>
        <w:jc w:val="both"/>
        <w:rPr>
          <w:rFonts w:ascii="Times New Roman" w:hAnsi="Times New Roman"/>
          <w:sz w:val="24"/>
          <w:szCs w:val="24"/>
        </w:rPr>
      </w:pPr>
      <w:r>
        <w:rPr>
          <w:rFonts w:ascii="Times New Roman" w:hAnsi="Times New Roman"/>
          <w:sz w:val="24"/>
        </w:rPr>
        <w:t xml:space="preserve">Des propositions législatives en vue de la mise en œuvre de la nouvelle organisation du marché sont prévues pour </w:t>
      </w:r>
      <w:r w:rsidRPr="005A0F82">
        <w:rPr>
          <w:rFonts w:ascii="Times New Roman" w:hAnsi="Times New Roman"/>
          <w:sz w:val="24"/>
        </w:rPr>
        <w:t>2016</w:t>
      </w:r>
      <w:r>
        <w:rPr>
          <w:rFonts w:ascii="Times New Roman" w:hAnsi="Times New Roman"/>
          <w:sz w:val="24"/>
        </w:rPr>
        <w:t>. Les objectifs essentiels de la législation sont d</w:t>
      </w:r>
      <w:r w:rsidR="00B0065F">
        <w:rPr>
          <w:rFonts w:ascii="Times New Roman" w:hAnsi="Times New Roman"/>
          <w:sz w:val="24"/>
        </w:rPr>
        <w:t>’</w:t>
      </w:r>
      <w:r>
        <w:rPr>
          <w:rFonts w:ascii="Times New Roman" w:hAnsi="Times New Roman"/>
          <w:sz w:val="24"/>
        </w:rPr>
        <w:t>améliorer les liens entre les marchés de gros et de détail;</w:t>
      </w:r>
      <w:r>
        <w:rPr>
          <w:rFonts w:ascii="Times New Roman" w:hAnsi="Times New Roman"/>
          <w:color w:val="000000"/>
          <w:sz w:val="24"/>
          <w:u w:color="000000"/>
        </w:rPr>
        <w:t xml:space="preserve"> </w:t>
      </w:r>
      <w:r>
        <w:rPr>
          <w:rFonts w:ascii="Times New Roman" w:hAnsi="Times New Roman"/>
          <w:sz w:val="24"/>
        </w:rPr>
        <w:t>de renforcer la coopération régionale et d</w:t>
      </w:r>
      <w:r w:rsidR="00B0065F">
        <w:rPr>
          <w:rFonts w:ascii="Times New Roman" w:hAnsi="Times New Roman"/>
          <w:sz w:val="24"/>
        </w:rPr>
        <w:t>’</w:t>
      </w:r>
      <w:r>
        <w:rPr>
          <w:rFonts w:ascii="Times New Roman" w:hAnsi="Times New Roman"/>
          <w:sz w:val="24"/>
        </w:rPr>
        <w:t>accroître les échanges transfrontaliers; et de développer les marchés à court et à long terme afin d</w:t>
      </w:r>
      <w:r w:rsidR="00B0065F">
        <w:rPr>
          <w:rFonts w:ascii="Times New Roman" w:hAnsi="Times New Roman"/>
          <w:sz w:val="24"/>
        </w:rPr>
        <w:t>’</w:t>
      </w:r>
      <w:r>
        <w:rPr>
          <w:rFonts w:ascii="Times New Roman" w:hAnsi="Times New Roman"/>
          <w:sz w:val="24"/>
        </w:rPr>
        <w:t>adresser, tant aux producteurs qu</w:t>
      </w:r>
      <w:r w:rsidR="00B0065F">
        <w:rPr>
          <w:rFonts w:ascii="Times New Roman" w:hAnsi="Times New Roman"/>
          <w:sz w:val="24"/>
        </w:rPr>
        <w:t>’</w:t>
      </w:r>
      <w:r>
        <w:rPr>
          <w:rFonts w:ascii="Times New Roman" w:hAnsi="Times New Roman"/>
          <w:sz w:val="24"/>
        </w:rPr>
        <w:t>aux consommateurs d</w:t>
      </w:r>
      <w:r w:rsidR="00B0065F">
        <w:rPr>
          <w:rFonts w:ascii="Times New Roman" w:hAnsi="Times New Roman"/>
          <w:sz w:val="24"/>
        </w:rPr>
        <w:t>’</w:t>
      </w:r>
      <w:r>
        <w:rPr>
          <w:rFonts w:ascii="Times New Roman" w:hAnsi="Times New Roman"/>
          <w:sz w:val="24"/>
        </w:rPr>
        <w:t>électricité, les signaux appropriés en ce qui concerne les investissements à réaliser dans les technologies modernes. La révision du système d</w:t>
      </w:r>
      <w:r w:rsidR="00B0065F">
        <w:rPr>
          <w:rFonts w:ascii="Times New Roman" w:hAnsi="Times New Roman"/>
          <w:sz w:val="24"/>
        </w:rPr>
        <w:t>’</w:t>
      </w:r>
      <w:r>
        <w:rPr>
          <w:rFonts w:ascii="Times New Roman" w:hAnsi="Times New Roman"/>
          <w:sz w:val="24"/>
        </w:rPr>
        <w:t>échange de quotas d</w:t>
      </w:r>
      <w:r w:rsidR="00B0065F">
        <w:rPr>
          <w:rFonts w:ascii="Times New Roman" w:hAnsi="Times New Roman"/>
          <w:sz w:val="24"/>
        </w:rPr>
        <w:t>’</w:t>
      </w:r>
      <w:r>
        <w:rPr>
          <w:rFonts w:ascii="Times New Roman" w:hAnsi="Times New Roman"/>
          <w:sz w:val="24"/>
        </w:rPr>
        <w:t>émission de l</w:t>
      </w:r>
      <w:r w:rsidR="00B0065F">
        <w:rPr>
          <w:rFonts w:ascii="Times New Roman" w:hAnsi="Times New Roman"/>
          <w:sz w:val="24"/>
        </w:rPr>
        <w:t>’</w:t>
      </w:r>
      <w:r>
        <w:rPr>
          <w:rFonts w:ascii="Times New Roman" w:hAnsi="Times New Roman"/>
          <w:sz w:val="24"/>
        </w:rPr>
        <w:t xml:space="preserve">UE devrait aussi </w:t>
      </w:r>
      <w:r w:rsidR="007A06FF">
        <w:rPr>
          <w:rFonts w:ascii="Times New Roman" w:hAnsi="Times New Roman"/>
          <w:sz w:val="24"/>
        </w:rPr>
        <w:t>générer</w:t>
      </w:r>
      <w:r>
        <w:rPr>
          <w:rFonts w:ascii="Times New Roman" w:hAnsi="Times New Roman"/>
          <w:sz w:val="24"/>
        </w:rPr>
        <w:t xml:space="preserve"> des signaux d</w:t>
      </w:r>
      <w:r w:rsidR="00B0065F">
        <w:rPr>
          <w:rFonts w:ascii="Times New Roman" w:hAnsi="Times New Roman"/>
          <w:sz w:val="24"/>
        </w:rPr>
        <w:t>’</w:t>
      </w:r>
      <w:r>
        <w:rPr>
          <w:rFonts w:ascii="Times New Roman" w:hAnsi="Times New Roman"/>
          <w:sz w:val="24"/>
        </w:rPr>
        <w:t>investissement à long terme plus favorables aux investissements dans les technologies à faible intensité de carbone. La Commission veille à faire en sorte que, lorsque les États membres recourent aux aides d</w:t>
      </w:r>
      <w:r w:rsidR="00B0065F">
        <w:rPr>
          <w:rFonts w:ascii="Times New Roman" w:hAnsi="Times New Roman"/>
          <w:sz w:val="24"/>
        </w:rPr>
        <w:t>’</w:t>
      </w:r>
      <w:r>
        <w:rPr>
          <w:rFonts w:ascii="Times New Roman" w:hAnsi="Times New Roman"/>
          <w:sz w:val="24"/>
        </w:rPr>
        <w:t>État pour soutenir l</w:t>
      </w:r>
      <w:r w:rsidR="00B0065F">
        <w:rPr>
          <w:rFonts w:ascii="Times New Roman" w:hAnsi="Times New Roman"/>
          <w:sz w:val="24"/>
        </w:rPr>
        <w:t>’</w:t>
      </w:r>
      <w:r>
        <w:rPr>
          <w:rFonts w:ascii="Times New Roman" w:hAnsi="Times New Roman"/>
          <w:sz w:val="24"/>
        </w:rPr>
        <w:t>investissement dans leurs marchés de l</w:t>
      </w:r>
      <w:r w:rsidR="00B0065F">
        <w:rPr>
          <w:rFonts w:ascii="Times New Roman" w:hAnsi="Times New Roman"/>
          <w:sz w:val="24"/>
        </w:rPr>
        <w:t>’</w:t>
      </w:r>
      <w:r>
        <w:rPr>
          <w:rFonts w:ascii="Times New Roman" w:hAnsi="Times New Roman"/>
          <w:sz w:val="24"/>
        </w:rPr>
        <w:t>énergie, les politiques d</w:t>
      </w:r>
      <w:r w:rsidR="00B0065F">
        <w:rPr>
          <w:rFonts w:ascii="Times New Roman" w:hAnsi="Times New Roman"/>
          <w:sz w:val="24"/>
        </w:rPr>
        <w:t>’</w:t>
      </w:r>
      <w:r>
        <w:rPr>
          <w:rFonts w:ascii="Times New Roman" w:hAnsi="Times New Roman"/>
          <w:sz w:val="24"/>
        </w:rPr>
        <w:t>aide soient conçues conformément aux exigences des lignes directrices concernant les aides d</w:t>
      </w:r>
      <w:r w:rsidR="00B0065F">
        <w:rPr>
          <w:rFonts w:ascii="Times New Roman" w:hAnsi="Times New Roman"/>
          <w:sz w:val="24"/>
        </w:rPr>
        <w:t>’</w:t>
      </w:r>
      <w:r>
        <w:rPr>
          <w:rFonts w:ascii="Times New Roman" w:hAnsi="Times New Roman"/>
          <w:sz w:val="24"/>
        </w:rPr>
        <w:t>État à la protection de l</w:t>
      </w:r>
      <w:r w:rsidR="00B0065F">
        <w:rPr>
          <w:rFonts w:ascii="Times New Roman" w:hAnsi="Times New Roman"/>
          <w:sz w:val="24"/>
        </w:rPr>
        <w:t>’</w:t>
      </w:r>
      <w:r>
        <w:rPr>
          <w:rFonts w:ascii="Times New Roman" w:hAnsi="Times New Roman"/>
          <w:sz w:val="24"/>
        </w:rPr>
        <w:t>environnement et à l</w:t>
      </w:r>
      <w:r w:rsidR="00B0065F">
        <w:rPr>
          <w:rFonts w:ascii="Times New Roman" w:hAnsi="Times New Roman"/>
          <w:sz w:val="24"/>
        </w:rPr>
        <w:t>’</w:t>
      </w:r>
      <w:r>
        <w:rPr>
          <w:rFonts w:ascii="Times New Roman" w:hAnsi="Times New Roman"/>
          <w:sz w:val="24"/>
        </w:rPr>
        <w:t>énergie</w:t>
      </w:r>
      <w:r>
        <w:rPr>
          <w:rStyle w:val="FootnoteReference"/>
          <w:rFonts w:ascii="Times New Roman" w:hAnsi="Times New Roman"/>
          <w:sz w:val="24"/>
        </w:rPr>
        <w:footnoteReference w:id="23"/>
      </w:r>
      <w:r>
        <w:rPr>
          <w:rFonts w:ascii="Times New Roman" w:hAnsi="Times New Roman"/>
          <w:sz w:val="24"/>
        </w:rPr>
        <w:t>, afin d</w:t>
      </w:r>
      <w:r w:rsidR="00B0065F">
        <w:rPr>
          <w:rFonts w:ascii="Times New Roman" w:hAnsi="Times New Roman"/>
          <w:sz w:val="24"/>
        </w:rPr>
        <w:t>’</w:t>
      </w:r>
      <w:r>
        <w:rPr>
          <w:rFonts w:ascii="Times New Roman" w:hAnsi="Times New Roman"/>
          <w:sz w:val="24"/>
        </w:rPr>
        <w:t>éviter d</w:t>
      </w:r>
      <w:r w:rsidR="00B0065F">
        <w:rPr>
          <w:rFonts w:ascii="Times New Roman" w:hAnsi="Times New Roman"/>
          <w:sz w:val="24"/>
        </w:rPr>
        <w:t>’</w:t>
      </w:r>
      <w:r>
        <w:rPr>
          <w:rFonts w:ascii="Times New Roman" w:hAnsi="Times New Roman"/>
          <w:sz w:val="24"/>
        </w:rPr>
        <w:t>éventuelles distorsions du marché. En outre, l</w:t>
      </w:r>
      <w:r w:rsidR="00B0065F">
        <w:rPr>
          <w:rFonts w:ascii="Times New Roman" w:hAnsi="Times New Roman"/>
          <w:sz w:val="24"/>
        </w:rPr>
        <w:t>’</w:t>
      </w:r>
      <w:r>
        <w:rPr>
          <w:rFonts w:ascii="Times New Roman" w:hAnsi="Times New Roman"/>
          <w:sz w:val="24"/>
        </w:rPr>
        <w:t>enquête sectorielle en matière d</w:t>
      </w:r>
      <w:r w:rsidR="00B0065F">
        <w:rPr>
          <w:rFonts w:ascii="Times New Roman" w:hAnsi="Times New Roman"/>
          <w:sz w:val="24"/>
        </w:rPr>
        <w:t>’</w:t>
      </w:r>
      <w:r>
        <w:rPr>
          <w:rFonts w:ascii="Times New Roman" w:hAnsi="Times New Roman"/>
          <w:sz w:val="24"/>
        </w:rPr>
        <w:t>aides d</w:t>
      </w:r>
      <w:r w:rsidR="00B0065F">
        <w:rPr>
          <w:rFonts w:ascii="Times New Roman" w:hAnsi="Times New Roman"/>
          <w:sz w:val="24"/>
        </w:rPr>
        <w:t>’</w:t>
      </w:r>
      <w:r>
        <w:rPr>
          <w:rFonts w:ascii="Times New Roman" w:hAnsi="Times New Roman"/>
          <w:sz w:val="24"/>
        </w:rPr>
        <w:t>État qui est en cours sur les mécanismes de capacité</w:t>
      </w:r>
      <w:r w:rsidR="00323CF7">
        <w:rPr>
          <w:rFonts w:ascii="Times New Roman" w:hAnsi="Times New Roman"/>
          <w:sz w:val="24"/>
        </w:rPr>
        <w:t xml:space="preserve"> pour l</w:t>
      </w:r>
      <w:r w:rsidR="00B0065F">
        <w:rPr>
          <w:rFonts w:ascii="Times New Roman" w:hAnsi="Times New Roman"/>
          <w:sz w:val="24"/>
        </w:rPr>
        <w:t>’</w:t>
      </w:r>
      <w:r w:rsidR="00323CF7">
        <w:rPr>
          <w:rFonts w:ascii="Times New Roman" w:hAnsi="Times New Roman"/>
          <w:sz w:val="24"/>
        </w:rPr>
        <w:t>électricité</w:t>
      </w:r>
      <w:r>
        <w:rPr>
          <w:rStyle w:val="FootnoteReference"/>
          <w:rFonts w:ascii="Times New Roman" w:hAnsi="Times New Roman"/>
          <w:sz w:val="24"/>
        </w:rPr>
        <w:footnoteReference w:id="24"/>
      </w:r>
      <w:r>
        <w:rPr>
          <w:rFonts w:ascii="Times New Roman" w:hAnsi="Times New Roman"/>
          <w:sz w:val="24"/>
        </w:rPr>
        <w:t xml:space="preserve"> </w:t>
      </w:r>
      <w:r w:rsidR="007A06FF">
        <w:rPr>
          <w:rFonts w:ascii="Times New Roman" w:hAnsi="Times New Roman"/>
          <w:sz w:val="24"/>
        </w:rPr>
        <w:t xml:space="preserve">vise à </w:t>
      </w:r>
      <w:r>
        <w:rPr>
          <w:rFonts w:ascii="Times New Roman" w:hAnsi="Times New Roman"/>
          <w:sz w:val="24"/>
        </w:rPr>
        <w:t>étudie</w:t>
      </w:r>
      <w:r w:rsidR="007A06FF">
        <w:rPr>
          <w:rFonts w:ascii="Times New Roman" w:hAnsi="Times New Roman"/>
          <w:sz w:val="24"/>
        </w:rPr>
        <w:t>r</w:t>
      </w:r>
      <w:r>
        <w:rPr>
          <w:rFonts w:ascii="Times New Roman" w:hAnsi="Times New Roman"/>
          <w:sz w:val="24"/>
        </w:rPr>
        <w:t xml:space="preserve"> dans quelle mesure les mécanismes de capacité existants et prévus risquent de nuire à l</w:t>
      </w:r>
      <w:r w:rsidR="00B0065F">
        <w:rPr>
          <w:rFonts w:ascii="Times New Roman" w:hAnsi="Times New Roman"/>
          <w:sz w:val="24"/>
        </w:rPr>
        <w:t>’</w:t>
      </w:r>
      <w:r>
        <w:rPr>
          <w:rFonts w:ascii="Times New Roman" w:hAnsi="Times New Roman"/>
          <w:sz w:val="24"/>
        </w:rPr>
        <w:t>efficacité du marché intérieur.</w:t>
      </w:r>
    </w:p>
    <w:p w:rsidR="00097C2F" w:rsidRDefault="008C0DFC">
      <w:pPr>
        <w:spacing w:after="240" w:line="240" w:lineRule="auto"/>
        <w:jc w:val="both"/>
        <w:rPr>
          <w:rFonts w:ascii="Times New Roman" w:hAnsi="Times New Roman"/>
          <w:sz w:val="24"/>
          <w:szCs w:val="24"/>
        </w:rPr>
      </w:pPr>
      <w:r>
        <w:rPr>
          <w:rFonts w:ascii="Times New Roman" w:hAnsi="Times New Roman"/>
          <w:sz w:val="24"/>
        </w:rPr>
        <w:t>Lors de l</w:t>
      </w:r>
      <w:r w:rsidR="00B0065F">
        <w:rPr>
          <w:rFonts w:ascii="Times New Roman" w:hAnsi="Times New Roman"/>
          <w:sz w:val="24"/>
        </w:rPr>
        <w:t>’</w:t>
      </w:r>
      <w:r>
        <w:rPr>
          <w:rFonts w:ascii="Times New Roman" w:hAnsi="Times New Roman"/>
          <w:sz w:val="24"/>
        </w:rPr>
        <w:t>élaboration de</w:t>
      </w:r>
      <w:r w:rsidR="007A06FF">
        <w:rPr>
          <w:rFonts w:ascii="Times New Roman" w:hAnsi="Times New Roman"/>
          <w:sz w:val="24"/>
        </w:rPr>
        <w:t>s</w:t>
      </w:r>
      <w:r>
        <w:rPr>
          <w:rFonts w:ascii="Times New Roman" w:hAnsi="Times New Roman"/>
          <w:sz w:val="24"/>
        </w:rPr>
        <w:t xml:space="preserve"> propositions législatives</w:t>
      </w:r>
      <w:r w:rsidR="007A06FF">
        <w:rPr>
          <w:rFonts w:ascii="Times New Roman" w:hAnsi="Times New Roman"/>
          <w:sz w:val="24"/>
        </w:rPr>
        <w:t xml:space="preserve"> susmentionnées</w:t>
      </w:r>
      <w:r>
        <w:rPr>
          <w:rFonts w:ascii="Times New Roman" w:hAnsi="Times New Roman"/>
          <w:sz w:val="24"/>
        </w:rPr>
        <w:t>, la Commission veillera particulièrement à stimuler le rôle de la participation de la demande comme instrument pour accroître l</w:t>
      </w:r>
      <w:r w:rsidR="00B0065F">
        <w:rPr>
          <w:rFonts w:ascii="Times New Roman" w:hAnsi="Times New Roman"/>
          <w:sz w:val="24"/>
        </w:rPr>
        <w:t>’</w:t>
      </w:r>
      <w:r>
        <w:rPr>
          <w:rFonts w:ascii="Times New Roman" w:hAnsi="Times New Roman"/>
          <w:sz w:val="24"/>
        </w:rPr>
        <w:t>efficience et la flexibilité au sein des réseaux d</w:t>
      </w:r>
      <w:r w:rsidR="00B0065F">
        <w:rPr>
          <w:rFonts w:ascii="Times New Roman" w:hAnsi="Times New Roman"/>
          <w:sz w:val="24"/>
        </w:rPr>
        <w:t>’</w:t>
      </w:r>
      <w:r>
        <w:rPr>
          <w:rFonts w:ascii="Times New Roman" w:hAnsi="Times New Roman"/>
          <w:sz w:val="24"/>
        </w:rPr>
        <w:t>énergie. Le manque d</w:t>
      </w:r>
      <w:r w:rsidR="00B0065F">
        <w:rPr>
          <w:rFonts w:ascii="Times New Roman" w:hAnsi="Times New Roman"/>
          <w:sz w:val="24"/>
        </w:rPr>
        <w:t>’</w:t>
      </w:r>
      <w:r>
        <w:rPr>
          <w:rFonts w:ascii="Times New Roman" w:hAnsi="Times New Roman"/>
          <w:sz w:val="24"/>
        </w:rPr>
        <w:t xml:space="preserve">informations </w:t>
      </w:r>
      <w:r>
        <w:rPr>
          <w:rFonts w:ascii="Times New Roman" w:hAnsi="Times New Roman"/>
          <w:sz w:val="24"/>
        </w:rPr>
        <w:lastRenderedPageBreak/>
        <w:t>sur les coûts et la consommation, les difficultés pour changer de fournisseur et l</w:t>
      </w:r>
      <w:r w:rsidR="00B0065F">
        <w:rPr>
          <w:rFonts w:ascii="Times New Roman" w:hAnsi="Times New Roman"/>
          <w:sz w:val="24"/>
        </w:rPr>
        <w:t>’</w:t>
      </w:r>
      <w:r>
        <w:rPr>
          <w:rFonts w:ascii="Times New Roman" w:hAnsi="Times New Roman"/>
          <w:sz w:val="24"/>
        </w:rPr>
        <w:t>absence d</w:t>
      </w:r>
      <w:r w:rsidR="00B0065F">
        <w:rPr>
          <w:rFonts w:ascii="Times New Roman" w:hAnsi="Times New Roman"/>
          <w:sz w:val="24"/>
        </w:rPr>
        <w:t>’</w:t>
      </w:r>
      <w:r>
        <w:rPr>
          <w:rFonts w:ascii="Times New Roman" w:hAnsi="Times New Roman"/>
          <w:sz w:val="24"/>
        </w:rPr>
        <w:t>incitation à une participation active devraient appartenir au passé.</w:t>
      </w:r>
    </w:p>
    <w:p w:rsidR="00097C2F" w:rsidRDefault="008C0DFC">
      <w:pPr>
        <w:spacing w:after="240" w:line="240" w:lineRule="auto"/>
        <w:jc w:val="both"/>
        <w:rPr>
          <w:rFonts w:ascii="Times New Roman" w:hAnsi="Times New Roman"/>
          <w:sz w:val="24"/>
          <w:szCs w:val="24"/>
        </w:rPr>
      </w:pPr>
      <w:r>
        <w:rPr>
          <w:rFonts w:ascii="Times New Roman" w:hAnsi="Times New Roman"/>
          <w:sz w:val="24"/>
        </w:rPr>
        <w:t>Les consommateurs – qu</w:t>
      </w:r>
      <w:r w:rsidR="00B0065F">
        <w:rPr>
          <w:rFonts w:ascii="Times New Roman" w:hAnsi="Times New Roman"/>
          <w:sz w:val="24"/>
        </w:rPr>
        <w:t>’</w:t>
      </w:r>
      <w:r>
        <w:rPr>
          <w:rFonts w:ascii="Times New Roman" w:hAnsi="Times New Roman"/>
          <w:sz w:val="24"/>
        </w:rPr>
        <w:t>il s</w:t>
      </w:r>
      <w:r w:rsidR="00B0065F">
        <w:rPr>
          <w:rFonts w:ascii="Times New Roman" w:hAnsi="Times New Roman"/>
          <w:sz w:val="24"/>
        </w:rPr>
        <w:t>’</w:t>
      </w:r>
      <w:r>
        <w:rPr>
          <w:rFonts w:ascii="Times New Roman" w:hAnsi="Times New Roman"/>
          <w:sz w:val="24"/>
        </w:rPr>
        <w:t>agisse des ménages ou des entreprises – veulent plus de transparence sur les prix de l</w:t>
      </w:r>
      <w:r w:rsidR="00B0065F">
        <w:rPr>
          <w:rFonts w:ascii="Times New Roman" w:hAnsi="Times New Roman"/>
          <w:sz w:val="24"/>
        </w:rPr>
        <w:t>’</w:t>
      </w:r>
      <w:r>
        <w:rPr>
          <w:rFonts w:ascii="Times New Roman" w:hAnsi="Times New Roman"/>
          <w:sz w:val="24"/>
        </w:rPr>
        <w:t>énergie et les coûts. C</w:t>
      </w:r>
      <w:r w:rsidR="00B0065F">
        <w:rPr>
          <w:rFonts w:ascii="Times New Roman" w:hAnsi="Times New Roman"/>
          <w:sz w:val="24"/>
        </w:rPr>
        <w:t>’</w:t>
      </w:r>
      <w:r>
        <w:rPr>
          <w:rFonts w:ascii="Times New Roman" w:hAnsi="Times New Roman"/>
          <w:sz w:val="24"/>
        </w:rPr>
        <w:t>est pourquoi la Commission prépare actuellement un nouveau rapport sur les prix et les coûts de l</w:t>
      </w:r>
      <w:r w:rsidR="00B0065F">
        <w:rPr>
          <w:rFonts w:ascii="Times New Roman" w:hAnsi="Times New Roman"/>
          <w:sz w:val="24"/>
        </w:rPr>
        <w:t>’</w:t>
      </w:r>
      <w:r>
        <w:rPr>
          <w:rFonts w:ascii="Times New Roman" w:hAnsi="Times New Roman"/>
          <w:sz w:val="24"/>
        </w:rPr>
        <w:t xml:space="preserve">énergie, qui sera publié en </w:t>
      </w:r>
      <w:r w:rsidRPr="005A0F82">
        <w:rPr>
          <w:rFonts w:ascii="Times New Roman" w:hAnsi="Times New Roman"/>
          <w:sz w:val="24"/>
        </w:rPr>
        <w:t>2016</w:t>
      </w:r>
      <w:r>
        <w:rPr>
          <w:rFonts w:ascii="Times New Roman" w:hAnsi="Times New Roman"/>
          <w:sz w:val="24"/>
        </w:rPr>
        <w:t>, afin de dresser un tableau d</w:t>
      </w:r>
      <w:r w:rsidR="00B0065F">
        <w:rPr>
          <w:rFonts w:ascii="Times New Roman" w:hAnsi="Times New Roman"/>
          <w:sz w:val="24"/>
        </w:rPr>
        <w:t>’</w:t>
      </w:r>
      <w:r>
        <w:rPr>
          <w:rFonts w:ascii="Times New Roman" w:hAnsi="Times New Roman"/>
          <w:sz w:val="24"/>
        </w:rPr>
        <w:t>ensemble des coûts, des taxes, des prélèvements, mais aussi des subventions, dans le domaine de l</w:t>
      </w:r>
      <w:r w:rsidR="00B0065F">
        <w:rPr>
          <w:rFonts w:ascii="Times New Roman" w:hAnsi="Times New Roman"/>
          <w:sz w:val="24"/>
        </w:rPr>
        <w:t>’</w:t>
      </w:r>
      <w:r>
        <w:rPr>
          <w:rFonts w:ascii="Times New Roman" w:hAnsi="Times New Roman"/>
          <w:sz w:val="24"/>
        </w:rPr>
        <w:t>énergie. Ce rapport devrait contribuer à éclairer le débat sur les différences de niveaux de prix dans les États membres, les différentes composantes des prix de l</w:t>
      </w:r>
      <w:r w:rsidR="00B0065F">
        <w:rPr>
          <w:rFonts w:ascii="Times New Roman" w:hAnsi="Times New Roman"/>
          <w:sz w:val="24"/>
        </w:rPr>
        <w:t>’</w:t>
      </w:r>
      <w:r>
        <w:rPr>
          <w:rFonts w:ascii="Times New Roman" w:hAnsi="Times New Roman"/>
          <w:sz w:val="24"/>
        </w:rPr>
        <w:t>énergie, leur influence sur la compétitivité des entreprises européennes et l</w:t>
      </w:r>
      <w:r w:rsidR="00B0065F">
        <w:rPr>
          <w:rFonts w:ascii="Times New Roman" w:hAnsi="Times New Roman"/>
          <w:sz w:val="24"/>
        </w:rPr>
        <w:t>’</w:t>
      </w:r>
      <w:r>
        <w:rPr>
          <w:rFonts w:ascii="Times New Roman" w:hAnsi="Times New Roman"/>
          <w:sz w:val="24"/>
        </w:rPr>
        <w:t xml:space="preserve">investissement en Europe, et leur capacité </w:t>
      </w:r>
      <w:r w:rsidR="007A06FF">
        <w:rPr>
          <w:rFonts w:ascii="Times New Roman" w:hAnsi="Times New Roman"/>
          <w:sz w:val="24"/>
        </w:rPr>
        <w:t xml:space="preserve">à influencer </w:t>
      </w:r>
      <w:r>
        <w:rPr>
          <w:rFonts w:ascii="Times New Roman" w:hAnsi="Times New Roman"/>
          <w:sz w:val="24"/>
        </w:rPr>
        <w:t xml:space="preserve">le comportement des consommateurs. </w:t>
      </w:r>
      <w:r w:rsidR="007A06FF">
        <w:rPr>
          <w:rFonts w:ascii="Times New Roman" w:hAnsi="Times New Roman"/>
          <w:sz w:val="24"/>
        </w:rPr>
        <w:t>La première étape est la présentation ce jour par</w:t>
      </w:r>
      <w:r>
        <w:rPr>
          <w:rFonts w:ascii="Times New Roman" w:hAnsi="Times New Roman"/>
          <w:sz w:val="24"/>
        </w:rPr>
        <w:t xml:space="preserve"> la Commission </w:t>
      </w:r>
      <w:r w:rsidR="007A06FF">
        <w:rPr>
          <w:rFonts w:ascii="Times New Roman" w:hAnsi="Times New Roman"/>
          <w:sz w:val="24"/>
        </w:rPr>
        <w:t>d</w:t>
      </w:r>
      <w:r w:rsidR="00B0065F">
        <w:rPr>
          <w:rFonts w:ascii="Times New Roman" w:hAnsi="Times New Roman"/>
          <w:sz w:val="24"/>
        </w:rPr>
        <w:t>’</w:t>
      </w:r>
      <w:r>
        <w:rPr>
          <w:rFonts w:ascii="Times New Roman" w:hAnsi="Times New Roman"/>
          <w:sz w:val="24"/>
        </w:rPr>
        <w:t>une proposition visant à améliorer les statistiques européennes sur les prix du gaz et de l</w:t>
      </w:r>
      <w:r w:rsidR="00B0065F">
        <w:rPr>
          <w:rFonts w:ascii="Times New Roman" w:hAnsi="Times New Roman"/>
          <w:sz w:val="24"/>
        </w:rPr>
        <w:t>’</w:t>
      </w:r>
      <w:r>
        <w:rPr>
          <w:rFonts w:ascii="Times New Roman" w:hAnsi="Times New Roman"/>
          <w:sz w:val="24"/>
        </w:rPr>
        <w:t>électricité</w:t>
      </w:r>
      <w:r>
        <w:rPr>
          <w:rStyle w:val="FootnoteReference"/>
          <w:rFonts w:ascii="Times New Roman" w:hAnsi="Times New Roman"/>
          <w:sz w:val="24"/>
        </w:rPr>
        <w:footnoteReference w:id="25"/>
      </w:r>
      <w:r>
        <w:rPr>
          <w:rFonts w:ascii="Times New Roman" w:hAnsi="Times New Roman"/>
          <w:sz w:val="24"/>
        </w:rPr>
        <w:t>.</w:t>
      </w:r>
    </w:p>
    <w:p w:rsidR="00097C2F" w:rsidRDefault="008C0DFC">
      <w:pPr>
        <w:spacing w:after="240" w:line="240" w:lineRule="auto"/>
        <w:jc w:val="both"/>
        <w:rPr>
          <w:rFonts w:ascii="Times New Roman" w:hAnsi="Times New Roman"/>
          <w:sz w:val="24"/>
          <w:szCs w:val="24"/>
        </w:rPr>
      </w:pPr>
      <w:r>
        <w:rPr>
          <w:rFonts w:ascii="Times New Roman" w:hAnsi="Times New Roman"/>
          <w:sz w:val="24"/>
        </w:rPr>
        <w:t>Lorsqu</w:t>
      </w:r>
      <w:r w:rsidR="00B0065F">
        <w:rPr>
          <w:rFonts w:ascii="Times New Roman" w:hAnsi="Times New Roman"/>
          <w:sz w:val="24"/>
        </w:rPr>
        <w:t>’</w:t>
      </w:r>
      <w:r>
        <w:rPr>
          <w:rFonts w:ascii="Times New Roman" w:hAnsi="Times New Roman"/>
          <w:sz w:val="24"/>
        </w:rPr>
        <w:t xml:space="preserve">elle réexaminera la législation clé en </w:t>
      </w:r>
      <w:r w:rsidRPr="005A0F82">
        <w:rPr>
          <w:rFonts w:ascii="Times New Roman" w:hAnsi="Times New Roman"/>
          <w:sz w:val="24"/>
        </w:rPr>
        <w:t>2016</w:t>
      </w:r>
      <w:r>
        <w:rPr>
          <w:rFonts w:ascii="Times New Roman" w:hAnsi="Times New Roman"/>
          <w:sz w:val="24"/>
        </w:rPr>
        <w:t xml:space="preserve">, la Commission accordera une attention particulière à la protection des consommateurs vulnérables, </w:t>
      </w:r>
      <w:r w:rsidR="007A06FF">
        <w:rPr>
          <w:rFonts w:ascii="Times New Roman" w:hAnsi="Times New Roman"/>
          <w:sz w:val="24"/>
        </w:rPr>
        <w:t xml:space="preserve">tout </w:t>
      </w:r>
      <w:r>
        <w:rPr>
          <w:rFonts w:ascii="Times New Roman" w:hAnsi="Times New Roman"/>
          <w:sz w:val="24"/>
        </w:rPr>
        <w:t>comme lors du réexamen de la directive sur l</w:t>
      </w:r>
      <w:r w:rsidR="00B0065F">
        <w:rPr>
          <w:rFonts w:ascii="Times New Roman" w:hAnsi="Times New Roman"/>
          <w:sz w:val="24"/>
        </w:rPr>
        <w:t>’</w:t>
      </w:r>
      <w:r>
        <w:rPr>
          <w:rFonts w:ascii="Times New Roman" w:hAnsi="Times New Roman"/>
          <w:sz w:val="24"/>
        </w:rPr>
        <w:t xml:space="preserve">efficacité énergétique ou dans la proposition relative à la nouvelle organisation du marché, </w:t>
      </w:r>
      <w:r w:rsidR="007A06FF">
        <w:rPr>
          <w:rFonts w:ascii="Times New Roman" w:hAnsi="Times New Roman"/>
          <w:sz w:val="24"/>
        </w:rPr>
        <w:t xml:space="preserve">dans lesquelles </w:t>
      </w:r>
      <w:r>
        <w:rPr>
          <w:rFonts w:ascii="Times New Roman" w:hAnsi="Times New Roman"/>
          <w:sz w:val="24"/>
        </w:rPr>
        <w:t>les obligations des États membres et des opérateurs de marché à l</w:t>
      </w:r>
      <w:r w:rsidR="00B0065F">
        <w:rPr>
          <w:rFonts w:ascii="Times New Roman" w:hAnsi="Times New Roman"/>
          <w:sz w:val="24"/>
        </w:rPr>
        <w:t>’</w:t>
      </w:r>
      <w:r>
        <w:rPr>
          <w:rFonts w:ascii="Times New Roman" w:hAnsi="Times New Roman"/>
          <w:sz w:val="24"/>
        </w:rPr>
        <w:t>égard des consommateurs vulnérables pourraient être mieux coordonnées. La Commission entend veiller à ce que les programmes de financement en faveur de l</w:t>
      </w:r>
      <w:r w:rsidR="00B0065F">
        <w:rPr>
          <w:rFonts w:ascii="Times New Roman" w:hAnsi="Times New Roman"/>
          <w:sz w:val="24"/>
        </w:rPr>
        <w:t>’</w:t>
      </w:r>
      <w:r>
        <w:rPr>
          <w:rFonts w:ascii="Times New Roman" w:hAnsi="Times New Roman"/>
          <w:sz w:val="24"/>
        </w:rPr>
        <w:t>efficacité énergétique soient accessibles aux consommateurs d</w:t>
      </w:r>
      <w:r w:rsidR="00B0065F">
        <w:rPr>
          <w:rFonts w:ascii="Times New Roman" w:hAnsi="Times New Roman"/>
          <w:sz w:val="24"/>
        </w:rPr>
        <w:t>’</w:t>
      </w:r>
      <w:r>
        <w:rPr>
          <w:rFonts w:ascii="Times New Roman" w:hAnsi="Times New Roman"/>
          <w:sz w:val="24"/>
        </w:rPr>
        <w:t xml:space="preserve">énergie </w:t>
      </w:r>
      <w:r w:rsidR="00B0065F">
        <w:rPr>
          <w:rFonts w:ascii="Times New Roman" w:hAnsi="Times New Roman"/>
          <w:sz w:val="24"/>
        </w:rPr>
        <w:t>à faibles revenus</w:t>
      </w:r>
      <w:r>
        <w:rPr>
          <w:rFonts w:ascii="Times New Roman" w:hAnsi="Times New Roman"/>
          <w:sz w:val="24"/>
        </w:rPr>
        <w:t xml:space="preserve"> et vulnérables, et elle s</w:t>
      </w:r>
      <w:r w:rsidR="00B0065F">
        <w:rPr>
          <w:rFonts w:ascii="Times New Roman" w:hAnsi="Times New Roman"/>
          <w:sz w:val="24"/>
        </w:rPr>
        <w:t>’</w:t>
      </w:r>
      <w:r>
        <w:rPr>
          <w:rFonts w:ascii="Times New Roman" w:hAnsi="Times New Roman"/>
          <w:sz w:val="24"/>
        </w:rPr>
        <w:t>efforcera d</w:t>
      </w:r>
      <w:r w:rsidR="00B0065F">
        <w:rPr>
          <w:rFonts w:ascii="Times New Roman" w:hAnsi="Times New Roman"/>
          <w:sz w:val="24"/>
        </w:rPr>
        <w:t>’</w:t>
      </w:r>
      <w:r>
        <w:rPr>
          <w:rFonts w:ascii="Times New Roman" w:hAnsi="Times New Roman"/>
          <w:sz w:val="24"/>
        </w:rPr>
        <w:t xml:space="preserve">améliorer la collecte de données sur la </w:t>
      </w:r>
      <w:r w:rsidR="00577F0F">
        <w:rPr>
          <w:rFonts w:ascii="Times New Roman" w:hAnsi="Times New Roman"/>
          <w:sz w:val="24"/>
        </w:rPr>
        <w:t xml:space="preserve">précarité </w:t>
      </w:r>
      <w:r>
        <w:rPr>
          <w:rFonts w:ascii="Times New Roman" w:hAnsi="Times New Roman"/>
          <w:sz w:val="24"/>
        </w:rPr>
        <w:t>énergétique.</w:t>
      </w:r>
    </w:p>
    <w:p w:rsidR="00097C2F" w:rsidRDefault="008C0DFC">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sz w:val="24"/>
          <w:szCs w:val="24"/>
        </w:rPr>
      </w:pPr>
      <w:r>
        <w:rPr>
          <w:rFonts w:ascii="Times New Roman" w:hAnsi="Times New Roman"/>
          <w:i/>
          <w:sz w:val="24"/>
        </w:rPr>
        <w:t>Conclusions d</w:t>
      </w:r>
      <w:r w:rsidR="00B0065F">
        <w:rPr>
          <w:rFonts w:ascii="Times New Roman" w:hAnsi="Times New Roman"/>
          <w:i/>
          <w:sz w:val="24"/>
        </w:rPr>
        <w:t>’</w:t>
      </w:r>
      <w:r>
        <w:rPr>
          <w:rFonts w:ascii="Times New Roman" w:hAnsi="Times New Roman"/>
          <w:i/>
          <w:sz w:val="24"/>
        </w:rPr>
        <w:t>ordre politique aux niveaux national, régional et de l</w:t>
      </w:r>
      <w:r w:rsidR="00B0065F">
        <w:rPr>
          <w:rFonts w:ascii="Times New Roman" w:hAnsi="Times New Roman"/>
          <w:i/>
          <w:sz w:val="24"/>
        </w:rPr>
        <w:t>’</w:t>
      </w:r>
      <w:r>
        <w:rPr>
          <w:rFonts w:ascii="Times New Roman" w:hAnsi="Times New Roman"/>
          <w:i/>
          <w:sz w:val="24"/>
        </w:rPr>
        <w:t>UE:</w:t>
      </w:r>
    </w:p>
    <w:p w:rsidR="00097C2F" w:rsidRDefault="008C0DFC">
      <w:pPr>
        <w:pStyle w:val="ListParagraph"/>
        <w:numPr>
          <w:ilvl w:val="0"/>
          <w:numId w:val="5"/>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u w:val="single"/>
        </w:rPr>
      </w:pPr>
      <w:r>
        <w:rPr>
          <w:rFonts w:ascii="Times New Roman" w:hAnsi="Times New Roman"/>
          <w:i/>
          <w:sz w:val="24"/>
        </w:rPr>
        <w:t>De nombreux États membres ont bien progressé dans l</w:t>
      </w:r>
      <w:r w:rsidR="00B0065F">
        <w:rPr>
          <w:rFonts w:ascii="Times New Roman" w:hAnsi="Times New Roman"/>
          <w:i/>
          <w:sz w:val="24"/>
        </w:rPr>
        <w:t>’</w:t>
      </w:r>
      <w:r>
        <w:rPr>
          <w:rFonts w:ascii="Times New Roman" w:hAnsi="Times New Roman"/>
          <w:i/>
          <w:sz w:val="24"/>
        </w:rPr>
        <w:t>ouverture de leurs marchés de gros à la concurrence, ce qui a apporté des avantages non négligeables. Il existe cependant de</w:t>
      </w:r>
      <w:r w:rsidR="00577F0F">
        <w:rPr>
          <w:rFonts w:ascii="Times New Roman" w:hAnsi="Times New Roman"/>
          <w:i/>
          <w:sz w:val="24"/>
        </w:rPr>
        <w:t>s</w:t>
      </w:r>
      <w:r>
        <w:rPr>
          <w:rFonts w:ascii="Times New Roman" w:hAnsi="Times New Roman"/>
          <w:i/>
          <w:sz w:val="24"/>
        </w:rPr>
        <w:t xml:space="preserve"> différences</w:t>
      </w:r>
      <w:r w:rsidR="00577F0F">
        <w:rPr>
          <w:rFonts w:ascii="Times New Roman" w:hAnsi="Times New Roman"/>
          <w:i/>
          <w:sz w:val="24"/>
        </w:rPr>
        <w:t xml:space="preserve"> marquées</w:t>
      </w:r>
      <w:r>
        <w:rPr>
          <w:rFonts w:ascii="Times New Roman" w:hAnsi="Times New Roman"/>
          <w:i/>
          <w:sz w:val="24"/>
        </w:rPr>
        <w:t xml:space="preserve"> entre les États membres, un grand nombre de ceux-ci n</w:t>
      </w:r>
      <w:r w:rsidR="00B0065F">
        <w:rPr>
          <w:rFonts w:ascii="Times New Roman" w:hAnsi="Times New Roman"/>
          <w:i/>
          <w:sz w:val="24"/>
        </w:rPr>
        <w:t>’</w:t>
      </w:r>
      <w:r>
        <w:rPr>
          <w:rFonts w:ascii="Times New Roman" w:hAnsi="Times New Roman"/>
          <w:i/>
          <w:sz w:val="24"/>
        </w:rPr>
        <w:t>ayant pas encore intégralement mis en œuvre les règles nécessaires à la mise en place de marchés concurrentiels et liquides.</w:t>
      </w:r>
    </w:p>
    <w:p w:rsidR="00097C2F" w:rsidRDefault="008C0DFC">
      <w:pPr>
        <w:pStyle w:val="ListParagraph"/>
        <w:numPr>
          <w:ilvl w:val="0"/>
          <w:numId w:val="5"/>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u w:val="single"/>
        </w:rPr>
      </w:pPr>
      <w:r>
        <w:rPr>
          <w:rFonts w:ascii="Times New Roman" w:hAnsi="Times New Roman"/>
          <w:i/>
          <w:sz w:val="24"/>
        </w:rPr>
        <w:t>S</w:t>
      </w:r>
      <w:r w:rsidR="00B0065F">
        <w:rPr>
          <w:rFonts w:ascii="Times New Roman" w:hAnsi="Times New Roman"/>
          <w:i/>
          <w:sz w:val="24"/>
        </w:rPr>
        <w:t>’</w:t>
      </w:r>
      <w:r>
        <w:rPr>
          <w:rFonts w:ascii="Times New Roman" w:hAnsi="Times New Roman"/>
          <w:i/>
          <w:sz w:val="24"/>
        </w:rPr>
        <w:t xml:space="preserve">agissant des infrastructures électriques, </w:t>
      </w:r>
      <w:r w:rsidRPr="005A0F82">
        <w:rPr>
          <w:rFonts w:ascii="Times New Roman" w:hAnsi="Times New Roman"/>
          <w:i/>
          <w:sz w:val="24"/>
        </w:rPr>
        <w:t>22</w:t>
      </w:r>
      <w:r>
        <w:rPr>
          <w:rFonts w:ascii="Times New Roman" w:hAnsi="Times New Roman"/>
          <w:i/>
          <w:sz w:val="24"/>
        </w:rPr>
        <w:t xml:space="preserve"> États membres sont sur la bonne voie pour atteindre l</w:t>
      </w:r>
      <w:r w:rsidR="00B0065F">
        <w:rPr>
          <w:rFonts w:ascii="Times New Roman" w:hAnsi="Times New Roman"/>
          <w:i/>
          <w:sz w:val="24"/>
        </w:rPr>
        <w:t>’</w:t>
      </w:r>
      <w:r>
        <w:rPr>
          <w:rFonts w:ascii="Times New Roman" w:hAnsi="Times New Roman"/>
          <w:i/>
          <w:sz w:val="24"/>
        </w:rPr>
        <w:t xml:space="preserve">objectif de </w:t>
      </w:r>
      <w:r w:rsidRPr="005A0F82">
        <w:rPr>
          <w:rFonts w:ascii="Times New Roman" w:hAnsi="Times New Roman"/>
          <w:i/>
          <w:sz w:val="24"/>
        </w:rPr>
        <w:t>10</w:t>
      </w:r>
      <w:r>
        <w:rPr>
          <w:rFonts w:ascii="Times New Roman" w:hAnsi="Times New Roman"/>
          <w:i/>
          <w:sz w:val="24"/>
        </w:rPr>
        <w:t> % de capacité d</w:t>
      </w:r>
      <w:r w:rsidR="00B0065F">
        <w:rPr>
          <w:rFonts w:ascii="Times New Roman" w:hAnsi="Times New Roman"/>
          <w:i/>
          <w:sz w:val="24"/>
        </w:rPr>
        <w:t>’</w:t>
      </w:r>
      <w:r>
        <w:rPr>
          <w:rFonts w:ascii="Times New Roman" w:hAnsi="Times New Roman"/>
          <w:i/>
          <w:sz w:val="24"/>
        </w:rPr>
        <w:t xml:space="preserve">interconnexion électrique pour </w:t>
      </w:r>
      <w:r w:rsidRPr="005A0F82">
        <w:rPr>
          <w:rFonts w:ascii="Times New Roman" w:hAnsi="Times New Roman"/>
          <w:i/>
          <w:sz w:val="24"/>
        </w:rPr>
        <w:t>2020</w:t>
      </w:r>
      <w:r>
        <w:rPr>
          <w:rFonts w:ascii="Times New Roman" w:hAnsi="Times New Roman"/>
          <w:i/>
          <w:sz w:val="24"/>
        </w:rPr>
        <w:t>, ou l</w:t>
      </w:r>
      <w:r w:rsidR="00B0065F">
        <w:rPr>
          <w:rFonts w:ascii="Times New Roman" w:hAnsi="Times New Roman"/>
          <w:i/>
          <w:sz w:val="24"/>
        </w:rPr>
        <w:t>’</w:t>
      </w:r>
      <w:r>
        <w:rPr>
          <w:rFonts w:ascii="Times New Roman" w:hAnsi="Times New Roman"/>
          <w:i/>
          <w:sz w:val="24"/>
        </w:rPr>
        <w:t>ont déjà atteint. Les huit États membres qui restent en deçà de l</w:t>
      </w:r>
      <w:r w:rsidR="00B0065F">
        <w:rPr>
          <w:rFonts w:ascii="Times New Roman" w:hAnsi="Times New Roman"/>
          <w:i/>
          <w:sz w:val="24"/>
        </w:rPr>
        <w:t>’</w:t>
      </w:r>
      <w:r>
        <w:rPr>
          <w:rFonts w:ascii="Times New Roman" w:hAnsi="Times New Roman"/>
          <w:i/>
          <w:sz w:val="24"/>
        </w:rPr>
        <w:t>objectif d</w:t>
      </w:r>
      <w:r w:rsidR="00B0065F">
        <w:rPr>
          <w:rFonts w:ascii="Times New Roman" w:hAnsi="Times New Roman"/>
          <w:i/>
          <w:sz w:val="24"/>
        </w:rPr>
        <w:t>’</w:t>
      </w:r>
      <w:r>
        <w:rPr>
          <w:rFonts w:ascii="Times New Roman" w:hAnsi="Times New Roman"/>
          <w:i/>
          <w:sz w:val="24"/>
        </w:rPr>
        <w:t xml:space="preserve">interconnexion fixé pour </w:t>
      </w:r>
      <w:r w:rsidRPr="005A0F82">
        <w:rPr>
          <w:rFonts w:ascii="Times New Roman" w:hAnsi="Times New Roman"/>
          <w:i/>
          <w:sz w:val="24"/>
        </w:rPr>
        <w:t>2020</w:t>
      </w:r>
      <w:r>
        <w:rPr>
          <w:rFonts w:ascii="Times New Roman" w:hAnsi="Times New Roman"/>
          <w:i/>
          <w:sz w:val="24"/>
        </w:rPr>
        <w:t xml:space="preserve"> sont Chypre, l</w:t>
      </w:r>
      <w:r w:rsidR="00B0065F">
        <w:rPr>
          <w:rFonts w:ascii="Times New Roman" w:hAnsi="Times New Roman"/>
          <w:i/>
          <w:sz w:val="24"/>
        </w:rPr>
        <w:t>’</w:t>
      </w:r>
      <w:r>
        <w:rPr>
          <w:rFonts w:ascii="Times New Roman" w:hAnsi="Times New Roman"/>
          <w:i/>
          <w:sz w:val="24"/>
        </w:rPr>
        <w:t>Irlande, l</w:t>
      </w:r>
      <w:r w:rsidR="00B0065F">
        <w:rPr>
          <w:rFonts w:ascii="Times New Roman" w:hAnsi="Times New Roman"/>
          <w:i/>
          <w:sz w:val="24"/>
        </w:rPr>
        <w:t>’</w:t>
      </w:r>
      <w:r>
        <w:rPr>
          <w:rFonts w:ascii="Times New Roman" w:hAnsi="Times New Roman"/>
          <w:i/>
          <w:sz w:val="24"/>
        </w:rPr>
        <w:t>Italie, la Pologne, le Portugal, la Roumanie, l</w:t>
      </w:r>
      <w:r w:rsidR="00B0065F">
        <w:rPr>
          <w:rFonts w:ascii="Times New Roman" w:hAnsi="Times New Roman"/>
          <w:i/>
          <w:sz w:val="24"/>
        </w:rPr>
        <w:t>’</w:t>
      </w:r>
      <w:r>
        <w:rPr>
          <w:rFonts w:ascii="Times New Roman" w:hAnsi="Times New Roman"/>
          <w:i/>
          <w:sz w:val="24"/>
        </w:rPr>
        <w:t>Espagne et le Royaume-Uni.</w:t>
      </w:r>
    </w:p>
    <w:p w:rsidR="00097C2F" w:rsidRDefault="008C0DFC">
      <w:pPr>
        <w:pStyle w:val="ListParagraph"/>
        <w:numPr>
          <w:ilvl w:val="0"/>
          <w:numId w:val="5"/>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u w:val="single"/>
        </w:rPr>
      </w:pPr>
      <w:r>
        <w:rPr>
          <w:rFonts w:ascii="Times New Roman" w:hAnsi="Times New Roman"/>
          <w:i/>
          <w:sz w:val="24"/>
        </w:rPr>
        <w:t>De nouvelles interconnexions restent nécessaires pour rendre encore plus profond le marché intérieur de l</w:t>
      </w:r>
      <w:r w:rsidR="00B0065F">
        <w:rPr>
          <w:rFonts w:ascii="Times New Roman" w:hAnsi="Times New Roman"/>
          <w:i/>
          <w:sz w:val="24"/>
        </w:rPr>
        <w:t>’</w:t>
      </w:r>
      <w:r>
        <w:rPr>
          <w:rFonts w:ascii="Times New Roman" w:hAnsi="Times New Roman"/>
          <w:i/>
          <w:sz w:val="24"/>
        </w:rPr>
        <w:t xml:space="preserve">électricité (par exemple </w:t>
      </w:r>
      <w:r w:rsidR="007A06FF">
        <w:rPr>
          <w:rFonts w:ascii="Times New Roman" w:hAnsi="Times New Roman"/>
          <w:i/>
          <w:sz w:val="24"/>
        </w:rPr>
        <w:t xml:space="preserve">en </w:t>
      </w:r>
      <w:r>
        <w:rPr>
          <w:rFonts w:ascii="Times New Roman" w:hAnsi="Times New Roman"/>
          <w:i/>
          <w:sz w:val="24"/>
        </w:rPr>
        <w:t>Europe du Sud-Ouest)</w:t>
      </w:r>
      <w:r w:rsidR="007A06FF">
        <w:rPr>
          <w:rFonts w:ascii="Times New Roman" w:hAnsi="Times New Roman"/>
          <w:i/>
          <w:sz w:val="24"/>
        </w:rPr>
        <w:t>,</w:t>
      </w:r>
      <w:r>
        <w:rPr>
          <w:rFonts w:ascii="Times New Roman" w:hAnsi="Times New Roman"/>
          <w:i/>
          <w:sz w:val="24"/>
        </w:rPr>
        <w:t xml:space="preserve"> ainsi qu</w:t>
      </w:r>
      <w:r w:rsidR="00B0065F">
        <w:rPr>
          <w:rFonts w:ascii="Times New Roman" w:hAnsi="Times New Roman"/>
          <w:i/>
          <w:sz w:val="24"/>
        </w:rPr>
        <w:t>’</w:t>
      </w:r>
      <w:r>
        <w:rPr>
          <w:rFonts w:ascii="Times New Roman" w:hAnsi="Times New Roman"/>
          <w:i/>
          <w:sz w:val="24"/>
        </w:rPr>
        <w:t>entre plusieurs États membres d</w:t>
      </w:r>
      <w:r w:rsidR="00B0065F">
        <w:rPr>
          <w:rFonts w:ascii="Times New Roman" w:hAnsi="Times New Roman"/>
          <w:i/>
          <w:sz w:val="24"/>
        </w:rPr>
        <w:t>’</w:t>
      </w:r>
      <w:r>
        <w:rPr>
          <w:rFonts w:ascii="Times New Roman" w:hAnsi="Times New Roman"/>
          <w:i/>
          <w:sz w:val="24"/>
        </w:rPr>
        <w:t>Europe septentrionale et orientale (tels que l</w:t>
      </w:r>
      <w:r w:rsidR="00B0065F">
        <w:rPr>
          <w:rFonts w:ascii="Times New Roman" w:hAnsi="Times New Roman"/>
          <w:i/>
          <w:sz w:val="24"/>
        </w:rPr>
        <w:t>’</w:t>
      </w:r>
      <w:r>
        <w:rPr>
          <w:rFonts w:ascii="Times New Roman" w:hAnsi="Times New Roman"/>
          <w:i/>
          <w:sz w:val="24"/>
        </w:rPr>
        <w:t>Allemagne, la Pologne et la République tchèque), ou encore pour mieux relier certains États membres (l</w:t>
      </w:r>
      <w:r w:rsidR="00B0065F">
        <w:rPr>
          <w:rFonts w:ascii="Times New Roman" w:hAnsi="Times New Roman"/>
          <w:i/>
          <w:sz w:val="24"/>
        </w:rPr>
        <w:t>’</w:t>
      </w:r>
      <w:r>
        <w:rPr>
          <w:rFonts w:ascii="Times New Roman" w:hAnsi="Times New Roman"/>
          <w:i/>
          <w:sz w:val="24"/>
        </w:rPr>
        <w:t>Irlande et le Royaume-Uni) avec le reste de l</w:t>
      </w:r>
      <w:r w:rsidR="00B0065F">
        <w:rPr>
          <w:rFonts w:ascii="Times New Roman" w:hAnsi="Times New Roman"/>
          <w:i/>
          <w:sz w:val="24"/>
        </w:rPr>
        <w:t>’</w:t>
      </w:r>
      <w:r>
        <w:rPr>
          <w:rFonts w:ascii="Times New Roman" w:hAnsi="Times New Roman"/>
          <w:i/>
          <w:sz w:val="24"/>
        </w:rPr>
        <w:t>Europe du Nord-Ouest.</w:t>
      </w:r>
    </w:p>
    <w:p w:rsidR="00097C2F" w:rsidRDefault="007A06FF">
      <w:pPr>
        <w:pStyle w:val="ListParagraph"/>
        <w:numPr>
          <w:ilvl w:val="0"/>
          <w:numId w:val="5"/>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Pr>
          <w:rFonts w:ascii="Times New Roman" w:hAnsi="Times New Roman"/>
          <w:i/>
          <w:sz w:val="24"/>
        </w:rPr>
        <w:t>Sur la base</w:t>
      </w:r>
      <w:r w:rsidR="008C0DFC">
        <w:rPr>
          <w:rFonts w:ascii="Times New Roman" w:hAnsi="Times New Roman"/>
          <w:i/>
          <w:sz w:val="24"/>
        </w:rPr>
        <w:t xml:space="preserve"> d</w:t>
      </w:r>
      <w:r w:rsidR="00B0065F">
        <w:rPr>
          <w:rFonts w:ascii="Times New Roman" w:hAnsi="Times New Roman"/>
          <w:i/>
          <w:sz w:val="24"/>
        </w:rPr>
        <w:t>’</w:t>
      </w:r>
      <w:r w:rsidR="008C0DFC">
        <w:rPr>
          <w:rFonts w:ascii="Times New Roman" w:hAnsi="Times New Roman"/>
          <w:i/>
          <w:sz w:val="24"/>
        </w:rPr>
        <w:t>un récent arrêt de la Cour de justice de l</w:t>
      </w:r>
      <w:r w:rsidR="00B0065F">
        <w:rPr>
          <w:rFonts w:ascii="Times New Roman" w:hAnsi="Times New Roman"/>
          <w:i/>
          <w:sz w:val="24"/>
        </w:rPr>
        <w:t>’</w:t>
      </w:r>
      <w:r w:rsidR="008C0DFC">
        <w:rPr>
          <w:rFonts w:ascii="Times New Roman" w:hAnsi="Times New Roman"/>
          <w:i/>
          <w:sz w:val="24"/>
        </w:rPr>
        <w:t>UE, la réglementation des prix de détail doit être limitée dans le temps et s</w:t>
      </w:r>
      <w:r w:rsidR="00B0065F">
        <w:rPr>
          <w:rFonts w:ascii="Times New Roman" w:hAnsi="Times New Roman"/>
          <w:i/>
          <w:sz w:val="24"/>
        </w:rPr>
        <w:t>’</w:t>
      </w:r>
      <w:r w:rsidR="008C0DFC">
        <w:rPr>
          <w:rFonts w:ascii="Times New Roman" w:hAnsi="Times New Roman"/>
          <w:i/>
          <w:sz w:val="24"/>
        </w:rPr>
        <w:t>appliquer uniquement à des cas exceptionnels</w:t>
      </w:r>
      <w:r w:rsidR="008C0DFC">
        <w:rPr>
          <w:rStyle w:val="FootnoteReference"/>
          <w:rFonts w:ascii="Times New Roman" w:hAnsi="Times New Roman"/>
          <w:i/>
          <w:sz w:val="24"/>
        </w:rPr>
        <w:footnoteReference w:id="26"/>
      </w:r>
      <w:r w:rsidR="008C0DFC">
        <w:rPr>
          <w:rFonts w:ascii="Times New Roman" w:hAnsi="Times New Roman"/>
          <w:i/>
          <w:sz w:val="24"/>
        </w:rPr>
        <w:t xml:space="preserve">. Alors que plusieurs États membres (Irlande, Lettonie) ont récemment abandonné avec succès la réglementation des tarifs pour les consommateurs finaux, les prix facturés aux ménages restent réglementés à des degrés divers dans près de la moitié des États </w:t>
      </w:r>
      <w:r w:rsidR="008C0DFC">
        <w:rPr>
          <w:rFonts w:ascii="Times New Roman" w:hAnsi="Times New Roman"/>
          <w:i/>
          <w:sz w:val="24"/>
        </w:rPr>
        <w:lastRenderedPageBreak/>
        <w:t>membres, ce qui peut constituer un obstacle à la participation des acteurs de la demande et entraver la concurrence sur les marchés de détail.</w:t>
      </w:r>
    </w:p>
    <w:p w:rsidR="00097C2F" w:rsidRDefault="008C0DFC">
      <w:pPr>
        <w:pStyle w:val="ListParagraph"/>
        <w:numPr>
          <w:ilvl w:val="0"/>
          <w:numId w:val="5"/>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Pr>
          <w:rFonts w:ascii="Times New Roman" w:hAnsi="Times New Roman"/>
          <w:i/>
          <w:sz w:val="24"/>
        </w:rPr>
        <w:t xml:space="preserve">Il est indispensable que tous les États membres informent mieux les consommateurs sur les possibilités </w:t>
      </w:r>
      <w:r w:rsidR="00323CF7">
        <w:rPr>
          <w:rFonts w:ascii="Times New Roman" w:hAnsi="Times New Roman"/>
          <w:i/>
          <w:sz w:val="24"/>
        </w:rPr>
        <w:t xml:space="preserve">qui leur sont proposées </w:t>
      </w:r>
      <w:r>
        <w:rPr>
          <w:rFonts w:ascii="Times New Roman" w:hAnsi="Times New Roman"/>
          <w:i/>
          <w:sz w:val="24"/>
        </w:rPr>
        <w:t>en matière d</w:t>
      </w:r>
      <w:r w:rsidR="00B0065F">
        <w:rPr>
          <w:rFonts w:ascii="Times New Roman" w:hAnsi="Times New Roman"/>
          <w:i/>
          <w:sz w:val="24"/>
        </w:rPr>
        <w:t>’</w:t>
      </w:r>
      <w:r>
        <w:rPr>
          <w:rFonts w:ascii="Times New Roman" w:hAnsi="Times New Roman"/>
          <w:i/>
          <w:sz w:val="24"/>
        </w:rPr>
        <w:t>efficacité énergétique, et qu</w:t>
      </w:r>
      <w:r w:rsidR="00B0065F">
        <w:rPr>
          <w:rFonts w:ascii="Times New Roman" w:hAnsi="Times New Roman"/>
          <w:i/>
          <w:sz w:val="24"/>
        </w:rPr>
        <w:t>’</w:t>
      </w:r>
      <w:r>
        <w:rPr>
          <w:rFonts w:ascii="Times New Roman" w:hAnsi="Times New Roman"/>
          <w:i/>
          <w:sz w:val="24"/>
        </w:rPr>
        <w:t>ils continuent à améliorer les conditions d</w:t>
      </w:r>
      <w:r w:rsidR="00B0065F">
        <w:rPr>
          <w:rFonts w:ascii="Times New Roman" w:hAnsi="Times New Roman"/>
          <w:i/>
          <w:sz w:val="24"/>
        </w:rPr>
        <w:t>’</w:t>
      </w:r>
      <w:r>
        <w:rPr>
          <w:rFonts w:ascii="Times New Roman" w:hAnsi="Times New Roman"/>
          <w:i/>
          <w:sz w:val="24"/>
        </w:rPr>
        <w:t>investissement dont bénéficient les consommateurs privés. Il faut prévoir en outre des mesures plus ciblées en faveur des consommateurs vulnérables, afin de combattre efficacement la précarité énergétique.</w:t>
      </w:r>
    </w:p>
    <w:p w:rsidR="00097C2F" w:rsidRDefault="008C0DFC">
      <w:pPr>
        <w:pStyle w:val="ListParagraph"/>
        <w:numPr>
          <w:ilvl w:val="0"/>
          <w:numId w:val="5"/>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Pr>
          <w:rFonts w:ascii="Times New Roman" w:hAnsi="Times New Roman"/>
          <w:i/>
          <w:sz w:val="24"/>
        </w:rPr>
        <w:t>La responsabilisation des consommateurs grâce au déploiement de compteurs intelligents n</w:t>
      </w:r>
      <w:r w:rsidR="00B0065F">
        <w:rPr>
          <w:rFonts w:ascii="Times New Roman" w:hAnsi="Times New Roman"/>
          <w:i/>
          <w:sz w:val="24"/>
        </w:rPr>
        <w:t>’</w:t>
      </w:r>
      <w:r>
        <w:rPr>
          <w:rFonts w:ascii="Times New Roman" w:hAnsi="Times New Roman"/>
          <w:i/>
          <w:sz w:val="24"/>
        </w:rPr>
        <w:t>a été mise en œuvre avec succès que dans certains États membres (principalement la Finlande, l</w:t>
      </w:r>
      <w:r w:rsidR="00B0065F">
        <w:rPr>
          <w:rFonts w:ascii="Times New Roman" w:hAnsi="Times New Roman"/>
          <w:i/>
          <w:sz w:val="24"/>
        </w:rPr>
        <w:t>’</w:t>
      </w:r>
      <w:r>
        <w:rPr>
          <w:rFonts w:ascii="Times New Roman" w:hAnsi="Times New Roman"/>
          <w:i/>
          <w:sz w:val="24"/>
        </w:rPr>
        <w:t>Italie et la Suède) et, dans une moindre mesure, dans quelques autres (dont le Danemark, l</w:t>
      </w:r>
      <w:r w:rsidR="00B0065F">
        <w:rPr>
          <w:rFonts w:ascii="Times New Roman" w:hAnsi="Times New Roman"/>
          <w:i/>
          <w:sz w:val="24"/>
        </w:rPr>
        <w:t>’</w:t>
      </w:r>
      <w:r>
        <w:rPr>
          <w:rFonts w:ascii="Times New Roman" w:hAnsi="Times New Roman"/>
          <w:i/>
          <w:sz w:val="24"/>
        </w:rPr>
        <w:t>Estonie et les Pays-Bas). Dans plusieurs États membres, les consommateurs qui cherchent à changer de fournisseur pour bénéficier de meilleures conditions contractuelles se heurtent à</w:t>
      </w:r>
      <w:r w:rsidR="007A06FF">
        <w:rPr>
          <w:rFonts w:ascii="Times New Roman" w:hAnsi="Times New Roman"/>
          <w:i/>
          <w:sz w:val="24"/>
        </w:rPr>
        <w:t xml:space="preserve"> </w:t>
      </w:r>
      <w:r>
        <w:rPr>
          <w:rFonts w:ascii="Times New Roman" w:hAnsi="Times New Roman"/>
          <w:i/>
          <w:sz w:val="24"/>
        </w:rPr>
        <w:t>des contraintes administratives.</w:t>
      </w:r>
    </w:p>
    <w:p w:rsidR="00097C2F" w:rsidRDefault="008C0DFC">
      <w:pPr>
        <w:pStyle w:val="ListParagraph"/>
        <w:numPr>
          <w:ilvl w:val="0"/>
          <w:numId w:val="5"/>
        </w:numPr>
        <w:pBdr>
          <w:top w:val="single" w:sz="4" w:space="1" w:color="auto"/>
          <w:left w:val="single" w:sz="4" w:space="4" w:color="auto"/>
          <w:bottom w:val="single" w:sz="4" w:space="1" w:color="auto"/>
          <w:right w:val="single" w:sz="4" w:space="4" w:color="auto"/>
        </w:pBdr>
        <w:spacing w:after="240" w:line="240" w:lineRule="auto"/>
        <w:ind w:left="426" w:hanging="426"/>
        <w:contextualSpacing w:val="0"/>
        <w:jc w:val="both"/>
        <w:rPr>
          <w:rFonts w:ascii="Times New Roman" w:hAnsi="Times New Roman"/>
          <w:sz w:val="24"/>
          <w:szCs w:val="24"/>
        </w:rPr>
      </w:pPr>
      <w:r>
        <w:rPr>
          <w:rFonts w:ascii="Times New Roman" w:hAnsi="Times New Roman"/>
          <w:i/>
          <w:sz w:val="24"/>
        </w:rPr>
        <w:t>Au niveau régional, à la mi-</w:t>
      </w:r>
      <w:r w:rsidRPr="005A0F82">
        <w:rPr>
          <w:rFonts w:ascii="Times New Roman" w:hAnsi="Times New Roman"/>
          <w:i/>
          <w:sz w:val="24"/>
        </w:rPr>
        <w:t>2015</w:t>
      </w:r>
      <w:r>
        <w:rPr>
          <w:rFonts w:ascii="Times New Roman" w:hAnsi="Times New Roman"/>
          <w:i/>
          <w:sz w:val="24"/>
        </w:rPr>
        <w:t>, la plus grande partie des marchés de gros de l</w:t>
      </w:r>
      <w:r w:rsidR="00B0065F">
        <w:rPr>
          <w:rFonts w:ascii="Times New Roman" w:hAnsi="Times New Roman"/>
          <w:i/>
          <w:sz w:val="24"/>
        </w:rPr>
        <w:t>’</w:t>
      </w:r>
      <w:r>
        <w:rPr>
          <w:rFonts w:ascii="Times New Roman" w:hAnsi="Times New Roman"/>
          <w:i/>
          <w:sz w:val="24"/>
        </w:rPr>
        <w:t>électricité dans l</w:t>
      </w:r>
      <w:r w:rsidR="00B0065F">
        <w:rPr>
          <w:rFonts w:ascii="Times New Roman" w:hAnsi="Times New Roman"/>
          <w:i/>
          <w:sz w:val="24"/>
        </w:rPr>
        <w:t>’</w:t>
      </w:r>
      <w:r>
        <w:rPr>
          <w:rFonts w:ascii="Times New Roman" w:hAnsi="Times New Roman"/>
          <w:i/>
          <w:sz w:val="24"/>
        </w:rPr>
        <w:t>UE étaient couplés à un ou plusieurs marchés voisins et montraient des signes de convergence des prix. La situation est plus contrastée en ce qui concerne le gaz. Malgré une certaine convergence des prix sur les grandes plateformes gazières européennes, des écarts de prix marqués persistent et l</w:t>
      </w:r>
      <w:r w:rsidR="00B0065F">
        <w:rPr>
          <w:rFonts w:ascii="Times New Roman" w:hAnsi="Times New Roman"/>
          <w:i/>
          <w:sz w:val="24"/>
        </w:rPr>
        <w:t>’</w:t>
      </w:r>
      <w:r>
        <w:rPr>
          <w:rFonts w:ascii="Times New Roman" w:hAnsi="Times New Roman"/>
          <w:i/>
          <w:sz w:val="24"/>
        </w:rPr>
        <w:t>intégration du marché reste insuffisante dans l</w:t>
      </w:r>
      <w:r w:rsidR="00B0065F">
        <w:rPr>
          <w:rFonts w:ascii="Times New Roman" w:hAnsi="Times New Roman"/>
          <w:i/>
          <w:sz w:val="24"/>
        </w:rPr>
        <w:t>’</w:t>
      </w:r>
      <w:r>
        <w:rPr>
          <w:rFonts w:ascii="Times New Roman" w:hAnsi="Times New Roman"/>
          <w:i/>
          <w:sz w:val="24"/>
        </w:rPr>
        <w:t>ensemble de l</w:t>
      </w:r>
      <w:r w:rsidR="00B0065F">
        <w:rPr>
          <w:rFonts w:ascii="Times New Roman" w:hAnsi="Times New Roman"/>
          <w:i/>
          <w:sz w:val="24"/>
        </w:rPr>
        <w:t>’</w:t>
      </w:r>
      <w:r>
        <w:rPr>
          <w:rFonts w:ascii="Times New Roman" w:hAnsi="Times New Roman"/>
          <w:i/>
          <w:sz w:val="24"/>
        </w:rPr>
        <w:t xml:space="preserve">UE, notamment en raison des </w:t>
      </w:r>
      <w:r w:rsidR="007A06FF">
        <w:rPr>
          <w:rFonts w:ascii="Times New Roman" w:hAnsi="Times New Roman"/>
          <w:i/>
          <w:sz w:val="24"/>
        </w:rPr>
        <w:t xml:space="preserve">incidences </w:t>
      </w:r>
      <w:r>
        <w:rPr>
          <w:rFonts w:ascii="Times New Roman" w:hAnsi="Times New Roman"/>
          <w:i/>
          <w:sz w:val="24"/>
        </w:rPr>
        <w:t>des contrats à long terme et des interconnexions manquantes. Les marchés de détail, tant pour l</w:t>
      </w:r>
      <w:r w:rsidR="00B0065F">
        <w:rPr>
          <w:rFonts w:ascii="Times New Roman" w:hAnsi="Times New Roman"/>
          <w:i/>
          <w:sz w:val="24"/>
        </w:rPr>
        <w:t>’</w:t>
      </w:r>
      <w:r>
        <w:rPr>
          <w:rFonts w:ascii="Times New Roman" w:hAnsi="Times New Roman"/>
          <w:i/>
          <w:sz w:val="24"/>
        </w:rPr>
        <w:t xml:space="preserve">électricité que pour le gaz, ont </w:t>
      </w:r>
      <w:r w:rsidR="00577F0F">
        <w:rPr>
          <w:rFonts w:ascii="Times New Roman" w:hAnsi="Times New Roman"/>
          <w:i/>
          <w:sz w:val="24"/>
        </w:rPr>
        <w:t xml:space="preserve">encore </w:t>
      </w:r>
      <w:r>
        <w:rPr>
          <w:rFonts w:ascii="Times New Roman" w:hAnsi="Times New Roman"/>
          <w:i/>
          <w:sz w:val="24"/>
        </w:rPr>
        <w:t xml:space="preserve">une dimension nationale (ou infranationale). Des efforts supplémentaires sont attendus de </w:t>
      </w:r>
      <w:r w:rsidR="007A06FF">
        <w:rPr>
          <w:rFonts w:ascii="Times New Roman" w:hAnsi="Times New Roman"/>
          <w:i/>
          <w:sz w:val="24"/>
        </w:rPr>
        <w:t xml:space="preserve">la part de </w:t>
      </w:r>
      <w:r>
        <w:rPr>
          <w:rFonts w:ascii="Times New Roman" w:hAnsi="Times New Roman"/>
          <w:i/>
          <w:sz w:val="24"/>
        </w:rPr>
        <w:t>tous les États membres pour faire progresser l</w:t>
      </w:r>
      <w:r w:rsidR="00B0065F">
        <w:rPr>
          <w:rFonts w:ascii="Times New Roman" w:hAnsi="Times New Roman"/>
          <w:i/>
          <w:sz w:val="24"/>
        </w:rPr>
        <w:t>’</w:t>
      </w:r>
      <w:r>
        <w:rPr>
          <w:rFonts w:ascii="Times New Roman" w:hAnsi="Times New Roman"/>
          <w:i/>
          <w:sz w:val="24"/>
        </w:rPr>
        <w:t>intégration régionale des marchés.</w:t>
      </w:r>
    </w:p>
    <w:p w:rsidR="00097C2F" w:rsidRDefault="008C0DFC">
      <w:pPr>
        <w:spacing w:after="240" w:line="240" w:lineRule="auto"/>
        <w:jc w:val="both"/>
        <w:rPr>
          <w:rFonts w:ascii="Times New Roman" w:hAnsi="Times New Roman"/>
          <w:b/>
          <w:smallCaps/>
          <w:sz w:val="24"/>
          <w:szCs w:val="24"/>
        </w:rPr>
      </w:pPr>
      <w:r w:rsidRPr="005A0F82">
        <w:rPr>
          <w:rFonts w:ascii="Times New Roman" w:hAnsi="Times New Roman"/>
          <w:b/>
          <w:smallCaps/>
          <w:sz w:val="24"/>
        </w:rPr>
        <w:t>5</w:t>
      </w:r>
      <w:r>
        <w:rPr>
          <w:rFonts w:ascii="Times New Roman" w:hAnsi="Times New Roman"/>
          <w:b/>
          <w:smallCaps/>
          <w:sz w:val="24"/>
        </w:rPr>
        <w:t xml:space="preserve">. </w:t>
      </w:r>
      <w:r>
        <w:tab/>
      </w:r>
      <w:r>
        <w:rPr>
          <w:rFonts w:ascii="Times New Roman" w:hAnsi="Times New Roman"/>
          <w:b/>
          <w:smallCaps/>
          <w:sz w:val="24"/>
        </w:rPr>
        <w:t>Sécurité énergétique, solidarité et confiance</w:t>
      </w:r>
    </w:p>
    <w:p w:rsidR="00097C2F" w:rsidRDefault="008C0DFC">
      <w:pPr>
        <w:spacing w:after="240" w:line="240" w:lineRule="auto"/>
        <w:jc w:val="both"/>
        <w:rPr>
          <w:rFonts w:ascii="Times New Roman" w:hAnsi="Times New Roman"/>
          <w:sz w:val="24"/>
          <w:szCs w:val="24"/>
        </w:rPr>
      </w:pPr>
      <w:r>
        <w:rPr>
          <w:rFonts w:ascii="Times New Roman" w:hAnsi="Times New Roman"/>
          <w:i/>
          <w:sz w:val="24"/>
        </w:rPr>
        <w:t>Progrès accomplis</w:t>
      </w:r>
    </w:p>
    <w:p w:rsidR="00097C2F" w:rsidRDefault="008C0DFC">
      <w:pPr>
        <w:spacing w:after="240" w:line="240" w:lineRule="auto"/>
        <w:jc w:val="both"/>
        <w:rPr>
          <w:rFonts w:ascii="Times New Roman" w:hAnsi="Times New Roman"/>
          <w:sz w:val="24"/>
          <w:szCs w:val="24"/>
        </w:rPr>
      </w:pPr>
      <w:r>
        <w:rPr>
          <w:rFonts w:ascii="Times New Roman" w:hAnsi="Times New Roman"/>
          <w:sz w:val="24"/>
        </w:rPr>
        <w:t>L</w:t>
      </w:r>
      <w:r w:rsidR="00B0065F">
        <w:rPr>
          <w:rFonts w:ascii="Times New Roman" w:hAnsi="Times New Roman"/>
          <w:sz w:val="24"/>
        </w:rPr>
        <w:t>’</w:t>
      </w:r>
      <w:r>
        <w:rPr>
          <w:rFonts w:ascii="Times New Roman" w:hAnsi="Times New Roman"/>
          <w:sz w:val="24"/>
        </w:rPr>
        <w:t>Union et ses États membres ont décidé de soutenir une action plus cohérente en matière de politique étrangère et énergétique de l</w:t>
      </w:r>
      <w:r w:rsidR="00B0065F">
        <w:rPr>
          <w:rFonts w:ascii="Times New Roman" w:hAnsi="Times New Roman"/>
          <w:sz w:val="24"/>
        </w:rPr>
        <w:t>’</w:t>
      </w:r>
      <w:r>
        <w:rPr>
          <w:rFonts w:ascii="Times New Roman" w:hAnsi="Times New Roman"/>
          <w:sz w:val="24"/>
        </w:rPr>
        <w:t>U</w:t>
      </w:r>
      <w:r w:rsidR="007A06FF">
        <w:rPr>
          <w:rFonts w:ascii="Times New Roman" w:hAnsi="Times New Roman"/>
          <w:sz w:val="24"/>
        </w:rPr>
        <w:t>nion</w:t>
      </w:r>
      <w:r>
        <w:rPr>
          <w:rFonts w:ascii="Times New Roman" w:hAnsi="Times New Roman"/>
          <w:sz w:val="24"/>
        </w:rPr>
        <w:t>, qui tienne compte de</w:t>
      </w:r>
      <w:r w:rsidR="007A06FF">
        <w:rPr>
          <w:rFonts w:ascii="Times New Roman" w:hAnsi="Times New Roman"/>
          <w:sz w:val="24"/>
        </w:rPr>
        <w:t xml:space="preserve"> l</w:t>
      </w:r>
      <w:r w:rsidR="00B0065F">
        <w:rPr>
          <w:rFonts w:ascii="Times New Roman" w:hAnsi="Times New Roman"/>
          <w:sz w:val="24"/>
        </w:rPr>
        <w:t>’</w:t>
      </w:r>
      <w:r>
        <w:rPr>
          <w:rFonts w:ascii="Times New Roman" w:hAnsi="Times New Roman"/>
          <w:sz w:val="24"/>
        </w:rPr>
        <w:t xml:space="preserve">évolution géopolitique. En juillet </w:t>
      </w:r>
      <w:r w:rsidRPr="005A0F82">
        <w:rPr>
          <w:rFonts w:ascii="Times New Roman" w:hAnsi="Times New Roman"/>
          <w:sz w:val="24"/>
        </w:rPr>
        <w:t>2015</w:t>
      </w:r>
      <w:r>
        <w:rPr>
          <w:rFonts w:ascii="Times New Roman" w:hAnsi="Times New Roman"/>
          <w:sz w:val="24"/>
        </w:rPr>
        <w:t>, le Conseil a adopté des conclusions sur la diplomatie énergétique, ainsi qu</w:t>
      </w:r>
      <w:r w:rsidR="00B0065F">
        <w:rPr>
          <w:rFonts w:ascii="Times New Roman" w:hAnsi="Times New Roman"/>
          <w:sz w:val="24"/>
        </w:rPr>
        <w:t>’</w:t>
      </w:r>
      <w:r>
        <w:rPr>
          <w:rFonts w:ascii="Times New Roman" w:hAnsi="Times New Roman"/>
          <w:sz w:val="24"/>
        </w:rPr>
        <w:t>un plan d</w:t>
      </w:r>
      <w:r w:rsidR="00B0065F">
        <w:rPr>
          <w:rFonts w:ascii="Times New Roman" w:hAnsi="Times New Roman"/>
          <w:sz w:val="24"/>
        </w:rPr>
        <w:t>’</w:t>
      </w:r>
      <w:r>
        <w:rPr>
          <w:rFonts w:ascii="Times New Roman" w:hAnsi="Times New Roman"/>
          <w:sz w:val="24"/>
        </w:rPr>
        <w:t>action</w:t>
      </w:r>
      <w:r>
        <w:rPr>
          <w:rStyle w:val="FootnoteReference"/>
          <w:rFonts w:ascii="Times New Roman" w:hAnsi="Times New Roman"/>
          <w:sz w:val="24"/>
        </w:rPr>
        <w:footnoteReference w:id="27"/>
      </w:r>
      <w:r>
        <w:rPr>
          <w:rFonts w:ascii="Times New Roman" w:hAnsi="Times New Roman"/>
          <w:sz w:val="24"/>
        </w:rPr>
        <w:t>, qui soulignent la nécessité de renforcer les dialogues bilatéraux et multilatéraux, de recourir davantage à des instruments de politique étrangère pour améliorer la diversification, ainsi que de promouvoir l</w:t>
      </w:r>
      <w:r w:rsidR="00B0065F">
        <w:rPr>
          <w:rFonts w:ascii="Times New Roman" w:hAnsi="Times New Roman"/>
          <w:sz w:val="24"/>
        </w:rPr>
        <w:t>’</w:t>
      </w:r>
      <w:r>
        <w:rPr>
          <w:rFonts w:ascii="Times New Roman" w:hAnsi="Times New Roman"/>
          <w:sz w:val="24"/>
        </w:rPr>
        <w:t>établissement de marchés de l</w:t>
      </w:r>
      <w:r w:rsidR="00B0065F">
        <w:rPr>
          <w:rFonts w:ascii="Times New Roman" w:hAnsi="Times New Roman"/>
          <w:sz w:val="24"/>
        </w:rPr>
        <w:t>’</w:t>
      </w:r>
      <w:r>
        <w:rPr>
          <w:rFonts w:ascii="Times New Roman" w:hAnsi="Times New Roman"/>
          <w:sz w:val="24"/>
        </w:rPr>
        <w:t>énergie fondés sur des règles, transparents et durables.</w:t>
      </w:r>
    </w:p>
    <w:p w:rsidR="00097C2F" w:rsidRDefault="008C0DFC">
      <w:pPr>
        <w:spacing w:after="240" w:line="240" w:lineRule="auto"/>
        <w:jc w:val="both"/>
        <w:rPr>
          <w:rFonts w:ascii="Times New Roman" w:hAnsi="Times New Roman"/>
          <w:sz w:val="24"/>
          <w:szCs w:val="24"/>
        </w:rPr>
      </w:pPr>
      <w:r>
        <w:rPr>
          <w:rFonts w:ascii="Times New Roman" w:hAnsi="Times New Roman"/>
          <w:sz w:val="24"/>
        </w:rPr>
        <w:t xml:space="preserve">La transition vers une économie compétitive à faible intensité de carbone réduira le recours </w:t>
      </w:r>
      <w:r w:rsidR="00C67C3E">
        <w:rPr>
          <w:rFonts w:ascii="Times New Roman" w:hAnsi="Times New Roman"/>
          <w:sz w:val="24"/>
        </w:rPr>
        <w:t>aux importations de</w:t>
      </w:r>
      <w:r>
        <w:rPr>
          <w:rFonts w:ascii="Times New Roman" w:hAnsi="Times New Roman"/>
          <w:sz w:val="24"/>
        </w:rPr>
        <w:t xml:space="preserve"> combustibles fossiles en modérant la demande d</w:t>
      </w:r>
      <w:r w:rsidR="00B0065F">
        <w:rPr>
          <w:rFonts w:ascii="Times New Roman" w:hAnsi="Times New Roman"/>
          <w:sz w:val="24"/>
        </w:rPr>
        <w:t>’</w:t>
      </w:r>
      <w:r>
        <w:rPr>
          <w:rFonts w:ascii="Times New Roman" w:hAnsi="Times New Roman"/>
          <w:sz w:val="24"/>
        </w:rPr>
        <w:t xml:space="preserve">énergie et </w:t>
      </w:r>
      <w:r w:rsidR="00C67C3E">
        <w:rPr>
          <w:rFonts w:ascii="Times New Roman" w:hAnsi="Times New Roman"/>
          <w:sz w:val="24"/>
        </w:rPr>
        <w:t>permettant d</w:t>
      </w:r>
      <w:r w:rsidR="00B0065F">
        <w:rPr>
          <w:rFonts w:ascii="Times New Roman" w:hAnsi="Times New Roman"/>
          <w:sz w:val="24"/>
        </w:rPr>
        <w:t>’</w:t>
      </w:r>
      <w:r w:rsidR="00C67C3E">
        <w:rPr>
          <w:rFonts w:ascii="Times New Roman" w:hAnsi="Times New Roman"/>
          <w:sz w:val="24"/>
        </w:rPr>
        <w:t xml:space="preserve">exploiter </w:t>
      </w:r>
      <w:r>
        <w:rPr>
          <w:rFonts w:ascii="Times New Roman" w:hAnsi="Times New Roman"/>
          <w:sz w:val="24"/>
        </w:rPr>
        <w:t>les sources d</w:t>
      </w:r>
      <w:r w:rsidR="00B0065F">
        <w:rPr>
          <w:rFonts w:ascii="Times New Roman" w:hAnsi="Times New Roman"/>
          <w:sz w:val="24"/>
        </w:rPr>
        <w:t>’</w:t>
      </w:r>
      <w:r>
        <w:rPr>
          <w:rFonts w:ascii="Times New Roman" w:hAnsi="Times New Roman"/>
          <w:sz w:val="24"/>
        </w:rPr>
        <w:t>énergie renouvelables et d</w:t>
      </w:r>
      <w:r w:rsidR="00B0065F">
        <w:rPr>
          <w:rFonts w:ascii="Times New Roman" w:hAnsi="Times New Roman"/>
          <w:sz w:val="24"/>
        </w:rPr>
        <w:t>’</w:t>
      </w:r>
      <w:r>
        <w:rPr>
          <w:rFonts w:ascii="Times New Roman" w:hAnsi="Times New Roman"/>
          <w:sz w:val="24"/>
        </w:rPr>
        <w:t>autres sources d</w:t>
      </w:r>
      <w:r w:rsidR="00B0065F">
        <w:rPr>
          <w:rFonts w:ascii="Times New Roman" w:hAnsi="Times New Roman"/>
          <w:sz w:val="24"/>
        </w:rPr>
        <w:t>’</w:t>
      </w:r>
      <w:r>
        <w:rPr>
          <w:rFonts w:ascii="Times New Roman" w:hAnsi="Times New Roman"/>
          <w:sz w:val="24"/>
        </w:rPr>
        <w:t>énergie indigènes. L</w:t>
      </w:r>
      <w:r w:rsidR="00B0065F">
        <w:rPr>
          <w:rFonts w:ascii="Times New Roman" w:hAnsi="Times New Roman"/>
          <w:sz w:val="24"/>
        </w:rPr>
        <w:t>’</w:t>
      </w:r>
      <w:r>
        <w:rPr>
          <w:rFonts w:ascii="Times New Roman" w:hAnsi="Times New Roman"/>
          <w:sz w:val="24"/>
        </w:rPr>
        <w:t>investissement dans des infrastructures résilientes doit tenir compte de cette évolution de l</w:t>
      </w:r>
      <w:r w:rsidR="00B0065F">
        <w:rPr>
          <w:rFonts w:ascii="Times New Roman" w:hAnsi="Times New Roman"/>
          <w:sz w:val="24"/>
        </w:rPr>
        <w:t>’</w:t>
      </w:r>
      <w:r>
        <w:rPr>
          <w:rFonts w:ascii="Times New Roman" w:hAnsi="Times New Roman"/>
          <w:sz w:val="24"/>
        </w:rPr>
        <w:t>environnement, afin d</w:t>
      </w:r>
      <w:r w:rsidR="00B0065F">
        <w:rPr>
          <w:rFonts w:ascii="Times New Roman" w:hAnsi="Times New Roman"/>
          <w:sz w:val="24"/>
        </w:rPr>
        <w:t>’</w:t>
      </w:r>
      <w:r>
        <w:rPr>
          <w:rFonts w:ascii="Times New Roman" w:hAnsi="Times New Roman"/>
          <w:sz w:val="24"/>
        </w:rPr>
        <w:t>éviter l</w:t>
      </w:r>
      <w:r w:rsidR="00B0065F">
        <w:rPr>
          <w:rFonts w:ascii="Times New Roman" w:hAnsi="Times New Roman"/>
          <w:sz w:val="24"/>
        </w:rPr>
        <w:t>’</w:t>
      </w:r>
      <w:r>
        <w:rPr>
          <w:rFonts w:ascii="Times New Roman" w:hAnsi="Times New Roman"/>
          <w:sz w:val="24"/>
        </w:rPr>
        <w:t>accumulation d</w:t>
      </w:r>
      <w:r w:rsidR="00B0065F">
        <w:rPr>
          <w:rFonts w:ascii="Times New Roman" w:hAnsi="Times New Roman"/>
          <w:sz w:val="24"/>
        </w:rPr>
        <w:t>’</w:t>
      </w:r>
      <w:r>
        <w:rPr>
          <w:rFonts w:ascii="Times New Roman" w:hAnsi="Times New Roman"/>
          <w:sz w:val="24"/>
        </w:rPr>
        <w:t>actifs irrécupérables.</w:t>
      </w:r>
    </w:p>
    <w:p w:rsidR="00097C2F" w:rsidRDefault="008C0DFC">
      <w:pPr>
        <w:spacing w:after="240" w:line="240" w:lineRule="auto"/>
        <w:jc w:val="both"/>
        <w:rPr>
          <w:rFonts w:ascii="Times New Roman" w:hAnsi="Times New Roman"/>
          <w:sz w:val="24"/>
          <w:szCs w:val="24"/>
        </w:rPr>
      </w:pPr>
      <w:r>
        <w:rPr>
          <w:rFonts w:ascii="Times New Roman" w:hAnsi="Times New Roman"/>
          <w:sz w:val="24"/>
        </w:rPr>
        <w:t>L</w:t>
      </w:r>
      <w:r w:rsidR="00B0065F">
        <w:rPr>
          <w:rFonts w:ascii="Times New Roman" w:hAnsi="Times New Roman"/>
          <w:sz w:val="24"/>
        </w:rPr>
        <w:t>’</w:t>
      </w:r>
      <w:r>
        <w:rPr>
          <w:rFonts w:ascii="Times New Roman" w:hAnsi="Times New Roman"/>
          <w:sz w:val="24"/>
        </w:rPr>
        <w:t xml:space="preserve">année </w:t>
      </w:r>
      <w:r w:rsidRPr="005A0F82">
        <w:rPr>
          <w:rFonts w:ascii="Times New Roman" w:hAnsi="Times New Roman"/>
          <w:sz w:val="24"/>
        </w:rPr>
        <w:t>2015</w:t>
      </w:r>
      <w:r>
        <w:rPr>
          <w:rFonts w:ascii="Times New Roman" w:hAnsi="Times New Roman"/>
          <w:sz w:val="24"/>
        </w:rPr>
        <w:t xml:space="preserve"> a été marquée par </w:t>
      </w:r>
      <w:r w:rsidR="003F1789">
        <w:rPr>
          <w:rFonts w:ascii="Times New Roman" w:hAnsi="Times New Roman"/>
          <w:sz w:val="24"/>
        </w:rPr>
        <w:t>la permanence des tensions</w:t>
      </w:r>
      <w:r>
        <w:rPr>
          <w:rFonts w:ascii="Times New Roman" w:hAnsi="Times New Roman"/>
          <w:sz w:val="24"/>
        </w:rPr>
        <w:t xml:space="preserve"> entre la Russie et l</w:t>
      </w:r>
      <w:r w:rsidR="00B0065F">
        <w:rPr>
          <w:rFonts w:ascii="Times New Roman" w:hAnsi="Times New Roman"/>
          <w:sz w:val="24"/>
        </w:rPr>
        <w:t>’</w:t>
      </w:r>
      <w:r>
        <w:rPr>
          <w:rFonts w:ascii="Times New Roman" w:hAnsi="Times New Roman"/>
          <w:sz w:val="24"/>
        </w:rPr>
        <w:t xml:space="preserve">Ukraine; </w:t>
      </w:r>
      <w:r w:rsidR="00577F0F">
        <w:rPr>
          <w:rFonts w:ascii="Times New Roman" w:hAnsi="Times New Roman"/>
          <w:sz w:val="24"/>
        </w:rPr>
        <w:t>l</w:t>
      </w:r>
      <w:r>
        <w:rPr>
          <w:rFonts w:ascii="Times New Roman" w:hAnsi="Times New Roman"/>
          <w:sz w:val="24"/>
        </w:rPr>
        <w:t>a persistance d</w:t>
      </w:r>
      <w:r w:rsidR="00B0065F">
        <w:rPr>
          <w:rFonts w:ascii="Times New Roman" w:hAnsi="Times New Roman"/>
          <w:sz w:val="24"/>
        </w:rPr>
        <w:t>’</w:t>
      </w:r>
      <w:r>
        <w:rPr>
          <w:rFonts w:ascii="Times New Roman" w:hAnsi="Times New Roman"/>
          <w:sz w:val="24"/>
        </w:rPr>
        <w:t>un bas niveau des prix pétroliers, dont les conséquences sur les marchés de l</w:t>
      </w:r>
      <w:r w:rsidR="00B0065F">
        <w:rPr>
          <w:rFonts w:ascii="Times New Roman" w:hAnsi="Times New Roman"/>
          <w:sz w:val="24"/>
        </w:rPr>
        <w:t>’</w:t>
      </w:r>
      <w:r>
        <w:rPr>
          <w:rFonts w:ascii="Times New Roman" w:hAnsi="Times New Roman"/>
          <w:sz w:val="24"/>
        </w:rPr>
        <w:t>énergie se font sentir dans le monde entier; des initiatives visant à créer des infrastructures d</w:t>
      </w:r>
      <w:r w:rsidR="00B0065F">
        <w:rPr>
          <w:rFonts w:ascii="Times New Roman" w:hAnsi="Times New Roman"/>
          <w:sz w:val="24"/>
        </w:rPr>
        <w:t>’</w:t>
      </w:r>
      <w:r>
        <w:rPr>
          <w:rFonts w:ascii="Times New Roman" w:hAnsi="Times New Roman"/>
          <w:sz w:val="24"/>
        </w:rPr>
        <w:t xml:space="preserve">approvisionnement supplémentaires pour le gaz naturel </w:t>
      </w:r>
      <w:r w:rsidR="00C67C3E">
        <w:rPr>
          <w:rFonts w:ascii="Times New Roman" w:hAnsi="Times New Roman"/>
          <w:sz w:val="24"/>
        </w:rPr>
        <w:t>russe</w:t>
      </w:r>
      <w:r>
        <w:rPr>
          <w:rFonts w:ascii="Times New Roman" w:hAnsi="Times New Roman"/>
          <w:sz w:val="24"/>
        </w:rPr>
        <w:t>; l</w:t>
      </w:r>
      <w:r w:rsidR="00B0065F">
        <w:rPr>
          <w:rFonts w:ascii="Times New Roman" w:hAnsi="Times New Roman"/>
          <w:sz w:val="24"/>
        </w:rPr>
        <w:t>’</w:t>
      </w:r>
      <w:r>
        <w:rPr>
          <w:rFonts w:ascii="Times New Roman" w:hAnsi="Times New Roman"/>
          <w:sz w:val="24"/>
        </w:rPr>
        <w:t xml:space="preserve">ouverture de nouvelles </w:t>
      </w:r>
      <w:r>
        <w:rPr>
          <w:rFonts w:ascii="Times New Roman" w:hAnsi="Times New Roman"/>
          <w:sz w:val="24"/>
        </w:rPr>
        <w:lastRenderedPageBreak/>
        <w:t>perspectives grâce à l</w:t>
      </w:r>
      <w:r w:rsidR="00B0065F">
        <w:rPr>
          <w:rFonts w:ascii="Times New Roman" w:hAnsi="Times New Roman"/>
          <w:sz w:val="24"/>
        </w:rPr>
        <w:t>’</w:t>
      </w:r>
      <w:r>
        <w:rPr>
          <w:rFonts w:ascii="Times New Roman" w:hAnsi="Times New Roman"/>
          <w:sz w:val="24"/>
        </w:rPr>
        <w:t>accord sur le nucléaire iranien, et enfin un recul constant de la production intérieure de combustibles fossiles.</w:t>
      </w:r>
    </w:p>
    <w:p w:rsidR="00097C2F" w:rsidRDefault="008C0DFC">
      <w:pPr>
        <w:spacing w:after="240" w:line="240" w:lineRule="auto"/>
        <w:jc w:val="both"/>
        <w:rPr>
          <w:rFonts w:ascii="Times New Roman" w:hAnsi="Times New Roman"/>
          <w:sz w:val="24"/>
          <w:szCs w:val="24"/>
        </w:rPr>
      </w:pPr>
      <w:r>
        <w:rPr>
          <w:rFonts w:ascii="Times New Roman" w:hAnsi="Times New Roman"/>
          <w:sz w:val="24"/>
        </w:rPr>
        <w:t>Malgré la situation politique difficile, l</w:t>
      </w:r>
      <w:r w:rsidR="00B0065F">
        <w:rPr>
          <w:rFonts w:ascii="Times New Roman" w:hAnsi="Times New Roman"/>
          <w:sz w:val="24"/>
        </w:rPr>
        <w:t>’</w:t>
      </w:r>
      <w:r>
        <w:rPr>
          <w:rFonts w:ascii="Times New Roman" w:hAnsi="Times New Roman"/>
          <w:sz w:val="24"/>
        </w:rPr>
        <w:t>Ukraine est apparue, au cours de l</w:t>
      </w:r>
      <w:r w:rsidR="00B0065F">
        <w:rPr>
          <w:rFonts w:ascii="Times New Roman" w:hAnsi="Times New Roman"/>
          <w:sz w:val="24"/>
        </w:rPr>
        <w:t>’</w:t>
      </w:r>
      <w:r>
        <w:rPr>
          <w:rFonts w:ascii="Times New Roman" w:hAnsi="Times New Roman"/>
          <w:sz w:val="24"/>
        </w:rPr>
        <w:t xml:space="preserve">hiver </w:t>
      </w:r>
      <w:r w:rsidRPr="005A0F82">
        <w:rPr>
          <w:rFonts w:ascii="Times New Roman" w:hAnsi="Times New Roman"/>
          <w:sz w:val="24"/>
        </w:rPr>
        <w:t>2014</w:t>
      </w:r>
      <w:r>
        <w:rPr>
          <w:rFonts w:ascii="Times New Roman" w:hAnsi="Times New Roman"/>
          <w:sz w:val="24"/>
        </w:rPr>
        <w:t>/</w:t>
      </w:r>
      <w:r w:rsidRPr="005A0F82">
        <w:rPr>
          <w:rFonts w:ascii="Times New Roman" w:hAnsi="Times New Roman"/>
          <w:sz w:val="24"/>
        </w:rPr>
        <w:t>2015</w:t>
      </w:r>
      <w:r>
        <w:rPr>
          <w:rFonts w:ascii="Times New Roman" w:hAnsi="Times New Roman"/>
          <w:sz w:val="24"/>
        </w:rPr>
        <w:t>, comme un partenaire fiable pour le transit du gaz russe. L</w:t>
      </w:r>
      <w:r w:rsidR="00B0065F">
        <w:rPr>
          <w:rFonts w:ascii="Times New Roman" w:hAnsi="Times New Roman"/>
          <w:sz w:val="24"/>
        </w:rPr>
        <w:t>’</w:t>
      </w:r>
      <w:r>
        <w:rPr>
          <w:rFonts w:ascii="Times New Roman" w:hAnsi="Times New Roman"/>
          <w:sz w:val="24"/>
        </w:rPr>
        <w:t>UE est convaincue qu</w:t>
      </w:r>
      <w:r w:rsidR="00B0065F">
        <w:rPr>
          <w:rFonts w:ascii="Times New Roman" w:hAnsi="Times New Roman"/>
          <w:sz w:val="24"/>
        </w:rPr>
        <w:t>’</w:t>
      </w:r>
      <w:r>
        <w:rPr>
          <w:rFonts w:ascii="Times New Roman" w:hAnsi="Times New Roman"/>
          <w:sz w:val="24"/>
        </w:rPr>
        <w:t>il est dans l</w:t>
      </w:r>
      <w:r w:rsidR="00B0065F">
        <w:rPr>
          <w:rFonts w:ascii="Times New Roman" w:hAnsi="Times New Roman"/>
          <w:sz w:val="24"/>
        </w:rPr>
        <w:t>’</w:t>
      </w:r>
      <w:r>
        <w:rPr>
          <w:rFonts w:ascii="Times New Roman" w:hAnsi="Times New Roman"/>
          <w:sz w:val="24"/>
        </w:rPr>
        <w:t>intérêt de toutes les parties que l</w:t>
      </w:r>
      <w:r w:rsidR="00B0065F">
        <w:rPr>
          <w:rFonts w:ascii="Times New Roman" w:hAnsi="Times New Roman"/>
          <w:sz w:val="24"/>
        </w:rPr>
        <w:t>’</w:t>
      </w:r>
      <w:r>
        <w:rPr>
          <w:rFonts w:ascii="Times New Roman" w:hAnsi="Times New Roman"/>
          <w:sz w:val="24"/>
        </w:rPr>
        <w:t>Ukraine reste un pays de transit important. L</w:t>
      </w:r>
      <w:r w:rsidR="00B0065F">
        <w:rPr>
          <w:rFonts w:ascii="Times New Roman" w:hAnsi="Times New Roman"/>
          <w:sz w:val="24"/>
        </w:rPr>
        <w:t>’</w:t>
      </w:r>
      <w:r>
        <w:rPr>
          <w:rFonts w:ascii="Times New Roman" w:hAnsi="Times New Roman"/>
          <w:sz w:val="24"/>
        </w:rPr>
        <w:t>UE soutient activement les efforts du gouvernement ukrainien et de Naftogaz pour que cela reste le cas, notamment grâce aux réformes structurelles de grande ampleur entreprises par l</w:t>
      </w:r>
      <w:r w:rsidR="00B0065F">
        <w:rPr>
          <w:rFonts w:ascii="Times New Roman" w:hAnsi="Times New Roman"/>
          <w:sz w:val="24"/>
        </w:rPr>
        <w:t>’</w:t>
      </w:r>
      <w:r>
        <w:rPr>
          <w:rFonts w:ascii="Times New Roman" w:hAnsi="Times New Roman"/>
          <w:sz w:val="24"/>
        </w:rPr>
        <w:t>Ukraine dans son secteur gazier. Il est essentiel que ce processus de réforme se poursuive. Tout au long de l</w:t>
      </w:r>
      <w:r w:rsidR="00B0065F">
        <w:rPr>
          <w:rFonts w:ascii="Times New Roman" w:hAnsi="Times New Roman"/>
          <w:sz w:val="24"/>
        </w:rPr>
        <w:t>’</w:t>
      </w:r>
      <w:r>
        <w:rPr>
          <w:rFonts w:ascii="Times New Roman" w:hAnsi="Times New Roman"/>
          <w:sz w:val="24"/>
        </w:rPr>
        <w:t xml:space="preserve">année </w:t>
      </w:r>
      <w:r w:rsidRPr="005A0F82">
        <w:rPr>
          <w:rFonts w:ascii="Times New Roman" w:hAnsi="Times New Roman"/>
          <w:sz w:val="24"/>
        </w:rPr>
        <w:t>2015</w:t>
      </w:r>
      <w:r>
        <w:rPr>
          <w:rFonts w:ascii="Times New Roman" w:hAnsi="Times New Roman"/>
          <w:sz w:val="24"/>
        </w:rPr>
        <w:t>, la Commission s</w:t>
      </w:r>
      <w:r w:rsidR="00B0065F">
        <w:rPr>
          <w:rFonts w:ascii="Times New Roman" w:hAnsi="Times New Roman"/>
          <w:sz w:val="24"/>
        </w:rPr>
        <w:t>’</w:t>
      </w:r>
      <w:r>
        <w:rPr>
          <w:rFonts w:ascii="Times New Roman" w:hAnsi="Times New Roman"/>
          <w:sz w:val="24"/>
        </w:rPr>
        <w:t>est employée activement à faciliter les négociations entre l</w:t>
      </w:r>
      <w:r w:rsidR="00B0065F">
        <w:rPr>
          <w:rFonts w:ascii="Times New Roman" w:hAnsi="Times New Roman"/>
          <w:sz w:val="24"/>
        </w:rPr>
        <w:t>’</w:t>
      </w:r>
      <w:r>
        <w:rPr>
          <w:rFonts w:ascii="Times New Roman" w:hAnsi="Times New Roman"/>
          <w:sz w:val="24"/>
        </w:rPr>
        <w:t>Ukraine et la Russie pour garantir l</w:t>
      </w:r>
      <w:r w:rsidR="00B0065F">
        <w:rPr>
          <w:rFonts w:ascii="Times New Roman" w:hAnsi="Times New Roman"/>
          <w:sz w:val="24"/>
        </w:rPr>
        <w:t>’</w:t>
      </w:r>
      <w:r>
        <w:rPr>
          <w:rFonts w:ascii="Times New Roman" w:hAnsi="Times New Roman"/>
          <w:sz w:val="24"/>
        </w:rPr>
        <w:t>approvisionnement hivernal de l</w:t>
      </w:r>
      <w:r w:rsidR="00B0065F">
        <w:rPr>
          <w:rFonts w:ascii="Times New Roman" w:hAnsi="Times New Roman"/>
          <w:sz w:val="24"/>
        </w:rPr>
        <w:t>’</w:t>
      </w:r>
      <w:r>
        <w:rPr>
          <w:rFonts w:ascii="Times New Roman" w:hAnsi="Times New Roman"/>
          <w:sz w:val="24"/>
        </w:rPr>
        <w:t>Ukraine en gaz. C</w:t>
      </w:r>
      <w:r w:rsidR="00B0065F">
        <w:rPr>
          <w:rFonts w:ascii="Times New Roman" w:hAnsi="Times New Roman"/>
          <w:sz w:val="24"/>
        </w:rPr>
        <w:t>’</w:t>
      </w:r>
      <w:r>
        <w:rPr>
          <w:rFonts w:ascii="Times New Roman" w:hAnsi="Times New Roman"/>
          <w:sz w:val="24"/>
        </w:rPr>
        <w:t xml:space="preserve">est ainsi que, le </w:t>
      </w:r>
      <w:r w:rsidRPr="005A0F82">
        <w:rPr>
          <w:rFonts w:ascii="Times New Roman" w:hAnsi="Times New Roman"/>
          <w:sz w:val="24"/>
        </w:rPr>
        <w:t>25</w:t>
      </w:r>
      <w:r>
        <w:rPr>
          <w:rFonts w:ascii="Times New Roman" w:hAnsi="Times New Roman"/>
          <w:sz w:val="24"/>
        </w:rPr>
        <w:t xml:space="preserve"> septembre </w:t>
      </w:r>
      <w:r w:rsidRPr="005A0F82">
        <w:rPr>
          <w:rFonts w:ascii="Times New Roman" w:hAnsi="Times New Roman"/>
          <w:sz w:val="24"/>
        </w:rPr>
        <w:t>2015</w:t>
      </w:r>
      <w:r>
        <w:rPr>
          <w:rFonts w:ascii="Times New Roman" w:hAnsi="Times New Roman"/>
          <w:sz w:val="24"/>
        </w:rPr>
        <w:t xml:space="preserve">, un protocole contraignant a été paraphé, et mis en œuvre à partir du </w:t>
      </w:r>
      <w:r w:rsidRPr="005A0F82">
        <w:rPr>
          <w:rFonts w:ascii="Times New Roman" w:hAnsi="Times New Roman"/>
          <w:sz w:val="24"/>
        </w:rPr>
        <w:t>9</w:t>
      </w:r>
      <w:r>
        <w:rPr>
          <w:rFonts w:ascii="Times New Roman" w:hAnsi="Times New Roman"/>
          <w:sz w:val="24"/>
        </w:rPr>
        <w:t xml:space="preserve"> octobre suivant. Les capacités de transport en flux inversés au départ de l</w:t>
      </w:r>
      <w:r w:rsidR="00B0065F">
        <w:rPr>
          <w:rFonts w:ascii="Times New Roman" w:hAnsi="Times New Roman"/>
          <w:sz w:val="24"/>
        </w:rPr>
        <w:t>’</w:t>
      </w:r>
      <w:r>
        <w:rPr>
          <w:rFonts w:ascii="Times New Roman" w:hAnsi="Times New Roman"/>
          <w:sz w:val="24"/>
        </w:rPr>
        <w:t>UE, et notamment de la Slovaquie, vers l</w:t>
      </w:r>
      <w:r w:rsidR="00B0065F">
        <w:rPr>
          <w:rFonts w:ascii="Times New Roman" w:hAnsi="Times New Roman"/>
          <w:sz w:val="24"/>
        </w:rPr>
        <w:t>’</w:t>
      </w:r>
      <w:r>
        <w:rPr>
          <w:rFonts w:ascii="Times New Roman" w:hAnsi="Times New Roman"/>
          <w:sz w:val="24"/>
        </w:rPr>
        <w:t xml:space="preserve">Ukraine ont également augmenté de manière significative en </w:t>
      </w:r>
      <w:r w:rsidRPr="005A0F82">
        <w:rPr>
          <w:rFonts w:ascii="Times New Roman" w:hAnsi="Times New Roman"/>
          <w:sz w:val="24"/>
        </w:rPr>
        <w:t>2015</w:t>
      </w:r>
      <w:r>
        <w:rPr>
          <w:rFonts w:ascii="Times New Roman" w:hAnsi="Times New Roman"/>
          <w:sz w:val="24"/>
        </w:rPr>
        <w:t>, permettant ainsi à l</w:t>
      </w:r>
      <w:r w:rsidR="00B0065F">
        <w:rPr>
          <w:rFonts w:ascii="Times New Roman" w:hAnsi="Times New Roman"/>
          <w:sz w:val="24"/>
        </w:rPr>
        <w:t>’</w:t>
      </w:r>
      <w:r>
        <w:rPr>
          <w:rFonts w:ascii="Times New Roman" w:hAnsi="Times New Roman"/>
          <w:sz w:val="24"/>
        </w:rPr>
        <w:t>Ukraine d</w:t>
      </w:r>
      <w:r w:rsidR="00B0065F">
        <w:rPr>
          <w:rFonts w:ascii="Times New Roman" w:hAnsi="Times New Roman"/>
          <w:sz w:val="24"/>
        </w:rPr>
        <w:t>’</w:t>
      </w:r>
      <w:r>
        <w:rPr>
          <w:rFonts w:ascii="Times New Roman" w:hAnsi="Times New Roman"/>
          <w:sz w:val="24"/>
        </w:rPr>
        <w:t>importer du gaz via l</w:t>
      </w:r>
      <w:r w:rsidR="00B0065F">
        <w:rPr>
          <w:rFonts w:ascii="Times New Roman" w:hAnsi="Times New Roman"/>
          <w:sz w:val="24"/>
        </w:rPr>
        <w:t>’</w:t>
      </w:r>
      <w:r>
        <w:rPr>
          <w:rFonts w:ascii="Times New Roman" w:hAnsi="Times New Roman"/>
          <w:sz w:val="24"/>
        </w:rPr>
        <w:t>UE et donc de réduire sa dépendance directe à l</w:t>
      </w:r>
      <w:r w:rsidR="00B0065F">
        <w:rPr>
          <w:rFonts w:ascii="Times New Roman" w:hAnsi="Times New Roman"/>
          <w:sz w:val="24"/>
        </w:rPr>
        <w:t>’</w:t>
      </w:r>
      <w:r>
        <w:rPr>
          <w:rFonts w:ascii="Times New Roman" w:hAnsi="Times New Roman"/>
          <w:sz w:val="24"/>
        </w:rPr>
        <w:t>égard de la Russie.</w:t>
      </w:r>
    </w:p>
    <w:p w:rsidR="00097C2F" w:rsidRDefault="008C0DFC">
      <w:pPr>
        <w:spacing w:after="240" w:line="240" w:lineRule="auto"/>
        <w:jc w:val="both"/>
        <w:rPr>
          <w:rFonts w:ascii="Times New Roman" w:hAnsi="Times New Roman"/>
          <w:sz w:val="24"/>
          <w:szCs w:val="24"/>
        </w:rPr>
      </w:pPr>
      <w:r>
        <w:rPr>
          <w:rFonts w:ascii="Times New Roman" w:hAnsi="Times New Roman"/>
          <w:sz w:val="24"/>
        </w:rPr>
        <w:t>La Commission prend acte des plans établis par des sociétés commerciales en vue de construire de nouveaux gazoducs reliant la Russie et l</w:t>
      </w:r>
      <w:r w:rsidR="00B0065F">
        <w:rPr>
          <w:rFonts w:ascii="Times New Roman" w:hAnsi="Times New Roman"/>
          <w:sz w:val="24"/>
        </w:rPr>
        <w:t>’</w:t>
      </w:r>
      <w:r>
        <w:rPr>
          <w:rFonts w:ascii="Times New Roman" w:hAnsi="Times New Roman"/>
          <w:sz w:val="24"/>
        </w:rPr>
        <w:t>Allemagne via la mer Baltique. S</w:t>
      </w:r>
      <w:r w:rsidR="00B0065F">
        <w:rPr>
          <w:rFonts w:ascii="Times New Roman" w:hAnsi="Times New Roman"/>
          <w:sz w:val="24"/>
        </w:rPr>
        <w:t>’</w:t>
      </w:r>
      <w:r>
        <w:rPr>
          <w:rFonts w:ascii="Times New Roman" w:hAnsi="Times New Roman"/>
          <w:sz w:val="24"/>
        </w:rPr>
        <w:t xml:space="preserve">ils sont construits, les gazoducs NordStream </w:t>
      </w:r>
      <w:r w:rsidRPr="005A0F82">
        <w:rPr>
          <w:rFonts w:ascii="Times New Roman" w:hAnsi="Times New Roman"/>
          <w:sz w:val="24"/>
        </w:rPr>
        <w:t>3</w:t>
      </w:r>
      <w:r>
        <w:rPr>
          <w:rFonts w:ascii="Times New Roman" w:hAnsi="Times New Roman"/>
          <w:sz w:val="24"/>
        </w:rPr>
        <w:t xml:space="preserve"> et </w:t>
      </w:r>
      <w:r w:rsidRPr="005A0F82">
        <w:rPr>
          <w:rFonts w:ascii="Times New Roman" w:hAnsi="Times New Roman"/>
          <w:sz w:val="24"/>
        </w:rPr>
        <w:t>4</w:t>
      </w:r>
      <w:r>
        <w:rPr>
          <w:rFonts w:ascii="Times New Roman" w:hAnsi="Times New Roman"/>
          <w:sz w:val="24"/>
        </w:rPr>
        <w:t xml:space="preserve"> ne donneraient pas accès à une nouvelle source d</w:t>
      </w:r>
      <w:r w:rsidR="00B0065F">
        <w:rPr>
          <w:rFonts w:ascii="Times New Roman" w:hAnsi="Times New Roman"/>
          <w:sz w:val="24"/>
        </w:rPr>
        <w:t>’</w:t>
      </w:r>
      <w:r>
        <w:rPr>
          <w:rFonts w:ascii="Times New Roman" w:hAnsi="Times New Roman"/>
          <w:sz w:val="24"/>
        </w:rPr>
        <w:t>approvisionnement et accroîtraient encore la capacité de transport de la Russie vers l</w:t>
      </w:r>
      <w:r w:rsidR="00B0065F">
        <w:rPr>
          <w:rFonts w:ascii="Times New Roman" w:hAnsi="Times New Roman"/>
          <w:sz w:val="24"/>
        </w:rPr>
        <w:t>’</w:t>
      </w:r>
      <w:r>
        <w:rPr>
          <w:rFonts w:ascii="Times New Roman" w:hAnsi="Times New Roman"/>
          <w:sz w:val="24"/>
        </w:rPr>
        <w:t xml:space="preserve">UE qui, </w:t>
      </w:r>
      <w:r w:rsidR="00C67C3E">
        <w:rPr>
          <w:rFonts w:ascii="Times New Roman" w:hAnsi="Times New Roman"/>
          <w:sz w:val="24"/>
        </w:rPr>
        <w:t>à l</w:t>
      </w:r>
      <w:r w:rsidR="00B0065F">
        <w:rPr>
          <w:rFonts w:ascii="Times New Roman" w:hAnsi="Times New Roman"/>
          <w:sz w:val="24"/>
        </w:rPr>
        <w:t>’</w:t>
      </w:r>
      <w:r w:rsidR="00C67C3E">
        <w:rPr>
          <w:rFonts w:ascii="Times New Roman" w:hAnsi="Times New Roman"/>
          <w:sz w:val="24"/>
        </w:rPr>
        <w:t>heure actuelle</w:t>
      </w:r>
      <w:r>
        <w:rPr>
          <w:rFonts w:ascii="Times New Roman" w:hAnsi="Times New Roman"/>
          <w:sz w:val="24"/>
        </w:rPr>
        <w:t>, n</w:t>
      </w:r>
      <w:r w:rsidR="00B0065F">
        <w:rPr>
          <w:rFonts w:ascii="Times New Roman" w:hAnsi="Times New Roman"/>
          <w:sz w:val="24"/>
        </w:rPr>
        <w:t>’</w:t>
      </w:r>
      <w:r>
        <w:rPr>
          <w:rFonts w:ascii="Times New Roman" w:hAnsi="Times New Roman"/>
          <w:sz w:val="24"/>
        </w:rPr>
        <w:t xml:space="preserve">est </w:t>
      </w:r>
      <w:r w:rsidR="00C67C3E">
        <w:rPr>
          <w:rFonts w:ascii="Times New Roman" w:hAnsi="Times New Roman"/>
          <w:sz w:val="24"/>
        </w:rPr>
        <w:t xml:space="preserve">déjà </w:t>
      </w:r>
      <w:r>
        <w:rPr>
          <w:rFonts w:ascii="Times New Roman" w:hAnsi="Times New Roman"/>
          <w:sz w:val="24"/>
        </w:rPr>
        <w:t>utilisée qu</w:t>
      </w:r>
      <w:r w:rsidR="00B0065F">
        <w:rPr>
          <w:rFonts w:ascii="Times New Roman" w:hAnsi="Times New Roman"/>
          <w:sz w:val="24"/>
        </w:rPr>
        <w:t>’</w:t>
      </w:r>
      <w:r>
        <w:rPr>
          <w:rFonts w:ascii="Times New Roman" w:hAnsi="Times New Roman"/>
          <w:sz w:val="24"/>
        </w:rPr>
        <w:t xml:space="preserve">à </w:t>
      </w:r>
      <w:r w:rsidRPr="005A0F82">
        <w:rPr>
          <w:rFonts w:ascii="Times New Roman" w:hAnsi="Times New Roman"/>
          <w:sz w:val="24"/>
        </w:rPr>
        <w:t>50</w:t>
      </w:r>
      <w:r w:rsidR="00B0065F">
        <w:rPr>
          <w:rFonts w:ascii="Times New Roman" w:hAnsi="Times New Roman"/>
          <w:sz w:val="24"/>
        </w:rPr>
        <w:t> </w:t>
      </w:r>
      <w:r>
        <w:rPr>
          <w:rFonts w:ascii="Times New Roman" w:hAnsi="Times New Roman"/>
          <w:sz w:val="24"/>
        </w:rPr>
        <w:t>%. Ces conduites devront respecter intégralement la réglementation de l</w:t>
      </w:r>
      <w:r w:rsidR="00B0065F">
        <w:rPr>
          <w:rFonts w:ascii="Times New Roman" w:hAnsi="Times New Roman"/>
          <w:sz w:val="24"/>
        </w:rPr>
        <w:t>’</w:t>
      </w:r>
      <w:r>
        <w:rPr>
          <w:rFonts w:ascii="Times New Roman" w:hAnsi="Times New Roman"/>
          <w:sz w:val="24"/>
        </w:rPr>
        <w:t>UE. La Commission évaluera tout projet de ce type au regard du cadre réglementaire européen, sur la base de ses mérites intrinsèques.</w:t>
      </w:r>
    </w:p>
    <w:p w:rsidR="00097C2F" w:rsidRDefault="008C0DFC">
      <w:pPr>
        <w:spacing w:after="240" w:line="240" w:lineRule="auto"/>
        <w:jc w:val="both"/>
        <w:rPr>
          <w:rFonts w:ascii="Times New Roman" w:hAnsi="Times New Roman"/>
          <w:sz w:val="24"/>
          <w:szCs w:val="24"/>
        </w:rPr>
      </w:pPr>
      <w:r>
        <w:rPr>
          <w:rFonts w:ascii="Times New Roman" w:hAnsi="Times New Roman"/>
          <w:sz w:val="24"/>
        </w:rPr>
        <w:t>L</w:t>
      </w:r>
      <w:r w:rsidR="00B0065F">
        <w:rPr>
          <w:rFonts w:ascii="Times New Roman" w:hAnsi="Times New Roman"/>
          <w:sz w:val="24"/>
        </w:rPr>
        <w:t>’</w:t>
      </w:r>
      <w:r>
        <w:rPr>
          <w:rFonts w:ascii="Times New Roman" w:hAnsi="Times New Roman"/>
          <w:sz w:val="24"/>
        </w:rPr>
        <w:t>UE ne soutiendra que des projets d</w:t>
      </w:r>
      <w:r w:rsidR="00B0065F">
        <w:rPr>
          <w:rFonts w:ascii="Times New Roman" w:hAnsi="Times New Roman"/>
          <w:sz w:val="24"/>
        </w:rPr>
        <w:t>’</w:t>
      </w:r>
      <w:r>
        <w:rPr>
          <w:rFonts w:ascii="Times New Roman" w:hAnsi="Times New Roman"/>
          <w:sz w:val="24"/>
        </w:rPr>
        <w:t>infrastructure conformes aux principes fondamentaux de l</w:t>
      </w:r>
      <w:r w:rsidR="00B0065F">
        <w:rPr>
          <w:rFonts w:ascii="Times New Roman" w:hAnsi="Times New Roman"/>
          <w:sz w:val="24"/>
        </w:rPr>
        <w:t>’</w:t>
      </w:r>
      <w:r>
        <w:rPr>
          <w:rFonts w:ascii="Times New Roman" w:hAnsi="Times New Roman"/>
          <w:sz w:val="24"/>
        </w:rPr>
        <w:t>union de l</w:t>
      </w:r>
      <w:r w:rsidR="00B0065F">
        <w:rPr>
          <w:rFonts w:ascii="Times New Roman" w:hAnsi="Times New Roman"/>
          <w:sz w:val="24"/>
        </w:rPr>
        <w:t>’</w:t>
      </w:r>
      <w:r>
        <w:rPr>
          <w:rFonts w:ascii="Times New Roman" w:hAnsi="Times New Roman"/>
          <w:sz w:val="24"/>
        </w:rPr>
        <w:t>énergie, et notamment à la stratégie européenne pour la sécurité énergétique</w:t>
      </w:r>
      <w:r>
        <w:rPr>
          <w:rStyle w:val="FootnoteReference"/>
          <w:rFonts w:ascii="Times New Roman" w:hAnsi="Times New Roman"/>
          <w:sz w:val="24"/>
        </w:rPr>
        <w:footnoteReference w:id="28"/>
      </w:r>
      <w:r>
        <w:rPr>
          <w:rFonts w:ascii="Times New Roman" w:hAnsi="Times New Roman"/>
          <w:sz w:val="24"/>
        </w:rPr>
        <w:t>. La diversification des sources d</w:t>
      </w:r>
      <w:r w:rsidR="00B0065F">
        <w:rPr>
          <w:rFonts w:ascii="Times New Roman" w:hAnsi="Times New Roman"/>
          <w:sz w:val="24"/>
        </w:rPr>
        <w:t>’</w:t>
      </w:r>
      <w:r>
        <w:rPr>
          <w:rFonts w:ascii="Times New Roman" w:hAnsi="Times New Roman"/>
          <w:sz w:val="24"/>
        </w:rPr>
        <w:t>énergie, des fournisseurs et des voies d</w:t>
      </w:r>
      <w:r w:rsidR="00B0065F">
        <w:rPr>
          <w:rFonts w:ascii="Times New Roman" w:hAnsi="Times New Roman"/>
          <w:sz w:val="24"/>
        </w:rPr>
        <w:t>’</w:t>
      </w:r>
      <w:r>
        <w:rPr>
          <w:rFonts w:ascii="Times New Roman" w:hAnsi="Times New Roman"/>
          <w:sz w:val="24"/>
        </w:rPr>
        <w:t>approvisionnement est cruciale pour assurer un approvisionnement sûr et résilient des citoyens et des entreprises européens. La sécurité énergétique de l</w:t>
      </w:r>
      <w:r w:rsidR="00B0065F">
        <w:rPr>
          <w:rFonts w:ascii="Times New Roman" w:hAnsi="Times New Roman"/>
          <w:sz w:val="24"/>
        </w:rPr>
        <w:t>’</w:t>
      </w:r>
      <w:r>
        <w:rPr>
          <w:rFonts w:ascii="Times New Roman" w:hAnsi="Times New Roman"/>
          <w:sz w:val="24"/>
        </w:rPr>
        <w:t>Union est étroitement liée à celle de son voisinage</w:t>
      </w:r>
      <w:r>
        <w:rPr>
          <w:rStyle w:val="FootnoteReference"/>
          <w:rFonts w:ascii="Times New Roman" w:hAnsi="Times New Roman"/>
          <w:sz w:val="24"/>
        </w:rPr>
        <w:footnoteReference w:id="29"/>
      </w:r>
      <w:r>
        <w:rPr>
          <w:rFonts w:ascii="Times New Roman" w:hAnsi="Times New Roman"/>
          <w:sz w:val="24"/>
        </w:rPr>
        <w:t>. La Communauté de l</w:t>
      </w:r>
      <w:r w:rsidR="00B0065F">
        <w:rPr>
          <w:rFonts w:ascii="Times New Roman" w:hAnsi="Times New Roman"/>
          <w:sz w:val="24"/>
        </w:rPr>
        <w:t>’</w:t>
      </w:r>
      <w:r>
        <w:rPr>
          <w:rFonts w:ascii="Times New Roman" w:hAnsi="Times New Roman"/>
          <w:sz w:val="24"/>
        </w:rPr>
        <w:t>énergie joue un rôle capital dans ce domaine, d</w:t>
      </w:r>
      <w:r w:rsidR="00B0065F">
        <w:rPr>
          <w:rFonts w:ascii="Times New Roman" w:hAnsi="Times New Roman"/>
          <w:sz w:val="24"/>
        </w:rPr>
        <w:t>’</w:t>
      </w:r>
      <w:r>
        <w:rPr>
          <w:rFonts w:ascii="Times New Roman" w:hAnsi="Times New Roman"/>
          <w:sz w:val="24"/>
        </w:rPr>
        <w:t>une part en promouvant des projets d</w:t>
      </w:r>
      <w:r w:rsidR="00B0065F">
        <w:rPr>
          <w:rFonts w:ascii="Times New Roman" w:hAnsi="Times New Roman"/>
          <w:sz w:val="24"/>
        </w:rPr>
        <w:t>’</w:t>
      </w:r>
      <w:r>
        <w:rPr>
          <w:rFonts w:ascii="Times New Roman" w:hAnsi="Times New Roman"/>
          <w:sz w:val="24"/>
        </w:rPr>
        <w:t>interconnexion prioritaires, et d</w:t>
      </w:r>
      <w:r w:rsidR="00B0065F">
        <w:rPr>
          <w:rFonts w:ascii="Times New Roman" w:hAnsi="Times New Roman"/>
          <w:sz w:val="24"/>
        </w:rPr>
        <w:t>’</w:t>
      </w:r>
      <w:r>
        <w:rPr>
          <w:rFonts w:ascii="Times New Roman" w:hAnsi="Times New Roman"/>
          <w:sz w:val="24"/>
        </w:rPr>
        <w:t>autre part en faisant en sorte que la région fonctionne selon des règles compatibles avec celles de l</w:t>
      </w:r>
      <w:r w:rsidR="00B0065F">
        <w:rPr>
          <w:rFonts w:ascii="Times New Roman" w:hAnsi="Times New Roman"/>
          <w:sz w:val="24"/>
        </w:rPr>
        <w:t>’</w:t>
      </w:r>
      <w:r>
        <w:rPr>
          <w:rFonts w:ascii="Times New Roman" w:hAnsi="Times New Roman"/>
          <w:sz w:val="24"/>
        </w:rPr>
        <w:t>UE. À cet égard, lors du sommet de Vienne sur les Balkans occidentaux, les pays de la région ont décidé de créer un marché régional de l</w:t>
      </w:r>
      <w:r w:rsidR="00B0065F">
        <w:rPr>
          <w:rFonts w:ascii="Times New Roman" w:hAnsi="Times New Roman"/>
          <w:sz w:val="24"/>
        </w:rPr>
        <w:t>’</w:t>
      </w:r>
      <w:r>
        <w:rPr>
          <w:rFonts w:ascii="Times New Roman" w:hAnsi="Times New Roman"/>
          <w:sz w:val="24"/>
        </w:rPr>
        <w:t>électricité. Dans le cadre du groupe à haut niveau sur la connectivité gazière pour l</w:t>
      </w:r>
      <w:r w:rsidR="00B0065F">
        <w:rPr>
          <w:rFonts w:ascii="Times New Roman" w:hAnsi="Times New Roman"/>
          <w:sz w:val="24"/>
        </w:rPr>
        <w:t>’</w:t>
      </w:r>
      <w:r>
        <w:rPr>
          <w:rFonts w:ascii="Times New Roman" w:hAnsi="Times New Roman"/>
          <w:sz w:val="24"/>
        </w:rPr>
        <w:t>Europe centrale et du Sud-Est, six pays de la Communauté de l</w:t>
      </w:r>
      <w:r w:rsidR="00B0065F">
        <w:rPr>
          <w:rFonts w:ascii="Times New Roman" w:hAnsi="Times New Roman"/>
          <w:sz w:val="24"/>
        </w:rPr>
        <w:t>’</w:t>
      </w:r>
      <w:r>
        <w:rPr>
          <w:rFonts w:ascii="Times New Roman" w:hAnsi="Times New Roman"/>
          <w:sz w:val="24"/>
        </w:rPr>
        <w:t xml:space="preserve">énergie ont adhéré au </w:t>
      </w:r>
      <w:r w:rsidR="00C67C3E">
        <w:rPr>
          <w:rFonts w:ascii="Times New Roman" w:hAnsi="Times New Roman"/>
          <w:sz w:val="24"/>
        </w:rPr>
        <w:t xml:space="preserve">protocole </w:t>
      </w:r>
      <w:r>
        <w:rPr>
          <w:rFonts w:ascii="Times New Roman" w:hAnsi="Times New Roman"/>
          <w:sz w:val="24"/>
        </w:rPr>
        <w:t>d</w:t>
      </w:r>
      <w:r w:rsidR="00B0065F">
        <w:rPr>
          <w:rFonts w:ascii="Times New Roman" w:hAnsi="Times New Roman"/>
          <w:sz w:val="24"/>
        </w:rPr>
        <w:t>’</w:t>
      </w:r>
      <w:r>
        <w:rPr>
          <w:rFonts w:ascii="Times New Roman" w:hAnsi="Times New Roman"/>
          <w:sz w:val="24"/>
        </w:rPr>
        <w:t>accord et approuvé le plan d</w:t>
      </w:r>
      <w:r w:rsidR="00B0065F">
        <w:rPr>
          <w:rFonts w:ascii="Times New Roman" w:hAnsi="Times New Roman"/>
          <w:sz w:val="24"/>
        </w:rPr>
        <w:t>’</w:t>
      </w:r>
      <w:r>
        <w:rPr>
          <w:rFonts w:ascii="Times New Roman" w:hAnsi="Times New Roman"/>
          <w:sz w:val="24"/>
        </w:rPr>
        <w:t>action aux côtés de neuf États membres de l</w:t>
      </w:r>
      <w:r w:rsidR="00B0065F">
        <w:rPr>
          <w:rFonts w:ascii="Times New Roman" w:hAnsi="Times New Roman"/>
          <w:sz w:val="24"/>
        </w:rPr>
        <w:t>’</w:t>
      </w:r>
      <w:r>
        <w:rPr>
          <w:rFonts w:ascii="Times New Roman" w:hAnsi="Times New Roman"/>
          <w:sz w:val="24"/>
        </w:rPr>
        <w:t>UE, illustration remarqu</w:t>
      </w:r>
      <w:r w:rsidR="00577F0F">
        <w:rPr>
          <w:rFonts w:ascii="Times New Roman" w:hAnsi="Times New Roman"/>
          <w:sz w:val="24"/>
        </w:rPr>
        <w:t>abl</w:t>
      </w:r>
      <w:r>
        <w:rPr>
          <w:rFonts w:ascii="Times New Roman" w:hAnsi="Times New Roman"/>
          <w:sz w:val="24"/>
        </w:rPr>
        <w:t>e du fait que l</w:t>
      </w:r>
      <w:r w:rsidR="00B0065F">
        <w:rPr>
          <w:rFonts w:ascii="Times New Roman" w:hAnsi="Times New Roman"/>
          <w:sz w:val="24"/>
        </w:rPr>
        <w:t>’</w:t>
      </w:r>
      <w:r>
        <w:rPr>
          <w:rFonts w:ascii="Times New Roman" w:hAnsi="Times New Roman"/>
          <w:sz w:val="24"/>
        </w:rPr>
        <w:t>union de l</w:t>
      </w:r>
      <w:r w:rsidR="00B0065F">
        <w:rPr>
          <w:rFonts w:ascii="Times New Roman" w:hAnsi="Times New Roman"/>
          <w:sz w:val="24"/>
        </w:rPr>
        <w:t>’</w:t>
      </w:r>
      <w:r>
        <w:rPr>
          <w:rFonts w:ascii="Times New Roman" w:hAnsi="Times New Roman"/>
          <w:sz w:val="24"/>
        </w:rPr>
        <w:t>énergie s</w:t>
      </w:r>
      <w:r w:rsidR="00B0065F">
        <w:rPr>
          <w:rFonts w:ascii="Times New Roman" w:hAnsi="Times New Roman"/>
          <w:sz w:val="24"/>
        </w:rPr>
        <w:t>’</w:t>
      </w:r>
      <w:r>
        <w:rPr>
          <w:rFonts w:ascii="Times New Roman" w:hAnsi="Times New Roman"/>
          <w:sz w:val="24"/>
        </w:rPr>
        <w:t>étend et a des effets positifs au-delà des frontières de l</w:t>
      </w:r>
      <w:r w:rsidR="00B0065F">
        <w:rPr>
          <w:rFonts w:ascii="Times New Roman" w:hAnsi="Times New Roman"/>
          <w:sz w:val="24"/>
        </w:rPr>
        <w:t>’</w:t>
      </w:r>
      <w:r>
        <w:rPr>
          <w:rFonts w:ascii="Times New Roman" w:hAnsi="Times New Roman"/>
          <w:sz w:val="24"/>
        </w:rPr>
        <w:t>UE. Au cours de l</w:t>
      </w:r>
      <w:r w:rsidR="00B0065F">
        <w:rPr>
          <w:rFonts w:ascii="Times New Roman" w:hAnsi="Times New Roman"/>
          <w:sz w:val="24"/>
        </w:rPr>
        <w:t>’</w:t>
      </w:r>
      <w:r>
        <w:rPr>
          <w:rFonts w:ascii="Times New Roman" w:hAnsi="Times New Roman"/>
          <w:sz w:val="24"/>
        </w:rPr>
        <w:t xml:space="preserve">année </w:t>
      </w:r>
      <w:r w:rsidRPr="005A0F82">
        <w:rPr>
          <w:rFonts w:ascii="Times New Roman" w:hAnsi="Times New Roman"/>
          <w:sz w:val="24"/>
        </w:rPr>
        <w:t>2015</w:t>
      </w:r>
      <w:r>
        <w:rPr>
          <w:rFonts w:ascii="Times New Roman" w:hAnsi="Times New Roman"/>
          <w:sz w:val="24"/>
        </w:rPr>
        <w:t>, la Commission s</w:t>
      </w:r>
      <w:r w:rsidR="00B0065F">
        <w:rPr>
          <w:rFonts w:ascii="Times New Roman" w:hAnsi="Times New Roman"/>
          <w:sz w:val="24"/>
        </w:rPr>
        <w:t>’</w:t>
      </w:r>
      <w:r>
        <w:rPr>
          <w:rFonts w:ascii="Times New Roman" w:hAnsi="Times New Roman"/>
          <w:sz w:val="24"/>
        </w:rPr>
        <w:t>est employée à soutenir le processus de réforme au sein de la Communauté de l</w:t>
      </w:r>
      <w:r w:rsidR="00B0065F">
        <w:rPr>
          <w:rFonts w:ascii="Times New Roman" w:hAnsi="Times New Roman"/>
          <w:sz w:val="24"/>
        </w:rPr>
        <w:t>’</w:t>
      </w:r>
      <w:r>
        <w:rPr>
          <w:rFonts w:ascii="Times New Roman" w:hAnsi="Times New Roman"/>
          <w:sz w:val="24"/>
        </w:rPr>
        <w:t>énergie. La charte internationale de l</w:t>
      </w:r>
      <w:r w:rsidR="00B0065F">
        <w:rPr>
          <w:rFonts w:ascii="Times New Roman" w:hAnsi="Times New Roman"/>
          <w:sz w:val="24"/>
        </w:rPr>
        <w:t>’</w:t>
      </w:r>
      <w:r>
        <w:rPr>
          <w:rFonts w:ascii="Times New Roman" w:hAnsi="Times New Roman"/>
          <w:sz w:val="24"/>
        </w:rPr>
        <w:t xml:space="preserve">énergie a été cosignée par la Commission européenne lors de la conférence de la Haye des </w:t>
      </w:r>
      <w:r w:rsidRPr="005A0F82">
        <w:rPr>
          <w:rFonts w:ascii="Times New Roman" w:hAnsi="Times New Roman"/>
          <w:sz w:val="24"/>
        </w:rPr>
        <w:t>20</w:t>
      </w:r>
      <w:r>
        <w:rPr>
          <w:rFonts w:ascii="Times New Roman" w:hAnsi="Times New Roman"/>
          <w:sz w:val="24"/>
        </w:rPr>
        <w:t xml:space="preserve"> et </w:t>
      </w:r>
      <w:r w:rsidRPr="005A0F82">
        <w:rPr>
          <w:rFonts w:ascii="Times New Roman" w:hAnsi="Times New Roman"/>
          <w:sz w:val="24"/>
        </w:rPr>
        <w:t>21</w:t>
      </w:r>
      <w:r>
        <w:rPr>
          <w:rFonts w:ascii="Times New Roman" w:hAnsi="Times New Roman"/>
          <w:sz w:val="24"/>
        </w:rPr>
        <w:t xml:space="preserve"> mai </w:t>
      </w:r>
      <w:r w:rsidRPr="005A0F82">
        <w:rPr>
          <w:rFonts w:ascii="Times New Roman" w:hAnsi="Times New Roman"/>
          <w:sz w:val="24"/>
        </w:rPr>
        <w:t>2015</w:t>
      </w:r>
      <w:r>
        <w:rPr>
          <w:rFonts w:ascii="Times New Roman" w:hAnsi="Times New Roman"/>
          <w:sz w:val="24"/>
        </w:rPr>
        <w:t>.</w:t>
      </w:r>
    </w:p>
    <w:p w:rsidR="00097C2F" w:rsidRDefault="008C0DFC">
      <w:pPr>
        <w:spacing w:after="240" w:line="240" w:lineRule="auto"/>
        <w:jc w:val="both"/>
        <w:rPr>
          <w:rFonts w:ascii="Times New Roman" w:hAnsi="Times New Roman"/>
          <w:sz w:val="24"/>
          <w:szCs w:val="24"/>
        </w:rPr>
      </w:pPr>
      <w:r>
        <w:rPr>
          <w:rFonts w:ascii="Times New Roman" w:hAnsi="Times New Roman"/>
          <w:sz w:val="24"/>
        </w:rPr>
        <w:t>Les récentes découvertes de gisements de gaz en Méditerranée orientale renforcent la contribution potentielle de la région méditerranéenne à la sécurité énergétique de l</w:t>
      </w:r>
      <w:r w:rsidR="00B0065F">
        <w:rPr>
          <w:rFonts w:ascii="Times New Roman" w:hAnsi="Times New Roman"/>
          <w:sz w:val="24"/>
        </w:rPr>
        <w:t>’</w:t>
      </w:r>
      <w:r>
        <w:rPr>
          <w:rFonts w:ascii="Times New Roman" w:hAnsi="Times New Roman"/>
          <w:sz w:val="24"/>
        </w:rPr>
        <w:t>Europe. La coopération a donc été renforcée par la mise en place de trois plateformes Euro-Med sur le gaz, le marché régional de l</w:t>
      </w:r>
      <w:r w:rsidR="00B0065F">
        <w:rPr>
          <w:rFonts w:ascii="Times New Roman" w:hAnsi="Times New Roman"/>
          <w:sz w:val="24"/>
        </w:rPr>
        <w:t>’</w:t>
      </w:r>
      <w:r>
        <w:rPr>
          <w:rFonts w:ascii="Times New Roman" w:hAnsi="Times New Roman"/>
          <w:sz w:val="24"/>
        </w:rPr>
        <w:t xml:space="preserve">électricité et la promotion des énergies renouvelables et de </w:t>
      </w:r>
      <w:r>
        <w:rPr>
          <w:rFonts w:ascii="Times New Roman" w:hAnsi="Times New Roman"/>
          <w:sz w:val="24"/>
        </w:rPr>
        <w:lastRenderedPageBreak/>
        <w:t>l</w:t>
      </w:r>
      <w:r w:rsidR="00B0065F">
        <w:rPr>
          <w:rFonts w:ascii="Times New Roman" w:hAnsi="Times New Roman"/>
          <w:sz w:val="24"/>
        </w:rPr>
        <w:t>’</w:t>
      </w:r>
      <w:r>
        <w:rPr>
          <w:rFonts w:ascii="Times New Roman" w:hAnsi="Times New Roman"/>
          <w:sz w:val="24"/>
        </w:rPr>
        <w:t xml:space="preserve">efficacité énergétique. Les négociations relatives au gazoduc transcaspien ont été relancées et les travaux sur le corridor gazier sud-européen se sont poursuivis en </w:t>
      </w:r>
      <w:r w:rsidRPr="005A0F82">
        <w:rPr>
          <w:rFonts w:ascii="Times New Roman" w:hAnsi="Times New Roman"/>
          <w:sz w:val="24"/>
        </w:rPr>
        <w:t>2015</w:t>
      </w:r>
      <w:r>
        <w:rPr>
          <w:rFonts w:ascii="Times New Roman" w:hAnsi="Times New Roman"/>
          <w:sz w:val="24"/>
        </w:rPr>
        <w:t>.</w:t>
      </w:r>
    </w:p>
    <w:p w:rsidR="00097C2F" w:rsidRDefault="008C0DFC">
      <w:pPr>
        <w:spacing w:after="240" w:line="240" w:lineRule="auto"/>
        <w:jc w:val="both"/>
        <w:rPr>
          <w:rFonts w:ascii="Times New Roman" w:hAnsi="Times New Roman"/>
          <w:sz w:val="24"/>
          <w:szCs w:val="24"/>
        </w:rPr>
      </w:pPr>
      <w:r>
        <w:rPr>
          <w:rFonts w:ascii="Times New Roman" w:hAnsi="Times New Roman"/>
          <w:sz w:val="24"/>
        </w:rPr>
        <w:t>Ces derniers mois, l</w:t>
      </w:r>
      <w:r w:rsidR="00B0065F">
        <w:rPr>
          <w:rFonts w:ascii="Times New Roman" w:hAnsi="Times New Roman"/>
          <w:sz w:val="24"/>
        </w:rPr>
        <w:t>’</w:t>
      </w:r>
      <w:r>
        <w:rPr>
          <w:rFonts w:ascii="Times New Roman" w:hAnsi="Times New Roman"/>
          <w:sz w:val="24"/>
        </w:rPr>
        <w:t>attention s</w:t>
      </w:r>
      <w:r w:rsidR="00B0065F">
        <w:rPr>
          <w:rFonts w:ascii="Times New Roman" w:hAnsi="Times New Roman"/>
          <w:sz w:val="24"/>
        </w:rPr>
        <w:t>’</w:t>
      </w:r>
      <w:r>
        <w:rPr>
          <w:rFonts w:ascii="Times New Roman" w:hAnsi="Times New Roman"/>
          <w:sz w:val="24"/>
        </w:rPr>
        <w:t>est largement concentrée sur l</w:t>
      </w:r>
      <w:r w:rsidR="00B0065F">
        <w:rPr>
          <w:rFonts w:ascii="Times New Roman" w:hAnsi="Times New Roman"/>
          <w:sz w:val="24"/>
        </w:rPr>
        <w:t>’</w:t>
      </w:r>
      <w:r>
        <w:rPr>
          <w:rFonts w:ascii="Times New Roman" w:hAnsi="Times New Roman"/>
          <w:sz w:val="24"/>
        </w:rPr>
        <w:t>électricité. Dans certains États membres, la surcapacité de production d</w:t>
      </w:r>
      <w:r w:rsidR="00B0065F">
        <w:rPr>
          <w:rFonts w:ascii="Times New Roman" w:hAnsi="Times New Roman"/>
          <w:sz w:val="24"/>
        </w:rPr>
        <w:t>’</w:t>
      </w:r>
      <w:r>
        <w:rPr>
          <w:rFonts w:ascii="Times New Roman" w:hAnsi="Times New Roman"/>
          <w:sz w:val="24"/>
        </w:rPr>
        <w:t>électricité s</w:t>
      </w:r>
      <w:r w:rsidR="00B0065F">
        <w:rPr>
          <w:rFonts w:ascii="Times New Roman" w:hAnsi="Times New Roman"/>
          <w:sz w:val="24"/>
        </w:rPr>
        <w:t>’</w:t>
      </w:r>
      <w:r>
        <w:rPr>
          <w:rFonts w:ascii="Times New Roman" w:hAnsi="Times New Roman"/>
          <w:sz w:val="24"/>
        </w:rPr>
        <w:t>est réduite au cours de la dernière décennie, et le risque de microcoupures est désormais évoqué. Pour déterminer où résident les véritables problèmes dans le système électrique, et la manière d</w:t>
      </w:r>
      <w:r w:rsidR="00B0065F">
        <w:rPr>
          <w:rFonts w:ascii="Times New Roman" w:hAnsi="Times New Roman"/>
          <w:sz w:val="24"/>
        </w:rPr>
        <w:t>’</w:t>
      </w:r>
      <w:r>
        <w:rPr>
          <w:rFonts w:ascii="Times New Roman" w:hAnsi="Times New Roman"/>
          <w:sz w:val="24"/>
        </w:rPr>
        <w:t xml:space="preserve">y remédier au mieux, plusieurs initiatives ont été prises afin </w:t>
      </w:r>
      <w:r w:rsidR="00C67C3E">
        <w:rPr>
          <w:rFonts w:ascii="Times New Roman" w:hAnsi="Times New Roman"/>
          <w:sz w:val="24"/>
        </w:rPr>
        <w:t>que l</w:t>
      </w:r>
      <w:r w:rsidR="00B0065F">
        <w:rPr>
          <w:rFonts w:ascii="Times New Roman" w:hAnsi="Times New Roman"/>
          <w:sz w:val="24"/>
        </w:rPr>
        <w:t>’</w:t>
      </w:r>
      <w:r>
        <w:rPr>
          <w:rFonts w:ascii="Times New Roman" w:hAnsi="Times New Roman"/>
          <w:sz w:val="24"/>
        </w:rPr>
        <w:t>analyse de l</w:t>
      </w:r>
      <w:r w:rsidR="00B0065F">
        <w:rPr>
          <w:rFonts w:ascii="Times New Roman" w:hAnsi="Times New Roman"/>
          <w:sz w:val="24"/>
        </w:rPr>
        <w:t>’</w:t>
      </w:r>
      <w:r>
        <w:rPr>
          <w:rFonts w:ascii="Times New Roman" w:hAnsi="Times New Roman"/>
          <w:sz w:val="24"/>
        </w:rPr>
        <w:t>adéquation des capacités de production d</w:t>
      </w:r>
      <w:r w:rsidR="00B0065F">
        <w:rPr>
          <w:rFonts w:ascii="Times New Roman" w:hAnsi="Times New Roman"/>
          <w:sz w:val="24"/>
        </w:rPr>
        <w:t>’</w:t>
      </w:r>
      <w:r>
        <w:rPr>
          <w:rFonts w:ascii="Times New Roman" w:hAnsi="Times New Roman"/>
          <w:sz w:val="24"/>
        </w:rPr>
        <w:t>électricité soit effectuée sur une base régionale et selon une méthode commune</w:t>
      </w:r>
      <w:r>
        <w:rPr>
          <w:rStyle w:val="FootnoteReference"/>
          <w:rFonts w:ascii="Times New Roman" w:hAnsi="Times New Roman"/>
          <w:sz w:val="24"/>
        </w:rPr>
        <w:footnoteReference w:id="30"/>
      </w:r>
      <w:r>
        <w:rPr>
          <w:rFonts w:ascii="Times New Roman" w:hAnsi="Times New Roman"/>
          <w:sz w:val="24"/>
        </w:rPr>
        <w:t>.</w:t>
      </w:r>
    </w:p>
    <w:p w:rsidR="00097C2F" w:rsidRDefault="008C0DFC">
      <w:pPr>
        <w:spacing w:after="240" w:line="240" w:lineRule="auto"/>
        <w:jc w:val="both"/>
        <w:rPr>
          <w:rFonts w:ascii="Times New Roman" w:hAnsi="Times New Roman"/>
          <w:i/>
          <w:sz w:val="24"/>
          <w:szCs w:val="24"/>
        </w:rPr>
      </w:pPr>
      <w:r>
        <w:rPr>
          <w:rFonts w:ascii="Times New Roman" w:hAnsi="Times New Roman"/>
          <w:i/>
          <w:sz w:val="24"/>
        </w:rPr>
        <w:t>Étapes ultérieures</w:t>
      </w:r>
    </w:p>
    <w:p w:rsidR="00097C2F" w:rsidRDefault="008C0DFC">
      <w:pPr>
        <w:spacing w:after="240" w:line="240" w:lineRule="auto"/>
        <w:jc w:val="both"/>
        <w:rPr>
          <w:rFonts w:ascii="Times New Roman" w:hAnsi="Times New Roman"/>
          <w:sz w:val="24"/>
          <w:szCs w:val="24"/>
        </w:rPr>
      </w:pPr>
      <w:r>
        <w:rPr>
          <w:rFonts w:ascii="Times New Roman" w:hAnsi="Times New Roman"/>
          <w:sz w:val="24"/>
        </w:rPr>
        <w:t xml:space="preserve">Les défis géopolitiques ne vont pas disparaître en </w:t>
      </w:r>
      <w:r w:rsidRPr="005A0F82">
        <w:rPr>
          <w:rFonts w:ascii="Times New Roman" w:hAnsi="Times New Roman"/>
          <w:sz w:val="24"/>
        </w:rPr>
        <w:t>2016</w:t>
      </w:r>
      <w:r>
        <w:rPr>
          <w:rFonts w:ascii="Times New Roman" w:hAnsi="Times New Roman"/>
          <w:sz w:val="24"/>
        </w:rPr>
        <w:t>. Il faudra que l</w:t>
      </w:r>
      <w:r w:rsidR="00B0065F">
        <w:rPr>
          <w:rFonts w:ascii="Times New Roman" w:hAnsi="Times New Roman"/>
          <w:sz w:val="24"/>
        </w:rPr>
        <w:t>’</w:t>
      </w:r>
      <w:r>
        <w:rPr>
          <w:rFonts w:ascii="Times New Roman" w:hAnsi="Times New Roman"/>
          <w:sz w:val="24"/>
        </w:rPr>
        <w:t>UE poursuive efficacement sa nouvelle diplomatie énergétique et s</w:t>
      </w:r>
      <w:r w:rsidR="00B0065F">
        <w:rPr>
          <w:rFonts w:ascii="Times New Roman" w:hAnsi="Times New Roman"/>
          <w:sz w:val="24"/>
        </w:rPr>
        <w:t>’</w:t>
      </w:r>
      <w:r>
        <w:rPr>
          <w:rFonts w:ascii="Times New Roman" w:hAnsi="Times New Roman"/>
          <w:sz w:val="24"/>
        </w:rPr>
        <w:t>exprime d</w:t>
      </w:r>
      <w:r w:rsidR="00B0065F">
        <w:rPr>
          <w:rFonts w:ascii="Times New Roman" w:hAnsi="Times New Roman"/>
          <w:sz w:val="24"/>
        </w:rPr>
        <w:t>’</w:t>
      </w:r>
      <w:r>
        <w:rPr>
          <w:rFonts w:ascii="Times New Roman" w:hAnsi="Times New Roman"/>
          <w:sz w:val="24"/>
        </w:rPr>
        <w:t>une seule voix vis-à-vis des pays tiers. Elle devra aussi élaborer les plans d</w:t>
      </w:r>
      <w:r w:rsidR="00B0065F">
        <w:rPr>
          <w:rFonts w:ascii="Times New Roman" w:hAnsi="Times New Roman"/>
          <w:sz w:val="24"/>
        </w:rPr>
        <w:t>’</w:t>
      </w:r>
      <w:r>
        <w:rPr>
          <w:rFonts w:ascii="Times New Roman" w:hAnsi="Times New Roman"/>
          <w:sz w:val="24"/>
        </w:rPr>
        <w:t>action requis en matière de diplomatie énergétique, de manière à renforcer la diversification des approvisionnements en recourant aussi aux instruments de politique étrangère.</w:t>
      </w:r>
    </w:p>
    <w:p w:rsidR="00097C2F" w:rsidRDefault="008C0DFC">
      <w:pPr>
        <w:spacing w:after="240" w:line="240" w:lineRule="auto"/>
        <w:jc w:val="both"/>
        <w:rPr>
          <w:rFonts w:ascii="Times New Roman" w:hAnsi="Times New Roman"/>
          <w:sz w:val="24"/>
          <w:szCs w:val="24"/>
        </w:rPr>
      </w:pPr>
      <w:r>
        <w:rPr>
          <w:rFonts w:ascii="Times New Roman" w:hAnsi="Times New Roman"/>
          <w:sz w:val="24"/>
        </w:rPr>
        <w:t>La révision du règlement sur la sécurité de l</w:t>
      </w:r>
      <w:r w:rsidR="00B0065F">
        <w:rPr>
          <w:rFonts w:ascii="Times New Roman" w:hAnsi="Times New Roman"/>
          <w:sz w:val="24"/>
        </w:rPr>
        <w:t>’</w:t>
      </w:r>
      <w:r>
        <w:rPr>
          <w:rFonts w:ascii="Times New Roman" w:hAnsi="Times New Roman"/>
          <w:sz w:val="24"/>
        </w:rPr>
        <w:t xml:space="preserve">approvisionnement en gaz prévue pour </w:t>
      </w:r>
      <w:r w:rsidRPr="005A0F82">
        <w:rPr>
          <w:rFonts w:ascii="Times New Roman" w:hAnsi="Times New Roman"/>
          <w:sz w:val="24"/>
        </w:rPr>
        <w:t>2016</w:t>
      </w:r>
      <w:r>
        <w:rPr>
          <w:rFonts w:ascii="Times New Roman" w:hAnsi="Times New Roman"/>
          <w:sz w:val="24"/>
        </w:rPr>
        <w:t xml:space="preserve"> a pour objectif d</w:t>
      </w:r>
      <w:r w:rsidR="00B0065F">
        <w:rPr>
          <w:rFonts w:ascii="Times New Roman" w:hAnsi="Times New Roman"/>
          <w:sz w:val="24"/>
        </w:rPr>
        <w:t>’</w:t>
      </w:r>
      <w:r>
        <w:rPr>
          <w:rFonts w:ascii="Times New Roman" w:hAnsi="Times New Roman"/>
          <w:sz w:val="24"/>
        </w:rPr>
        <w:t>améliorer la capacité de résilience de l</w:t>
      </w:r>
      <w:r w:rsidR="00B0065F">
        <w:rPr>
          <w:rFonts w:ascii="Times New Roman" w:hAnsi="Times New Roman"/>
          <w:sz w:val="24"/>
        </w:rPr>
        <w:t>’</w:t>
      </w:r>
      <w:r>
        <w:rPr>
          <w:rFonts w:ascii="Times New Roman" w:hAnsi="Times New Roman"/>
          <w:sz w:val="24"/>
        </w:rPr>
        <w:t>UE aux ruptures d</w:t>
      </w:r>
      <w:r w:rsidR="00B0065F">
        <w:rPr>
          <w:rFonts w:ascii="Times New Roman" w:hAnsi="Times New Roman"/>
          <w:sz w:val="24"/>
        </w:rPr>
        <w:t>’</w:t>
      </w:r>
      <w:r>
        <w:rPr>
          <w:rFonts w:ascii="Times New Roman" w:hAnsi="Times New Roman"/>
          <w:sz w:val="24"/>
        </w:rPr>
        <w:t>approvisionnement. Il sera particulièrement important de renforcer la coopération régionale entre les États membres, à la fois pour prévenir et atténuer les ruptures d</w:t>
      </w:r>
      <w:r w:rsidR="00B0065F">
        <w:rPr>
          <w:rFonts w:ascii="Times New Roman" w:hAnsi="Times New Roman"/>
          <w:sz w:val="24"/>
        </w:rPr>
        <w:t>’</w:t>
      </w:r>
      <w:r>
        <w:rPr>
          <w:rFonts w:ascii="Times New Roman" w:hAnsi="Times New Roman"/>
          <w:sz w:val="24"/>
        </w:rPr>
        <w:t>approvisionnement et pour faire jouer la solidarité en cas d</w:t>
      </w:r>
      <w:r w:rsidR="00B0065F">
        <w:rPr>
          <w:rFonts w:ascii="Times New Roman" w:hAnsi="Times New Roman"/>
          <w:sz w:val="24"/>
        </w:rPr>
        <w:t>’</w:t>
      </w:r>
      <w:r>
        <w:rPr>
          <w:rFonts w:ascii="Times New Roman" w:hAnsi="Times New Roman"/>
          <w:sz w:val="24"/>
        </w:rPr>
        <w:t>urgence. La Commission compte présenter, simultanément, une stratégie pour le gaz naturel liquéfié (GNL) et pour le stockage du gaz, afin que l</w:t>
      </w:r>
      <w:r w:rsidR="00B0065F">
        <w:rPr>
          <w:rFonts w:ascii="Times New Roman" w:hAnsi="Times New Roman"/>
          <w:sz w:val="24"/>
        </w:rPr>
        <w:t>’</w:t>
      </w:r>
      <w:r>
        <w:rPr>
          <w:rFonts w:ascii="Times New Roman" w:hAnsi="Times New Roman"/>
          <w:sz w:val="24"/>
        </w:rPr>
        <w:t>U</w:t>
      </w:r>
      <w:r w:rsidR="00C67C3E">
        <w:rPr>
          <w:rFonts w:ascii="Times New Roman" w:hAnsi="Times New Roman"/>
          <w:sz w:val="24"/>
        </w:rPr>
        <w:t>E</w:t>
      </w:r>
      <w:r>
        <w:rPr>
          <w:rFonts w:ascii="Times New Roman" w:hAnsi="Times New Roman"/>
          <w:sz w:val="24"/>
        </w:rPr>
        <w:t xml:space="preserve"> puisse tirer pleinement profit du potentiel de diversification qu</w:t>
      </w:r>
      <w:r w:rsidR="00B0065F">
        <w:rPr>
          <w:rFonts w:ascii="Times New Roman" w:hAnsi="Times New Roman"/>
          <w:sz w:val="24"/>
        </w:rPr>
        <w:t>’</w:t>
      </w:r>
      <w:r>
        <w:rPr>
          <w:rFonts w:ascii="Times New Roman" w:hAnsi="Times New Roman"/>
          <w:sz w:val="24"/>
        </w:rPr>
        <w:t>offre le GNL. Parallèlement, la Commission continue à insister sur l</w:t>
      </w:r>
      <w:r w:rsidR="00B0065F">
        <w:rPr>
          <w:rFonts w:ascii="Times New Roman" w:hAnsi="Times New Roman"/>
          <w:sz w:val="24"/>
        </w:rPr>
        <w:t>’</w:t>
      </w:r>
      <w:r>
        <w:rPr>
          <w:rFonts w:ascii="Times New Roman" w:hAnsi="Times New Roman"/>
          <w:sz w:val="24"/>
        </w:rPr>
        <w:t>importance de l</w:t>
      </w:r>
      <w:r w:rsidR="00B0065F">
        <w:rPr>
          <w:rFonts w:ascii="Times New Roman" w:hAnsi="Times New Roman"/>
          <w:sz w:val="24"/>
        </w:rPr>
        <w:t>’</w:t>
      </w:r>
      <w:r>
        <w:rPr>
          <w:rFonts w:ascii="Times New Roman" w:hAnsi="Times New Roman"/>
          <w:sz w:val="24"/>
        </w:rPr>
        <w:t xml:space="preserve">énergie en général, et du </w:t>
      </w:r>
      <w:r w:rsidR="00C67C3E">
        <w:rPr>
          <w:rFonts w:ascii="Times New Roman" w:hAnsi="Times New Roman"/>
          <w:sz w:val="24"/>
        </w:rPr>
        <w:t>GNL</w:t>
      </w:r>
      <w:r>
        <w:rPr>
          <w:rFonts w:ascii="Times New Roman" w:hAnsi="Times New Roman"/>
          <w:sz w:val="24"/>
        </w:rPr>
        <w:t xml:space="preserve"> en particulier, dans les négociations en cours sur le partenariat transatlantique de commerce et d</w:t>
      </w:r>
      <w:r w:rsidR="00B0065F">
        <w:rPr>
          <w:rFonts w:ascii="Times New Roman" w:hAnsi="Times New Roman"/>
          <w:sz w:val="24"/>
        </w:rPr>
        <w:t>’</w:t>
      </w:r>
      <w:r>
        <w:rPr>
          <w:rFonts w:ascii="Times New Roman" w:hAnsi="Times New Roman"/>
          <w:sz w:val="24"/>
        </w:rPr>
        <w:t>investissement (TTIP).</w:t>
      </w:r>
    </w:p>
    <w:p w:rsidR="00097C2F" w:rsidRDefault="008C0DFC">
      <w:pPr>
        <w:spacing w:after="240" w:line="240" w:lineRule="auto"/>
        <w:jc w:val="both"/>
        <w:rPr>
          <w:rFonts w:ascii="Times New Roman" w:hAnsi="Times New Roman"/>
          <w:sz w:val="24"/>
          <w:szCs w:val="24"/>
        </w:rPr>
      </w:pPr>
      <w:r>
        <w:rPr>
          <w:rFonts w:ascii="Times New Roman" w:hAnsi="Times New Roman"/>
          <w:sz w:val="24"/>
        </w:rPr>
        <w:t>Afin d</w:t>
      </w:r>
      <w:r w:rsidR="00B0065F">
        <w:rPr>
          <w:rFonts w:ascii="Times New Roman" w:hAnsi="Times New Roman"/>
          <w:sz w:val="24"/>
        </w:rPr>
        <w:t>’</w:t>
      </w:r>
      <w:r>
        <w:rPr>
          <w:rFonts w:ascii="Times New Roman" w:hAnsi="Times New Roman"/>
          <w:sz w:val="24"/>
        </w:rPr>
        <w:t>améliorer la transparence et de faire en sorte que les accords intergouvernementaux dans le domaine de l</w:t>
      </w:r>
      <w:r w:rsidR="00B0065F">
        <w:rPr>
          <w:rFonts w:ascii="Times New Roman" w:hAnsi="Times New Roman"/>
          <w:sz w:val="24"/>
        </w:rPr>
        <w:t>’</w:t>
      </w:r>
      <w:r>
        <w:rPr>
          <w:rFonts w:ascii="Times New Roman" w:hAnsi="Times New Roman"/>
          <w:sz w:val="24"/>
        </w:rPr>
        <w:t>énergie soient conformes à la réglementation et aux politiques de l</w:t>
      </w:r>
      <w:r w:rsidR="00B0065F">
        <w:rPr>
          <w:rFonts w:ascii="Times New Roman" w:hAnsi="Times New Roman"/>
          <w:sz w:val="24"/>
        </w:rPr>
        <w:t>’</w:t>
      </w:r>
      <w:r>
        <w:rPr>
          <w:rFonts w:ascii="Times New Roman" w:hAnsi="Times New Roman"/>
          <w:sz w:val="24"/>
        </w:rPr>
        <w:t>UE, la Commission prépare actuellement une proposition de révision de l</w:t>
      </w:r>
      <w:r w:rsidR="00B0065F">
        <w:rPr>
          <w:rFonts w:ascii="Times New Roman" w:hAnsi="Times New Roman"/>
          <w:sz w:val="24"/>
        </w:rPr>
        <w:t>’</w:t>
      </w:r>
      <w:r>
        <w:rPr>
          <w:rFonts w:ascii="Times New Roman" w:hAnsi="Times New Roman"/>
          <w:sz w:val="24"/>
        </w:rPr>
        <w:t>actuelle décision sur les accords intergouvernementaux.</w:t>
      </w:r>
    </w:p>
    <w:p w:rsidR="00097C2F" w:rsidRDefault="008C0DFC">
      <w:pPr>
        <w:spacing w:after="240" w:line="240" w:lineRule="auto"/>
        <w:jc w:val="both"/>
        <w:rPr>
          <w:rFonts w:ascii="Times New Roman" w:hAnsi="Times New Roman"/>
          <w:sz w:val="24"/>
          <w:szCs w:val="24"/>
        </w:rPr>
      </w:pPr>
      <w:r>
        <w:rPr>
          <w:rFonts w:ascii="Times New Roman" w:hAnsi="Times New Roman"/>
          <w:sz w:val="24"/>
        </w:rPr>
        <w:t>La Commission a l</w:t>
      </w:r>
      <w:r w:rsidR="00B0065F">
        <w:rPr>
          <w:rFonts w:ascii="Times New Roman" w:hAnsi="Times New Roman"/>
          <w:sz w:val="24"/>
        </w:rPr>
        <w:t>’</w:t>
      </w:r>
      <w:r>
        <w:rPr>
          <w:rFonts w:ascii="Times New Roman" w:hAnsi="Times New Roman"/>
          <w:sz w:val="24"/>
        </w:rPr>
        <w:t xml:space="preserve">intention de proposer, avant la fin de </w:t>
      </w:r>
      <w:r w:rsidRPr="005A0F82">
        <w:rPr>
          <w:rFonts w:ascii="Times New Roman" w:hAnsi="Times New Roman"/>
          <w:sz w:val="24"/>
        </w:rPr>
        <w:t>2016</w:t>
      </w:r>
      <w:r>
        <w:rPr>
          <w:rFonts w:ascii="Times New Roman" w:hAnsi="Times New Roman"/>
          <w:sz w:val="24"/>
        </w:rPr>
        <w:t>, un nouvel instrument réglementaire sur la sécurité de l</w:t>
      </w:r>
      <w:r w:rsidR="00B0065F">
        <w:rPr>
          <w:rFonts w:ascii="Times New Roman" w:hAnsi="Times New Roman"/>
          <w:sz w:val="24"/>
        </w:rPr>
        <w:t>’</w:t>
      </w:r>
      <w:r>
        <w:rPr>
          <w:rFonts w:ascii="Times New Roman" w:hAnsi="Times New Roman"/>
          <w:sz w:val="24"/>
        </w:rPr>
        <w:t>approvisionnement en électricité, le but étant d</w:t>
      </w:r>
      <w:r w:rsidR="00B0065F">
        <w:rPr>
          <w:rFonts w:ascii="Times New Roman" w:hAnsi="Times New Roman"/>
          <w:sz w:val="24"/>
        </w:rPr>
        <w:t>’</w:t>
      </w:r>
      <w:r>
        <w:rPr>
          <w:rFonts w:ascii="Times New Roman" w:hAnsi="Times New Roman"/>
          <w:sz w:val="24"/>
        </w:rPr>
        <w:t xml:space="preserve">améliorer la transparence, de garantir une approche commune et de </w:t>
      </w:r>
      <w:r w:rsidR="00B0065F">
        <w:rPr>
          <w:rFonts w:ascii="Times New Roman" w:hAnsi="Times New Roman"/>
          <w:sz w:val="24"/>
        </w:rPr>
        <w:t xml:space="preserve">mettre davantage de solutions </w:t>
      </w:r>
      <w:r>
        <w:rPr>
          <w:rFonts w:ascii="Times New Roman" w:hAnsi="Times New Roman"/>
          <w:sz w:val="24"/>
        </w:rPr>
        <w:t xml:space="preserve">transfrontières </w:t>
      </w:r>
      <w:r w:rsidR="00B0065F">
        <w:rPr>
          <w:rFonts w:ascii="Times New Roman" w:hAnsi="Times New Roman"/>
          <w:sz w:val="24"/>
        </w:rPr>
        <w:t xml:space="preserve">en place </w:t>
      </w:r>
      <w:r>
        <w:rPr>
          <w:rFonts w:ascii="Times New Roman" w:hAnsi="Times New Roman"/>
          <w:sz w:val="24"/>
        </w:rPr>
        <w:t>pour assurer la sécurité de l</w:t>
      </w:r>
      <w:r w:rsidR="00B0065F">
        <w:rPr>
          <w:rFonts w:ascii="Times New Roman" w:hAnsi="Times New Roman"/>
          <w:sz w:val="24"/>
        </w:rPr>
        <w:t>’</w:t>
      </w:r>
      <w:r>
        <w:rPr>
          <w:rFonts w:ascii="Times New Roman" w:hAnsi="Times New Roman"/>
          <w:sz w:val="24"/>
        </w:rPr>
        <w:t xml:space="preserve">approvisionnement en électricité. </w:t>
      </w:r>
      <w:r w:rsidR="00C67C3E">
        <w:rPr>
          <w:rFonts w:ascii="Times New Roman" w:hAnsi="Times New Roman"/>
          <w:sz w:val="24"/>
        </w:rPr>
        <w:t>Il est prévu d</w:t>
      </w:r>
      <w:r w:rsidR="00B0065F">
        <w:rPr>
          <w:rFonts w:ascii="Times New Roman" w:hAnsi="Times New Roman"/>
          <w:sz w:val="24"/>
        </w:rPr>
        <w:t>’</w:t>
      </w:r>
      <w:r w:rsidR="00C67C3E">
        <w:rPr>
          <w:rFonts w:ascii="Times New Roman" w:hAnsi="Times New Roman"/>
          <w:sz w:val="24"/>
        </w:rPr>
        <w:t>intégrer totalement c</w:t>
      </w:r>
      <w:r>
        <w:rPr>
          <w:rFonts w:ascii="Times New Roman" w:hAnsi="Times New Roman"/>
          <w:sz w:val="24"/>
        </w:rPr>
        <w:t>et instrument à la nouvelle organisation du marché de l</w:t>
      </w:r>
      <w:r w:rsidR="00B0065F">
        <w:rPr>
          <w:rFonts w:ascii="Times New Roman" w:hAnsi="Times New Roman"/>
          <w:sz w:val="24"/>
        </w:rPr>
        <w:t>’</w:t>
      </w:r>
      <w:r>
        <w:rPr>
          <w:rFonts w:ascii="Times New Roman" w:hAnsi="Times New Roman"/>
          <w:sz w:val="24"/>
        </w:rPr>
        <w:t>électricité.</w:t>
      </w:r>
    </w:p>
    <w:p w:rsidR="00097C2F" w:rsidRDefault="008C0DFC">
      <w:pPr>
        <w:spacing w:after="240" w:line="240" w:lineRule="auto"/>
        <w:jc w:val="both"/>
        <w:rPr>
          <w:rFonts w:ascii="Times New Roman" w:hAnsi="Times New Roman"/>
          <w:sz w:val="24"/>
          <w:szCs w:val="24"/>
        </w:rPr>
      </w:pPr>
      <w:r>
        <w:rPr>
          <w:rFonts w:ascii="Times New Roman" w:hAnsi="Times New Roman"/>
          <w:sz w:val="24"/>
        </w:rPr>
        <w:t xml:space="preserve">Dans le domaine nucléaire, la publication, en </w:t>
      </w:r>
      <w:r w:rsidRPr="005A0F82">
        <w:rPr>
          <w:rFonts w:ascii="Times New Roman" w:hAnsi="Times New Roman"/>
          <w:sz w:val="24"/>
        </w:rPr>
        <w:t>2016</w:t>
      </w:r>
      <w:r>
        <w:rPr>
          <w:rFonts w:ascii="Times New Roman" w:hAnsi="Times New Roman"/>
          <w:sz w:val="24"/>
        </w:rPr>
        <w:t>, d</w:t>
      </w:r>
      <w:r w:rsidR="00B0065F">
        <w:rPr>
          <w:rFonts w:ascii="Times New Roman" w:hAnsi="Times New Roman"/>
          <w:sz w:val="24"/>
        </w:rPr>
        <w:t>’</w:t>
      </w:r>
      <w:r>
        <w:rPr>
          <w:rFonts w:ascii="Times New Roman" w:hAnsi="Times New Roman"/>
          <w:sz w:val="24"/>
        </w:rPr>
        <w:t>un nouveau programme indicatif nucléaire (PINC) fournira un tableau d</w:t>
      </w:r>
      <w:r w:rsidR="00B0065F">
        <w:rPr>
          <w:rFonts w:ascii="Times New Roman" w:hAnsi="Times New Roman"/>
          <w:sz w:val="24"/>
        </w:rPr>
        <w:t>’</w:t>
      </w:r>
      <w:r>
        <w:rPr>
          <w:rFonts w:ascii="Times New Roman" w:hAnsi="Times New Roman"/>
          <w:sz w:val="24"/>
        </w:rPr>
        <w:t>ensemble des investissements envisagés par les États membres jusqu</w:t>
      </w:r>
      <w:r w:rsidR="00B0065F">
        <w:rPr>
          <w:rFonts w:ascii="Times New Roman" w:hAnsi="Times New Roman"/>
          <w:sz w:val="24"/>
        </w:rPr>
        <w:t>’</w:t>
      </w:r>
      <w:r>
        <w:rPr>
          <w:rFonts w:ascii="Times New Roman" w:hAnsi="Times New Roman"/>
          <w:sz w:val="24"/>
        </w:rPr>
        <w:t xml:space="preserve">en </w:t>
      </w:r>
      <w:r w:rsidRPr="005A0F82">
        <w:rPr>
          <w:rFonts w:ascii="Times New Roman" w:hAnsi="Times New Roman"/>
          <w:sz w:val="24"/>
        </w:rPr>
        <w:t>2050</w:t>
      </w:r>
      <w:r>
        <w:rPr>
          <w:rFonts w:ascii="Times New Roman" w:hAnsi="Times New Roman"/>
          <w:sz w:val="24"/>
        </w:rPr>
        <w:t xml:space="preserve"> pour tous les stades du cycle nucléaire. La moitié des États membres de l</w:t>
      </w:r>
      <w:r w:rsidR="00B0065F">
        <w:rPr>
          <w:rFonts w:ascii="Times New Roman" w:hAnsi="Times New Roman"/>
          <w:sz w:val="24"/>
        </w:rPr>
        <w:t>’</w:t>
      </w:r>
      <w:r>
        <w:rPr>
          <w:rFonts w:ascii="Times New Roman" w:hAnsi="Times New Roman"/>
          <w:sz w:val="24"/>
        </w:rPr>
        <w:t xml:space="preserve">UE ont fait part de leur intention de continuer à produire une partie de leur électricité à </w:t>
      </w:r>
      <w:r>
        <w:rPr>
          <w:rFonts w:ascii="Times New Roman" w:hAnsi="Times New Roman"/>
          <w:sz w:val="24"/>
        </w:rPr>
        <w:lastRenderedPageBreak/>
        <w:t>partir de cette source d</w:t>
      </w:r>
      <w:r w:rsidR="00B0065F">
        <w:rPr>
          <w:rFonts w:ascii="Times New Roman" w:hAnsi="Times New Roman"/>
          <w:sz w:val="24"/>
        </w:rPr>
        <w:t>’</w:t>
      </w:r>
      <w:r>
        <w:rPr>
          <w:rFonts w:ascii="Times New Roman" w:hAnsi="Times New Roman"/>
          <w:sz w:val="24"/>
        </w:rPr>
        <w:t xml:space="preserve">énergie; aussi, cette initiative devrait clarifier les besoins </w:t>
      </w:r>
      <w:r w:rsidR="00C67C3E">
        <w:rPr>
          <w:rFonts w:ascii="Times New Roman" w:hAnsi="Times New Roman"/>
          <w:sz w:val="24"/>
        </w:rPr>
        <w:t xml:space="preserve">en investissements </w:t>
      </w:r>
      <w:r>
        <w:rPr>
          <w:rFonts w:ascii="Times New Roman" w:hAnsi="Times New Roman"/>
          <w:sz w:val="24"/>
        </w:rPr>
        <w:t>à long terme dans le nucléaire et la gestion du passif nucléaire.</w:t>
      </w:r>
    </w:p>
    <w:p w:rsidR="00097C2F" w:rsidRDefault="008C0DFC">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sz w:val="24"/>
          <w:szCs w:val="24"/>
        </w:rPr>
      </w:pPr>
      <w:r>
        <w:rPr>
          <w:rFonts w:ascii="Times New Roman" w:hAnsi="Times New Roman"/>
          <w:i/>
          <w:sz w:val="24"/>
        </w:rPr>
        <w:t>Conclusions d</w:t>
      </w:r>
      <w:r w:rsidR="00B0065F">
        <w:rPr>
          <w:rFonts w:ascii="Times New Roman" w:hAnsi="Times New Roman"/>
          <w:i/>
          <w:sz w:val="24"/>
        </w:rPr>
        <w:t>’</w:t>
      </w:r>
      <w:r>
        <w:rPr>
          <w:rFonts w:ascii="Times New Roman" w:hAnsi="Times New Roman"/>
          <w:i/>
          <w:sz w:val="24"/>
        </w:rPr>
        <w:t>ordre politique aux niveaux national, régional et de l</w:t>
      </w:r>
      <w:r w:rsidR="00B0065F">
        <w:rPr>
          <w:rFonts w:ascii="Times New Roman" w:hAnsi="Times New Roman"/>
          <w:i/>
          <w:sz w:val="24"/>
        </w:rPr>
        <w:t>’</w:t>
      </w:r>
      <w:r>
        <w:rPr>
          <w:rFonts w:ascii="Times New Roman" w:hAnsi="Times New Roman"/>
          <w:i/>
          <w:sz w:val="24"/>
        </w:rPr>
        <w:t>UE:</w:t>
      </w:r>
    </w:p>
    <w:p w:rsidR="00097C2F" w:rsidRDefault="008C0DFC">
      <w:pPr>
        <w:pStyle w:val="Text2"/>
        <w:numPr>
          <w:ilvl w:val="0"/>
          <w:numId w:val="4"/>
        </w:numPr>
        <w:pBdr>
          <w:top w:val="single" w:sz="4" w:space="1" w:color="auto"/>
          <w:left w:val="single" w:sz="4" w:space="4" w:color="auto"/>
          <w:bottom w:val="single" w:sz="4" w:space="1" w:color="auto"/>
          <w:right w:val="single" w:sz="4" w:space="4" w:color="auto"/>
        </w:pBdr>
        <w:spacing w:after="120"/>
        <w:ind w:left="426" w:hanging="426"/>
        <w:rPr>
          <w:i/>
          <w:szCs w:val="24"/>
        </w:rPr>
      </w:pPr>
      <w:r>
        <w:rPr>
          <w:i/>
        </w:rPr>
        <w:t>L</w:t>
      </w:r>
      <w:r w:rsidR="00B0065F">
        <w:rPr>
          <w:i/>
        </w:rPr>
        <w:t>’</w:t>
      </w:r>
      <w:r>
        <w:rPr>
          <w:i/>
        </w:rPr>
        <w:t>UE progresse dans la diversification des sources et des voies d</w:t>
      </w:r>
      <w:r w:rsidR="00B0065F">
        <w:rPr>
          <w:i/>
        </w:rPr>
        <w:t>’</w:t>
      </w:r>
      <w:r>
        <w:rPr>
          <w:i/>
        </w:rPr>
        <w:t>approvisionnement, ainsi que des fournisseurs d</w:t>
      </w:r>
      <w:r w:rsidR="00B0065F">
        <w:rPr>
          <w:i/>
        </w:rPr>
        <w:t>’</w:t>
      </w:r>
      <w:r>
        <w:rPr>
          <w:i/>
        </w:rPr>
        <w:t xml:space="preserve">énergie. Toutefois, en </w:t>
      </w:r>
      <w:r w:rsidRPr="005A0F82">
        <w:rPr>
          <w:i/>
        </w:rPr>
        <w:t>2013</w:t>
      </w:r>
      <w:r>
        <w:rPr>
          <w:i/>
        </w:rPr>
        <w:t xml:space="preserve">, environ </w:t>
      </w:r>
      <w:r w:rsidRPr="005A0F82">
        <w:rPr>
          <w:i/>
        </w:rPr>
        <w:t>40</w:t>
      </w:r>
      <w:r>
        <w:rPr>
          <w:i/>
        </w:rPr>
        <w:t> % des importations de gaz de l</w:t>
      </w:r>
      <w:r w:rsidR="00B0065F">
        <w:rPr>
          <w:i/>
        </w:rPr>
        <w:t>’</w:t>
      </w:r>
      <w:r>
        <w:rPr>
          <w:i/>
        </w:rPr>
        <w:t>UE prov</w:t>
      </w:r>
      <w:r w:rsidR="00C67C3E">
        <w:rPr>
          <w:i/>
        </w:rPr>
        <w:t>enaient</w:t>
      </w:r>
      <w:r>
        <w:rPr>
          <w:i/>
        </w:rPr>
        <w:t xml:space="preserve"> de Russie, et un certain nombre d</w:t>
      </w:r>
      <w:r w:rsidR="00B0065F">
        <w:rPr>
          <w:i/>
        </w:rPr>
        <w:t>’</w:t>
      </w:r>
      <w:r>
        <w:rPr>
          <w:i/>
        </w:rPr>
        <w:t>États membres rest</w:t>
      </w:r>
      <w:r w:rsidR="00C67C3E">
        <w:rPr>
          <w:i/>
        </w:rPr>
        <w:t>aient</w:t>
      </w:r>
      <w:r>
        <w:rPr>
          <w:i/>
        </w:rPr>
        <w:t xml:space="preserve"> totalement ou principalement tributaire</w:t>
      </w:r>
      <w:r w:rsidR="00577F0F">
        <w:rPr>
          <w:i/>
        </w:rPr>
        <w:t>s</w:t>
      </w:r>
      <w:r>
        <w:rPr>
          <w:i/>
        </w:rPr>
        <w:t xml:space="preserve"> de ce pays pour leur approvisionnement, en particulier la Bulgarie, la République tchèque, l</w:t>
      </w:r>
      <w:r w:rsidR="00B0065F">
        <w:rPr>
          <w:i/>
        </w:rPr>
        <w:t>’</w:t>
      </w:r>
      <w:r>
        <w:rPr>
          <w:i/>
        </w:rPr>
        <w:t>Estonie, la Finlande, la Hongrie, la Lettonie, la Lituanie et la Slovaquie.</w:t>
      </w:r>
    </w:p>
    <w:p w:rsidR="00097C2F" w:rsidRDefault="008C0DFC">
      <w:pPr>
        <w:pStyle w:val="Text2"/>
        <w:numPr>
          <w:ilvl w:val="0"/>
          <w:numId w:val="4"/>
        </w:numPr>
        <w:pBdr>
          <w:top w:val="single" w:sz="4" w:space="1" w:color="auto"/>
          <w:left w:val="single" w:sz="4" w:space="4" w:color="auto"/>
          <w:bottom w:val="single" w:sz="4" w:space="1" w:color="auto"/>
          <w:right w:val="single" w:sz="4" w:space="4" w:color="auto"/>
        </w:pBdr>
        <w:spacing w:after="120"/>
        <w:ind w:left="426" w:hanging="426"/>
        <w:rPr>
          <w:i/>
          <w:szCs w:val="24"/>
        </w:rPr>
      </w:pPr>
      <w:r>
        <w:rPr>
          <w:i/>
        </w:rPr>
        <w:t>Trois États membres (la Bulgarie, la Lituanie et le Portugal) doivent encore satisfaire à la norme en matière d</w:t>
      </w:r>
      <w:r w:rsidR="00B0065F">
        <w:rPr>
          <w:i/>
        </w:rPr>
        <w:t>’</w:t>
      </w:r>
      <w:r>
        <w:rPr>
          <w:i/>
        </w:rPr>
        <w:t>infrastructures du règlement sur la sécurité de l</w:t>
      </w:r>
      <w:r w:rsidR="00B0065F">
        <w:rPr>
          <w:i/>
        </w:rPr>
        <w:t>’</w:t>
      </w:r>
      <w:r>
        <w:rPr>
          <w:i/>
        </w:rPr>
        <w:t>approvisionnement en gaz.</w:t>
      </w:r>
    </w:p>
    <w:p w:rsidR="00097C2F" w:rsidRDefault="008C0DFC">
      <w:pPr>
        <w:pStyle w:val="Text2"/>
        <w:numPr>
          <w:ilvl w:val="0"/>
          <w:numId w:val="4"/>
        </w:numPr>
        <w:pBdr>
          <w:top w:val="single" w:sz="4" w:space="1" w:color="auto"/>
          <w:left w:val="single" w:sz="4" w:space="4" w:color="auto"/>
          <w:bottom w:val="single" w:sz="4" w:space="1" w:color="auto"/>
          <w:right w:val="single" w:sz="4" w:space="4" w:color="auto"/>
        </w:pBdr>
        <w:spacing w:after="120"/>
        <w:ind w:left="426" w:hanging="426"/>
        <w:rPr>
          <w:i/>
          <w:szCs w:val="24"/>
        </w:rPr>
      </w:pPr>
      <w:r>
        <w:rPr>
          <w:i/>
        </w:rPr>
        <w:t>Il est nécessaire de mieux connecter notamment les États baltes et la Finlande au marché gazier d</w:t>
      </w:r>
      <w:r w:rsidR="00B0065F">
        <w:rPr>
          <w:i/>
        </w:rPr>
        <w:t>’</w:t>
      </w:r>
      <w:r>
        <w:rPr>
          <w:i/>
        </w:rPr>
        <w:t>Europe centrale, d</w:t>
      </w:r>
      <w:r w:rsidR="00B0065F">
        <w:rPr>
          <w:i/>
        </w:rPr>
        <w:t>’</w:t>
      </w:r>
      <w:r>
        <w:rPr>
          <w:i/>
        </w:rPr>
        <w:t>améliorer les interconnexions entre États membres (par exemple la Hongrie, la Roumanie, la Bulgarie et la Grèce, le Portugal et l</w:t>
      </w:r>
      <w:r w:rsidR="00B0065F">
        <w:rPr>
          <w:i/>
        </w:rPr>
        <w:t>’</w:t>
      </w:r>
      <w:r>
        <w:rPr>
          <w:i/>
        </w:rPr>
        <w:t>Espagne avec la France) et de faire en sorte que tous les États membres aient accès à des plateformes liquides de négoce du gaz et puissent bénéficier des capacités pour le gaz naturel liquéfié (GNL) que certains pays ont développées ou sont susceptibles de développer.</w:t>
      </w:r>
    </w:p>
    <w:p w:rsidR="00097C2F" w:rsidRDefault="008C0DFC">
      <w:pPr>
        <w:pStyle w:val="Text2"/>
        <w:numPr>
          <w:ilvl w:val="0"/>
          <w:numId w:val="4"/>
        </w:numPr>
        <w:pBdr>
          <w:top w:val="single" w:sz="4" w:space="1" w:color="auto"/>
          <w:left w:val="single" w:sz="4" w:space="4" w:color="auto"/>
          <w:bottom w:val="single" w:sz="4" w:space="1" w:color="auto"/>
          <w:right w:val="single" w:sz="4" w:space="4" w:color="auto"/>
        </w:pBdr>
        <w:spacing w:after="120"/>
        <w:ind w:left="426" w:hanging="426"/>
        <w:rPr>
          <w:i/>
          <w:szCs w:val="24"/>
        </w:rPr>
      </w:pPr>
      <w:r>
        <w:rPr>
          <w:i/>
        </w:rPr>
        <w:t xml:space="preserve">Au niveau régional, les tests de résistance effectués en </w:t>
      </w:r>
      <w:r w:rsidRPr="005A0F82">
        <w:rPr>
          <w:i/>
        </w:rPr>
        <w:t>2014</w:t>
      </w:r>
      <w:r>
        <w:rPr>
          <w:i/>
        </w:rPr>
        <w:t xml:space="preserve"> montrent clairement les avantages de la coopération régionale pour prévenir une crise gazière ou en atténuer les effets. La Commission soutient déjà activement ce type de coopération, par exemple à travers le groupe à haut niveau sur la conne</w:t>
      </w:r>
      <w:r w:rsidR="00C67C3E">
        <w:rPr>
          <w:i/>
        </w:rPr>
        <w:t>ctivité</w:t>
      </w:r>
      <w:r>
        <w:rPr>
          <w:i/>
        </w:rPr>
        <w:t xml:space="preserve"> gazière pour l</w:t>
      </w:r>
      <w:r w:rsidR="00B0065F">
        <w:rPr>
          <w:i/>
        </w:rPr>
        <w:t>’</w:t>
      </w:r>
      <w:r>
        <w:rPr>
          <w:i/>
        </w:rPr>
        <w:t>Europe centrale et du Sud-Est.</w:t>
      </w:r>
      <w:r>
        <w:rPr>
          <w:rStyle w:val="st1"/>
          <w:i/>
        </w:rPr>
        <w:t xml:space="preserve"> </w:t>
      </w:r>
      <w:r>
        <w:rPr>
          <w:i/>
        </w:rPr>
        <w:t>Ce travail devrait se poursuivre.</w:t>
      </w:r>
    </w:p>
    <w:p w:rsidR="00097C2F" w:rsidRDefault="008C0DFC">
      <w:pPr>
        <w:pStyle w:val="Text2"/>
        <w:numPr>
          <w:ilvl w:val="0"/>
          <w:numId w:val="4"/>
        </w:numPr>
        <w:pBdr>
          <w:top w:val="single" w:sz="4" w:space="1" w:color="auto"/>
          <w:left w:val="single" w:sz="4" w:space="4" w:color="auto"/>
          <w:bottom w:val="single" w:sz="4" w:space="1" w:color="auto"/>
          <w:right w:val="single" w:sz="4" w:space="4" w:color="auto"/>
        </w:pBdr>
        <w:ind w:left="426" w:hanging="426"/>
        <w:rPr>
          <w:smallCaps/>
          <w:szCs w:val="24"/>
        </w:rPr>
      </w:pPr>
      <w:r>
        <w:rPr>
          <w:i/>
        </w:rPr>
        <w:t>Les États membres doivent également renforcer la coopération (régionale) en ce qui concerne la sécurité de l</w:t>
      </w:r>
      <w:r w:rsidR="00B0065F">
        <w:rPr>
          <w:i/>
        </w:rPr>
        <w:t>’</w:t>
      </w:r>
      <w:r>
        <w:rPr>
          <w:i/>
        </w:rPr>
        <w:t>approvisionnement en électricité et l</w:t>
      </w:r>
      <w:r w:rsidR="00B0065F">
        <w:rPr>
          <w:i/>
        </w:rPr>
        <w:t>’</w:t>
      </w:r>
      <w:r>
        <w:rPr>
          <w:i/>
        </w:rPr>
        <w:t>adéquation de la production.</w:t>
      </w:r>
    </w:p>
    <w:p w:rsidR="00097C2F" w:rsidRDefault="008C0DFC">
      <w:pPr>
        <w:spacing w:after="240" w:line="240" w:lineRule="auto"/>
        <w:jc w:val="both"/>
        <w:rPr>
          <w:rFonts w:ascii="Times New Roman" w:hAnsi="Times New Roman"/>
          <w:b/>
          <w:smallCaps/>
          <w:sz w:val="24"/>
          <w:szCs w:val="24"/>
        </w:rPr>
      </w:pPr>
      <w:r w:rsidRPr="005A0F82">
        <w:rPr>
          <w:rFonts w:ascii="Times New Roman" w:hAnsi="Times New Roman"/>
          <w:b/>
          <w:smallCaps/>
          <w:sz w:val="24"/>
        </w:rPr>
        <w:t>6</w:t>
      </w:r>
      <w:r>
        <w:rPr>
          <w:rFonts w:ascii="Times New Roman" w:hAnsi="Times New Roman"/>
          <w:b/>
          <w:smallCaps/>
          <w:sz w:val="24"/>
        </w:rPr>
        <w:t xml:space="preserve">. </w:t>
      </w:r>
      <w:r>
        <w:tab/>
      </w:r>
      <w:r>
        <w:rPr>
          <w:rFonts w:ascii="Times New Roman" w:hAnsi="Times New Roman"/>
          <w:b/>
          <w:smallCaps/>
          <w:sz w:val="24"/>
        </w:rPr>
        <w:t>Une union de l</w:t>
      </w:r>
      <w:r w:rsidR="00B0065F">
        <w:rPr>
          <w:rFonts w:ascii="Times New Roman" w:hAnsi="Times New Roman"/>
          <w:b/>
          <w:smallCaps/>
          <w:sz w:val="24"/>
        </w:rPr>
        <w:t>’</w:t>
      </w:r>
      <w:r>
        <w:rPr>
          <w:rFonts w:ascii="Times New Roman" w:hAnsi="Times New Roman"/>
          <w:b/>
          <w:smallCaps/>
          <w:sz w:val="24"/>
        </w:rPr>
        <w:t>énergie au service de la recherche, de l</w:t>
      </w:r>
      <w:r w:rsidR="00B0065F">
        <w:rPr>
          <w:rFonts w:ascii="Times New Roman" w:hAnsi="Times New Roman"/>
          <w:b/>
          <w:smallCaps/>
          <w:sz w:val="24"/>
        </w:rPr>
        <w:t>’</w:t>
      </w:r>
      <w:r>
        <w:rPr>
          <w:rFonts w:ascii="Times New Roman" w:hAnsi="Times New Roman"/>
          <w:b/>
          <w:smallCaps/>
          <w:sz w:val="24"/>
        </w:rPr>
        <w:t>innovation et de la compétitivité</w:t>
      </w:r>
    </w:p>
    <w:p w:rsidR="00097C2F" w:rsidRDefault="008C0DFC">
      <w:pPr>
        <w:spacing w:after="240" w:line="240" w:lineRule="auto"/>
        <w:jc w:val="both"/>
        <w:rPr>
          <w:rFonts w:ascii="Times New Roman" w:hAnsi="Times New Roman"/>
          <w:i/>
          <w:sz w:val="24"/>
          <w:szCs w:val="24"/>
        </w:rPr>
      </w:pPr>
      <w:r>
        <w:rPr>
          <w:rFonts w:ascii="Times New Roman" w:hAnsi="Times New Roman"/>
          <w:i/>
          <w:sz w:val="24"/>
        </w:rPr>
        <w:t>Progrès accomplis</w:t>
      </w:r>
    </w:p>
    <w:p w:rsidR="00097C2F" w:rsidRDefault="008C0DFC">
      <w:pPr>
        <w:pStyle w:val="NormalWeb"/>
        <w:shd w:val="clear" w:color="auto" w:fill="FFFFFF"/>
        <w:jc w:val="both"/>
      </w:pPr>
      <w:r>
        <w:t>La recherche et l</w:t>
      </w:r>
      <w:r w:rsidR="00B0065F">
        <w:t>’</w:t>
      </w:r>
      <w:r>
        <w:t>innovation (R&amp;I) et la compétitivité sont essentielles si l</w:t>
      </w:r>
      <w:r w:rsidR="00B0065F">
        <w:t>’</w:t>
      </w:r>
      <w:r>
        <w:t>on veut accélérer la transition énergétique de l</w:t>
      </w:r>
      <w:r w:rsidR="00B0065F">
        <w:t>’</w:t>
      </w:r>
      <w:r>
        <w:t>UE et tirer profit des avantages qu</w:t>
      </w:r>
      <w:r w:rsidR="00B0065F">
        <w:t>’</w:t>
      </w:r>
      <w:r>
        <w:t>elle peut offrir, dans le cadre de l</w:t>
      </w:r>
      <w:r w:rsidR="00B0065F">
        <w:t>’</w:t>
      </w:r>
      <w:r>
        <w:t>union de l</w:t>
      </w:r>
      <w:r w:rsidR="00B0065F">
        <w:t>’</w:t>
      </w:r>
      <w:r>
        <w:t>énergie, en termes d</w:t>
      </w:r>
      <w:r w:rsidR="00B0065F">
        <w:t>’</w:t>
      </w:r>
      <w:r>
        <w:t xml:space="preserve">emplois et de croissance. En septembre </w:t>
      </w:r>
      <w:r w:rsidRPr="005A0F82">
        <w:t>2015</w:t>
      </w:r>
      <w:r>
        <w:t>, la Commission a présenté une communication intitulée «Vers un plan stratégique pour les technologies énergétiques (plan SET) intégré»</w:t>
      </w:r>
      <w:r>
        <w:rPr>
          <w:rStyle w:val="FootnoteReference"/>
        </w:rPr>
        <w:footnoteReference w:id="31"/>
      </w:r>
      <w:r>
        <w:t>, qui donne un nouvel élan au développement et au déploiement de technologies à faible intensité de carbone, grâce à une meilleure coordination et à une hiérarchisation plus pertinente des efforts de recherche et d</w:t>
      </w:r>
      <w:r w:rsidR="00B0065F">
        <w:t>’</w:t>
      </w:r>
      <w:r>
        <w:t>innovation dans l</w:t>
      </w:r>
      <w:r w:rsidR="00B0065F">
        <w:t>’</w:t>
      </w:r>
      <w:r>
        <w:t>ensemble de l</w:t>
      </w:r>
      <w:r w:rsidR="00B0065F">
        <w:t>’</w:t>
      </w:r>
      <w:r>
        <w:t>Europe.</w:t>
      </w:r>
    </w:p>
    <w:p w:rsidR="00097C2F" w:rsidRDefault="008C0DFC">
      <w:pPr>
        <w:spacing w:after="240" w:line="240" w:lineRule="auto"/>
        <w:jc w:val="both"/>
        <w:rPr>
          <w:rFonts w:ascii="Times New Roman" w:hAnsi="Times New Roman"/>
          <w:sz w:val="24"/>
          <w:szCs w:val="24"/>
        </w:rPr>
      </w:pPr>
      <w:r>
        <w:rPr>
          <w:rFonts w:ascii="Times New Roman" w:hAnsi="Times New Roman"/>
          <w:sz w:val="24"/>
        </w:rPr>
        <w:t>Le financement joue un rôle clé pour commercialiser l</w:t>
      </w:r>
      <w:r w:rsidR="00B0065F">
        <w:rPr>
          <w:rFonts w:ascii="Times New Roman" w:hAnsi="Times New Roman"/>
          <w:sz w:val="24"/>
        </w:rPr>
        <w:t>’</w:t>
      </w:r>
      <w:r>
        <w:rPr>
          <w:rFonts w:ascii="Times New Roman" w:hAnsi="Times New Roman"/>
          <w:sz w:val="24"/>
        </w:rPr>
        <w:t>innovation. C</w:t>
      </w:r>
      <w:r w:rsidR="00B0065F">
        <w:rPr>
          <w:rFonts w:ascii="Times New Roman" w:hAnsi="Times New Roman"/>
          <w:sz w:val="24"/>
        </w:rPr>
        <w:t>’</w:t>
      </w:r>
      <w:r>
        <w:rPr>
          <w:rFonts w:ascii="Times New Roman" w:hAnsi="Times New Roman"/>
          <w:sz w:val="24"/>
        </w:rPr>
        <w:t>est pourquoi la Commission et la Banque européenne d</w:t>
      </w:r>
      <w:r w:rsidR="00B0065F">
        <w:rPr>
          <w:rFonts w:ascii="Times New Roman" w:hAnsi="Times New Roman"/>
          <w:sz w:val="24"/>
        </w:rPr>
        <w:t>’</w:t>
      </w:r>
      <w:r>
        <w:rPr>
          <w:rFonts w:ascii="Times New Roman" w:hAnsi="Times New Roman"/>
          <w:sz w:val="24"/>
        </w:rPr>
        <w:t>investissement déploient leurs efforts dans le cadre du plan d</w:t>
      </w:r>
      <w:r w:rsidR="00B0065F">
        <w:rPr>
          <w:rFonts w:ascii="Times New Roman" w:hAnsi="Times New Roman"/>
          <w:sz w:val="24"/>
        </w:rPr>
        <w:t>’</w:t>
      </w:r>
      <w:r>
        <w:rPr>
          <w:rFonts w:ascii="Times New Roman" w:hAnsi="Times New Roman"/>
          <w:sz w:val="24"/>
        </w:rPr>
        <w:t>investissement pour l</w:t>
      </w:r>
      <w:r w:rsidR="00B0065F">
        <w:rPr>
          <w:rFonts w:ascii="Times New Roman" w:hAnsi="Times New Roman"/>
          <w:sz w:val="24"/>
        </w:rPr>
        <w:t>’</w:t>
      </w:r>
      <w:r>
        <w:rPr>
          <w:rFonts w:ascii="Times New Roman" w:hAnsi="Times New Roman"/>
          <w:sz w:val="24"/>
        </w:rPr>
        <w:t xml:space="preserve">Europe et du Fonds européen pour les investissements </w:t>
      </w:r>
      <w:r>
        <w:rPr>
          <w:rFonts w:ascii="Times New Roman" w:hAnsi="Times New Roman"/>
          <w:sz w:val="24"/>
        </w:rPr>
        <w:lastRenderedPageBreak/>
        <w:t>stratégiques (EFSI). À cet effet, les projets de démonstration InnovFin dans le domaine de l</w:t>
      </w:r>
      <w:r w:rsidR="00B0065F">
        <w:rPr>
          <w:rFonts w:ascii="Times New Roman" w:hAnsi="Times New Roman"/>
          <w:sz w:val="24"/>
        </w:rPr>
        <w:t>’</w:t>
      </w:r>
      <w:r>
        <w:rPr>
          <w:rFonts w:ascii="Times New Roman" w:hAnsi="Times New Roman"/>
          <w:sz w:val="24"/>
        </w:rPr>
        <w:t>énergie vont au-delà du soutien traditionnel fondé sur les subventions, et offrent un financement du risque sous la forme de prêts, de participations et de garanties. Ces dispositifs devraient doper la compétitivité des entreprises qui innovent dans les technologies énergétiques.</w:t>
      </w:r>
    </w:p>
    <w:p w:rsidR="00097C2F" w:rsidRDefault="008C0DFC">
      <w:pPr>
        <w:spacing w:after="240" w:line="240" w:lineRule="auto"/>
        <w:jc w:val="both"/>
        <w:rPr>
          <w:rFonts w:ascii="Times New Roman" w:hAnsi="Times New Roman"/>
          <w:sz w:val="24"/>
          <w:szCs w:val="24"/>
        </w:rPr>
      </w:pPr>
      <w:r>
        <w:rPr>
          <w:rFonts w:ascii="Times New Roman" w:hAnsi="Times New Roman"/>
          <w:sz w:val="24"/>
        </w:rPr>
        <w:t>Le système d</w:t>
      </w:r>
      <w:r w:rsidR="00B0065F">
        <w:rPr>
          <w:rFonts w:ascii="Times New Roman" w:hAnsi="Times New Roman"/>
          <w:sz w:val="24"/>
        </w:rPr>
        <w:t>’</w:t>
      </w:r>
      <w:r>
        <w:rPr>
          <w:rFonts w:ascii="Times New Roman" w:hAnsi="Times New Roman"/>
          <w:sz w:val="24"/>
        </w:rPr>
        <w:t>échange de quotas d</w:t>
      </w:r>
      <w:r w:rsidR="00B0065F">
        <w:rPr>
          <w:rFonts w:ascii="Times New Roman" w:hAnsi="Times New Roman"/>
          <w:sz w:val="24"/>
        </w:rPr>
        <w:t>’</w:t>
      </w:r>
      <w:r>
        <w:rPr>
          <w:rFonts w:ascii="Times New Roman" w:hAnsi="Times New Roman"/>
          <w:sz w:val="24"/>
        </w:rPr>
        <w:t>émission de l</w:t>
      </w:r>
      <w:r w:rsidR="00B0065F">
        <w:rPr>
          <w:rFonts w:ascii="Times New Roman" w:hAnsi="Times New Roman"/>
          <w:sz w:val="24"/>
        </w:rPr>
        <w:t>’</w:t>
      </w:r>
      <w:r>
        <w:rPr>
          <w:rFonts w:ascii="Times New Roman" w:hAnsi="Times New Roman"/>
          <w:sz w:val="24"/>
        </w:rPr>
        <w:t>UE prévoit également des possibilités de financement pour les investissements dans l</w:t>
      </w:r>
      <w:r w:rsidR="00B0065F">
        <w:rPr>
          <w:rFonts w:ascii="Times New Roman" w:hAnsi="Times New Roman"/>
          <w:sz w:val="24"/>
        </w:rPr>
        <w:t>’</w:t>
      </w:r>
      <w:r>
        <w:rPr>
          <w:rFonts w:ascii="Times New Roman" w:hAnsi="Times New Roman"/>
          <w:sz w:val="24"/>
        </w:rPr>
        <w:t xml:space="preserve">innovation. En moyenne, en </w:t>
      </w:r>
      <w:r w:rsidRPr="005A0F82">
        <w:rPr>
          <w:rFonts w:ascii="Times New Roman" w:hAnsi="Times New Roman"/>
          <w:sz w:val="24"/>
        </w:rPr>
        <w:t>2014</w:t>
      </w:r>
      <w:r>
        <w:rPr>
          <w:rFonts w:ascii="Times New Roman" w:hAnsi="Times New Roman"/>
          <w:sz w:val="24"/>
        </w:rPr>
        <w:t>, les États membres ont utilisé, ou prévu d</w:t>
      </w:r>
      <w:r w:rsidR="00B0065F">
        <w:rPr>
          <w:rFonts w:ascii="Times New Roman" w:hAnsi="Times New Roman"/>
          <w:sz w:val="24"/>
        </w:rPr>
        <w:t>’</w:t>
      </w:r>
      <w:r>
        <w:rPr>
          <w:rFonts w:ascii="Times New Roman" w:hAnsi="Times New Roman"/>
          <w:sz w:val="24"/>
        </w:rPr>
        <w:t>utiliser à des fins liées au climat et à l</w:t>
      </w:r>
      <w:r w:rsidR="00B0065F">
        <w:rPr>
          <w:rFonts w:ascii="Times New Roman" w:hAnsi="Times New Roman"/>
          <w:sz w:val="24"/>
        </w:rPr>
        <w:t>’</w:t>
      </w:r>
      <w:r>
        <w:rPr>
          <w:rFonts w:ascii="Times New Roman" w:hAnsi="Times New Roman"/>
          <w:sz w:val="24"/>
        </w:rPr>
        <w:t xml:space="preserve">énergie, environ </w:t>
      </w:r>
      <w:r w:rsidRPr="005A0F82">
        <w:rPr>
          <w:rFonts w:ascii="Times New Roman" w:hAnsi="Times New Roman"/>
          <w:sz w:val="24"/>
        </w:rPr>
        <w:t>87</w:t>
      </w:r>
      <w:r>
        <w:rPr>
          <w:rFonts w:ascii="Times New Roman" w:hAnsi="Times New Roman"/>
          <w:sz w:val="24"/>
        </w:rPr>
        <w:t> % des recettes totales provenant de la mise aux enchères des quotas dans le cadre du SEQE, qui s</w:t>
      </w:r>
      <w:r w:rsidR="00B0065F">
        <w:rPr>
          <w:rFonts w:ascii="Times New Roman" w:hAnsi="Times New Roman"/>
          <w:sz w:val="24"/>
        </w:rPr>
        <w:t>’</w:t>
      </w:r>
      <w:r>
        <w:rPr>
          <w:rFonts w:ascii="Times New Roman" w:hAnsi="Times New Roman"/>
          <w:sz w:val="24"/>
        </w:rPr>
        <w:t xml:space="preserve">élèvent à </w:t>
      </w:r>
      <w:r w:rsidRPr="005A0F82">
        <w:rPr>
          <w:rFonts w:ascii="Times New Roman" w:hAnsi="Times New Roman"/>
          <w:sz w:val="24"/>
        </w:rPr>
        <w:t>3</w:t>
      </w:r>
      <w:r w:rsidR="00C67C3E">
        <w:rPr>
          <w:rFonts w:ascii="Times New Roman" w:hAnsi="Times New Roman"/>
          <w:sz w:val="24"/>
        </w:rPr>
        <w:t>,</w:t>
      </w:r>
      <w:r w:rsidRPr="005A0F82">
        <w:rPr>
          <w:rFonts w:ascii="Times New Roman" w:hAnsi="Times New Roman"/>
          <w:sz w:val="24"/>
        </w:rPr>
        <w:t>2</w:t>
      </w:r>
      <w:r>
        <w:rPr>
          <w:rFonts w:ascii="Times New Roman" w:hAnsi="Times New Roman"/>
          <w:sz w:val="24"/>
        </w:rPr>
        <w:t xml:space="preserve"> milliards d</w:t>
      </w:r>
      <w:r w:rsidR="00B0065F">
        <w:rPr>
          <w:rFonts w:ascii="Times New Roman" w:hAnsi="Times New Roman"/>
          <w:sz w:val="24"/>
        </w:rPr>
        <w:t>’</w:t>
      </w:r>
      <w:r>
        <w:rPr>
          <w:rFonts w:ascii="Times New Roman" w:hAnsi="Times New Roman"/>
          <w:sz w:val="24"/>
        </w:rPr>
        <w:t xml:space="preserve">euros. Dans le cadre du programme NER </w:t>
      </w:r>
      <w:r w:rsidRPr="005A0F82">
        <w:rPr>
          <w:rFonts w:ascii="Times New Roman" w:hAnsi="Times New Roman"/>
          <w:sz w:val="24"/>
        </w:rPr>
        <w:t>300</w:t>
      </w:r>
      <w:r>
        <w:rPr>
          <w:rFonts w:ascii="Times New Roman" w:hAnsi="Times New Roman"/>
          <w:sz w:val="24"/>
        </w:rPr>
        <w:t xml:space="preserve">, une enveloppe globale de </w:t>
      </w:r>
      <w:r w:rsidRPr="005A0F82">
        <w:rPr>
          <w:rFonts w:ascii="Times New Roman" w:hAnsi="Times New Roman"/>
          <w:sz w:val="24"/>
        </w:rPr>
        <w:t>2</w:t>
      </w:r>
      <w:r>
        <w:rPr>
          <w:rFonts w:ascii="Times New Roman" w:hAnsi="Times New Roman"/>
          <w:sz w:val="24"/>
        </w:rPr>
        <w:t>,</w:t>
      </w:r>
      <w:r w:rsidRPr="005A0F82">
        <w:rPr>
          <w:rFonts w:ascii="Times New Roman" w:hAnsi="Times New Roman"/>
          <w:sz w:val="24"/>
        </w:rPr>
        <w:t>1</w:t>
      </w:r>
      <w:r>
        <w:rPr>
          <w:rFonts w:ascii="Times New Roman" w:hAnsi="Times New Roman"/>
          <w:sz w:val="24"/>
        </w:rPr>
        <w:t xml:space="preserve"> milliards d</w:t>
      </w:r>
      <w:r w:rsidR="00B0065F">
        <w:rPr>
          <w:rFonts w:ascii="Times New Roman" w:hAnsi="Times New Roman"/>
          <w:sz w:val="24"/>
        </w:rPr>
        <w:t>’</w:t>
      </w:r>
      <w:r>
        <w:rPr>
          <w:rFonts w:ascii="Times New Roman" w:hAnsi="Times New Roman"/>
          <w:sz w:val="24"/>
        </w:rPr>
        <w:t xml:space="preserve">euros, qui devrait permettre de mobiliser </w:t>
      </w:r>
      <w:r w:rsidRPr="005A0F82">
        <w:rPr>
          <w:rFonts w:ascii="Times New Roman" w:hAnsi="Times New Roman"/>
          <w:sz w:val="24"/>
        </w:rPr>
        <w:t>2</w:t>
      </w:r>
      <w:r w:rsidR="00C67C3E">
        <w:rPr>
          <w:rFonts w:ascii="Times New Roman" w:hAnsi="Times New Roman"/>
          <w:sz w:val="24"/>
        </w:rPr>
        <w:t>,</w:t>
      </w:r>
      <w:r w:rsidRPr="005A0F82">
        <w:rPr>
          <w:rFonts w:ascii="Times New Roman" w:hAnsi="Times New Roman"/>
          <w:sz w:val="24"/>
        </w:rPr>
        <w:t>7</w:t>
      </w:r>
      <w:r>
        <w:rPr>
          <w:rFonts w:ascii="Times New Roman" w:hAnsi="Times New Roman"/>
          <w:sz w:val="24"/>
        </w:rPr>
        <w:t xml:space="preserve"> milliards d</w:t>
      </w:r>
      <w:r w:rsidR="00B0065F">
        <w:rPr>
          <w:rFonts w:ascii="Times New Roman" w:hAnsi="Times New Roman"/>
          <w:sz w:val="24"/>
        </w:rPr>
        <w:t>’</w:t>
      </w:r>
      <w:r>
        <w:rPr>
          <w:rFonts w:ascii="Times New Roman" w:hAnsi="Times New Roman"/>
          <w:sz w:val="24"/>
        </w:rPr>
        <w:t>euros supplémentaires d</w:t>
      </w:r>
      <w:r w:rsidR="00B0065F">
        <w:rPr>
          <w:rFonts w:ascii="Times New Roman" w:hAnsi="Times New Roman"/>
          <w:sz w:val="24"/>
        </w:rPr>
        <w:t>’</w:t>
      </w:r>
      <w:r>
        <w:rPr>
          <w:rFonts w:ascii="Times New Roman" w:hAnsi="Times New Roman"/>
          <w:sz w:val="24"/>
        </w:rPr>
        <w:t xml:space="preserve">investissements privés, est destinée à financer des projets innovants dans </w:t>
      </w:r>
      <w:r w:rsidRPr="005A0F82">
        <w:rPr>
          <w:rFonts w:ascii="Times New Roman" w:hAnsi="Times New Roman"/>
          <w:sz w:val="24"/>
        </w:rPr>
        <w:t>20</w:t>
      </w:r>
      <w:r>
        <w:rPr>
          <w:rFonts w:ascii="Times New Roman" w:hAnsi="Times New Roman"/>
          <w:sz w:val="24"/>
        </w:rPr>
        <w:t xml:space="preserve"> États membres.</w:t>
      </w:r>
    </w:p>
    <w:p w:rsidR="00097C2F" w:rsidRDefault="008C0DFC">
      <w:pPr>
        <w:spacing w:after="240" w:line="240" w:lineRule="auto"/>
        <w:jc w:val="both"/>
        <w:rPr>
          <w:rFonts w:ascii="Times New Roman" w:hAnsi="Times New Roman"/>
          <w:sz w:val="24"/>
          <w:szCs w:val="24"/>
        </w:rPr>
      </w:pPr>
      <w:r>
        <w:rPr>
          <w:rFonts w:ascii="Times New Roman" w:hAnsi="Times New Roman"/>
          <w:sz w:val="24"/>
        </w:rPr>
        <w:t xml:space="preserve">Dans le cadre des propositions de révision de la directive relative au </w:t>
      </w:r>
      <w:r w:rsidR="00C67C3E">
        <w:rPr>
          <w:rFonts w:ascii="Times New Roman" w:hAnsi="Times New Roman"/>
          <w:sz w:val="24"/>
        </w:rPr>
        <w:t>SEQE</w:t>
      </w:r>
      <w:r>
        <w:rPr>
          <w:rFonts w:ascii="Times New Roman" w:hAnsi="Times New Roman"/>
          <w:sz w:val="24"/>
        </w:rPr>
        <w:t xml:space="preserve">, présentées en juillet </w:t>
      </w:r>
      <w:r w:rsidRPr="005A0F82">
        <w:rPr>
          <w:rFonts w:ascii="Times New Roman" w:hAnsi="Times New Roman"/>
          <w:sz w:val="24"/>
        </w:rPr>
        <w:t>2015</w:t>
      </w:r>
      <w:r>
        <w:rPr>
          <w:rFonts w:ascii="Times New Roman" w:hAnsi="Times New Roman"/>
          <w:sz w:val="24"/>
        </w:rPr>
        <w:t>, la Commission a proposé un nouveau fonds pour l</w:t>
      </w:r>
      <w:r w:rsidR="00B0065F">
        <w:rPr>
          <w:rFonts w:ascii="Times New Roman" w:hAnsi="Times New Roman"/>
          <w:sz w:val="24"/>
        </w:rPr>
        <w:t>’</w:t>
      </w:r>
      <w:r>
        <w:rPr>
          <w:rFonts w:ascii="Times New Roman" w:hAnsi="Times New Roman"/>
          <w:sz w:val="24"/>
        </w:rPr>
        <w:t>innovation et un nouveau fonds pour la modernisation. Le fonds pour l</w:t>
      </w:r>
      <w:r w:rsidR="00B0065F">
        <w:rPr>
          <w:rFonts w:ascii="Times New Roman" w:hAnsi="Times New Roman"/>
          <w:sz w:val="24"/>
        </w:rPr>
        <w:t>’</w:t>
      </w:r>
      <w:r>
        <w:rPr>
          <w:rFonts w:ascii="Times New Roman" w:hAnsi="Times New Roman"/>
          <w:sz w:val="24"/>
        </w:rPr>
        <w:t xml:space="preserve">innovation prend appui sur le programme NER </w:t>
      </w:r>
      <w:r w:rsidRPr="005A0F82">
        <w:rPr>
          <w:rFonts w:ascii="Times New Roman" w:hAnsi="Times New Roman"/>
          <w:sz w:val="24"/>
        </w:rPr>
        <w:t>300</w:t>
      </w:r>
      <w:r w:rsidR="00C67C3E">
        <w:rPr>
          <w:rFonts w:ascii="Times New Roman" w:hAnsi="Times New Roman"/>
          <w:sz w:val="24"/>
        </w:rPr>
        <w:t>;</w:t>
      </w:r>
      <w:r>
        <w:rPr>
          <w:rFonts w:ascii="Times New Roman" w:hAnsi="Times New Roman"/>
          <w:sz w:val="24"/>
        </w:rPr>
        <w:t xml:space="preserve"> dont il étend le champ d</w:t>
      </w:r>
      <w:r w:rsidR="00B0065F">
        <w:rPr>
          <w:rFonts w:ascii="Times New Roman" w:hAnsi="Times New Roman"/>
          <w:sz w:val="24"/>
        </w:rPr>
        <w:t>’</w:t>
      </w:r>
      <w:r>
        <w:rPr>
          <w:rFonts w:ascii="Times New Roman" w:hAnsi="Times New Roman"/>
          <w:sz w:val="24"/>
        </w:rPr>
        <w:t>application à l</w:t>
      </w:r>
      <w:r w:rsidR="00B0065F">
        <w:rPr>
          <w:rFonts w:ascii="Times New Roman" w:hAnsi="Times New Roman"/>
          <w:sz w:val="24"/>
        </w:rPr>
        <w:t>’</w:t>
      </w:r>
      <w:r>
        <w:rPr>
          <w:rFonts w:ascii="Times New Roman" w:hAnsi="Times New Roman"/>
          <w:sz w:val="24"/>
        </w:rPr>
        <w:t>innovation dans le domaine des techniques à faibles émissions de carbone dans les secteurs industriels. En soutenant l</w:t>
      </w:r>
      <w:r w:rsidR="00B0065F">
        <w:rPr>
          <w:rFonts w:ascii="Times New Roman" w:hAnsi="Times New Roman"/>
          <w:sz w:val="24"/>
        </w:rPr>
        <w:t>’</w:t>
      </w:r>
      <w:r>
        <w:rPr>
          <w:rFonts w:ascii="Times New Roman" w:hAnsi="Times New Roman"/>
          <w:sz w:val="24"/>
        </w:rPr>
        <w:t xml:space="preserve">innovation et les activités de démonstration dans le domaine des techniques à faibles émissions de carbone, </w:t>
      </w:r>
      <w:r w:rsidR="00037047">
        <w:rPr>
          <w:rFonts w:ascii="Times New Roman" w:hAnsi="Times New Roman"/>
          <w:sz w:val="24"/>
        </w:rPr>
        <w:t>c</w:t>
      </w:r>
      <w:r>
        <w:rPr>
          <w:rFonts w:ascii="Times New Roman" w:hAnsi="Times New Roman"/>
          <w:sz w:val="24"/>
        </w:rPr>
        <w:t xml:space="preserve">e fonds contribuera aussi à la réalisation des actions clés du plan stratégique pour les technologies énergétiques. Quant au nouveau fonds pour la modernisation, il est destiné aux États membres dont le produit intérieur brut (PIB) par habitant est inférieur à </w:t>
      </w:r>
      <w:r w:rsidRPr="005A0F82">
        <w:rPr>
          <w:rFonts w:ascii="Times New Roman" w:hAnsi="Times New Roman"/>
          <w:sz w:val="24"/>
        </w:rPr>
        <w:t>60</w:t>
      </w:r>
      <w:r>
        <w:rPr>
          <w:rFonts w:ascii="Times New Roman" w:hAnsi="Times New Roman"/>
          <w:sz w:val="24"/>
        </w:rPr>
        <w:t> % de la moyenne de l</w:t>
      </w:r>
      <w:r w:rsidR="00B0065F">
        <w:rPr>
          <w:rFonts w:ascii="Times New Roman" w:hAnsi="Times New Roman"/>
          <w:sz w:val="24"/>
        </w:rPr>
        <w:t>’</w:t>
      </w:r>
      <w:r>
        <w:rPr>
          <w:rFonts w:ascii="Times New Roman" w:hAnsi="Times New Roman"/>
          <w:sz w:val="24"/>
        </w:rPr>
        <w:t>UE, et il visera à moderniser le système énergétique et à améliorer l</w:t>
      </w:r>
      <w:r w:rsidR="00B0065F">
        <w:rPr>
          <w:rFonts w:ascii="Times New Roman" w:hAnsi="Times New Roman"/>
          <w:sz w:val="24"/>
        </w:rPr>
        <w:t>’</w:t>
      </w:r>
      <w:r>
        <w:rPr>
          <w:rFonts w:ascii="Times New Roman" w:hAnsi="Times New Roman"/>
          <w:sz w:val="24"/>
        </w:rPr>
        <w:t xml:space="preserve">efficacité énergétique. La version révisée de la directive relative au </w:t>
      </w:r>
      <w:r w:rsidR="00C67C3E">
        <w:rPr>
          <w:rFonts w:ascii="Times New Roman" w:hAnsi="Times New Roman"/>
          <w:sz w:val="24"/>
        </w:rPr>
        <w:t>SEQE</w:t>
      </w:r>
      <w:r>
        <w:rPr>
          <w:rFonts w:ascii="Times New Roman" w:hAnsi="Times New Roman"/>
          <w:sz w:val="24"/>
        </w:rPr>
        <w:t xml:space="preserve"> proposera aussi des règles plus ciblées pour prévenir le risque de fuites de carbone afin de préserver la compétitivité internationale des secteurs les plus exposés au risque d</w:t>
      </w:r>
      <w:r w:rsidR="00B0065F">
        <w:rPr>
          <w:rFonts w:ascii="Times New Roman" w:hAnsi="Times New Roman"/>
          <w:sz w:val="24"/>
        </w:rPr>
        <w:t>’</w:t>
      </w:r>
      <w:r>
        <w:rPr>
          <w:rFonts w:ascii="Times New Roman" w:hAnsi="Times New Roman"/>
          <w:sz w:val="24"/>
        </w:rPr>
        <w:t>une délocalisation de leur production en dehors de l</w:t>
      </w:r>
      <w:r w:rsidR="00B0065F">
        <w:rPr>
          <w:rFonts w:ascii="Times New Roman" w:hAnsi="Times New Roman"/>
          <w:sz w:val="24"/>
        </w:rPr>
        <w:t>’</w:t>
      </w:r>
      <w:r>
        <w:rPr>
          <w:rFonts w:ascii="Times New Roman" w:hAnsi="Times New Roman"/>
          <w:sz w:val="24"/>
        </w:rPr>
        <w:t>UE.</w:t>
      </w:r>
    </w:p>
    <w:p w:rsidR="00097C2F" w:rsidRDefault="008C0DFC">
      <w:pPr>
        <w:spacing w:after="240" w:line="240" w:lineRule="auto"/>
        <w:jc w:val="both"/>
        <w:rPr>
          <w:rFonts w:ascii="Times New Roman" w:hAnsi="Times New Roman"/>
          <w:sz w:val="24"/>
          <w:szCs w:val="24"/>
        </w:rPr>
      </w:pPr>
      <w:r>
        <w:rPr>
          <w:rFonts w:ascii="Times New Roman" w:hAnsi="Times New Roman"/>
          <w:sz w:val="24"/>
        </w:rPr>
        <w:t xml:space="preserve">Par ailleurs, le programme-cadre «Horizon </w:t>
      </w:r>
      <w:r w:rsidRPr="005A0F82">
        <w:rPr>
          <w:rFonts w:ascii="Times New Roman" w:hAnsi="Times New Roman"/>
          <w:sz w:val="24"/>
        </w:rPr>
        <w:t>2020</w:t>
      </w:r>
      <w:r>
        <w:rPr>
          <w:rFonts w:ascii="Times New Roman" w:hAnsi="Times New Roman"/>
          <w:sz w:val="24"/>
        </w:rPr>
        <w:t>» joue un rôle fondamental de soutien aux objectifs de recherche et d</w:t>
      </w:r>
      <w:r w:rsidR="00B0065F">
        <w:rPr>
          <w:rFonts w:ascii="Times New Roman" w:hAnsi="Times New Roman"/>
          <w:sz w:val="24"/>
        </w:rPr>
        <w:t>’</w:t>
      </w:r>
      <w:r>
        <w:rPr>
          <w:rFonts w:ascii="Times New Roman" w:hAnsi="Times New Roman"/>
          <w:sz w:val="24"/>
        </w:rPr>
        <w:t>innovation de l</w:t>
      </w:r>
      <w:r w:rsidR="00B0065F">
        <w:rPr>
          <w:rFonts w:ascii="Times New Roman" w:hAnsi="Times New Roman"/>
          <w:sz w:val="24"/>
        </w:rPr>
        <w:t>’</w:t>
      </w:r>
      <w:r>
        <w:rPr>
          <w:rFonts w:ascii="Times New Roman" w:hAnsi="Times New Roman"/>
          <w:sz w:val="24"/>
        </w:rPr>
        <w:t>union de l</w:t>
      </w:r>
      <w:r w:rsidR="00B0065F">
        <w:rPr>
          <w:rFonts w:ascii="Times New Roman" w:hAnsi="Times New Roman"/>
          <w:sz w:val="24"/>
        </w:rPr>
        <w:t>’</w:t>
      </w:r>
      <w:r>
        <w:rPr>
          <w:rFonts w:ascii="Times New Roman" w:hAnsi="Times New Roman"/>
          <w:sz w:val="24"/>
        </w:rPr>
        <w:t xml:space="preserve">énergie. Sur la période </w:t>
      </w:r>
      <w:r w:rsidRPr="005A0F82">
        <w:rPr>
          <w:rFonts w:ascii="Times New Roman" w:hAnsi="Times New Roman"/>
          <w:sz w:val="24"/>
        </w:rPr>
        <w:t>2014</w:t>
      </w:r>
      <w:r>
        <w:rPr>
          <w:rFonts w:ascii="Times New Roman" w:hAnsi="Times New Roman"/>
          <w:sz w:val="24"/>
        </w:rPr>
        <w:t>-</w:t>
      </w:r>
      <w:r w:rsidRPr="005A0F82">
        <w:rPr>
          <w:rFonts w:ascii="Times New Roman" w:hAnsi="Times New Roman"/>
          <w:sz w:val="24"/>
        </w:rPr>
        <w:t>2015</w:t>
      </w:r>
      <w:r>
        <w:rPr>
          <w:rFonts w:ascii="Times New Roman" w:hAnsi="Times New Roman"/>
          <w:sz w:val="24"/>
        </w:rPr>
        <w:t>, sa contribution financière pour soutenir la recherche sur l</w:t>
      </w:r>
      <w:r w:rsidR="00B0065F">
        <w:rPr>
          <w:rFonts w:ascii="Times New Roman" w:hAnsi="Times New Roman"/>
          <w:sz w:val="24"/>
        </w:rPr>
        <w:t>’</w:t>
      </w:r>
      <w:r>
        <w:rPr>
          <w:rFonts w:ascii="Times New Roman" w:hAnsi="Times New Roman"/>
          <w:sz w:val="24"/>
        </w:rPr>
        <w:t>énergie (y compris nucléaire), les transports propres, l</w:t>
      </w:r>
      <w:r w:rsidR="00B0065F">
        <w:rPr>
          <w:rFonts w:ascii="Times New Roman" w:hAnsi="Times New Roman"/>
          <w:sz w:val="24"/>
        </w:rPr>
        <w:t>’</w:t>
      </w:r>
      <w:r>
        <w:rPr>
          <w:rFonts w:ascii="Times New Roman" w:hAnsi="Times New Roman"/>
          <w:sz w:val="24"/>
        </w:rPr>
        <w:t>action pour le climat et l</w:t>
      </w:r>
      <w:r w:rsidR="00B0065F">
        <w:rPr>
          <w:rFonts w:ascii="Times New Roman" w:hAnsi="Times New Roman"/>
          <w:sz w:val="24"/>
        </w:rPr>
        <w:t>’</w:t>
      </w:r>
      <w:r>
        <w:rPr>
          <w:rFonts w:ascii="Times New Roman" w:hAnsi="Times New Roman"/>
          <w:sz w:val="24"/>
        </w:rPr>
        <w:t>utilisation efficace des ressources, la bioéconomie et les technologies clés génériques s</w:t>
      </w:r>
      <w:r w:rsidR="00B0065F">
        <w:rPr>
          <w:rFonts w:ascii="Times New Roman" w:hAnsi="Times New Roman"/>
          <w:sz w:val="24"/>
        </w:rPr>
        <w:t>’</w:t>
      </w:r>
      <w:r>
        <w:rPr>
          <w:rFonts w:ascii="Times New Roman" w:hAnsi="Times New Roman"/>
          <w:sz w:val="24"/>
        </w:rPr>
        <w:t xml:space="preserve">est élevée à plus de </w:t>
      </w:r>
      <w:r w:rsidRPr="005A0F82">
        <w:rPr>
          <w:rFonts w:ascii="Times New Roman" w:hAnsi="Times New Roman"/>
          <w:sz w:val="24"/>
        </w:rPr>
        <w:t>9</w:t>
      </w:r>
      <w:r>
        <w:rPr>
          <w:rFonts w:ascii="Times New Roman" w:hAnsi="Times New Roman"/>
          <w:sz w:val="24"/>
        </w:rPr>
        <w:t xml:space="preserve"> milliards d</w:t>
      </w:r>
      <w:r w:rsidR="00B0065F">
        <w:rPr>
          <w:rFonts w:ascii="Times New Roman" w:hAnsi="Times New Roman"/>
          <w:sz w:val="24"/>
        </w:rPr>
        <w:t>’</w:t>
      </w:r>
      <w:r>
        <w:rPr>
          <w:rFonts w:ascii="Times New Roman" w:hAnsi="Times New Roman"/>
          <w:sz w:val="24"/>
        </w:rPr>
        <w:t>euros. En outre, la recherche et l</w:t>
      </w:r>
      <w:r w:rsidR="00B0065F">
        <w:rPr>
          <w:rFonts w:ascii="Times New Roman" w:hAnsi="Times New Roman"/>
          <w:sz w:val="24"/>
        </w:rPr>
        <w:t>’</w:t>
      </w:r>
      <w:r>
        <w:rPr>
          <w:rFonts w:ascii="Times New Roman" w:hAnsi="Times New Roman"/>
          <w:sz w:val="24"/>
        </w:rPr>
        <w:t>innovation sur l</w:t>
      </w:r>
      <w:r w:rsidR="00B0065F">
        <w:rPr>
          <w:rFonts w:ascii="Times New Roman" w:hAnsi="Times New Roman"/>
          <w:sz w:val="24"/>
        </w:rPr>
        <w:t>’</w:t>
      </w:r>
      <w:r>
        <w:rPr>
          <w:rFonts w:ascii="Times New Roman" w:hAnsi="Times New Roman"/>
          <w:sz w:val="24"/>
        </w:rPr>
        <w:t xml:space="preserve">énergie et les technologies à faibles émissions de carbone </w:t>
      </w:r>
      <w:r w:rsidR="00C67C3E">
        <w:rPr>
          <w:rFonts w:ascii="Times New Roman" w:hAnsi="Times New Roman"/>
          <w:sz w:val="24"/>
        </w:rPr>
        <w:t xml:space="preserve">constituent </w:t>
      </w:r>
      <w:r>
        <w:rPr>
          <w:rFonts w:ascii="Times New Roman" w:hAnsi="Times New Roman"/>
          <w:sz w:val="24"/>
        </w:rPr>
        <w:t>l</w:t>
      </w:r>
      <w:r w:rsidR="00B0065F">
        <w:rPr>
          <w:rFonts w:ascii="Times New Roman" w:hAnsi="Times New Roman"/>
          <w:sz w:val="24"/>
        </w:rPr>
        <w:t>’</w:t>
      </w:r>
      <w:r>
        <w:rPr>
          <w:rFonts w:ascii="Times New Roman" w:hAnsi="Times New Roman"/>
          <w:sz w:val="24"/>
        </w:rPr>
        <w:t>un des domaines de spécialisation intelligente le</w:t>
      </w:r>
      <w:r w:rsidR="00C67C3E">
        <w:rPr>
          <w:rFonts w:ascii="Times New Roman" w:hAnsi="Times New Roman"/>
          <w:sz w:val="24"/>
        </w:rPr>
        <w:t>s</w:t>
      </w:r>
      <w:r>
        <w:rPr>
          <w:rFonts w:ascii="Times New Roman" w:hAnsi="Times New Roman"/>
          <w:sz w:val="24"/>
        </w:rPr>
        <w:t xml:space="preserve"> plus fréquemment choisis – pour plus de </w:t>
      </w:r>
      <w:r w:rsidRPr="005A0F82">
        <w:rPr>
          <w:rFonts w:ascii="Times New Roman" w:hAnsi="Times New Roman"/>
          <w:sz w:val="24"/>
        </w:rPr>
        <w:t>100</w:t>
      </w:r>
      <w:r>
        <w:rPr>
          <w:rFonts w:ascii="Times New Roman" w:hAnsi="Times New Roman"/>
          <w:sz w:val="24"/>
        </w:rPr>
        <w:t xml:space="preserve"> régions de l</w:t>
      </w:r>
      <w:r w:rsidR="00B0065F">
        <w:rPr>
          <w:rFonts w:ascii="Times New Roman" w:hAnsi="Times New Roman"/>
          <w:sz w:val="24"/>
        </w:rPr>
        <w:t>’</w:t>
      </w:r>
      <w:r>
        <w:rPr>
          <w:rFonts w:ascii="Times New Roman" w:hAnsi="Times New Roman"/>
          <w:sz w:val="24"/>
        </w:rPr>
        <w:t>UE – ce qui signifie que des moyens de financement considérables prélevés sur les Fonds structurels et d</w:t>
      </w:r>
      <w:r w:rsidR="00B0065F">
        <w:rPr>
          <w:rFonts w:ascii="Times New Roman" w:hAnsi="Times New Roman"/>
          <w:sz w:val="24"/>
        </w:rPr>
        <w:t>’</w:t>
      </w:r>
      <w:r>
        <w:rPr>
          <w:rFonts w:ascii="Times New Roman" w:hAnsi="Times New Roman"/>
          <w:sz w:val="24"/>
        </w:rPr>
        <w:t xml:space="preserve">investissement européens </w:t>
      </w:r>
      <w:r w:rsidR="00C67C3E">
        <w:rPr>
          <w:rFonts w:ascii="Times New Roman" w:hAnsi="Times New Roman"/>
          <w:sz w:val="24"/>
        </w:rPr>
        <w:t xml:space="preserve">(Fonds ESI) </w:t>
      </w:r>
      <w:r>
        <w:rPr>
          <w:rFonts w:ascii="Times New Roman" w:hAnsi="Times New Roman"/>
          <w:sz w:val="24"/>
        </w:rPr>
        <w:t>seront alloués à ce domaine. La plateforme de spécialisation intelligente en matière d</w:t>
      </w:r>
      <w:r w:rsidR="00B0065F">
        <w:rPr>
          <w:rFonts w:ascii="Times New Roman" w:hAnsi="Times New Roman"/>
          <w:sz w:val="24"/>
        </w:rPr>
        <w:t>’</w:t>
      </w:r>
      <w:r>
        <w:rPr>
          <w:rFonts w:ascii="Times New Roman" w:hAnsi="Times New Roman"/>
          <w:sz w:val="24"/>
        </w:rPr>
        <w:t xml:space="preserve">énergie, lancée par la Commission en </w:t>
      </w:r>
      <w:r w:rsidRPr="005A0F82">
        <w:rPr>
          <w:rFonts w:ascii="Times New Roman" w:hAnsi="Times New Roman"/>
          <w:sz w:val="24"/>
        </w:rPr>
        <w:t>2015</w:t>
      </w:r>
      <w:r>
        <w:rPr>
          <w:rStyle w:val="FootnoteReference"/>
          <w:rFonts w:ascii="Times New Roman" w:hAnsi="Times New Roman"/>
          <w:sz w:val="24"/>
        </w:rPr>
        <w:footnoteReference w:id="32"/>
      </w:r>
      <w:r>
        <w:rPr>
          <w:rFonts w:ascii="Times New Roman" w:hAnsi="Times New Roman"/>
          <w:sz w:val="24"/>
        </w:rPr>
        <w:t>, devrait soutenir ce travail.</w:t>
      </w:r>
    </w:p>
    <w:p w:rsidR="00097C2F" w:rsidRDefault="008C0DFC">
      <w:pPr>
        <w:spacing w:after="240" w:line="240" w:lineRule="auto"/>
        <w:jc w:val="both"/>
        <w:rPr>
          <w:rFonts w:ascii="Times New Roman" w:hAnsi="Times New Roman"/>
          <w:i/>
          <w:sz w:val="24"/>
          <w:szCs w:val="24"/>
        </w:rPr>
      </w:pPr>
      <w:r>
        <w:rPr>
          <w:rFonts w:ascii="Times New Roman" w:hAnsi="Times New Roman"/>
          <w:i/>
          <w:sz w:val="24"/>
        </w:rPr>
        <w:t>Étapes ultérieures</w:t>
      </w:r>
    </w:p>
    <w:p w:rsidR="00097C2F" w:rsidRDefault="008C0DFC">
      <w:pPr>
        <w:spacing w:after="240" w:line="240" w:lineRule="auto"/>
        <w:jc w:val="both"/>
        <w:rPr>
          <w:rFonts w:ascii="Times New Roman" w:hAnsi="Times New Roman"/>
          <w:sz w:val="24"/>
          <w:szCs w:val="24"/>
        </w:rPr>
      </w:pPr>
      <w:r>
        <w:rPr>
          <w:rFonts w:ascii="Times New Roman" w:hAnsi="Times New Roman"/>
          <w:sz w:val="24"/>
        </w:rPr>
        <w:t>Dans le cadre du paquet «état de l</w:t>
      </w:r>
      <w:r w:rsidR="00B0065F">
        <w:rPr>
          <w:rFonts w:ascii="Times New Roman" w:hAnsi="Times New Roman"/>
          <w:sz w:val="24"/>
        </w:rPr>
        <w:t>’</w:t>
      </w:r>
      <w:r>
        <w:rPr>
          <w:rFonts w:ascii="Times New Roman" w:hAnsi="Times New Roman"/>
          <w:sz w:val="24"/>
        </w:rPr>
        <w:t>union de l</w:t>
      </w:r>
      <w:r w:rsidR="00B0065F">
        <w:rPr>
          <w:rFonts w:ascii="Times New Roman" w:hAnsi="Times New Roman"/>
          <w:sz w:val="24"/>
        </w:rPr>
        <w:t>’</w:t>
      </w:r>
      <w:r>
        <w:rPr>
          <w:rFonts w:ascii="Times New Roman" w:hAnsi="Times New Roman"/>
          <w:sz w:val="24"/>
        </w:rPr>
        <w:t xml:space="preserve">énergie </w:t>
      </w:r>
      <w:r w:rsidRPr="005A0F82">
        <w:rPr>
          <w:rFonts w:ascii="Times New Roman" w:hAnsi="Times New Roman"/>
          <w:sz w:val="24"/>
        </w:rPr>
        <w:t>2016</w:t>
      </w:r>
      <w:r>
        <w:rPr>
          <w:rFonts w:ascii="Times New Roman" w:hAnsi="Times New Roman"/>
          <w:sz w:val="24"/>
        </w:rPr>
        <w:t>», la Commission compte présenter une stratégie intégrée de l</w:t>
      </w:r>
      <w:r w:rsidR="00B0065F">
        <w:rPr>
          <w:rFonts w:ascii="Times New Roman" w:hAnsi="Times New Roman"/>
          <w:sz w:val="24"/>
        </w:rPr>
        <w:t>’</w:t>
      </w:r>
      <w:r>
        <w:rPr>
          <w:rFonts w:ascii="Times New Roman" w:hAnsi="Times New Roman"/>
          <w:sz w:val="24"/>
        </w:rPr>
        <w:t>union de l</w:t>
      </w:r>
      <w:r w:rsidR="00B0065F">
        <w:rPr>
          <w:rFonts w:ascii="Times New Roman" w:hAnsi="Times New Roman"/>
          <w:sz w:val="24"/>
        </w:rPr>
        <w:t>’</w:t>
      </w:r>
      <w:r>
        <w:rPr>
          <w:rFonts w:ascii="Times New Roman" w:hAnsi="Times New Roman"/>
          <w:sz w:val="24"/>
        </w:rPr>
        <w:t>énergie pour la recherche, l</w:t>
      </w:r>
      <w:r w:rsidR="00B0065F">
        <w:rPr>
          <w:rFonts w:ascii="Times New Roman" w:hAnsi="Times New Roman"/>
          <w:sz w:val="24"/>
        </w:rPr>
        <w:t>’</w:t>
      </w:r>
      <w:r>
        <w:rPr>
          <w:rFonts w:ascii="Times New Roman" w:hAnsi="Times New Roman"/>
          <w:sz w:val="24"/>
        </w:rPr>
        <w:t xml:space="preserve">innovation et la compétitivité. Cette stratégie devrait refléter les résultats de la consultation que la Commission lancera auprès des États membres et des parties intéressées sur trois volets </w:t>
      </w:r>
      <w:r>
        <w:rPr>
          <w:rFonts w:ascii="Times New Roman" w:hAnsi="Times New Roman"/>
          <w:sz w:val="24"/>
        </w:rPr>
        <w:lastRenderedPageBreak/>
        <w:t>interconnectés: les technologies énergétiques, les transports et la compétitivité au niveau mondial. Elle prévoit d</w:t>
      </w:r>
      <w:r w:rsidR="00B0065F">
        <w:rPr>
          <w:rFonts w:ascii="Times New Roman" w:hAnsi="Times New Roman"/>
          <w:sz w:val="24"/>
        </w:rPr>
        <w:t>’</w:t>
      </w:r>
      <w:r>
        <w:rPr>
          <w:rFonts w:ascii="Times New Roman" w:hAnsi="Times New Roman"/>
          <w:sz w:val="24"/>
        </w:rPr>
        <w:t>accroître les investissements publics et privés dans la recherche et l</w:t>
      </w:r>
      <w:r w:rsidR="00B0065F">
        <w:rPr>
          <w:rFonts w:ascii="Times New Roman" w:hAnsi="Times New Roman"/>
          <w:sz w:val="24"/>
        </w:rPr>
        <w:t>’</w:t>
      </w:r>
      <w:r>
        <w:rPr>
          <w:rFonts w:ascii="Times New Roman" w:hAnsi="Times New Roman"/>
          <w:sz w:val="24"/>
        </w:rPr>
        <w:t>innovation, d</w:t>
      </w:r>
      <w:r w:rsidR="00B0065F">
        <w:rPr>
          <w:rFonts w:ascii="Times New Roman" w:hAnsi="Times New Roman"/>
          <w:sz w:val="24"/>
        </w:rPr>
        <w:t>’</w:t>
      </w:r>
      <w:r>
        <w:rPr>
          <w:rFonts w:ascii="Times New Roman" w:hAnsi="Times New Roman"/>
          <w:sz w:val="24"/>
        </w:rPr>
        <w:t>éliminer les freins à l</w:t>
      </w:r>
      <w:r w:rsidR="00B0065F">
        <w:rPr>
          <w:rFonts w:ascii="Times New Roman" w:hAnsi="Times New Roman"/>
          <w:sz w:val="24"/>
        </w:rPr>
        <w:t>’</w:t>
      </w:r>
      <w:r>
        <w:rPr>
          <w:rFonts w:ascii="Times New Roman" w:hAnsi="Times New Roman"/>
          <w:sz w:val="24"/>
        </w:rPr>
        <w:t>innovation, et de lever les obstacles à l</w:t>
      </w:r>
      <w:r w:rsidR="00B0065F">
        <w:rPr>
          <w:rFonts w:ascii="Times New Roman" w:hAnsi="Times New Roman"/>
          <w:sz w:val="24"/>
        </w:rPr>
        <w:t>’</w:t>
      </w:r>
      <w:r>
        <w:rPr>
          <w:rFonts w:ascii="Times New Roman" w:hAnsi="Times New Roman"/>
          <w:sz w:val="24"/>
        </w:rPr>
        <w:t>investissement privé. Il convient de promouvoir davantage la recherche ascendante, qui est l</w:t>
      </w:r>
      <w:r w:rsidR="00B0065F">
        <w:rPr>
          <w:rFonts w:ascii="Times New Roman" w:hAnsi="Times New Roman"/>
          <w:sz w:val="24"/>
        </w:rPr>
        <w:t>’</w:t>
      </w:r>
      <w:r>
        <w:rPr>
          <w:rFonts w:ascii="Times New Roman" w:hAnsi="Times New Roman"/>
          <w:sz w:val="24"/>
        </w:rPr>
        <w:t>un des éléments importants d</w:t>
      </w:r>
      <w:r w:rsidR="00B0065F">
        <w:rPr>
          <w:rFonts w:ascii="Times New Roman" w:hAnsi="Times New Roman"/>
          <w:sz w:val="24"/>
        </w:rPr>
        <w:t>’</w:t>
      </w:r>
      <w:r>
        <w:rPr>
          <w:rFonts w:ascii="Times New Roman" w:hAnsi="Times New Roman"/>
          <w:sz w:val="24"/>
        </w:rPr>
        <w:t>un écosystème d</w:t>
      </w:r>
      <w:r w:rsidR="00B0065F">
        <w:rPr>
          <w:rFonts w:ascii="Times New Roman" w:hAnsi="Times New Roman"/>
          <w:sz w:val="24"/>
        </w:rPr>
        <w:t>’</w:t>
      </w:r>
      <w:r>
        <w:rPr>
          <w:rFonts w:ascii="Times New Roman" w:hAnsi="Times New Roman"/>
          <w:sz w:val="24"/>
        </w:rPr>
        <w:t>innovation dynamique.</w:t>
      </w:r>
    </w:p>
    <w:p w:rsidR="00097C2F" w:rsidRDefault="008C0DFC">
      <w:pPr>
        <w:spacing w:after="240" w:line="240" w:lineRule="auto"/>
        <w:jc w:val="both"/>
        <w:rPr>
          <w:rFonts w:ascii="Times New Roman" w:hAnsi="Times New Roman"/>
          <w:sz w:val="24"/>
          <w:szCs w:val="24"/>
        </w:rPr>
      </w:pPr>
      <w:r>
        <w:rPr>
          <w:rFonts w:ascii="Times New Roman" w:hAnsi="Times New Roman"/>
          <w:sz w:val="24"/>
        </w:rPr>
        <w:t xml:space="preserve">En </w:t>
      </w:r>
      <w:r w:rsidRPr="005A0F82">
        <w:rPr>
          <w:rFonts w:ascii="Times New Roman" w:hAnsi="Times New Roman"/>
          <w:sz w:val="24"/>
        </w:rPr>
        <w:t>2016</w:t>
      </w:r>
      <w:r>
        <w:rPr>
          <w:rFonts w:ascii="Times New Roman" w:hAnsi="Times New Roman"/>
          <w:sz w:val="24"/>
        </w:rPr>
        <w:t xml:space="preserve">, </w:t>
      </w:r>
      <w:r w:rsidR="00037047">
        <w:rPr>
          <w:rFonts w:ascii="Times New Roman" w:hAnsi="Times New Roman"/>
          <w:sz w:val="24"/>
        </w:rPr>
        <w:t xml:space="preserve">il faudra </w:t>
      </w:r>
      <w:r>
        <w:rPr>
          <w:rFonts w:ascii="Times New Roman" w:hAnsi="Times New Roman"/>
          <w:sz w:val="24"/>
        </w:rPr>
        <w:t>veiller à rendre plus efficace la coordination entre l</w:t>
      </w:r>
      <w:r w:rsidR="00B0065F">
        <w:rPr>
          <w:rFonts w:ascii="Times New Roman" w:hAnsi="Times New Roman"/>
          <w:sz w:val="24"/>
        </w:rPr>
        <w:t>’</w:t>
      </w:r>
      <w:r>
        <w:rPr>
          <w:rFonts w:ascii="Times New Roman" w:hAnsi="Times New Roman"/>
          <w:sz w:val="24"/>
        </w:rPr>
        <w:t>union de l</w:t>
      </w:r>
      <w:r w:rsidR="00B0065F">
        <w:rPr>
          <w:rFonts w:ascii="Times New Roman" w:hAnsi="Times New Roman"/>
          <w:sz w:val="24"/>
        </w:rPr>
        <w:t>’</w:t>
      </w:r>
      <w:r>
        <w:rPr>
          <w:rFonts w:ascii="Times New Roman" w:hAnsi="Times New Roman"/>
          <w:sz w:val="24"/>
        </w:rPr>
        <w:t>énergie, le marché unique numérique et l</w:t>
      </w:r>
      <w:r w:rsidR="00B0065F">
        <w:rPr>
          <w:rFonts w:ascii="Times New Roman" w:hAnsi="Times New Roman"/>
          <w:sz w:val="24"/>
        </w:rPr>
        <w:t>’</w:t>
      </w:r>
      <w:r>
        <w:rPr>
          <w:rFonts w:ascii="Times New Roman" w:hAnsi="Times New Roman"/>
          <w:sz w:val="24"/>
        </w:rPr>
        <w:t>économie circulaire. Ce</w:t>
      </w:r>
      <w:r w:rsidR="00037047">
        <w:rPr>
          <w:rFonts w:ascii="Times New Roman" w:hAnsi="Times New Roman"/>
          <w:sz w:val="24"/>
        </w:rPr>
        <w:t xml:space="preserve"> point</w:t>
      </w:r>
      <w:r>
        <w:rPr>
          <w:rFonts w:ascii="Times New Roman" w:hAnsi="Times New Roman"/>
          <w:sz w:val="24"/>
        </w:rPr>
        <w:t xml:space="preserve"> concerne notamment la numérisation progressive des secteurs de l</w:t>
      </w:r>
      <w:r w:rsidR="00B0065F">
        <w:rPr>
          <w:rFonts w:ascii="Times New Roman" w:hAnsi="Times New Roman"/>
          <w:sz w:val="24"/>
        </w:rPr>
        <w:t>’</w:t>
      </w:r>
      <w:r>
        <w:rPr>
          <w:rFonts w:ascii="Times New Roman" w:hAnsi="Times New Roman"/>
          <w:sz w:val="24"/>
        </w:rPr>
        <w:t>énergie et des transports.</w:t>
      </w:r>
    </w:p>
    <w:p w:rsidR="00097C2F" w:rsidRDefault="008C0DFC">
      <w:pPr>
        <w:spacing w:after="240" w:line="240" w:lineRule="auto"/>
        <w:jc w:val="both"/>
        <w:rPr>
          <w:rFonts w:ascii="Times New Roman" w:hAnsi="Times New Roman"/>
          <w:sz w:val="24"/>
          <w:szCs w:val="24"/>
        </w:rPr>
      </w:pPr>
      <w:r>
        <w:rPr>
          <w:rFonts w:ascii="Times New Roman" w:hAnsi="Times New Roman"/>
          <w:sz w:val="24"/>
        </w:rPr>
        <w:t>La transition énergétique entraînera des changements dans de nombreux secteurs et requiert dès lors une participation plus étroite des partenaires sociaux. Il pourrait s</w:t>
      </w:r>
      <w:r w:rsidR="00B0065F">
        <w:rPr>
          <w:rFonts w:ascii="Times New Roman" w:hAnsi="Times New Roman"/>
          <w:sz w:val="24"/>
        </w:rPr>
        <w:t>’</w:t>
      </w:r>
      <w:r>
        <w:rPr>
          <w:rFonts w:ascii="Times New Roman" w:hAnsi="Times New Roman"/>
          <w:sz w:val="24"/>
        </w:rPr>
        <w:t>agir notamment de veiller à ce que les compétences et les programmes de formation correspondent aux besoins de nouveaux profils professionnels, d</w:t>
      </w:r>
      <w:r w:rsidR="00B0065F">
        <w:rPr>
          <w:rFonts w:ascii="Times New Roman" w:hAnsi="Times New Roman"/>
          <w:sz w:val="24"/>
        </w:rPr>
        <w:t>’</w:t>
      </w:r>
      <w:r>
        <w:rPr>
          <w:rFonts w:ascii="Times New Roman" w:hAnsi="Times New Roman"/>
          <w:sz w:val="24"/>
        </w:rPr>
        <w:t>examiner les conditions de travail dans les nouveaux secteurs ou de faciliter une transition équitable sur le plan social dans les secteurs ou les régions qui subiront des pertes d</w:t>
      </w:r>
      <w:r w:rsidR="00B0065F">
        <w:rPr>
          <w:rFonts w:ascii="Times New Roman" w:hAnsi="Times New Roman"/>
          <w:sz w:val="24"/>
        </w:rPr>
        <w:t>’</w:t>
      </w:r>
      <w:r>
        <w:rPr>
          <w:rFonts w:ascii="Times New Roman" w:hAnsi="Times New Roman"/>
          <w:sz w:val="24"/>
        </w:rPr>
        <w:t>emplois. La Commission a commencé à coopérer avec les partenaires sociaux à l</w:t>
      </w:r>
      <w:r w:rsidR="00B0065F">
        <w:rPr>
          <w:rFonts w:ascii="Times New Roman" w:hAnsi="Times New Roman"/>
          <w:sz w:val="24"/>
        </w:rPr>
        <w:t>’</w:t>
      </w:r>
      <w:r>
        <w:rPr>
          <w:rFonts w:ascii="Times New Roman" w:hAnsi="Times New Roman"/>
          <w:sz w:val="24"/>
        </w:rPr>
        <w:t xml:space="preserve">échelon européen et poursuivra ce dialogue en </w:t>
      </w:r>
      <w:r w:rsidRPr="005A0F82">
        <w:rPr>
          <w:rFonts w:ascii="Times New Roman" w:hAnsi="Times New Roman"/>
          <w:sz w:val="24"/>
        </w:rPr>
        <w:t>2016</w:t>
      </w:r>
      <w:r>
        <w:rPr>
          <w:rFonts w:ascii="Times New Roman" w:hAnsi="Times New Roman"/>
          <w:sz w:val="24"/>
        </w:rPr>
        <w:t xml:space="preserve">. Elle encourage les États membres à débattre </w:t>
      </w:r>
      <w:r w:rsidR="00037047">
        <w:rPr>
          <w:rFonts w:ascii="Times New Roman" w:hAnsi="Times New Roman"/>
          <w:sz w:val="24"/>
        </w:rPr>
        <w:t xml:space="preserve">eux </w:t>
      </w:r>
      <w:r>
        <w:rPr>
          <w:rFonts w:ascii="Times New Roman" w:hAnsi="Times New Roman"/>
          <w:sz w:val="24"/>
        </w:rPr>
        <w:t>aussi, avec les partenaires sociaux, des conséquences de la transition énergétique et des meilleurs moyens pour les anticiper et les gérer</w:t>
      </w:r>
      <w:r>
        <w:rPr>
          <w:rStyle w:val="FootnoteReference"/>
          <w:rFonts w:ascii="Times New Roman" w:hAnsi="Times New Roman"/>
          <w:sz w:val="24"/>
        </w:rPr>
        <w:footnoteReference w:id="33"/>
      </w:r>
      <w:r>
        <w:rPr>
          <w:rFonts w:ascii="Times New Roman" w:hAnsi="Times New Roman"/>
          <w:sz w:val="24"/>
        </w:rPr>
        <w:t>.</w:t>
      </w:r>
    </w:p>
    <w:p w:rsidR="00097C2F" w:rsidRDefault="008C0DFC">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sz w:val="24"/>
          <w:szCs w:val="24"/>
        </w:rPr>
      </w:pPr>
      <w:r>
        <w:rPr>
          <w:rFonts w:ascii="Times New Roman" w:hAnsi="Times New Roman"/>
          <w:i/>
          <w:sz w:val="24"/>
        </w:rPr>
        <w:t>Conclusions d</w:t>
      </w:r>
      <w:r w:rsidR="00B0065F">
        <w:rPr>
          <w:rFonts w:ascii="Times New Roman" w:hAnsi="Times New Roman"/>
          <w:i/>
          <w:sz w:val="24"/>
        </w:rPr>
        <w:t>’</w:t>
      </w:r>
      <w:r>
        <w:rPr>
          <w:rFonts w:ascii="Times New Roman" w:hAnsi="Times New Roman"/>
          <w:i/>
          <w:sz w:val="24"/>
        </w:rPr>
        <w:t>ordre politique aux niveaux national, régional et de l</w:t>
      </w:r>
      <w:r w:rsidR="00B0065F">
        <w:rPr>
          <w:rFonts w:ascii="Times New Roman" w:hAnsi="Times New Roman"/>
          <w:i/>
          <w:sz w:val="24"/>
        </w:rPr>
        <w:t>’</w:t>
      </w:r>
      <w:r>
        <w:rPr>
          <w:rFonts w:ascii="Times New Roman" w:hAnsi="Times New Roman"/>
          <w:i/>
          <w:sz w:val="24"/>
        </w:rPr>
        <w:t>UE:</w:t>
      </w:r>
    </w:p>
    <w:p w:rsidR="00097C2F" w:rsidRDefault="008C0DFC">
      <w:pPr>
        <w:pStyle w:val="Text2"/>
        <w:numPr>
          <w:ilvl w:val="0"/>
          <w:numId w:val="1"/>
        </w:numPr>
        <w:pBdr>
          <w:top w:val="single" w:sz="4" w:space="1" w:color="auto"/>
          <w:left w:val="single" w:sz="4" w:space="4" w:color="auto"/>
          <w:bottom w:val="single" w:sz="4" w:space="1" w:color="auto"/>
          <w:right w:val="single" w:sz="4" w:space="4" w:color="auto"/>
        </w:pBdr>
        <w:spacing w:after="120"/>
        <w:ind w:left="426" w:hanging="426"/>
        <w:rPr>
          <w:i/>
          <w:szCs w:val="24"/>
        </w:rPr>
      </w:pPr>
      <w:r>
        <w:rPr>
          <w:i/>
        </w:rPr>
        <w:t>Les entreprises, institutions de recherche et acteurs universitaires de l</w:t>
      </w:r>
      <w:r w:rsidR="00B0065F">
        <w:rPr>
          <w:i/>
        </w:rPr>
        <w:t>’</w:t>
      </w:r>
      <w:r>
        <w:rPr>
          <w:i/>
        </w:rPr>
        <w:t>innovation en Europe occupent globalement des places en vue dans le paysage énergétique mondial. De nombreux États membres (notamment l</w:t>
      </w:r>
      <w:r w:rsidR="00B0065F">
        <w:rPr>
          <w:i/>
        </w:rPr>
        <w:t>’</w:t>
      </w:r>
      <w:r>
        <w:rPr>
          <w:i/>
        </w:rPr>
        <w:t>Autriche, le Danemark, la Finlande, la France, l</w:t>
      </w:r>
      <w:r w:rsidR="00B0065F">
        <w:rPr>
          <w:i/>
        </w:rPr>
        <w:t>’</w:t>
      </w:r>
      <w:r>
        <w:rPr>
          <w:i/>
        </w:rPr>
        <w:t>Allemagne et le Royaume-Uni) ont fait des efforts appréciables pour promouvoir l</w:t>
      </w:r>
      <w:r w:rsidR="00B0065F">
        <w:rPr>
          <w:i/>
        </w:rPr>
        <w:t>’</w:t>
      </w:r>
      <w:r>
        <w:rPr>
          <w:i/>
        </w:rPr>
        <w:t>innovation et ouvrir des perspectives commerciales dans le domaine de l</w:t>
      </w:r>
      <w:r w:rsidR="00B0065F">
        <w:rPr>
          <w:i/>
        </w:rPr>
        <w:t>’</w:t>
      </w:r>
      <w:r>
        <w:rPr>
          <w:i/>
        </w:rPr>
        <w:t>efficacité énergétique et des technologies à faible intensité de carbone. C</w:t>
      </w:r>
      <w:r w:rsidR="00B0065F">
        <w:rPr>
          <w:i/>
        </w:rPr>
        <w:t>’</w:t>
      </w:r>
      <w:r>
        <w:rPr>
          <w:i/>
        </w:rPr>
        <w:t>est une des raisons pour lesquelles, malgré la crise économique et financière, l</w:t>
      </w:r>
      <w:r w:rsidR="00B0065F">
        <w:rPr>
          <w:i/>
        </w:rPr>
        <w:t>’</w:t>
      </w:r>
      <w:r>
        <w:rPr>
          <w:i/>
        </w:rPr>
        <w:t>emploi a augmenté dans le secteur des énergies renouvelables, avec près d</w:t>
      </w:r>
      <w:r w:rsidR="00B0065F">
        <w:rPr>
          <w:i/>
        </w:rPr>
        <w:t>’</w:t>
      </w:r>
      <w:r>
        <w:rPr>
          <w:i/>
        </w:rPr>
        <w:t>un demi-million d</w:t>
      </w:r>
      <w:r w:rsidR="00B0065F">
        <w:rPr>
          <w:i/>
        </w:rPr>
        <w:t>’</w:t>
      </w:r>
      <w:r>
        <w:rPr>
          <w:i/>
        </w:rPr>
        <w:t>emplois créés dans l</w:t>
      </w:r>
      <w:r w:rsidR="00B0065F">
        <w:rPr>
          <w:i/>
        </w:rPr>
        <w:t>’</w:t>
      </w:r>
      <w:r>
        <w:rPr>
          <w:i/>
        </w:rPr>
        <w:t>UE au cours des cinq dernières années.</w:t>
      </w:r>
    </w:p>
    <w:p w:rsidR="00097C2F" w:rsidRDefault="008C0DFC">
      <w:pPr>
        <w:pStyle w:val="Text2"/>
        <w:numPr>
          <w:ilvl w:val="0"/>
          <w:numId w:val="1"/>
        </w:numPr>
        <w:pBdr>
          <w:top w:val="single" w:sz="4" w:space="1" w:color="auto"/>
          <w:left w:val="single" w:sz="4" w:space="4" w:color="auto"/>
          <w:bottom w:val="single" w:sz="4" w:space="1" w:color="auto"/>
          <w:right w:val="single" w:sz="4" w:space="4" w:color="auto"/>
        </w:pBdr>
        <w:ind w:left="426" w:hanging="426"/>
        <w:rPr>
          <w:smallCaps/>
          <w:szCs w:val="24"/>
        </w:rPr>
      </w:pPr>
      <w:r>
        <w:rPr>
          <w:i/>
        </w:rPr>
        <w:t>Des initiatives positives récentes de certains États membres (dont la France, les Pays-Bas et le Portugal) ont permis de rendre les systèmes fiscaux plus respectueux de l</w:t>
      </w:r>
      <w:r w:rsidR="00B0065F">
        <w:rPr>
          <w:i/>
        </w:rPr>
        <w:t>’</w:t>
      </w:r>
      <w:r>
        <w:rPr>
          <w:i/>
        </w:rPr>
        <w:t xml:space="preserve">environnement et </w:t>
      </w:r>
      <w:r w:rsidR="00037047">
        <w:rPr>
          <w:i/>
        </w:rPr>
        <w:t xml:space="preserve">plus </w:t>
      </w:r>
      <w:r>
        <w:rPr>
          <w:i/>
        </w:rPr>
        <w:t>propices à la croissance. Il reste toutefois possible</w:t>
      </w:r>
      <w:r w:rsidR="00037047">
        <w:rPr>
          <w:i/>
        </w:rPr>
        <w:t>,</w:t>
      </w:r>
      <w:r>
        <w:rPr>
          <w:i/>
        </w:rPr>
        <w:t xml:space="preserve"> </w:t>
      </w:r>
      <w:r w:rsidR="00037047">
        <w:rPr>
          <w:i/>
        </w:rPr>
        <w:t xml:space="preserve">dans plusieurs États membres, </w:t>
      </w:r>
      <w:r>
        <w:rPr>
          <w:i/>
        </w:rPr>
        <w:t>de modifier encore le système fiscal de manière à stimuler l</w:t>
      </w:r>
      <w:r w:rsidR="00B0065F">
        <w:rPr>
          <w:i/>
        </w:rPr>
        <w:t>’</w:t>
      </w:r>
      <w:r>
        <w:rPr>
          <w:i/>
        </w:rPr>
        <w:t>emploi et la compétitivité, tout en contribuant à réaliser les objectifs de l</w:t>
      </w:r>
      <w:r w:rsidR="00B0065F">
        <w:rPr>
          <w:i/>
        </w:rPr>
        <w:t>’</w:t>
      </w:r>
      <w:r>
        <w:rPr>
          <w:i/>
        </w:rPr>
        <w:t>union de l</w:t>
      </w:r>
      <w:r w:rsidR="00B0065F">
        <w:rPr>
          <w:i/>
        </w:rPr>
        <w:t>’</w:t>
      </w:r>
      <w:r>
        <w:rPr>
          <w:i/>
        </w:rPr>
        <w:t>énergie</w:t>
      </w:r>
      <w:r>
        <w:rPr>
          <w:rStyle w:val="FootnoteReference"/>
          <w:i/>
        </w:rPr>
        <w:footnoteReference w:id="34"/>
      </w:r>
      <w:r>
        <w:rPr>
          <w:i/>
        </w:rPr>
        <w:t>. Les États membres qui procèdent à ce type de transfert de la charge fiscale devraient en même temps éviter qu</w:t>
      </w:r>
      <w:r w:rsidR="00B0065F">
        <w:rPr>
          <w:i/>
        </w:rPr>
        <w:t>’</w:t>
      </w:r>
      <w:r>
        <w:rPr>
          <w:i/>
        </w:rPr>
        <w:t>il ait des effets disproportionnés sur les prix de l</w:t>
      </w:r>
      <w:r w:rsidR="00B0065F">
        <w:rPr>
          <w:i/>
        </w:rPr>
        <w:t>’</w:t>
      </w:r>
      <w:r>
        <w:rPr>
          <w:i/>
        </w:rPr>
        <w:t xml:space="preserve">énergie, qui doivent rester abordables. Des conditions clés </w:t>
      </w:r>
      <w:r w:rsidR="00142442">
        <w:rPr>
          <w:i/>
        </w:rPr>
        <w:t xml:space="preserve">favorables </w:t>
      </w:r>
      <w:r>
        <w:rPr>
          <w:i/>
        </w:rPr>
        <w:t>doivent être réunies pour amener l</w:t>
      </w:r>
      <w:r w:rsidR="00B0065F">
        <w:rPr>
          <w:i/>
        </w:rPr>
        <w:t>’</w:t>
      </w:r>
      <w:r>
        <w:rPr>
          <w:i/>
        </w:rPr>
        <w:t>innovation au stade de la commercialisation. En reflétant mieux les coûts économiques et environnementaux, les réformes fiscales, notamment dans le domaine des transports et de la mobilité, ont le potentiel de favoriser cette transition.</w:t>
      </w:r>
    </w:p>
    <w:p w:rsidR="00097C2F" w:rsidRDefault="008C0DFC">
      <w:pPr>
        <w:spacing w:after="240" w:line="240" w:lineRule="auto"/>
        <w:jc w:val="both"/>
        <w:rPr>
          <w:rFonts w:ascii="Times New Roman" w:hAnsi="Times New Roman"/>
          <w:b/>
          <w:smallCaps/>
          <w:sz w:val="24"/>
          <w:szCs w:val="24"/>
        </w:rPr>
      </w:pPr>
      <w:bookmarkStart w:id="1" w:name="_GoBack"/>
      <w:bookmarkEnd w:id="1"/>
      <w:r w:rsidRPr="005A0F82">
        <w:rPr>
          <w:rFonts w:ascii="Times New Roman" w:hAnsi="Times New Roman"/>
          <w:b/>
          <w:smallCaps/>
          <w:sz w:val="24"/>
        </w:rPr>
        <w:lastRenderedPageBreak/>
        <w:t>7</w:t>
      </w:r>
      <w:r>
        <w:rPr>
          <w:rFonts w:ascii="Times New Roman" w:hAnsi="Times New Roman"/>
          <w:b/>
          <w:smallCaps/>
          <w:sz w:val="24"/>
        </w:rPr>
        <w:t xml:space="preserve">. </w:t>
      </w:r>
      <w:r>
        <w:tab/>
      </w:r>
      <w:r>
        <w:rPr>
          <w:rFonts w:ascii="Times New Roman" w:hAnsi="Times New Roman"/>
          <w:b/>
          <w:smallCaps/>
          <w:sz w:val="24"/>
        </w:rPr>
        <w:t>Mise en œuvre de l</w:t>
      </w:r>
      <w:r w:rsidR="00B0065F">
        <w:rPr>
          <w:rFonts w:ascii="Times New Roman" w:hAnsi="Times New Roman"/>
          <w:b/>
          <w:smallCaps/>
          <w:sz w:val="24"/>
        </w:rPr>
        <w:t>’</w:t>
      </w:r>
      <w:r>
        <w:rPr>
          <w:rFonts w:ascii="Times New Roman" w:hAnsi="Times New Roman"/>
          <w:b/>
          <w:smallCaps/>
          <w:sz w:val="24"/>
        </w:rPr>
        <w:t>union de l</w:t>
      </w:r>
      <w:r w:rsidR="00B0065F">
        <w:rPr>
          <w:rFonts w:ascii="Times New Roman" w:hAnsi="Times New Roman"/>
          <w:b/>
          <w:smallCaps/>
          <w:sz w:val="24"/>
        </w:rPr>
        <w:t>’</w:t>
      </w:r>
      <w:r>
        <w:rPr>
          <w:rFonts w:ascii="Times New Roman" w:hAnsi="Times New Roman"/>
          <w:b/>
          <w:smallCaps/>
          <w:sz w:val="24"/>
        </w:rPr>
        <w:t>énergie</w:t>
      </w:r>
    </w:p>
    <w:p w:rsidR="00097C2F" w:rsidRDefault="008C0DFC">
      <w:pPr>
        <w:spacing w:after="240" w:line="240" w:lineRule="auto"/>
        <w:jc w:val="both"/>
        <w:rPr>
          <w:rFonts w:ascii="Times New Roman" w:hAnsi="Times New Roman"/>
          <w:i/>
          <w:sz w:val="24"/>
          <w:szCs w:val="24"/>
        </w:rPr>
      </w:pPr>
      <w:r>
        <w:rPr>
          <w:rFonts w:ascii="Times New Roman" w:hAnsi="Times New Roman"/>
          <w:i/>
          <w:sz w:val="24"/>
        </w:rPr>
        <w:t>Progrès accomplis</w:t>
      </w:r>
    </w:p>
    <w:p w:rsidR="00097C2F" w:rsidRDefault="008C0DFC">
      <w:pPr>
        <w:spacing w:after="240" w:line="240" w:lineRule="auto"/>
        <w:jc w:val="both"/>
        <w:rPr>
          <w:rFonts w:ascii="Times New Roman" w:hAnsi="Times New Roman"/>
          <w:sz w:val="24"/>
          <w:szCs w:val="24"/>
        </w:rPr>
      </w:pPr>
      <w:r>
        <w:rPr>
          <w:rFonts w:ascii="Times New Roman" w:hAnsi="Times New Roman"/>
          <w:sz w:val="24"/>
        </w:rPr>
        <w:t>Il convient de doter l</w:t>
      </w:r>
      <w:r w:rsidR="00B0065F">
        <w:rPr>
          <w:rFonts w:ascii="Times New Roman" w:hAnsi="Times New Roman"/>
          <w:sz w:val="24"/>
        </w:rPr>
        <w:t>’</w:t>
      </w:r>
      <w:r>
        <w:rPr>
          <w:rFonts w:ascii="Times New Roman" w:hAnsi="Times New Roman"/>
          <w:sz w:val="24"/>
        </w:rPr>
        <w:t>union de l</w:t>
      </w:r>
      <w:r w:rsidR="00B0065F">
        <w:rPr>
          <w:rFonts w:ascii="Times New Roman" w:hAnsi="Times New Roman"/>
          <w:sz w:val="24"/>
        </w:rPr>
        <w:t>’</w:t>
      </w:r>
      <w:r>
        <w:rPr>
          <w:rFonts w:ascii="Times New Roman" w:hAnsi="Times New Roman"/>
          <w:sz w:val="24"/>
        </w:rPr>
        <w:t>énergie d</w:t>
      </w:r>
      <w:r w:rsidR="00B0065F">
        <w:rPr>
          <w:rFonts w:ascii="Times New Roman" w:hAnsi="Times New Roman"/>
          <w:sz w:val="24"/>
        </w:rPr>
        <w:t>’</w:t>
      </w:r>
      <w:r>
        <w:rPr>
          <w:rFonts w:ascii="Times New Roman" w:hAnsi="Times New Roman"/>
          <w:sz w:val="24"/>
        </w:rPr>
        <w:t>un processus de gouvernance fiable et transparent, ancré dans la législation, pour garantir que les actions liées à l</w:t>
      </w:r>
      <w:r w:rsidR="00B0065F">
        <w:rPr>
          <w:rFonts w:ascii="Times New Roman" w:hAnsi="Times New Roman"/>
          <w:sz w:val="24"/>
        </w:rPr>
        <w:t>’</w:t>
      </w:r>
      <w:r>
        <w:rPr>
          <w:rFonts w:ascii="Times New Roman" w:hAnsi="Times New Roman"/>
          <w:sz w:val="24"/>
        </w:rPr>
        <w:t>énergie menées aux échelons européen, régional, national et local contribuent toutes aux objectifs de l</w:t>
      </w:r>
      <w:r w:rsidR="00B0065F">
        <w:rPr>
          <w:rFonts w:ascii="Times New Roman" w:hAnsi="Times New Roman"/>
          <w:sz w:val="24"/>
        </w:rPr>
        <w:t>’</w:t>
      </w:r>
      <w:r>
        <w:rPr>
          <w:rFonts w:ascii="Times New Roman" w:hAnsi="Times New Roman"/>
          <w:sz w:val="24"/>
        </w:rPr>
        <w:t>union de l</w:t>
      </w:r>
      <w:r w:rsidR="00B0065F">
        <w:rPr>
          <w:rFonts w:ascii="Times New Roman" w:hAnsi="Times New Roman"/>
          <w:sz w:val="24"/>
        </w:rPr>
        <w:t>’</w:t>
      </w:r>
      <w:r>
        <w:rPr>
          <w:rFonts w:ascii="Times New Roman" w:hAnsi="Times New Roman"/>
          <w:sz w:val="24"/>
        </w:rPr>
        <w:t>énergie.</w:t>
      </w:r>
    </w:p>
    <w:p w:rsidR="00097C2F" w:rsidRDefault="008C0DFC">
      <w:pPr>
        <w:spacing w:after="240" w:line="240" w:lineRule="auto"/>
        <w:jc w:val="both"/>
        <w:rPr>
          <w:rFonts w:ascii="Times New Roman" w:hAnsi="Times New Roman"/>
          <w:sz w:val="24"/>
          <w:szCs w:val="24"/>
        </w:rPr>
      </w:pPr>
      <w:r>
        <w:rPr>
          <w:rFonts w:ascii="Times New Roman" w:hAnsi="Times New Roman"/>
          <w:sz w:val="24"/>
        </w:rPr>
        <w:t>Au niveau politique, le vice-président</w:t>
      </w:r>
      <w:r w:rsidR="00037047">
        <w:rPr>
          <w:rFonts w:ascii="Times New Roman" w:hAnsi="Times New Roman"/>
          <w:sz w:val="24"/>
        </w:rPr>
        <w:t xml:space="preserve"> M. </w:t>
      </w:r>
      <w:r>
        <w:rPr>
          <w:rFonts w:ascii="Times New Roman" w:hAnsi="Times New Roman"/>
          <w:sz w:val="24"/>
        </w:rPr>
        <w:t>Šefčovič a entrepris, ces derniers mois, une tournée en faveur de l</w:t>
      </w:r>
      <w:r w:rsidR="00B0065F">
        <w:rPr>
          <w:rFonts w:ascii="Times New Roman" w:hAnsi="Times New Roman"/>
          <w:sz w:val="24"/>
        </w:rPr>
        <w:t>’</w:t>
      </w:r>
      <w:r>
        <w:rPr>
          <w:rFonts w:ascii="Times New Roman" w:hAnsi="Times New Roman"/>
          <w:sz w:val="24"/>
        </w:rPr>
        <w:t>union de l</w:t>
      </w:r>
      <w:r w:rsidR="00B0065F">
        <w:rPr>
          <w:rFonts w:ascii="Times New Roman" w:hAnsi="Times New Roman"/>
          <w:sz w:val="24"/>
        </w:rPr>
        <w:t>’</w:t>
      </w:r>
      <w:r>
        <w:rPr>
          <w:rFonts w:ascii="Times New Roman" w:hAnsi="Times New Roman"/>
          <w:sz w:val="24"/>
        </w:rPr>
        <w:t>énergie. Il a ouvert un dialogue avec les gouvernements et parlements nationaux, avec le Parlement européen ainsi qu</w:t>
      </w:r>
      <w:r w:rsidR="00B0065F">
        <w:rPr>
          <w:rFonts w:ascii="Times New Roman" w:hAnsi="Times New Roman"/>
          <w:sz w:val="24"/>
        </w:rPr>
        <w:t>’</w:t>
      </w:r>
      <w:r>
        <w:rPr>
          <w:rFonts w:ascii="Times New Roman" w:hAnsi="Times New Roman"/>
          <w:sz w:val="24"/>
        </w:rPr>
        <w:t>avec les parties intéressées et les citoyens. Ces visites ainsi que les nombreuses activités de communication menées par d</w:t>
      </w:r>
      <w:r w:rsidR="00B0065F">
        <w:rPr>
          <w:rFonts w:ascii="Times New Roman" w:hAnsi="Times New Roman"/>
          <w:sz w:val="24"/>
        </w:rPr>
        <w:t>’</w:t>
      </w:r>
      <w:r>
        <w:rPr>
          <w:rFonts w:ascii="Times New Roman" w:hAnsi="Times New Roman"/>
          <w:sz w:val="24"/>
        </w:rPr>
        <w:t>autres commissaires, notamment M. Arias Cañete, sont importantes pour dialoguer et débattre sur l</w:t>
      </w:r>
      <w:r w:rsidR="00B0065F">
        <w:rPr>
          <w:rFonts w:ascii="Times New Roman" w:hAnsi="Times New Roman"/>
          <w:sz w:val="24"/>
        </w:rPr>
        <w:t>’</w:t>
      </w:r>
      <w:r>
        <w:rPr>
          <w:rFonts w:ascii="Times New Roman" w:hAnsi="Times New Roman"/>
          <w:sz w:val="24"/>
        </w:rPr>
        <w:t>union de l</w:t>
      </w:r>
      <w:r w:rsidR="00B0065F">
        <w:rPr>
          <w:rFonts w:ascii="Times New Roman" w:hAnsi="Times New Roman"/>
          <w:sz w:val="24"/>
        </w:rPr>
        <w:t>’</w:t>
      </w:r>
      <w:r>
        <w:rPr>
          <w:rFonts w:ascii="Times New Roman" w:hAnsi="Times New Roman"/>
          <w:sz w:val="24"/>
        </w:rPr>
        <w:t>énergie et les possibilités qu</w:t>
      </w:r>
      <w:r w:rsidR="00B0065F">
        <w:rPr>
          <w:rFonts w:ascii="Times New Roman" w:hAnsi="Times New Roman"/>
          <w:sz w:val="24"/>
        </w:rPr>
        <w:t>’</w:t>
      </w:r>
      <w:r>
        <w:rPr>
          <w:rFonts w:ascii="Times New Roman" w:hAnsi="Times New Roman"/>
          <w:sz w:val="24"/>
        </w:rPr>
        <w:t>elle offre à l</w:t>
      </w:r>
      <w:r w:rsidR="00B0065F">
        <w:rPr>
          <w:rFonts w:ascii="Times New Roman" w:hAnsi="Times New Roman"/>
          <w:sz w:val="24"/>
        </w:rPr>
        <w:t>’</w:t>
      </w:r>
      <w:r>
        <w:rPr>
          <w:rFonts w:ascii="Times New Roman" w:hAnsi="Times New Roman"/>
          <w:sz w:val="24"/>
        </w:rPr>
        <w:t>UE et à ses États membres.</w:t>
      </w:r>
    </w:p>
    <w:p w:rsidR="00097C2F" w:rsidRDefault="00322E18">
      <w:pPr>
        <w:spacing w:after="240" w:line="240" w:lineRule="auto"/>
        <w:jc w:val="both"/>
        <w:rPr>
          <w:rFonts w:ascii="Times New Roman" w:hAnsi="Times New Roman"/>
          <w:sz w:val="24"/>
          <w:szCs w:val="24"/>
        </w:rPr>
      </w:pPr>
      <w:r>
        <w:rPr>
          <w:rFonts w:ascii="Times New Roman" w:hAnsi="Times New Roman"/>
          <w:sz w:val="24"/>
        </w:rPr>
        <w:t xml:space="preserve">Soutenu </w:t>
      </w:r>
      <w:r w:rsidR="008C0DFC">
        <w:rPr>
          <w:rFonts w:ascii="Times New Roman" w:hAnsi="Times New Roman"/>
          <w:sz w:val="24"/>
        </w:rPr>
        <w:t>par un dialogue technique avec les États membres, ce processus a permis de dresser</w:t>
      </w:r>
      <w:r w:rsidR="00037047">
        <w:rPr>
          <w:rFonts w:ascii="Times New Roman" w:hAnsi="Times New Roman"/>
          <w:sz w:val="24"/>
        </w:rPr>
        <w:t>,</w:t>
      </w:r>
      <w:r w:rsidR="008C0DFC">
        <w:rPr>
          <w:rFonts w:ascii="Times New Roman" w:hAnsi="Times New Roman"/>
          <w:sz w:val="24"/>
        </w:rPr>
        <w:t xml:space="preserve"> </w:t>
      </w:r>
      <w:r w:rsidR="00037047">
        <w:rPr>
          <w:rFonts w:ascii="Times New Roman" w:hAnsi="Times New Roman"/>
          <w:sz w:val="24"/>
        </w:rPr>
        <w:t xml:space="preserve">au niveau des États membres, </w:t>
      </w:r>
      <w:r w:rsidR="008C0DFC">
        <w:rPr>
          <w:rFonts w:ascii="Times New Roman" w:hAnsi="Times New Roman"/>
          <w:sz w:val="24"/>
        </w:rPr>
        <w:t>un tableau beaucoup plus clair des forces</w:t>
      </w:r>
      <w:r w:rsidR="00037047">
        <w:rPr>
          <w:rFonts w:ascii="Times New Roman" w:hAnsi="Times New Roman"/>
          <w:sz w:val="24"/>
        </w:rPr>
        <w:t xml:space="preserve"> et</w:t>
      </w:r>
      <w:r w:rsidR="008C0DFC">
        <w:rPr>
          <w:rFonts w:ascii="Times New Roman" w:hAnsi="Times New Roman"/>
          <w:sz w:val="24"/>
        </w:rPr>
        <w:t xml:space="preserve"> </w:t>
      </w:r>
      <w:r w:rsidR="00037047">
        <w:rPr>
          <w:rFonts w:ascii="Times New Roman" w:hAnsi="Times New Roman"/>
          <w:sz w:val="24"/>
        </w:rPr>
        <w:t xml:space="preserve">des </w:t>
      </w:r>
      <w:r w:rsidR="008C0DFC">
        <w:rPr>
          <w:rFonts w:ascii="Times New Roman" w:hAnsi="Times New Roman"/>
          <w:sz w:val="24"/>
        </w:rPr>
        <w:t>faiblesses</w:t>
      </w:r>
      <w:r w:rsidR="00037047">
        <w:rPr>
          <w:rFonts w:ascii="Times New Roman" w:hAnsi="Times New Roman"/>
          <w:sz w:val="24"/>
        </w:rPr>
        <w:t xml:space="preserve"> </w:t>
      </w:r>
      <w:r w:rsidR="008C0DFC">
        <w:rPr>
          <w:rFonts w:ascii="Times New Roman" w:hAnsi="Times New Roman"/>
          <w:sz w:val="24"/>
        </w:rPr>
        <w:t>de l</w:t>
      </w:r>
      <w:r w:rsidR="00B0065F">
        <w:rPr>
          <w:rFonts w:ascii="Times New Roman" w:hAnsi="Times New Roman"/>
          <w:sz w:val="24"/>
        </w:rPr>
        <w:t>’</w:t>
      </w:r>
      <w:r w:rsidR="008C0DFC">
        <w:rPr>
          <w:rFonts w:ascii="Times New Roman" w:hAnsi="Times New Roman"/>
          <w:sz w:val="24"/>
        </w:rPr>
        <w:t>union de l</w:t>
      </w:r>
      <w:r w:rsidR="00B0065F">
        <w:rPr>
          <w:rFonts w:ascii="Times New Roman" w:hAnsi="Times New Roman"/>
          <w:sz w:val="24"/>
        </w:rPr>
        <w:t>’</w:t>
      </w:r>
      <w:r w:rsidR="008C0DFC">
        <w:rPr>
          <w:rFonts w:ascii="Times New Roman" w:hAnsi="Times New Roman"/>
          <w:sz w:val="24"/>
        </w:rPr>
        <w:t>énergie</w:t>
      </w:r>
      <w:r w:rsidR="00037047">
        <w:rPr>
          <w:rFonts w:ascii="Times New Roman" w:hAnsi="Times New Roman"/>
          <w:sz w:val="24"/>
        </w:rPr>
        <w:t>, des possibilités qu</w:t>
      </w:r>
      <w:r w:rsidR="00B0065F">
        <w:rPr>
          <w:rFonts w:ascii="Times New Roman" w:hAnsi="Times New Roman"/>
          <w:sz w:val="24"/>
        </w:rPr>
        <w:t>’</w:t>
      </w:r>
      <w:r w:rsidR="00037047">
        <w:rPr>
          <w:rFonts w:ascii="Times New Roman" w:hAnsi="Times New Roman"/>
          <w:sz w:val="24"/>
        </w:rPr>
        <w:t>elle offre mais aussi des menaces qui pèsent sur elle,</w:t>
      </w:r>
      <w:r w:rsidR="008C0DFC">
        <w:rPr>
          <w:rFonts w:ascii="Times New Roman" w:hAnsi="Times New Roman"/>
          <w:sz w:val="24"/>
        </w:rPr>
        <w:t xml:space="preserve"> comme le montrent les fiches pays accompagnant le présent document, qui ont été validées avec les États membres à la suite de discussions bilatérales</w:t>
      </w:r>
      <w:r w:rsidR="008C0DFC">
        <w:rPr>
          <w:rStyle w:val="FootnoteReference"/>
          <w:rFonts w:ascii="Times New Roman" w:hAnsi="Times New Roman"/>
          <w:sz w:val="24"/>
        </w:rPr>
        <w:footnoteReference w:id="35"/>
      </w:r>
      <w:r w:rsidR="008C0DFC">
        <w:rPr>
          <w:rFonts w:ascii="Times New Roman" w:hAnsi="Times New Roman"/>
          <w:sz w:val="24"/>
        </w:rPr>
        <w:t>. Il a aussi débouché sur la méthodologie proposée concernant les indicateurs clés, également jointe au présent état de l</w:t>
      </w:r>
      <w:r w:rsidR="00B0065F">
        <w:rPr>
          <w:rFonts w:ascii="Times New Roman" w:hAnsi="Times New Roman"/>
          <w:sz w:val="24"/>
        </w:rPr>
        <w:t>’</w:t>
      </w:r>
      <w:r w:rsidR="008C0DFC">
        <w:rPr>
          <w:rFonts w:ascii="Times New Roman" w:hAnsi="Times New Roman"/>
          <w:sz w:val="24"/>
        </w:rPr>
        <w:t>union de l</w:t>
      </w:r>
      <w:r w:rsidR="00B0065F">
        <w:rPr>
          <w:rFonts w:ascii="Times New Roman" w:hAnsi="Times New Roman"/>
          <w:sz w:val="24"/>
        </w:rPr>
        <w:t>’</w:t>
      </w:r>
      <w:r w:rsidR="008C0DFC">
        <w:rPr>
          <w:rFonts w:ascii="Times New Roman" w:hAnsi="Times New Roman"/>
          <w:sz w:val="24"/>
        </w:rPr>
        <w:t>énergie</w:t>
      </w:r>
      <w:r w:rsidR="008C0DFC">
        <w:rPr>
          <w:rStyle w:val="FootnoteReference"/>
          <w:rFonts w:ascii="Times New Roman" w:hAnsi="Times New Roman"/>
          <w:sz w:val="24"/>
        </w:rPr>
        <w:footnoteReference w:id="36"/>
      </w:r>
      <w:r w:rsidR="008C0DFC">
        <w:rPr>
          <w:rFonts w:ascii="Times New Roman" w:hAnsi="Times New Roman"/>
          <w:sz w:val="24"/>
        </w:rPr>
        <w:t xml:space="preserve">. Ce document de travail des services </w:t>
      </w:r>
      <w:r w:rsidR="00037047">
        <w:rPr>
          <w:rFonts w:ascii="Times New Roman" w:hAnsi="Times New Roman"/>
          <w:sz w:val="24"/>
        </w:rPr>
        <w:t xml:space="preserve">de la Commission </w:t>
      </w:r>
      <w:r w:rsidR="008C0DFC">
        <w:rPr>
          <w:rFonts w:ascii="Times New Roman" w:hAnsi="Times New Roman"/>
          <w:sz w:val="24"/>
        </w:rPr>
        <w:t>utilise ces premiers indicateurs clés pour décrire, dans une perspective comparative au niveau de l</w:t>
      </w:r>
      <w:r w:rsidR="00B0065F">
        <w:rPr>
          <w:rFonts w:ascii="Times New Roman" w:hAnsi="Times New Roman"/>
          <w:sz w:val="24"/>
        </w:rPr>
        <w:t>’</w:t>
      </w:r>
      <w:r w:rsidR="008C0DFC">
        <w:rPr>
          <w:rFonts w:ascii="Times New Roman" w:hAnsi="Times New Roman"/>
          <w:sz w:val="24"/>
        </w:rPr>
        <w:t>UE, la situation des cinq dimensions de l</w:t>
      </w:r>
      <w:r w:rsidR="00B0065F">
        <w:rPr>
          <w:rFonts w:ascii="Times New Roman" w:hAnsi="Times New Roman"/>
          <w:sz w:val="24"/>
        </w:rPr>
        <w:t>’</w:t>
      </w:r>
      <w:r w:rsidR="008C0DFC">
        <w:rPr>
          <w:rFonts w:ascii="Times New Roman" w:hAnsi="Times New Roman"/>
          <w:sz w:val="24"/>
        </w:rPr>
        <w:t>union de l</w:t>
      </w:r>
      <w:r w:rsidR="00B0065F">
        <w:rPr>
          <w:rFonts w:ascii="Times New Roman" w:hAnsi="Times New Roman"/>
          <w:sz w:val="24"/>
        </w:rPr>
        <w:t>’</w:t>
      </w:r>
      <w:r w:rsidR="008C0DFC">
        <w:rPr>
          <w:rFonts w:ascii="Times New Roman" w:hAnsi="Times New Roman"/>
          <w:sz w:val="24"/>
        </w:rPr>
        <w:t>énergie. Les indicateurs clés seront utilisés à l</w:t>
      </w:r>
      <w:r w:rsidR="00B0065F">
        <w:rPr>
          <w:rFonts w:ascii="Times New Roman" w:hAnsi="Times New Roman"/>
          <w:sz w:val="24"/>
        </w:rPr>
        <w:t>’</w:t>
      </w:r>
      <w:r w:rsidR="008C0DFC">
        <w:rPr>
          <w:rFonts w:ascii="Times New Roman" w:hAnsi="Times New Roman"/>
          <w:sz w:val="24"/>
        </w:rPr>
        <w:t>avenir pour mesurer et suivre les progrès réalisés dans la mise en œuvre de l</w:t>
      </w:r>
      <w:r w:rsidR="00B0065F">
        <w:rPr>
          <w:rFonts w:ascii="Times New Roman" w:hAnsi="Times New Roman"/>
          <w:sz w:val="24"/>
        </w:rPr>
        <w:t>’</w:t>
      </w:r>
      <w:r w:rsidR="008C0DFC">
        <w:rPr>
          <w:rFonts w:ascii="Times New Roman" w:hAnsi="Times New Roman"/>
          <w:sz w:val="24"/>
        </w:rPr>
        <w:t>union de l</w:t>
      </w:r>
      <w:r w:rsidR="00B0065F">
        <w:rPr>
          <w:rFonts w:ascii="Times New Roman" w:hAnsi="Times New Roman"/>
          <w:sz w:val="24"/>
        </w:rPr>
        <w:t>’</w:t>
      </w:r>
      <w:r w:rsidR="008C0DFC">
        <w:rPr>
          <w:rFonts w:ascii="Times New Roman" w:hAnsi="Times New Roman"/>
          <w:sz w:val="24"/>
        </w:rPr>
        <w:t>énergie.</w:t>
      </w:r>
    </w:p>
    <w:p w:rsidR="00097C2F" w:rsidRDefault="008C0DFC">
      <w:pPr>
        <w:spacing w:after="240" w:line="240" w:lineRule="auto"/>
        <w:jc w:val="both"/>
        <w:rPr>
          <w:rFonts w:ascii="Times New Roman" w:hAnsi="Times New Roman"/>
          <w:sz w:val="24"/>
          <w:szCs w:val="24"/>
        </w:rPr>
      </w:pPr>
      <w:r>
        <w:rPr>
          <w:rFonts w:ascii="Times New Roman" w:hAnsi="Times New Roman"/>
          <w:sz w:val="24"/>
        </w:rPr>
        <w:t>La transition énergétique requiert une planification stratégique. À l</w:t>
      </w:r>
      <w:r w:rsidR="00B0065F">
        <w:rPr>
          <w:rFonts w:ascii="Times New Roman" w:hAnsi="Times New Roman"/>
          <w:sz w:val="24"/>
        </w:rPr>
        <w:t>’</w:t>
      </w:r>
      <w:r>
        <w:rPr>
          <w:rFonts w:ascii="Times New Roman" w:hAnsi="Times New Roman"/>
          <w:sz w:val="24"/>
        </w:rPr>
        <w:t>heure actuelle, environ un tiers seulement des États membres se sont dotés de stratégies globales en matière de climat et d</w:t>
      </w:r>
      <w:r w:rsidR="00B0065F">
        <w:rPr>
          <w:rFonts w:ascii="Times New Roman" w:hAnsi="Times New Roman"/>
          <w:sz w:val="24"/>
        </w:rPr>
        <w:t>’</w:t>
      </w:r>
      <w:r>
        <w:rPr>
          <w:rFonts w:ascii="Times New Roman" w:hAnsi="Times New Roman"/>
          <w:sz w:val="24"/>
        </w:rPr>
        <w:t>énergie pour l</w:t>
      </w:r>
      <w:r w:rsidR="00B0065F">
        <w:rPr>
          <w:rFonts w:ascii="Times New Roman" w:hAnsi="Times New Roman"/>
          <w:sz w:val="24"/>
        </w:rPr>
        <w:t>’</w:t>
      </w:r>
      <w:r>
        <w:rPr>
          <w:rFonts w:ascii="Times New Roman" w:hAnsi="Times New Roman"/>
          <w:sz w:val="24"/>
        </w:rPr>
        <w:t xml:space="preserve">après </w:t>
      </w:r>
      <w:r w:rsidRPr="005A0F82">
        <w:rPr>
          <w:rFonts w:ascii="Times New Roman" w:hAnsi="Times New Roman"/>
          <w:sz w:val="24"/>
        </w:rPr>
        <w:t>2020</w:t>
      </w:r>
      <w:r>
        <w:rPr>
          <w:rFonts w:ascii="Times New Roman" w:hAnsi="Times New Roman"/>
          <w:sz w:val="24"/>
        </w:rPr>
        <w:t>, incluant des objectifs indicatifs nationaux en ce qui concerne les émissions de gaz à effet de serre, les énergies renouvelables et l</w:t>
      </w:r>
      <w:r w:rsidR="00B0065F">
        <w:rPr>
          <w:rFonts w:ascii="Times New Roman" w:hAnsi="Times New Roman"/>
          <w:sz w:val="24"/>
        </w:rPr>
        <w:t>’</w:t>
      </w:r>
      <w:r>
        <w:rPr>
          <w:rFonts w:ascii="Times New Roman" w:hAnsi="Times New Roman"/>
          <w:sz w:val="24"/>
        </w:rPr>
        <w:t>efficacité énergétique. C</w:t>
      </w:r>
      <w:r w:rsidR="00B0065F">
        <w:rPr>
          <w:rFonts w:ascii="Times New Roman" w:hAnsi="Times New Roman"/>
          <w:sz w:val="24"/>
        </w:rPr>
        <w:t>’</w:t>
      </w:r>
      <w:r>
        <w:rPr>
          <w:rFonts w:ascii="Times New Roman" w:hAnsi="Times New Roman"/>
          <w:sz w:val="24"/>
        </w:rPr>
        <w:t>est un grave sujet de préoccupation, compte tenu de la nécessité d</w:t>
      </w:r>
      <w:r w:rsidR="00B0065F">
        <w:rPr>
          <w:rFonts w:ascii="Times New Roman" w:hAnsi="Times New Roman"/>
          <w:sz w:val="24"/>
        </w:rPr>
        <w:t>’</w:t>
      </w:r>
      <w:r>
        <w:rPr>
          <w:rFonts w:ascii="Times New Roman" w:hAnsi="Times New Roman"/>
          <w:sz w:val="24"/>
        </w:rPr>
        <w:t>établir un cadre prévisible pour les investissements dans des domaines où une planification à long terme est souvent indispensable.</w:t>
      </w:r>
    </w:p>
    <w:p w:rsidR="00097C2F" w:rsidRDefault="008C0DFC">
      <w:pPr>
        <w:spacing w:after="240" w:line="240" w:lineRule="auto"/>
        <w:jc w:val="both"/>
        <w:rPr>
          <w:rFonts w:ascii="Times New Roman" w:hAnsi="Times New Roman"/>
          <w:i/>
          <w:sz w:val="24"/>
          <w:szCs w:val="24"/>
        </w:rPr>
      </w:pPr>
      <w:r>
        <w:rPr>
          <w:rFonts w:ascii="Times New Roman" w:hAnsi="Times New Roman"/>
          <w:i/>
          <w:sz w:val="24"/>
        </w:rPr>
        <w:t>Étapes ultérieures</w:t>
      </w:r>
    </w:p>
    <w:p w:rsidR="00097C2F" w:rsidRDefault="00037047">
      <w:pPr>
        <w:spacing w:after="240" w:line="240" w:lineRule="auto"/>
        <w:jc w:val="both"/>
        <w:rPr>
          <w:rFonts w:ascii="Times New Roman" w:hAnsi="Times New Roman"/>
          <w:sz w:val="24"/>
          <w:szCs w:val="24"/>
        </w:rPr>
      </w:pPr>
      <w:r>
        <w:rPr>
          <w:rFonts w:ascii="Times New Roman" w:hAnsi="Times New Roman"/>
          <w:sz w:val="24"/>
        </w:rPr>
        <w:t>L</w:t>
      </w:r>
      <w:r w:rsidR="008C0DFC">
        <w:rPr>
          <w:rFonts w:ascii="Times New Roman" w:hAnsi="Times New Roman"/>
          <w:sz w:val="24"/>
        </w:rPr>
        <w:t>es plans nationaux intégrés en matière d</w:t>
      </w:r>
      <w:r w:rsidR="00B0065F">
        <w:rPr>
          <w:rFonts w:ascii="Times New Roman" w:hAnsi="Times New Roman"/>
          <w:sz w:val="24"/>
        </w:rPr>
        <w:t>’</w:t>
      </w:r>
      <w:r w:rsidR="008C0DFC">
        <w:rPr>
          <w:rFonts w:ascii="Times New Roman" w:hAnsi="Times New Roman"/>
          <w:sz w:val="24"/>
        </w:rPr>
        <w:t>énergie et de climat, portant sur les cinq dimensions de l</w:t>
      </w:r>
      <w:r w:rsidR="00B0065F">
        <w:rPr>
          <w:rFonts w:ascii="Times New Roman" w:hAnsi="Times New Roman"/>
          <w:sz w:val="24"/>
        </w:rPr>
        <w:t>’</w:t>
      </w:r>
      <w:r w:rsidR="008C0DFC">
        <w:rPr>
          <w:rFonts w:ascii="Times New Roman" w:hAnsi="Times New Roman"/>
          <w:sz w:val="24"/>
        </w:rPr>
        <w:t>union de l</w:t>
      </w:r>
      <w:r w:rsidR="00B0065F">
        <w:rPr>
          <w:rFonts w:ascii="Times New Roman" w:hAnsi="Times New Roman"/>
          <w:sz w:val="24"/>
        </w:rPr>
        <w:t>’</w:t>
      </w:r>
      <w:r w:rsidR="008C0DFC">
        <w:rPr>
          <w:rFonts w:ascii="Times New Roman" w:hAnsi="Times New Roman"/>
          <w:sz w:val="24"/>
        </w:rPr>
        <w:t xml:space="preserve">énergie, sont des outils nécessaires pour </w:t>
      </w:r>
      <w:r w:rsidR="00322E18">
        <w:rPr>
          <w:rFonts w:ascii="Times New Roman" w:hAnsi="Times New Roman"/>
          <w:sz w:val="24"/>
        </w:rPr>
        <w:t xml:space="preserve">renforcer la </w:t>
      </w:r>
      <w:r w:rsidR="008C0DFC">
        <w:rPr>
          <w:rFonts w:ascii="Times New Roman" w:hAnsi="Times New Roman"/>
          <w:sz w:val="24"/>
        </w:rPr>
        <w:t xml:space="preserve">planification stratégique. Ils seront indispensables pour atteindre les objectifs de </w:t>
      </w:r>
      <w:r w:rsidR="008C0DFC" w:rsidRPr="005A0F82">
        <w:rPr>
          <w:rFonts w:ascii="Times New Roman" w:hAnsi="Times New Roman"/>
          <w:sz w:val="24"/>
        </w:rPr>
        <w:t>2030</w:t>
      </w:r>
      <w:r w:rsidR="008C0DFC">
        <w:rPr>
          <w:rFonts w:ascii="Times New Roman" w:hAnsi="Times New Roman"/>
          <w:sz w:val="24"/>
        </w:rPr>
        <w:t>. Le document d</w:t>
      </w:r>
      <w:r w:rsidR="00B0065F">
        <w:rPr>
          <w:rFonts w:ascii="Times New Roman" w:hAnsi="Times New Roman"/>
          <w:sz w:val="24"/>
        </w:rPr>
        <w:t>’</w:t>
      </w:r>
      <w:r w:rsidR="008C0DFC">
        <w:rPr>
          <w:rFonts w:ascii="Times New Roman" w:hAnsi="Times New Roman"/>
          <w:sz w:val="24"/>
        </w:rPr>
        <w:t>orientation annexé au présent état de l</w:t>
      </w:r>
      <w:r w:rsidR="00B0065F">
        <w:rPr>
          <w:rFonts w:ascii="Times New Roman" w:hAnsi="Times New Roman"/>
          <w:sz w:val="24"/>
        </w:rPr>
        <w:t>’</w:t>
      </w:r>
      <w:r w:rsidR="008C0DFC">
        <w:rPr>
          <w:rFonts w:ascii="Times New Roman" w:hAnsi="Times New Roman"/>
          <w:sz w:val="24"/>
        </w:rPr>
        <w:t xml:space="preserve">union constitue la base sur laquelle les États membres peuvent commencer à élaborer leurs plans pour la période couverte par le cadre </w:t>
      </w:r>
      <w:r w:rsidR="008C0DFC" w:rsidRPr="005A0F82">
        <w:rPr>
          <w:rFonts w:ascii="Times New Roman" w:hAnsi="Times New Roman"/>
          <w:sz w:val="24"/>
        </w:rPr>
        <w:t>2030</w:t>
      </w:r>
      <w:r w:rsidR="008C0DFC">
        <w:rPr>
          <w:rFonts w:ascii="Times New Roman" w:hAnsi="Times New Roman"/>
          <w:sz w:val="24"/>
        </w:rPr>
        <w:t>.</w:t>
      </w:r>
    </w:p>
    <w:p w:rsidR="00097C2F" w:rsidRDefault="008C0DFC">
      <w:pPr>
        <w:spacing w:after="240" w:line="240" w:lineRule="auto"/>
        <w:jc w:val="both"/>
        <w:rPr>
          <w:rFonts w:ascii="Times New Roman" w:hAnsi="Times New Roman"/>
          <w:sz w:val="24"/>
          <w:szCs w:val="24"/>
        </w:rPr>
      </w:pPr>
      <w:r>
        <w:rPr>
          <w:rFonts w:ascii="Times New Roman" w:hAnsi="Times New Roman"/>
          <w:sz w:val="24"/>
        </w:rPr>
        <w:t xml:space="preserve">Les travaux préparatoires devraient être entamés sans retard, afin que les investisseurs et les promoteurs de projets bénéficient de la sécurité et de la prévisibilité requises dans un environnement en mutation rapide. Les États membres devraient par conséquent présenter leurs projets de plans nationaux en </w:t>
      </w:r>
      <w:r w:rsidRPr="005A0F82">
        <w:rPr>
          <w:rFonts w:ascii="Times New Roman" w:hAnsi="Times New Roman"/>
          <w:sz w:val="24"/>
        </w:rPr>
        <w:t>2017</w:t>
      </w:r>
      <w:r>
        <w:rPr>
          <w:rFonts w:ascii="Times New Roman" w:hAnsi="Times New Roman"/>
          <w:sz w:val="24"/>
        </w:rPr>
        <w:t xml:space="preserve">, en tant que base de discussion; le but est de </w:t>
      </w:r>
      <w:r>
        <w:rPr>
          <w:rFonts w:ascii="Times New Roman" w:hAnsi="Times New Roman"/>
          <w:sz w:val="24"/>
        </w:rPr>
        <w:lastRenderedPageBreak/>
        <w:t xml:space="preserve">parachever ces plans nationaux en </w:t>
      </w:r>
      <w:r w:rsidRPr="005A0F82">
        <w:rPr>
          <w:rFonts w:ascii="Times New Roman" w:hAnsi="Times New Roman"/>
          <w:sz w:val="24"/>
        </w:rPr>
        <w:t>2018</w:t>
      </w:r>
      <w:r>
        <w:rPr>
          <w:rFonts w:ascii="Times New Roman" w:hAnsi="Times New Roman"/>
          <w:sz w:val="24"/>
        </w:rPr>
        <w:t>, de manière à ce qu</w:t>
      </w:r>
      <w:r w:rsidR="00B0065F">
        <w:rPr>
          <w:rFonts w:ascii="Times New Roman" w:hAnsi="Times New Roman"/>
          <w:sz w:val="24"/>
        </w:rPr>
        <w:t>’</w:t>
      </w:r>
      <w:r>
        <w:rPr>
          <w:rFonts w:ascii="Times New Roman" w:hAnsi="Times New Roman"/>
          <w:sz w:val="24"/>
        </w:rPr>
        <w:t xml:space="preserve">ils soient opérationnels bien avant </w:t>
      </w:r>
      <w:r w:rsidRPr="005A0F82">
        <w:rPr>
          <w:rFonts w:ascii="Times New Roman" w:hAnsi="Times New Roman"/>
          <w:sz w:val="24"/>
        </w:rPr>
        <w:t>2021</w:t>
      </w:r>
      <w:r>
        <w:rPr>
          <w:rFonts w:ascii="Times New Roman" w:hAnsi="Times New Roman"/>
          <w:sz w:val="24"/>
        </w:rPr>
        <w:t>.</w:t>
      </w:r>
    </w:p>
    <w:p w:rsidR="00097C2F" w:rsidRDefault="008C0DFC">
      <w:pPr>
        <w:spacing w:after="240" w:line="240" w:lineRule="auto"/>
        <w:jc w:val="both"/>
        <w:rPr>
          <w:rFonts w:ascii="Times New Roman" w:hAnsi="Times New Roman"/>
          <w:sz w:val="24"/>
          <w:szCs w:val="24"/>
        </w:rPr>
      </w:pPr>
      <w:r>
        <w:rPr>
          <w:rFonts w:ascii="Times New Roman" w:hAnsi="Times New Roman"/>
          <w:sz w:val="24"/>
        </w:rPr>
        <w:t>Les plans nationaux doivent aussi tenir compte des résultats de</w:t>
      </w:r>
      <w:r w:rsidR="00037047">
        <w:rPr>
          <w:rFonts w:ascii="Times New Roman" w:hAnsi="Times New Roman"/>
          <w:sz w:val="24"/>
        </w:rPr>
        <w:t>s</w:t>
      </w:r>
      <w:r>
        <w:rPr>
          <w:rFonts w:ascii="Times New Roman" w:hAnsi="Times New Roman"/>
          <w:sz w:val="24"/>
        </w:rPr>
        <w:t xml:space="preserve"> consultations régionales dans les domaines où une coopération renforcée avec les États membres voisins serait profitable. En </w:t>
      </w:r>
      <w:r w:rsidRPr="005A0F82">
        <w:rPr>
          <w:rFonts w:ascii="Times New Roman" w:hAnsi="Times New Roman"/>
          <w:sz w:val="24"/>
        </w:rPr>
        <w:t>2016</w:t>
      </w:r>
      <w:r>
        <w:rPr>
          <w:rFonts w:ascii="Times New Roman" w:hAnsi="Times New Roman"/>
          <w:sz w:val="24"/>
        </w:rPr>
        <w:t>, la Commission a l</w:t>
      </w:r>
      <w:r w:rsidR="00B0065F">
        <w:rPr>
          <w:rFonts w:ascii="Times New Roman" w:hAnsi="Times New Roman"/>
          <w:sz w:val="24"/>
        </w:rPr>
        <w:t>’</w:t>
      </w:r>
      <w:r>
        <w:rPr>
          <w:rFonts w:ascii="Times New Roman" w:hAnsi="Times New Roman"/>
          <w:sz w:val="24"/>
        </w:rPr>
        <w:t>intention de présenter des orientations sur la manière de renforcer la coopération régionale au sens large, et sur ce qu</w:t>
      </w:r>
      <w:r w:rsidR="00B0065F">
        <w:rPr>
          <w:rFonts w:ascii="Times New Roman" w:hAnsi="Times New Roman"/>
          <w:sz w:val="24"/>
        </w:rPr>
        <w:t>’</w:t>
      </w:r>
      <w:r w:rsidR="00037047">
        <w:rPr>
          <w:rFonts w:ascii="Times New Roman" w:hAnsi="Times New Roman"/>
          <w:sz w:val="24"/>
        </w:rPr>
        <w:t xml:space="preserve">elle </w:t>
      </w:r>
      <w:r>
        <w:rPr>
          <w:rFonts w:ascii="Times New Roman" w:hAnsi="Times New Roman"/>
          <w:sz w:val="24"/>
        </w:rPr>
        <w:t>peut faire pour faciliter des approches régionales.</w:t>
      </w:r>
    </w:p>
    <w:p w:rsidR="00097C2F" w:rsidRDefault="008C0DFC">
      <w:pPr>
        <w:spacing w:after="240" w:line="240" w:lineRule="auto"/>
        <w:jc w:val="both"/>
        <w:rPr>
          <w:rFonts w:ascii="Times New Roman" w:hAnsi="Times New Roman"/>
          <w:sz w:val="24"/>
          <w:szCs w:val="24"/>
        </w:rPr>
      </w:pPr>
      <w:r>
        <w:rPr>
          <w:rFonts w:ascii="Times New Roman" w:hAnsi="Times New Roman"/>
          <w:sz w:val="24"/>
        </w:rPr>
        <w:t xml:space="preserve">Pour suivre les progrès réalisés, il convient de mettre en place un système de suivi transparent fondé sur les indicateurs clés, ainsi que sur les rapports bisannuels des États membres </w:t>
      </w:r>
      <w:r w:rsidR="00322E18">
        <w:rPr>
          <w:rFonts w:ascii="Times New Roman" w:hAnsi="Times New Roman"/>
          <w:sz w:val="24"/>
        </w:rPr>
        <w:t xml:space="preserve">relatifs à </w:t>
      </w:r>
      <w:r>
        <w:rPr>
          <w:rFonts w:ascii="Times New Roman" w:hAnsi="Times New Roman"/>
          <w:sz w:val="24"/>
        </w:rPr>
        <w:t>l</w:t>
      </w:r>
      <w:r w:rsidR="00B0065F">
        <w:rPr>
          <w:rFonts w:ascii="Times New Roman" w:hAnsi="Times New Roman"/>
          <w:sz w:val="24"/>
        </w:rPr>
        <w:t>’</w:t>
      </w:r>
      <w:r>
        <w:rPr>
          <w:rFonts w:ascii="Times New Roman" w:hAnsi="Times New Roman"/>
          <w:sz w:val="24"/>
        </w:rPr>
        <w:t>avancement de leurs plans nationaux. La Commission compte évaluer chaque année les progrès accomplis collectivement au niveau de l</w:t>
      </w:r>
      <w:r w:rsidR="00B0065F">
        <w:rPr>
          <w:rFonts w:ascii="Times New Roman" w:hAnsi="Times New Roman"/>
          <w:sz w:val="24"/>
        </w:rPr>
        <w:t>’</w:t>
      </w:r>
      <w:r>
        <w:rPr>
          <w:rFonts w:ascii="Times New Roman" w:hAnsi="Times New Roman"/>
          <w:sz w:val="24"/>
        </w:rPr>
        <w:t>U</w:t>
      </w:r>
      <w:r w:rsidR="00037047">
        <w:rPr>
          <w:rFonts w:ascii="Times New Roman" w:hAnsi="Times New Roman"/>
          <w:sz w:val="24"/>
        </w:rPr>
        <w:t>E</w:t>
      </w:r>
      <w:r>
        <w:rPr>
          <w:rFonts w:ascii="Times New Roman" w:hAnsi="Times New Roman"/>
          <w:sz w:val="24"/>
        </w:rPr>
        <w:t xml:space="preserve"> dans son état de l</w:t>
      </w:r>
      <w:r w:rsidR="00B0065F">
        <w:rPr>
          <w:rFonts w:ascii="Times New Roman" w:hAnsi="Times New Roman"/>
          <w:sz w:val="24"/>
        </w:rPr>
        <w:t>’</w:t>
      </w:r>
      <w:r>
        <w:rPr>
          <w:rFonts w:ascii="Times New Roman" w:hAnsi="Times New Roman"/>
          <w:sz w:val="24"/>
        </w:rPr>
        <w:t>union de l</w:t>
      </w:r>
      <w:r w:rsidR="00B0065F">
        <w:rPr>
          <w:rFonts w:ascii="Times New Roman" w:hAnsi="Times New Roman"/>
          <w:sz w:val="24"/>
        </w:rPr>
        <w:t>’</w:t>
      </w:r>
      <w:r>
        <w:rPr>
          <w:rFonts w:ascii="Times New Roman" w:hAnsi="Times New Roman"/>
          <w:sz w:val="24"/>
        </w:rPr>
        <w:t xml:space="preserve">énergie et, au besoin, proposer des actions et mesures publiques pour garantir la mise en œuvre des objectifs de </w:t>
      </w:r>
      <w:r w:rsidR="00037047">
        <w:rPr>
          <w:rFonts w:ascii="Times New Roman" w:hAnsi="Times New Roman"/>
          <w:sz w:val="24"/>
        </w:rPr>
        <w:t>l</w:t>
      </w:r>
      <w:r w:rsidR="00B0065F">
        <w:rPr>
          <w:rFonts w:ascii="Times New Roman" w:hAnsi="Times New Roman"/>
          <w:sz w:val="24"/>
        </w:rPr>
        <w:t>’</w:t>
      </w:r>
      <w:r w:rsidR="00037047">
        <w:rPr>
          <w:rFonts w:ascii="Times New Roman" w:hAnsi="Times New Roman"/>
          <w:sz w:val="24"/>
        </w:rPr>
        <w:t xml:space="preserve">union </w:t>
      </w:r>
      <w:r>
        <w:rPr>
          <w:rFonts w:ascii="Times New Roman" w:hAnsi="Times New Roman"/>
          <w:sz w:val="24"/>
        </w:rPr>
        <w:t>de l</w:t>
      </w:r>
      <w:r w:rsidR="00B0065F">
        <w:rPr>
          <w:rFonts w:ascii="Times New Roman" w:hAnsi="Times New Roman"/>
          <w:sz w:val="24"/>
        </w:rPr>
        <w:t>’</w:t>
      </w:r>
      <w:r>
        <w:rPr>
          <w:rFonts w:ascii="Times New Roman" w:hAnsi="Times New Roman"/>
          <w:sz w:val="24"/>
        </w:rPr>
        <w:t>énergie.</w:t>
      </w:r>
    </w:p>
    <w:p w:rsidR="00097C2F" w:rsidRDefault="008C0DFC">
      <w:pPr>
        <w:spacing w:after="240" w:line="240" w:lineRule="auto"/>
        <w:jc w:val="both"/>
        <w:rPr>
          <w:rFonts w:ascii="Times New Roman" w:hAnsi="Times New Roman"/>
          <w:sz w:val="24"/>
          <w:szCs w:val="24"/>
        </w:rPr>
      </w:pPr>
      <w:r>
        <w:rPr>
          <w:rFonts w:ascii="Times New Roman" w:hAnsi="Times New Roman"/>
          <w:sz w:val="24"/>
        </w:rPr>
        <w:t>En se fondant notamment sur un bilan de qualité des obligations actuelles en matière d</w:t>
      </w:r>
      <w:r w:rsidR="00322E18">
        <w:rPr>
          <w:rFonts w:ascii="Times New Roman" w:hAnsi="Times New Roman"/>
          <w:sz w:val="24"/>
        </w:rPr>
        <w:t>e présentation de rapports</w:t>
      </w:r>
      <w:r>
        <w:rPr>
          <w:rStyle w:val="FootnoteReference"/>
          <w:rFonts w:ascii="Times New Roman" w:hAnsi="Times New Roman"/>
          <w:sz w:val="24"/>
        </w:rPr>
        <w:footnoteReference w:id="37"/>
      </w:r>
      <w:r>
        <w:rPr>
          <w:rFonts w:ascii="Times New Roman" w:hAnsi="Times New Roman"/>
          <w:sz w:val="24"/>
        </w:rPr>
        <w:t xml:space="preserve">, et sur les discussions en cours avec les États membres, le Parlement européen et les parties intéressées, la Commission prévoit de déposer en </w:t>
      </w:r>
      <w:r w:rsidRPr="005A0F82">
        <w:rPr>
          <w:rFonts w:ascii="Times New Roman" w:hAnsi="Times New Roman"/>
          <w:sz w:val="24"/>
        </w:rPr>
        <w:t>2016</w:t>
      </w:r>
      <w:r>
        <w:rPr>
          <w:rFonts w:ascii="Times New Roman" w:hAnsi="Times New Roman"/>
          <w:sz w:val="24"/>
        </w:rPr>
        <w:t xml:space="preserve"> une proposition visant à rationaliser les obligations </w:t>
      </w:r>
      <w:r w:rsidR="00D96A6A">
        <w:rPr>
          <w:rFonts w:ascii="Times New Roman" w:hAnsi="Times New Roman"/>
          <w:sz w:val="24"/>
        </w:rPr>
        <w:t xml:space="preserve">incombant aux États membres et à elle-même </w:t>
      </w:r>
      <w:r w:rsidR="00037047">
        <w:rPr>
          <w:rFonts w:ascii="Times New Roman" w:hAnsi="Times New Roman"/>
          <w:sz w:val="24"/>
        </w:rPr>
        <w:t xml:space="preserve">en matière </w:t>
      </w:r>
      <w:r>
        <w:rPr>
          <w:rFonts w:ascii="Times New Roman" w:hAnsi="Times New Roman"/>
          <w:sz w:val="24"/>
        </w:rPr>
        <w:t xml:space="preserve">de planification et de rapports </w:t>
      </w:r>
      <w:r w:rsidR="00D96A6A">
        <w:rPr>
          <w:rFonts w:ascii="Times New Roman" w:hAnsi="Times New Roman"/>
          <w:sz w:val="24"/>
        </w:rPr>
        <w:t>concernant les mesures prises dans le domaine de l</w:t>
      </w:r>
      <w:r w:rsidR="00B0065F">
        <w:rPr>
          <w:rFonts w:ascii="Times New Roman" w:hAnsi="Times New Roman"/>
          <w:sz w:val="24"/>
        </w:rPr>
        <w:t>’</w:t>
      </w:r>
      <w:r w:rsidR="00D96A6A">
        <w:rPr>
          <w:rFonts w:ascii="Times New Roman" w:hAnsi="Times New Roman"/>
          <w:sz w:val="24"/>
        </w:rPr>
        <w:t xml:space="preserve">énergie et du </w:t>
      </w:r>
      <w:r w:rsidR="00ED5241">
        <w:rPr>
          <w:rFonts w:ascii="Times New Roman" w:hAnsi="Times New Roman"/>
          <w:sz w:val="24"/>
        </w:rPr>
        <w:t xml:space="preserve">climat, </w:t>
      </w:r>
      <w:r>
        <w:rPr>
          <w:rFonts w:ascii="Times New Roman" w:hAnsi="Times New Roman"/>
          <w:sz w:val="24"/>
        </w:rPr>
        <w:t>afin d</w:t>
      </w:r>
      <w:r w:rsidR="00B0065F">
        <w:rPr>
          <w:rFonts w:ascii="Times New Roman" w:hAnsi="Times New Roman"/>
          <w:sz w:val="24"/>
        </w:rPr>
        <w:t>’</w:t>
      </w:r>
      <w:r>
        <w:rPr>
          <w:rFonts w:ascii="Times New Roman" w:hAnsi="Times New Roman"/>
          <w:sz w:val="24"/>
        </w:rPr>
        <w:t xml:space="preserve">alléger dès que possible les contraintes administratives inutiles, conformément au programme «Mieux légiférer», et </w:t>
      </w:r>
      <w:r w:rsidR="00322E18">
        <w:rPr>
          <w:rFonts w:ascii="Times New Roman" w:hAnsi="Times New Roman"/>
          <w:sz w:val="24"/>
        </w:rPr>
        <w:t>d</w:t>
      </w:r>
      <w:r w:rsidR="00B0065F">
        <w:rPr>
          <w:rFonts w:ascii="Times New Roman" w:hAnsi="Times New Roman"/>
          <w:sz w:val="24"/>
        </w:rPr>
        <w:t>’</w:t>
      </w:r>
      <w:r>
        <w:rPr>
          <w:rFonts w:ascii="Times New Roman" w:hAnsi="Times New Roman"/>
          <w:sz w:val="24"/>
        </w:rPr>
        <w:t xml:space="preserve">harmoniser les exigences </w:t>
      </w:r>
      <w:r w:rsidR="00037047">
        <w:rPr>
          <w:rFonts w:ascii="Times New Roman" w:hAnsi="Times New Roman"/>
          <w:sz w:val="24"/>
        </w:rPr>
        <w:t xml:space="preserve">en matière </w:t>
      </w:r>
      <w:r>
        <w:rPr>
          <w:rFonts w:ascii="Times New Roman" w:hAnsi="Times New Roman"/>
          <w:sz w:val="24"/>
        </w:rPr>
        <w:t xml:space="preserve">de planification et </w:t>
      </w:r>
      <w:r w:rsidR="00322E18">
        <w:rPr>
          <w:rFonts w:ascii="Times New Roman" w:hAnsi="Times New Roman"/>
          <w:sz w:val="24"/>
        </w:rPr>
        <w:t xml:space="preserve">de </w:t>
      </w:r>
      <w:r>
        <w:rPr>
          <w:rFonts w:ascii="Times New Roman" w:hAnsi="Times New Roman"/>
          <w:sz w:val="24"/>
        </w:rPr>
        <w:t>rapports avec celles du cadre stratégique pour une union de l</w:t>
      </w:r>
      <w:r w:rsidR="00B0065F">
        <w:rPr>
          <w:rFonts w:ascii="Times New Roman" w:hAnsi="Times New Roman"/>
          <w:sz w:val="24"/>
        </w:rPr>
        <w:t>’</w:t>
      </w:r>
      <w:r>
        <w:rPr>
          <w:rFonts w:ascii="Times New Roman" w:hAnsi="Times New Roman"/>
          <w:sz w:val="24"/>
        </w:rPr>
        <w:t>énergie.</w:t>
      </w:r>
    </w:p>
    <w:p w:rsidR="00097C2F" w:rsidRDefault="008C0DFC">
      <w:pPr>
        <w:spacing w:after="240" w:line="240" w:lineRule="auto"/>
        <w:jc w:val="both"/>
        <w:rPr>
          <w:rFonts w:ascii="Times New Roman" w:hAnsi="Times New Roman"/>
          <w:b/>
          <w:smallCaps/>
          <w:sz w:val="24"/>
          <w:szCs w:val="24"/>
        </w:rPr>
      </w:pPr>
      <w:r w:rsidRPr="005A0F82">
        <w:rPr>
          <w:rFonts w:ascii="Times New Roman" w:hAnsi="Times New Roman"/>
          <w:b/>
          <w:smallCaps/>
          <w:sz w:val="24"/>
        </w:rPr>
        <w:t>8</w:t>
      </w:r>
      <w:r>
        <w:rPr>
          <w:rFonts w:ascii="Times New Roman" w:hAnsi="Times New Roman"/>
          <w:b/>
          <w:smallCaps/>
          <w:sz w:val="24"/>
        </w:rPr>
        <w:t xml:space="preserve">. </w:t>
      </w:r>
      <w:r>
        <w:tab/>
      </w:r>
      <w:r>
        <w:rPr>
          <w:rFonts w:ascii="Times New Roman" w:hAnsi="Times New Roman"/>
          <w:b/>
          <w:smallCaps/>
          <w:sz w:val="24"/>
        </w:rPr>
        <w:t>Conclusions et pistes pour l</w:t>
      </w:r>
      <w:r w:rsidR="00B0065F">
        <w:rPr>
          <w:rFonts w:ascii="Times New Roman" w:hAnsi="Times New Roman"/>
          <w:b/>
          <w:smallCaps/>
          <w:sz w:val="24"/>
        </w:rPr>
        <w:t>’</w:t>
      </w:r>
      <w:r>
        <w:rPr>
          <w:rFonts w:ascii="Times New Roman" w:hAnsi="Times New Roman"/>
          <w:b/>
          <w:smallCaps/>
          <w:sz w:val="24"/>
        </w:rPr>
        <w:t>avenir</w:t>
      </w:r>
    </w:p>
    <w:p w:rsidR="00097C2F" w:rsidRDefault="008C0DFC">
      <w:pPr>
        <w:spacing w:after="240" w:line="240" w:lineRule="auto"/>
        <w:jc w:val="both"/>
        <w:rPr>
          <w:rFonts w:ascii="Times New Roman" w:hAnsi="Times New Roman"/>
          <w:sz w:val="24"/>
          <w:szCs w:val="24"/>
        </w:rPr>
      </w:pPr>
      <w:r>
        <w:rPr>
          <w:rFonts w:ascii="Times New Roman" w:hAnsi="Times New Roman"/>
          <w:i/>
          <w:sz w:val="24"/>
        </w:rPr>
        <w:t>Il est essentiel de maintenir le niveau d</w:t>
      </w:r>
      <w:r w:rsidR="00B0065F">
        <w:rPr>
          <w:rFonts w:ascii="Times New Roman" w:hAnsi="Times New Roman"/>
          <w:i/>
          <w:sz w:val="24"/>
        </w:rPr>
        <w:t>’</w:t>
      </w:r>
      <w:r>
        <w:rPr>
          <w:rFonts w:ascii="Times New Roman" w:hAnsi="Times New Roman"/>
          <w:i/>
          <w:sz w:val="24"/>
        </w:rPr>
        <w:t>ambition, l</w:t>
      </w:r>
      <w:r w:rsidR="00B0065F">
        <w:rPr>
          <w:rFonts w:ascii="Times New Roman" w:hAnsi="Times New Roman"/>
          <w:i/>
          <w:sz w:val="24"/>
        </w:rPr>
        <w:t>’</w:t>
      </w:r>
      <w:r>
        <w:rPr>
          <w:rFonts w:ascii="Times New Roman" w:hAnsi="Times New Roman"/>
          <w:i/>
          <w:sz w:val="24"/>
        </w:rPr>
        <w:t>équilibre et l</w:t>
      </w:r>
      <w:r w:rsidR="00B0065F">
        <w:rPr>
          <w:rFonts w:ascii="Times New Roman" w:hAnsi="Times New Roman"/>
          <w:i/>
          <w:sz w:val="24"/>
        </w:rPr>
        <w:t>’</w:t>
      </w:r>
      <w:r>
        <w:rPr>
          <w:rFonts w:ascii="Times New Roman" w:hAnsi="Times New Roman"/>
          <w:i/>
          <w:sz w:val="24"/>
        </w:rPr>
        <w:t>élan qu</w:t>
      </w:r>
      <w:r w:rsidR="00B0065F">
        <w:rPr>
          <w:rFonts w:ascii="Times New Roman" w:hAnsi="Times New Roman"/>
          <w:i/>
          <w:sz w:val="24"/>
        </w:rPr>
        <w:t>’</w:t>
      </w:r>
      <w:r>
        <w:rPr>
          <w:rFonts w:ascii="Times New Roman" w:hAnsi="Times New Roman"/>
          <w:i/>
          <w:sz w:val="24"/>
        </w:rPr>
        <w:t xml:space="preserve">a suscités, en février </w:t>
      </w:r>
      <w:r w:rsidRPr="005A0F82">
        <w:rPr>
          <w:rFonts w:ascii="Times New Roman" w:hAnsi="Times New Roman"/>
          <w:i/>
          <w:sz w:val="24"/>
        </w:rPr>
        <w:t>2015</w:t>
      </w:r>
      <w:r>
        <w:rPr>
          <w:rFonts w:ascii="Times New Roman" w:hAnsi="Times New Roman"/>
          <w:i/>
          <w:sz w:val="24"/>
        </w:rPr>
        <w:t>, le lancement du cadre stratégique pour une union de l</w:t>
      </w:r>
      <w:r w:rsidR="00B0065F">
        <w:rPr>
          <w:rFonts w:ascii="Times New Roman" w:hAnsi="Times New Roman"/>
          <w:i/>
          <w:sz w:val="24"/>
        </w:rPr>
        <w:t>’</w:t>
      </w:r>
      <w:r>
        <w:rPr>
          <w:rFonts w:ascii="Times New Roman" w:hAnsi="Times New Roman"/>
          <w:i/>
          <w:sz w:val="24"/>
        </w:rPr>
        <w:t xml:space="preserve">énergie. </w:t>
      </w:r>
      <w:r w:rsidR="00037047">
        <w:rPr>
          <w:rFonts w:ascii="Times New Roman" w:hAnsi="Times New Roman"/>
          <w:i/>
          <w:sz w:val="24"/>
        </w:rPr>
        <w:t>L</w:t>
      </w:r>
      <w:r w:rsidR="00B0065F">
        <w:rPr>
          <w:rFonts w:ascii="Times New Roman" w:hAnsi="Times New Roman"/>
          <w:i/>
          <w:sz w:val="24"/>
        </w:rPr>
        <w:t>’</w:t>
      </w:r>
      <w:r w:rsidR="00037047">
        <w:rPr>
          <w:rFonts w:ascii="Times New Roman" w:hAnsi="Times New Roman"/>
          <w:i/>
          <w:sz w:val="24"/>
        </w:rPr>
        <w:t xml:space="preserve">année </w:t>
      </w:r>
      <w:r w:rsidRPr="005A0F82">
        <w:rPr>
          <w:rFonts w:ascii="Times New Roman" w:hAnsi="Times New Roman"/>
          <w:sz w:val="24"/>
        </w:rPr>
        <w:t>2016</w:t>
      </w:r>
      <w:r>
        <w:rPr>
          <w:rFonts w:ascii="Times New Roman" w:hAnsi="Times New Roman"/>
          <w:sz w:val="24"/>
        </w:rPr>
        <w:t xml:space="preserve"> sera une année importante,</w:t>
      </w:r>
      <w:r w:rsidR="00322E18">
        <w:rPr>
          <w:rFonts w:ascii="Times New Roman" w:hAnsi="Times New Roman"/>
          <w:sz w:val="24"/>
        </w:rPr>
        <w:t xml:space="preserve"> </w:t>
      </w:r>
      <w:r>
        <w:rPr>
          <w:rFonts w:ascii="Times New Roman" w:hAnsi="Times New Roman"/>
          <w:sz w:val="24"/>
        </w:rPr>
        <w:t>une année de mise en œuvre au cours de laquelle la vision stratégique exposée dans la stratégie de l</w:t>
      </w:r>
      <w:r w:rsidR="00B0065F">
        <w:rPr>
          <w:rFonts w:ascii="Times New Roman" w:hAnsi="Times New Roman"/>
          <w:sz w:val="24"/>
        </w:rPr>
        <w:t>’</w:t>
      </w:r>
      <w:r>
        <w:rPr>
          <w:rFonts w:ascii="Times New Roman" w:hAnsi="Times New Roman"/>
          <w:sz w:val="24"/>
        </w:rPr>
        <w:t>union de l</w:t>
      </w:r>
      <w:r w:rsidR="00B0065F">
        <w:rPr>
          <w:rFonts w:ascii="Times New Roman" w:hAnsi="Times New Roman"/>
          <w:sz w:val="24"/>
        </w:rPr>
        <w:t>’</w:t>
      </w:r>
      <w:r>
        <w:rPr>
          <w:rFonts w:ascii="Times New Roman" w:hAnsi="Times New Roman"/>
          <w:sz w:val="24"/>
        </w:rPr>
        <w:t xml:space="preserve">énergie se concrétisera par des initiatives législatives au niveau </w:t>
      </w:r>
      <w:r w:rsidR="00E41847">
        <w:rPr>
          <w:rFonts w:ascii="Times New Roman" w:hAnsi="Times New Roman"/>
          <w:sz w:val="24"/>
        </w:rPr>
        <w:t>de l</w:t>
      </w:r>
      <w:r w:rsidR="00B0065F">
        <w:rPr>
          <w:rFonts w:ascii="Times New Roman" w:hAnsi="Times New Roman"/>
          <w:sz w:val="24"/>
        </w:rPr>
        <w:t>’</w:t>
      </w:r>
      <w:r w:rsidR="00E41847">
        <w:rPr>
          <w:rFonts w:ascii="Times New Roman" w:hAnsi="Times New Roman"/>
          <w:sz w:val="24"/>
        </w:rPr>
        <w:t>UE</w:t>
      </w:r>
      <w:r>
        <w:rPr>
          <w:rFonts w:ascii="Times New Roman" w:hAnsi="Times New Roman"/>
          <w:sz w:val="24"/>
        </w:rPr>
        <w:t xml:space="preserve">, une cohérence accrue dans </w:t>
      </w:r>
      <w:r w:rsidR="00037047">
        <w:rPr>
          <w:rFonts w:ascii="Times New Roman" w:hAnsi="Times New Roman"/>
          <w:sz w:val="24"/>
        </w:rPr>
        <w:t>l</w:t>
      </w:r>
      <w:r w:rsidR="00B0065F">
        <w:rPr>
          <w:rFonts w:ascii="Times New Roman" w:hAnsi="Times New Roman"/>
          <w:sz w:val="24"/>
        </w:rPr>
        <w:t>’</w:t>
      </w:r>
      <w:r>
        <w:rPr>
          <w:rFonts w:ascii="Times New Roman" w:hAnsi="Times New Roman"/>
          <w:sz w:val="24"/>
        </w:rPr>
        <w:t xml:space="preserve">engagement </w:t>
      </w:r>
      <w:r w:rsidR="00037047">
        <w:rPr>
          <w:rFonts w:ascii="Times New Roman" w:hAnsi="Times New Roman"/>
          <w:sz w:val="24"/>
        </w:rPr>
        <w:t>de l</w:t>
      </w:r>
      <w:r w:rsidR="00B0065F">
        <w:rPr>
          <w:rFonts w:ascii="Times New Roman" w:hAnsi="Times New Roman"/>
          <w:sz w:val="24"/>
        </w:rPr>
        <w:t>’</w:t>
      </w:r>
      <w:r w:rsidR="00037047">
        <w:rPr>
          <w:rFonts w:ascii="Times New Roman" w:hAnsi="Times New Roman"/>
          <w:sz w:val="24"/>
        </w:rPr>
        <w:t xml:space="preserve">UE </w:t>
      </w:r>
      <w:r>
        <w:rPr>
          <w:rFonts w:ascii="Times New Roman" w:hAnsi="Times New Roman"/>
          <w:sz w:val="24"/>
        </w:rPr>
        <w:t>vis-à-vis des partenaires extérieurs, et la poursuite du développement et de la mise en œuvre de l</w:t>
      </w:r>
      <w:r w:rsidR="00B0065F">
        <w:rPr>
          <w:rFonts w:ascii="Times New Roman" w:hAnsi="Times New Roman"/>
          <w:sz w:val="24"/>
        </w:rPr>
        <w:t>’</w:t>
      </w:r>
      <w:r>
        <w:rPr>
          <w:rFonts w:ascii="Times New Roman" w:hAnsi="Times New Roman"/>
          <w:sz w:val="24"/>
        </w:rPr>
        <w:t>union de l</w:t>
      </w:r>
      <w:r w:rsidR="00B0065F">
        <w:rPr>
          <w:rFonts w:ascii="Times New Roman" w:hAnsi="Times New Roman"/>
          <w:sz w:val="24"/>
        </w:rPr>
        <w:t>’</w:t>
      </w:r>
      <w:r>
        <w:rPr>
          <w:rFonts w:ascii="Times New Roman" w:hAnsi="Times New Roman"/>
          <w:sz w:val="24"/>
        </w:rPr>
        <w:t>énergie.</w:t>
      </w:r>
    </w:p>
    <w:sectPr w:rsidR="00097C2F">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2624" w:rsidRDefault="00C42624">
      <w:pPr>
        <w:spacing w:after="0" w:line="240" w:lineRule="auto"/>
      </w:pPr>
      <w:r>
        <w:separator/>
      </w:r>
    </w:p>
  </w:endnote>
  <w:endnote w:type="continuationSeparator" w:id="0">
    <w:p w:rsidR="00C42624" w:rsidRDefault="00C42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00AD" w:rsidRDefault="00AB00A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FA5" w:rsidRPr="00B43FA5" w:rsidRDefault="00B43FA5" w:rsidP="00B43FA5">
    <w:pPr>
      <w:pStyle w:val="FooterCoverPage"/>
      <w:rPr>
        <w:rFonts w:ascii="Arial" w:hAnsi="Arial" w:cs="Arial"/>
        <w:b/>
        <w:sz w:val="48"/>
      </w:rPr>
    </w:pPr>
    <w:r w:rsidRPr="00B43FA5">
      <w:rPr>
        <w:rFonts w:ascii="Arial" w:hAnsi="Arial" w:cs="Arial"/>
        <w:b/>
        <w:sz w:val="48"/>
      </w:rPr>
      <w:t>FR</w:t>
    </w:r>
    <w:r w:rsidRPr="00B43FA5">
      <w:rPr>
        <w:rFonts w:ascii="Arial" w:hAnsi="Arial" w:cs="Arial"/>
        <w:b/>
        <w:sz w:val="48"/>
      </w:rPr>
      <w:tab/>
    </w:r>
    <w:r w:rsidRPr="00B43FA5">
      <w:rPr>
        <w:rFonts w:ascii="Arial" w:hAnsi="Arial" w:cs="Arial"/>
        <w:b/>
        <w:sz w:val="48"/>
      </w:rPr>
      <w:tab/>
    </w:r>
    <w:r w:rsidR="00AB00AD">
      <w:fldChar w:fldCharType="begin"/>
    </w:r>
    <w:r w:rsidR="00AB00AD">
      <w:instrText xml:space="preserve"> DOCVARIABLE "LW_Confidence" \* MERGEFORMAT </w:instrText>
    </w:r>
    <w:r w:rsidR="00AB00AD">
      <w:fldChar w:fldCharType="separate"/>
    </w:r>
    <w:r>
      <w:t xml:space="preserve"> </w:t>
    </w:r>
    <w:r w:rsidR="00AB00AD">
      <w:fldChar w:fldCharType="end"/>
    </w:r>
    <w:r w:rsidRPr="00B43FA5">
      <w:tab/>
    </w:r>
    <w:r w:rsidRPr="00B43FA5">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00AD" w:rsidRDefault="00AB00A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624" w:rsidRDefault="00C42624">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1066029"/>
      <w:docPartObj>
        <w:docPartGallery w:val="Page Numbers (Bottom of Page)"/>
        <w:docPartUnique/>
      </w:docPartObj>
    </w:sdtPr>
    <w:sdtEndPr>
      <w:rPr>
        <w:rFonts w:ascii="Times New Roman" w:hAnsi="Times New Roman"/>
        <w:noProof/>
        <w:sz w:val="16"/>
        <w:szCs w:val="16"/>
      </w:rPr>
    </w:sdtEndPr>
    <w:sdtContent>
      <w:p w:rsidR="00C42624" w:rsidRDefault="00C42624">
        <w:pPr>
          <w:pStyle w:val="Footer"/>
          <w:jc w:val="right"/>
          <w:rPr>
            <w:rFonts w:ascii="Times New Roman" w:hAnsi="Times New Roman"/>
            <w:sz w:val="16"/>
            <w:szCs w:val="16"/>
          </w:rPr>
        </w:pPr>
        <w:r>
          <w:rPr>
            <w:rFonts w:ascii="Times New Roman" w:hAnsi="Times New Roman"/>
            <w:sz w:val="16"/>
            <w:szCs w:val="16"/>
          </w:rPr>
          <w:fldChar w:fldCharType="begin"/>
        </w:r>
        <w:r>
          <w:rPr>
            <w:rFonts w:ascii="Times New Roman" w:hAnsi="Times New Roman"/>
            <w:sz w:val="16"/>
            <w:szCs w:val="16"/>
          </w:rPr>
          <w:instrText xml:space="preserve"> PAGE   \* MERGEFORMAT </w:instrText>
        </w:r>
        <w:r>
          <w:rPr>
            <w:rFonts w:ascii="Times New Roman" w:hAnsi="Times New Roman"/>
            <w:sz w:val="16"/>
            <w:szCs w:val="16"/>
          </w:rPr>
          <w:fldChar w:fldCharType="separate"/>
        </w:r>
        <w:r w:rsidR="00AB00AD">
          <w:rPr>
            <w:rFonts w:ascii="Times New Roman" w:hAnsi="Times New Roman"/>
            <w:noProof/>
            <w:sz w:val="16"/>
            <w:szCs w:val="16"/>
          </w:rPr>
          <w:t>19</w:t>
        </w:r>
        <w:r>
          <w:rPr>
            <w:rFonts w:ascii="Times New Roman" w:hAnsi="Times New Roman"/>
            <w:noProof/>
            <w:sz w:val="16"/>
            <w:szCs w:val="16"/>
          </w:rPr>
          <w:fldChar w:fldCharType="end"/>
        </w:r>
      </w:p>
    </w:sdtContent>
  </w:sdt>
  <w:p w:rsidR="00C42624" w:rsidRDefault="00C42624">
    <w:pPr>
      <w:pStyle w:val="FooterCoverPage"/>
      <w:rPr>
        <w:rFonts w:ascii="Arial" w:hAnsi="Arial" w:cs="Arial"/>
        <w:b/>
        <w:sz w:val="4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624" w:rsidRDefault="00C426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2624" w:rsidRDefault="00C42624">
      <w:pPr>
        <w:spacing w:after="0" w:line="240" w:lineRule="auto"/>
      </w:pPr>
      <w:r>
        <w:separator/>
      </w:r>
    </w:p>
  </w:footnote>
  <w:footnote w:type="continuationSeparator" w:id="0">
    <w:p w:rsidR="00C42624" w:rsidRDefault="00C42624">
      <w:pPr>
        <w:spacing w:after="0" w:line="240" w:lineRule="auto"/>
      </w:pPr>
      <w:r>
        <w:continuationSeparator/>
      </w:r>
    </w:p>
  </w:footnote>
  <w:footnote w:id="1">
    <w:p w:rsidR="00C42624" w:rsidRDefault="00C42624">
      <w:pPr>
        <w:pStyle w:val="FootnoteText"/>
        <w:ind w:left="709" w:hanging="709"/>
        <w:jc w:val="both"/>
        <w:rPr>
          <w:rFonts w:ascii="Times New Roman" w:hAnsi="Times New Roman"/>
        </w:rPr>
      </w:pPr>
      <w:r>
        <w:rPr>
          <w:rStyle w:val="FootnoteReference"/>
        </w:rPr>
        <w:footnoteRef/>
      </w:r>
      <w:r>
        <w:rPr>
          <w:rFonts w:ascii="Times New Roman" w:hAnsi="Times New Roman"/>
        </w:rPr>
        <w:t xml:space="preserve"> </w:t>
      </w:r>
      <w:r>
        <w:tab/>
      </w:r>
      <w:r>
        <w:rPr>
          <w:rFonts w:ascii="Times New Roman" w:hAnsi="Times New Roman"/>
        </w:rPr>
        <w:t>COM(</w:t>
      </w:r>
      <w:r w:rsidRPr="005A0F82">
        <w:rPr>
          <w:rFonts w:ascii="Times New Roman" w:hAnsi="Times New Roman"/>
        </w:rPr>
        <w:t>2015</w:t>
      </w:r>
      <w:r>
        <w:rPr>
          <w:rFonts w:ascii="Times New Roman" w:hAnsi="Times New Roman"/>
        </w:rPr>
        <w:t>)</w:t>
      </w:r>
      <w:r w:rsidRPr="005A0F82">
        <w:rPr>
          <w:rFonts w:ascii="Times New Roman" w:hAnsi="Times New Roman"/>
        </w:rPr>
        <w:t>80</w:t>
      </w:r>
      <w:r>
        <w:rPr>
          <w:rFonts w:ascii="Times New Roman" w:hAnsi="Times New Roman"/>
        </w:rPr>
        <w:t>.</w:t>
      </w:r>
    </w:p>
  </w:footnote>
  <w:footnote w:id="2">
    <w:p w:rsidR="00C42624" w:rsidRDefault="00C42624">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Il est accompagné d</w:t>
      </w:r>
      <w:r w:rsidR="00B0065F">
        <w:rPr>
          <w:rFonts w:ascii="Times New Roman" w:hAnsi="Times New Roman"/>
        </w:rPr>
        <w:t>’</w:t>
      </w:r>
      <w:r>
        <w:rPr>
          <w:rFonts w:ascii="Times New Roman" w:hAnsi="Times New Roman"/>
        </w:rPr>
        <w:t>une série de rapports et de documents de travail des services de la Commission, première étape accomplie par cette dernière pour rationaliser la manière dont elle s</w:t>
      </w:r>
      <w:r w:rsidR="00B0065F">
        <w:rPr>
          <w:rFonts w:ascii="Times New Roman" w:hAnsi="Times New Roman"/>
        </w:rPr>
        <w:t>’</w:t>
      </w:r>
      <w:r>
        <w:rPr>
          <w:rFonts w:ascii="Times New Roman" w:hAnsi="Times New Roman"/>
        </w:rPr>
        <w:t>acquitte de ses obligations en matière de rapports.</w:t>
      </w:r>
    </w:p>
  </w:footnote>
  <w:footnote w:id="3">
    <w:p w:rsidR="00C42624" w:rsidRDefault="00C42624">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Programme de travail de la Commission, COM(</w:t>
      </w:r>
      <w:r w:rsidRPr="005A0F82">
        <w:rPr>
          <w:rFonts w:ascii="Times New Roman" w:hAnsi="Times New Roman"/>
        </w:rPr>
        <w:t>2015</w:t>
      </w:r>
      <w:r>
        <w:rPr>
          <w:rFonts w:ascii="Times New Roman" w:hAnsi="Times New Roman"/>
        </w:rPr>
        <w:t>) </w:t>
      </w:r>
      <w:r w:rsidRPr="005A0F82">
        <w:rPr>
          <w:rFonts w:ascii="Times New Roman" w:hAnsi="Times New Roman"/>
        </w:rPr>
        <w:t>610</w:t>
      </w:r>
      <w:r>
        <w:rPr>
          <w:rFonts w:ascii="Times New Roman" w:hAnsi="Times New Roman"/>
        </w:rPr>
        <w:t>. Toutes les propositions seront élaborées dans le respect des principes de subsidiarité, de proportionnalité et de meilleure réglementation. Certaines de ces mesures seront des initiatives relevant du programme REFIT.</w:t>
      </w:r>
    </w:p>
  </w:footnote>
  <w:footnote w:id="4">
    <w:p w:rsidR="00C42624" w:rsidRDefault="00C42624">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Les autres sont le Brésil et le Canada.</w:t>
      </w:r>
    </w:p>
  </w:footnote>
  <w:footnote w:id="5">
    <w:p w:rsidR="00C42624" w:rsidRDefault="00C42624">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sidRPr="005A0F82">
        <w:rPr>
          <w:rFonts w:ascii="Times New Roman" w:hAnsi="Times New Roman"/>
        </w:rPr>
        <w:t>27</w:t>
      </w:r>
      <w:r>
        <w:rPr>
          <w:rFonts w:ascii="Times New Roman" w:hAnsi="Times New Roman"/>
        </w:rPr>
        <w:t> % de l</w:t>
      </w:r>
      <w:r w:rsidR="00B0065F">
        <w:rPr>
          <w:rFonts w:ascii="Times New Roman" w:hAnsi="Times New Roman"/>
        </w:rPr>
        <w:t>’</w:t>
      </w:r>
      <w:r>
        <w:rPr>
          <w:rFonts w:ascii="Times New Roman" w:hAnsi="Times New Roman"/>
        </w:rPr>
        <w:t>électricité produite dans l</w:t>
      </w:r>
      <w:r w:rsidR="00B0065F">
        <w:rPr>
          <w:rFonts w:ascii="Times New Roman" w:hAnsi="Times New Roman"/>
        </w:rPr>
        <w:t>’</w:t>
      </w:r>
      <w:r>
        <w:rPr>
          <w:rFonts w:ascii="Times New Roman" w:hAnsi="Times New Roman"/>
        </w:rPr>
        <w:t>UE provient de sources d</w:t>
      </w:r>
      <w:r w:rsidR="00B0065F">
        <w:rPr>
          <w:rFonts w:ascii="Times New Roman" w:hAnsi="Times New Roman"/>
        </w:rPr>
        <w:t>’</w:t>
      </w:r>
      <w:r>
        <w:rPr>
          <w:rFonts w:ascii="Times New Roman" w:hAnsi="Times New Roman"/>
        </w:rPr>
        <w:t>énergie renouvelables, avec un pourcentage équivalent pour l</w:t>
      </w:r>
      <w:r w:rsidR="00B0065F">
        <w:rPr>
          <w:rFonts w:ascii="Times New Roman" w:hAnsi="Times New Roman"/>
        </w:rPr>
        <w:t>’</w:t>
      </w:r>
      <w:r>
        <w:rPr>
          <w:rFonts w:ascii="Times New Roman" w:hAnsi="Times New Roman"/>
        </w:rPr>
        <w:t>énergie nucléaire.</w:t>
      </w:r>
    </w:p>
  </w:footnote>
  <w:footnote w:id="6">
    <w:p w:rsidR="00C42624" w:rsidRDefault="00C42624">
      <w:pPr>
        <w:pStyle w:val="FootnoteText"/>
        <w:ind w:left="720" w:hanging="720"/>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5A0F82">
        <w:rPr>
          <w:rFonts w:ascii="Times New Roman" w:hAnsi="Times New Roman"/>
        </w:rPr>
        <w:t>2014</w:t>
      </w:r>
      <w:r>
        <w:rPr>
          <w:rFonts w:ascii="Times New Roman" w:hAnsi="Times New Roman"/>
        </w:rPr>
        <w:t>)</w:t>
      </w:r>
      <w:r w:rsidRPr="005A0F82">
        <w:rPr>
          <w:rFonts w:ascii="Times New Roman" w:hAnsi="Times New Roman"/>
        </w:rPr>
        <w:t>15</w:t>
      </w:r>
      <w:r>
        <w:rPr>
          <w:rFonts w:ascii="Times New Roman" w:hAnsi="Times New Roman"/>
        </w:rPr>
        <w:t xml:space="preserve"> et son analyse d</w:t>
      </w:r>
      <w:r w:rsidR="00B0065F">
        <w:rPr>
          <w:rFonts w:ascii="Times New Roman" w:hAnsi="Times New Roman"/>
        </w:rPr>
        <w:t>’</w:t>
      </w:r>
      <w:r>
        <w:rPr>
          <w:rFonts w:ascii="Times New Roman" w:hAnsi="Times New Roman"/>
        </w:rPr>
        <w:t>impact.</w:t>
      </w:r>
    </w:p>
  </w:footnote>
  <w:footnote w:id="7">
    <w:p w:rsidR="00C42624" w:rsidRDefault="00C42624">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Conclusions du Conseil «Environnement» du </w:t>
      </w:r>
      <w:r w:rsidRPr="005A0F82">
        <w:rPr>
          <w:rFonts w:ascii="Times New Roman" w:hAnsi="Times New Roman"/>
        </w:rPr>
        <w:t>18</w:t>
      </w:r>
      <w:r>
        <w:rPr>
          <w:rFonts w:ascii="Times New Roman" w:hAnsi="Times New Roman"/>
        </w:rPr>
        <w:t xml:space="preserve"> septembre </w:t>
      </w:r>
      <w:r w:rsidRPr="005A0F82">
        <w:rPr>
          <w:rFonts w:ascii="Times New Roman" w:hAnsi="Times New Roman"/>
        </w:rPr>
        <w:t>2015</w:t>
      </w:r>
      <w:r>
        <w:rPr>
          <w:rFonts w:ascii="Times New Roman" w:hAnsi="Times New Roman"/>
        </w:rPr>
        <w:t>.</w:t>
      </w:r>
    </w:p>
  </w:footnote>
  <w:footnote w:id="8">
    <w:p w:rsidR="00C42624" w:rsidRDefault="00C42624">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La procédure d</w:t>
      </w:r>
      <w:r w:rsidR="00B0065F">
        <w:rPr>
          <w:rFonts w:ascii="Times New Roman" w:hAnsi="Times New Roman"/>
        </w:rPr>
        <w:t>’</w:t>
      </w:r>
      <w:r>
        <w:rPr>
          <w:rFonts w:ascii="Times New Roman" w:hAnsi="Times New Roman"/>
        </w:rPr>
        <w:t>essai mondiale harmonisée pour les voitures particulières et véhicules utilitaires légers (WLTP) a été adoptée dans le cadre de la Commission économique des Nations unies pour l</w:t>
      </w:r>
      <w:r w:rsidR="00B0065F">
        <w:rPr>
          <w:rFonts w:ascii="Times New Roman" w:hAnsi="Times New Roman"/>
        </w:rPr>
        <w:t>’</w:t>
      </w:r>
      <w:r>
        <w:rPr>
          <w:rFonts w:ascii="Times New Roman" w:hAnsi="Times New Roman"/>
        </w:rPr>
        <w:t xml:space="preserve">Europe (CEE-ONU) en </w:t>
      </w:r>
      <w:r w:rsidRPr="005A0F82">
        <w:rPr>
          <w:rFonts w:ascii="Times New Roman" w:hAnsi="Times New Roman"/>
        </w:rPr>
        <w:t>2014</w:t>
      </w:r>
      <w:r>
        <w:rPr>
          <w:rFonts w:ascii="Times New Roman" w:hAnsi="Times New Roman"/>
        </w:rPr>
        <w:t xml:space="preserve"> afin de remplacer l</w:t>
      </w:r>
      <w:r w:rsidR="00B0065F">
        <w:rPr>
          <w:rFonts w:ascii="Times New Roman" w:hAnsi="Times New Roman"/>
        </w:rPr>
        <w:t>’</w:t>
      </w:r>
      <w:r>
        <w:rPr>
          <w:rFonts w:ascii="Times New Roman" w:hAnsi="Times New Roman"/>
        </w:rPr>
        <w:t>ancien cycle d</w:t>
      </w:r>
      <w:r w:rsidR="00B0065F">
        <w:rPr>
          <w:rFonts w:ascii="Times New Roman" w:hAnsi="Times New Roman"/>
        </w:rPr>
        <w:t>’</w:t>
      </w:r>
      <w:r>
        <w:rPr>
          <w:rFonts w:ascii="Times New Roman" w:hAnsi="Times New Roman"/>
        </w:rPr>
        <w:t>essai NEDC (nouveau cycle de conduite européen).</w:t>
      </w:r>
    </w:p>
  </w:footnote>
  <w:footnote w:id="9">
    <w:p w:rsidR="00C42624" w:rsidRDefault="00C42624">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Cette procédure permettra de contrôler que les performances des véhicules en matière d</w:t>
      </w:r>
      <w:r w:rsidR="00B0065F">
        <w:rPr>
          <w:rFonts w:ascii="Times New Roman" w:hAnsi="Times New Roman"/>
        </w:rPr>
        <w:t>’</w:t>
      </w:r>
      <w:r>
        <w:rPr>
          <w:rFonts w:ascii="Times New Roman" w:hAnsi="Times New Roman"/>
        </w:rPr>
        <w:t>émissions en conditions réelles respectent bien les limites réglementaires, avec des tolérances liées aux incertitudes inhérentes à la procédure d</w:t>
      </w:r>
      <w:r w:rsidR="00B0065F">
        <w:rPr>
          <w:rFonts w:ascii="Times New Roman" w:hAnsi="Times New Roman"/>
        </w:rPr>
        <w:t>’</w:t>
      </w:r>
      <w:r>
        <w:rPr>
          <w:rFonts w:ascii="Times New Roman" w:hAnsi="Times New Roman"/>
        </w:rPr>
        <w:t>essai et aux instruments de mesure, qui seront progressivement réduites.</w:t>
      </w:r>
    </w:p>
  </w:footnote>
  <w:footnote w:id="10">
    <w:p w:rsidR="00C42624" w:rsidRDefault="00C42624" w:rsidP="004C02A3">
      <w:pPr>
        <w:pStyle w:val="FootnoteText"/>
        <w:ind w:left="720" w:hanging="720"/>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Voir le rapport sur les progrès accomplis dans le domaine de l</w:t>
      </w:r>
      <w:r w:rsidR="00B0065F">
        <w:rPr>
          <w:rFonts w:ascii="Times New Roman" w:hAnsi="Times New Roman"/>
        </w:rPr>
        <w:t>’</w:t>
      </w:r>
      <w:r>
        <w:rPr>
          <w:rFonts w:ascii="Times New Roman" w:hAnsi="Times New Roman"/>
        </w:rPr>
        <w:t>action pour le climat, COM(</w:t>
      </w:r>
      <w:r w:rsidRPr="005A0F82">
        <w:rPr>
          <w:rFonts w:ascii="Times New Roman" w:hAnsi="Times New Roman"/>
        </w:rPr>
        <w:t>2015</w:t>
      </w:r>
      <w:r>
        <w:rPr>
          <w:rFonts w:ascii="Times New Roman" w:hAnsi="Times New Roman"/>
        </w:rPr>
        <w:t xml:space="preserve">) </w:t>
      </w:r>
      <w:r w:rsidRPr="005A0F82">
        <w:rPr>
          <w:rFonts w:ascii="Times New Roman" w:hAnsi="Times New Roman"/>
        </w:rPr>
        <w:t>576</w:t>
      </w:r>
      <w:r>
        <w:rPr>
          <w:rFonts w:ascii="Times New Roman" w:hAnsi="Times New Roman"/>
        </w:rPr>
        <w:t xml:space="preserve"> et SWD(</w:t>
      </w:r>
      <w:r w:rsidRPr="005A0F82">
        <w:rPr>
          <w:rFonts w:ascii="Times New Roman" w:hAnsi="Times New Roman"/>
        </w:rPr>
        <w:t>2015</w:t>
      </w:r>
      <w:r>
        <w:rPr>
          <w:rFonts w:ascii="Times New Roman" w:hAnsi="Times New Roman"/>
        </w:rPr>
        <w:t xml:space="preserve">) </w:t>
      </w:r>
      <w:r w:rsidRPr="005A0F82">
        <w:rPr>
          <w:rFonts w:ascii="Times New Roman" w:hAnsi="Times New Roman"/>
        </w:rPr>
        <w:t>246</w:t>
      </w:r>
      <w:r>
        <w:rPr>
          <w:rFonts w:ascii="Times New Roman" w:hAnsi="Times New Roman"/>
        </w:rPr>
        <w:t>.</w:t>
      </w:r>
    </w:p>
  </w:footnote>
  <w:footnote w:id="11">
    <w:p w:rsidR="00C42624" w:rsidRDefault="00C42624">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Étant donné que les objectifs intermédiaires sont définis comme une moyenne sur deux ans, les nouvelles données d</w:t>
      </w:r>
      <w:r w:rsidR="00B0065F">
        <w:rPr>
          <w:rFonts w:ascii="Times New Roman" w:hAnsi="Times New Roman"/>
        </w:rPr>
        <w:t>’</w:t>
      </w:r>
      <w:r>
        <w:rPr>
          <w:rFonts w:ascii="Times New Roman" w:hAnsi="Times New Roman"/>
        </w:rPr>
        <w:t xml:space="preserve">Eurostat pour </w:t>
      </w:r>
      <w:r w:rsidRPr="005A0F82">
        <w:rPr>
          <w:rFonts w:ascii="Times New Roman" w:hAnsi="Times New Roman"/>
        </w:rPr>
        <w:t>2014</w:t>
      </w:r>
      <w:r>
        <w:rPr>
          <w:rFonts w:ascii="Times New Roman" w:hAnsi="Times New Roman"/>
        </w:rPr>
        <w:t xml:space="preserve"> pourraient conduire à modifier cette évaluation.</w:t>
      </w:r>
    </w:p>
  </w:footnote>
  <w:footnote w:id="12">
    <w:p w:rsidR="00C42624" w:rsidRDefault="00C42624">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5A0F82">
        <w:rPr>
          <w:rFonts w:ascii="Times New Roman" w:hAnsi="Times New Roman"/>
        </w:rPr>
        <w:t>2015</w:t>
      </w:r>
      <w:r>
        <w:rPr>
          <w:rFonts w:ascii="Times New Roman" w:hAnsi="Times New Roman"/>
        </w:rPr>
        <w:t>)</w:t>
      </w:r>
      <w:r w:rsidRPr="005A0F82">
        <w:rPr>
          <w:rFonts w:ascii="Times New Roman" w:hAnsi="Times New Roman"/>
        </w:rPr>
        <w:t>341</w:t>
      </w:r>
      <w:r>
        <w:rPr>
          <w:rFonts w:ascii="Times New Roman" w:hAnsi="Times New Roman"/>
        </w:rPr>
        <w:t>.</w:t>
      </w:r>
    </w:p>
  </w:footnote>
  <w:footnote w:id="13">
    <w:p w:rsidR="00C42624" w:rsidRDefault="00C42624">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5A0F82">
        <w:rPr>
          <w:rFonts w:ascii="Times New Roman" w:hAnsi="Times New Roman"/>
        </w:rPr>
        <w:t>2015</w:t>
      </w:r>
      <w:r>
        <w:rPr>
          <w:rFonts w:ascii="Times New Roman" w:hAnsi="Times New Roman"/>
        </w:rPr>
        <w:t xml:space="preserve">) </w:t>
      </w:r>
      <w:r w:rsidRPr="005A0F82">
        <w:rPr>
          <w:rFonts w:ascii="Times New Roman" w:hAnsi="Times New Roman"/>
        </w:rPr>
        <w:t>574</w:t>
      </w:r>
      <w:r>
        <w:rPr>
          <w:rFonts w:ascii="Times New Roman" w:hAnsi="Times New Roman"/>
        </w:rPr>
        <w:t>, et document de travail des services de la Commission SWD(</w:t>
      </w:r>
      <w:r w:rsidRPr="005A0F82">
        <w:rPr>
          <w:rFonts w:ascii="Times New Roman" w:hAnsi="Times New Roman"/>
        </w:rPr>
        <w:t>2015</w:t>
      </w:r>
      <w:r>
        <w:rPr>
          <w:rFonts w:ascii="Times New Roman" w:hAnsi="Times New Roman"/>
        </w:rPr>
        <w:t>) </w:t>
      </w:r>
      <w:r w:rsidRPr="005A0F82">
        <w:rPr>
          <w:rFonts w:ascii="Times New Roman" w:hAnsi="Times New Roman"/>
        </w:rPr>
        <w:t>245</w:t>
      </w:r>
      <w:r>
        <w:rPr>
          <w:rFonts w:ascii="Times New Roman" w:hAnsi="Times New Roman"/>
        </w:rPr>
        <w:t>.</w:t>
      </w:r>
    </w:p>
  </w:footnote>
  <w:footnote w:id="14">
    <w:p w:rsidR="00C42624" w:rsidRDefault="00C42624">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5A0F82">
        <w:rPr>
          <w:rFonts w:ascii="Times New Roman" w:hAnsi="Times New Roman"/>
        </w:rPr>
        <w:t>2014</w:t>
      </w:r>
      <w:r>
        <w:rPr>
          <w:rFonts w:ascii="Times New Roman" w:hAnsi="Times New Roman"/>
        </w:rPr>
        <w:t xml:space="preserve">) </w:t>
      </w:r>
      <w:r w:rsidRPr="005A0F82">
        <w:rPr>
          <w:rFonts w:ascii="Times New Roman" w:hAnsi="Times New Roman"/>
        </w:rPr>
        <w:t>520</w:t>
      </w:r>
      <w:r>
        <w:rPr>
          <w:rFonts w:ascii="Times New Roman" w:hAnsi="Times New Roman"/>
        </w:rPr>
        <w:t>.</w:t>
      </w:r>
    </w:p>
  </w:footnote>
  <w:footnote w:id="15">
    <w:p w:rsidR="00C42624" w:rsidRDefault="00C42624" w:rsidP="004C02A3">
      <w:pPr>
        <w:pStyle w:val="FootnoteText"/>
        <w:ind w:left="720" w:hanging="720"/>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Rapport publié par le groupe des institutions financières dans le domaine de l</w:t>
      </w:r>
      <w:r w:rsidR="00B0065F">
        <w:rPr>
          <w:rFonts w:ascii="Times New Roman" w:hAnsi="Times New Roman"/>
        </w:rPr>
        <w:t>’</w:t>
      </w:r>
      <w:r>
        <w:rPr>
          <w:rFonts w:ascii="Times New Roman" w:hAnsi="Times New Roman"/>
        </w:rPr>
        <w:t xml:space="preserve">efficacité énergétique (rapport EEFIG, </w:t>
      </w:r>
      <w:hyperlink r:id="rId1">
        <w:r>
          <w:rPr>
            <w:rStyle w:val="Hyperlink"/>
            <w:rFonts w:ascii="Times New Roman" w:hAnsi="Times New Roman"/>
          </w:rPr>
          <w:t>www.eefig.eu</w:t>
        </w:r>
      </w:hyperlink>
      <w:r>
        <w:rPr>
          <w:rFonts w:ascii="Times New Roman" w:hAnsi="Times New Roman"/>
        </w:rPr>
        <w:t>).</w:t>
      </w:r>
      <w:r>
        <w:br/>
      </w:r>
    </w:p>
  </w:footnote>
  <w:footnote w:id="16">
    <w:p w:rsidR="00C42624" w:rsidRDefault="00C42624">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hyperlink r:id="rId2">
        <w:r>
          <w:rPr>
            <w:rStyle w:val="Hyperlink"/>
            <w:rFonts w:ascii="Times New Roman" w:hAnsi="Times New Roman"/>
          </w:rPr>
          <w:t>http://ec.europa.eu/energy/en/topics/infrastructure/central-and-south-eastern-europe-gas-connectivity</w:t>
        </w:r>
      </w:hyperlink>
    </w:p>
  </w:footnote>
  <w:footnote w:id="17">
    <w:p w:rsidR="00C42624" w:rsidRDefault="00C42624">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5A0F82">
        <w:rPr>
          <w:rFonts w:ascii="Times New Roman" w:hAnsi="Times New Roman"/>
        </w:rPr>
        <w:t>2015</w:t>
      </w:r>
      <w:r>
        <w:rPr>
          <w:rFonts w:ascii="Times New Roman" w:hAnsi="Times New Roman"/>
        </w:rPr>
        <w:t>)</w:t>
      </w:r>
      <w:r w:rsidRPr="005A0F82">
        <w:rPr>
          <w:rFonts w:ascii="Times New Roman" w:hAnsi="Times New Roman"/>
        </w:rPr>
        <w:t>340</w:t>
      </w:r>
      <w:r>
        <w:rPr>
          <w:rFonts w:ascii="Times New Roman" w:hAnsi="Times New Roman"/>
        </w:rPr>
        <w:t>.</w:t>
      </w:r>
    </w:p>
  </w:footnote>
  <w:footnote w:id="18">
    <w:p w:rsidR="00C42624" w:rsidRDefault="00C42624">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5A0F82">
        <w:rPr>
          <w:rFonts w:ascii="Times New Roman" w:hAnsi="Times New Roman"/>
        </w:rPr>
        <w:t>2015</w:t>
      </w:r>
      <w:r>
        <w:rPr>
          <w:rFonts w:ascii="Times New Roman" w:hAnsi="Times New Roman"/>
        </w:rPr>
        <w:t>)</w:t>
      </w:r>
      <w:r w:rsidRPr="005A0F82">
        <w:rPr>
          <w:rFonts w:ascii="Times New Roman" w:hAnsi="Times New Roman"/>
        </w:rPr>
        <w:t>339</w:t>
      </w:r>
      <w:r>
        <w:rPr>
          <w:rFonts w:ascii="Times New Roman" w:hAnsi="Times New Roman"/>
        </w:rPr>
        <w:t>, accompagnée d</w:t>
      </w:r>
      <w:r w:rsidR="00B0065F">
        <w:rPr>
          <w:rFonts w:ascii="Times New Roman" w:hAnsi="Times New Roman"/>
        </w:rPr>
        <w:t>’</w:t>
      </w:r>
      <w:r>
        <w:rPr>
          <w:rFonts w:ascii="Times New Roman" w:hAnsi="Times New Roman"/>
        </w:rPr>
        <w:t>un document de travail des services de la Commission sur les bonnes pratiques en matière d</w:t>
      </w:r>
      <w:r w:rsidR="00B0065F">
        <w:rPr>
          <w:rFonts w:ascii="Times New Roman" w:hAnsi="Times New Roman"/>
        </w:rPr>
        <w:t>’</w:t>
      </w:r>
      <w:r>
        <w:rPr>
          <w:rFonts w:ascii="Times New Roman" w:hAnsi="Times New Roman"/>
        </w:rPr>
        <w:t>autoconsommation et de régimes de soutien aux énergies renouvelables, SWD(</w:t>
      </w:r>
      <w:r w:rsidRPr="005A0F82">
        <w:rPr>
          <w:rFonts w:ascii="Times New Roman" w:hAnsi="Times New Roman"/>
        </w:rPr>
        <w:t>2015</w:t>
      </w:r>
      <w:r>
        <w:rPr>
          <w:rFonts w:ascii="Times New Roman" w:hAnsi="Times New Roman"/>
        </w:rPr>
        <w:t>)</w:t>
      </w:r>
      <w:r w:rsidRPr="005A0F82">
        <w:rPr>
          <w:rFonts w:ascii="Times New Roman" w:hAnsi="Times New Roman"/>
        </w:rPr>
        <w:t>114</w:t>
      </w:r>
      <w:r>
        <w:rPr>
          <w:rFonts w:ascii="Times New Roman" w:hAnsi="Times New Roman"/>
        </w:rPr>
        <w:t>.</w:t>
      </w:r>
    </w:p>
  </w:footnote>
  <w:footnote w:id="19">
    <w:p w:rsidR="00C42624" w:rsidRDefault="00C42624">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SWD(</w:t>
      </w:r>
      <w:r w:rsidRPr="005A0F82">
        <w:rPr>
          <w:rFonts w:ascii="Times New Roman" w:hAnsi="Times New Roman"/>
        </w:rPr>
        <w:t>2015</w:t>
      </w:r>
      <w:r>
        <w:rPr>
          <w:rFonts w:ascii="Times New Roman" w:hAnsi="Times New Roman"/>
        </w:rPr>
        <w:t xml:space="preserve">) </w:t>
      </w:r>
      <w:r w:rsidRPr="005A0F82">
        <w:rPr>
          <w:rFonts w:ascii="Times New Roman" w:hAnsi="Times New Roman"/>
        </w:rPr>
        <w:t>249</w:t>
      </w:r>
      <w:r>
        <w:rPr>
          <w:rFonts w:ascii="Times New Roman" w:hAnsi="Times New Roman"/>
        </w:rPr>
        <w:t>.</w:t>
      </w:r>
    </w:p>
  </w:footnote>
  <w:footnote w:id="20">
    <w:p w:rsidR="00C42624" w:rsidRDefault="00C42624">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sidRPr="005A0F82">
        <w:rPr>
          <w:rFonts w:ascii="Times New Roman" w:hAnsi="Times New Roman"/>
        </w:rPr>
        <w:t>31</w:t>
      </w:r>
      <w:r>
        <w:rPr>
          <w:rFonts w:ascii="Times New Roman" w:hAnsi="Times New Roman"/>
        </w:rPr>
        <w:t> % des projets en matière d</w:t>
      </w:r>
      <w:r w:rsidR="00B0065F">
        <w:rPr>
          <w:rFonts w:ascii="Times New Roman" w:hAnsi="Times New Roman"/>
        </w:rPr>
        <w:t>’</w:t>
      </w:r>
      <w:r>
        <w:rPr>
          <w:rFonts w:ascii="Times New Roman" w:hAnsi="Times New Roman"/>
        </w:rPr>
        <w:t xml:space="preserve">électricité et </w:t>
      </w:r>
      <w:r w:rsidRPr="005A0F82">
        <w:rPr>
          <w:rFonts w:ascii="Times New Roman" w:hAnsi="Times New Roman"/>
        </w:rPr>
        <w:t>25</w:t>
      </w:r>
      <w:r>
        <w:rPr>
          <w:rFonts w:ascii="Times New Roman" w:hAnsi="Times New Roman"/>
        </w:rPr>
        <w:t> % des projets gaziers, d</w:t>
      </w:r>
      <w:r w:rsidR="00B0065F">
        <w:rPr>
          <w:rFonts w:ascii="Times New Roman" w:hAnsi="Times New Roman"/>
        </w:rPr>
        <w:t>’</w:t>
      </w:r>
      <w:r>
        <w:rPr>
          <w:rFonts w:ascii="Times New Roman" w:hAnsi="Times New Roman"/>
        </w:rPr>
        <w:t>après le rapport de suivi de l</w:t>
      </w:r>
      <w:r w:rsidR="00B0065F">
        <w:rPr>
          <w:rFonts w:ascii="Times New Roman" w:hAnsi="Times New Roman"/>
        </w:rPr>
        <w:t>’</w:t>
      </w:r>
      <w:r>
        <w:rPr>
          <w:rFonts w:ascii="Times New Roman" w:hAnsi="Times New Roman"/>
        </w:rPr>
        <w:t>ACER sur la mise en œuvre des projets d</w:t>
      </w:r>
      <w:r w:rsidR="00B0065F">
        <w:rPr>
          <w:rFonts w:ascii="Times New Roman" w:hAnsi="Times New Roman"/>
        </w:rPr>
        <w:t>’</w:t>
      </w:r>
      <w:r>
        <w:rPr>
          <w:rFonts w:ascii="Times New Roman" w:hAnsi="Times New Roman"/>
        </w:rPr>
        <w:t>intérêt commun.</w:t>
      </w:r>
    </w:p>
  </w:footnote>
  <w:footnote w:id="21">
    <w:p w:rsidR="00C42624" w:rsidRDefault="00C42624">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w:t>
      </w:r>
      <w:r w:rsidRPr="005A0F82">
        <w:rPr>
          <w:rFonts w:ascii="Times New Roman" w:hAnsi="Times New Roman"/>
        </w:rPr>
        <w:t>2015</w:t>
      </w:r>
      <w:r>
        <w:rPr>
          <w:rFonts w:ascii="Times New Roman" w:hAnsi="Times New Roman"/>
        </w:rPr>
        <w:t>)</w:t>
      </w:r>
      <w:r w:rsidRPr="005A0F82">
        <w:rPr>
          <w:rFonts w:ascii="Times New Roman" w:hAnsi="Times New Roman"/>
        </w:rPr>
        <w:t>8052</w:t>
      </w:r>
      <w:r>
        <w:rPr>
          <w:rFonts w:ascii="Times New Roman" w:hAnsi="Times New Roman"/>
        </w:rPr>
        <w:t>.</w:t>
      </w:r>
    </w:p>
  </w:footnote>
  <w:footnote w:id="22">
    <w:p w:rsidR="00C42624" w:rsidRDefault="00C42624">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SWD(</w:t>
      </w:r>
      <w:r w:rsidRPr="005A0F82">
        <w:rPr>
          <w:rFonts w:ascii="Times New Roman" w:hAnsi="Times New Roman"/>
        </w:rPr>
        <w:t>2015</w:t>
      </w:r>
      <w:r>
        <w:rPr>
          <w:rFonts w:ascii="Times New Roman" w:hAnsi="Times New Roman"/>
        </w:rPr>
        <w:t xml:space="preserve">) </w:t>
      </w:r>
      <w:r w:rsidRPr="005A0F82">
        <w:rPr>
          <w:rFonts w:ascii="Times New Roman" w:hAnsi="Times New Roman"/>
        </w:rPr>
        <w:t>247</w:t>
      </w:r>
      <w:r>
        <w:rPr>
          <w:rFonts w:ascii="Times New Roman" w:hAnsi="Times New Roman"/>
        </w:rPr>
        <w:t>.</w:t>
      </w:r>
    </w:p>
  </w:footnote>
  <w:footnote w:id="23">
    <w:p w:rsidR="00C42624" w:rsidRDefault="00C42624">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JO C </w:t>
      </w:r>
      <w:r w:rsidRPr="005A0F82">
        <w:rPr>
          <w:rFonts w:ascii="Times New Roman" w:hAnsi="Times New Roman"/>
        </w:rPr>
        <w:t>200</w:t>
      </w:r>
      <w:r>
        <w:rPr>
          <w:rFonts w:ascii="Times New Roman" w:hAnsi="Times New Roman"/>
        </w:rPr>
        <w:t xml:space="preserve"> du </w:t>
      </w:r>
      <w:r w:rsidRPr="005A0F82">
        <w:rPr>
          <w:rFonts w:ascii="Times New Roman" w:hAnsi="Times New Roman"/>
        </w:rPr>
        <w:t>28</w:t>
      </w:r>
      <w:r>
        <w:rPr>
          <w:rFonts w:ascii="Times New Roman" w:hAnsi="Times New Roman"/>
        </w:rPr>
        <w:t xml:space="preserve"> juin </w:t>
      </w:r>
      <w:r w:rsidRPr="005A0F82">
        <w:rPr>
          <w:rFonts w:ascii="Times New Roman" w:hAnsi="Times New Roman"/>
        </w:rPr>
        <w:t>2014</w:t>
      </w:r>
      <w:r>
        <w:rPr>
          <w:rFonts w:ascii="Times New Roman" w:hAnsi="Times New Roman"/>
        </w:rPr>
        <w:t xml:space="preserve">, p. </w:t>
      </w:r>
      <w:r w:rsidRPr="005A0F82">
        <w:rPr>
          <w:rFonts w:ascii="Times New Roman" w:hAnsi="Times New Roman"/>
        </w:rPr>
        <w:t>1</w:t>
      </w:r>
      <w:r>
        <w:rPr>
          <w:rFonts w:ascii="Times New Roman" w:hAnsi="Times New Roman"/>
        </w:rPr>
        <w:t>.</w:t>
      </w:r>
    </w:p>
  </w:footnote>
  <w:footnote w:id="24">
    <w:p w:rsidR="00C42624" w:rsidRDefault="00C42624">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w:t>
      </w:r>
      <w:r w:rsidRPr="005A0F82">
        <w:rPr>
          <w:rFonts w:ascii="Times New Roman" w:hAnsi="Times New Roman"/>
        </w:rPr>
        <w:t>2015</w:t>
      </w:r>
      <w:r>
        <w:rPr>
          <w:rFonts w:ascii="Times New Roman" w:hAnsi="Times New Roman"/>
        </w:rPr>
        <w:t>)</w:t>
      </w:r>
      <w:r w:rsidRPr="005A0F82">
        <w:rPr>
          <w:rFonts w:ascii="Times New Roman" w:hAnsi="Times New Roman"/>
        </w:rPr>
        <w:t>2814</w:t>
      </w:r>
      <w:r>
        <w:rPr>
          <w:rFonts w:ascii="Times New Roman" w:hAnsi="Times New Roman"/>
        </w:rPr>
        <w:t>.</w:t>
      </w:r>
    </w:p>
  </w:footnote>
  <w:footnote w:id="25">
    <w:p w:rsidR="00C42624" w:rsidRDefault="00C42624">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5A0F82">
        <w:rPr>
          <w:rFonts w:ascii="Times New Roman" w:hAnsi="Times New Roman"/>
        </w:rPr>
        <w:t>2015</w:t>
      </w:r>
      <w:r>
        <w:rPr>
          <w:rFonts w:ascii="Times New Roman" w:hAnsi="Times New Roman"/>
        </w:rPr>
        <w:t xml:space="preserve">) </w:t>
      </w:r>
      <w:r w:rsidRPr="005A0F82">
        <w:rPr>
          <w:rFonts w:ascii="Times New Roman" w:hAnsi="Times New Roman"/>
        </w:rPr>
        <w:t>496</w:t>
      </w:r>
      <w:r w:rsidR="007A06FF">
        <w:rPr>
          <w:rFonts w:ascii="Times New Roman" w:hAnsi="Times New Roman"/>
        </w:rPr>
        <w:t>.</w:t>
      </w:r>
    </w:p>
  </w:footnote>
  <w:footnote w:id="26">
    <w:p w:rsidR="00C42624" w:rsidRDefault="00C42624">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Affaire C-</w:t>
      </w:r>
      <w:r w:rsidRPr="005A0F82">
        <w:rPr>
          <w:rFonts w:ascii="Times New Roman" w:hAnsi="Times New Roman"/>
        </w:rPr>
        <w:t>36</w:t>
      </w:r>
      <w:r>
        <w:rPr>
          <w:rFonts w:ascii="Times New Roman" w:hAnsi="Times New Roman"/>
        </w:rPr>
        <w:t>/</w:t>
      </w:r>
      <w:r w:rsidRPr="005A0F82">
        <w:rPr>
          <w:rFonts w:ascii="Times New Roman" w:hAnsi="Times New Roman"/>
        </w:rPr>
        <w:t>14</w:t>
      </w:r>
      <w:r>
        <w:rPr>
          <w:rFonts w:ascii="Times New Roman" w:hAnsi="Times New Roman"/>
        </w:rPr>
        <w:t>, Commission européenne contre République de Pologne.</w:t>
      </w:r>
    </w:p>
  </w:footnote>
  <w:footnote w:id="27">
    <w:p w:rsidR="00C42624" w:rsidRDefault="00C42624">
      <w:pPr>
        <w:pStyle w:val="FootnoteText"/>
      </w:pPr>
      <w:r>
        <w:rPr>
          <w:rStyle w:val="FootnoteReference"/>
        </w:rPr>
        <w:footnoteRef/>
      </w:r>
      <w:r>
        <w:t xml:space="preserve"> </w:t>
      </w:r>
      <w:r>
        <w:tab/>
      </w:r>
      <w:r>
        <w:rPr>
          <w:rFonts w:ascii="Times New Roman" w:hAnsi="Times New Roman"/>
        </w:rPr>
        <w:t>Conclusions du Conseil sur la diplomatie énergétique et climatique (</w:t>
      </w:r>
      <w:r w:rsidRPr="005A0F82">
        <w:rPr>
          <w:rFonts w:ascii="Times New Roman" w:hAnsi="Times New Roman"/>
        </w:rPr>
        <w:t>10995</w:t>
      </w:r>
      <w:r>
        <w:rPr>
          <w:rFonts w:ascii="Times New Roman" w:hAnsi="Times New Roman"/>
        </w:rPr>
        <w:t>/</w:t>
      </w:r>
      <w:r w:rsidRPr="005A0F82">
        <w:rPr>
          <w:rFonts w:ascii="Times New Roman" w:hAnsi="Times New Roman"/>
        </w:rPr>
        <w:t>15</w:t>
      </w:r>
      <w:r>
        <w:rPr>
          <w:rFonts w:ascii="Times New Roman" w:hAnsi="Times New Roman"/>
        </w:rPr>
        <w:t xml:space="preserve"> et </w:t>
      </w:r>
      <w:r w:rsidRPr="005A0F82">
        <w:rPr>
          <w:rFonts w:ascii="Times New Roman" w:hAnsi="Times New Roman"/>
        </w:rPr>
        <w:t>11029</w:t>
      </w:r>
      <w:r>
        <w:rPr>
          <w:rFonts w:ascii="Times New Roman" w:hAnsi="Times New Roman"/>
        </w:rPr>
        <w:t>/</w:t>
      </w:r>
      <w:r w:rsidRPr="005A0F82">
        <w:rPr>
          <w:rFonts w:ascii="Times New Roman" w:hAnsi="Times New Roman"/>
        </w:rPr>
        <w:t>15</w:t>
      </w:r>
      <w:r>
        <w:rPr>
          <w:rFonts w:ascii="Times New Roman" w:hAnsi="Times New Roman"/>
        </w:rPr>
        <w:t>).</w:t>
      </w:r>
    </w:p>
  </w:footnote>
  <w:footnote w:id="28">
    <w:p w:rsidR="00C42624" w:rsidRDefault="00C42624">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5A0F82">
        <w:rPr>
          <w:rFonts w:ascii="Times New Roman" w:hAnsi="Times New Roman"/>
        </w:rPr>
        <w:t>2014</w:t>
      </w:r>
      <w:r>
        <w:rPr>
          <w:rFonts w:ascii="Times New Roman" w:hAnsi="Times New Roman"/>
        </w:rPr>
        <w:t xml:space="preserve">) </w:t>
      </w:r>
      <w:r w:rsidRPr="005A0F82">
        <w:rPr>
          <w:rFonts w:ascii="Times New Roman" w:hAnsi="Times New Roman"/>
        </w:rPr>
        <w:t>330</w:t>
      </w:r>
      <w:r>
        <w:rPr>
          <w:rFonts w:ascii="Times New Roman" w:hAnsi="Times New Roman"/>
        </w:rPr>
        <w:t>,</w:t>
      </w:r>
    </w:p>
  </w:footnote>
  <w:footnote w:id="29">
    <w:p w:rsidR="00C42624" w:rsidRDefault="00C42624">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JOIN(</w:t>
      </w:r>
      <w:r w:rsidRPr="005A0F82">
        <w:rPr>
          <w:rFonts w:ascii="Times New Roman" w:hAnsi="Times New Roman"/>
        </w:rPr>
        <w:t>2015</w:t>
      </w:r>
      <w:r>
        <w:rPr>
          <w:rFonts w:ascii="Times New Roman" w:hAnsi="Times New Roman"/>
        </w:rPr>
        <w:t>)</w:t>
      </w:r>
      <w:r w:rsidRPr="005A0F82">
        <w:rPr>
          <w:rFonts w:ascii="Times New Roman" w:hAnsi="Times New Roman"/>
        </w:rPr>
        <w:t>50</w:t>
      </w:r>
      <w:r>
        <w:rPr>
          <w:rFonts w:ascii="Times New Roman" w:hAnsi="Times New Roman"/>
        </w:rPr>
        <w:t>, accompagné du document SWD(</w:t>
      </w:r>
      <w:r w:rsidRPr="005A0F82">
        <w:rPr>
          <w:rFonts w:ascii="Times New Roman" w:hAnsi="Times New Roman"/>
        </w:rPr>
        <w:t>2015</w:t>
      </w:r>
      <w:r>
        <w:rPr>
          <w:rFonts w:ascii="Times New Roman" w:hAnsi="Times New Roman"/>
        </w:rPr>
        <w:t>)</w:t>
      </w:r>
      <w:r w:rsidRPr="005A0F82">
        <w:rPr>
          <w:rFonts w:ascii="Times New Roman" w:hAnsi="Times New Roman"/>
        </w:rPr>
        <w:t>500</w:t>
      </w:r>
      <w:r>
        <w:rPr>
          <w:rFonts w:ascii="Times New Roman" w:hAnsi="Times New Roman"/>
        </w:rPr>
        <w:t>.</w:t>
      </w:r>
    </w:p>
  </w:footnote>
  <w:footnote w:id="30">
    <w:p w:rsidR="00C42624" w:rsidRDefault="00C42624">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Voir, par exemple, la déclaration de l</w:t>
      </w:r>
      <w:r w:rsidR="00B0065F">
        <w:rPr>
          <w:rFonts w:ascii="Times New Roman" w:hAnsi="Times New Roman"/>
        </w:rPr>
        <w:t>’</w:t>
      </w:r>
      <w:r>
        <w:rPr>
          <w:rFonts w:ascii="Times New Roman" w:hAnsi="Times New Roman"/>
        </w:rPr>
        <w:t xml:space="preserve">Allemagne et </w:t>
      </w:r>
      <w:r w:rsidR="00C67C3E">
        <w:rPr>
          <w:rFonts w:ascii="Times New Roman" w:hAnsi="Times New Roman"/>
        </w:rPr>
        <w:t xml:space="preserve">de </w:t>
      </w:r>
      <w:r>
        <w:rPr>
          <w:rFonts w:ascii="Times New Roman" w:hAnsi="Times New Roman"/>
        </w:rPr>
        <w:t>ses voisins sur la sécurité de l</w:t>
      </w:r>
      <w:r w:rsidR="00B0065F">
        <w:rPr>
          <w:rFonts w:ascii="Times New Roman" w:hAnsi="Times New Roman"/>
        </w:rPr>
        <w:t>’</w:t>
      </w:r>
      <w:r>
        <w:rPr>
          <w:rFonts w:ascii="Times New Roman" w:hAnsi="Times New Roman"/>
        </w:rPr>
        <w:t xml:space="preserve">approvisionnement en électricité, </w:t>
      </w:r>
      <w:hyperlink r:id="rId3">
        <w:r>
          <w:rPr>
            <w:rStyle w:val="Hyperlink"/>
            <w:rFonts w:ascii="Times New Roman" w:hAnsi="Times New Roman"/>
          </w:rPr>
          <w:t>http://www.benelux.int/files/</w:t>
        </w:r>
        <w:r w:rsidRPr="005A0F82">
          <w:rPr>
            <w:rStyle w:val="Hyperlink"/>
            <w:rFonts w:ascii="Times New Roman" w:hAnsi="Times New Roman"/>
          </w:rPr>
          <w:t>4414</w:t>
        </w:r>
        <w:r>
          <w:rPr>
            <w:rStyle w:val="Hyperlink"/>
            <w:rFonts w:ascii="Times New Roman" w:hAnsi="Times New Roman"/>
          </w:rPr>
          <w:t>/</w:t>
        </w:r>
        <w:r w:rsidRPr="005A0F82">
          <w:rPr>
            <w:rStyle w:val="Hyperlink"/>
            <w:rFonts w:ascii="Times New Roman" w:hAnsi="Times New Roman"/>
          </w:rPr>
          <w:t>3375</w:t>
        </w:r>
        <w:r>
          <w:rPr>
            <w:rStyle w:val="Hyperlink"/>
            <w:rFonts w:ascii="Times New Roman" w:hAnsi="Times New Roman"/>
          </w:rPr>
          <w:t>/</w:t>
        </w:r>
        <w:r w:rsidRPr="005A0F82">
          <w:rPr>
            <w:rStyle w:val="Hyperlink"/>
            <w:rFonts w:ascii="Times New Roman" w:hAnsi="Times New Roman"/>
          </w:rPr>
          <w:t>5898</w:t>
        </w:r>
        <w:r>
          <w:rPr>
            <w:rStyle w:val="Hyperlink"/>
            <w:rFonts w:ascii="Times New Roman" w:hAnsi="Times New Roman"/>
          </w:rPr>
          <w:t>/Jointdeclaration.pdf</w:t>
        </w:r>
      </w:hyperlink>
    </w:p>
  </w:footnote>
  <w:footnote w:id="31">
    <w:p w:rsidR="00C42624" w:rsidRDefault="00C42624">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w:t>
      </w:r>
      <w:r w:rsidRPr="005A0F82">
        <w:rPr>
          <w:rFonts w:ascii="Times New Roman" w:hAnsi="Times New Roman"/>
        </w:rPr>
        <w:t>2015</w:t>
      </w:r>
      <w:r>
        <w:rPr>
          <w:rFonts w:ascii="Times New Roman" w:hAnsi="Times New Roman"/>
        </w:rPr>
        <w:t>)</w:t>
      </w:r>
      <w:r w:rsidRPr="005A0F82">
        <w:rPr>
          <w:rFonts w:ascii="Times New Roman" w:hAnsi="Times New Roman"/>
        </w:rPr>
        <w:t>6317</w:t>
      </w:r>
      <w:r>
        <w:rPr>
          <w:rFonts w:ascii="Times New Roman" w:hAnsi="Times New Roman"/>
        </w:rPr>
        <w:t>.</w:t>
      </w:r>
    </w:p>
  </w:footnote>
  <w:footnote w:id="32">
    <w:p w:rsidR="00C42624" w:rsidRDefault="00C42624">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hyperlink r:id="rId4">
        <w:r>
          <w:rPr>
            <w:rStyle w:val="Hyperlink"/>
            <w:rFonts w:ascii="Times New Roman" w:hAnsi="Times New Roman"/>
          </w:rPr>
          <w:t>http://s</w:t>
        </w:r>
        <w:r w:rsidRPr="005A0F82">
          <w:rPr>
            <w:rStyle w:val="Hyperlink"/>
            <w:rFonts w:ascii="Times New Roman" w:hAnsi="Times New Roman"/>
          </w:rPr>
          <w:t>3</w:t>
        </w:r>
        <w:r>
          <w:rPr>
            <w:rStyle w:val="Hyperlink"/>
            <w:rFonts w:ascii="Times New Roman" w:hAnsi="Times New Roman"/>
          </w:rPr>
          <w:t>platform.jrc.ec.europa.eu/s</w:t>
        </w:r>
        <w:r w:rsidRPr="005A0F82">
          <w:rPr>
            <w:rStyle w:val="Hyperlink"/>
            <w:rFonts w:ascii="Times New Roman" w:hAnsi="Times New Roman"/>
          </w:rPr>
          <w:t>3</w:t>
        </w:r>
        <w:r>
          <w:rPr>
            <w:rStyle w:val="Hyperlink"/>
            <w:rFonts w:ascii="Times New Roman" w:hAnsi="Times New Roman"/>
          </w:rPr>
          <w:t>p-energy</w:t>
        </w:r>
      </w:hyperlink>
      <w:r>
        <w:rPr>
          <w:rFonts w:ascii="Times New Roman" w:hAnsi="Times New Roman"/>
        </w:rPr>
        <w:t xml:space="preserve">. </w:t>
      </w:r>
    </w:p>
  </w:footnote>
  <w:footnote w:id="33">
    <w:p w:rsidR="00C42624" w:rsidRDefault="00C42624">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La nouvelle stratégie européenne en matière de compétences que la Commission </w:t>
      </w:r>
      <w:r w:rsidR="00037047">
        <w:rPr>
          <w:rFonts w:ascii="Times New Roman" w:hAnsi="Times New Roman"/>
        </w:rPr>
        <w:t>a entrepris d</w:t>
      </w:r>
      <w:r w:rsidR="00B0065F">
        <w:rPr>
          <w:rFonts w:ascii="Times New Roman" w:hAnsi="Times New Roman"/>
        </w:rPr>
        <w:t>’</w:t>
      </w:r>
      <w:r>
        <w:rPr>
          <w:rFonts w:ascii="Times New Roman" w:hAnsi="Times New Roman"/>
        </w:rPr>
        <w:t>élaborer devrait définir des mesures permettant de mieux anticiper les besoins en compétences et d</w:t>
      </w:r>
      <w:r w:rsidR="00B0065F">
        <w:rPr>
          <w:rFonts w:ascii="Times New Roman" w:hAnsi="Times New Roman"/>
        </w:rPr>
        <w:t>’</w:t>
      </w:r>
      <w:r>
        <w:rPr>
          <w:rFonts w:ascii="Times New Roman" w:hAnsi="Times New Roman"/>
        </w:rPr>
        <w:t>améliorer la transparence et la reconnaissance des qualifications.</w:t>
      </w:r>
    </w:p>
  </w:footnote>
  <w:footnote w:id="34">
    <w:p w:rsidR="00C42624" w:rsidRPr="003F1789" w:rsidRDefault="00C42624">
      <w:pPr>
        <w:pStyle w:val="FootnoteText"/>
        <w:ind w:left="709" w:hanging="709"/>
        <w:jc w:val="both"/>
        <w:rPr>
          <w:rFonts w:ascii="Times New Roman" w:hAnsi="Times New Roman"/>
          <w:lang w:val="en-GB"/>
        </w:rPr>
      </w:pPr>
      <w:r>
        <w:rPr>
          <w:rStyle w:val="FootnoteReference"/>
          <w:rFonts w:ascii="Times New Roman" w:hAnsi="Times New Roman"/>
        </w:rPr>
        <w:footnoteRef/>
      </w:r>
      <w:r w:rsidRPr="003F1789">
        <w:rPr>
          <w:rFonts w:ascii="Times New Roman" w:hAnsi="Times New Roman"/>
          <w:lang w:val="en-GB"/>
        </w:rPr>
        <w:t xml:space="preserve"> </w:t>
      </w:r>
      <w:r w:rsidRPr="003F1789">
        <w:rPr>
          <w:lang w:val="en-GB"/>
        </w:rPr>
        <w:tab/>
      </w:r>
      <w:r w:rsidRPr="004C02A3">
        <w:rPr>
          <w:rFonts w:ascii="Times New Roman" w:hAnsi="Times New Roman"/>
          <w:i/>
          <w:lang w:val="en-GB"/>
        </w:rPr>
        <w:t>Tax Reforms Report in the EU Member States</w:t>
      </w:r>
      <w:r w:rsidRPr="003F1789">
        <w:rPr>
          <w:rFonts w:ascii="Times New Roman" w:hAnsi="Times New Roman"/>
          <w:lang w:val="en-GB"/>
        </w:rPr>
        <w:t xml:space="preserve">, </w:t>
      </w:r>
      <w:r w:rsidRPr="005A0F82">
        <w:rPr>
          <w:rFonts w:ascii="Times New Roman" w:hAnsi="Times New Roman"/>
          <w:lang w:val="en-GB"/>
        </w:rPr>
        <w:t>2015</w:t>
      </w:r>
      <w:r w:rsidRPr="003F1789">
        <w:rPr>
          <w:rFonts w:ascii="Times New Roman" w:hAnsi="Times New Roman"/>
          <w:lang w:val="en-GB"/>
        </w:rPr>
        <w:t xml:space="preserve"> (</w:t>
      </w:r>
      <w:r w:rsidR="00037047" w:rsidRPr="003F1789">
        <w:rPr>
          <w:rFonts w:ascii="Times New Roman" w:hAnsi="Times New Roman"/>
          <w:lang w:val="en-GB"/>
        </w:rPr>
        <w:t>Novemb</w:t>
      </w:r>
      <w:r w:rsidR="00037047">
        <w:rPr>
          <w:rFonts w:ascii="Times New Roman" w:hAnsi="Times New Roman"/>
          <w:lang w:val="en-GB"/>
        </w:rPr>
        <w:t>re</w:t>
      </w:r>
      <w:r w:rsidRPr="003F1789">
        <w:rPr>
          <w:rFonts w:ascii="Times New Roman" w:hAnsi="Times New Roman"/>
          <w:lang w:val="en-GB"/>
        </w:rPr>
        <w:t xml:space="preserve">) – </w:t>
      </w:r>
      <w:r w:rsidRPr="004C02A3">
        <w:rPr>
          <w:rFonts w:ascii="Times New Roman" w:hAnsi="Times New Roman"/>
          <w:i/>
          <w:lang w:val="en-GB"/>
        </w:rPr>
        <w:t>Taxation Paper</w:t>
      </w:r>
      <w:r w:rsidRPr="003F1789">
        <w:rPr>
          <w:rFonts w:ascii="Times New Roman" w:hAnsi="Times New Roman"/>
          <w:lang w:val="en-GB"/>
        </w:rPr>
        <w:t xml:space="preserve"> </w:t>
      </w:r>
      <w:r w:rsidR="00037047">
        <w:rPr>
          <w:rFonts w:ascii="Times New Roman" w:hAnsi="Times New Roman"/>
          <w:lang w:val="en-GB"/>
        </w:rPr>
        <w:t>n</w:t>
      </w:r>
      <w:r w:rsidRPr="003F1789">
        <w:rPr>
          <w:rFonts w:ascii="Times New Roman" w:hAnsi="Times New Roman"/>
          <w:lang w:val="en-GB"/>
        </w:rPr>
        <w:t>°</w:t>
      </w:r>
      <w:r w:rsidR="00B0065F">
        <w:rPr>
          <w:rFonts w:ascii="Times New Roman" w:hAnsi="Times New Roman"/>
          <w:lang w:val="en-GB"/>
        </w:rPr>
        <w:t> </w:t>
      </w:r>
      <w:r w:rsidRPr="005A0F82">
        <w:rPr>
          <w:rFonts w:ascii="Times New Roman" w:hAnsi="Times New Roman"/>
          <w:lang w:val="en-GB"/>
        </w:rPr>
        <w:t>58</w:t>
      </w:r>
      <w:r w:rsidRPr="003F1789">
        <w:rPr>
          <w:rFonts w:ascii="Times New Roman" w:hAnsi="Times New Roman"/>
          <w:lang w:val="en-GB"/>
        </w:rPr>
        <w:t xml:space="preserve">; </w:t>
      </w:r>
      <w:hyperlink r:id="rId5">
        <w:r w:rsidRPr="003F1789">
          <w:rPr>
            <w:rStyle w:val="Hyperlink"/>
            <w:rFonts w:ascii="Times New Roman" w:hAnsi="Times New Roman"/>
            <w:lang w:val="en-GB"/>
          </w:rPr>
          <w:t>http://ec.europa.eu/taxation_customs/resources/documents/taxation/gen_info/economic_analysis/tax_papers/taxation_paper_</w:t>
        </w:r>
        <w:r w:rsidRPr="005A0F82">
          <w:rPr>
            <w:rStyle w:val="Hyperlink"/>
            <w:rFonts w:ascii="Times New Roman" w:hAnsi="Times New Roman"/>
            <w:lang w:val="en-GB"/>
          </w:rPr>
          <w:t>58</w:t>
        </w:r>
        <w:r w:rsidRPr="003F1789">
          <w:rPr>
            <w:rStyle w:val="Hyperlink"/>
            <w:rFonts w:ascii="Times New Roman" w:hAnsi="Times New Roman"/>
            <w:lang w:val="en-GB"/>
          </w:rPr>
          <w:t>.pdf</w:t>
        </w:r>
      </w:hyperlink>
    </w:p>
  </w:footnote>
  <w:footnote w:id="35">
    <w:p w:rsidR="00C42624" w:rsidRDefault="00C42624">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Les fiches pays des États membres figurent dans les documents SWD(</w:t>
      </w:r>
      <w:r w:rsidRPr="005A0F82">
        <w:rPr>
          <w:rFonts w:ascii="Times New Roman" w:hAnsi="Times New Roman"/>
        </w:rPr>
        <w:t>2015</w:t>
      </w:r>
      <w:r>
        <w:rPr>
          <w:rFonts w:ascii="Times New Roman" w:hAnsi="Times New Roman"/>
        </w:rPr>
        <w:t>)</w:t>
      </w:r>
      <w:r w:rsidRPr="005A0F82">
        <w:rPr>
          <w:rFonts w:ascii="Times New Roman" w:hAnsi="Times New Roman"/>
        </w:rPr>
        <w:t>208</w:t>
      </w:r>
      <w:r>
        <w:rPr>
          <w:rFonts w:ascii="Times New Roman" w:hAnsi="Times New Roman"/>
        </w:rPr>
        <w:t>-</w:t>
      </w:r>
      <w:r w:rsidRPr="005A0F82">
        <w:rPr>
          <w:rFonts w:ascii="Times New Roman" w:hAnsi="Times New Roman"/>
        </w:rPr>
        <w:t>209</w:t>
      </w:r>
      <w:r>
        <w:rPr>
          <w:rFonts w:ascii="Times New Roman" w:hAnsi="Times New Roman"/>
        </w:rPr>
        <w:t xml:space="preserve">, </w:t>
      </w:r>
      <w:r w:rsidRPr="005A0F82">
        <w:rPr>
          <w:rFonts w:ascii="Times New Roman" w:hAnsi="Times New Roman"/>
        </w:rPr>
        <w:t>217</w:t>
      </w:r>
      <w:r>
        <w:rPr>
          <w:rFonts w:ascii="Times New Roman" w:hAnsi="Times New Roman"/>
        </w:rPr>
        <w:t>-</w:t>
      </w:r>
      <w:r w:rsidRPr="005A0F82">
        <w:rPr>
          <w:rFonts w:ascii="Times New Roman" w:hAnsi="Times New Roman"/>
        </w:rPr>
        <w:t>242</w:t>
      </w:r>
      <w:r>
        <w:rPr>
          <w:rFonts w:ascii="Times New Roman" w:hAnsi="Times New Roman"/>
        </w:rPr>
        <w:t>.</w:t>
      </w:r>
    </w:p>
  </w:footnote>
  <w:footnote w:id="36">
    <w:p w:rsidR="00C42624" w:rsidRDefault="00C42624">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SWD(</w:t>
      </w:r>
      <w:r w:rsidRPr="005A0F82">
        <w:rPr>
          <w:rFonts w:ascii="Times New Roman" w:hAnsi="Times New Roman"/>
        </w:rPr>
        <w:t>2015</w:t>
      </w:r>
      <w:r>
        <w:rPr>
          <w:rFonts w:ascii="Times New Roman" w:hAnsi="Times New Roman"/>
        </w:rPr>
        <w:t xml:space="preserve">) </w:t>
      </w:r>
      <w:r w:rsidRPr="005A0F82">
        <w:rPr>
          <w:rFonts w:ascii="Times New Roman" w:hAnsi="Times New Roman"/>
        </w:rPr>
        <w:t>243</w:t>
      </w:r>
      <w:r>
        <w:rPr>
          <w:rFonts w:ascii="Times New Roman" w:hAnsi="Times New Roman"/>
        </w:rPr>
        <w:t>.</w:t>
      </w:r>
    </w:p>
  </w:footnote>
  <w:footnote w:id="37">
    <w:p w:rsidR="00C42624" w:rsidRDefault="00C42624">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Point </w:t>
      </w:r>
      <w:r w:rsidRPr="005A0F82">
        <w:rPr>
          <w:rFonts w:ascii="Times New Roman" w:hAnsi="Times New Roman"/>
        </w:rPr>
        <w:t>10</w:t>
      </w:r>
      <w:r>
        <w:rPr>
          <w:rFonts w:ascii="Times New Roman" w:hAnsi="Times New Roman"/>
        </w:rPr>
        <w:t xml:space="preserve"> des initiatives REFIT, annexe II du programme de travail de la Commission </w:t>
      </w:r>
      <w:r w:rsidR="00037047">
        <w:rPr>
          <w:rFonts w:ascii="Times New Roman" w:hAnsi="Times New Roman"/>
        </w:rPr>
        <w:t>[</w:t>
      </w:r>
      <w:r>
        <w:rPr>
          <w:rFonts w:ascii="Times New Roman" w:hAnsi="Times New Roman"/>
        </w:rPr>
        <w:t>COM(</w:t>
      </w:r>
      <w:r w:rsidRPr="005A0F82">
        <w:rPr>
          <w:rFonts w:ascii="Times New Roman" w:hAnsi="Times New Roman"/>
        </w:rPr>
        <w:t>2015</w:t>
      </w:r>
      <w:r>
        <w:rPr>
          <w:rFonts w:ascii="Times New Roman" w:hAnsi="Times New Roman"/>
        </w:rPr>
        <w:t>)</w:t>
      </w:r>
      <w:r w:rsidRPr="005A0F82">
        <w:rPr>
          <w:rFonts w:ascii="Times New Roman" w:hAnsi="Times New Roman"/>
        </w:rPr>
        <w:t>610</w:t>
      </w:r>
      <w:r w:rsidR="00037047">
        <w:rPr>
          <w:rFonts w:ascii="Times New Roman" w:hAnsi="Times New Roma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00AD" w:rsidRDefault="00AB00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00AD" w:rsidRDefault="00AB00A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00AD" w:rsidRDefault="00AB00A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624" w:rsidRDefault="00C4262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624" w:rsidRDefault="00C42624">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624" w:rsidRDefault="00C426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26A87"/>
    <w:multiLevelType w:val="hybridMultilevel"/>
    <w:tmpl w:val="03B0F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60B5E80"/>
    <w:multiLevelType w:val="hybridMultilevel"/>
    <w:tmpl w:val="41782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8C615B3"/>
    <w:multiLevelType w:val="hybridMultilevel"/>
    <w:tmpl w:val="41CA523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nsid w:val="2840493D"/>
    <w:multiLevelType w:val="hybridMultilevel"/>
    <w:tmpl w:val="81E21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1256A52"/>
    <w:multiLevelType w:val="hybridMultilevel"/>
    <w:tmpl w:val="50043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CA64B7C"/>
    <w:multiLevelType w:val="hybridMultilevel"/>
    <w:tmpl w:val="56C2AD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63377151"/>
    <w:multiLevelType w:val="hybridMultilevel"/>
    <w:tmpl w:val="EA64A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3"/>
  </w:num>
  <w:num w:numId="5">
    <w:abstractNumId w:val="6"/>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defaultTabStop w:val="720"/>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0B8E8C61289E4953AF6BD2F1698A5A0D"/>
    <w:docVar w:name="LW_CROSSREFERENCE" w:val="{SWD(2015) 208}_x000a_{SWD(2015) 209}_x000a_{SWD(2015) 217 à 243}"/>
    <w:docVar w:name="LW_DocType" w:val="NORMAL"/>
    <w:docVar w:name="LW_EMISSION" w:val="18.11.2015"/>
    <w:docVar w:name="LW_EMISSION_ISODATE" w:val="2015-11-18"/>
    <w:docVar w:name="LW_EMISSION_LOCATION" w:val="BRX"/>
    <w:docVar w:name="LW_EMISSION_PREFIX" w:val="Bruxelles, le "/>
    <w:docVar w:name="LW_EMISSION_SUFFIX" w:val=" "/>
    <w:docVar w:name="LW_ID_DOCTYPE_NONLW" w:val="CP-009"/>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lt;EMPTY&gt;"/>
    <w:docVar w:name="LW_REF.INST.NEW_TEXT" w:val="(2015) 572 final"/>
    <w:docVar w:name="LW_REF.INTERNE" w:val="&lt;UNUSED&gt;"/>
    <w:docVar w:name="LW_SOUS.TITRE.OBJ.CP" w:val="&lt;UNUSED&gt;"/>
    <w:docVar w:name="LW_SUPERTITRE" w:val="&lt;UNUSED&gt;"/>
    <w:docVar w:name="LW_TITRE.OBJ.CP" w:val="État de l'union de l'énergie 2015"/>
    <w:docVar w:name="LW_TYPE.DOC.CP" w:val="COMMUNICATION DE LA COMMISSION"/>
    <w:docVar w:name="LW_TYPE.DOC.CP.USERTEXT" w:val="AU PARLEMENT EUROPÉEN, AU CONSEIL, AU COMITÉ ÉCONOMIQUE ET SOCIAL EUROPÉEN, AU COMITÉ DES RÉGIONS ET À LA BANQUE EUROPÉENNE D'INVESTISSEMENT"/>
  </w:docVars>
  <w:rsids>
    <w:rsidRoot w:val="00097C2F"/>
    <w:rsid w:val="0002707E"/>
    <w:rsid w:val="000311FF"/>
    <w:rsid w:val="00037047"/>
    <w:rsid w:val="0009070C"/>
    <w:rsid w:val="00097C2F"/>
    <w:rsid w:val="000D65BE"/>
    <w:rsid w:val="00142442"/>
    <w:rsid w:val="002479C4"/>
    <w:rsid w:val="002F1B65"/>
    <w:rsid w:val="00322E18"/>
    <w:rsid w:val="00323CF7"/>
    <w:rsid w:val="003933F0"/>
    <w:rsid w:val="003F1789"/>
    <w:rsid w:val="004B1A33"/>
    <w:rsid w:val="004C02A3"/>
    <w:rsid w:val="00543C4A"/>
    <w:rsid w:val="00577F0F"/>
    <w:rsid w:val="005A0F82"/>
    <w:rsid w:val="006B0304"/>
    <w:rsid w:val="007A06FF"/>
    <w:rsid w:val="007C33CE"/>
    <w:rsid w:val="008558A2"/>
    <w:rsid w:val="008C0DFC"/>
    <w:rsid w:val="00901673"/>
    <w:rsid w:val="0095452D"/>
    <w:rsid w:val="00A330E7"/>
    <w:rsid w:val="00A72238"/>
    <w:rsid w:val="00AB00AD"/>
    <w:rsid w:val="00AB1AA0"/>
    <w:rsid w:val="00B0065F"/>
    <w:rsid w:val="00B278F6"/>
    <w:rsid w:val="00B43FA5"/>
    <w:rsid w:val="00B46298"/>
    <w:rsid w:val="00C31BDC"/>
    <w:rsid w:val="00C42624"/>
    <w:rsid w:val="00C67C3E"/>
    <w:rsid w:val="00D71B00"/>
    <w:rsid w:val="00D96A6A"/>
    <w:rsid w:val="00DB1644"/>
    <w:rsid w:val="00E21E2D"/>
    <w:rsid w:val="00E41847"/>
    <w:rsid w:val="00ED5241"/>
    <w:rsid w:val="00F2762B"/>
  </w:rsids>
  <m:mathPr>
    <m:mathFont m:val="Cambria Math"/>
    <m:brkBin m:val="before"/>
    <m:brkBinSub m:val="--"/>
    <m:smallFrac m:val="0"/>
    <m:dispDef/>
    <m:lMargin m:val="0"/>
    <m:rMargin m:val="0"/>
    <m:defJc m:val="centerGroup"/>
    <m:wrapIndent m:val="1440"/>
    <m:intLim m:val="subSup"/>
    <m:naryLim m:val="undOvr"/>
  </m:mathPr>
  <w:themeFontLang w:val="fr-B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fr-FR" w:eastAsia="fr-FR" w:bidi="fr-FR"/>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locked="1" w:semiHidden="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paragraph" w:styleId="Heading1">
    <w:name w:val="heading 1"/>
    <w:basedOn w:val="Normal"/>
    <w:next w:val="Normal"/>
    <w:link w:val="Heading1Char"/>
    <w:qFormat/>
    <w:locked/>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gedecouverture">
    <w:name w:val="Page de couverture"/>
    <w:basedOn w:val="Normal"/>
    <w:next w:val="Normal"/>
    <w:uiPriority w:val="99"/>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uiPriority w:val="99"/>
    <w:pPr>
      <w:tabs>
        <w:tab w:val="center" w:pos="4535"/>
        <w:tab w:val="right" w:pos="9071"/>
        <w:tab w:val="right" w:pos="9921"/>
      </w:tabs>
      <w:spacing w:before="360" w:after="0" w:line="240" w:lineRule="auto"/>
      <w:ind w:left="-850" w:right="-850"/>
    </w:pPr>
    <w:rPr>
      <w:rFonts w:ascii="Times New Roman" w:hAnsi="Times New Roman"/>
      <w:sz w:val="24"/>
      <w:szCs w:val="24"/>
    </w:rPr>
  </w:style>
  <w:style w:type="character" w:customStyle="1" w:styleId="FooterCoverPageChar">
    <w:name w:val="Footer Cover Page Char"/>
    <w:basedOn w:val="DefaultParagraphFont"/>
    <w:link w:val="FooterCoverPage"/>
    <w:uiPriority w:val="99"/>
    <w:locked/>
    <w:rPr>
      <w:rFonts w:ascii="Times New Roman" w:hAnsi="Times New Roman"/>
      <w:sz w:val="24"/>
      <w:szCs w:val="24"/>
    </w:rPr>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locked/>
    <w:rPr>
      <w:rFonts w:cs="Times New Roman"/>
      <w:sz w:val="20"/>
      <w:szCs w:val="20"/>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Footnot"/>
    <w:basedOn w:val="DefaultParagraphFont"/>
    <w:uiPriority w:val="99"/>
    <w:rPr>
      <w:rFonts w:cs="Times New Roman"/>
      <w:vertAlign w:val="superscript"/>
    </w:rPr>
  </w:style>
  <w:style w:type="character" w:styleId="Hyperlink">
    <w:name w:val="Hyperlink"/>
    <w:basedOn w:val="DefaultParagraphFont"/>
    <w:uiPriority w:val="99"/>
    <w:rPr>
      <w:rFonts w:cs="Times New Roman"/>
      <w:color w:val="0000FF"/>
      <w:u w:val="single"/>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paragraph" w:styleId="Header">
    <w:name w:val="header"/>
    <w:basedOn w:val="Normal"/>
    <w:link w:val="HeaderChar"/>
    <w:uiPriority w:val="99"/>
    <w:pPr>
      <w:tabs>
        <w:tab w:val="center" w:pos="4536"/>
        <w:tab w:val="right" w:pos="9072"/>
      </w:tabs>
      <w:spacing w:after="0" w:line="240" w:lineRule="auto"/>
    </w:pPr>
  </w:style>
  <w:style w:type="character" w:customStyle="1" w:styleId="HeaderChar">
    <w:name w:val="Header Char"/>
    <w:basedOn w:val="DefaultParagraphFont"/>
    <w:link w:val="Header"/>
    <w:uiPriority w:val="99"/>
    <w:locked/>
    <w:rPr>
      <w:rFonts w:cs="Times New Roman"/>
    </w:rPr>
  </w:style>
  <w:style w:type="paragraph" w:styleId="Footer">
    <w:name w:val="footer"/>
    <w:basedOn w:val="Normal"/>
    <w:link w:val="FooterChar"/>
    <w:uiPriority w:val="99"/>
    <w:pPr>
      <w:tabs>
        <w:tab w:val="center" w:pos="4536"/>
        <w:tab w:val="right" w:pos="9072"/>
      </w:tabs>
      <w:spacing w:after="0" w:line="240" w:lineRule="auto"/>
    </w:pPr>
  </w:style>
  <w:style w:type="character" w:customStyle="1" w:styleId="FooterChar">
    <w:name w:val="Footer Char"/>
    <w:basedOn w:val="DefaultParagraphFont"/>
    <w:link w:val="Footer"/>
    <w:uiPriority w:val="99"/>
    <w:locked/>
    <w:rPr>
      <w:rFonts w:cs="Times New Roman"/>
    </w:rPr>
  </w:style>
  <w:style w:type="paragraph" w:customStyle="1" w:styleId="Text2">
    <w:name w:val="Text 2"/>
    <w:basedOn w:val="Normal"/>
    <w:pPr>
      <w:tabs>
        <w:tab w:val="left" w:pos="2160"/>
      </w:tabs>
      <w:spacing w:after="240" w:line="240" w:lineRule="auto"/>
      <w:ind w:left="1077"/>
      <w:jc w:val="both"/>
    </w:pPr>
    <w:rPr>
      <w:rFonts w:ascii="Times New Roman" w:eastAsia="Times New Roman" w:hAnsi="Times New Roman"/>
      <w:sz w:val="24"/>
      <w:szCs w:val="20"/>
    </w:rPr>
  </w:style>
  <w:style w:type="character" w:customStyle="1" w:styleId="st1">
    <w:name w:val="st1"/>
    <w:basedOn w:val="DefaultParagraphFont"/>
  </w:style>
  <w:style w:type="character" w:customStyle="1" w:styleId="Heading1Char">
    <w:name w:val="Heading 1 Char"/>
    <w:basedOn w:val="DefaultParagraphFont"/>
    <w:link w:val="Heading1"/>
    <w:rPr>
      <w:rFonts w:asciiTheme="majorHAnsi" w:eastAsiaTheme="majorEastAsia" w:hAnsiTheme="majorHAnsi" w:cstheme="majorBidi"/>
      <w:b/>
      <w:bCs/>
      <w:color w:val="345A8A" w:themeColor="accent1" w:themeShade="B5"/>
      <w:sz w:val="32"/>
      <w:szCs w:val="32"/>
      <w:lang w:val="fr-FR" w:eastAsia="fr-FR"/>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fr-FR" w:eastAsia="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fr-FR" w:eastAsia="fr-FR"/>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pPr>
      <w:autoSpaceDE w:val="0"/>
      <w:autoSpaceDN w:val="0"/>
      <w:adjustRightInd w:val="0"/>
    </w:pPr>
    <w:rPr>
      <w:rFonts w:ascii="Times New Roman" w:eastAsiaTheme="minorHAnsi" w:hAnsi="Times New Roman"/>
      <w:color w:val="000000"/>
      <w:sz w:val="24"/>
      <w:szCs w:val="24"/>
    </w:rPr>
  </w:style>
  <w:style w:type="paragraph" w:styleId="Revision">
    <w:name w:val="Revision"/>
    <w:hidden/>
    <w:uiPriority w:val="99"/>
    <w:semiHidden/>
  </w:style>
  <w:style w:type="character" w:customStyle="1" w:styleId="Marker">
    <w:name w:val="Marker"/>
    <w:basedOn w:val="DefaultParagraphFont"/>
    <w:rPr>
      <w:color w:val="0000FF"/>
      <w:shd w:val="clear" w:color="auto" w:fill="auto"/>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mallCaps/>
      <w:sz w:val="24"/>
      <w:szCs w:val="24"/>
    </w:rPr>
  </w:style>
  <w:style w:type="character" w:customStyle="1" w:styleId="HeaderCoverPageChar">
    <w:name w:val="Header Cover Page Char"/>
    <w:basedOn w:val="DefaultParagraphFont"/>
    <w:link w:val="HeaderCoverPage"/>
    <w:rPr>
      <w:rFonts w:ascii="Times New Roman" w:hAnsi="Times New Roman"/>
      <w:smallCap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fr-FR" w:eastAsia="fr-FR" w:bidi="fr-FR"/>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locked="1" w:semiHidden="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paragraph" w:styleId="Heading1">
    <w:name w:val="heading 1"/>
    <w:basedOn w:val="Normal"/>
    <w:next w:val="Normal"/>
    <w:link w:val="Heading1Char"/>
    <w:qFormat/>
    <w:locked/>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gedecouverture">
    <w:name w:val="Page de couverture"/>
    <w:basedOn w:val="Normal"/>
    <w:next w:val="Normal"/>
    <w:uiPriority w:val="99"/>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uiPriority w:val="99"/>
    <w:pPr>
      <w:tabs>
        <w:tab w:val="center" w:pos="4535"/>
        <w:tab w:val="right" w:pos="9071"/>
        <w:tab w:val="right" w:pos="9921"/>
      </w:tabs>
      <w:spacing w:before="360" w:after="0" w:line="240" w:lineRule="auto"/>
      <w:ind w:left="-850" w:right="-850"/>
    </w:pPr>
    <w:rPr>
      <w:rFonts w:ascii="Times New Roman" w:hAnsi="Times New Roman"/>
      <w:sz w:val="24"/>
      <w:szCs w:val="24"/>
    </w:rPr>
  </w:style>
  <w:style w:type="character" w:customStyle="1" w:styleId="FooterCoverPageChar">
    <w:name w:val="Footer Cover Page Char"/>
    <w:basedOn w:val="DefaultParagraphFont"/>
    <w:link w:val="FooterCoverPage"/>
    <w:uiPriority w:val="99"/>
    <w:locked/>
    <w:rPr>
      <w:rFonts w:ascii="Times New Roman" w:hAnsi="Times New Roman"/>
      <w:sz w:val="24"/>
      <w:szCs w:val="24"/>
    </w:rPr>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locked/>
    <w:rPr>
      <w:rFonts w:cs="Times New Roman"/>
      <w:sz w:val="20"/>
      <w:szCs w:val="20"/>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Footnot"/>
    <w:basedOn w:val="DefaultParagraphFont"/>
    <w:uiPriority w:val="99"/>
    <w:rPr>
      <w:rFonts w:cs="Times New Roman"/>
      <w:vertAlign w:val="superscript"/>
    </w:rPr>
  </w:style>
  <w:style w:type="character" w:styleId="Hyperlink">
    <w:name w:val="Hyperlink"/>
    <w:basedOn w:val="DefaultParagraphFont"/>
    <w:uiPriority w:val="99"/>
    <w:rPr>
      <w:rFonts w:cs="Times New Roman"/>
      <w:color w:val="0000FF"/>
      <w:u w:val="single"/>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paragraph" w:styleId="Header">
    <w:name w:val="header"/>
    <w:basedOn w:val="Normal"/>
    <w:link w:val="HeaderChar"/>
    <w:uiPriority w:val="99"/>
    <w:pPr>
      <w:tabs>
        <w:tab w:val="center" w:pos="4536"/>
        <w:tab w:val="right" w:pos="9072"/>
      </w:tabs>
      <w:spacing w:after="0" w:line="240" w:lineRule="auto"/>
    </w:pPr>
  </w:style>
  <w:style w:type="character" w:customStyle="1" w:styleId="HeaderChar">
    <w:name w:val="Header Char"/>
    <w:basedOn w:val="DefaultParagraphFont"/>
    <w:link w:val="Header"/>
    <w:uiPriority w:val="99"/>
    <w:locked/>
    <w:rPr>
      <w:rFonts w:cs="Times New Roman"/>
    </w:rPr>
  </w:style>
  <w:style w:type="paragraph" w:styleId="Footer">
    <w:name w:val="footer"/>
    <w:basedOn w:val="Normal"/>
    <w:link w:val="FooterChar"/>
    <w:uiPriority w:val="99"/>
    <w:pPr>
      <w:tabs>
        <w:tab w:val="center" w:pos="4536"/>
        <w:tab w:val="right" w:pos="9072"/>
      </w:tabs>
      <w:spacing w:after="0" w:line="240" w:lineRule="auto"/>
    </w:pPr>
  </w:style>
  <w:style w:type="character" w:customStyle="1" w:styleId="FooterChar">
    <w:name w:val="Footer Char"/>
    <w:basedOn w:val="DefaultParagraphFont"/>
    <w:link w:val="Footer"/>
    <w:uiPriority w:val="99"/>
    <w:locked/>
    <w:rPr>
      <w:rFonts w:cs="Times New Roman"/>
    </w:rPr>
  </w:style>
  <w:style w:type="paragraph" w:customStyle="1" w:styleId="Text2">
    <w:name w:val="Text 2"/>
    <w:basedOn w:val="Normal"/>
    <w:pPr>
      <w:tabs>
        <w:tab w:val="left" w:pos="2160"/>
      </w:tabs>
      <w:spacing w:after="240" w:line="240" w:lineRule="auto"/>
      <w:ind w:left="1077"/>
      <w:jc w:val="both"/>
    </w:pPr>
    <w:rPr>
      <w:rFonts w:ascii="Times New Roman" w:eastAsia="Times New Roman" w:hAnsi="Times New Roman"/>
      <w:sz w:val="24"/>
      <w:szCs w:val="20"/>
    </w:rPr>
  </w:style>
  <w:style w:type="character" w:customStyle="1" w:styleId="st1">
    <w:name w:val="st1"/>
    <w:basedOn w:val="DefaultParagraphFont"/>
  </w:style>
  <w:style w:type="character" w:customStyle="1" w:styleId="Heading1Char">
    <w:name w:val="Heading 1 Char"/>
    <w:basedOn w:val="DefaultParagraphFont"/>
    <w:link w:val="Heading1"/>
    <w:rPr>
      <w:rFonts w:asciiTheme="majorHAnsi" w:eastAsiaTheme="majorEastAsia" w:hAnsiTheme="majorHAnsi" w:cstheme="majorBidi"/>
      <w:b/>
      <w:bCs/>
      <w:color w:val="345A8A" w:themeColor="accent1" w:themeShade="B5"/>
      <w:sz w:val="32"/>
      <w:szCs w:val="32"/>
      <w:lang w:val="fr-FR" w:eastAsia="fr-FR"/>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fr-FR" w:eastAsia="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fr-FR" w:eastAsia="fr-FR"/>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pPr>
      <w:autoSpaceDE w:val="0"/>
      <w:autoSpaceDN w:val="0"/>
      <w:adjustRightInd w:val="0"/>
    </w:pPr>
    <w:rPr>
      <w:rFonts w:ascii="Times New Roman" w:eastAsiaTheme="minorHAnsi" w:hAnsi="Times New Roman"/>
      <w:color w:val="000000"/>
      <w:sz w:val="24"/>
      <w:szCs w:val="24"/>
    </w:rPr>
  </w:style>
  <w:style w:type="paragraph" w:styleId="Revision">
    <w:name w:val="Revision"/>
    <w:hidden/>
    <w:uiPriority w:val="99"/>
    <w:semiHidden/>
  </w:style>
  <w:style w:type="character" w:customStyle="1" w:styleId="Marker">
    <w:name w:val="Marker"/>
    <w:basedOn w:val="DefaultParagraphFont"/>
    <w:rPr>
      <w:color w:val="0000FF"/>
      <w:shd w:val="clear" w:color="auto" w:fill="auto"/>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mallCaps/>
      <w:sz w:val="24"/>
      <w:szCs w:val="24"/>
    </w:rPr>
  </w:style>
  <w:style w:type="character" w:customStyle="1" w:styleId="HeaderCoverPageChar">
    <w:name w:val="Header Cover Page Char"/>
    <w:basedOn w:val="DefaultParagraphFont"/>
    <w:link w:val="HeaderCoverPage"/>
    <w:rPr>
      <w:rFonts w:ascii="Times New Roman" w:hAnsi="Times New Roman"/>
      <w:smallCap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941933">
      <w:marLeft w:val="0"/>
      <w:marRight w:val="0"/>
      <w:marTop w:val="0"/>
      <w:marBottom w:val="0"/>
      <w:divBdr>
        <w:top w:val="none" w:sz="0" w:space="0" w:color="auto"/>
        <w:left w:val="none" w:sz="0" w:space="0" w:color="auto"/>
        <w:bottom w:val="none" w:sz="0" w:space="0" w:color="auto"/>
        <w:right w:val="none" w:sz="0" w:space="0" w:color="auto"/>
      </w:divBdr>
      <w:divsChild>
        <w:div w:id="447941915">
          <w:marLeft w:val="0"/>
          <w:marRight w:val="0"/>
          <w:marTop w:val="0"/>
          <w:marBottom w:val="0"/>
          <w:divBdr>
            <w:top w:val="none" w:sz="0" w:space="0" w:color="auto"/>
            <w:left w:val="none" w:sz="0" w:space="0" w:color="auto"/>
            <w:bottom w:val="none" w:sz="0" w:space="0" w:color="auto"/>
            <w:right w:val="none" w:sz="0" w:space="0" w:color="auto"/>
          </w:divBdr>
          <w:divsChild>
            <w:div w:id="447941942">
              <w:marLeft w:val="0"/>
              <w:marRight w:val="0"/>
              <w:marTop w:val="0"/>
              <w:marBottom w:val="0"/>
              <w:divBdr>
                <w:top w:val="none" w:sz="0" w:space="0" w:color="auto"/>
                <w:left w:val="none" w:sz="0" w:space="0" w:color="auto"/>
                <w:bottom w:val="none" w:sz="0" w:space="0" w:color="auto"/>
                <w:right w:val="none" w:sz="0" w:space="0" w:color="auto"/>
              </w:divBdr>
              <w:divsChild>
                <w:div w:id="447941951">
                  <w:marLeft w:val="0"/>
                  <w:marRight w:val="0"/>
                  <w:marTop w:val="0"/>
                  <w:marBottom w:val="0"/>
                  <w:divBdr>
                    <w:top w:val="none" w:sz="0" w:space="0" w:color="auto"/>
                    <w:left w:val="none" w:sz="0" w:space="0" w:color="auto"/>
                    <w:bottom w:val="none" w:sz="0" w:space="0" w:color="auto"/>
                    <w:right w:val="none" w:sz="0" w:space="0" w:color="auto"/>
                  </w:divBdr>
                  <w:divsChild>
                    <w:div w:id="447941941">
                      <w:marLeft w:val="0"/>
                      <w:marRight w:val="0"/>
                      <w:marTop w:val="0"/>
                      <w:marBottom w:val="0"/>
                      <w:divBdr>
                        <w:top w:val="none" w:sz="0" w:space="0" w:color="auto"/>
                        <w:left w:val="none" w:sz="0" w:space="0" w:color="auto"/>
                        <w:bottom w:val="none" w:sz="0" w:space="0" w:color="auto"/>
                        <w:right w:val="none" w:sz="0" w:space="0" w:color="auto"/>
                      </w:divBdr>
                      <w:divsChild>
                        <w:div w:id="447941898">
                          <w:marLeft w:val="0"/>
                          <w:marRight w:val="0"/>
                          <w:marTop w:val="0"/>
                          <w:marBottom w:val="0"/>
                          <w:divBdr>
                            <w:top w:val="none" w:sz="0" w:space="0" w:color="auto"/>
                            <w:left w:val="none" w:sz="0" w:space="0" w:color="auto"/>
                            <w:bottom w:val="none" w:sz="0" w:space="0" w:color="auto"/>
                            <w:right w:val="none" w:sz="0" w:space="0" w:color="auto"/>
                          </w:divBdr>
                          <w:divsChild>
                            <w:div w:id="447941905">
                              <w:marLeft w:val="0"/>
                              <w:marRight w:val="0"/>
                              <w:marTop w:val="0"/>
                              <w:marBottom w:val="0"/>
                              <w:divBdr>
                                <w:top w:val="none" w:sz="0" w:space="0" w:color="auto"/>
                                <w:left w:val="none" w:sz="0" w:space="0" w:color="auto"/>
                                <w:bottom w:val="none" w:sz="0" w:space="0" w:color="auto"/>
                                <w:right w:val="none" w:sz="0" w:space="0" w:color="auto"/>
                              </w:divBdr>
                              <w:divsChild>
                                <w:div w:id="447941921">
                                  <w:marLeft w:val="0"/>
                                  <w:marRight w:val="0"/>
                                  <w:marTop w:val="0"/>
                                  <w:marBottom w:val="0"/>
                                  <w:divBdr>
                                    <w:top w:val="none" w:sz="0" w:space="0" w:color="auto"/>
                                    <w:left w:val="none" w:sz="0" w:space="0" w:color="auto"/>
                                    <w:bottom w:val="none" w:sz="0" w:space="0" w:color="auto"/>
                                    <w:right w:val="none" w:sz="0" w:space="0" w:color="auto"/>
                                  </w:divBdr>
                                  <w:divsChild>
                                    <w:div w:id="447941931">
                                      <w:marLeft w:val="0"/>
                                      <w:marRight w:val="0"/>
                                      <w:marTop w:val="0"/>
                                      <w:marBottom w:val="0"/>
                                      <w:divBdr>
                                        <w:top w:val="none" w:sz="0" w:space="0" w:color="auto"/>
                                        <w:left w:val="none" w:sz="0" w:space="0" w:color="auto"/>
                                        <w:bottom w:val="none" w:sz="0" w:space="0" w:color="auto"/>
                                        <w:right w:val="none" w:sz="0" w:space="0" w:color="auto"/>
                                      </w:divBdr>
                                      <w:divsChild>
                                        <w:div w:id="447941924">
                                          <w:marLeft w:val="0"/>
                                          <w:marRight w:val="0"/>
                                          <w:marTop w:val="0"/>
                                          <w:marBottom w:val="0"/>
                                          <w:divBdr>
                                            <w:top w:val="none" w:sz="0" w:space="0" w:color="auto"/>
                                            <w:left w:val="none" w:sz="0" w:space="0" w:color="auto"/>
                                            <w:bottom w:val="none" w:sz="0" w:space="0" w:color="auto"/>
                                            <w:right w:val="none" w:sz="0" w:space="0" w:color="auto"/>
                                          </w:divBdr>
                                          <w:divsChild>
                                            <w:div w:id="447941922">
                                              <w:marLeft w:val="0"/>
                                              <w:marRight w:val="0"/>
                                              <w:marTop w:val="0"/>
                                              <w:marBottom w:val="0"/>
                                              <w:divBdr>
                                                <w:top w:val="none" w:sz="0" w:space="0" w:color="auto"/>
                                                <w:left w:val="none" w:sz="0" w:space="0" w:color="auto"/>
                                                <w:bottom w:val="none" w:sz="0" w:space="0" w:color="auto"/>
                                                <w:right w:val="none" w:sz="0" w:space="0" w:color="auto"/>
                                              </w:divBdr>
                                              <w:divsChild>
                                                <w:div w:id="447941913">
                                                  <w:marLeft w:val="0"/>
                                                  <w:marRight w:val="0"/>
                                                  <w:marTop w:val="0"/>
                                                  <w:marBottom w:val="0"/>
                                                  <w:divBdr>
                                                    <w:top w:val="none" w:sz="0" w:space="0" w:color="auto"/>
                                                    <w:left w:val="none" w:sz="0" w:space="0" w:color="auto"/>
                                                    <w:bottom w:val="none" w:sz="0" w:space="0" w:color="auto"/>
                                                    <w:right w:val="none" w:sz="0" w:space="0" w:color="auto"/>
                                                  </w:divBdr>
                                                  <w:divsChild>
                                                    <w:div w:id="447941891">
                                                      <w:marLeft w:val="0"/>
                                                      <w:marRight w:val="0"/>
                                                      <w:marTop w:val="0"/>
                                                      <w:marBottom w:val="0"/>
                                                      <w:divBdr>
                                                        <w:top w:val="none" w:sz="0" w:space="0" w:color="auto"/>
                                                        <w:left w:val="none" w:sz="0" w:space="0" w:color="auto"/>
                                                        <w:bottom w:val="none" w:sz="0" w:space="0" w:color="auto"/>
                                                        <w:right w:val="none" w:sz="0" w:space="0" w:color="auto"/>
                                                      </w:divBdr>
                                                      <w:divsChild>
                                                        <w:div w:id="447941952">
                                                          <w:marLeft w:val="0"/>
                                                          <w:marRight w:val="0"/>
                                                          <w:marTop w:val="0"/>
                                                          <w:marBottom w:val="0"/>
                                                          <w:divBdr>
                                                            <w:top w:val="none" w:sz="0" w:space="0" w:color="auto"/>
                                                            <w:left w:val="none" w:sz="0" w:space="0" w:color="auto"/>
                                                            <w:bottom w:val="none" w:sz="0" w:space="0" w:color="auto"/>
                                                            <w:right w:val="none" w:sz="0" w:space="0" w:color="auto"/>
                                                          </w:divBdr>
                                                          <w:divsChild>
                                                            <w:div w:id="447941949">
                                                              <w:marLeft w:val="0"/>
                                                              <w:marRight w:val="0"/>
                                                              <w:marTop w:val="0"/>
                                                              <w:marBottom w:val="0"/>
                                                              <w:divBdr>
                                                                <w:top w:val="none" w:sz="0" w:space="0" w:color="auto"/>
                                                                <w:left w:val="none" w:sz="0" w:space="0" w:color="auto"/>
                                                                <w:bottom w:val="none" w:sz="0" w:space="0" w:color="auto"/>
                                                                <w:right w:val="none" w:sz="0" w:space="0" w:color="auto"/>
                                                              </w:divBdr>
                                                              <w:divsChild>
                                                                <w:div w:id="447941894">
                                                                  <w:marLeft w:val="0"/>
                                                                  <w:marRight w:val="0"/>
                                                                  <w:marTop w:val="0"/>
                                                                  <w:marBottom w:val="0"/>
                                                                  <w:divBdr>
                                                                    <w:top w:val="none" w:sz="0" w:space="0" w:color="auto"/>
                                                                    <w:left w:val="none" w:sz="0" w:space="0" w:color="auto"/>
                                                                    <w:bottom w:val="none" w:sz="0" w:space="0" w:color="auto"/>
                                                                    <w:right w:val="none" w:sz="0" w:space="0" w:color="auto"/>
                                                                  </w:divBdr>
                                                                  <w:divsChild>
                                                                    <w:div w:id="447941897">
                                                                      <w:marLeft w:val="0"/>
                                                                      <w:marRight w:val="0"/>
                                                                      <w:marTop w:val="0"/>
                                                                      <w:marBottom w:val="0"/>
                                                                      <w:divBdr>
                                                                        <w:top w:val="none" w:sz="0" w:space="0" w:color="auto"/>
                                                                        <w:left w:val="none" w:sz="0" w:space="0" w:color="auto"/>
                                                                        <w:bottom w:val="none" w:sz="0" w:space="0" w:color="auto"/>
                                                                        <w:right w:val="none" w:sz="0" w:space="0" w:color="auto"/>
                                                                      </w:divBdr>
                                                                      <w:divsChild>
                                                                        <w:div w:id="447941936">
                                                                          <w:marLeft w:val="0"/>
                                                                          <w:marRight w:val="0"/>
                                                                          <w:marTop w:val="0"/>
                                                                          <w:marBottom w:val="0"/>
                                                                          <w:divBdr>
                                                                            <w:top w:val="none" w:sz="0" w:space="0" w:color="auto"/>
                                                                            <w:left w:val="none" w:sz="0" w:space="0" w:color="auto"/>
                                                                            <w:bottom w:val="none" w:sz="0" w:space="0" w:color="auto"/>
                                                                            <w:right w:val="none" w:sz="0" w:space="0" w:color="auto"/>
                                                                          </w:divBdr>
                                                                          <w:divsChild>
                                                                            <w:div w:id="447941904">
                                                                              <w:marLeft w:val="0"/>
                                                                              <w:marRight w:val="0"/>
                                                                              <w:marTop w:val="0"/>
                                                                              <w:marBottom w:val="0"/>
                                                                              <w:divBdr>
                                                                                <w:top w:val="none" w:sz="0" w:space="0" w:color="auto"/>
                                                                                <w:left w:val="none" w:sz="0" w:space="0" w:color="auto"/>
                                                                                <w:bottom w:val="none" w:sz="0" w:space="0" w:color="auto"/>
                                                                                <w:right w:val="none" w:sz="0" w:space="0" w:color="auto"/>
                                                                              </w:divBdr>
                                                                              <w:divsChild>
                                                                                <w:div w:id="447941895">
                                                                                  <w:marLeft w:val="0"/>
                                                                                  <w:marRight w:val="0"/>
                                                                                  <w:marTop w:val="0"/>
                                                                                  <w:marBottom w:val="0"/>
                                                                                  <w:divBdr>
                                                                                    <w:top w:val="none" w:sz="0" w:space="0" w:color="auto"/>
                                                                                    <w:left w:val="none" w:sz="0" w:space="0" w:color="auto"/>
                                                                                    <w:bottom w:val="none" w:sz="0" w:space="0" w:color="auto"/>
                                                                                    <w:right w:val="none" w:sz="0" w:space="0" w:color="auto"/>
                                                                                  </w:divBdr>
                                                                                  <w:divsChild>
                                                                                    <w:div w:id="447941926">
                                                                                      <w:marLeft w:val="0"/>
                                                                                      <w:marRight w:val="0"/>
                                                                                      <w:marTop w:val="0"/>
                                                                                      <w:marBottom w:val="0"/>
                                                                                      <w:divBdr>
                                                                                        <w:top w:val="none" w:sz="0" w:space="0" w:color="auto"/>
                                                                                        <w:left w:val="none" w:sz="0" w:space="0" w:color="auto"/>
                                                                                        <w:bottom w:val="none" w:sz="0" w:space="0" w:color="auto"/>
                                                                                        <w:right w:val="none" w:sz="0" w:space="0" w:color="auto"/>
                                                                                      </w:divBdr>
                                                                                      <w:divsChild>
                                                                                        <w:div w:id="447941947">
                                                                                          <w:marLeft w:val="0"/>
                                                                                          <w:marRight w:val="0"/>
                                                                                          <w:marTop w:val="0"/>
                                                                                          <w:marBottom w:val="0"/>
                                                                                          <w:divBdr>
                                                                                            <w:top w:val="none" w:sz="0" w:space="0" w:color="auto"/>
                                                                                            <w:left w:val="none" w:sz="0" w:space="0" w:color="auto"/>
                                                                                            <w:bottom w:val="none" w:sz="0" w:space="0" w:color="auto"/>
                                                                                            <w:right w:val="none" w:sz="0" w:space="0" w:color="auto"/>
                                                                                          </w:divBdr>
                                                                                          <w:divsChild>
                                                                                            <w:div w:id="447941916">
                                                                                              <w:marLeft w:val="0"/>
                                                                                              <w:marRight w:val="0"/>
                                                                                              <w:marTop w:val="0"/>
                                                                                              <w:marBottom w:val="0"/>
                                                                                              <w:divBdr>
                                                                                                <w:top w:val="none" w:sz="0" w:space="0" w:color="auto"/>
                                                                                                <w:left w:val="none" w:sz="0" w:space="0" w:color="auto"/>
                                                                                                <w:bottom w:val="none" w:sz="0" w:space="0" w:color="auto"/>
                                                                                                <w:right w:val="none" w:sz="0" w:space="0" w:color="auto"/>
                                                                                              </w:divBdr>
                                                                                              <w:divsChild>
                                                                                                <w:div w:id="447941940">
                                                                                                  <w:marLeft w:val="0"/>
                                                                                                  <w:marRight w:val="0"/>
                                                                                                  <w:marTop w:val="0"/>
                                                                                                  <w:marBottom w:val="0"/>
                                                                                                  <w:divBdr>
                                                                                                    <w:top w:val="none" w:sz="0" w:space="0" w:color="auto"/>
                                                                                                    <w:left w:val="none" w:sz="0" w:space="0" w:color="auto"/>
                                                                                                    <w:bottom w:val="none" w:sz="0" w:space="0" w:color="auto"/>
                                                                                                    <w:right w:val="none" w:sz="0" w:space="0" w:color="auto"/>
                                                                                                  </w:divBdr>
                                                                                                  <w:divsChild>
                                                                                                    <w:div w:id="447941910">
                                                                                                      <w:marLeft w:val="0"/>
                                                                                                      <w:marRight w:val="0"/>
                                                                                                      <w:marTop w:val="0"/>
                                                                                                      <w:marBottom w:val="0"/>
                                                                                                      <w:divBdr>
                                                                                                        <w:top w:val="none" w:sz="0" w:space="0" w:color="auto"/>
                                                                                                        <w:left w:val="none" w:sz="0" w:space="0" w:color="auto"/>
                                                                                                        <w:bottom w:val="none" w:sz="0" w:space="0" w:color="auto"/>
                                                                                                        <w:right w:val="none" w:sz="0" w:space="0" w:color="auto"/>
                                                                                                      </w:divBdr>
                                                                                                      <w:divsChild>
                                                                                                        <w:div w:id="447941911">
                                                                                                          <w:marLeft w:val="0"/>
                                                                                                          <w:marRight w:val="0"/>
                                                                                                          <w:marTop w:val="0"/>
                                                                                                          <w:marBottom w:val="0"/>
                                                                                                          <w:divBdr>
                                                                                                            <w:top w:val="none" w:sz="0" w:space="0" w:color="auto"/>
                                                                                                            <w:left w:val="none" w:sz="0" w:space="0" w:color="auto"/>
                                                                                                            <w:bottom w:val="none" w:sz="0" w:space="0" w:color="auto"/>
                                                                                                            <w:right w:val="none" w:sz="0" w:space="0" w:color="auto"/>
                                                                                                          </w:divBdr>
                                                                                                          <w:divsChild>
                                                                                                            <w:div w:id="447941919">
                                                                                                              <w:marLeft w:val="0"/>
                                                                                                              <w:marRight w:val="0"/>
                                                                                                              <w:marTop w:val="0"/>
                                                                                                              <w:marBottom w:val="0"/>
                                                                                                              <w:divBdr>
                                                                                                                <w:top w:val="none" w:sz="0" w:space="0" w:color="auto"/>
                                                                                                                <w:left w:val="none" w:sz="0" w:space="0" w:color="auto"/>
                                                                                                                <w:bottom w:val="none" w:sz="0" w:space="0" w:color="auto"/>
                                                                                                                <w:right w:val="none" w:sz="0" w:space="0" w:color="auto"/>
                                                                                                              </w:divBdr>
                                                                                                              <w:divsChild>
                                                                                                                <w:div w:id="447941939">
                                                                                                                  <w:marLeft w:val="0"/>
                                                                                                                  <w:marRight w:val="0"/>
                                                                                                                  <w:marTop w:val="0"/>
                                                                                                                  <w:marBottom w:val="0"/>
                                                                                                                  <w:divBdr>
                                                                                                                    <w:top w:val="none" w:sz="0" w:space="0" w:color="auto"/>
                                                                                                                    <w:left w:val="none" w:sz="0" w:space="0" w:color="auto"/>
                                                                                                                    <w:bottom w:val="none" w:sz="0" w:space="0" w:color="auto"/>
                                                                                                                    <w:right w:val="none" w:sz="0" w:space="0" w:color="auto"/>
                                                                                                                  </w:divBdr>
                                                                                                                  <w:divsChild>
                                                                                                                    <w:div w:id="447941907">
                                                                                                                      <w:marLeft w:val="0"/>
                                                                                                                      <w:marRight w:val="0"/>
                                                                                                                      <w:marTop w:val="0"/>
                                                                                                                      <w:marBottom w:val="0"/>
                                                                                                                      <w:divBdr>
                                                                                                                        <w:top w:val="none" w:sz="0" w:space="0" w:color="auto"/>
                                                                                                                        <w:left w:val="none" w:sz="0" w:space="0" w:color="auto"/>
                                                                                                                        <w:bottom w:val="none" w:sz="0" w:space="0" w:color="auto"/>
                                                                                                                        <w:right w:val="none" w:sz="0" w:space="0" w:color="auto"/>
                                                                                                                      </w:divBdr>
                                                                                                                      <w:divsChild>
                                                                                                                        <w:div w:id="447941906">
                                                                                                                          <w:marLeft w:val="0"/>
                                                                                                                          <w:marRight w:val="0"/>
                                                                                                                          <w:marTop w:val="0"/>
                                                                                                                          <w:marBottom w:val="0"/>
                                                                                                                          <w:divBdr>
                                                                                                                            <w:top w:val="none" w:sz="0" w:space="0" w:color="auto"/>
                                                                                                                            <w:left w:val="none" w:sz="0" w:space="0" w:color="auto"/>
                                                                                                                            <w:bottom w:val="none" w:sz="0" w:space="0" w:color="auto"/>
                                                                                                                            <w:right w:val="none" w:sz="0" w:space="0" w:color="auto"/>
                                                                                                                          </w:divBdr>
                                                                                                                          <w:divsChild>
                                                                                                                            <w:div w:id="447941950">
                                                                                                                              <w:marLeft w:val="0"/>
                                                                                                                              <w:marRight w:val="0"/>
                                                                                                                              <w:marTop w:val="0"/>
                                                                                                                              <w:marBottom w:val="0"/>
                                                                                                                              <w:divBdr>
                                                                                                                                <w:top w:val="none" w:sz="0" w:space="0" w:color="auto"/>
                                                                                                                                <w:left w:val="none" w:sz="0" w:space="0" w:color="auto"/>
                                                                                                                                <w:bottom w:val="none" w:sz="0" w:space="0" w:color="auto"/>
                                                                                                                                <w:right w:val="none" w:sz="0" w:space="0" w:color="auto"/>
                                                                                                                              </w:divBdr>
                                                                                                                              <w:divsChild>
                                                                                                                                <w:div w:id="447941900">
                                                                                                                                  <w:marLeft w:val="0"/>
                                                                                                                                  <w:marRight w:val="0"/>
                                                                                                                                  <w:marTop w:val="0"/>
                                                                                                                                  <w:marBottom w:val="0"/>
                                                                                                                                  <w:divBdr>
                                                                                                                                    <w:top w:val="none" w:sz="0" w:space="0" w:color="auto"/>
                                                                                                                                    <w:left w:val="none" w:sz="0" w:space="0" w:color="auto"/>
                                                                                                                                    <w:bottom w:val="none" w:sz="0" w:space="0" w:color="auto"/>
                                                                                                                                    <w:right w:val="none" w:sz="0" w:space="0" w:color="auto"/>
                                                                                                                                  </w:divBdr>
                                                                                                                                </w:div>
                                                                                                                                <w:div w:id="447941928">
                                                                                                                                  <w:marLeft w:val="0"/>
                                                                                                                                  <w:marRight w:val="0"/>
                                                                                                                                  <w:marTop w:val="0"/>
                                                                                                                                  <w:marBottom w:val="0"/>
                                                                                                                                  <w:divBdr>
                                                                                                                                    <w:top w:val="none" w:sz="0" w:space="0" w:color="auto"/>
                                                                                                                                    <w:left w:val="none" w:sz="0" w:space="0" w:color="auto"/>
                                                                                                                                    <w:bottom w:val="none" w:sz="0" w:space="0" w:color="auto"/>
                                                                                                                                    <w:right w:val="none" w:sz="0" w:space="0" w:color="auto"/>
                                                                                                                                  </w:divBdr>
                                                                                                                                </w:div>
                                                                                                                                <w:div w:id="44794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7941938">
      <w:marLeft w:val="0"/>
      <w:marRight w:val="0"/>
      <w:marTop w:val="0"/>
      <w:marBottom w:val="0"/>
      <w:divBdr>
        <w:top w:val="none" w:sz="0" w:space="0" w:color="auto"/>
        <w:left w:val="none" w:sz="0" w:space="0" w:color="auto"/>
        <w:bottom w:val="none" w:sz="0" w:space="0" w:color="auto"/>
        <w:right w:val="none" w:sz="0" w:space="0" w:color="auto"/>
      </w:divBdr>
      <w:divsChild>
        <w:div w:id="447941912">
          <w:marLeft w:val="0"/>
          <w:marRight w:val="0"/>
          <w:marTop w:val="0"/>
          <w:marBottom w:val="0"/>
          <w:divBdr>
            <w:top w:val="none" w:sz="0" w:space="0" w:color="auto"/>
            <w:left w:val="none" w:sz="0" w:space="0" w:color="auto"/>
            <w:bottom w:val="none" w:sz="0" w:space="0" w:color="auto"/>
            <w:right w:val="none" w:sz="0" w:space="0" w:color="auto"/>
          </w:divBdr>
          <w:divsChild>
            <w:div w:id="447941948">
              <w:marLeft w:val="0"/>
              <w:marRight w:val="0"/>
              <w:marTop w:val="0"/>
              <w:marBottom w:val="0"/>
              <w:divBdr>
                <w:top w:val="none" w:sz="0" w:space="0" w:color="auto"/>
                <w:left w:val="none" w:sz="0" w:space="0" w:color="auto"/>
                <w:bottom w:val="none" w:sz="0" w:space="0" w:color="auto"/>
                <w:right w:val="none" w:sz="0" w:space="0" w:color="auto"/>
              </w:divBdr>
              <w:divsChild>
                <w:div w:id="447941899">
                  <w:marLeft w:val="0"/>
                  <w:marRight w:val="0"/>
                  <w:marTop w:val="0"/>
                  <w:marBottom w:val="0"/>
                  <w:divBdr>
                    <w:top w:val="none" w:sz="0" w:space="0" w:color="auto"/>
                    <w:left w:val="none" w:sz="0" w:space="0" w:color="auto"/>
                    <w:bottom w:val="none" w:sz="0" w:space="0" w:color="auto"/>
                    <w:right w:val="none" w:sz="0" w:space="0" w:color="auto"/>
                  </w:divBdr>
                  <w:divsChild>
                    <w:div w:id="447941925">
                      <w:marLeft w:val="0"/>
                      <w:marRight w:val="0"/>
                      <w:marTop w:val="0"/>
                      <w:marBottom w:val="0"/>
                      <w:divBdr>
                        <w:top w:val="none" w:sz="0" w:space="0" w:color="auto"/>
                        <w:left w:val="none" w:sz="0" w:space="0" w:color="auto"/>
                        <w:bottom w:val="none" w:sz="0" w:space="0" w:color="auto"/>
                        <w:right w:val="none" w:sz="0" w:space="0" w:color="auto"/>
                      </w:divBdr>
                      <w:divsChild>
                        <w:div w:id="447941934">
                          <w:marLeft w:val="0"/>
                          <w:marRight w:val="0"/>
                          <w:marTop w:val="0"/>
                          <w:marBottom w:val="0"/>
                          <w:divBdr>
                            <w:top w:val="none" w:sz="0" w:space="0" w:color="auto"/>
                            <w:left w:val="none" w:sz="0" w:space="0" w:color="auto"/>
                            <w:bottom w:val="none" w:sz="0" w:space="0" w:color="auto"/>
                            <w:right w:val="none" w:sz="0" w:space="0" w:color="auto"/>
                          </w:divBdr>
                          <w:divsChild>
                            <w:div w:id="447941935">
                              <w:marLeft w:val="0"/>
                              <w:marRight w:val="0"/>
                              <w:marTop w:val="0"/>
                              <w:marBottom w:val="0"/>
                              <w:divBdr>
                                <w:top w:val="none" w:sz="0" w:space="0" w:color="auto"/>
                                <w:left w:val="none" w:sz="0" w:space="0" w:color="auto"/>
                                <w:bottom w:val="none" w:sz="0" w:space="0" w:color="auto"/>
                                <w:right w:val="none" w:sz="0" w:space="0" w:color="auto"/>
                              </w:divBdr>
                              <w:divsChild>
                                <w:div w:id="447941896">
                                  <w:marLeft w:val="0"/>
                                  <w:marRight w:val="0"/>
                                  <w:marTop w:val="0"/>
                                  <w:marBottom w:val="0"/>
                                  <w:divBdr>
                                    <w:top w:val="none" w:sz="0" w:space="0" w:color="auto"/>
                                    <w:left w:val="none" w:sz="0" w:space="0" w:color="auto"/>
                                    <w:bottom w:val="none" w:sz="0" w:space="0" w:color="auto"/>
                                    <w:right w:val="none" w:sz="0" w:space="0" w:color="auto"/>
                                  </w:divBdr>
                                  <w:divsChild>
                                    <w:div w:id="447941945">
                                      <w:marLeft w:val="0"/>
                                      <w:marRight w:val="0"/>
                                      <w:marTop w:val="0"/>
                                      <w:marBottom w:val="0"/>
                                      <w:divBdr>
                                        <w:top w:val="none" w:sz="0" w:space="0" w:color="auto"/>
                                        <w:left w:val="none" w:sz="0" w:space="0" w:color="auto"/>
                                        <w:bottom w:val="none" w:sz="0" w:space="0" w:color="auto"/>
                                        <w:right w:val="none" w:sz="0" w:space="0" w:color="auto"/>
                                      </w:divBdr>
                                      <w:divsChild>
                                        <w:div w:id="447941901">
                                          <w:marLeft w:val="0"/>
                                          <w:marRight w:val="0"/>
                                          <w:marTop w:val="0"/>
                                          <w:marBottom w:val="0"/>
                                          <w:divBdr>
                                            <w:top w:val="none" w:sz="0" w:space="0" w:color="auto"/>
                                            <w:left w:val="none" w:sz="0" w:space="0" w:color="auto"/>
                                            <w:bottom w:val="none" w:sz="0" w:space="0" w:color="auto"/>
                                            <w:right w:val="none" w:sz="0" w:space="0" w:color="auto"/>
                                          </w:divBdr>
                                          <w:divsChild>
                                            <w:div w:id="447941929">
                                              <w:marLeft w:val="0"/>
                                              <w:marRight w:val="0"/>
                                              <w:marTop w:val="0"/>
                                              <w:marBottom w:val="0"/>
                                              <w:divBdr>
                                                <w:top w:val="none" w:sz="0" w:space="0" w:color="auto"/>
                                                <w:left w:val="none" w:sz="0" w:space="0" w:color="auto"/>
                                                <w:bottom w:val="none" w:sz="0" w:space="0" w:color="auto"/>
                                                <w:right w:val="none" w:sz="0" w:space="0" w:color="auto"/>
                                              </w:divBdr>
                                              <w:divsChild>
                                                <w:div w:id="447941918">
                                                  <w:marLeft w:val="0"/>
                                                  <w:marRight w:val="0"/>
                                                  <w:marTop w:val="0"/>
                                                  <w:marBottom w:val="0"/>
                                                  <w:divBdr>
                                                    <w:top w:val="none" w:sz="0" w:space="0" w:color="auto"/>
                                                    <w:left w:val="none" w:sz="0" w:space="0" w:color="auto"/>
                                                    <w:bottom w:val="none" w:sz="0" w:space="0" w:color="auto"/>
                                                    <w:right w:val="none" w:sz="0" w:space="0" w:color="auto"/>
                                                  </w:divBdr>
                                                  <w:divsChild>
                                                    <w:div w:id="447941917">
                                                      <w:marLeft w:val="0"/>
                                                      <w:marRight w:val="0"/>
                                                      <w:marTop w:val="0"/>
                                                      <w:marBottom w:val="0"/>
                                                      <w:divBdr>
                                                        <w:top w:val="none" w:sz="0" w:space="0" w:color="auto"/>
                                                        <w:left w:val="none" w:sz="0" w:space="0" w:color="auto"/>
                                                        <w:bottom w:val="none" w:sz="0" w:space="0" w:color="auto"/>
                                                        <w:right w:val="none" w:sz="0" w:space="0" w:color="auto"/>
                                                      </w:divBdr>
                                                      <w:divsChild>
                                                        <w:div w:id="447941889">
                                                          <w:marLeft w:val="0"/>
                                                          <w:marRight w:val="0"/>
                                                          <w:marTop w:val="0"/>
                                                          <w:marBottom w:val="0"/>
                                                          <w:divBdr>
                                                            <w:top w:val="none" w:sz="0" w:space="0" w:color="auto"/>
                                                            <w:left w:val="none" w:sz="0" w:space="0" w:color="auto"/>
                                                            <w:bottom w:val="none" w:sz="0" w:space="0" w:color="auto"/>
                                                            <w:right w:val="none" w:sz="0" w:space="0" w:color="auto"/>
                                                          </w:divBdr>
                                                          <w:divsChild>
                                                            <w:div w:id="447941944">
                                                              <w:marLeft w:val="0"/>
                                                              <w:marRight w:val="0"/>
                                                              <w:marTop w:val="0"/>
                                                              <w:marBottom w:val="0"/>
                                                              <w:divBdr>
                                                                <w:top w:val="none" w:sz="0" w:space="0" w:color="auto"/>
                                                                <w:left w:val="none" w:sz="0" w:space="0" w:color="auto"/>
                                                                <w:bottom w:val="none" w:sz="0" w:space="0" w:color="auto"/>
                                                                <w:right w:val="none" w:sz="0" w:space="0" w:color="auto"/>
                                                              </w:divBdr>
                                                              <w:divsChild>
                                                                <w:div w:id="447941914">
                                                                  <w:marLeft w:val="0"/>
                                                                  <w:marRight w:val="0"/>
                                                                  <w:marTop w:val="0"/>
                                                                  <w:marBottom w:val="0"/>
                                                                  <w:divBdr>
                                                                    <w:top w:val="none" w:sz="0" w:space="0" w:color="auto"/>
                                                                    <w:left w:val="none" w:sz="0" w:space="0" w:color="auto"/>
                                                                    <w:bottom w:val="none" w:sz="0" w:space="0" w:color="auto"/>
                                                                    <w:right w:val="none" w:sz="0" w:space="0" w:color="auto"/>
                                                                  </w:divBdr>
                                                                  <w:divsChild>
                                                                    <w:div w:id="447941923">
                                                                      <w:marLeft w:val="0"/>
                                                                      <w:marRight w:val="0"/>
                                                                      <w:marTop w:val="0"/>
                                                                      <w:marBottom w:val="0"/>
                                                                      <w:divBdr>
                                                                        <w:top w:val="none" w:sz="0" w:space="0" w:color="auto"/>
                                                                        <w:left w:val="none" w:sz="0" w:space="0" w:color="auto"/>
                                                                        <w:bottom w:val="none" w:sz="0" w:space="0" w:color="auto"/>
                                                                        <w:right w:val="none" w:sz="0" w:space="0" w:color="auto"/>
                                                                      </w:divBdr>
                                                                      <w:divsChild>
                                                                        <w:div w:id="447941927">
                                                                          <w:marLeft w:val="0"/>
                                                                          <w:marRight w:val="0"/>
                                                                          <w:marTop w:val="0"/>
                                                                          <w:marBottom w:val="0"/>
                                                                          <w:divBdr>
                                                                            <w:top w:val="none" w:sz="0" w:space="0" w:color="auto"/>
                                                                            <w:left w:val="none" w:sz="0" w:space="0" w:color="auto"/>
                                                                            <w:bottom w:val="none" w:sz="0" w:space="0" w:color="auto"/>
                                                                            <w:right w:val="none" w:sz="0" w:space="0" w:color="auto"/>
                                                                          </w:divBdr>
                                                                          <w:divsChild>
                                                                            <w:div w:id="447941909">
                                                                              <w:marLeft w:val="0"/>
                                                                              <w:marRight w:val="0"/>
                                                                              <w:marTop w:val="0"/>
                                                                              <w:marBottom w:val="0"/>
                                                                              <w:divBdr>
                                                                                <w:top w:val="none" w:sz="0" w:space="0" w:color="auto"/>
                                                                                <w:left w:val="none" w:sz="0" w:space="0" w:color="auto"/>
                                                                                <w:bottom w:val="none" w:sz="0" w:space="0" w:color="auto"/>
                                                                                <w:right w:val="none" w:sz="0" w:space="0" w:color="auto"/>
                                                                              </w:divBdr>
                                                                              <w:divsChild>
                                                                                <w:div w:id="447941937">
                                                                                  <w:marLeft w:val="0"/>
                                                                                  <w:marRight w:val="0"/>
                                                                                  <w:marTop w:val="0"/>
                                                                                  <w:marBottom w:val="0"/>
                                                                                  <w:divBdr>
                                                                                    <w:top w:val="none" w:sz="0" w:space="0" w:color="auto"/>
                                                                                    <w:left w:val="none" w:sz="0" w:space="0" w:color="auto"/>
                                                                                    <w:bottom w:val="none" w:sz="0" w:space="0" w:color="auto"/>
                                                                                    <w:right w:val="none" w:sz="0" w:space="0" w:color="auto"/>
                                                                                  </w:divBdr>
                                                                                  <w:divsChild>
                                                                                    <w:div w:id="447941920">
                                                                                      <w:marLeft w:val="0"/>
                                                                                      <w:marRight w:val="0"/>
                                                                                      <w:marTop w:val="0"/>
                                                                                      <w:marBottom w:val="0"/>
                                                                                      <w:divBdr>
                                                                                        <w:top w:val="none" w:sz="0" w:space="0" w:color="auto"/>
                                                                                        <w:left w:val="none" w:sz="0" w:space="0" w:color="auto"/>
                                                                                        <w:bottom w:val="none" w:sz="0" w:space="0" w:color="auto"/>
                                                                                        <w:right w:val="none" w:sz="0" w:space="0" w:color="auto"/>
                                                                                      </w:divBdr>
                                                                                      <w:divsChild>
                                                                                        <w:div w:id="447941890">
                                                                                          <w:marLeft w:val="0"/>
                                                                                          <w:marRight w:val="0"/>
                                                                                          <w:marTop w:val="0"/>
                                                                                          <w:marBottom w:val="0"/>
                                                                                          <w:divBdr>
                                                                                            <w:top w:val="none" w:sz="0" w:space="0" w:color="auto"/>
                                                                                            <w:left w:val="none" w:sz="0" w:space="0" w:color="auto"/>
                                                                                            <w:bottom w:val="none" w:sz="0" w:space="0" w:color="auto"/>
                                                                                            <w:right w:val="none" w:sz="0" w:space="0" w:color="auto"/>
                                                                                          </w:divBdr>
                                                                                          <w:divsChild>
                                                                                            <w:div w:id="447941903">
                                                                                              <w:marLeft w:val="0"/>
                                                                                              <w:marRight w:val="0"/>
                                                                                              <w:marTop w:val="0"/>
                                                                                              <w:marBottom w:val="0"/>
                                                                                              <w:divBdr>
                                                                                                <w:top w:val="none" w:sz="0" w:space="0" w:color="auto"/>
                                                                                                <w:left w:val="none" w:sz="0" w:space="0" w:color="auto"/>
                                                                                                <w:bottom w:val="none" w:sz="0" w:space="0" w:color="auto"/>
                                                                                                <w:right w:val="none" w:sz="0" w:space="0" w:color="auto"/>
                                                                                              </w:divBdr>
                                                                                              <w:divsChild>
                                                                                                <w:div w:id="447941892">
                                                                                                  <w:marLeft w:val="0"/>
                                                                                                  <w:marRight w:val="0"/>
                                                                                                  <w:marTop w:val="0"/>
                                                                                                  <w:marBottom w:val="0"/>
                                                                                                  <w:divBdr>
                                                                                                    <w:top w:val="none" w:sz="0" w:space="0" w:color="auto"/>
                                                                                                    <w:left w:val="none" w:sz="0" w:space="0" w:color="auto"/>
                                                                                                    <w:bottom w:val="none" w:sz="0" w:space="0" w:color="auto"/>
                                                                                                    <w:right w:val="none" w:sz="0" w:space="0" w:color="auto"/>
                                                                                                  </w:divBdr>
                                                                                                </w:div>
                                                                                                <w:div w:id="447941893">
                                                                                                  <w:marLeft w:val="0"/>
                                                                                                  <w:marRight w:val="0"/>
                                                                                                  <w:marTop w:val="0"/>
                                                                                                  <w:marBottom w:val="0"/>
                                                                                                  <w:divBdr>
                                                                                                    <w:top w:val="none" w:sz="0" w:space="0" w:color="auto"/>
                                                                                                    <w:left w:val="none" w:sz="0" w:space="0" w:color="auto"/>
                                                                                                    <w:bottom w:val="none" w:sz="0" w:space="0" w:color="auto"/>
                                                                                                    <w:right w:val="none" w:sz="0" w:space="0" w:color="auto"/>
                                                                                                  </w:divBdr>
                                                                                                </w:div>
                                                                                                <w:div w:id="447941902">
                                                                                                  <w:marLeft w:val="0"/>
                                                                                                  <w:marRight w:val="0"/>
                                                                                                  <w:marTop w:val="0"/>
                                                                                                  <w:marBottom w:val="0"/>
                                                                                                  <w:divBdr>
                                                                                                    <w:top w:val="none" w:sz="0" w:space="0" w:color="auto"/>
                                                                                                    <w:left w:val="none" w:sz="0" w:space="0" w:color="auto"/>
                                                                                                    <w:bottom w:val="none" w:sz="0" w:space="0" w:color="auto"/>
                                                                                                    <w:right w:val="none" w:sz="0" w:space="0" w:color="auto"/>
                                                                                                  </w:divBdr>
                                                                                                </w:div>
                                                                                                <w:div w:id="447941908">
                                                                                                  <w:marLeft w:val="0"/>
                                                                                                  <w:marRight w:val="0"/>
                                                                                                  <w:marTop w:val="0"/>
                                                                                                  <w:marBottom w:val="0"/>
                                                                                                  <w:divBdr>
                                                                                                    <w:top w:val="none" w:sz="0" w:space="0" w:color="auto"/>
                                                                                                    <w:left w:val="none" w:sz="0" w:space="0" w:color="auto"/>
                                                                                                    <w:bottom w:val="none" w:sz="0" w:space="0" w:color="auto"/>
                                                                                                    <w:right w:val="none" w:sz="0" w:space="0" w:color="auto"/>
                                                                                                  </w:divBdr>
                                                                                                </w:div>
                                                                                                <w:div w:id="447941930">
                                                                                                  <w:marLeft w:val="0"/>
                                                                                                  <w:marRight w:val="0"/>
                                                                                                  <w:marTop w:val="0"/>
                                                                                                  <w:marBottom w:val="0"/>
                                                                                                  <w:divBdr>
                                                                                                    <w:top w:val="none" w:sz="0" w:space="0" w:color="auto"/>
                                                                                                    <w:left w:val="none" w:sz="0" w:space="0" w:color="auto"/>
                                                                                                    <w:bottom w:val="none" w:sz="0" w:space="0" w:color="auto"/>
                                                                                                    <w:right w:val="none" w:sz="0" w:space="0" w:color="auto"/>
                                                                                                  </w:divBdr>
                                                                                                </w:div>
                                                                                                <w:div w:id="447941943">
                                                                                                  <w:marLeft w:val="0"/>
                                                                                                  <w:marRight w:val="0"/>
                                                                                                  <w:marTop w:val="0"/>
                                                                                                  <w:marBottom w:val="0"/>
                                                                                                  <w:divBdr>
                                                                                                    <w:top w:val="none" w:sz="0" w:space="0" w:color="auto"/>
                                                                                                    <w:left w:val="none" w:sz="0" w:space="0" w:color="auto"/>
                                                                                                    <w:bottom w:val="none" w:sz="0" w:space="0" w:color="auto"/>
                                                                                                    <w:right w:val="none" w:sz="0" w:space="0" w:color="auto"/>
                                                                                                  </w:divBdr>
                                                                                                </w:div>
                                                                                                <w:div w:id="447941946">
                                                                                                  <w:marLeft w:val="0"/>
                                                                                                  <w:marRight w:val="0"/>
                                                                                                  <w:marTop w:val="0"/>
                                                                                                  <w:marBottom w:val="0"/>
                                                                                                  <w:divBdr>
                                                                                                    <w:top w:val="none" w:sz="0" w:space="0" w:color="auto"/>
                                                                                                    <w:left w:val="none" w:sz="0" w:space="0" w:color="auto"/>
                                                                                                    <w:bottom w:val="none" w:sz="0" w:space="0" w:color="auto"/>
                                                                                                    <w:right w:val="none" w:sz="0" w:space="0" w:color="auto"/>
                                                                                                  </w:divBdr>
                                                                                                </w:div>
                                                                                                <w:div w:id="44794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2788553">
      <w:bodyDiv w:val="1"/>
      <w:marLeft w:val="0"/>
      <w:marRight w:val="0"/>
      <w:marTop w:val="0"/>
      <w:marBottom w:val="0"/>
      <w:divBdr>
        <w:top w:val="none" w:sz="0" w:space="0" w:color="auto"/>
        <w:left w:val="none" w:sz="0" w:space="0" w:color="auto"/>
        <w:bottom w:val="none" w:sz="0" w:space="0" w:color="auto"/>
        <w:right w:val="none" w:sz="0" w:space="0" w:color="auto"/>
      </w:divBdr>
    </w:div>
    <w:div w:id="1236892659">
      <w:bodyDiv w:val="1"/>
      <w:marLeft w:val="0"/>
      <w:marRight w:val="0"/>
      <w:marTop w:val="0"/>
      <w:marBottom w:val="0"/>
      <w:divBdr>
        <w:top w:val="none" w:sz="0" w:space="0" w:color="auto"/>
        <w:left w:val="none" w:sz="0" w:space="0" w:color="auto"/>
        <w:bottom w:val="none" w:sz="0" w:space="0" w:color="auto"/>
        <w:right w:val="none" w:sz="0" w:space="0" w:color="auto"/>
      </w:divBdr>
      <w:divsChild>
        <w:div w:id="579606051">
          <w:marLeft w:val="0"/>
          <w:marRight w:val="0"/>
          <w:marTop w:val="0"/>
          <w:marBottom w:val="0"/>
          <w:divBdr>
            <w:top w:val="none" w:sz="0" w:space="0" w:color="auto"/>
            <w:left w:val="none" w:sz="0" w:space="0" w:color="auto"/>
            <w:bottom w:val="none" w:sz="0" w:space="0" w:color="auto"/>
            <w:right w:val="none" w:sz="0" w:space="0" w:color="auto"/>
          </w:divBdr>
          <w:divsChild>
            <w:div w:id="743986640">
              <w:marLeft w:val="0"/>
              <w:marRight w:val="0"/>
              <w:marTop w:val="0"/>
              <w:marBottom w:val="0"/>
              <w:divBdr>
                <w:top w:val="none" w:sz="0" w:space="0" w:color="auto"/>
                <w:left w:val="none" w:sz="0" w:space="0" w:color="auto"/>
                <w:bottom w:val="none" w:sz="0" w:space="0" w:color="auto"/>
                <w:right w:val="none" w:sz="0" w:space="0" w:color="auto"/>
              </w:divBdr>
              <w:divsChild>
                <w:div w:id="1604997016">
                  <w:marLeft w:val="0"/>
                  <w:marRight w:val="0"/>
                  <w:marTop w:val="0"/>
                  <w:marBottom w:val="0"/>
                  <w:divBdr>
                    <w:top w:val="none" w:sz="0" w:space="0" w:color="auto"/>
                    <w:left w:val="none" w:sz="0" w:space="0" w:color="auto"/>
                    <w:bottom w:val="none" w:sz="0" w:space="0" w:color="auto"/>
                    <w:right w:val="none" w:sz="0" w:space="0" w:color="auto"/>
                  </w:divBdr>
                  <w:divsChild>
                    <w:div w:id="123446644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1790393521">
      <w:bodyDiv w:val="1"/>
      <w:marLeft w:val="0"/>
      <w:marRight w:val="0"/>
      <w:marTop w:val="0"/>
      <w:marBottom w:val="0"/>
      <w:divBdr>
        <w:top w:val="none" w:sz="0" w:space="0" w:color="auto"/>
        <w:left w:val="none" w:sz="0" w:space="0" w:color="auto"/>
        <w:bottom w:val="none" w:sz="0" w:space="0" w:color="auto"/>
        <w:right w:val="none" w:sz="0" w:space="0" w:color="auto"/>
      </w:divBdr>
    </w:div>
    <w:div w:id="2042894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benelux.int/files/4414/3375/5898/Jointdeclaration.pdf" TargetMode="External"/><Relationship Id="rId2" Type="http://schemas.openxmlformats.org/officeDocument/2006/relationships/hyperlink" Target="http://ec.europa.eu/energy/en/topics/infrastructure/central-and-south-eastern-europe-gas-connectivity" TargetMode="External"/><Relationship Id="rId1" Type="http://schemas.openxmlformats.org/officeDocument/2006/relationships/hyperlink" Target="http://www.eefig.eu/" TargetMode="External"/><Relationship Id="rId5" Type="http://schemas.openxmlformats.org/officeDocument/2006/relationships/hyperlink" Target="http://ec.europa.eu/taxation_customs/resources/documents/taxation/gen_info/economic_analysis/tax_papers/taxation_paper_58.pdf" TargetMode="External"/><Relationship Id="rId4" Type="http://schemas.openxmlformats.org/officeDocument/2006/relationships/hyperlink" Target="http://s3platform.jrc.ec.europa.eu/s3p-ener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02E617-3468-4631-9B00-A624718A1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9309</Words>
  <Characters>52789</Characters>
  <Application>Microsoft Office Word</Application>
  <DocSecurity>4</DocSecurity>
  <Lines>4399</Lines>
  <Paragraphs>2069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60029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2015-11-18T17:28:00Z</dcterms:created>
  <dcterms:modified xsi:type="dcterms:W3CDTF">2015-11-18T17:28:00Z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