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DBF" w:rsidRPr="00BD1DB7" w:rsidRDefault="00570F8C" w:rsidP="00570F8C">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4AA6DB7648A346FB80111F933CD889A5" style="width:451.35pt;height:409.45pt">
            <v:imagedata r:id="rId9" o:title=""/>
          </v:shape>
        </w:pict>
      </w:r>
    </w:p>
    <w:p w:rsidR="00081DBF" w:rsidRPr="00BD1DB7" w:rsidRDefault="00081DBF">
      <w:pPr>
        <w:pStyle w:val="Pagedecouverture"/>
        <w:rPr>
          <w:noProof/>
        </w:rPr>
        <w:sectPr w:rsidR="00081DBF" w:rsidRPr="00BD1DB7" w:rsidSect="00570F8C">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081DBF" w:rsidRPr="00BD1DB7" w:rsidRDefault="005B4A46">
      <w:pPr>
        <w:pStyle w:val="Exposdesmotifstitre"/>
        <w:rPr>
          <w:noProof/>
        </w:rPr>
      </w:pPr>
      <w:r w:rsidRPr="00BD1DB7">
        <w:lastRenderedPageBreak/>
        <w:t>EXPUNERE DE MOTIVE</w:t>
      </w:r>
    </w:p>
    <w:p w:rsidR="00081DBF" w:rsidRPr="00BD1DB7" w:rsidRDefault="00081DBF">
      <w:pPr>
        <w:rPr>
          <w:noProof/>
        </w:rPr>
      </w:pPr>
    </w:p>
    <w:p w:rsidR="00081DBF" w:rsidRPr="00BD1DB7" w:rsidRDefault="005B4A46">
      <w:pPr>
        <w:pStyle w:val="ManualHeading1"/>
        <w:spacing w:before="120"/>
        <w:rPr>
          <w:noProof/>
        </w:rPr>
      </w:pPr>
      <w:r w:rsidRPr="00BD1DB7">
        <w:t>1.</w:t>
      </w:r>
      <w:r w:rsidRPr="00BD1DB7">
        <w:tab/>
        <w:t>CONTEXTUL PROPUNERII</w:t>
      </w:r>
    </w:p>
    <w:p w:rsidR="00081DBF" w:rsidRPr="00BD1DB7" w:rsidRDefault="005B4A46">
      <w:pPr>
        <w:pStyle w:val="ManualHeading2"/>
        <w:rPr>
          <w:noProof/>
        </w:rPr>
      </w:pPr>
      <w:r w:rsidRPr="00BD1DB7">
        <w:t>1.1</w:t>
      </w:r>
      <w:r w:rsidRPr="00BD1DB7">
        <w:tab/>
        <w:t>Contextul general</w:t>
      </w:r>
    </w:p>
    <w:p w:rsidR="00081DBF" w:rsidRPr="00BD1DB7" w:rsidRDefault="005B4A46">
      <w:pPr>
        <w:rPr>
          <w:rFonts w:eastAsia="SimSun"/>
          <w:noProof/>
        </w:rPr>
      </w:pPr>
      <w:r w:rsidRPr="00BD1DB7">
        <w:t>În prezent, economia Uniunii nu valorifică o parte importantă a poten</w:t>
      </w:r>
      <w:r w:rsidR="007F645B">
        <w:t>ț</w:t>
      </w:r>
      <w:r w:rsidRPr="00BD1DB7">
        <w:t>ialului pe care îl reprezintă materiile prime secundare care se regăsesc în fluxurile de de</w:t>
      </w:r>
      <w:r w:rsidR="007F645B">
        <w:t>ș</w:t>
      </w:r>
      <w:r w:rsidRPr="00BD1DB7">
        <w:t>euri. În 2013, în UE, volumul total al de</w:t>
      </w:r>
      <w:r w:rsidR="007F645B">
        <w:t>ș</w:t>
      </w:r>
      <w:r w:rsidRPr="00BD1DB7">
        <w:t xml:space="preserve">eurilor generate a fost de aproximativ 2,5 miliarde de tone, din care 1,6 miliarde de tone nu au fost reutilizate sau reciclate </w:t>
      </w:r>
      <w:r w:rsidR="007F645B">
        <w:t>ș</w:t>
      </w:r>
      <w:r w:rsidRPr="00BD1DB7">
        <w:t>i, prin urmare, au reprezentat o pierdere pentru economia europeană. Conform estimărilor, încă 600 de milioane de tone ar putea fi reciclate sau reutilizate. De exemplu, din de</w:t>
      </w:r>
      <w:r w:rsidR="007F645B">
        <w:t>ș</w:t>
      </w:r>
      <w:r w:rsidRPr="00BD1DB7">
        <w:t>eurile municipale generate în Uniune doar o parte redusă a fost reciclată (43 %), restul de</w:t>
      </w:r>
      <w:r w:rsidR="007F645B">
        <w:t>ș</w:t>
      </w:r>
      <w:r w:rsidRPr="00BD1DB7">
        <w:t>eurilor fiind stocate în depozite de de</w:t>
      </w:r>
      <w:r w:rsidR="007F645B">
        <w:t>ș</w:t>
      </w:r>
      <w:r w:rsidRPr="00BD1DB7">
        <w:t>euri (31 %) sau incinerate (26 %). Prin urmare, Uniunea nu valorifică posibilită</w:t>
      </w:r>
      <w:r w:rsidR="007F645B">
        <w:t>ț</w:t>
      </w:r>
      <w:r w:rsidRPr="00BD1DB7">
        <w:t>i importante de îmbunătă</w:t>
      </w:r>
      <w:r w:rsidR="007F645B">
        <w:t>ț</w:t>
      </w:r>
      <w:r w:rsidRPr="00BD1DB7">
        <w:t>ire a eficien</w:t>
      </w:r>
      <w:r w:rsidR="007F645B">
        <w:t>ț</w:t>
      </w:r>
      <w:r w:rsidRPr="00BD1DB7">
        <w:t xml:space="preserve">ei utilizării resurselor </w:t>
      </w:r>
      <w:r w:rsidR="007F645B">
        <w:t>ș</w:t>
      </w:r>
      <w:r w:rsidRPr="00BD1DB7">
        <w:t xml:space="preserve">i de creare a unei economii mai circulare. </w:t>
      </w:r>
    </w:p>
    <w:p w:rsidR="00081DBF" w:rsidRPr="00BD1DB7" w:rsidRDefault="005B4A46">
      <w:pPr>
        <w:rPr>
          <w:rFonts w:eastAsia="SimSun"/>
          <w:noProof/>
        </w:rPr>
      </w:pPr>
      <w:r w:rsidRPr="00BD1DB7">
        <w:t>În ceea ce prive</w:t>
      </w:r>
      <w:r w:rsidR="007F645B">
        <w:t>ș</w:t>
      </w:r>
      <w:r w:rsidRPr="00BD1DB7">
        <w:t>te gestionarea de</w:t>
      </w:r>
      <w:r w:rsidR="007F645B">
        <w:t>ș</w:t>
      </w:r>
      <w:r w:rsidRPr="00BD1DB7">
        <w:t>eurilor, în Uniune există diferen</w:t>
      </w:r>
      <w:r w:rsidR="007F645B">
        <w:t>ț</w:t>
      </w:r>
      <w:r w:rsidRPr="00BD1DB7">
        <w:t xml:space="preserve">e mari între statele sale membre. În 2011, în timp ce </w:t>
      </w:r>
      <w:r w:rsidR="007F645B">
        <w:t>ș</w:t>
      </w:r>
      <w:r w:rsidRPr="00BD1DB7">
        <w:t>ase state membre au stocat în depozite de de</w:t>
      </w:r>
      <w:r w:rsidR="007F645B">
        <w:t>ș</w:t>
      </w:r>
      <w:r w:rsidRPr="00BD1DB7">
        <w:t>euri mai pu</w:t>
      </w:r>
      <w:r w:rsidR="007F645B">
        <w:t>ț</w:t>
      </w:r>
      <w:r w:rsidRPr="00BD1DB7">
        <w:t>in de 3 % din de</w:t>
      </w:r>
      <w:r w:rsidR="007F645B">
        <w:t>ș</w:t>
      </w:r>
      <w:r w:rsidRPr="00BD1DB7">
        <w:t>eurile lor municipale, 18 state membre au stocat în depozite de de</w:t>
      </w:r>
      <w:r w:rsidR="007F645B">
        <w:t>ș</w:t>
      </w:r>
      <w:r w:rsidRPr="00BD1DB7">
        <w:t>euri peste 50 %, iar unele state membre - peste 90 %. Este necesar să se remedieze urgent această disparitate.</w:t>
      </w:r>
    </w:p>
    <w:p w:rsidR="00081DBF" w:rsidRPr="00BD1DB7" w:rsidRDefault="005B4A46">
      <w:pPr>
        <w:rPr>
          <w:rFonts w:eastAsia="SimSun"/>
          <w:noProof/>
        </w:rPr>
      </w:pPr>
      <w:r w:rsidRPr="00BD1DB7">
        <w:t>Propunerile de modificare a Directivei 2008/98/CE privind de</w:t>
      </w:r>
      <w:r w:rsidR="007F645B">
        <w:t>ș</w:t>
      </w:r>
      <w:r w:rsidRPr="00BD1DB7">
        <w:t>eurile</w:t>
      </w:r>
      <w:r w:rsidRPr="00BD1DB7">
        <w:rPr>
          <w:rStyle w:val="FootnoteReference"/>
          <w:noProof/>
        </w:rPr>
        <w:footnoteReference w:id="2"/>
      </w:r>
      <w:r w:rsidRPr="00BD1DB7">
        <w:t xml:space="preserve">, a Directivei 94/62/CE privind ambalajele </w:t>
      </w:r>
      <w:r w:rsidR="007F645B">
        <w:t>ș</w:t>
      </w:r>
      <w:r w:rsidRPr="00BD1DB7">
        <w:t>i de</w:t>
      </w:r>
      <w:r w:rsidR="007F645B">
        <w:t>ș</w:t>
      </w:r>
      <w:r w:rsidRPr="00BD1DB7">
        <w:t>eurile de ambalaje</w:t>
      </w:r>
      <w:r w:rsidRPr="00BD1DB7">
        <w:rPr>
          <w:rStyle w:val="FootnoteReference"/>
          <w:noProof/>
        </w:rPr>
        <w:footnoteReference w:id="3"/>
      </w:r>
      <w:r w:rsidRPr="00BD1DB7">
        <w:t>, a Directivei 1999/31/CE privind depozitele de de</w:t>
      </w:r>
      <w:r w:rsidR="007F645B">
        <w:t>ș</w:t>
      </w:r>
      <w:r w:rsidRPr="00BD1DB7">
        <w:t>euri</w:t>
      </w:r>
      <w:r w:rsidRPr="00BD1DB7">
        <w:rPr>
          <w:rStyle w:val="FootnoteReference"/>
          <w:noProof/>
        </w:rPr>
        <w:footnoteReference w:id="4"/>
      </w:r>
      <w:r w:rsidRPr="00BD1DB7">
        <w:t>, a Directivei 2000/53/CE privind vehiculele scoase din uz</w:t>
      </w:r>
      <w:r w:rsidRPr="00BD1DB7">
        <w:rPr>
          <w:rStyle w:val="FootnoteReference"/>
          <w:noProof/>
        </w:rPr>
        <w:footnoteReference w:id="5"/>
      </w:r>
      <w:r w:rsidRPr="00BD1DB7">
        <w:t xml:space="preserve">, a Directivei 2006/66/CE privind bateriile </w:t>
      </w:r>
      <w:r w:rsidR="007F645B">
        <w:t>ș</w:t>
      </w:r>
      <w:r w:rsidRPr="00BD1DB7">
        <w:t xml:space="preserve">i acumulatorii </w:t>
      </w:r>
      <w:r w:rsidR="007F645B">
        <w:t>ș</w:t>
      </w:r>
      <w:r w:rsidRPr="00BD1DB7">
        <w:t>i de</w:t>
      </w:r>
      <w:r w:rsidR="007F645B">
        <w:t>ș</w:t>
      </w:r>
      <w:r w:rsidRPr="00BD1DB7">
        <w:t xml:space="preserve">eurile de baterii </w:t>
      </w:r>
      <w:r w:rsidR="007F645B">
        <w:t>ș</w:t>
      </w:r>
      <w:r w:rsidRPr="00BD1DB7">
        <w:t>i acumulatori</w:t>
      </w:r>
      <w:r w:rsidRPr="00BD1DB7">
        <w:rPr>
          <w:rStyle w:val="FootnoteReference"/>
          <w:noProof/>
        </w:rPr>
        <w:footnoteReference w:id="6"/>
      </w:r>
      <w:r w:rsidRPr="00BD1DB7">
        <w:t xml:space="preserve"> </w:t>
      </w:r>
      <w:r w:rsidR="007F645B">
        <w:t>ș</w:t>
      </w:r>
      <w:r w:rsidRPr="00BD1DB7">
        <w:t>i a Directivei 2012/19/UE privind de</w:t>
      </w:r>
      <w:r w:rsidR="007F645B">
        <w:t>ș</w:t>
      </w:r>
      <w:r w:rsidRPr="00BD1DB7">
        <w:t xml:space="preserve">eurile de echipamente electrice </w:t>
      </w:r>
      <w:r w:rsidR="007F645B">
        <w:t>ș</w:t>
      </w:r>
      <w:r w:rsidRPr="00BD1DB7">
        <w:t>i electronice</w:t>
      </w:r>
      <w:r w:rsidRPr="00BD1DB7">
        <w:rPr>
          <w:rStyle w:val="FootnoteReference"/>
          <w:noProof/>
        </w:rPr>
        <w:footnoteReference w:id="7"/>
      </w:r>
      <w:r w:rsidR="00435B7D">
        <w:t xml:space="preserve"> fac parte dintr-un p</w:t>
      </w:r>
      <w:r w:rsidRPr="00BD1DB7">
        <w:t>achet privind economia circulară, care include, de asemenea, o comunicare a Comisiei intitulată „Închiderea buclei – Un plan de ac</w:t>
      </w:r>
      <w:r w:rsidR="007F645B">
        <w:t>ț</w:t>
      </w:r>
      <w:r w:rsidRPr="00BD1DB7">
        <w:t>iune al UE pentru economia circulară”.</w:t>
      </w:r>
    </w:p>
    <w:p w:rsidR="00081DBF" w:rsidRPr="00BD1DB7" w:rsidRDefault="005B4A46">
      <w:pPr>
        <w:pStyle w:val="ManualHeading2"/>
        <w:rPr>
          <w:noProof/>
        </w:rPr>
      </w:pPr>
      <w:r w:rsidRPr="00BD1DB7">
        <w:t>1.2</w:t>
      </w:r>
      <w:r w:rsidRPr="00BD1DB7">
        <w:tab/>
        <w:t xml:space="preserve">Motivele </w:t>
      </w:r>
      <w:r w:rsidR="007F645B">
        <w:t>ș</w:t>
      </w:r>
      <w:r w:rsidRPr="00BD1DB7">
        <w:t>i obiectivele propunerii</w:t>
      </w:r>
    </w:p>
    <w:p w:rsidR="00081DBF" w:rsidRPr="00BD1DB7" w:rsidRDefault="005B4A46">
      <w:pPr>
        <w:rPr>
          <w:noProof/>
        </w:rPr>
      </w:pPr>
      <w:r w:rsidRPr="00BD1DB7">
        <w:t>Tendin</w:t>
      </w:r>
      <w:r w:rsidR="007F645B">
        <w:t>ț</w:t>
      </w:r>
      <w:r w:rsidRPr="00BD1DB7">
        <w:t xml:space="preserve">ele recente sugerează că este posibilă realizarea de progrese suplimentare privind utilizarea eficientă a resurselor </w:t>
      </w:r>
      <w:r w:rsidR="007F645B">
        <w:t>ș</w:t>
      </w:r>
      <w:r w:rsidRPr="00BD1DB7">
        <w:t xml:space="preserve">i că acest lucru poate aduce beneficii economice, de mediu </w:t>
      </w:r>
      <w:r w:rsidR="007F645B">
        <w:t>ș</w:t>
      </w:r>
      <w:r w:rsidRPr="00BD1DB7">
        <w:t>i sociale considerabile. Transformarea de</w:t>
      </w:r>
      <w:r w:rsidR="007F645B">
        <w:t>ș</w:t>
      </w:r>
      <w:r w:rsidRPr="00BD1DB7">
        <w:t>eurilor într-o resursă reprezintă un element esen</w:t>
      </w:r>
      <w:r w:rsidR="007F645B">
        <w:t>ț</w:t>
      </w:r>
      <w:r w:rsidRPr="00BD1DB7">
        <w:t xml:space="preserve">ial al utilizării mai eficiente a resurselor </w:t>
      </w:r>
      <w:r w:rsidR="007F645B">
        <w:t>ș</w:t>
      </w:r>
      <w:r w:rsidRPr="00BD1DB7">
        <w:t>i al închiderii buclei într-o economie circulară.</w:t>
      </w:r>
    </w:p>
    <w:p w:rsidR="00081DBF" w:rsidRPr="00BD1DB7" w:rsidRDefault="005B4A46">
      <w:pPr>
        <w:rPr>
          <w:noProof/>
        </w:rPr>
      </w:pPr>
      <w:r w:rsidRPr="00BD1DB7">
        <w:t>Obiectivele obligatorii din punct de vedere juridic prevăzute de legisla</w:t>
      </w:r>
      <w:r w:rsidR="007F645B">
        <w:t>ț</w:t>
      </w:r>
      <w:r w:rsidRPr="00BD1DB7">
        <w:t>ia UE în domeniul de</w:t>
      </w:r>
      <w:r w:rsidR="007F645B">
        <w:t>ș</w:t>
      </w:r>
      <w:r w:rsidRPr="00BD1DB7">
        <w:t>eurilor au avut un rol determinant în ceea ce prive</w:t>
      </w:r>
      <w:r w:rsidR="007F645B">
        <w:t>ș</w:t>
      </w:r>
      <w:r w:rsidRPr="00BD1DB7">
        <w:t>te îmbunătă</w:t>
      </w:r>
      <w:r w:rsidR="007F645B">
        <w:t>ț</w:t>
      </w:r>
      <w:r w:rsidRPr="00BD1DB7">
        <w:t>irea practicilor de gestionare a de</w:t>
      </w:r>
      <w:r w:rsidR="007F645B">
        <w:t>ș</w:t>
      </w:r>
      <w:r w:rsidRPr="00BD1DB7">
        <w:t>eurilor, stimularea inovării în domeniul reciclării, limitarea depozitării de</w:t>
      </w:r>
      <w:r w:rsidR="007F645B">
        <w:t>ș</w:t>
      </w:r>
      <w:r w:rsidRPr="00BD1DB7">
        <w:t xml:space="preserve">eurilor </w:t>
      </w:r>
      <w:r w:rsidR="007F645B">
        <w:t>ș</w:t>
      </w:r>
      <w:r w:rsidRPr="00BD1DB7">
        <w:t xml:space="preserve">i crearea unor stimulente pentru schimbarea comportamentului consumatorilor. </w:t>
      </w:r>
      <w:r w:rsidRPr="00BD1DB7">
        <w:lastRenderedPageBreak/>
        <w:t>Dezvoltarea în continuare a politicii în domeniul de</w:t>
      </w:r>
      <w:r w:rsidR="007F645B">
        <w:t>ș</w:t>
      </w:r>
      <w:r w:rsidRPr="00BD1DB7">
        <w:t>eurilor poate aduce beneficii semnificative: cre</w:t>
      </w:r>
      <w:r w:rsidR="007F645B">
        <w:t>ș</w:t>
      </w:r>
      <w:r w:rsidRPr="00BD1DB7">
        <w:t xml:space="preserve">tere durabilă </w:t>
      </w:r>
      <w:r w:rsidR="007F645B">
        <w:t>ș</w:t>
      </w:r>
      <w:r w:rsidRPr="00BD1DB7">
        <w:t>i creare de locuri de muncă, reducerea emisiilor de gaze cu efect de seră, economii directe legate de ameliorarea practicilor de gestionare a de</w:t>
      </w:r>
      <w:r w:rsidR="007F645B">
        <w:t>ș</w:t>
      </w:r>
      <w:r w:rsidRPr="00BD1DB7">
        <w:t xml:space="preserve">eurilor, precum </w:t>
      </w:r>
      <w:r w:rsidR="007F645B">
        <w:t>ș</w:t>
      </w:r>
      <w:r w:rsidRPr="00BD1DB7">
        <w:t>i o calitate mai bună a mediului.</w:t>
      </w:r>
    </w:p>
    <w:p w:rsidR="00081DBF" w:rsidRPr="00BD1DB7" w:rsidRDefault="005B4A46">
      <w:pPr>
        <w:rPr>
          <w:rFonts w:eastAsia="SimSun"/>
          <w:noProof/>
        </w:rPr>
      </w:pPr>
      <w:r w:rsidRPr="00BD1DB7">
        <w:t>Propunerea de modificare a Directivei 2008/98/CE răspunde obliga</w:t>
      </w:r>
      <w:r w:rsidR="007F645B">
        <w:t>ț</w:t>
      </w:r>
      <w:r w:rsidRPr="00BD1DB7">
        <w:t>iei prevăzute de legisla</w:t>
      </w:r>
      <w:r w:rsidR="007F645B">
        <w:t>ț</w:t>
      </w:r>
      <w:r w:rsidRPr="00BD1DB7">
        <w:t>ie de revizuire a obiectivelor privind gestionarea de</w:t>
      </w:r>
      <w:r w:rsidR="007F645B">
        <w:t>ș</w:t>
      </w:r>
      <w:r w:rsidRPr="00BD1DB7">
        <w:t xml:space="preserve">eurilor stabilite în directiva respectivă. Propunerile, care fac parte din Pachetul privind economia circulară </w:t>
      </w:r>
      <w:r w:rsidR="007F645B">
        <w:t>ș</w:t>
      </w:r>
      <w:r w:rsidRPr="00BD1DB7">
        <w:t xml:space="preserve">i modifică cele </w:t>
      </w:r>
      <w:r w:rsidR="007F645B">
        <w:t>ș</w:t>
      </w:r>
      <w:r w:rsidRPr="00BD1DB7">
        <w:t>ase directive men</w:t>
      </w:r>
      <w:r w:rsidR="007F645B">
        <w:t>ț</w:t>
      </w:r>
      <w:r w:rsidRPr="00BD1DB7">
        <w:t>ionate mai sus, se bazează par</w:t>
      </w:r>
      <w:r w:rsidR="007F645B">
        <w:t>ț</w:t>
      </w:r>
      <w:r w:rsidRPr="00BD1DB7">
        <w:t xml:space="preserve">ial pe propunerea pe care Comisia a prezentat-o în iulie 2014 </w:t>
      </w:r>
      <w:r w:rsidR="007F645B">
        <w:t>ș</w:t>
      </w:r>
      <w:r w:rsidRPr="00BD1DB7">
        <w:t>i pe care a retras-o apoi în februarie 2015. Acestea sunt conforme cu obiectivele prevăzute în Foaia de parcurs privind eficien</w:t>
      </w:r>
      <w:r w:rsidR="007F645B">
        <w:t>ț</w:t>
      </w:r>
      <w:r w:rsidRPr="00BD1DB7">
        <w:t>a utilizării resurselor</w:t>
      </w:r>
      <w:r w:rsidRPr="00BD1DB7">
        <w:rPr>
          <w:rStyle w:val="FootnoteReference"/>
          <w:noProof/>
        </w:rPr>
        <w:footnoteReference w:id="8"/>
      </w:r>
      <w:r w:rsidRPr="00BD1DB7">
        <w:t xml:space="preserve"> </w:t>
      </w:r>
      <w:r w:rsidR="007F645B">
        <w:t>ș</w:t>
      </w:r>
      <w:r w:rsidRPr="00BD1DB7">
        <w:t>i în Al 7-lea program de ac</w:t>
      </w:r>
      <w:r w:rsidR="007F645B">
        <w:t>ț</w:t>
      </w:r>
      <w:r w:rsidRPr="00BD1DB7">
        <w:t>iune pentru mediu</w:t>
      </w:r>
      <w:r w:rsidRPr="00BD1DB7">
        <w:rPr>
          <w:rStyle w:val="FootnoteReference"/>
          <w:noProof/>
        </w:rPr>
        <w:footnoteReference w:id="9"/>
      </w:r>
      <w:r w:rsidRPr="00BD1DB7">
        <w:t>, inclusiv aplicarea integrală a ierarhiei de</w:t>
      </w:r>
      <w:r w:rsidR="007F645B">
        <w:t>ș</w:t>
      </w:r>
      <w:r w:rsidRPr="00BD1DB7">
        <w:t>eurilor</w:t>
      </w:r>
      <w:r w:rsidRPr="00BD1DB7">
        <w:rPr>
          <w:rStyle w:val="FootnoteReference"/>
          <w:noProof/>
        </w:rPr>
        <w:footnoteReference w:id="10"/>
      </w:r>
      <w:r w:rsidRPr="00BD1DB7">
        <w:t xml:space="preserve"> în toate statele membre, reducerea volumului de de</w:t>
      </w:r>
      <w:r w:rsidR="007F645B">
        <w:t>ș</w:t>
      </w:r>
      <w:r w:rsidRPr="00BD1DB7">
        <w:t xml:space="preserve">euri generate exprimat ca valoare absolută </w:t>
      </w:r>
      <w:r w:rsidR="007F645B">
        <w:t>ș</w:t>
      </w:r>
      <w:r w:rsidRPr="00BD1DB7">
        <w:t>i pe cap de locuitor, asigurarea unei calită</w:t>
      </w:r>
      <w:r w:rsidR="007F645B">
        <w:t>ț</w:t>
      </w:r>
      <w:r w:rsidRPr="00BD1DB7">
        <w:t xml:space="preserve">i ridicate a reciclării </w:t>
      </w:r>
      <w:r w:rsidR="007F645B">
        <w:t>ș</w:t>
      </w:r>
      <w:r w:rsidRPr="00BD1DB7">
        <w:t>i utilizarea de</w:t>
      </w:r>
      <w:r w:rsidR="007F645B">
        <w:t>ș</w:t>
      </w:r>
      <w:r w:rsidRPr="00BD1DB7">
        <w:t xml:space="preserve">eurilor reciclate ca sursă importantă </w:t>
      </w:r>
      <w:r w:rsidR="007F645B">
        <w:t>ș</w:t>
      </w:r>
      <w:r w:rsidRPr="00BD1DB7">
        <w:t>i fiabilă de materii prime pentru Uniune. De asemenea, propunerile contribuie la punerea în aplicare a Ini</w:t>
      </w:r>
      <w:r w:rsidR="007F645B">
        <w:t>ț</w:t>
      </w:r>
      <w:r w:rsidRPr="00BD1DB7">
        <w:t>iativei privind materiile prime</w:t>
      </w:r>
      <w:r w:rsidRPr="00BD1DB7">
        <w:rPr>
          <w:rStyle w:val="FootnoteReference"/>
          <w:noProof/>
        </w:rPr>
        <w:footnoteReference w:id="11"/>
      </w:r>
      <w:r w:rsidRPr="00BD1DB7">
        <w:t xml:space="preserve"> </w:t>
      </w:r>
      <w:r w:rsidR="007F645B">
        <w:t>ș</w:t>
      </w:r>
      <w:r w:rsidRPr="00BD1DB7">
        <w:t>i abordează necesitatea prevenirii generării de de</w:t>
      </w:r>
      <w:r w:rsidR="007F645B">
        <w:t>ș</w:t>
      </w:r>
      <w:r w:rsidRPr="00BD1DB7">
        <w:t>euri alimentare. Totodată, propunerile simplifică obliga</w:t>
      </w:r>
      <w:r w:rsidR="007F645B">
        <w:t>ț</w:t>
      </w:r>
      <w:r w:rsidRPr="00BD1DB7">
        <w:t xml:space="preserve">iile de raportare incluse în toate cele </w:t>
      </w:r>
      <w:r w:rsidR="007F645B">
        <w:t>ș</w:t>
      </w:r>
      <w:r w:rsidRPr="00BD1DB7">
        <w:t>ase directive.</w:t>
      </w:r>
    </w:p>
    <w:p w:rsidR="00081DBF" w:rsidRPr="00BD1DB7" w:rsidRDefault="005B4A46">
      <w:pPr>
        <w:pStyle w:val="ManualHeading1"/>
        <w:spacing w:before="120"/>
        <w:rPr>
          <w:noProof/>
        </w:rPr>
      </w:pPr>
      <w:r w:rsidRPr="00BD1DB7">
        <w:t>2.</w:t>
      </w:r>
      <w:r w:rsidRPr="00BD1DB7">
        <w:tab/>
        <w:t>REZULTATELE CONSULTĂRILOR CU PĂR</w:t>
      </w:r>
      <w:r w:rsidR="007F645B">
        <w:t>Ț</w:t>
      </w:r>
      <w:r w:rsidRPr="00BD1DB7">
        <w:t xml:space="preserve">ILE INTERESATE </w:t>
      </w:r>
      <w:r w:rsidR="007F645B">
        <w:t>Ș</w:t>
      </w:r>
      <w:r w:rsidRPr="00BD1DB7">
        <w:t>I ALE EVALUĂRII IMPACTULUI</w:t>
      </w:r>
    </w:p>
    <w:p w:rsidR="00081DBF" w:rsidRPr="00BD1DB7" w:rsidRDefault="005B4A46">
      <w:pPr>
        <w:pStyle w:val="ManualHeading2"/>
        <w:rPr>
          <w:noProof/>
        </w:rPr>
      </w:pPr>
      <w:r w:rsidRPr="00BD1DB7">
        <w:t>2.1</w:t>
      </w:r>
      <w:r w:rsidRPr="00BD1DB7">
        <w:tab/>
        <w:t>Studii</w:t>
      </w:r>
    </w:p>
    <w:p w:rsidR="00081DBF" w:rsidRPr="00BD1DB7" w:rsidRDefault="005B4A46">
      <w:pPr>
        <w:rPr>
          <w:rFonts w:eastAsia="SimSun"/>
          <w:noProof/>
        </w:rPr>
      </w:pPr>
      <w:r w:rsidRPr="00BD1DB7">
        <w:t xml:space="preserve">Propunerile </w:t>
      </w:r>
      <w:r w:rsidR="007F645B">
        <w:t>ș</w:t>
      </w:r>
      <w:r w:rsidRPr="00BD1DB7">
        <w:t>i evaluarea impactului care le înso</w:t>
      </w:r>
      <w:r w:rsidR="007F645B">
        <w:t>ț</w:t>
      </w:r>
      <w:r w:rsidRPr="00BD1DB7">
        <w:t>e</w:t>
      </w:r>
      <w:r w:rsidR="007F645B">
        <w:t>ș</w:t>
      </w:r>
      <w:r w:rsidRPr="00BD1DB7">
        <w:t xml:space="preserve">te evaluează aspectele tehnologice, socioeconomice, precum </w:t>
      </w:r>
      <w:r w:rsidR="007F645B">
        <w:t>ș</w:t>
      </w:r>
      <w:r w:rsidRPr="00BD1DB7">
        <w:t xml:space="preserve">i cele legate de analiza cost-beneficiu aferente punerii în aplicare </w:t>
      </w:r>
      <w:r w:rsidR="007F645B">
        <w:t>ș</w:t>
      </w:r>
      <w:r w:rsidRPr="00BD1DB7">
        <w:t>i dezvoltării ulterioare a legisla</w:t>
      </w:r>
      <w:r w:rsidR="007F645B">
        <w:t>ț</w:t>
      </w:r>
      <w:r w:rsidRPr="00BD1DB7">
        <w:t>iei UE în domeniul de</w:t>
      </w:r>
      <w:r w:rsidR="007F645B">
        <w:t>ș</w:t>
      </w:r>
      <w:r w:rsidRPr="00BD1DB7">
        <w:t>eurilor. S-a elaborat un supliment la evaluarea impactului cu scopul de a analiza efectele pe care le pot avea variantele suplimentare ale principalelor op</w:t>
      </w:r>
      <w:r w:rsidR="007F645B">
        <w:t>ț</w:t>
      </w:r>
      <w:r w:rsidRPr="00BD1DB7">
        <w:t>iuni de politică definite în evaluarea impactului.</w:t>
      </w:r>
    </w:p>
    <w:p w:rsidR="00081DBF" w:rsidRPr="00BD1DB7" w:rsidRDefault="005B4A46">
      <w:pPr>
        <w:pStyle w:val="ManualHeading2"/>
        <w:rPr>
          <w:noProof/>
        </w:rPr>
      </w:pPr>
      <w:r w:rsidRPr="00BD1DB7">
        <w:t>2.2</w:t>
      </w:r>
      <w:r w:rsidRPr="00BD1DB7">
        <w:tab/>
        <w:t>Consultare internă</w:t>
      </w:r>
    </w:p>
    <w:p w:rsidR="00081DBF" w:rsidRPr="00BD1DB7" w:rsidRDefault="005B4A46">
      <w:pPr>
        <w:rPr>
          <w:rFonts w:eastAsia="SimSun"/>
          <w:noProof/>
        </w:rPr>
      </w:pPr>
      <w:r w:rsidRPr="00BD1DB7">
        <w:t xml:space="preserve">În cadrul Comisiei, un grup de coordonare privind evaluarea impactului, alcătuit din diferite servicii ale Comisiei (SG, ECFIN, GROW, CLIMA, JRC </w:t>
      </w:r>
      <w:r w:rsidR="007F645B">
        <w:t>ș</w:t>
      </w:r>
      <w:r w:rsidRPr="00BD1DB7">
        <w:t xml:space="preserve">i ESTAT) a urmărit pregătirea propunerilor legislative. </w:t>
      </w:r>
    </w:p>
    <w:p w:rsidR="00081DBF" w:rsidRPr="00BD1DB7" w:rsidRDefault="005B4A46">
      <w:pPr>
        <w:pStyle w:val="ManualHeading2"/>
        <w:rPr>
          <w:noProof/>
        </w:rPr>
      </w:pPr>
      <w:r w:rsidRPr="00BD1DB7">
        <w:t>2.3</w:t>
      </w:r>
      <w:r w:rsidRPr="00BD1DB7">
        <w:tab/>
        <w:t>Consultare externă</w:t>
      </w:r>
    </w:p>
    <w:p w:rsidR="00081DBF" w:rsidRPr="00BD1DB7" w:rsidRDefault="005B4A46">
      <w:pPr>
        <w:rPr>
          <w:rFonts w:eastAsia="SimSun"/>
          <w:noProof/>
        </w:rPr>
      </w:pPr>
      <w:r w:rsidRPr="00BD1DB7">
        <w:t xml:space="preserve">Comisia a elaborat o listă orientativă a problemelor care trebuie abordate </w:t>
      </w:r>
      <w:r w:rsidR="007F645B">
        <w:t>ș</w:t>
      </w:r>
      <w:r w:rsidRPr="00BD1DB7">
        <w:t>i primele interviuri cu principalele păr</w:t>
      </w:r>
      <w:r w:rsidR="007F645B">
        <w:t>ț</w:t>
      </w:r>
      <w:r w:rsidRPr="00BD1DB7">
        <w:t>i interesate au început în februarie 2013. În iunie 2013 s-a lansat o consultare publică online în conformitate cu standardele minime privind consultările, care s-a încheiat în septembrie 2013. Au fost transmise 670 de răspunsuri, ceea ce reflectă un grad ridicat de îngrijorare în rândul publicului referitor la situa</w:t>
      </w:r>
      <w:r w:rsidR="007F645B">
        <w:t>ț</w:t>
      </w:r>
      <w:r w:rsidRPr="00BD1DB7">
        <w:t>ia gestionării de</w:t>
      </w:r>
      <w:r w:rsidR="007F645B">
        <w:t>ș</w:t>
      </w:r>
      <w:r w:rsidRPr="00BD1DB7">
        <w:t xml:space="preserve">eurilor în UE </w:t>
      </w:r>
      <w:r w:rsidR="007F645B">
        <w:t>ș</w:t>
      </w:r>
      <w:r w:rsidRPr="00BD1DB7">
        <w:t>i nivelul înalt al a</w:t>
      </w:r>
      <w:r w:rsidR="007F645B">
        <w:t>ș</w:t>
      </w:r>
      <w:r w:rsidRPr="00BD1DB7">
        <w:t>teptărilor privind ac</w:t>
      </w:r>
      <w:r w:rsidR="007F645B">
        <w:t>ț</w:t>
      </w:r>
      <w:r w:rsidRPr="00BD1DB7">
        <w:t xml:space="preserve">iunea UE în acest domeniu. În perioada iunie-septembrie 2015, a avut loc o consultare specifică a statelor membre, precum </w:t>
      </w:r>
      <w:r w:rsidR="007F645B">
        <w:t>ș</w:t>
      </w:r>
      <w:r w:rsidRPr="00BD1DB7">
        <w:t xml:space="preserve">i o consultare mai amplă privind economia circulară. </w:t>
      </w:r>
    </w:p>
    <w:p w:rsidR="00081DBF" w:rsidRPr="00BD1DB7" w:rsidRDefault="005B4A46">
      <w:pPr>
        <w:pStyle w:val="ManualHeading2"/>
        <w:rPr>
          <w:noProof/>
        </w:rPr>
      </w:pPr>
      <w:r w:rsidRPr="00BD1DB7">
        <w:lastRenderedPageBreak/>
        <w:t>2.4</w:t>
      </w:r>
      <w:r w:rsidRPr="00BD1DB7">
        <w:tab/>
        <w:t>Evaluarea impactului</w:t>
      </w:r>
    </w:p>
    <w:p w:rsidR="00081DBF" w:rsidRPr="00BD1DB7" w:rsidRDefault="005B4A46">
      <w:pPr>
        <w:rPr>
          <w:rFonts w:eastAsia="SimSun"/>
          <w:noProof/>
        </w:rPr>
      </w:pPr>
      <w:r w:rsidRPr="00BD1DB7">
        <w:t>Împreună cu propunerea adoptată în iulie 2014</w:t>
      </w:r>
      <w:r w:rsidRPr="00BD1DB7">
        <w:rPr>
          <w:rStyle w:val="FootnoteReference"/>
          <w:noProof/>
        </w:rPr>
        <w:footnoteReference w:id="12"/>
      </w:r>
      <w:r w:rsidRPr="00BD1DB7">
        <w:t xml:space="preserve">, s-au publicat un raport privind evaluarea impactului </w:t>
      </w:r>
      <w:r w:rsidR="007F645B">
        <w:t>ș</w:t>
      </w:r>
      <w:r w:rsidRPr="00BD1DB7">
        <w:t xml:space="preserve">i un rezumat. Evaluarea impactului, care reprezintă în continuare principala bază analitică pentru propunerile legislative revizuite, evaluează principalele efecte asupra mediului, sociale </w:t>
      </w:r>
      <w:r w:rsidR="007F645B">
        <w:t>ș</w:t>
      </w:r>
      <w:r w:rsidRPr="00BD1DB7">
        <w:t>i economice ale diferitelor op</w:t>
      </w:r>
      <w:r w:rsidR="007F645B">
        <w:t>ț</w:t>
      </w:r>
      <w:r w:rsidRPr="00BD1DB7">
        <w:t>iuni de politică în vederea îmbunătă</w:t>
      </w:r>
      <w:r w:rsidR="007F645B">
        <w:t>ț</w:t>
      </w:r>
      <w:r w:rsidRPr="00BD1DB7">
        <w:t>irii gestionării de</w:t>
      </w:r>
      <w:r w:rsidR="007F645B">
        <w:t>ș</w:t>
      </w:r>
      <w:r w:rsidRPr="00BD1DB7">
        <w:t>eurilor în UE. Diverse niveluri de ambi</w:t>
      </w:r>
      <w:r w:rsidR="007F645B">
        <w:t>ț</w:t>
      </w:r>
      <w:r w:rsidRPr="00BD1DB7">
        <w:t xml:space="preserve">ie sunt evaluate </w:t>
      </w:r>
      <w:r w:rsidR="007F645B">
        <w:t>ș</w:t>
      </w:r>
      <w:r w:rsidRPr="00BD1DB7">
        <w:t>i comparate cu un „scenariu de referin</w:t>
      </w:r>
      <w:r w:rsidR="007F645B">
        <w:t>ț</w:t>
      </w:r>
      <w:r w:rsidRPr="00BD1DB7">
        <w:t xml:space="preserve">ă”, în scopul de a identifica instrumentele </w:t>
      </w:r>
      <w:r w:rsidR="007F645B">
        <w:t>ș</w:t>
      </w:r>
      <w:r w:rsidRPr="00BD1DB7">
        <w:t>i obiectivele cele mai adecvate, urmărindu-se în acela</w:t>
      </w:r>
      <w:r w:rsidR="007F645B">
        <w:t>ș</w:t>
      </w:r>
      <w:r w:rsidRPr="00BD1DB7">
        <w:t xml:space="preserve">i timp reducerea la minimum a costurilor </w:t>
      </w:r>
      <w:r w:rsidR="007F645B">
        <w:t>ș</w:t>
      </w:r>
      <w:r w:rsidRPr="00BD1DB7">
        <w:t>i ob</w:t>
      </w:r>
      <w:r w:rsidR="007F645B">
        <w:t>ț</w:t>
      </w:r>
      <w:r w:rsidRPr="00BD1DB7">
        <w:t>inerea unor beneficii maxime.</w:t>
      </w:r>
    </w:p>
    <w:p w:rsidR="00081DBF" w:rsidRPr="00BD1DB7" w:rsidRDefault="005B4A46">
      <w:pPr>
        <w:rPr>
          <w:rFonts w:eastAsia="SimSun"/>
          <w:noProof/>
        </w:rPr>
      </w:pPr>
      <w:r w:rsidRPr="00BD1DB7">
        <w:t>La 8 aprilie 2014, Comitetul de evaluare a impactului din cadrul Comisiei a emis un aviz pozitiv privind evaluarea impactului, formulând totodată o serie de recomandări pentru a îmbunătă</w:t>
      </w:r>
      <w:r w:rsidR="007F645B">
        <w:t>ț</w:t>
      </w:r>
      <w:r w:rsidRPr="00BD1DB7">
        <w:t xml:space="preserve">i raportul. Comitetul a solicitat să se clarifice mai mult definirea problemei </w:t>
      </w:r>
      <w:r w:rsidR="007F645B">
        <w:t>ș</w:t>
      </w:r>
      <w:r w:rsidRPr="00BD1DB7">
        <w:t>i necesitatea de a impune noi obiective intermediare, să se aducă argumente mai solide în favoarea interdic</w:t>
      </w:r>
      <w:r w:rsidR="007F645B">
        <w:t>ț</w:t>
      </w:r>
      <w:r w:rsidRPr="00BD1DB7">
        <w:t>iei de depozitare a de</w:t>
      </w:r>
      <w:r w:rsidR="007F645B">
        <w:t>ș</w:t>
      </w:r>
      <w:r w:rsidRPr="00BD1DB7">
        <w:t>eurilor din punctul de vedere al subsidiarită</w:t>
      </w:r>
      <w:r w:rsidR="007F645B">
        <w:t>ț</w:t>
      </w:r>
      <w:r w:rsidRPr="00BD1DB7">
        <w:t xml:space="preserve">ii </w:t>
      </w:r>
      <w:r w:rsidR="007F645B">
        <w:t>ș</w:t>
      </w:r>
      <w:r w:rsidRPr="00BD1DB7">
        <w:t>i al propor</w:t>
      </w:r>
      <w:r w:rsidR="007F645B">
        <w:t>ț</w:t>
      </w:r>
      <w:r w:rsidRPr="00BD1DB7">
        <w:t>ionalită</w:t>
      </w:r>
      <w:r w:rsidR="007F645B">
        <w:t>ț</w:t>
      </w:r>
      <w:r w:rsidRPr="00BD1DB7">
        <w:t xml:space="preserve">ii </w:t>
      </w:r>
      <w:r w:rsidR="007F645B">
        <w:t>ș</w:t>
      </w:r>
      <w:r w:rsidRPr="00BD1DB7">
        <w:t xml:space="preserve">i în favoarea stabilirii unor obiective uniforme pentru toate statele membre, precum </w:t>
      </w:r>
      <w:r w:rsidR="007F645B">
        <w:t>ș</w:t>
      </w:r>
      <w:r w:rsidRPr="00BD1DB7">
        <w:t>i să se explice mai în detaliu modul în care rezultatele diferite ob</w:t>
      </w:r>
      <w:r w:rsidR="007F645B">
        <w:t>ț</w:t>
      </w:r>
      <w:r w:rsidRPr="00BD1DB7">
        <w:t>inute de statele membre sunt luate în considerare în cadrul propunerii.</w:t>
      </w:r>
    </w:p>
    <w:p w:rsidR="00081DBF" w:rsidRPr="00BD1DB7" w:rsidRDefault="005B4A46">
      <w:pPr>
        <w:rPr>
          <w:rFonts w:eastAsia="SimSun"/>
          <w:noProof/>
          <w:szCs w:val="24"/>
        </w:rPr>
      </w:pPr>
      <w:r w:rsidRPr="00BD1DB7">
        <w:t>Concluzia evaluării impactului este că o combinare a op</w:t>
      </w:r>
      <w:r w:rsidR="007F645B">
        <w:t>ț</w:t>
      </w:r>
      <w:r w:rsidRPr="00BD1DB7">
        <w:t xml:space="preserve">iunilor va aduce următoarele beneficii: </w:t>
      </w:r>
    </w:p>
    <w:p w:rsidR="00081DBF" w:rsidRPr="00BD1DB7" w:rsidRDefault="005B4A46">
      <w:pPr>
        <w:pStyle w:val="Tiret0"/>
        <w:numPr>
          <w:ilvl w:val="0"/>
          <w:numId w:val="10"/>
        </w:numPr>
        <w:rPr>
          <w:rFonts w:eastAsia="SimSun"/>
          <w:noProof/>
        </w:rPr>
      </w:pPr>
      <w:r w:rsidRPr="00BD1DB7">
        <w:t>reducerea sarcinii administrative în special pentru unită</w:t>
      </w:r>
      <w:r w:rsidR="007F645B">
        <w:t>ț</w:t>
      </w:r>
      <w:r w:rsidRPr="00BD1DB7">
        <w:t xml:space="preserve">ile sau întreprinderile mici, simplificarea </w:t>
      </w:r>
      <w:r w:rsidR="007F645B">
        <w:t>ș</w:t>
      </w:r>
      <w:r w:rsidRPr="00BD1DB7">
        <w:t>i o mai bună punere în aplicare, inclusiv prin men</w:t>
      </w:r>
      <w:r w:rsidR="007F645B">
        <w:t>ț</w:t>
      </w:r>
      <w:r w:rsidRPr="00BD1DB7">
        <w:t>inerea unor obiective adecvate scopului;</w:t>
      </w:r>
    </w:p>
    <w:p w:rsidR="00081DBF" w:rsidRPr="00BD1DB7" w:rsidRDefault="005B4A46">
      <w:pPr>
        <w:pStyle w:val="Tiret0"/>
        <w:numPr>
          <w:ilvl w:val="0"/>
          <w:numId w:val="9"/>
        </w:numPr>
        <w:rPr>
          <w:rFonts w:eastAsia="SimSun"/>
          <w:noProof/>
        </w:rPr>
      </w:pPr>
      <w:r w:rsidRPr="00BD1DB7">
        <w:t xml:space="preserve">crearea de locuri de muncă – până în 2035 ar putea fi create peste 170 000 de locuri de muncă, pentru majoritatea acestora fiind imposibilă o delocalizare în afara UE; </w:t>
      </w:r>
    </w:p>
    <w:p w:rsidR="00081DBF" w:rsidRPr="00BD1DB7" w:rsidRDefault="005B4A46">
      <w:pPr>
        <w:pStyle w:val="Tiret0"/>
        <w:numPr>
          <w:ilvl w:val="0"/>
          <w:numId w:val="9"/>
        </w:numPr>
        <w:rPr>
          <w:rFonts w:eastAsia="SimSun"/>
          <w:noProof/>
        </w:rPr>
      </w:pPr>
      <w:r w:rsidRPr="00BD1DB7">
        <w:t xml:space="preserve">reducerea emisiilor de gaze cu efect de seră – între 2015 </w:t>
      </w:r>
      <w:r w:rsidR="007F645B">
        <w:t>ș</w:t>
      </w:r>
      <w:r w:rsidRPr="00BD1DB7">
        <w:t>i 2035 s-ar putea evita generarea a peste 600 de milioane de tone de gaze cu efect de seră;</w:t>
      </w:r>
    </w:p>
    <w:p w:rsidR="00081DBF" w:rsidRPr="00BD1DB7" w:rsidRDefault="005B4A46">
      <w:pPr>
        <w:pStyle w:val="Tiret0"/>
        <w:numPr>
          <w:ilvl w:val="0"/>
          <w:numId w:val="9"/>
        </w:numPr>
        <w:rPr>
          <w:rFonts w:eastAsia="SimSun"/>
          <w:noProof/>
        </w:rPr>
      </w:pPr>
      <w:r w:rsidRPr="00BD1DB7">
        <w:t>efecte pozitive asupra competitivită</w:t>
      </w:r>
      <w:r w:rsidR="007F645B">
        <w:t>ț</w:t>
      </w:r>
      <w:r w:rsidRPr="00BD1DB7">
        <w:t xml:space="preserve">ii sectoarelor de gestionare </w:t>
      </w:r>
      <w:r w:rsidR="007F645B">
        <w:t>ș</w:t>
      </w:r>
      <w:r w:rsidRPr="00BD1DB7">
        <w:t>i de reciclare a de</w:t>
      </w:r>
      <w:r w:rsidR="007F645B">
        <w:t>ș</w:t>
      </w:r>
      <w:r w:rsidRPr="00BD1DB7">
        <w:t xml:space="preserve">eurilor din UE, precum </w:t>
      </w:r>
      <w:r w:rsidR="007F645B">
        <w:t>ș</w:t>
      </w:r>
      <w:r w:rsidRPr="00BD1DB7">
        <w:t>i asupra industriei prelucrătoare din UE (scheme de răspundere extinsă a producătorilor îmbunătă</w:t>
      </w:r>
      <w:r w:rsidR="007F645B">
        <w:t>ț</w:t>
      </w:r>
      <w:r w:rsidRPr="00BD1DB7">
        <w:t>ite, riscuri reduse aferente accesului la materii prime);</w:t>
      </w:r>
    </w:p>
    <w:p w:rsidR="00081DBF" w:rsidRPr="00BD1DB7" w:rsidRDefault="005B4A46">
      <w:pPr>
        <w:pStyle w:val="Tiret0"/>
        <w:numPr>
          <w:ilvl w:val="0"/>
          <w:numId w:val="9"/>
        </w:numPr>
        <w:rPr>
          <w:rFonts w:eastAsia="SimSun"/>
          <w:noProof/>
        </w:rPr>
      </w:pPr>
      <w:r w:rsidRPr="00BD1DB7">
        <w:t>reintegrarea în economia UE a materiilor prime secundare, ceea ce, la rândul său, va reduce dependen</w:t>
      </w:r>
      <w:r w:rsidR="007F645B">
        <w:t>ț</w:t>
      </w:r>
      <w:r w:rsidRPr="00BD1DB7">
        <w:t>a UE de importurile de materii prime.</w:t>
      </w:r>
    </w:p>
    <w:p w:rsidR="00081DBF" w:rsidRPr="00BD1DB7" w:rsidRDefault="005B4A46">
      <w:pPr>
        <w:rPr>
          <w:rFonts w:eastAsia="SimSun"/>
          <w:noProof/>
        </w:rPr>
      </w:pPr>
      <w:r w:rsidRPr="00BD1DB7">
        <w:t>Alături de propunerea legislativă s-a emis o notă de analiză care completează evaluarea impactului. În această notă, s-au analizat o serie de op</w:t>
      </w:r>
      <w:r w:rsidR="007F645B">
        <w:t>ț</w:t>
      </w:r>
      <w:r w:rsidRPr="00BD1DB7">
        <w:t xml:space="preserve">iuni </w:t>
      </w:r>
      <w:r w:rsidR="007F645B">
        <w:t>ș</w:t>
      </w:r>
      <w:r w:rsidRPr="00BD1DB7">
        <w:t xml:space="preserve">i variante suplimentare cu scopul de a se </w:t>
      </w:r>
      <w:r w:rsidR="007F645B">
        <w:t>ț</w:t>
      </w:r>
      <w:r w:rsidRPr="00BD1DB7">
        <w:t>ine seama mai bine de diferitele pozi</w:t>
      </w:r>
      <w:r w:rsidR="007F645B">
        <w:t>ț</w:t>
      </w:r>
      <w:r w:rsidRPr="00BD1DB7">
        <w:t>ii de plecare ale fiecărui stat membru.</w:t>
      </w:r>
    </w:p>
    <w:p w:rsidR="00081DBF" w:rsidRPr="00BD1DB7" w:rsidRDefault="005B4A46">
      <w:pPr>
        <w:pStyle w:val="ManualHeading1"/>
        <w:spacing w:before="120"/>
        <w:rPr>
          <w:noProof/>
        </w:rPr>
      </w:pPr>
      <w:r w:rsidRPr="00BD1DB7">
        <w:t>3.</w:t>
      </w:r>
      <w:r w:rsidRPr="00BD1DB7">
        <w:tab/>
        <w:t>ELEMENTELE JURIDICE ALE PROPUNERII</w:t>
      </w:r>
    </w:p>
    <w:p w:rsidR="00081DBF" w:rsidRPr="00BD1DB7" w:rsidRDefault="005B4A46">
      <w:pPr>
        <w:pStyle w:val="ManualHeading2"/>
        <w:rPr>
          <w:noProof/>
        </w:rPr>
      </w:pPr>
      <w:r w:rsidRPr="00BD1DB7">
        <w:t>3.1</w:t>
      </w:r>
      <w:r w:rsidRPr="00BD1DB7">
        <w:tab/>
        <w:t>Rezumatul ac</w:t>
      </w:r>
      <w:r w:rsidR="007F645B">
        <w:t>ț</w:t>
      </w:r>
      <w:r w:rsidRPr="00BD1DB7">
        <w:t>iunii propuse</w:t>
      </w:r>
    </w:p>
    <w:p w:rsidR="00081DBF" w:rsidRPr="00BD1DB7" w:rsidRDefault="005B4A46">
      <w:pPr>
        <w:pStyle w:val="Text1"/>
        <w:ind w:left="0"/>
        <w:rPr>
          <w:noProof/>
        </w:rPr>
      </w:pPr>
      <w:r w:rsidRPr="00BD1DB7">
        <w:t>Principalele elemente ale propunerilor de modificare a legisla</w:t>
      </w:r>
      <w:r w:rsidR="007F645B">
        <w:t>ț</w:t>
      </w:r>
      <w:r w:rsidRPr="00BD1DB7">
        <w:t>iei UE în domeniul de</w:t>
      </w:r>
      <w:r w:rsidR="007F645B">
        <w:t>ș</w:t>
      </w:r>
      <w:r w:rsidRPr="00BD1DB7">
        <w:t xml:space="preserve">eurilor sunt: </w:t>
      </w:r>
    </w:p>
    <w:p w:rsidR="00081DBF" w:rsidRPr="00BD1DB7" w:rsidRDefault="005B4A46">
      <w:pPr>
        <w:pStyle w:val="Tiret0"/>
        <w:numPr>
          <w:ilvl w:val="0"/>
          <w:numId w:val="9"/>
        </w:numPr>
        <w:rPr>
          <w:rFonts w:eastAsia="SimSun"/>
          <w:noProof/>
        </w:rPr>
      </w:pPr>
      <w:r w:rsidRPr="00BD1DB7">
        <w:t>alinierea defini</w:t>
      </w:r>
      <w:r w:rsidR="007F645B">
        <w:t>ț</w:t>
      </w:r>
      <w:r w:rsidRPr="00BD1DB7">
        <w:t>iilor;</w:t>
      </w:r>
    </w:p>
    <w:p w:rsidR="00081DBF" w:rsidRPr="00BD1DB7" w:rsidRDefault="005B4A46">
      <w:pPr>
        <w:pStyle w:val="Tiret0"/>
        <w:numPr>
          <w:ilvl w:val="0"/>
          <w:numId w:val="9"/>
        </w:numPr>
        <w:rPr>
          <w:rFonts w:eastAsia="SimSun"/>
          <w:noProof/>
        </w:rPr>
      </w:pPr>
      <w:r w:rsidRPr="00BD1DB7">
        <w:t xml:space="preserve">majorarea obiectivului privind pregătirea pentru reutilizare </w:t>
      </w:r>
      <w:r w:rsidR="007F645B">
        <w:t>ș</w:t>
      </w:r>
      <w:r w:rsidRPr="00BD1DB7">
        <w:t>i reciclarea pentru de</w:t>
      </w:r>
      <w:r w:rsidR="007F645B">
        <w:t>ș</w:t>
      </w:r>
      <w:r w:rsidRPr="00BD1DB7">
        <w:t xml:space="preserve">eurile municipale la 65 % până în 2030; </w:t>
      </w:r>
    </w:p>
    <w:p w:rsidR="00081DBF" w:rsidRPr="00BD1DB7" w:rsidRDefault="005B4A46">
      <w:pPr>
        <w:pStyle w:val="Tiret0"/>
        <w:numPr>
          <w:ilvl w:val="0"/>
          <w:numId w:val="9"/>
        </w:numPr>
        <w:rPr>
          <w:rFonts w:eastAsia="SimSun"/>
          <w:noProof/>
        </w:rPr>
      </w:pPr>
      <w:r w:rsidRPr="00BD1DB7">
        <w:lastRenderedPageBreak/>
        <w:t xml:space="preserve">majorarea obiectivelor privind pregătirea pentru reutilizare </w:t>
      </w:r>
      <w:r w:rsidR="007F645B">
        <w:t>ș</w:t>
      </w:r>
      <w:r w:rsidRPr="00BD1DB7">
        <w:t>i reciclarea pentru de</w:t>
      </w:r>
      <w:r w:rsidR="007F645B">
        <w:t>ș</w:t>
      </w:r>
      <w:r w:rsidRPr="00BD1DB7">
        <w:t xml:space="preserve">eurile de ambalaje </w:t>
      </w:r>
      <w:r w:rsidR="007F645B">
        <w:t>ș</w:t>
      </w:r>
      <w:r w:rsidRPr="00BD1DB7">
        <w:t>i simplificarea setului de obiective;</w:t>
      </w:r>
    </w:p>
    <w:p w:rsidR="00081DBF" w:rsidRPr="00BD1DB7" w:rsidRDefault="005B4A46">
      <w:pPr>
        <w:pStyle w:val="Tiret0"/>
        <w:numPr>
          <w:ilvl w:val="0"/>
          <w:numId w:val="9"/>
        </w:numPr>
        <w:rPr>
          <w:rFonts w:eastAsia="SimSun"/>
          <w:noProof/>
        </w:rPr>
      </w:pPr>
      <w:r w:rsidRPr="00BD1DB7">
        <w:t>limitarea treptată a depozitării de</w:t>
      </w:r>
      <w:r w:rsidR="007F645B">
        <w:t>ș</w:t>
      </w:r>
      <w:r w:rsidRPr="00BD1DB7">
        <w:t xml:space="preserve">eurilor municipale la 10 % până în 2030; </w:t>
      </w:r>
    </w:p>
    <w:p w:rsidR="00081DBF" w:rsidRPr="00BD1DB7" w:rsidRDefault="005B4A46">
      <w:pPr>
        <w:pStyle w:val="Tiret0"/>
        <w:numPr>
          <w:ilvl w:val="0"/>
          <w:numId w:val="9"/>
        </w:numPr>
        <w:rPr>
          <w:rFonts w:eastAsia="SimSun"/>
          <w:noProof/>
        </w:rPr>
      </w:pPr>
      <w:r w:rsidRPr="00BD1DB7">
        <w:t xml:space="preserve">o mai mare armonizare </w:t>
      </w:r>
      <w:r w:rsidR="007F645B">
        <w:t>ș</w:t>
      </w:r>
      <w:r w:rsidRPr="00BD1DB7">
        <w:t xml:space="preserve">i simplificare a cadrului juridic privind subprodusele </w:t>
      </w:r>
      <w:r w:rsidR="007F645B">
        <w:t>ș</w:t>
      </w:r>
      <w:r w:rsidRPr="00BD1DB7">
        <w:t>i încetarea statutului de de</w:t>
      </w:r>
      <w:r w:rsidR="007F645B">
        <w:t>ș</w:t>
      </w:r>
      <w:r w:rsidRPr="00BD1DB7">
        <w:t>eu;</w:t>
      </w:r>
    </w:p>
    <w:p w:rsidR="00081DBF" w:rsidRPr="00BD1DB7" w:rsidRDefault="005B4A46">
      <w:pPr>
        <w:pStyle w:val="Tiret0"/>
        <w:numPr>
          <w:ilvl w:val="0"/>
          <w:numId w:val="9"/>
        </w:numPr>
        <w:rPr>
          <w:rFonts w:eastAsia="SimSun"/>
          <w:noProof/>
        </w:rPr>
      </w:pPr>
      <w:r w:rsidRPr="00BD1DB7">
        <w:t>noi măsuri de promovare a prevenirii, inclusiv pentru de</w:t>
      </w:r>
      <w:r w:rsidR="007F645B">
        <w:t>ș</w:t>
      </w:r>
      <w:r w:rsidRPr="00BD1DB7">
        <w:t xml:space="preserve">eurile alimentare, </w:t>
      </w:r>
      <w:r w:rsidR="007F645B">
        <w:t>ș</w:t>
      </w:r>
      <w:r w:rsidRPr="00BD1DB7">
        <w:t xml:space="preserve">i a reutilizării; </w:t>
      </w:r>
    </w:p>
    <w:p w:rsidR="00081DBF" w:rsidRPr="00BD1DB7" w:rsidRDefault="005B4A46">
      <w:pPr>
        <w:pStyle w:val="Tiret0"/>
        <w:numPr>
          <w:ilvl w:val="0"/>
          <w:numId w:val="9"/>
        </w:numPr>
        <w:rPr>
          <w:rFonts w:eastAsia="SimSun"/>
          <w:noProof/>
        </w:rPr>
      </w:pPr>
      <w:r w:rsidRPr="00BD1DB7">
        <w:t>introducerea unor condi</w:t>
      </w:r>
      <w:r w:rsidR="007F645B">
        <w:t>ț</w:t>
      </w:r>
      <w:r w:rsidRPr="00BD1DB7">
        <w:t>ii minime de func</w:t>
      </w:r>
      <w:r w:rsidR="007F645B">
        <w:t>ț</w:t>
      </w:r>
      <w:r w:rsidRPr="00BD1DB7">
        <w:t>ionare pentru răsp</w:t>
      </w:r>
      <w:r w:rsidR="00CD6689">
        <w:t>underea extinsă a producătorilor</w:t>
      </w:r>
      <w:r w:rsidRPr="00BD1DB7">
        <w:t>;</w:t>
      </w:r>
    </w:p>
    <w:p w:rsidR="00081DBF" w:rsidRPr="00BD1DB7" w:rsidRDefault="005B4A46">
      <w:pPr>
        <w:pStyle w:val="Tiret0"/>
        <w:numPr>
          <w:ilvl w:val="0"/>
          <w:numId w:val="9"/>
        </w:numPr>
        <w:rPr>
          <w:rFonts w:eastAsia="SimSun"/>
          <w:noProof/>
        </w:rPr>
      </w:pPr>
      <w:r w:rsidRPr="00BD1DB7">
        <w:t>introducerea unui sistem de alertă timpurie pentru monitorizarea conformită</w:t>
      </w:r>
      <w:r w:rsidR="007F645B">
        <w:t>ț</w:t>
      </w:r>
      <w:r w:rsidRPr="00BD1DB7">
        <w:t>ii cu obiectivele în materie de reciclare;</w:t>
      </w:r>
    </w:p>
    <w:p w:rsidR="00081DBF" w:rsidRPr="00BD1DB7" w:rsidRDefault="005B4A46">
      <w:pPr>
        <w:pStyle w:val="Tiret0"/>
        <w:numPr>
          <w:ilvl w:val="0"/>
          <w:numId w:val="9"/>
        </w:numPr>
        <w:rPr>
          <w:rFonts w:eastAsia="SimSun"/>
          <w:noProof/>
        </w:rPr>
      </w:pPr>
      <w:r w:rsidRPr="00BD1DB7">
        <w:t xml:space="preserve">simplificarea </w:t>
      </w:r>
      <w:r w:rsidR="007F645B">
        <w:t>ș</w:t>
      </w:r>
      <w:r w:rsidRPr="00BD1DB7">
        <w:t>i ra</w:t>
      </w:r>
      <w:r w:rsidR="007F645B">
        <w:t>ț</w:t>
      </w:r>
      <w:r w:rsidRPr="00BD1DB7">
        <w:t>ionalizarea obliga</w:t>
      </w:r>
      <w:r w:rsidR="007F645B">
        <w:t>ț</w:t>
      </w:r>
      <w:r w:rsidRPr="00BD1DB7">
        <w:t>iilor de raportare;</w:t>
      </w:r>
    </w:p>
    <w:p w:rsidR="00081DBF" w:rsidRPr="00BD1DB7" w:rsidRDefault="005B4A46">
      <w:pPr>
        <w:pStyle w:val="Tiret0"/>
        <w:numPr>
          <w:ilvl w:val="0"/>
          <w:numId w:val="9"/>
        </w:numPr>
        <w:rPr>
          <w:rFonts w:eastAsia="SimSun"/>
          <w:noProof/>
        </w:rPr>
      </w:pPr>
      <w:r w:rsidRPr="00BD1DB7">
        <w:t>alinierea la dispozi</w:t>
      </w:r>
      <w:r w:rsidR="007F645B">
        <w:t>ț</w:t>
      </w:r>
      <w:r w:rsidRPr="00BD1DB7">
        <w:t xml:space="preserve">iile articolelor 290 </w:t>
      </w:r>
      <w:r w:rsidR="007F645B">
        <w:t>ș</w:t>
      </w:r>
      <w:r w:rsidRPr="00BD1DB7">
        <w:t xml:space="preserve">i 291 din TFUE privind actele delegate </w:t>
      </w:r>
      <w:r w:rsidR="007F645B">
        <w:t>ș</w:t>
      </w:r>
      <w:r w:rsidRPr="00BD1DB7">
        <w:t>i actele de punere în aplicare.</w:t>
      </w:r>
    </w:p>
    <w:p w:rsidR="00081DBF" w:rsidRPr="00BD1DB7" w:rsidRDefault="005B4A46">
      <w:pPr>
        <w:pStyle w:val="ManualHeading2"/>
        <w:rPr>
          <w:noProof/>
        </w:rPr>
      </w:pPr>
      <w:r w:rsidRPr="00BD1DB7">
        <w:t>3.2</w:t>
      </w:r>
      <w:r w:rsidRPr="00BD1DB7">
        <w:tab/>
        <w:t xml:space="preserve">Temeiul juridic </w:t>
      </w:r>
      <w:r w:rsidR="007F645B">
        <w:t>ș</w:t>
      </w:r>
      <w:r w:rsidRPr="00BD1DB7">
        <w:t>i dreptul de a ac</w:t>
      </w:r>
      <w:r w:rsidR="007F645B">
        <w:t>ț</w:t>
      </w:r>
      <w:r w:rsidRPr="00BD1DB7">
        <w:t>iona</w:t>
      </w:r>
    </w:p>
    <w:p w:rsidR="00081DBF" w:rsidRPr="00BD1DB7" w:rsidRDefault="005B4A46">
      <w:pPr>
        <w:pStyle w:val="Text1"/>
        <w:ind w:left="0"/>
        <w:rPr>
          <w:rFonts w:eastAsia="SimSun"/>
          <w:noProof/>
        </w:rPr>
      </w:pPr>
      <w:r w:rsidRPr="00BD1DB7">
        <w:t xml:space="preserve">Propunerile modifică </w:t>
      </w:r>
      <w:r w:rsidR="007F645B">
        <w:t>ș</w:t>
      </w:r>
      <w:r w:rsidRPr="00BD1DB7">
        <w:t>ase directive care abordează chestiunea gestionării diferitelor tipuri de de</w:t>
      </w:r>
      <w:r w:rsidR="007F645B">
        <w:t>ș</w:t>
      </w:r>
      <w:r w:rsidRPr="00BD1DB7">
        <w:t xml:space="preserve">euri. Propunerile de modificare a Directivei 2008/98/CE, a Directivei 1999/31/CE, a Directivei 2000/53/CE, a Directivei 2006/66/CE </w:t>
      </w:r>
      <w:r w:rsidR="007F645B">
        <w:t>ș</w:t>
      </w:r>
      <w:r w:rsidRPr="00BD1DB7">
        <w:t xml:space="preserve">i a Directivei 2012/19/UE au ca temei articolul 192 alineatul (1) din TFUE, iar propunerea de modificare a Directivei 94/62/CE are ca temei articolul 114 din TFUE. </w:t>
      </w:r>
    </w:p>
    <w:p w:rsidR="00081DBF" w:rsidRPr="00BD1DB7" w:rsidRDefault="005B4A46">
      <w:pPr>
        <w:pStyle w:val="Text1"/>
        <w:ind w:left="0"/>
        <w:rPr>
          <w:rFonts w:eastAsia="SimSun"/>
          <w:noProof/>
        </w:rPr>
      </w:pPr>
      <w:r w:rsidRPr="00BD1DB7">
        <w:t>Articolul 11 alineatul (2) din Directiva 2008/98/CE stabile</w:t>
      </w:r>
      <w:r w:rsidR="007F645B">
        <w:t>ș</w:t>
      </w:r>
      <w:r w:rsidRPr="00BD1DB7">
        <w:t>te un obiectiv de 50 % în ceea ce prive</w:t>
      </w:r>
      <w:r w:rsidR="007F645B">
        <w:t>ș</w:t>
      </w:r>
      <w:r w:rsidRPr="00BD1DB7">
        <w:t xml:space="preserve">te pregătirea pentru reutilizare </w:t>
      </w:r>
      <w:r w:rsidR="007F645B">
        <w:t>ș</w:t>
      </w:r>
      <w:r w:rsidRPr="00BD1DB7">
        <w:t>i reciclarea de</w:t>
      </w:r>
      <w:r w:rsidR="007F645B">
        <w:t>ș</w:t>
      </w:r>
      <w:r w:rsidRPr="00BD1DB7">
        <w:t xml:space="preserve">eurilor menajere </w:t>
      </w:r>
      <w:r w:rsidR="007F645B">
        <w:t>ș</w:t>
      </w:r>
      <w:r w:rsidRPr="00BD1DB7">
        <w:t>i a de</w:t>
      </w:r>
      <w:r w:rsidR="007F645B">
        <w:t>ș</w:t>
      </w:r>
      <w:r w:rsidRPr="00BD1DB7">
        <w:t xml:space="preserve">eurilor similare </w:t>
      </w:r>
      <w:r w:rsidR="007F645B">
        <w:t>ș</w:t>
      </w:r>
      <w:r w:rsidRPr="00BD1DB7">
        <w:t>i un obiectiv de 70 % în ceea ce prive</w:t>
      </w:r>
      <w:r w:rsidR="007F645B">
        <w:t>ș</w:t>
      </w:r>
      <w:r w:rsidRPr="00BD1DB7">
        <w:t xml:space="preserve">te pregătirea pentru reutilizare, reciclarea </w:t>
      </w:r>
      <w:r w:rsidR="007F645B">
        <w:t>ș</w:t>
      </w:r>
      <w:r w:rsidRPr="00BD1DB7">
        <w:t>i alte opera</w:t>
      </w:r>
      <w:r w:rsidR="007F645B">
        <w:t>ț</w:t>
      </w:r>
      <w:r w:rsidRPr="00BD1DB7">
        <w:t>iuni de valorificare materială a de</w:t>
      </w:r>
      <w:r w:rsidR="007F645B">
        <w:t>ș</w:t>
      </w:r>
      <w:r w:rsidRPr="00BD1DB7">
        <w:t>eurilor nepericuloase provenite din activită</w:t>
      </w:r>
      <w:r w:rsidR="007F645B">
        <w:t>ț</w:t>
      </w:r>
      <w:r w:rsidRPr="00BD1DB7">
        <w:t>ile de construc</w:t>
      </w:r>
      <w:r w:rsidR="007F645B">
        <w:t>ț</w:t>
      </w:r>
      <w:r w:rsidRPr="00BD1DB7">
        <w:t xml:space="preserve">ie </w:t>
      </w:r>
      <w:r w:rsidR="007F645B">
        <w:t>ș</w:t>
      </w:r>
      <w:r w:rsidRPr="00BD1DB7">
        <w:t xml:space="preserve">i demolări, până în 2020. În temeiul articolului 11 alineatul (4), cel târziu până la 31 decembrie 2014, Comisia a trebuit să examineze aceste obiective în vederea consolidării lor, dacă acest lucru este necesar, </w:t>
      </w:r>
      <w:r w:rsidR="007F645B">
        <w:t>ș</w:t>
      </w:r>
      <w:r w:rsidRPr="00BD1DB7">
        <w:t>i pentru a lua în considerare stabilirea unor obiective pentru alte fluxuri de de</w:t>
      </w:r>
      <w:r w:rsidR="007F645B">
        <w:t>ș</w:t>
      </w:r>
      <w:r w:rsidRPr="00BD1DB7">
        <w:t xml:space="preserve">euri, având în vedere efectele asupra mediului, economice </w:t>
      </w:r>
      <w:r w:rsidR="007F645B">
        <w:t>ș</w:t>
      </w:r>
      <w:r w:rsidRPr="00BD1DB7">
        <w:t>i sociale relevante pe care le are stabilirea obiectivelor. În conformitate cu articolul 9 litera (c), Comisia a trebuit să stabilească, până la sfâr</w:t>
      </w:r>
      <w:r w:rsidR="007F645B">
        <w:t>ș</w:t>
      </w:r>
      <w:r w:rsidRPr="00BD1DB7">
        <w:t>itul anului 2014, obiectivele pentru 2020 în materie de prevenire a generării de de</w:t>
      </w:r>
      <w:r w:rsidR="007F645B">
        <w:t>ș</w:t>
      </w:r>
      <w:r w:rsidRPr="00BD1DB7">
        <w:t xml:space="preserve">euri </w:t>
      </w:r>
      <w:r w:rsidR="007F645B">
        <w:t>ș</w:t>
      </w:r>
      <w:r w:rsidRPr="00BD1DB7">
        <w:t>i de decuplare, pe baza celor mai bune practici în vigoare, inclusiv, acolo unde a fost necesar, să efectueze o reexaminare a indicatorilor men</w:t>
      </w:r>
      <w:r w:rsidR="007F645B">
        <w:t>ț</w:t>
      </w:r>
      <w:r w:rsidRPr="00BD1DB7">
        <w:t>iona</w:t>
      </w:r>
      <w:r w:rsidR="007F645B">
        <w:t>ț</w:t>
      </w:r>
      <w:r w:rsidRPr="00BD1DB7">
        <w:t>i la articolul 29 alineatul (4). În fine, în temeiul articolului 37 alineatul (4), în primul raport întocmit până la 12 decembrie 2014, Comisia a trebuit să evalueze o serie de măsuri, inclusiv scheme de răspundere a producătorilor pentru anumite fluxuri de de</w:t>
      </w:r>
      <w:r w:rsidR="007F645B">
        <w:t>ș</w:t>
      </w:r>
      <w:r w:rsidRPr="00BD1DB7">
        <w:t xml:space="preserve">euri, obiective, indicatori </w:t>
      </w:r>
      <w:r w:rsidR="007F645B">
        <w:t>ș</w:t>
      </w:r>
      <w:r w:rsidRPr="00BD1DB7">
        <w:t xml:space="preserve">i măsuri referitoare la reciclare, precum </w:t>
      </w:r>
      <w:r w:rsidR="007F645B">
        <w:t>ș</w:t>
      </w:r>
      <w:r w:rsidRPr="00BD1DB7">
        <w:t>i opera</w:t>
      </w:r>
      <w:r w:rsidR="007F645B">
        <w:t>ț</w:t>
      </w:r>
      <w:r w:rsidRPr="00BD1DB7">
        <w:t xml:space="preserve">iuni de valorificare materială </w:t>
      </w:r>
      <w:r w:rsidR="007F645B">
        <w:t>ș</w:t>
      </w:r>
      <w:r w:rsidRPr="00BD1DB7">
        <w:t xml:space="preserve">i energetică ce pot contribui la îndeplinirea mai eficace a obiectivelor stabilite la articolele 1 </w:t>
      </w:r>
      <w:r w:rsidR="007F645B">
        <w:t>ș</w:t>
      </w:r>
      <w:r w:rsidRPr="00BD1DB7">
        <w:t>i 4.</w:t>
      </w:r>
    </w:p>
    <w:p w:rsidR="00081DBF" w:rsidRPr="00BD1DB7" w:rsidRDefault="005B4A46">
      <w:pPr>
        <w:pStyle w:val="Text1"/>
        <w:ind w:left="0"/>
        <w:rPr>
          <w:rFonts w:eastAsia="SimSun"/>
          <w:noProof/>
        </w:rPr>
      </w:pPr>
      <w:r w:rsidRPr="00BD1DB7">
        <w:t>Articolul 5 alineatul (2) din Directiva 1999/31/CE stabile</w:t>
      </w:r>
      <w:r w:rsidR="007F645B">
        <w:t>ș</w:t>
      </w:r>
      <w:r w:rsidRPr="00BD1DB7">
        <w:t>te trei obiective pentru reducerea stocării de de</w:t>
      </w:r>
      <w:r w:rsidR="007F645B">
        <w:t>ș</w:t>
      </w:r>
      <w:r w:rsidRPr="00BD1DB7">
        <w:t>euri municipale biodegradabile în depozitele de de</w:t>
      </w:r>
      <w:r w:rsidR="007F645B">
        <w:t>ș</w:t>
      </w:r>
      <w:r w:rsidRPr="00BD1DB7">
        <w:t xml:space="preserve">euri </w:t>
      </w:r>
      <w:r w:rsidR="007F645B">
        <w:t>ș</w:t>
      </w:r>
      <w:r w:rsidRPr="00BD1DB7">
        <w:t>i interzice depozitarea anumitor fluxuri de de</w:t>
      </w:r>
      <w:r w:rsidR="007F645B">
        <w:t>ș</w:t>
      </w:r>
      <w:r w:rsidRPr="00BD1DB7">
        <w:t>euri. Ultimul obiectiv privind reducerea stocării de de</w:t>
      </w:r>
      <w:r w:rsidR="007F645B">
        <w:t>ș</w:t>
      </w:r>
      <w:r w:rsidRPr="00BD1DB7">
        <w:t>euri municipale biodegradabile în depozitele de de</w:t>
      </w:r>
      <w:r w:rsidR="007F645B">
        <w:t>ș</w:t>
      </w:r>
      <w:r w:rsidRPr="00BD1DB7">
        <w:t>euri trebuie să fie realizat de statele membre până la 16 iulie 2016. În temeiul articolului 5 alineatul (2), acest obiectiv este reexaminat până la 16 iulie 2014 în vederea confirmării sau a modificării sale în scopul asigurării unui nivel ridicat de protec</w:t>
      </w:r>
      <w:r w:rsidR="007F645B">
        <w:t>ț</w:t>
      </w:r>
      <w:r w:rsidRPr="00BD1DB7">
        <w:t xml:space="preserve">ie a mediului </w:t>
      </w:r>
      <w:r w:rsidR="007F645B">
        <w:t>ș</w:t>
      </w:r>
      <w:r w:rsidRPr="00BD1DB7">
        <w:t>i în lumina experien</w:t>
      </w:r>
      <w:r w:rsidR="007F645B">
        <w:t>ț</w:t>
      </w:r>
      <w:r w:rsidRPr="00BD1DB7">
        <w:t>ei practice acumulate de statele membre în îndeplinirea celor două obiective anterioare.</w:t>
      </w:r>
    </w:p>
    <w:p w:rsidR="00081DBF" w:rsidRPr="00BD1DB7" w:rsidRDefault="005B4A46">
      <w:pPr>
        <w:pStyle w:val="Text1"/>
        <w:ind w:left="0"/>
        <w:rPr>
          <w:rFonts w:eastAsia="SimSun"/>
          <w:noProof/>
        </w:rPr>
      </w:pPr>
      <w:r w:rsidRPr="00BD1DB7">
        <w:lastRenderedPageBreak/>
        <w:t xml:space="preserve">Articolul 6 alineatul (1) din Directiva 94/62/CE prevede obiective privind valorificarea </w:t>
      </w:r>
      <w:r w:rsidR="007F645B">
        <w:t>ș</w:t>
      </w:r>
      <w:r w:rsidRPr="00BD1DB7">
        <w:t>i reciclarea de</w:t>
      </w:r>
      <w:r w:rsidR="007F645B">
        <w:t>ș</w:t>
      </w:r>
      <w:r w:rsidRPr="00BD1DB7">
        <w:t>eurilor de ambalaje, care, în temeiul articolului 6 alineatul (5), se stabilesc o dată la cinci ani pe baza experien</w:t>
      </w:r>
      <w:r w:rsidR="007F645B">
        <w:t>ț</w:t>
      </w:r>
      <w:r w:rsidRPr="00BD1DB7">
        <w:t xml:space="preserve">ei practice acumulate în statele membre </w:t>
      </w:r>
      <w:r w:rsidR="007F645B">
        <w:t>ș</w:t>
      </w:r>
      <w:r w:rsidRPr="00BD1DB7">
        <w:t xml:space="preserve">i a rezultatelor cercetării </w:t>
      </w:r>
      <w:r w:rsidR="007F645B">
        <w:t>ș</w:t>
      </w:r>
      <w:r w:rsidRPr="00BD1DB7">
        <w:t>tiin</w:t>
      </w:r>
      <w:r w:rsidR="007F645B">
        <w:t>ț</w:t>
      </w:r>
      <w:r w:rsidRPr="00BD1DB7">
        <w:t xml:space="preserve">ifice </w:t>
      </w:r>
      <w:r w:rsidR="007F645B">
        <w:t>ș</w:t>
      </w:r>
      <w:r w:rsidRPr="00BD1DB7">
        <w:t>i ale tehnicilor de evaluare, cum ar fi evaluările ciclului de via</w:t>
      </w:r>
      <w:r w:rsidR="007F645B">
        <w:t>ț</w:t>
      </w:r>
      <w:r w:rsidRPr="00BD1DB7">
        <w:t xml:space="preserve">ă </w:t>
      </w:r>
      <w:r w:rsidR="007F645B">
        <w:t>ș</w:t>
      </w:r>
      <w:r w:rsidRPr="00BD1DB7">
        <w:t>i analiza cost-beneficiu.</w:t>
      </w:r>
    </w:p>
    <w:p w:rsidR="00081DBF" w:rsidRPr="00BD1DB7" w:rsidRDefault="005B4A46">
      <w:pPr>
        <w:pStyle w:val="ManualHeading2"/>
        <w:rPr>
          <w:noProof/>
        </w:rPr>
      </w:pPr>
      <w:r w:rsidRPr="00BD1DB7">
        <w:t>3.3</w:t>
      </w:r>
      <w:r w:rsidRPr="00BD1DB7">
        <w:tab/>
        <w:t>Principiile subsidiarită</w:t>
      </w:r>
      <w:r w:rsidR="007F645B">
        <w:t>ț</w:t>
      </w:r>
      <w:r w:rsidRPr="00BD1DB7">
        <w:t xml:space="preserve">ii </w:t>
      </w:r>
      <w:r w:rsidR="007F645B">
        <w:t>ș</w:t>
      </w:r>
      <w:r w:rsidRPr="00BD1DB7">
        <w:t>i propor</w:t>
      </w:r>
      <w:r w:rsidR="007F645B">
        <w:t>ț</w:t>
      </w:r>
      <w:r w:rsidRPr="00BD1DB7">
        <w:t>ionalită</w:t>
      </w:r>
      <w:r w:rsidR="007F645B">
        <w:t>ț</w:t>
      </w:r>
      <w:r w:rsidRPr="00BD1DB7">
        <w:t>ii</w:t>
      </w:r>
    </w:p>
    <w:p w:rsidR="00081DBF" w:rsidRPr="00BD1DB7" w:rsidRDefault="005B4A46">
      <w:pPr>
        <w:pStyle w:val="Text1"/>
        <w:ind w:left="0"/>
        <w:rPr>
          <w:rFonts w:eastAsia="SimSun"/>
          <w:noProof/>
        </w:rPr>
      </w:pPr>
      <w:r w:rsidRPr="00BD1DB7">
        <w:t>Propunerile sunt conforme cu principiile subsidiarită</w:t>
      </w:r>
      <w:r w:rsidR="007F645B">
        <w:t>ț</w:t>
      </w:r>
      <w:r w:rsidRPr="00BD1DB7">
        <w:t xml:space="preserve">ii </w:t>
      </w:r>
      <w:r w:rsidR="007F645B">
        <w:t>ș</w:t>
      </w:r>
      <w:r w:rsidRPr="00BD1DB7">
        <w:t>i propor</w:t>
      </w:r>
      <w:r w:rsidR="007F645B">
        <w:t>ț</w:t>
      </w:r>
      <w:r w:rsidRPr="00BD1DB7">
        <w:t>ionalită</w:t>
      </w:r>
      <w:r w:rsidR="007F645B">
        <w:t>ț</w:t>
      </w:r>
      <w:r w:rsidRPr="00BD1DB7">
        <w:t>ii prevăzute la articolul 5 din Tratatul privind Uniunea Europeană. Acestea se limitează la modificarea directivelor men</w:t>
      </w:r>
      <w:r w:rsidR="007F645B">
        <w:t>ț</w:t>
      </w:r>
      <w:r w:rsidRPr="00BD1DB7">
        <w:t>ionate mai sus, prin furnizarea unui cadru care stabile</w:t>
      </w:r>
      <w:r w:rsidR="007F645B">
        <w:t>ș</w:t>
      </w:r>
      <w:r w:rsidRPr="00BD1DB7">
        <w:t>te obiective comune, lăsând statelor membre libertatea de a decide metodele exacte de punere în aplicare.</w:t>
      </w:r>
    </w:p>
    <w:p w:rsidR="00081DBF" w:rsidRPr="00BD1DB7" w:rsidRDefault="005B4A46">
      <w:pPr>
        <w:pStyle w:val="ManualHeading2"/>
        <w:rPr>
          <w:noProof/>
        </w:rPr>
      </w:pPr>
      <w:r w:rsidRPr="00BD1DB7">
        <w:t>3.4</w:t>
      </w:r>
      <w:r w:rsidRPr="00BD1DB7">
        <w:tab/>
        <w:t>Documente explicative</w:t>
      </w:r>
    </w:p>
    <w:p w:rsidR="00081DBF" w:rsidRPr="00BD1DB7" w:rsidRDefault="005B4A46">
      <w:pPr>
        <w:pStyle w:val="Text1"/>
        <w:ind w:left="0"/>
        <w:rPr>
          <w:rFonts w:eastAsia="SimSun"/>
          <w:noProof/>
        </w:rPr>
      </w:pPr>
      <w:r w:rsidRPr="00BD1DB7">
        <w:t>Comisia consideră că pentru a ameliora calitatea informa</w:t>
      </w:r>
      <w:r w:rsidR="007F645B">
        <w:t>ț</w:t>
      </w:r>
      <w:r w:rsidRPr="00BD1DB7">
        <w:t>iilor privind transpunerea directivelor sunt necesare documente care să explice măsurile statelor membre de transpunere a directivelor.</w:t>
      </w:r>
    </w:p>
    <w:p w:rsidR="00081DBF" w:rsidRPr="00BD1DB7" w:rsidRDefault="005B4A46">
      <w:pPr>
        <w:pStyle w:val="Text1"/>
        <w:ind w:left="0"/>
        <w:rPr>
          <w:rFonts w:eastAsia="SimSun"/>
          <w:noProof/>
        </w:rPr>
      </w:pPr>
      <w:r w:rsidRPr="00BD1DB7">
        <w:t>Legisla</w:t>
      </w:r>
      <w:r w:rsidR="007F645B">
        <w:t>ț</w:t>
      </w:r>
      <w:r w:rsidRPr="00BD1DB7">
        <w:t>ia în domeniul de</w:t>
      </w:r>
      <w:r w:rsidR="007F645B">
        <w:t>ș</w:t>
      </w:r>
      <w:r w:rsidRPr="00BD1DB7">
        <w:t xml:space="preserve">eurilor este deseori transpusă într-o manieră extrem de descentralizată în statele membre, inclusiv la nivel regional sau local, </w:t>
      </w:r>
      <w:r w:rsidR="007F645B">
        <w:t>ș</w:t>
      </w:r>
      <w:r w:rsidRPr="00BD1DB7">
        <w:t>i în cadrul mai multor acte juridice, în func</w:t>
      </w:r>
      <w:r w:rsidR="007F645B">
        <w:t>ț</w:t>
      </w:r>
      <w:r w:rsidRPr="00BD1DB7">
        <w:t>ie de structura administrativă a unui stat membru. Prin urmare, în procesul de transpunere a directivelor modificate, statele membre pot fi nevoite să modifice o serie largă de acte legislative la nivel na</w:t>
      </w:r>
      <w:r w:rsidR="007F645B">
        <w:t>ț</w:t>
      </w:r>
      <w:r w:rsidRPr="00BD1DB7">
        <w:t xml:space="preserve">ional, regional </w:t>
      </w:r>
      <w:r w:rsidR="007F645B">
        <w:t>ș</w:t>
      </w:r>
      <w:r w:rsidRPr="00BD1DB7">
        <w:t>i local.</w:t>
      </w:r>
    </w:p>
    <w:p w:rsidR="00081DBF" w:rsidRPr="00BD1DB7" w:rsidRDefault="005B4A46">
      <w:pPr>
        <w:pStyle w:val="Text1"/>
        <w:ind w:left="0"/>
        <w:rPr>
          <w:rFonts w:eastAsia="SimSun"/>
          <w:noProof/>
        </w:rPr>
      </w:pPr>
      <w:r w:rsidRPr="00BD1DB7">
        <w:t xml:space="preserve">Propunerile modifică </w:t>
      </w:r>
      <w:r w:rsidR="007F645B">
        <w:t>ș</w:t>
      </w:r>
      <w:r w:rsidRPr="00BD1DB7">
        <w:t>ase directive privind de</w:t>
      </w:r>
      <w:r w:rsidR="007F645B">
        <w:t>ș</w:t>
      </w:r>
      <w:r w:rsidRPr="00BD1DB7">
        <w:t xml:space="preserve">eurile </w:t>
      </w:r>
      <w:r w:rsidR="007F645B">
        <w:t>ș</w:t>
      </w:r>
      <w:r w:rsidRPr="00BD1DB7">
        <w:t>i afectează un număr important de obliga</w:t>
      </w:r>
      <w:r w:rsidR="007F645B">
        <w:t>ț</w:t>
      </w:r>
      <w:r w:rsidRPr="00BD1DB7">
        <w:t>ii prevăzute de legisla</w:t>
      </w:r>
      <w:r w:rsidR="007F645B">
        <w:t>ț</w:t>
      </w:r>
      <w:r w:rsidRPr="00BD1DB7">
        <w:t>ie, modificând, de asemenea, substan</w:t>
      </w:r>
      <w:r w:rsidR="007F645B">
        <w:t>ț</w:t>
      </w:r>
      <w:r w:rsidRPr="00BD1DB7">
        <w:t xml:space="preserve">ial obiectivele prevăzute în Directiva 2008/98/CE, în Directiva 1999/31/CE </w:t>
      </w:r>
      <w:r w:rsidR="007F645B">
        <w:t>ș</w:t>
      </w:r>
      <w:r w:rsidRPr="00BD1DB7">
        <w:t xml:space="preserve">i în Directiva 94/62/CE </w:t>
      </w:r>
      <w:r w:rsidR="007F645B">
        <w:t>ș</w:t>
      </w:r>
      <w:r w:rsidRPr="00BD1DB7">
        <w:t xml:space="preserve">i simplificând Directiva 2000/53/CE, Directiva 2006/66/CE </w:t>
      </w:r>
      <w:r w:rsidR="007F645B">
        <w:t>ș</w:t>
      </w:r>
      <w:r w:rsidRPr="00BD1DB7">
        <w:t>i Directiva 2012/19/UE. Aceasta reprezintă o revizuire complexă a legisla</w:t>
      </w:r>
      <w:r w:rsidR="007F645B">
        <w:t>ț</w:t>
      </w:r>
      <w:r w:rsidRPr="00BD1DB7">
        <w:t>iei în domeniul de</w:t>
      </w:r>
      <w:r w:rsidR="007F645B">
        <w:t>ș</w:t>
      </w:r>
      <w:r w:rsidRPr="00BD1DB7">
        <w:t>eurilor, care este posibil să afecteze o serie de acte legislative na</w:t>
      </w:r>
      <w:r w:rsidR="007F645B">
        <w:t>ț</w:t>
      </w:r>
      <w:r w:rsidRPr="00BD1DB7">
        <w:t>ionale.</w:t>
      </w:r>
    </w:p>
    <w:p w:rsidR="00081DBF" w:rsidRPr="00BD1DB7" w:rsidRDefault="005B4A46">
      <w:pPr>
        <w:pStyle w:val="Text1"/>
        <w:ind w:left="0"/>
        <w:rPr>
          <w:rFonts w:eastAsia="SimSun"/>
          <w:noProof/>
        </w:rPr>
      </w:pPr>
      <w:r w:rsidRPr="00BD1DB7">
        <w:t>Obiectivele revizuite privind gestionarea de</w:t>
      </w:r>
      <w:r w:rsidR="007F645B">
        <w:t>ș</w:t>
      </w:r>
      <w:r w:rsidRPr="00BD1DB7">
        <w:t xml:space="preserve">eurilor prevăzute în directivele modificate sunt interconectate </w:t>
      </w:r>
      <w:r w:rsidR="007F645B">
        <w:t>ș</w:t>
      </w:r>
      <w:r w:rsidRPr="00BD1DB7">
        <w:t>i ar trebui să fie atent transpuse în legisla</w:t>
      </w:r>
      <w:r w:rsidR="007F645B">
        <w:t>ț</w:t>
      </w:r>
      <w:r w:rsidRPr="00BD1DB7">
        <w:t>ia na</w:t>
      </w:r>
      <w:r w:rsidR="007F645B">
        <w:t>ț</w:t>
      </w:r>
      <w:r w:rsidRPr="00BD1DB7">
        <w:t>ională, iar ulterior integrate în sistemele na</w:t>
      </w:r>
      <w:r w:rsidR="007F645B">
        <w:t>ț</w:t>
      </w:r>
      <w:r w:rsidRPr="00BD1DB7">
        <w:t>ionale de gestionare a de</w:t>
      </w:r>
      <w:r w:rsidR="007F645B">
        <w:t>ș</w:t>
      </w:r>
      <w:r w:rsidRPr="00BD1DB7">
        <w:t>eurilor.</w:t>
      </w:r>
    </w:p>
    <w:p w:rsidR="00081DBF" w:rsidRPr="00BD1DB7" w:rsidRDefault="005B4A46">
      <w:pPr>
        <w:pStyle w:val="Text1"/>
        <w:ind w:left="0"/>
        <w:rPr>
          <w:rFonts w:eastAsia="SimSun"/>
          <w:noProof/>
        </w:rPr>
      </w:pPr>
      <w:r w:rsidRPr="00BD1DB7">
        <w:t>Dispozi</w:t>
      </w:r>
      <w:r w:rsidR="007F645B">
        <w:t>ț</w:t>
      </w:r>
      <w:r w:rsidRPr="00BD1DB7">
        <w:t>iile propuse vor afecta o gamă largă de păr</w:t>
      </w:r>
      <w:r w:rsidR="007F645B">
        <w:t>ț</w:t>
      </w:r>
      <w:r w:rsidRPr="00BD1DB7">
        <w:t xml:space="preserve">i interesate din sectorul public </w:t>
      </w:r>
      <w:r w:rsidR="007F645B">
        <w:t>ș</w:t>
      </w:r>
      <w:r w:rsidRPr="00BD1DB7">
        <w:t xml:space="preserve">i privat din statele membre </w:t>
      </w:r>
      <w:r w:rsidR="007F645B">
        <w:t>ș</w:t>
      </w:r>
      <w:r w:rsidRPr="00BD1DB7">
        <w:t>i vor avea un impact important asupra investi</w:t>
      </w:r>
      <w:r w:rsidR="007F645B">
        <w:t>ț</w:t>
      </w:r>
      <w:r w:rsidRPr="00BD1DB7">
        <w:t>iilor viitoare în infrastructura de gestionare a de</w:t>
      </w:r>
      <w:r w:rsidR="007F645B">
        <w:t>ș</w:t>
      </w:r>
      <w:r w:rsidRPr="00BD1DB7">
        <w:t xml:space="preserve">eurilor. Transpunerea completă </w:t>
      </w:r>
      <w:r w:rsidR="007F645B">
        <w:t>ș</w:t>
      </w:r>
      <w:r w:rsidRPr="00BD1DB7">
        <w:t>i corectă a noii legisla</w:t>
      </w:r>
      <w:r w:rsidR="007F645B">
        <w:t>ț</w:t>
      </w:r>
      <w:r w:rsidRPr="00BD1DB7">
        <w:t>ii este esen</w:t>
      </w:r>
      <w:r w:rsidR="007F645B">
        <w:t>ț</w:t>
      </w:r>
      <w:r w:rsidRPr="00BD1DB7">
        <w:t>ială pentru a garanta faptul că obiectivele acesteia (</w:t>
      </w:r>
      <w:r w:rsidR="007F645B">
        <w:t>ș</w:t>
      </w:r>
      <w:r w:rsidRPr="00BD1DB7">
        <w:t>i anume, protejarea sănătă</w:t>
      </w:r>
      <w:r w:rsidR="007F645B">
        <w:t>ț</w:t>
      </w:r>
      <w:r w:rsidRPr="00BD1DB7">
        <w:t xml:space="preserve">ii umane </w:t>
      </w:r>
      <w:r w:rsidR="007F645B">
        <w:t>ș</w:t>
      </w:r>
      <w:r w:rsidRPr="00BD1DB7">
        <w:t>i a mediului, eficien</w:t>
      </w:r>
      <w:r w:rsidR="007F645B">
        <w:t>ț</w:t>
      </w:r>
      <w:r w:rsidRPr="00BD1DB7">
        <w:t xml:space="preserve">a sporită a utilizării resurselor </w:t>
      </w:r>
      <w:r w:rsidR="007F645B">
        <w:t>ș</w:t>
      </w:r>
      <w:r w:rsidRPr="00BD1DB7">
        <w:t>i asigurarea func</w:t>
      </w:r>
      <w:r w:rsidR="007F645B">
        <w:t>ț</w:t>
      </w:r>
      <w:r w:rsidRPr="00BD1DB7">
        <w:t>ionării pie</w:t>
      </w:r>
      <w:r w:rsidR="007F645B">
        <w:t>ț</w:t>
      </w:r>
      <w:r w:rsidRPr="00BD1DB7">
        <w:t xml:space="preserve">ei interne, precum </w:t>
      </w:r>
      <w:r w:rsidR="007F645B">
        <w:t>ș</w:t>
      </w:r>
      <w:r w:rsidRPr="00BD1DB7">
        <w:t xml:space="preserve">i evitarea obstacolelor în calea schimburilor comerciale </w:t>
      </w:r>
      <w:r w:rsidR="007F645B">
        <w:t>ș</w:t>
      </w:r>
      <w:r w:rsidRPr="00BD1DB7">
        <w:t>i evitarea restric</w:t>
      </w:r>
      <w:r w:rsidR="007F645B">
        <w:t>ț</w:t>
      </w:r>
      <w:r w:rsidRPr="00BD1DB7">
        <w:t>ionării concuren</w:t>
      </w:r>
      <w:r w:rsidR="007F645B">
        <w:t>ț</w:t>
      </w:r>
      <w:r w:rsidRPr="00BD1DB7">
        <w:t>ei în cadrul UE) sunt îndeplinite.</w:t>
      </w:r>
    </w:p>
    <w:p w:rsidR="00081DBF" w:rsidRPr="00BD1DB7" w:rsidRDefault="005B4A46">
      <w:pPr>
        <w:pStyle w:val="Text1"/>
        <w:ind w:left="0"/>
        <w:rPr>
          <w:rFonts w:eastAsia="SimSun"/>
          <w:noProof/>
        </w:rPr>
      </w:pPr>
      <w:r w:rsidRPr="00BD1DB7">
        <w:t>Cerin</w:t>
      </w:r>
      <w:r w:rsidR="007F645B">
        <w:t>ț</w:t>
      </w:r>
      <w:r w:rsidRPr="00BD1DB7">
        <w:t xml:space="preserve">a de a furniza documente explicative poate crea o sarcină administrativă suplimentară pentru unele state membre. Cu toate acestea, sunt necesare documente explicative pentru a se putea verifica în mod eficace dacă transpunerea este completă </w:t>
      </w:r>
      <w:r w:rsidR="007F645B">
        <w:t>ș</w:t>
      </w:r>
      <w:r w:rsidRPr="00BD1DB7">
        <w:t>i corectă, ceea ce este esen</w:t>
      </w:r>
      <w:r w:rsidR="007F645B">
        <w:t>ț</w:t>
      </w:r>
      <w:r w:rsidRPr="00BD1DB7">
        <w:t>ial din motivele men</w:t>
      </w:r>
      <w:r w:rsidR="007F645B">
        <w:t>ț</w:t>
      </w:r>
      <w:r w:rsidRPr="00BD1DB7">
        <w:t>ionate anterior, neexistând alte măsuri mai pu</w:t>
      </w:r>
      <w:r w:rsidR="007F645B">
        <w:t>ț</w:t>
      </w:r>
      <w:r w:rsidRPr="00BD1DB7">
        <w:t>in împovărătoare care să permită o verificare eficientă. În plus, documentele explicative pot contribui în mod semnificativ la reducerea sarcinii administrative aferente monitorizării de către Comisie a conformită</w:t>
      </w:r>
      <w:r w:rsidR="007F645B">
        <w:t>ț</w:t>
      </w:r>
      <w:r w:rsidRPr="00BD1DB7">
        <w:t>ii; în absen</w:t>
      </w:r>
      <w:r w:rsidR="007F645B">
        <w:t>ț</w:t>
      </w:r>
      <w:r w:rsidRPr="00BD1DB7">
        <w:t xml:space="preserve">a acestora, ar fi necesare resurse considerabile </w:t>
      </w:r>
      <w:r w:rsidR="007F645B">
        <w:t>ș</w:t>
      </w:r>
      <w:r w:rsidRPr="00BD1DB7">
        <w:t>i numeroase contacte cu autorită</w:t>
      </w:r>
      <w:r w:rsidR="007F645B">
        <w:t>ț</w:t>
      </w:r>
      <w:r w:rsidRPr="00BD1DB7">
        <w:t>ile na</w:t>
      </w:r>
      <w:r w:rsidR="007F645B">
        <w:t>ț</w:t>
      </w:r>
      <w:r w:rsidRPr="00BD1DB7">
        <w:t xml:space="preserve">ionale pentru a urmări metodele de transpunere în toate statele membre. </w:t>
      </w:r>
    </w:p>
    <w:p w:rsidR="00081DBF" w:rsidRPr="00BD1DB7" w:rsidRDefault="005B4A46">
      <w:pPr>
        <w:pStyle w:val="Text1"/>
        <w:ind w:left="0"/>
        <w:rPr>
          <w:rFonts w:eastAsia="SimSun"/>
          <w:noProof/>
        </w:rPr>
      </w:pPr>
      <w:r w:rsidRPr="00BD1DB7">
        <w:t>Având în vedere cele de mai sus, este oportun să li se solicite statelor membre ca notificarea măsurilor lor de transpunere să fie înso</w:t>
      </w:r>
      <w:r w:rsidR="007F645B">
        <w:t>ț</w:t>
      </w:r>
      <w:r w:rsidRPr="00BD1DB7">
        <w:t xml:space="preserve">ită de unul sau mai multe documente în care să se </w:t>
      </w:r>
      <w:r w:rsidRPr="00BD1DB7">
        <w:lastRenderedPageBreak/>
        <w:t>explice rela</w:t>
      </w:r>
      <w:r w:rsidR="007F645B">
        <w:t>ț</w:t>
      </w:r>
      <w:r w:rsidRPr="00BD1DB7">
        <w:t>ia dintre dispozi</w:t>
      </w:r>
      <w:r w:rsidR="007F645B">
        <w:t>ț</w:t>
      </w:r>
      <w:r w:rsidRPr="00BD1DB7">
        <w:t>iile directivelor care modifică legisla</w:t>
      </w:r>
      <w:r w:rsidR="007F645B">
        <w:t>ț</w:t>
      </w:r>
      <w:r w:rsidRPr="00BD1DB7">
        <w:t>ia UE în domeniul de</w:t>
      </w:r>
      <w:r w:rsidR="007F645B">
        <w:t>ș</w:t>
      </w:r>
      <w:r w:rsidRPr="00BD1DB7">
        <w:t xml:space="preserve">eurilor </w:t>
      </w:r>
      <w:r w:rsidR="007F645B">
        <w:t>ș</w:t>
      </w:r>
      <w:r w:rsidRPr="00BD1DB7">
        <w:t>i păr</w:t>
      </w:r>
      <w:r w:rsidR="007F645B">
        <w:t>ț</w:t>
      </w:r>
      <w:r w:rsidRPr="00BD1DB7">
        <w:t>ile corespunzătoare ale instrumentelor na</w:t>
      </w:r>
      <w:r w:rsidR="007F645B">
        <w:t>ț</w:t>
      </w:r>
      <w:r w:rsidRPr="00BD1DB7">
        <w:t>ionale de transpunere.</w:t>
      </w:r>
    </w:p>
    <w:p w:rsidR="00081DBF" w:rsidRPr="00BD1DB7" w:rsidRDefault="005B4A46">
      <w:pPr>
        <w:pStyle w:val="ManualHeading2"/>
        <w:rPr>
          <w:noProof/>
        </w:rPr>
      </w:pPr>
      <w:r w:rsidRPr="00BD1DB7">
        <w:t>3.5</w:t>
      </w:r>
      <w:r w:rsidRPr="00BD1DB7">
        <w:tab/>
        <w:t>Competen</w:t>
      </w:r>
      <w:r w:rsidR="007F645B">
        <w:t>ț</w:t>
      </w:r>
      <w:r w:rsidRPr="00BD1DB7">
        <w:t xml:space="preserve">ele delegate </w:t>
      </w:r>
      <w:r w:rsidR="007F645B">
        <w:t>ș</w:t>
      </w:r>
      <w:r w:rsidRPr="00BD1DB7">
        <w:t>i de executare ale Comisiei</w:t>
      </w:r>
    </w:p>
    <w:p w:rsidR="00081DBF" w:rsidRPr="00BD1DB7" w:rsidRDefault="005B4A46">
      <w:pPr>
        <w:pStyle w:val="Text1"/>
        <w:ind w:left="0"/>
        <w:rPr>
          <w:rFonts w:eastAsia="SimSun"/>
          <w:noProof/>
        </w:rPr>
      </w:pPr>
      <w:r w:rsidRPr="00BD1DB7">
        <w:t>Competen</w:t>
      </w:r>
      <w:r w:rsidR="007F645B">
        <w:t>ț</w:t>
      </w:r>
      <w:r w:rsidRPr="00BD1DB7">
        <w:t xml:space="preserve">ele delegate </w:t>
      </w:r>
      <w:r w:rsidR="007F645B">
        <w:t>ș</w:t>
      </w:r>
      <w:r w:rsidRPr="00BD1DB7">
        <w:t xml:space="preserve">i de executare ale Comisiei sunt identificate, iar procedurile corespunzătoare de adoptare a acestor actelor sunt stabilite la articolul 1 alineatele (4), (5), (6), (9), (11), (14), (15), (18), (19), (21) </w:t>
      </w:r>
      <w:r w:rsidR="007F645B">
        <w:t>ș</w:t>
      </w:r>
      <w:r w:rsidRPr="00BD1DB7">
        <w:t xml:space="preserve">i (22) din propunerea privind Directiva 2008/98/CE, la articolul 1 alineatele (4), (6), (7), (9) </w:t>
      </w:r>
      <w:r w:rsidR="007F645B">
        <w:t>ș</w:t>
      </w:r>
      <w:r w:rsidRPr="00BD1DB7">
        <w:t xml:space="preserve">i (10) din propunerea privind Directiva 94/62/CE, la articolul 1 alineatele (6) </w:t>
      </w:r>
      <w:r w:rsidR="007F645B">
        <w:t>ș</w:t>
      </w:r>
      <w:r w:rsidRPr="00BD1DB7">
        <w:t xml:space="preserve">i (7) din propunerea privind Directiva 1999/31/CE </w:t>
      </w:r>
      <w:r w:rsidR="007F645B">
        <w:t>ș</w:t>
      </w:r>
      <w:r w:rsidRPr="00BD1DB7">
        <w:t xml:space="preserve">i în modificările propuse la articolele 1 </w:t>
      </w:r>
      <w:r w:rsidR="007F645B">
        <w:t>ș</w:t>
      </w:r>
      <w:r w:rsidRPr="00BD1DB7">
        <w:t xml:space="preserve">i 3 din propunerea privind Directivele 2000/53/CE </w:t>
      </w:r>
      <w:r w:rsidR="007F645B">
        <w:t>ș</w:t>
      </w:r>
      <w:r w:rsidRPr="00BD1DB7">
        <w:t>i 2012/19/UE.</w:t>
      </w:r>
    </w:p>
    <w:p w:rsidR="00081DBF" w:rsidRPr="00BD1DB7" w:rsidRDefault="005B4A46">
      <w:pPr>
        <w:pStyle w:val="ManualHeading1"/>
        <w:spacing w:before="120"/>
        <w:rPr>
          <w:noProof/>
        </w:rPr>
      </w:pPr>
      <w:r w:rsidRPr="00BD1DB7">
        <w:t>4.</w:t>
      </w:r>
      <w:r w:rsidRPr="00BD1DB7">
        <w:tab/>
        <w:t>IMPLICA</w:t>
      </w:r>
      <w:r w:rsidR="007F645B">
        <w:t>Ț</w:t>
      </w:r>
      <w:r w:rsidRPr="00BD1DB7">
        <w:t>IILE BUGETARE</w:t>
      </w:r>
    </w:p>
    <w:p w:rsidR="00570F8C" w:rsidRDefault="005B4A46">
      <w:pPr>
        <w:sectPr w:rsidR="00570F8C" w:rsidSect="00570F8C">
          <w:footerReference w:type="default" r:id="rId16"/>
          <w:footerReference w:type="first" r:id="rId17"/>
          <w:pgSz w:w="11907" w:h="16839"/>
          <w:pgMar w:top="1134" w:right="1417" w:bottom="1134" w:left="1417" w:header="709" w:footer="709" w:gutter="0"/>
          <w:cols w:space="708"/>
          <w:docGrid w:linePitch="360"/>
        </w:sectPr>
      </w:pPr>
      <w:r w:rsidRPr="00BD1DB7">
        <w:t xml:space="preserve">Propunerile nu vor avea niciun impact asupra bugetului Uniunii Europene </w:t>
      </w:r>
      <w:r w:rsidR="007F645B">
        <w:t>ș</w:t>
      </w:r>
      <w:r w:rsidRPr="00BD1DB7">
        <w:t>i, prin urmare, nu sunt înso</w:t>
      </w:r>
      <w:r w:rsidR="007F645B">
        <w:t>ț</w:t>
      </w:r>
      <w:r w:rsidRPr="00BD1DB7">
        <w:t>ite de fi</w:t>
      </w:r>
      <w:r w:rsidR="007F645B">
        <w:t>ș</w:t>
      </w:r>
      <w:r w:rsidRPr="00BD1DB7">
        <w:t xml:space="preserve">a financiară prevăzută la articolul 31 din Regulamentul financiar [Regulamentul (UE, Euratom) nr. 966/2012 al Parlamentului European </w:t>
      </w:r>
      <w:r w:rsidR="007F645B">
        <w:t>ș</w:t>
      </w:r>
      <w:r w:rsidRPr="00BD1DB7">
        <w:t xml:space="preserve">i al Consiliului din 25 octombrie 2012 privind normele financiare aplicabile bugetului general al Uniunii </w:t>
      </w:r>
      <w:r w:rsidR="007F645B">
        <w:t>ș</w:t>
      </w:r>
      <w:r w:rsidRPr="00BD1DB7">
        <w:t>i de abrogare a Regulamentului (CE, Euratom) nr. 1605/2002 al Consiliului].</w:t>
      </w:r>
      <w:r w:rsidR="00570F8C">
        <w:tab/>
      </w:r>
    </w:p>
    <w:p w:rsidR="00081DBF" w:rsidRPr="00BD1DB7" w:rsidRDefault="00081DBF">
      <w:pPr>
        <w:rPr>
          <w:noProof/>
        </w:rPr>
      </w:pPr>
    </w:p>
    <w:p w:rsidR="00081DBF" w:rsidRPr="00BD1DB7" w:rsidRDefault="00570F8C" w:rsidP="00570F8C">
      <w:pPr>
        <w:pStyle w:val="Rfrenceinterinstitutionnelle"/>
        <w:rPr>
          <w:noProof/>
        </w:rPr>
      </w:pPr>
      <w:r w:rsidRPr="00570F8C">
        <w:t>2015/0276 (COD)</w:t>
      </w:r>
    </w:p>
    <w:p w:rsidR="00081DBF" w:rsidRPr="00BD1DB7" w:rsidRDefault="006D764F" w:rsidP="006D764F">
      <w:pPr>
        <w:pStyle w:val="Statut"/>
        <w:rPr>
          <w:noProof/>
        </w:rPr>
      </w:pPr>
      <w:r w:rsidRPr="006D764F">
        <w:t>Propunere de</w:t>
      </w:r>
    </w:p>
    <w:p w:rsidR="00081DBF" w:rsidRPr="00BD1DB7" w:rsidRDefault="006D764F" w:rsidP="006D764F">
      <w:pPr>
        <w:pStyle w:val="Typedudocument"/>
        <w:rPr>
          <w:noProof/>
        </w:rPr>
      </w:pPr>
      <w:r w:rsidRPr="006D764F">
        <w:t>DIRECTIVĂ A PARLAMENTULUI EUROPEAN ŞI A CONSILIULUI</w:t>
      </w:r>
    </w:p>
    <w:p w:rsidR="00081DBF" w:rsidRPr="00BD1DB7" w:rsidRDefault="006D764F" w:rsidP="006D764F">
      <w:pPr>
        <w:pStyle w:val="Titreobjet"/>
        <w:rPr>
          <w:noProof/>
        </w:rPr>
      </w:pPr>
      <w:r w:rsidRPr="006D764F">
        <w:t>de modificare a Directivei 94/62/CE privind ambalajele și deșeurile de ambalaje</w:t>
      </w:r>
    </w:p>
    <w:p w:rsidR="00081DBF" w:rsidRPr="00BD1DB7" w:rsidRDefault="006D764F" w:rsidP="006D764F">
      <w:pPr>
        <w:pStyle w:val="IntrtEEE"/>
        <w:rPr>
          <w:noProof/>
        </w:rPr>
      </w:pPr>
      <w:r w:rsidRPr="006D764F">
        <w:t>(Text cu relevanță pentru SEE)</w:t>
      </w:r>
    </w:p>
    <w:p w:rsidR="00081DBF" w:rsidRPr="00BD1DB7" w:rsidRDefault="005B4A46">
      <w:pPr>
        <w:pStyle w:val="Institutionquiagit"/>
        <w:spacing w:before="120"/>
        <w:rPr>
          <w:noProof/>
        </w:rPr>
      </w:pPr>
      <w:r w:rsidRPr="00BD1DB7">
        <w:t xml:space="preserve">PARLAMENTUL EUROPEAN </w:t>
      </w:r>
      <w:r w:rsidR="007F645B">
        <w:t>Ș</w:t>
      </w:r>
      <w:r w:rsidRPr="00BD1DB7">
        <w:t>I CONSILIUL UNIUNII EUROPENE,</w:t>
      </w:r>
    </w:p>
    <w:p w:rsidR="00081DBF" w:rsidRPr="00BD1DB7" w:rsidRDefault="005B4A46">
      <w:pPr>
        <w:rPr>
          <w:noProof/>
        </w:rPr>
      </w:pPr>
      <w:r w:rsidRPr="00BD1DB7">
        <w:t>având în vedere Tratatul privind func</w:t>
      </w:r>
      <w:r w:rsidR="007F645B">
        <w:t>ț</w:t>
      </w:r>
      <w:r w:rsidRPr="00BD1DB7">
        <w:t>ionarea Uniunii Europene, în special articolul 114,</w:t>
      </w:r>
    </w:p>
    <w:p w:rsidR="00081DBF" w:rsidRPr="00BD1DB7" w:rsidRDefault="005B4A46">
      <w:pPr>
        <w:rPr>
          <w:noProof/>
        </w:rPr>
      </w:pPr>
      <w:r w:rsidRPr="00BD1DB7">
        <w:t>având în vedere propunerea Comisiei Europene,</w:t>
      </w:r>
    </w:p>
    <w:p w:rsidR="00081DBF" w:rsidRPr="00BD1DB7" w:rsidRDefault="005B4A46">
      <w:pPr>
        <w:rPr>
          <w:noProof/>
        </w:rPr>
      </w:pPr>
      <w:r w:rsidRPr="00BD1DB7">
        <w:t>după transmiterea proiectului de act legislativ către parlamentele na</w:t>
      </w:r>
      <w:r w:rsidR="007F645B">
        <w:t>ț</w:t>
      </w:r>
      <w:r w:rsidRPr="00BD1DB7">
        <w:t>ionale,</w:t>
      </w:r>
    </w:p>
    <w:p w:rsidR="00081DBF" w:rsidRPr="00BD1DB7" w:rsidRDefault="005B4A46">
      <w:pPr>
        <w:rPr>
          <w:noProof/>
        </w:rPr>
      </w:pPr>
      <w:r w:rsidRPr="00BD1DB7">
        <w:t xml:space="preserve">având în vedere avizul Comitetului Economic </w:t>
      </w:r>
      <w:r w:rsidR="007F645B">
        <w:t>ș</w:t>
      </w:r>
      <w:r w:rsidRPr="00BD1DB7">
        <w:t>i Social European</w:t>
      </w:r>
      <w:r w:rsidRPr="00BD1DB7">
        <w:rPr>
          <w:rStyle w:val="FootnoteReference"/>
          <w:noProof/>
        </w:rPr>
        <w:footnoteReference w:id="13"/>
      </w:r>
      <w:r w:rsidRPr="00BD1DB7">
        <w:t>,</w:t>
      </w:r>
    </w:p>
    <w:p w:rsidR="00081DBF" w:rsidRPr="00BD1DB7" w:rsidRDefault="005B4A46">
      <w:pPr>
        <w:rPr>
          <w:noProof/>
        </w:rPr>
      </w:pPr>
      <w:r w:rsidRPr="00BD1DB7">
        <w:t>ac</w:t>
      </w:r>
      <w:r w:rsidR="007F645B">
        <w:t>ț</w:t>
      </w:r>
      <w:r w:rsidRPr="00BD1DB7">
        <w:t>ionând în conformitate cu procedura legislativă ordinară,</w:t>
      </w:r>
    </w:p>
    <w:p w:rsidR="00081DBF" w:rsidRPr="00BD1DB7" w:rsidRDefault="005B4A46">
      <w:pPr>
        <w:rPr>
          <w:noProof/>
        </w:rPr>
      </w:pPr>
      <w:r w:rsidRPr="00BD1DB7">
        <w:t>întrucât:</w:t>
      </w:r>
    </w:p>
    <w:p w:rsidR="00081DBF" w:rsidRPr="00BD1DB7" w:rsidRDefault="005B4A46">
      <w:pPr>
        <w:pStyle w:val="ManualConsidrant"/>
        <w:rPr>
          <w:noProof/>
        </w:rPr>
      </w:pPr>
      <w:r w:rsidRPr="00BD1DB7">
        <w:t>(1)</w:t>
      </w:r>
      <w:r w:rsidRPr="00BD1DB7">
        <w:tab/>
        <w:t>Gestionarea de</w:t>
      </w:r>
      <w:r w:rsidR="007F645B">
        <w:t>ș</w:t>
      </w:r>
      <w:r w:rsidRPr="00BD1DB7">
        <w:t>eurilor în Uniune ar trebui să fie îmbunătă</w:t>
      </w:r>
      <w:r w:rsidR="007F645B">
        <w:t>ț</w:t>
      </w:r>
      <w:r w:rsidRPr="00BD1DB7">
        <w:t xml:space="preserve">ită pentru a proteja, a conserva </w:t>
      </w:r>
      <w:r w:rsidR="007F645B">
        <w:t>ș</w:t>
      </w:r>
      <w:r w:rsidRPr="00BD1DB7">
        <w:t>i a îmbunătă</w:t>
      </w:r>
      <w:r w:rsidR="007F645B">
        <w:t>ț</w:t>
      </w:r>
      <w:r w:rsidRPr="00BD1DB7">
        <w:t xml:space="preserve">i calitatea mediului, a proteja sănătatea umană </w:t>
      </w:r>
      <w:r w:rsidR="007F645B">
        <w:t>ș</w:t>
      </w:r>
      <w:r w:rsidRPr="00BD1DB7">
        <w:t xml:space="preserve">i a asigura utilizarea prudentă </w:t>
      </w:r>
      <w:r w:rsidR="007F645B">
        <w:t>ș</w:t>
      </w:r>
      <w:r w:rsidRPr="00BD1DB7">
        <w:t>i ra</w:t>
      </w:r>
      <w:r w:rsidR="007F645B">
        <w:t>ț</w:t>
      </w:r>
      <w:r w:rsidRPr="00BD1DB7">
        <w:t xml:space="preserve">ională a resurselor naturale, precum </w:t>
      </w:r>
      <w:r w:rsidR="007F645B">
        <w:t>ș</w:t>
      </w:r>
      <w:r w:rsidRPr="00BD1DB7">
        <w:t xml:space="preserve">i pentru a promova o economie mai circulară. </w:t>
      </w:r>
    </w:p>
    <w:p w:rsidR="00081DBF" w:rsidRPr="00BD1DB7" w:rsidRDefault="005B4A46">
      <w:pPr>
        <w:pStyle w:val="ManualConsidrant"/>
        <w:rPr>
          <w:noProof/>
        </w:rPr>
      </w:pPr>
      <w:r w:rsidRPr="00BD1DB7">
        <w:t>(2)</w:t>
      </w:r>
      <w:r w:rsidRPr="00BD1DB7">
        <w:tab/>
        <w:t xml:space="preserve">Obiectivele stabilite în Directiva 94/62/CE a Parlamentului European </w:t>
      </w:r>
      <w:r w:rsidR="007F645B">
        <w:t>ș</w:t>
      </w:r>
      <w:r w:rsidRPr="00BD1DB7">
        <w:t>i a Consiliului</w:t>
      </w:r>
      <w:r w:rsidRPr="00BD1DB7">
        <w:rPr>
          <w:rStyle w:val="FootnoteReference"/>
          <w:noProof/>
        </w:rPr>
        <w:footnoteReference w:id="14"/>
      </w:r>
      <w:r w:rsidRPr="00BD1DB7">
        <w:t xml:space="preserve"> referitor la valorificarea </w:t>
      </w:r>
      <w:r w:rsidR="007F645B">
        <w:t>ș</w:t>
      </w:r>
      <w:r w:rsidRPr="00BD1DB7">
        <w:t xml:space="preserve">i reciclarea ambalajelor </w:t>
      </w:r>
      <w:r w:rsidR="007F645B">
        <w:t>ș</w:t>
      </w:r>
      <w:r w:rsidRPr="00BD1DB7">
        <w:t>i a de</w:t>
      </w:r>
      <w:r w:rsidR="007F645B">
        <w:t>ș</w:t>
      </w:r>
      <w:r w:rsidRPr="00BD1DB7">
        <w:t xml:space="preserve">eurilor de ambalaje ar trebui modificate, consolidând pregătirea pentru reutilizare </w:t>
      </w:r>
      <w:r w:rsidR="007F645B">
        <w:t>ș</w:t>
      </w:r>
      <w:r w:rsidRPr="00BD1DB7">
        <w:t>i reciclarea de</w:t>
      </w:r>
      <w:r w:rsidR="007F645B">
        <w:t>ș</w:t>
      </w:r>
      <w:r w:rsidRPr="00BD1DB7">
        <w:t>eurilor de ambalaje, astfel încât să reflecte mai bine ambi</w:t>
      </w:r>
      <w:r w:rsidR="007F645B">
        <w:t>ț</w:t>
      </w:r>
      <w:r w:rsidRPr="00BD1DB7">
        <w:t>ia Uniunii de a avansa în direc</w:t>
      </w:r>
      <w:r w:rsidR="007F645B">
        <w:t>ț</w:t>
      </w:r>
      <w:r w:rsidRPr="00BD1DB7">
        <w:t>ia unei economii circulare.</w:t>
      </w:r>
    </w:p>
    <w:p w:rsidR="00081DBF" w:rsidRPr="00BD1DB7" w:rsidRDefault="005B4A46">
      <w:pPr>
        <w:pStyle w:val="ManualConsidrant"/>
        <w:rPr>
          <w:noProof/>
        </w:rPr>
      </w:pPr>
      <w:r w:rsidRPr="00BD1DB7">
        <w:t>(3)</w:t>
      </w:r>
      <w:r w:rsidRPr="00BD1DB7">
        <w:tab/>
        <w:t>De asemenea, pentru a asigura o mai mare coeren</w:t>
      </w:r>
      <w:r w:rsidR="007F645B">
        <w:t>ț</w:t>
      </w:r>
      <w:r w:rsidRPr="00BD1DB7">
        <w:t>ă a legisla</w:t>
      </w:r>
      <w:r w:rsidR="007F645B">
        <w:t>ț</w:t>
      </w:r>
      <w:r w:rsidRPr="00BD1DB7">
        <w:t>iei în domeniul de</w:t>
      </w:r>
      <w:r w:rsidR="007F645B">
        <w:t>ș</w:t>
      </w:r>
      <w:r w:rsidRPr="00BD1DB7">
        <w:t>eurilor, defini</w:t>
      </w:r>
      <w:r w:rsidR="007F645B">
        <w:t>ț</w:t>
      </w:r>
      <w:r w:rsidRPr="00BD1DB7">
        <w:t xml:space="preserve">iile din Directiva 94/62/CE ar trebui să fie aliniate la cele prevăzute în Directiva 2008/98/CE a Parlamentului European </w:t>
      </w:r>
      <w:r w:rsidR="007F645B">
        <w:t>ș</w:t>
      </w:r>
      <w:r w:rsidRPr="00BD1DB7">
        <w:t>i a Consiliului</w:t>
      </w:r>
      <w:r w:rsidRPr="00BD1DB7">
        <w:rPr>
          <w:rStyle w:val="FootnoteReference"/>
          <w:noProof/>
        </w:rPr>
        <w:footnoteReference w:id="15"/>
      </w:r>
      <w:r w:rsidRPr="00BD1DB7">
        <w:t>, aplicabile de</w:t>
      </w:r>
      <w:r w:rsidR="007F645B">
        <w:t>ș</w:t>
      </w:r>
      <w:r w:rsidRPr="00BD1DB7">
        <w:t>eurilor în general.</w:t>
      </w:r>
    </w:p>
    <w:p w:rsidR="00081DBF" w:rsidRPr="00BD1DB7" w:rsidRDefault="005B4A46">
      <w:pPr>
        <w:pStyle w:val="ManualConsidrant"/>
        <w:rPr>
          <w:noProof/>
        </w:rPr>
      </w:pPr>
      <w:r w:rsidRPr="00BD1DB7">
        <w:t>(4)</w:t>
      </w:r>
      <w:r w:rsidRPr="00BD1DB7">
        <w:tab/>
        <w:t xml:space="preserve">Majorarea suplimentară a obiectivelor stabilite în Directiva 94/62/CE privind pregătirea pentru reutilizare </w:t>
      </w:r>
      <w:r w:rsidR="007F645B">
        <w:t>ș</w:t>
      </w:r>
      <w:r w:rsidRPr="00BD1DB7">
        <w:t>i reciclarea de</w:t>
      </w:r>
      <w:r w:rsidR="007F645B">
        <w:t>ș</w:t>
      </w:r>
      <w:r w:rsidRPr="00BD1DB7">
        <w:t xml:space="preserve">eurilor de ambalaje ar aduce beneficii de mediu, economice </w:t>
      </w:r>
      <w:r w:rsidR="007F645B">
        <w:t>ș</w:t>
      </w:r>
      <w:r w:rsidRPr="00BD1DB7">
        <w:t>i sociale clare.</w:t>
      </w:r>
    </w:p>
    <w:p w:rsidR="00081DBF" w:rsidRPr="00BD1DB7" w:rsidRDefault="005B4A46">
      <w:pPr>
        <w:pStyle w:val="ManualConsidrant"/>
        <w:rPr>
          <w:rFonts w:eastAsia="SimSun"/>
          <w:noProof/>
        </w:rPr>
      </w:pPr>
      <w:r w:rsidRPr="00BD1DB7">
        <w:t>(5)</w:t>
      </w:r>
      <w:r w:rsidRPr="00BD1DB7">
        <w:tab/>
        <w:t xml:space="preserve">Printr-o majorare progresivă a obiectivelor existente privind pregătirea pentru reutilizare </w:t>
      </w:r>
      <w:r w:rsidR="007F645B">
        <w:t>ș</w:t>
      </w:r>
      <w:r w:rsidRPr="00BD1DB7">
        <w:t>i reciclarea de</w:t>
      </w:r>
      <w:r w:rsidR="007F645B">
        <w:t>ș</w:t>
      </w:r>
      <w:r w:rsidRPr="00BD1DB7">
        <w:t>eurilor de ambalaje, ar trebui să se asigure faptul că materialele valoroase din punct de vedere economic pe care le con</w:t>
      </w:r>
      <w:r w:rsidR="007F645B">
        <w:t>ț</w:t>
      </w:r>
      <w:r w:rsidRPr="00BD1DB7">
        <w:t>in de</w:t>
      </w:r>
      <w:r w:rsidR="007F645B">
        <w:t>ș</w:t>
      </w:r>
      <w:r w:rsidRPr="00BD1DB7">
        <w:t xml:space="preserve">eurile sunt valorificate în mod progresiv </w:t>
      </w:r>
      <w:r w:rsidR="007F645B">
        <w:t>ș</w:t>
      </w:r>
      <w:r w:rsidRPr="00BD1DB7">
        <w:t>i eficace prin gestionarea adecvată a de</w:t>
      </w:r>
      <w:r w:rsidR="007F645B">
        <w:t>ș</w:t>
      </w:r>
      <w:r w:rsidRPr="00BD1DB7">
        <w:t xml:space="preserve">eurilor </w:t>
      </w:r>
      <w:r w:rsidR="007F645B">
        <w:t>ș</w:t>
      </w:r>
      <w:r w:rsidRPr="00BD1DB7">
        <w:t xml:space="preserve">i în </w:t>
      </w:r>
      <w:r w:rsidRPr="00BD1DB7">
        <w:lastRenderedPageBreak/>
        <w:t>conformitate cu ierarhia de</w:t>
      </w:r>
      <w:r w:rsidR="007F645B">
        <w:t>ș</w:t>
      </w:r>
      <w:r w:rsidRPr="00BD1DB7">
        <w:t>eurilor. Astfel ar trebui să se asigure faptul că materialele valoroase din punct de vedere economic pe care le con</w:t>
      </w:r>
      <w:r w:rsidR="007F645B">
        <w:t>ț</w:t>
      </w:r>
      <w:r w:rsidRPr="00BD1DB7">
        <w:t>in de</w:t>
      </w:r>
      <w:r w:rsidR="007F645B">
        <w:t>ș</w:t>
      </w:r>
      <w:r w:rsidRPr="00BD1DB7">
        <w:t>eurile sunt reintroduse în economia europeană, realizându-se astfel progrese în ceea ce prive</w:t>
      </w:r>
      <w:r w:rsidR="007F645B">
        <w:t>ș</w:t>
      </w:r>
      <w:r w:rsidRPr="00BD1DB7">
        <w:t>te punerea în aplicare a Ini</w:t>
      </w:r>
      <w:r w:rsidR="007F645B">
        <w:t>ț</w:t>
      </w:r>
      <w:r w:rsidRPr="00BD1DB7">
        <w:t>iativei privind materiile prime</w:t>
      </w:r>
      <w:r w:rsidRPr="00BD1DB7">
        <w:rPr>
          <w:rStyle w:val="FootnoteReference"/>
          <w:noProof/>
        </w:rPr>
        <w:footnoteReference w:id="16"/>
      </w:r>
      <w:r w:rsidRPr="00BD1DB7">
        <w:t xml:space="preserve"> </w:t>
      </w:r>
      <w:r w:rsidR="007F645B">
        <w:t>ș</w:t>
      </w:r>
      <w:r w:rsidRPr="00BD1DB7">
        <w:t>i crearea unei economii circulare.</w:t>
      </w:r>
    </w:p>
    <w:p w:rsidR="00081DBF" w:rsidRPr="00BD1DB7" w:rsidRDefault="005B4A46">
      <w:pPr>
        <w:pStyle w:val="ManualConsidrant"/>
        <w:rPr>
          <w:noProof/>
        </w:rPr>
      </w:pPr>
      <w:r w:rsidRPr="00BD1DB7">
        <w:t>(6)</w:t>
      </w:r>
      <w:r w:rsidRPr="00BD1DB7">
        <w:tab/>
        <w:t>Multe state membre încă nu au dezvoltat complet infrastructura necesară în materie de gestionare a de</w:t>
      </w:r>
      <w:r w:rsidR="007F645B">
        <w:t>ș</w:t>
      </w:r>
      <w:r w:rsidRPr="00BD1DB7">
        <w:t>eurilor. Prin urmare, este esen</w:t>
      </w:r>
      <w:r w:rsidR="007F645B">
        <w:t>ț</w:t>
      </w:r>
      <w:r w:rsidRPr="00BD1DB7">
        <w:t>ial să se stabilească obiective clare de politică pentru a evita blocarea materialelor reciclabile în partea inferioară a ierarhiei de</w:t>
      </w:r>
      <w:r w:rsidR="007F645B">
        <w:t>ș</w:t>
      </w:r>
      <w:r w:rsidRPr="00BD1DB7">
        <w:t>eurilor.</w:t>
      </w:r>
    </w:p>
    <w:p w:rsidR="00081DBF" w:rsidRPr="00BD1DB7" w:rsidRDefault="005B4A46">
      <w:pPr>
        <w:pStyle w:val="ManualConsidrant"/>
        <w:rPr>
          <w:noProof/>
        </w:rPr>
      </w:pPr>
      <w:r w:rsidRPr="00BD1DB7">
        <w:t>(7)</w:t>
      </w:r>
      <w:r w:rsidRPr="00BD1DB7">
        <w:tab/>
        <w:t xml:space="preserve">Având în vedere că Directivele 2008/98/CE </w:t>
      </w:r>
      <w:r w:rsidR="007F645B">
        <w:t>ș</w:t>
      </w:r>
      <w:r w:rsidRPr="00BD1DB7">
        <w:t xml:space="preserve">i 1999/31/CE prevăd atât obiective privind reciclarea, cât </w:t>
      </w:r>
      <w:r w:rsidR="007F645B">
        <w:t>ș</w:t>
      </w:r>
      <w:r w:rsidRPr="00BD1DB7">
        <w:t>i restric</w:t>
      </w:r>
      <w:r w:rsidR="007F645B">
        <w:t>ț</w:t>
      </w:r>
      <w:r w:rsidRPr="00BD1DB7">
        <w:t>ii privind depozitarea de</w:t>
      </w:r>
      <w:r w:rsidR="007F645B">
        <w:t>ș</w:t>
      </w:r>
      <w:r w:rsidRPr="00BD1DB7">
        <w:t xml:space="preserve">eurilor, obiectivele la nivelul Uniunii privind valorificarea energetică </w:t>
      </w:r>
      <w:r w:rsidR="007F645B">
        <w:t>ș</w:t>
      </w:r>
      <w:r w:rsidRPr="00BD1DB7">
        <w:t>i obiectivele privind reciclarea de</w:t>
      </w:r>
      <w:r w:rsidR="007F645B">
        <w:t>ș</w:t>
      </w:r>
      <w:r w:rsidRPr="00BD1DB7">
        <w:t>eurilor de ambalaje prevăzute în Directiva 94/62/CE nu mai sunt necesare.</w:t>
      </w:r>
    </w:p>
    <w:p w:rsidR="00081DBF" w:rsidRPr="00BD1DB7" w:rsidRDefault="005B4A46">
      <w:pPr>
        <w:pStyle w:val="ManualConsidrant"/>
        <w:rPr>
          <w:rFonts w:cs="Calibri"/>
          <w:bCs/>
          <w:noProof/>
          <w:highlight w:val="yellow"/>
        </w:rPr>
      </w:pPr>
      <w:r w:rsidRPr="00BD1DB7">
        <w:t>(8)</w:t>
      </w:r>
      <w:r w:rsidRPr="00BD1DB7">
        <w:tab/>
        <w:t>Prezenta directivă stabile</w:t>
      </w:r>
      <w:r w:rsidR="007F645B">
        <w:t>ș</w:t>
      </w:r>
      <w:r w:rsidRPr="00BD1DB7">
        <w:t>te obiective pe termen lung pentru politica de gestionare a de</w:t>
      </w:r>
      <w:r w:rsidR="007F645B">
        <w:t>ș</w:t>
      </w:r>
      <w:r w:rsidRPr="00BD1DB7">
        <w:t xml:space="preserve">eurilor a Uniunii </w:t>
      </w:r>
      <w:r w:rsidR="007F645B">
        <w:t>ș</w:t>
      </w:r>
      <w:r w:rsidRPr="00BD1DB7">
        <w:t>i dă agen</w:t>
      </w:r>
      <w:r w:rsidR="007F645B">
        <w:t>ț</w:t>
      </w:r>
      <w:r w:rsidRPr="00BD1DB7">
        <w:t xml:space="preserve">ilor economici </w:t>
      </w:r>
      <w:r w:rsidR="007F645B">
        <w:t>ș</w:t>
      </w:r>
      <w:r w:rsidRPr="00BD1DB7">
        <w:t>i statelor membre o orientare clară în ceea ce prive</w:t>
      </w:r>
      <w:r w:rsidR="007F645B">
        <w:t>ș</w:t>
      </w:r>
      <w:r w:rsidRPr="00BD1DB7">
        <w:t>te investi</w:t>
      </w:r>
      <w:r w:rsidR="007F645B">
        <w:t>ț</w:t>
      </w:r>
      <w:r w:rsidRPr="00BD1DB7">
        <w:t>iile necesare în vederea atingerii obiectivelor directivei. În elaborarea strategiilor lor na</w:t>
      </w:r>
      <w:r w:rsidR="007F645B">
        <w:t>ț</w:t>
      </w:r>
      <w:r w:rsidRPr="00BD1DB7">
        <w:t>ionale de gestionare a de</w:t>
      </w:r>
      <w:r w:rsidR="007F645B">
        <w:t>ș</w:t>
      </w:r>
      <w:r w:rsidRPr="00BD1DB7">
        <w:t xml:space="preserve">eurilor </w:t>
      </w:r>
      <w:r w:rsidR="007F645B">
        <w:t>ș</w:t>
      </w:r>
      <w:r w:rsidRPr="00BD1DB7">
        <w:t>i în planificarea investi</w:t>
      </w:r>
      <w:r w:rsidR="007F645B">
        <w:t>ț</w:t>
      </w:r>
      <w:r w:rsidRPr="00BD1DB7">
        <w:t>iilor în infrastructura de gestionare a de</w:t>
      </w:r>
      <w:r w:rsidR="007F645B">
        <w:t>ș</w:t>
      </w:r>
      <w:r w:rsidRPr="00BD1DB7">
        <w:t xml:space="preserve">eurilor, statele membre ar trebui să utilizeze judicios fondurile structurale </w:t>
      </w:r>
      <w:r w:rsidR="007F645B">
        <w:t>ș</w:t>
      </w:r>
      <w:r w:rsidRPr="00BD1DB7">
        <w:t>i de investi</w:t>
      </w:r>
      <w:r w:rsidR="007F645B">
        <w:t>ț</w:t>
      </w:r>
      <w:r w:rsidRPr="00BD1DB7">
        <w:t>ii europene, în conformitate cu ierarhia de</w:t>
      </w:r>
      <w:r w:rsidR="007F645B">
        <w:t>ș</w:t>
      </w:r>
      <w:r w:rsidRPr="00BD1DB7">
        <w:t xml:space="preserve">eurilor, promovând prevenirea, reutilizarea </w:t>
      </w:r>
      <w:r w:rsidR="007F645B">
        <w:t>ș</w:t>
      </w:r>
      <w:r w:rsidRPr="00BD1DB7">
        <w:t>i reciclarea.</w:t>
      </w:r>
    </w:p>
    <w:p w:rsidR="00081DBF" w:rsidRPr="00BD1DB7" w:rsidRDefault="005B4A46">
      <w:pPr>
        <w:pStyle w:val="ManualConsidrant"/>
        <w:rPr>
          <w:noProof/>
        </w:rPr>
      </w:pPr>
      <w:r w:rsidRPr="00BD1DB7">
        <w:t xml:space="preserve"> (9)</w:t>
      </w:r>
      <w:r w:rsidRPr="00BD1DB7">
        <w:tab/>
        <w:t>Obiectivele pentru anul 2025 privind reciclarea de</w:t>
      </w:r>
      <w:r w:rsidR="007F645B">
        <w:t>ș</w:t>
      </w:r>
      <w:r w:rsidRPr="00BD1DB7">
        <w:t>eurilor de ambalaje din plastic au fost stabilite având în vedere ceea ce era fezabil din punct de vedere tehnic la momentul revizuirii directivei; Comisia poate propune niveluri revizuite ale obiectivelor referitoare la materialele plastice pentru anul 2030, pe baza unei examinări a progreselor înregistrate de statele membre în direc</w:t>
      </w:r>
      <w:r w:rsidR="007F645B">
        <w:t>ț</w:t>
      </w:r>
      <w:r w:rsidRPr="00BD1DB7">
        <w:t>ia atingerii obiectivelor respective, luând în considerare evolu</w:t>
      </w:r>
      <w:r w:rsidR="007F645B">
        <w:t>ț</w:t>
      </w:r>
      <w:r w:rsidRPr="00BD1DB7">
        <w:t>ia tipurilor de materiale plastice introduse pe pia</w:t>
      </w:r>
      <w:r w:rsidR="007F645B">
        <w:t>ț</w:t>
      </w:r>
      <w:r w:rsidRPr="00BD1DB7">
        <w:t xml:space="preserve">ă </w:t>
      </w:r>
      <w:r w:rsidR="007F645B">
        <w:t>ș</w:t>
      </w:r>
      <w:r w:rsidRPr="00BD1DB7">
        <w:t xml:space="preserve">i dezvoltarea unor noi tehnologii de reciclare, precum </w:t>
      </w:r>
      <w:r w:rsidR="007F645B">
        <w:t>ș</w:t>
      </w:r>
      <w:r w:rsidRPr="00BD1DB7">
        <w:t>i cererea de materiale plastice reciclate.</w:t>
      </w:r>
    </w:p>
    <w:p w:rsidR="00081DBF" w:rsidRPr="00BD1DB7" w:rsidRDefault="005B4A46">
      <w:pPr>
        <w:pStyle w:val="ManualConsidrant"/>
        <w:rPr>
          <w:noProof/>
        </w:rPr>
      </w:pPr>
      <w:r w:rsidRPr="00BD1DB7">
        <w:t>(10)</w:t>
      </w:r>
      <w:r w:rsidRPr="00BD1DB7">
        <w:tab/>
        <w:t xml:space="preserve">Ar trebui stabilite obiective separate pentru reciclarea metalelor feroase </w:t>
      </w:r>
      <w:r w:rsidR="007F645B">
        <w:t>ș</w:t>
      </w:r>
      <w:r w:rsidRPr="00BD1DB7">
        <w:t>i a aluminiului, pentru a ob</w:t>
      </w:r>
      <w:r w:rsidR="007F645B">
        <w:t>ț</w:t>
      </w:r>
      <w:r w:rsidRPr="00BD1DB7">
        <w:t xml:space="preserve">ine importante beneficii economice </w:t>
      </w:r>
      <w:r w:rsidR="007F645B">
        <w:t>ș</w:t>
      </w:r>
      <w:r w:rsidRPr="00BD1DB7">
        <w:t xml:space="preserve">i de mediu, deoarece astfel ar fi reciclat mai mult aluminiu, ceea ce ar determina economii semnificative de energie </w:t>
      </w:r>
      <w:r w:rsidR="007F645B">
        <w:t>ș</w:t>
      </w:r>
      <w:r w:rsidRPr="00BD1DB7">
        <w:t xml:space="preserve">i reducerea emisiilor de dioxid de carbon. Obiectivul existent privind pregătirea pentru reutilizare </w:t>
      </w:r>
      <w:r w:rsidR="007F645B">
        <w:t>ș</w:t>
      </w:r>
      <w:r w:rsidRPr="00BD1DB7">
        <w:t>i reciclarea ambalajelor din metal ar trebui, prin urmare, să fie împăr</w:t>
      </w:r>
      <w:r w:rsidR="007F645B">
        <w:t>ț</w:t>
      </w:r>
      <w:r w:rsidRPr="00BD1DB7">
        <w:t>it în obiective separate pentru cele două tipuri de de</w:t>
      </w:r>
      <w:r w:rsidR="007F645B">
        <w:t>ș</w:t>
      </w:r>
      <w:r w:rsidRPr="00BD1DB7">
        <w:t>euri.</w:t>
      </w:r>
    </w:p>
    <w:p w:rsidR="00081DBF" w:rsidRPr="00BD1DB7" w:rsidRDefault="005B4A46">
      <w:pPr>
        <w:pStyle w:val="ManualConsidrant"/>
        <w:rPr>
          <w:noProof/>
        </w:rPr>
      </w:pPr>
      <w:r w:rsidRPr="00BD1DB7">
        <w:t>(11)</w:t>
      </w:r>
      <w:r w:rsidRPr="00BD1DB7">
        <w:tab/>
        <w:t xml:space="preserve">Pentru a calcula dacă obiectivele privind pregătirea pentru reutilizare </w:t>
      </w:r>
      <w:r w:rsidR="007F645B">
        <w:t>ș</w:t>
      </w:r>
      <w:r w:rsidRPr="00BD1DB7">
        <w:t xml:space="preserve">i reciclarea sunt atinse, statele membre ar trebui să poată lua în considerare produsele </w:t>
      </w:r>
      <w:r w:rsidR="007F645B">
        <w:t>ș</w:t>
      </w:r>
      <w:r w:rsidRPr="00BD1DB7">
        <w:t>i componentele care sunt pregătite pentru reutilizare de către operatori recunoscu</w:t>
      </w:r>
      <w:r w:rsidR="007F645B">
        <w:t>ț</w:t>
      </w:r>
      <w:r w:rsidRPr="00BD1DB7">
        <w:t xml:space="preserve">i care se ocupă de pregătirea pentru reutilizare </w:t>
      </w:r>
      <w:r w:rsidR="007F645B">
        <w:t>ș</w:t>
      </w:r>
      <w:r w:rsidRPr="00BD1DB7">
        <w:t>i de către scheme recunoscute de returnare a garan</w:t>
      </w:r>
      <w:r w:rsidR="007F645B">
        <w:t>ț</w:t>
      </w:r>
      <w:r w:rsidRPr="00BD1DB7">
        <w:t>iei. Pentru a asigura condi</w:t>
      </w:r>
      <w:r w:rsidR="007F645B">
        <w:t>ț</w:t>
      </w:r>
      <w:r w:rsidRPr="00BD1DB7">
        <w:t>ii armonizate pentru aceste calcule, Comisia va adopta norme detaliate privind determinarea operatorilor recunoscu</w:t>
      </w:r>
      <w:r w:rsidR="007F645B">
        <w:t>ț</w:t>
      </w:r>
      <w:r w:rsidRPr="00BD1DB7">
        <w:t xml:space="preserve">i care se ocupă de pregătirea pentru reutilizare </w:t>
      </w:r>
      <w:r w:rsidR="007F645B">
        <w:t>ș</w:t>
      </w:r>
      <w:r w:rsidRPr="00BD1DB7">
        <w:t>i a sistemelor recunoscute de returnare a garan</w:t>
      </w:r>
      <w:r w:rsidR="007F645B">
        <w:t>ț</w:t>
      </w:r>
      <w:r w:rsidRPr="00BD1DB7">
        <w:t xml:space="preserve">iei, precum </w:t>
      </w:r>
      <w:r w:rsidR="007F645B">
        <w:t>ș</w:t>
      </w:r>
      <w:r w:rsidRPr="00BD1DB7">
        <w:t xml:space="preserve">i privind culegerea, verificarea </w:t>
      </w:r>
      <w:r w:rsidR="007F645B">
        <w:t>ș</w:t>
      </w:r>
      <w:r w:rsidRPr="00BD1DB7">
        <w:t>i raportarea datelor.</w:t>
      </w:r>
    </w:p>
    <w:p w:rsidR="00081DBF" w:rsidRPr="00BD1DB7" w:rsidRDefault="005B4A46">
      <w:pPr>
        <w:pStyle w:val="ManualConsidrant"/>
        <w:rPr>
          <w:noProof/>
          <w:szCs w:val="24"/>
        </w:rPr>
      </w:pPr>
      <w:r w:rsidRPr="00BD1DB7">
        <w:t>(12)</w:t>
      </w:r>
      <w:r w:rsidRPr="00BD1DB7">
        <w:tab/>
        <w:t>Pentru a asigura fiabilitatea datelor colectate privind pregătirea pentru reutilizare, este esen</w:t>
      </w:r>
      <w:r w:rsidR="007F645B">
        <w:t>ț</w:t>
      </w:r>
      <w:r w:rsidRPr="00BD1DB7">
        <w:t xml:space="preserve">ial să se stabilească norme comune pentru raportare. În mod similar, este important să se stabilească mai exact normele conform cărora statele membre trebuie să raporteze ceea ce se reciclează efectiv </w:t>
      </w:r>
      <w:r w:rsidR="007F645B">
        <w:t>ș</w:t>
      </w:r>
      <w:r w:rsidRPr="00BD1DB7">
        <w:t>i poate fi luat în calcul în ceea ce prive</w:t>
      </w:r>
      <w:r w:rsidR="007F645B">
        <w:t>ș</w:t>
      </w:r>
      <w:r w:rsidRPr="00BD1DB7">
        <w:t xml:space="preserve">te </w:t>
      </w:r>
      <w:r w:rsidRPr="00BD1DB7">
        <w:lastRenderedPageBreak/>
        <w:t>îndeplinirea obiectivelor în materie de reciclare. În acest sens, ca regulă generală, raportarea privind realizarea obiectivelor de reciclare trebuie să se bazeze pe contribu</w:t>
      </w:r>
      <w:r w:rsidR="007F645B">
        <w:t>ț</w:t>
      </w:r>
      <w:r w:rsidRPr="00BD1DB7">
        <w:t>ia la procesul de reciclare final. Pentru a limita sarcina administrativă, ar trebui să se permită statelor membre, în condi</w:t>
      </w:r>
      <w:r w:rsidR="007F645B">
        <w:t>ț</w:t>
      </w:r>
      <w:r w:rsidRPr="00BD1DB7">
        <w:t>ii stricte, să raporteze ratele de reciclare pe baza de</w:t>
      </w:r>
      <w:r w:rsidR="007F645B">
        <w:t>ș</w:t>
      </w:r>
      <w:r w:rsidRPr="00BD1DB7">
        <w:t>eurilor care ies din instala</w:t>
      </w:r>
      <w:r w:rsidR="007F645B">
        <w:t>ț</w:t>
      </w:r>
      <w:r w:rsidRPr="00BD1DB7">
        <w:t>iile de sortare. Pierderile în greutate ale materialelor sau substan</w:t>
      </w:r>
      <w:r w:rsidR="007F645B">
        <w:t>ț</w:t>
      </w:r>
      <w:r w:rsidRPr="00BD1DB7">
        <w:t xml:space="preserve">elor ca urmare a proceselor de transformare fizică </w:t>
      </w:r>
      <w:r w:rsidR="007F645B">
        <w:t>ș</w:t>
      </w:r>
      <w:r w:rsidRPr="00BD1DB7">
        <w:t>i/sau chimică inerente procesului de reciclare final nu ar trebui să fie scăzute din greutatea de</w:t>
      </w:r>
      <w:r w:rsidR="007F645B">
        <w:t>ș</w:t>
      </w:r>
      <w:r w:rsidRPr="00BD1DB7">
        <w:t>eurilor raportate ca reciclate.</w:t>
      </w:r>
    </w:p>
    <w:p w:rsidR="00081DBF" w:rsidRPr="00BD1DB7" w:rsidRDefault="005B4A46">
      <w:pPr>
        <w:pStyle w:val="ManualConsidrant"/>
        <w:rPr>
          <w:noProof/>
        </w:rPr>
      </w:pPr>
      <w:r w:rsidRPr="00BD1DB7">
        <w:t>(13)</w:t>
      </w:r>
      <w:r w:rsidRPr="00BD1DB7">
        <w:tab/>
        <w:t xml:space="preserve">Pentru a asigura o punere în aplicare mai bună, mai rapidă </w:t>
      </w:r>
      <w:r w:rsidR="007F645B">
        <w:t>ș</w:t>
      </w:r>
      <w:r w:rsidRPr="00BD1DB7">
        <w:t xml:space="preserve">i mai uniformă a prezentei directive </w:t>
      </w:r>
      <w:r w:rsidR="007F645B">
        <w:t>ș</w:t>
      </w:r>
      <w:r w:rsidRPr="00BD1DB7">
        <w:t>i pentru a anticipa deficien</w:t>
      </w:r>
      <w:r w:rsidR="007F645B">
        <w:t>ț</w:t>
      </w:r>
      <w:r w:rsidRPr="00BD1DB7">
        <w:t>ele în materie de punere în aplicare, ar trebui înfiin</w:t>
      </w:r>
      <w:r w:rsidR="007F645B">
        <w:t>ț</w:t>
      </w:r>
      <w:r w:rsidRPr="00BD1DB7">
        <w:t>at un sistem de alertă timpurie pentru a detecta deficien</w:t>
      </w:r>
      <w:r w:rsidR="007F645B">
        <w:t>ț</w:t>
      </w:r>
      <w:r w:rsidRPr="00BD1DB7">
        <w:t xml:space="preserve">ele </w:t>
      </w:r>
      <w:r w:rsidR="007F645B">
        <w:t>ș</w:t>
      </w:r>
      <w:r w:rsidRPr="00BD1DB7">
        <w:t>i a permite luarea de măsuri înainte de expirarea termenelor pentru atingerea obiectivelor.</w:t>
      </w:r>
    </w:p>
    <w:p w:rsidR="00081DBF" w:rsidRPr="00BD1DB7" w:rsidRDefault="005B4A46">
      <w:pPr>
        <w:pStyle w:val="ManualConsidrant"/>
        <w:rPr>
          <w:noProof/>
        </w:rPr>
      </w:pPr>
      <w:r w:rsidRPr="00BD1DB7">
        <w:t>(14)</w:t>
      </w:r>
      <w:r w:rsidRPr="00BD1DB7">
        <w:tab/>
        <w:t>Datele statistice raportate de statele membre sunt esen</w:t>
      </w:r>
      <w:r w:rsidR="007F645B">
        <w:t>ț</w:t>
      </w:r>
      <w:r w:rsidRPr="00BD1DB7">
        <w:t>iale pentru Comisie în vederea evaluării respectării legisla</w:t>
      </w:r>
      <w:r w:rsidR="007F645B">
        <w:t>ț</w:t>
      </w:r>
      <w:r w:rsidRPr="00BD1DB7">
        <w:t>iei privind de</w:t>
      </w:r>
      <w:r w:rsidR="007F645B">
        <w:t>ș</w:t>
      </w:r>
      <w:r w:rsidRPr="00BD1DB7">
        <w:t xml:space="preserve">eurile în statele membre. Calitatea, fiabilitatea </w:t>
      </w:r>
      <w:r w:rsidR="007F645B">
        <w:t>ș</w:t>
      </w:r>
      <w:r w:rsidRPr="00BD1DB7">
        <w:t>i comparabilitatea statisticilor ar trebui îmbunătă</w:t>
      </w:r>
      <w:r w:rsidR="007F645B">
        <w:t>ț</w:t>
      </w:r>
      <w:r w:rsidRPr="00BD1DB7">
        <w:t>ite prin introducerea unui punct de intrare unic pentru toate datele referitoare la de</w:t>
      </w:r>
      <w:r w:rsidR="007F645B">
        <w:t>ș</w:t>
      </w:r>
      <w:r w:rsidRPr="00BD1DB7">
        <w:t>euri, prin eliminarea obliga</w:t>
      </w:r>
      <w:r w:rsidR="007F645B">
        <w:t>ț</w:t>
      </w:r>
      <w:r w:rsidRPr="00BD1DB7">
        <w:t>iilor de raportare caduce, prin evaluarea comparativă a metodologilor na</w:t>
      </w:r>
      <w:r w:rsidR="007F645B">
        <w:t>ț</w:t>
      </w:r>
      <w:r w:rsidRPr="00BD1DB7">
        <w:t xml:space="preserve">ionale de raportare </w:t>
      </w:r>
      <w:r w:rsidR="007F645B">
        <w:t>ș</w:t>
      </w:r>
      <w:r w:rsidRPr="00BD1DB7">
        <w:t>i prin introducerea unui raport de verificare a calită</w:t>
      </w:r>
      <w:r w:rsidR="007F645B">
        <w:t>ț</w:t>
      </w:r>
      <w:r w:rsidRPr="00BD1DB7">
        <w:t>ii datelor.</w:t>
      </w:r>
    </w:p>
    <w:p w:rsidR="00081DBF" w:rsidRPr="00BD1DB7" w:rsidRDefault="005B4A46">
      <w:pPr>
        <w:pStyle w:val="ManualConsidrant"/>
        <w:rPr>
          <w:noProof/>
        </w:rPr>
      </w:pPr>
      <w:r w:rsidRPr="00BD1DB7">
        <w:t>(15)</w:t>
      </w:r>
      <w:r w:rsidRPr="00BD1DB7">
        <w:tab/>
        <w:t>Rapoartele privind punerea în aplicare întocmite de statele membre o dată la trei ani nu s-au dovedit a fi un instrument eficace pentru verificarea conformită</w:t>
      </w:r>
      <w:r w:rsidR="007F645B">
        <w:t>ț</w:t>
      </w:r>
      <w:r w:rsidRPr="00BD1DB7">
        <w:t xml:space="preserve">ii </w:t>
      </w:r>
      <w:r w:rsidR="007F645B">
        <w:t>ș</w:t>
      </w:r>
      <w:r w:rsidRPr="00BD1DB7">
        <w:t xml:space="preserve">i asigurarea unei bune puneri în aplicare </w:t>
      </w:r>
      <w:r w:rsidR="007F645B">
        <w:t>ș</w:t>
      </w:r>
      <w:r w:rsidRPr="00BD1DB7">
        <w:t>i generează o sarcină administrativă inutilă. Prin urmare, este oportun să se abroge dispozi</w:t>
      </w:r>
      <w:r w:rsidR="007F645B">
        <w:t>ț</w:t>
      </w:r>
      <w:r w:rsidRPr="00BD1DB7">
        <w:t>iile în temeiul cărora statele membre au obliga</w:t>
      </w:r>
      <w:r w:rsidR="007F645B">
        <w:t>ț</w:t>
      </w:r>
      <w:r w:rsidRPr="00BD1DB7">
        <w:t>ia de a elabora astfel de rapoarte, iar în scopul monitorizării conformită</w:t>
      </w:r>
      <w:r w:rsidR="007F645B">
        <w:t>ț</w:t>
      </w:r>
      <w:r w:rsidRPr="00BD1DB7">
        <w:t>ii este oportun să se utilizeze exclusiv datele statistice pe care statele membre le raportează în fiecare an Comisiei.</w:t>
      </w:r>
    </w:p>
    <w:p w:rsidR="00081DBF" w:rsidRPr="00BD1DB7" w:rsidRDefault="005B4A46">
      <w:pPr>
        <w:pStyle w:val="ManualConsidrant"/>
        <w:rPr>
          <w:rStyle w:val="CommentReference"/>
          <w:noProof/>
          <w:sz w:val="24"/>
          <w:szCs w:val="20"/>
        </w:rPr>
      </w:pPr>
      <w:r w:rsidRPr="00BD1DB7">
        <w:rPr>
          <w:rStyle w:val="CommentReference"/>
          <w:noProof/>
          <w:sz w:val="24"/>
        </w:rPr>
        <w:t>(16)</w:t>
      </w:r>
      <w:r w:rsidRPr="00BD1DB7">
        <w:tab/>
      </w:r>
      <w:r w:rsidRPr="00BD1DB7">
        <w:rPr>
          <w:rStyle w:val="CommentReference"/>
          <w:noProof/>
          <w:sz w:val="24"/>
        </w:rPr>
        <w:t>Raportarea fiabilă a datelor statistice privind gestionarea de</w:t>
      </w:r>
      <w:r w:rsidR="007F645B">
        <w:rPr>
          <w:rStyle w:val="CommentReference"/>
          <w:noProof/>
          <w:sz w:val="24"/>
        </w:rPr>
        <w:t>ș</w:t>
      </w:r>
      <w:r w:rsidRPr="00BD1DB7">
        <w:rPr>
          <w:rStyle w:val="CommentReference"/>
          <w:noProof/>
          <w:sz w:val="24"/>
        </w:rPr>
        <w:t>eurilor este esen</w:t>
      </w:r>
      <w:r w:rsidR="007F645B">
        <w:rPr>
          <w:rStyle w:val="CommentReference"/>
          <w:noProof/>
          <w:sz w:val="24"/>
        </w:rPr>
        <w:t>ț</w:t>
      </w:r>
      <w:r w:rsidRPr="00BD1DB7">
        <w:rPr>
          <w:rStyle w:val="CommentReference"/>
          <w:noProof/>
          <w:sz w:val="24"/>
        </w:rPr>
        <w:t xml:space="preserve">ială pentru o punere în aplicare eficientă </w:t>
      </w:r>
      <w:r w:rsidR="007F645B">
        <w:rPr>
          <w:rStyle w:val="CommentReference"/>
          <w:noProof/>
          <w:sz w:val="24"/>
        </w:rPr>
        <w:t>ș</w:t>
      </w:r>
      <w:r w:rsidRPr="00BD1DB7">
        <w:rPr>
          <w:rStyle w:val="CommentReference"/>
          <w:noProof/>
          <w:sz w:val="24"/>
        </w:rPr>
        <w:t>i pentru asigurarea comparabilită</w:t>
      </w:r>
      <w:r w:rsidR="007F645B">
        <w:rPr>
          <w:rStyle w:val="CommentReference"/>
          <w:noProof/>
          <w:sz w:val="24"/>
        </w:rPr>
        <w:t>ț</w:t>
      </w:r>
      <w:r w:rsidRPr="00BD1DB7">
        <w:rPr>
          <w:rStyle w:val="CommentReference"/>
          <w:noProof/>
          <w:sz w:val="24"/>
        </w:rPr>
        <w:t>ii datelor între statele membre. Prin urmare, atunci când întocmesc rapoartele referitoare la respectarea obiectivelor stabilite în Directiva 94/62/CE, statele membre ar trebui să aibă obliga</w:t>
      </w:r>
      <w:r w:rsidR="007F645B">
        <w:rPr>
          <w:rStyle w:val="CommentReference"/>
          <w:noProof/>
          <w:sz w:val="24"/>
        </w:rPr>
        <w:t>ț</w:t>
      </w:r>
      <w:r w:rsidRPr="00BD1DB7">
        <w:rPr>
          <w:rStyle w:val="CommentReference"/>
          <w:noProof/>
          <w:sz w:val="24"/>
        </w:rPr>
        <w:t xml:space="preserve">ia de a utiliza cea mai recentă metodologie elaborată de Comisie </w:t>
      </w:r>
      <w:r w:rsidR="007F645B">
        <w:rPr>
          <w:rStyle w:val="CommentReference"/>
          <w:noProof/>
          <w:sz w:val="24"/>
        </w:rPr>
        <w:t>ș</w:t>
      </w:r>
      <w:r w:rsidRPr="00BD1DB7">
        <w:rPr>
          <w:rStyle w:val="CommentReference"/>
          <w:noProof/>
          <w:sz w:val="24"/>
        </w:rPr>
        <w:t>i de institutele na</w:t>
      </w:r>
      <w:r w:rsidR="007F645B">
        <w:rPr>
          <w:rStyle w:val="CommentReference"/>
          <w:noProof/>
          <w:sz w:val="24"/>
        </w:rPr>
        <w:t>ț</w:t>
      </w:r>
      <w:r w:rsidRPr="00BD1DB7">
        <w:rPr>
          <w:rStyle w:val="CommentReference"/>
          <w:noProof/>
          <w:sz w:val="24"/>
        </w:rPr>
        <w:t>ionale de statistică din statele membre.</w:t>
      </w:r>
    </w:p>
    <w:p w:rsidR="00081DBF" w:rsidRPr="00BD1DB7" w:rsidRDefault="005B4A46">
      <w:pPr>
        <w:pStyle w:val="ManualConsidrant"/>
        <w:rPr>
          <w:noProof/>
        </w:rPr>
      </w:pPr>
      <w:r w:rsidRPr="00BD1DB7">
        <w:t>(17)</w:t>
      </w:r>
      <w:r w:rsidRPr="00BD1DB7">
        <w:tab/>
        <w:t>Pentru a completa sau a modifica Directiva 94/62/CE, competen</w:t>
      </w:r>
      <w:r w:rsidR="007F645B">
        <w:t>ț</w:t>
      </w:r>
      <w:r w:rsidRPr="00BD1DB7">
        <w:t>a de a adopta acte în conformitate cu articolul 290 din tratat ar trebui delegată Comisiei în ceea ce prive</w:t>
      </w:r>
      <w:r w:rsidR="007F645B">
        <w:t>ș</w:t>
      </w:r>
      <w:r w:rsidRPr="00BD1DB7">
        <w:t xml:space="preserve">te articolul 6a alineatul (2), articolul 6a alineatul (5), articolul 11 alineatul (3), articolul 19 alineatul (2) </w:t>
      </w:r>
      <w:r w:rsidR="007F645B">
        <w:t>ș</w:t>
      </w:r>
      <w:r w:rsidRPr="00BD1DB7">
        <w:t>i articolul 20. Este deosebit de important ca, în cursul activită</w:t>
      </w:r>
      <w:r w:rsidR="007F645B">
        <w:t>ț</w:t>
      </w:r>
      <w:r w:rsidRPr="00BD1DB7">
        <w:t>ii sale pregătitoare, Comisia să organizeze consultări adecvate, inclusiv la nivel de exper</w:t>
      </w:r>
      <w:r w:rsidR="007F645B">
        <w:t>ț</w:t>
      </w:r>
      <w:r w:rsidRPr="00BD1DB7">
        <w:t>i. Atunci când pregăte</w:t>
      </w:r>
      <w:r w:rsidR="007F645B">
        <w:t>ș</w:t>
      </w:r>
      <w:r w:rsidRPr="00BD1DB7">
        <w:t xml:space="preserve">te </w:t>
      </w:r>
      <w:r w:rsidR="007F645B">
        <w:t>ș</w:t>
      </w:r>
      <w:r w:rsidRPr="00BD1DB7">
        <w:t xml:space="preserve">i elaborează acte delegate, Comisia ar trebui să asigure transmiterea simultană, la timp </w:t>
      </w:r>
      <w:r w:rsidR="007F645B">
        <w:t>ș</w:t>
      </w:r>
      <w:r w:rsidRPr="00BD1DB7">
        <w:t xml:space="preserve">i adecvată a documentelor relevante către Parlamentul European </w:t>
      </w:r>
      <w:r w:rsidR="007F645B">
        <w:t>ș</w:t>
      </w:r>
      <w:r w:rsidRPr="00BD1DB7">
        <w:t>i către Consiliu.</w:t>
      </w:r>
    </w:p>
    <w:p w:rsidR="00081DBF" w:rsidRPr="00BD1DB7" w:rsidRDefault="005B4A46">
      <w:pPr>
        <w:pStyle w:val="ManualConsidrant"/>
        <w:rPr>
          <w:noProof/>
        </w:rPr>
      </w:pPr>
      <w:r w:rsidRPr="00BD1DB7">
        <w:t>(18)</w:t>
      </w:r>
      <w:r w:rsidRPr="00BD1DB7">
        <w:tab/>
        <w:t>În vederea asigurării unor condi</w:t>
      </w:r>
      <w:r w:rsidR="007F645B">
        <w:t>ț</w:t>
      </w:r>
      <w:r w:rsidRPr="00BD1DB7">
        <w:t>ii uniforme pentru punerea în aplicare a Directivei 94/62/CE, Comisiei ar trebui să i se confere competen</w:t>
      </w:r>
      <w:r w:rsidR="007F645B">
        <w:t>ț</w:t>
      </w:r>
      <w:r w:rsidRPr="00BD1DB7">
        <w:t>e de executare în ceea ce prive</w:t>
      </w:r>
      <w:r w:rsidR="007F645B">
        <w:t>ș</w:t>
      </w:r>
      <w:r w:rsidRPr="00BD1DB7">
        <w:t xml:space="preserve">te articolul 12 alineatul (3d) </w:t>
      </w:r>
      <w:r w:rsidR="007F645B">
        <w:t>ș</w:t>
      </w:r>
      <w:r w:rsidRPr="00BD1DB7">
        <w:t>i articolul 19. Aceste competen</w:t>
      </w:r>
      <w:r w:rsidR="007F645B">
        <w:t>ț</w:t>
      </w:r>
      <w:r w:rsidRPr="00BD1DB7">
        <w:t xml:space="preserve">e ar trebui </w:t>
      </w:r>
      <w:r w:rsidRPr="00BD1DB7">
        <w:lastRenderedPageBreak/>
        <w:t xml:space="preserve">exercitate în conformitate cu Regulamentul (UE) nr. 182/2011 al Parlamentului European </w:t>
      </w:r>
      <w:r w:rsidR="007F645B">
        <w:t>ș</w:t>
      </w:r>
      <w:r w:rsidRPr="00BD1DB7">
        <w:t>i al Consiliului</w:t>
      </w:r>
      <w:r w:rsidRPr="00BD1DB7">
        <w:rPr>
          <w:rStyle w:val="FootnoteReference"/>
          <w:noProof/>
        </w:rPr>
        <w:footnoteReference w:id="17"/>
      </w:r>
      <w:r w:rsidRPr="00BD1DB7">
        <w:t>.</w:t>
      </w:r>
    </w:p>
    <w:p w:rsidR="00081DBF" w:rsidRPr="00BD1DB7" w:rsidRDefault="005B4A46">
      <w:pPr>
        <w:pStyle w:val="ManualConsidrant"/>
        <w:rPr>
          <w:noProof/>
        </w:rPr>
      </w:pPr>
      <w:r w:rsidRPr="00BD1DB7">
        <w:t>(19)</w:t>
      </w:r>
      <w:r w:rsidRPr="00BD1DB7">
        <w:tab/>
        <w:t>Prin urmare, Directiva 94/62/CE ar trebui modificată în consecin</w:t>
      </w:r>
      <w:r w:rsidR="007F645B">
        <w:t>ț</w:t>
      </w:r>
      <w:r w:rsidRPr="00BD1DB7">
        <w:t>ă.</w:t>
      </w:r>
    </w:p>
    <w:p w:rsidR="00081DBF" w:rsidRPr="00BD1DB7" w:rsidRDefault="005B4A46">
      <w:pPr>
        <w:pStyle w:val="ManualConsidrant"/>
        <w:rPr>
          <w:noProof/>
        </w:rPr>
      </w:pPr>
      <w:r w:rsidRPr="00BD1DB7">
        <w:t>(20)</w:t>
      </w:r>
      <w:r w:rsidRPr="00BD1DB7">
        <w:tab/>
        <w:t>În conformitate cu Declara</w:t>
      </w:r>
      <w:r w:rsidR="007F645B">
        <w:t>ț</w:t>
      </w:r>
      <w:r w:rsidRPr="00BD1DB7">
        <w:t xml:space="preserve">ia politică comună din 28 septembrie 2011 a statelor membre </w:t>
      </w:r>
      <w:r w:rsidR="007F645B">
        <w:t>ș</w:t>
      </w:r>
      <w:r w:rsidRPr="00BD1DB7">
        <w:t>i a Comisiei privind documentele explicative</w:t>
      </w:r>
      <w:r w:rsidRPr="00BD1DB7">
        <w:rPr>
          <w:rStyle w:val="FootnoteReference"/>
          <w:noProof/>
        </w:rPr>
        <w:footnoteReference w:id="18"/>
      </w:r>
      <w:r w:rsidRPr="00BD1DB7">
        <w:t xml:space="preserve">, statele membre </w:t>
      </w:r>
      <w:r w:rsidR="007F645B">
        <w:t>ș</w:t>
      </w:r>
      <w:r w:rsidRPr="00BD1DB7">
        <w:t>i-au luat angajamentul ca notificarea măsurilor lor de transpunere să fie înso</w:t>
      </w:r>
      <w:r w:rsidR="007F645B">
        <w:t>ț</w:t>
      </w:r>
      <w:r w:rsidRPr="00BD1DB7">
        <w:t>ită, în cazuri justificate, de unul sau mai multe documente care să explice rela</w:t>
      </w:r>
      <w:r w:rsidR="007F645B">
        <w:t>ț</w:t>
      </w:r>
      <w:r w:rsidRPr="00BD1DB7">
        <w:t xml:space="preserve">ia dintre componentele unei directive </w:t>
      </w:r>
      <w:r w:rsidR="007F645B">
        <w:t>ș</w:t>
      </w:r>
      <w:r w:rsidRPr="00BD1DB7">
        <w:t>i păr</w:t>
      </w:r>
      <w:r w:rsidR="007F645B">
        <w:t>ț</w:t>
      </w:r>
      <w:r w:rsidRPr="00BD1DB7">
        <w:t>ile corespunzătoare ale instrumentelor na</w:t>
      </w:r>
      <w:r w:rsidR="007F645B">
        <w:t>ț</w:t>
      </w:r>
      <w:r w:rsidRPr="00BD1DB7">
        <w:t>ionale de transpunere. În ceea ce prive</w:t>
      </w:r>
      <w:r w:rsidR="007F645B">
        <w:t>ș</w:t>
      </w:r>
      <w:r w:rsidRPr="00BD1DB7">
        <w:t>te prezenta directivă, legiuitorul consideră că transmiterea unor astfel de documente este justificată.</w:t>
      </w:r>
    </w:p>
    <w:p w:rsidR="00081DBF" w:rsidRPr="00BD1DB7" w:rsidRDefault="005B4A46">
      <w:pPr>
        <w:pStyle w:val="ManualConsidrant"/>
        <w:rPr>
          <w:rStyle w:val="CommentReference"/>
          <w:noProof/>
          <w:sz w:val="24"/>
          <w:szCs w:val="20"/>
        </w:rPr>
      </w:pPr>
      <w:r w:rsidRPr="00BD1DB7">
        <w:rPr>
          <w:rStyle w:val="CommentReference"/>
          <w:noProof/>
          <w:sz w:val="24"/>
        </w:rPr>
        <w:t>(21)</w:t>
      </w:r>
      <w:r w:rsidRPr="00BD1DB7">
        <w:tab/>
        <w:t xml:space="preserve">Întrucât obiectivele prezentei directive, </w:t>
      </w:r>
      <w:r w:rsidR="007F645B">
        <w:t>ș</w:t>
      </w:r>
      <w:r w:rsidRPr="00BD1DB7">
        <w:t xml:space="preserve">i anume, pe de o parte, prevenirea impactului ambalajelor </w:t>
      </w:r>
      <w:r w:rsidR="007F645B">
        <w:t>ș</w:t>
      </w:r>
      <w:r w:rsidRPr="00BD1DB7">
        <w:t>i al de</w:t>
      </w:r>
      <w:r w:rsidR="007F645B">
        <w:t>ș</w:t>
      </w:r>
      <w:r w:rsidRPr="00BD1DB7">
        <w:t>eurilor de ambalaje asupra mediului sau reducerea acestui impact, oferind astfel un nivel ridicat de protec</w:t>
      </w:r>
      <w:r w:rsidR="007F645B">
        <w:t>ț</w:t>
      </w:r>
      <w:r w:rsidRPr="00BD1DB7">
        <w:t xml:space="preserve">ie a mediului, </w:t>
      </w:r>
      <w:r w:rsidR="007F645B">
        <w:t>ș</w:t>
      </w:r>
      <w:r w:rsidRPr="00BD1DB7">
        <w:t>i, pe de altă parte, asigurarea func</w:t>
      </w:r>
      <w:r w:rsidR="007F645B">
        <w:t>ț</w:t>
      </w:r>
      <w:r w:rsidRPr="00BD1DB7">
        <w:t>ionării pie</w:t>
      </w:r>
      <w:r w:rsidR="007F645B">
        <w:t>ț</w:t>
      </w:r>
      <w:r w:rsidRPr="00BD1DB7">
        <w:t xml:space="preserve">ei interne </w:t>
      </w:r>
      <w:r w:rsidR="007F645B">
        <w:t>ș</w:t>
      </w:r>
      <w:r w:rsidRPr="00BD1DB7">
        <w:t xml:space="preserve">i evitarea obstacolelor în calea schimburilor comerciale, precum </w:t>
      </w:r>
      <w:r w:rsidR="007F645B">
        <w:t>ș</w:t>
      </w:r>
      <w:r w:rsidRPr="00BD1DB7">
        <w:t xml:space="preserve">i a denaturării </w:t>
      </w:r>
      <w:r w:rsidR="007F645B">
        <w:t>ș</w:t>
      </w:r>
      <w:r w:rsidRPr="00BD1DB7">
        <w:t>i restrângerii concuren</w:t>
      </w:r>
      <w:r w:rsidR="007F645B">
        <w:t>ț</w:t>
      </w:r>
      <w:r w:rsidRPr="00BD1DB7">
        <w:t>ei în cadrul Uniunii, nu pot fi îndeplinite în mod satisfăcător de către statele membre, ci, având în vedere amploarea efectelor măsurilor, pot fi realizate mai bine la nivelul Uniunii, aceasta poate adopta măsuri, în conformitate cu principiul subsidiarită</w:t>
      </w:r>
      <w:r w:rsidR="007F645B">
        <w:t>ț</w:t>
      </w:r>
      <w:r w:rsidRPr="00BD1DB7">
        <w:t>ii, astfel cum este prevăzut la articolul 5 din Tratatul privind Uniunea Europeană.</w:t>
      </w:r>
      <w:r w:rsidRPr="00BD1DB7">
        <w:rPr>
          <w:rStyle w:val="CommentReference"/>
          <w:noProof/>
          <w:sz w:val="24"/>
        </w:rPr>
        <w:t xml:space="preserve"> În conformitate cu principiul propor</w:t>
      </w:r>
      <w:r w:rsidR="007F645B">
        <w:rPr>
          <w:rStyle w:val="CommentReference"/>
          <w:noProof/>
          <w:sz w:val="24"/>
        </w:rPr>
        <w:t>ț</w:t>
      </w:r>
      <w:r w:rsidRPr="00BD1DB7">
        <w:rPr>
          <w:rStyle w:val="CommentReference"/>
          <w:noProof/>
          <w:sz w:val="24"/>
        </w:rPr>
        <w:t>ionalită</w:t>
      </w:r>
      <w:r w:rsidR="007F645B">
        <w:rPr>
          <w:rStyle w:val="CommentReference"/>
          <w:noProof/>
          <w:sz w:val="24"/>
        </w:rPr>
        <w:t>ț</w:t>
      </w:r>
      <w:r w:rsidRPr="00BD1DB7">
        <w:rPr>
          <w:rStyle w:val="CommentReference"/>
          <w:noProof/>
          <w:sz w:val="24"/>
        </w:rPr>
        <w:t>ii, astfel cum este enun</w:t>
      </w:r>
      <w:r w:rsidR="007F645B">
        <w:rPr>
          <w:rStyle w:val="CommentReference"/>
          <w:noProof/>
          <w:sz w:val="24"/>
        </w:rPr>
        <w:t>ț</w:t>
      </w:r>
      <w:r w:rsidRPr="00BD1DB7">
        <w:rPr>
          <w:rStyle w:val="CommentReference"/>
          <w:noProof/>
          <w:sz w:val="24"/>
        </w:rPr>
        <w:t>at la respectivul articol, prezenta directivă nu depă</w:t>
      </w:r>
      <w:r w:rsidR="007F645B">
        <w:rPr>
          <w:rStyle w:val="CommentReference"/>
          <w:noProof/>
          <w:sz w:val="24"/>
        </w:rPr>
        <w:t>ș</w:t>
      </w:r>
      <w:r w:rsidRPr="00BD1DB7">
        <w:rPr>
          <w:rStyle w:val="CommentReference"/>
          <w:noProof/>
          <w:sz w:val="24"/>
        </w:rPr>
        <w:t>e</w:t>
      </w:r>
      <w:r w:rsidR="007F645B">
        <w:rPr>
          <w:rStyle w:val="CommentReference"/>
          <w:noProof/>
          <w:sz w:val="24"/>
        </w:rPr>
        <w:t>ș</w:t>
      </w:r>
      <w:r w:rsidRPr="00BD1DB7">
        <w:rPr>
          <w:rStyle w:val="CommentReference"/>
          <w:noProof/>
          <w:sz w:val="24"/>
        </w:rPr>
        <w:t xml:space="preserve">te ceea ce este necesar pentru realizarea acestor obiective, </w:t>
      </w:r>
    </w:p>
    <w:p w:rsidR="00081DBF" w:rsidRPr="00BD1DB7" w:rsidRDefault="005B4A46">
      <w:pPr>
        <w:pStyle w:val="Formuledadoption"/>
        <w:rPr>
          <w:noProof/>
        </w:rPr>
      </w:pPr>
      <w:r w:rsidRPr="00BD1DB7">
        <w:t>ADOPTĂ PREZENTA DIRECTIVĂ:</w:t>
      </w:r>
    </w:p>
    <w:p w:rsidR="00081DBF" w:rsidRPr="00BD1DB7" w:rsidRDefault="005B4A46">
      <w:pPr>
        <w:pStyle w:val="Titrearticle"/>
        <w:spacing w:before="120"/>
        <w:rPr>
          <w:noProof/>
        </w:rPr>
      </w:pPr>
      <w:r w:rsidRPr="00BD1DB7">
        <w:t>Articolul 1</w:t>
      </w:r>
    </w:p>
    <w:p w:rsidR="00081DBF" w:rsidRPr="00BD1DB7" w:rsidRDefault="005B4A46">
      <w:pPr>
        <w:jc w:val="center"/>
        <w:rPr>
          <w:b/>
          <w:noProof/>
        </w:rPr>
      </w:pPr>
      <w:r w:rsidRPr="00BD1DB7">
        <w:rPr>
          <w:b/>
          <w:noProof/>
        </w:rPr>
        <w:t>Modificări</w:t>
      </w:r>
    </w:p>
    <w:p w:rsidR="00081DBF" w:rsidRPr="00BD1DB7" w:rsidRDefault="005B4A46">
      <w:pPr>
        <w:rPr>
          <w:noProof/>
          <w:szCs w:val="24"/>
        </w:rPr>
      </w:pPr>
      <w:r w:rsidRPr="00BD1DB7">
        <w:t>Directiva 94/62/CE se modifică după cum urmează:</w:t>
      </w:r>
    </w:p>
    <w:p w:rsidR="00081DBF" w:rsidRPr="00BD1DB7" w:rsidRDefault="005B4A46">
      <w:pPr>
        <w:pStyle w:val="ManualNumPar1"/>
        <w:rPr>
          <w:noProof/>
        </w:rPr>
      </w:pPr>
      <w:r w:rsidRPr="00BD1DB7">
        <w:t>(1) Articolul 3 se modifică după cum urmează:</w:t>
      </w:r>
    </w:p>
    <w:p w:rsidR="00081DBF" w:rsidRPr="00BD1DB7" w:rsidRDefault="005B4A46">
      <w:pPr>
        <w:pStyle w:val="ManualNumPar2"/>
        <w:rPr>
          <w:noProof/>
        </w:rPr>
      </w:pPr>
      <w:r w:rsidRPr="00BD1DB7">
        <w:t>(a) la punctul 1 se elimină următorul text:</w:t>
      </w:r>
    </w:p>
    <w:p w:rsidR="00081DBF" w:rsidRPr="00BD1DB7" w:rsidRDefault="005B4A46">
      <w:pPr>
        <w:pStyle w:val="Text1"/>
        <w:rPr>
          <w:noProof/>
        </w:rPr>
      </w:pPr>
      <w:r w:rsidRPr="00BD1DB7">
        <w:t xml:space="preserve">„În cazul în care este necesar, Comisia examinează </w:t>
      </w:r>
      <w:r w:rsidR="007F645B">
        <w:t>ș</w:t>
      </w:r>
      <w:r w:rsidRPr="00BD1DB7">
        <w:t>i, după caz, revizuie</w:t>
      </w:r>
      <w:r w:rsidR="007F645B">
        <w:t>ș</w:t>
      </w:r>
      <w:r w:rsidRPr="00BD1DB7">
        <w:t>te exemplele ilustrative pentru defini</w:t>
      </w:r>
      <w:r w:rsidR="007F645B">
        <w:t>ț</w:t>
      </w:r>
      <w:r w:rsidRPr="00BD1DB7">
        <w:t xml:space="preserve">ia ambalajelor, din anexa I. Următoarele articole sunt abordate cu prioritate: carcasele de compact discuri </w:t>
      </w:r>
      <w:r w:rsidR="007F645B">
        <w:t>ș</w:t>
      </w:r>
      <w:r w:rsidRPr="00BD1DB7">
        <w:t xml:space="preserve">i de casete video, ghivecele de flori, tuburile </w:t>
      </w:r>
      <w:r w:rsidR="007F645B">
        <w:t>ș</w:t>
      </w:r>
      <w:r w:rsidRPr="00BD1DB7">
        <w:t>i cilindrii în jurul cărora sunt înfă</w:t>
      </w:r>
      <w:r w:rsidR="007F645B">
        <w:t>ș</w:t>
      </w:r>
      <w:r w:rsidRPr="00BD1DB7">
        <w:t xml:space="preserve">urate materiale flexibile, suporturile de etichete autoadezive </w:t>
      </w:r>
      <w:r w:rsidR="007F645B">
        <w:t>ș</w:t>
      </w:r>
      <w:r w:rsidRPr="00BD1DB7">
        <w:t>i hârtia de împachetat. Măsurile respective, destinate să modifice elemente neesen</w:t>
      </w:r>
      <w:r w:rsidR="007F645B">
        <w:t>ț</w:t>
      </w:r>
      <w:r w:rsidRPr="00BD1DB7">
        <w:t>iale ale prezentei directive, se adoptă în conformitate cu procedura de reglementare cu control men</w:t>
      </w:r>
      <w:r w:rsidR="007F645B">
        <w:t>ț</w:t>
      </w:r>
      <w:r w:rsidRPr="00BD1DB7">
        <w:t>ionată la articolul 21 alineatul (3).”;</w:t>
      </w:r>
    </w:p>
    <w:p w:rsidR="00081DBF" w:rsidRPr="00BD1DB7" w:rsidRDefault="005B4A46">
      <w:pPr>
        <w:pStyle w:val="ManualNumPar2"/>
        <w:rPr>
          <w:noProof/>
        </w:rPr>
      </w:pPr>
      <w:r w:rsidRPr="00BD1DB7">
        <w:t>(b) punctul 2 se înlocuie</w:t>
      </w:r>
      <w:r w:rsidR="007F645B">
        <w:t>ș</w:t>
      </w:r>
      <w:r w:rsidRPr="00BD1DB7">
        <w:t>te cu următorul text:</w:t>
      </w:r>
    </w:p>
    <w:p w:rsidR="00081DBF" w:rsidRPr="00BD1DB7" w:rsidRDefault="005B4A46">
      <w:pPr>
        <w:pStyle w:val="Text1"/>
        <w:rPr>
          <w:noProof/>
        </w:rPr>
      </w:pPr>
      <w:r w:rsidRPr="00BD1DB7">
        <w:t>„2. «de</w:t>
      </w:r>
      <w:r w:rsidR="007F645B">
        <w:t>ș</w:t>
      </w:r>
      <w:r w:rsidRPr="00BD1DB7">
        <w:t>euri de ambalaje» înseamnă orice ambalaj sau material de ambalaj care se încadrează în defini</w:t>
      </w:r>
      <w:r w:rsidR="007F645B">
        <w:t>ț</w:t>
      </w:r>
      <w:r w:rsidRPr="00BD1DB7">
        <w:t>ia de</w:t>
      </w:r>
      <w:r w:rsidR="007F645B">
        <w:t>ș</w:t>
      </w:r>
      <w:r w:rsidRPr="00BD1DB7">
        <w:t xml:space="preserve">eurilor de la articolul 3 alineatul (1) din Directiva 2008/98/CE a Parlamentului European </w:t>
      </w:r>
      <w:r w:rsidR="007F645B">
        <w:t>ș</w:t>
      </w:r>
      <w:r w:rsidRPr="00BD1DB7">
        <w:t>i a Consiliului(*);</w:t>
      </w:r>
    </w:p>
    <w:p w:rsidR="00081DBF" w:rsidRPr="00BD1DB7" w:rsidRDefault="00081DBF">
      <w:pPr>
        <w:pStyle w:val="Text1"/>
        <w:pBdr>
          <w:bottom w:val="single" w:sz="12" w:space="1" w:color="auto"/>
        </w:pBdr>
        <w:rPr>
          <w:noProof/>
        </w:rPr>
      </w:pPr>
    </w:p>
    <w:p w:rsidR="00081DBF" w:rsidRPr="00BD1DB7" w:rsidRDefault="005B4A46">
      <w:pPr>
        <w:pStyle w:val="Text1"/>
        <w:rPr>
          <w:noProof/>
        </w:rPr>
      </w:pPr>
      <w:r w:rsidRPr="00BD1DB7">
        <w:t xml:space="preserve">(*) Directiva 2008/98/CE a Parlamentului European </w:t>
      </w:r>
      <w:r w:rsidR="007F645B">
        <w:t>ș</w:t>
      </w:r>
      <w:r w:rsidRPr="00BD1DB7">
        <w:t>i a Consiliului din 19 noiembrie 2008 privind de</w:t>
      </w:r>
      <w:r w:rsidR="007F645B">
        <w:t>ș</w:t>
      </w:r>
      <w:r w:rsidRPr="00BD1DB7">
        <w:t xml:space="preserve">eurile </w:t>
      </w:r>
      <w:r w:rsidR="007F645B">
        <w:t>ș</w:t>
      </w:r>
      <w:r w:rsidRPr="00BD1DB7">
        <w:t>i de abrogare a anumitor directive (JO L 312, 22.11.2008, p. 3).”;</w:t>
      </w:r>
    </w:p>
    <w:p w:rsidR="00081DBF" w:rsidRPr="00BD1DB7" w:rsidRDefault="005B4A46">
      <w:pPr>
        <w:pStyle w:val="ManualNumPar2"/>
        <w:rPr>
          <w:noProof/>
        </w:rPr>
      </w:pPr>
      <w:r w:rsidRPr="00BD1DB7">
        <w:t>(c) punctele 3-10 se elimină;</w:t>
      </w:r>
    </w:p>
    <w:p w:rsidR="00081DBF" w:rsidRPr="00BD1DB7" w:rsidRDefault="005B4A46">
      <w:pPr>
        <w:pStyle w:val="ManualNumPar2"/>
        <w:rPr>
          <w:noProof/>
        </w:rPr>
      </w:pPr>
      <w:r w:rsidRPr="00BD1DB7">
        <w:t>(d) se adaugă un al doilea paragraf, cu următorul text:</w:t>
      </w:r>
    </w:p>
    <w:p w:rsidR="00081DBF" w:rsidRPr="00BD1DB7" w:rsidRDefault="005B4A46">
      <w:pPr>
        <w:pStyle w:val="Text1"/>
        <w:rPr>
          <w:noProof/>
        </w:rPr>
      </w:pPr>
      <w:r w:rsidRPr="00BD1DB7">
        <w:t>„De asemenea, se aplică defini</w:t>
      </w:r>
      <w:r w:rsidR="007F645B">
        <w:t>ț</w:t>
      </w:r>
      <w:r w:rsidRPr="00BD1DB7">
        <w:t>iile termenilor «de</w:t>
      </w:r>
      <w:r w:rsidR="007F645B">
        <w:t>ș</w:t>
      </w:r>
      <w:r w:rsidRPr="00BD1DB7">
        <w:t>euri», «producător de de</w:t>
      </w:r>
      <w:r w:rsidR="007F645B">
        <w:t>ș</w:t>
      </w:r>
      <w:r w:rsidRPr="00BD1DB7">
        <w:t>euri», «de</w:t>
      </w:r>
      <w:r w:rsidR="007F645B">
        <w:t>ț</w:t>
      </w:r>
      <w:r w:rsidRPr="00BD1DB7">
        <w:t>inător de de</w:t>
      </w:r>
      <w:r w:rsidR="007F645B">
        <w:t>ș</w:t>
      </w:r>
      <w:r w:rsidRPr="00BD1DB7">
        <w:t>euri», «gestionarea de</w:t>
      </w:r>
      <w:r w:rsidR="007F645B">
        <w:t>ș</w:t>
      </w:r>
      <w:r w:rsidRPr="00BD1DB7">
        <w:t>eurilor», «colectare», «</w:t>
      </w:r>
      <w:proofErr w:type="spellStart"/>
      <w:r w:rsidRPr="00BD1DB7">
        <w:t>colectare</w:t>
      </w:r>
      <w:proofErr w:type="spellEnd"/>
      <w:r w:rsidRPr="00BD1DB7">
        <w:t xml:space="preserve"> separată», «prevenire», «reutilizare», «tratament», «valorificare», «pregătirea pentru reutilizare», «reciclare», «proces de reciclare final» </w:t>
      </w:r>
      <w:r w:rsidR="007F645B">
        <w:t>ș</w:t>
      </w:r>
      <w:r w:rsidRPr="00BD1DB7">
        <w:t>i «eliminare» prevăzute la articolul 3 din Directiva 2008/98/CE.”;</w:t>
      </w:r>
    </w:p>
    <w:p w:rsidR="00081DBF" w:rsidRPr="00BD1DB7" w:rsidRDefault="005B4A46">
      <w:pPr>
        <w:pStyle w:val="ManualNumPar1"/>
        <w:rPr>
          <w:noProof/>
        </w:rPr>
      </w:pPr>
      <w:r w:rsidRPr="00BD1DB7">
        <w:t>(2) la articolul 4 alineatul (1) al doilea paragraf, prima teză se înlocuie</w:t>
      </w:r>
      <w:r w:rsidR="007F645B">
        <w:t>ș</w:t>
      </w:r>
      <w:r w:rsidRPr="00BD1DB7">
        <w:t>te cu următorul text:</w:t>
      </w:r>
    </w:p>
    <w:p w:rsidR="00081DBF" w:rsidRPr="00BD1DB7" w:rsidRDefault="005B4A46">
      <w:pPr>
        <w:pStyle w:val="Text1"/>
        <w:rPr>
          <w:noProof/>
        </w:rPr>
      </w:pPr>
      <w:r w:rsidRPr="00BD1DB7">
        <w:t>„Astfel de alte măsuri pot consta în programe na</w:t>
      </w:r>
      <w:r w:rsidR="007F645B">
        <w:t>ț</w:t>
      </w:r>
      <w:r w:rsidRPr="00BD1DB7">
        <w:t>ionale, în stimulente oferite prin scheme de răspundere extinsă a producătorilor pentru reducerea la minimum a impactului ambalajelor asupra mediului sau în ac</w:t>
      </w:r>
      <w:r w:rsidR="007F645B">
        <w:t>ț</w:t>
      </w:r>
      <w:r w:rsidRPr="00BD1DB7">
        <w:t>iuni similare, care sunt adoptate, după caz, prin consultare cu agen</w:t>
      </w:r>
      <w:r w:rsidR="007F645B">
        <w:t>ț</w:t>
      </w:r>
      <w:r w:rsidRPr="00BD1DB7">
        <w:t xml:space="preserve">ii economici </w:t>
      </w:r>
      <w:r w:rsidR="007F645B">
        <w:t>ș</w:t>
      </w:r>
      <w:r w:rsidRPr="00BD1DB7">
        <w:t xml:space="preserve">i vizează reunirea </w:t>
      </w:r>
      <w:r w:rsidR="007F645B">
        <w:t>ș</w:t>
      </w:r>
      <w:r w:rsidRPr="00BD1DB7">
        <w:t>i valorificarea multiplelor ini</w:t>
      </w:r>
      <w:r w:rsidR="007F645B">
        <w:t>ț</w:t>
      </w:r>
      <w:r w:rsidRPr="00BD1DB7">
        <w:t>iative adoptate în statele membre în domeniul prevenirii. Acestea trebuie să se conformeze obiectivelor prezentei directive, astfel cum sunt definite la articolul 1 alineatul (1).”;</w:t>
      </w:r>
    </w:p>
    <w:p w:rsidR="00081DBF" w:rsidRPr="00BD1DB7" w:rsidRDefault="005B4A46">
      <w:pPr>
        <w:pStyle w:val="ManualNumPar1"/>
        <w:rPr>
          <w:noProof/>
        </w:rPr>
      </w:pPr>
      <w:r w:rsidRPr="00BD1DB7">
        <w:t>(3) Articolul 6 se modifică după cum urmează:</w:t>
      </w:r>
    </w:p>
    <w:p w:rsidR="00081DBF" w:rsidRPr="00BD1DB7" w:rsidRDefault="005B4A46">
      <w:pPr>
        <w:pStyle w:val="ManualNumPar2"/>
        <w:rPr>
          <w:noProof/>
          <w:szCs w:val="24"/>
        </w:rPr>
      </w:pPr>
      <w:r w:rsidRPr="00BD1DB7">
        <w:t>(a) titlul se înlocuie</w:t>
      </w:r>
      <w:r w:rsidR="007F645B">
        <w:t>ș</w:t>
      </w:r>
      <w:r w:rsidRPr="00BD1DB7">
        <w:t xml:space="preserve">te cu „Valorificare, reutilizare </w:t>
      </w:r>
      <w:r w:rsidR="007F645B">
        <w:t>ș</w:t>
      </w:r>
      <w:r w:rsidRPr="00BD1DB7">
        <w:t>i reciclare”;</w:t>
      </w:r>
    </w:p>
    <w:p w:rsidR="00081DBF" w:rsidRPr="00BD1DB7" w:rsidRDefault="005B4A46">
      <w:pPr>
        <w:pStyle w:val="ManualNumPar2"/>
        <w:rPr>
          <w:noProof/>
        </w:rPr>
      </w:pPr>
      <w:r w:rsidRPr="00BD1DB7">
        <w:t>(b) la alineatul (1) se adaugă următoarele litere (f)-(i):</w:t>
      </w:r>
    </w:p>
    <w:p w:rsidR="00081DBF" w:rsidRPr="00BD1DB7" w:rsidRDefault="005B4A46">
      <w:pPr>
        <w:pStyle w:val="Text1"/>
        <w:rPr>
          <w:rFonts w:cs="Calibri"/>
          <w:noProof/>
        </w:rPr>
      </w:pPr>
      <w:r w:rsidRPr="00BD1DB7">
        <w:t>„(f) cel târziu până la 31 decembrie 2025, minimum 65 % din greutatea tuturor de</w:t>
      </w:r>
      <w:r w:rsidR="007F645B">
        <w:t>ș</w:t>
      </w:r>
      <w:r w:rsidRPr="00BD1DB7">
        <w:t xml:space="preserve">eurilor de ambalaje vor fi pregătite pentru reutilizare </w:t>
      </w:r>
      <w:r w:rsidR="007F645B">
        <w:t>ș</w:t>
      </w:r>
      <w:r w:rsidRPr="00BD1DB7">
        <w:t>i reciclate;</w:t>
      </w:r>
    </w:p>
    <w:p w:rsidR="00081DBF" w:rsidRPr="00BD1DB7" w:rsidRDefault="005B4A46">
      <w:pPr>
        <w:pStyle w:val="Text1"/>
        <w:rPr>
          <w:noProof/>
        </w:rPr>
      </w:pPr>
      <w:r w:rsidRPr="00BD1DB7">
        <w:t>(g) cel târziu până la 31 decembrie 2025, se vor îndeplini următoarele obiective minime, stabilite ca procent din greutate, în ceea ce prive</w:t>
      </w:r>
      <w:r w:rsidR="007F645B">
        <w:t>ș</w:t>
      </w:r>
      <w:r w:rsidRPr="00BD1DB7">
        <w:t xml:space="preserve">te pregătirea pentru reutilizare </w:t>
      </w:r>
      <w:r w:rsidR="007F645B">
        <w:t>ș</w:t>
      </w:r>
      <w:r w:rsidRPr="00BD1DB7">
        <w:t>i reciclarea următoarelor materiale specifice con</w:t>
      </w:r>
      <w:r w:rsidR="007F645B">
        <w:t>ț</w:t>
      </w:r>
      <w:r w:rsidRPr="00BD1DB7">
        <w:t>inute în de</w:t>
      </w:r>
      <w:r w:rsidR="007F645B">
        <w:t>ș</w:t>
      </w:r>
      <w:r w:rsidRPr="00BD1DB7">
        <w:t>eurile de ambalaje:</w:t>
      </w:r>
    </w:p>
    <w:p w:rsidR="00081DBF" w:rsidRPr="00BD1DB7" w:rsidRDefault="005B4A46">
      <w:pPr>
        <w:pStyle w:val="Text2"/>
        <w:rPr>
          <w:noProof/>
        </w:rPr>
      </w:pPr>
      <w:r w:rsidRPr="00BD1DB7">
        <w:t xml:space="preserve">(i) 55 % pentru plastic; </w:t>
      </w:r>
    </w:p>
    <w:p w:rsidR="00081DBF" w:rsidRPr="00BD1DB7" w:rsidRDefault="005B4A46">
      <w:pPr>
        <w:pStyle w:val="Text2"/>
        <w:rPr>
          <w:noProof/>
        </w:rPr>
      </w:pPr>
      <w:r w:rsidRPr="00BD1DB7">
        <w:t>(ii) 60 % pentru lemn;</w:t>
      </w:r>
    </w:p>
    <w:p w:rsidR="00081DBF" w:rsidRPr="00BD1DB7" w:rsidRDefault="005B4A46">
      <w:pPr>
        <w:pStyle w:val="Text2"/>
        <w:rPr>
          <w:rFonts w:cs="Calibri"/>
          <w:noProof/>
        </w:rPr>
      </w:pPr>
      <w:r w:rsidRPr="00BD1DB7">
        <w:t>(iii) 75 % pentru metale feroase;</w:t>
      </w:r>
    </w:p>
    <w:p w:rsidR="00081DBF" w:rsidRPr="00BD1DB7" w:rsidRDefault="005B4A46">
      <w:pPr>
        <w:pStyle w:val="Text2"/>
        <w:rPr>
          <w:rFonts w:cs="Calibri"/>
          <w:noProof/>
        </w:rPr>
      </w:pPr>
      <w:r w:rsidRPr="00BD1DB7">
        <w:t>(</w:t>
      </w:r>
      <w:proofErr w:type="spellStart"/>
      <w:r w:rsidRPr="00BD1DB7">
        <w:t>iv</w:t>
      </w:r>
      <w:proofErr w:type="spellEnd"/>
      <w:r w:rsidRPr="00BD1DB7">
        <w:t>) 75 % pentru aluminiu;</w:t>
      </w:r>
    </w:p>
    <w:p w:rsidR="00081DBF" w:rsidRPr="00BD1DB7" w:rsidRDefault="005B4A46">
      <w:pPr>
        <w:pStyle w:val="Text2"/>
        <w:rPr>
          <w:rFonts w:cs="Calibri"/>
          <w:noProof/>
        </w:rPr>
      </w:pPr>
      <w:r w:rsidRPr="00BD1DB7">
        <w:t>(v) 75 % pentru sticlă;</w:t>
      </w:r>
    </w:p>
    <w:p w:rsidR="00081DBF" w:rsidRPr="00BD1DB7" w:rsidRDefault="005B4A46">
      <w:pPr>
        <w:pStyle w:val="Text2"/>
        <w:rPr>
          <w:noProof/>
        </w:rPr>
      </w:pPr>
      <w:r w:rsidRPr="00BD1DB7">
        <w:t xml:space="preserve">(vi) 75 % pentru hârtie </w:t>
      </w:r>
      <w:r w:rsidR="007F645B">
        <w:t>ș</w:t>
      </w:r>
      <w:r w:rsidRPr="00BD1DB7">
        <w:t>i carton;</w:t>
      </w:r>
    </w:p>
    <w:p w:rsidR="00081DBF" w:rsidRPr="00BD1DB7" w:rsidRDefault="005B4A46">
      <w:pPr>
        <w:pStyle w:val="Text1"/>
        <w:rPr>
          <w:rFonts w:cs="Calibri"/>
          <w:noProof/>
        </w:rPr>
      </w:pPr>
      <w:r w:rsidRPr="00BD1DB7">
        <w:t>(h) cel târziu până la 31 decembrie 2030, minimum 75 % din greutatea tuturor de</w:t>
      </w:r>
      <w:r w:rsidR="007F645B">
        <w:t>ș</w:t>
      </w:r>
      <w:r w:rsidRPr="00BD1DB7">
        <w:t xml:space="preserve">eurilor de ambalaje vor fi pregătite pentru reutilizare </w:t>
      </w:r>
      <w:r w:rsidR="007F645B">
        <w:t>ș</w:t>
      </w:r>
      <w:r w:rsidRPr="00BD1DB7">
        <w:t>i reciclate;</w:t>
      </w:r>
    </w:p>
    <w:p w:rsidR="00081DBF" w:rsidRPr="00BD1DB7" w:rsidRDefault="005B4A46">
      <w:pPr>
        <w:pStyle w:val="Text1"/>
        <w:rPr>
          <w:noProof/>
        </w:rPr>
      </w:pPr>
      <w:r w:rsidRPr="00BD1DB7">
        <w:t xml:space="preserve">(i) cel târziu până la 31 decembrie 2030, se vor îndeplini următoarele obiective minime, stabilite ca procent din greutate, privind pregătirea pentru reutilizare </w:t>
      </w:r>
      <w:r w:rsidR="007F645B">
        <w:t>ș</w:t>
      </w:r>
      <w:r w:rsidRPr="00BD1DB7">
        <w:t>i reciclarea următoarelor materiale specifice con</w:t>
      </w:r>
      <w:r w:rsidR="007F645B">
        <w:t>ț</w:t>
      </w:r>
      <w:r w:rsidRPr="00BD1DB7">
        <w:t>inute în de</w:t>
      </w:r>
      <w:r w:rsidR="007F645B">
        <w:t>ș</w:t>
      </w:r>
      <w:r w:rsidRPr="00BD1DB7">
        <w:t>eurile de ambalaje:</w:t>
      </w:r>
    </w:p>
    <w:p w:rsidR="00081DBF" w:rsidRPr="00BD1DB7" w:rsidRDefault="005B4A46">
      <w:pPr>
        <w:pStyle w:val="Text2"/>
        <w:rPr>
          <w:noProof/>
        </w:rPr>
      </w:pPr>
      <w:r w:rsidRPr="00BD1DB7">
        <w:t>(i) 75 % pentru lemn;</w:t>
      </w:r>
    </w:p>
    <w:p w:rsidR="00081DBF" w:rsidRPr="00BD1DB7" w:rsidRDefault="005B4A46">
      <w:pPr>
        <w:pStyle w:val="Text2"/>
        <w:rPr>
          <w:rFonts w:cs="Calibri"/>
          <w:noProof/>
        </w:rPr>
      </w:pPr>
      <w:r w:rsidRPr="00BD1DB7">
        <w:t>(ii) 85 % pentru metale feroase;</w:t>
      </w:r>
    </w:p>
    <w:p w:rsidR="00081DBF" w:rsidRPr="00BD1DB7" w:rsidRDefault="005B4A46">
      <w:pPr>
        <w:pStyle w:val="Text2"/>
        <w:rPr>
          <w:rFonts w:cs="Calibri"/>
          <w:noProof/>
        </w:rPr>
      </w:pPr>
      <w:r w:rsidRPr="00BD1DB7">
        <w:lastRenderedPageBreak/>
        <w:t>(iii) 85 % pentru aluminiu;</w:t>
      </w:r>
    </w:p>
    <w:p w:rsidR="00081DBF" w:rsidRPr="00BD1DB7" w:rsidRDefault="005B4A46">
      <w:pPr>
        <w:pStyle w:val="Text2"/>
        <w:rPr>
          <w:rFonts w:cs="Calibri"/>
          <w:noProof/>
        </w:rPr>
      </w:pPr>
      <w:r w:rsidRPr="00BD1DB7">
        <w:t>(</w:t>
      </w:r>
      <w:proofErr w:type="spellStart"/>
      <w:r w:rsidRPr="00BD1DB7">
        <w:t>iv</w:t>
      </w:r>
      <w:proofErr w:type="spellEnd"/>
      <w:r w:rsidRPr="00BD1DB7">
        <w:t>) 85 % pentru sticlă;</w:t>
      </w:r>
    </w:p>
    <w:p w:rsidR="00081DBF" w:rsidRPr="00BD1DB7" w:rsidRDefault="005B4A46">
      <w:pPr>
        <w:pStyle w:val="Text2"/>
        <w:rPr>
          <w:noProof/>
        </w:rPr>
      </w:pPr>
      <w:r w:rsidRPr="00BD1DB7">
        <w:t xml:space="preserve">(v) 85 % pentru hârtie </w:t>
      </w:r>
      <w:r w:rsidR="007F645B">
        <w:t>ș</w:t>
      </w:r>
      <w:r w:rsidRPr="00BD1DB7">
        <w:t>i carton.”;</w:t>
      </w:r>
    </w:p>
    <w:p w:rsidR="00081DBF" w:rsidRPr="00BD1DB7" w:rsidRDefault="005B4A46">
      <w:pPr>
        <w:pStyle w:val="ManualNumPar2"/>
        <w:rPr>
          <w:noProof/>
        </w:rPr>
      </w:pPr>
      <w:r w:rsidRPr="00BD1DB7">
        <w:t xml:space="preserve">(c) alineatele (2) </w:t>
      </w:r>
      <w:r w:rsidR="007F645B">
        <w:t>ș</w:t>
      </w:r>
      <w:r w:rsidRPr="00BD1DB7">
        <w:t>i (3) se înlocuiesc cu următorul text:</w:t>
      </w:r>
    </w:p>
    <w:p w:rsidR="00081DBF" w:rsidRPr="00BD1DB7" w:rsidRDefault="005B4A46">
      <w:pPr>
        <w:pStyle w:val="Text1"/>
        <w:rPr>
          <w:noProof/>
        </w:rPr>
      </w:pPr>
      <w:r w:rsidRPr="00BD1DB7">
        <w:t>„2.</w:t>
      </w:r>
      <w:r w:rsidRPr="00BD1DB7">
        <w:tab/>
        <w:t xml:space="preserve"> De</w:t>
      </w:r>
      <w:r w:rsidR="007F645B">
        <w:t>ș</w:t>
      </w:r>
      <w:r w:rsidRPr="00BD1DB7">
        <w:t>eurile de ambalaje exportate din Uniune sunt luate în calcul în ceea ce prive</w:t>
      </w:r>
      <w:r w:rsidR="007F645B">
        <w:t>ș</w:t>
      </w:r>
      <w:r w:rsidRPr="00BD1DB7">
        <w:t>te îndeplinirea obiectivelor stabilite la alineatul (1) de către statul membru în care au fost colectate de</w:t>
      </w:r>
      <w:r w:rsidR="007F645B">
        <w:t>ș</w:t>
      </w:r>
      <w:r w:rsidRPr="00BD1DB7">
        <w:t>eurile de ambalaje respective numai dacă sunt îndeplinite cerin</w:t>
      </w:r>
      <w:r w:rsidR="007F645B">
        <w:t>ț</w:t>
      </w:r>
      <w:r w:rsidRPr="00BD1DB7">
        <w:t xml:space="preserve">ele de la articolul 6a alineatul (4) </w:t>
      </w:r>
      <w:r w:rsidR="007F645B">
        <w:t>ș</w:t>
      </w:r>
      <w:r w:rsidRPr="00BD1DB7">
        <w:t xml:space="preserve">i dacă, în conformitate cu Regulamentul (CE) nr. 1013/2006 al Parlamentului European </w:t>
      </w:r>
      <w:r w:rsidR="007F645B">
        <w:t>ș</w:t>
      </w:r>
      <w:r w:rsidRPr="00BD1DB7">
        <w:t>i al Consiliului(*), exportatorul poate demonstra că transferurile de de</w:t>
      </w:r>
      <w:r w:rsidR="007F645B">
        <w:t>ș</w:t>
      </w:r>
      <w:r w:rsidRPr="00BD1DB7">
        <w:t>euri respectă cerin</w:t>
      </w:r>
      <w:r w:rsidR="007F645B">
        <w:t>ț</w:t>
      </w:r>
      <w:r w:rsidRPr="00BD1DB7">
        <w:t>ele regulamentului men</w:t>
      </w:r>
      <w:r w:rsidR="007F645B">
        <w:t>ț</w:t>
      </w:r>
      <w:r w:rsidRPr="00BD1DB7">
        <w:t xml:space="preserve">ionat </w:t>
      </w:r>
      <w:r w:rsidR="007F645B">
        <w:t>ș</w:t>
      </w:r>
      <w:r w:rsidRPr="00BD1DB7">
        <w:t>i că tratarea de</w:t>
      </w:r>
      <w:r w:rsidR="007F645B">
        <w:t>ș</w:t>
      </w:r>
      <w:r w:rsidRPr="00BD1DB7">
        <w:t>eurilor în afara Uniunii a avut loc în condi</w:t>
      </w:r>
      <w:r w:rsidR="007F645B">
        <w:t>ț</w:t>
      </w:r>
      <w:r w:rsidRPr="00BD1DB7">
        <w:t>ii care sunt echivalente cu cerin</w:t>
      </w:r>
      <w:r w:rsidR="007F645B">
        <w:t>ț</w:t>
      </w:r>
      <w:r w:rsidRPr="00BD1DB7">
        <w:t>ele legisla</w:t>
      </w:r>
      <w:r w:rsidR="007F645B">
        <w:t>ț</w:t>
      </w:r>
      <w:r w:rsidRPr="00BD1DB7">
        <w:t>iei de mediu relevante a Uniunii.</w:t>
      </w:r>
    </w:p>
    <w:p w:rsidR="00081DBF" w:rsidRPr="00BD1DB7" w:rsidRDefault="005B4A46">
      <w:pPr>
        <w:pStyle w:val="Text1"/>
        <w:rPr>
          <w:noProof/>
        </w:rPr>
      </w:pPr>
      <w:r w:rsidRPr="00BD1DB7">
        <w:t>3.</w:t>
      </w:r>
      <w:r w:rsidRPr="00BD1DB7">
        <w:tab/>
        <w:t>De</w:t>
      </w:r>
      <w:r w:rsidR="007F645B">
        <w:t>ș</w:t>
      </w:r>
      <w:r w:rsidRPr="00BD1DB7">
        <w:t>eurile de ambalaje trimise către alt stat membru în scopul pregătirii pentru reutilizare, al reciclării sau al valorificării în acel alt stat membru nu pot fi luate în calcul în ceea ce prive</w:t>
      </w:r>
      <w:r w:rsidR="007F645B">
        <w:t>ș</w:t>
      </w:r>
      <w:r w:rsidRPr="00BD1DB7">
        <w:t>te îndeplinirea obiectivelor prevăzute la alineatul (1) literele (f)-(i) decât de către statul membru în care au fost colectate de</w:t>
      </w:r>
      <w:r w:rsidR="007F645B">
        <w:t>ș</w:t>
      </w:r>
      <w:r w:rsidRPr="00BD1DB7">
        <w:t>eurile de ambalaje.</w:t>
      </w:r>
    </w:p>
    <w:p w:rsidR="00081DBF" w:rsidRPr="00BD1DB7" w:rsidRDefault="00081DBF">
      <w:pPr>
        <w:pStyle w:val="Text1"/>
        <w:pBdr>
          <w:bottom w:val="single" w:sz="12" w:space="1" w:color="auto"/>
        </w:pBdr>
        <w:rPr>
          <w:noProof/>
        </w:rPr>
      </w:pPr>
    </w:p>
    <w:p w:rsidR="00081DBF" w:rsidRPr="00BD1DB7" w:rsidRDefault="005B4A46">
      <w:pPr>
        <w:pStyle w:val="Text1"/>
        <w:rPr>
          <w:noProof/>
        </w:rPr>
      </w:pPr>
      <w:r w:rsidRPr="00BD1DB7">
        <w:t xml:space="preserve">(*) Regulamentul (CE) nr. 1013/2006 al Parlamentului European </w:t>
      </w:r>
      <w:r w:rsidR="007F645B">
        <w:t>ș</w:t>
      </w:r>
      <w:r w:rsidRPr="00BD1DB7">
        <w:t>i al Consiliului din 14 iunie 2006 privind transferurile de de</w:t>
      </w:r>
      <w:r w:rsidR="007F645B">
        <w:t>ș</w:t>
      </w:r>
      <w:r w:rsidRPr="00BD1DB7">
        <w:t>euri (JO L 190, 12.7.2006, p. 1).”;</w:t>
      </w:r>
    </w:p>
    <w:p w:rsidR="00081DBF" w:rsidRPr="00BD1DB7" w:rsidRDefault="005B4A46">
      <w:pPr>
        <w:pStyle w:val="ManualNumPar2"/>
        <w:rPr>
          <w:noProof/>
        </w:rPr>
      </w:pPr>
      <w:r w:rsidRPr="00BD1DB7">
        <w:t xml:space="preserve">(d) alineatele (5), (8) </w:t>
      </w:r>
      <w:r w:rsidR="007F645B">
        <w:t>ș</w:t>
      </w:r>
      <w:r w:rsidRPr="00BD1DB7">
        <w:t>i (9) se elimină;</w:t>
      </w:r>
    </w:p>
    <w:p w:rsidR="00081DBF" w:rsidRPr="00BD1DB7" w:rsidRDefault="005B4A46">
      <w:pPr>
        <w:pStyle w:val="ManualNumPar1"/>
        <w:rPr>
          <w:noProof/>
        </w:rPr>
      </w:pPr>
      <w:r w:rsidRPr="00BD1DB7">
        <w:t>(4) se introduce articolul 6a cu următorul text:</w:t>
      </w:r>
    </w:p>
    <w:p w:rsidR="00081DBF" w:rsidRPr="00BD1DB7" w:rsidRDefault="005B4A46">
      <w:pPr>
        <w:pStyle w:val="Text1"/>
        <w:rPr>
          <w:i/>
          <w:noProof/>
        </w:rPr>
      </w:pPr>
      <w:r w:rsidRPr="00BD1DB7">
        <w:t>„</w:t>
      </w:r>
      <w:r w:rsidRPr="00BD1DB7">
        <w:rPr>
          <w:i/>
          <w:noProof/>
        </w:rPr>
        <w:t>Articolul 6a</w:t>
      </w:r>
    </w:p>
    <w:p w:rsidR="00081DBF" w:rsidRPr="00BD1DB7" w:rsidRDefault="005B4A46">
      <w:pPr>
        <w:pStyle w:val="Text1"/>
        <w:rPr>
          <w:b/>
          <w:noProof/>
        </w:rPr>
      </w:pPr>
      <w:r w:rsidRPr="00BD1DB7">
        <w:rPr>
          <w:b/>
          <w:noProof/>
        </w:rPr>
        <w:t>Reguli pentru calcularea îndeplinirii obiectivelor stabilite la articolul 6</w:t>
      </w:r>
    </w:p>
    <w:p w:rsidR="00081DBF" w:rsidRPr="00BD1DB7" w:rsidRDefault="005B4A46">
      <w:pPr>
        <w:pStyle w:val="Text1"/>
        <w:rPr>
          <w:rFonts w:cs="Calibri"/>
          <w:bCs/>
          <w:noProof/>
        </w:rPr>
      </w:pPr>
      <w:r w:rsidRPr="00BD1DB7">
        <w:t>1. Pentru a calcula dacă au fost atinse obiectivele prevăzute la articolul 6 alineatul (1) literele (f)-(i):</w:t>
      </w:r>
    </w:p>
    <w:p w:rsidR="00081DBF" w:rsidRPr="00BD1DB7" w:rsidRDefault="005B4A46">
      <w:pPr>
        <w:pStyle w:val="Text2"/>
        <w:rPr>
          <w:noProof/>
        </w:rPr>
      </w:pPr>
      <w:r w:rsidRPr="00BD1DB7">
        <w:t>(a) greutatea de</w:t>
      </w:r>
      <w:r w:rsidR="007F645B">
        <w:t>ș</w:t>
      </w:r>
      <w:r w:rsidRPr="00BD1DB7">
        <w:t>eurilor de ambalaje reciclate se consideră a fi greutatea de</w:t>
      </w:r>
      <w:r w:rsidR="007F645B">
        <w:t>ș</w:t>
      </w:r>
      <w:r w:rsidRPr="00BD1DB7">
        <w:t>eurilor care intră în procesul de reciclare final;</w:t>
      </w:r>
    </w:p>
    <w:p w:rsidR="00081DBF" w:rsidRPr="00BD1DB7" w:rsidRDefault="005B4A46">
      <w:pPr>
        <w:pStyle w:val="Text2"/>
        <w:rPr>
          <w:noProof/>
        </w:rPr>
      </w:pPr>
      <w:r w:rsidRPr="00BD1DB7">
        <w:t>(b) greutatea de</w:t>
      </w:r>
      <w:r w:rsidR="007F645B">
        <w:t>ș</w:t>
      </w:r>
      <w:r w:rsidRPr="00BD1DB7">
        <w:t>eurilor de ambalaje pregătite pentru reutilizare se consideră drept greutatea de</w:t>
      </w:r>
      <w:r w:rsidR="007F645B">
        <w:t>ș</w:t>
      </w:r>
      <w:r w:rsidRPr="00BD1DB7">
        <w:t xml:space="preserve">eurilor de ambalaje care au fost valorificate sau colectate de un operator recunoscut care se ocupă de pregătirea pentru reutilizare </w:t>
      </w:r>
      <w:r w:rsidR="007F645B">
        <w:t>ș</w:t>
      </w:r>
      <w:r w:rsidRPr="00BD1DB7">
        <w:t>i au fost supuse tuturor opera</w:t>
      </w:r>
      <w:r w:rsidR="007F645B">
        <w:t>ț</w:t>
      </w:r>
      <w:r w:rsidRPr="00BD1DB7">
        <w:t>iunilor necesare de verificare, cură</w:t>
      </w:r>
      <w:r w:rsidR="007F645B">
        <w:t>ț</w:t>
      </w:r>
      <w:r w:rsidRPr="00BD1DB7">
        <w:t xml:space="preserve">are </w:t>
      </w:r>
      <w:r w:rsidR="007F645B">
        <w:t>ș</w:t>
      </w:r>
      <w:r w:rsidRPr="00BD1DB7">
        <w:t>i reparare pentru a permite reutilizarea fără o sortare sau prelucrare suplimentară;</w:t>
      </w:r>
    </w:p>
    <w:p w:rsidR="00081DBF" w:rsidRPr="00BD1DB7" w:rsidRDefault="005B4A46">
      <w:pPr>
        <w:pStyle w:val="Text2"/>
        <w:rPr>
          <w:noProof/>
        </w:rPr>
      </w:pPr>
      <w:r w:rsidRPr="00BD1DB7">
        <w:t xml:space="preserve">(c) statele membre pot include produse </w:t>
      </w:r>
      <w:r w:rsidR="007F645B">
        <w:t>ș</w:t>
      </w:r>
      <w:r w:rsidRPr="00BD1DB7">
        <w:t>i componente pregătite pentru reutilizare de către operatori recunoscu</w:t>
      </w:r>
      <w:r w:rsidR="007F645B">
        <w:t>ț</w:t>
      </w:r>
      <w:r w:rsidRPr="00BD1DB7">
        <w:t>i care se ocupă de pregătirea pentru reutilizare sau scheme recunoscute de returnare a garan</w:t>
      </w:r>
      <w:r w:rsidR="007F645B">
        <w:t>ț</w:t>
      </w:r>
      <w:r w:rsidRPr="00BD1DB7">
        <w:t>iei. Pentru a calcula rata ajustată a de</w:t>
      </w:r>
      <w:r w:rsidR="007F645B">
        <w:t>ș</w:t>
      </w:r>
      <w:r w:rsidRPr="00BD1DB7">
        <w:t xml:space="preserve">eurilor de ambalaje pregătite pentru reutilizare </w:t>
      </w:r>
      <w:r w:rsidR="007F645B">
        <w:t>ș</w:t>
      </w:r>
      <w:r w:rsidRPr="00BD1DB7">
        <w:t xml:space="preserve">i reciclate </w:t>
      </w:r>
      <w:r w:rsidR="007F645B">
        <w:t>ț</w:t>
      </w:r>
      <w:r w:rsidRPr="00BD1DB7">
        <w:t xml:space="preserve">inând cont de greutatea produselor </w:t>
      </w:r>
      <w:r w:rsidR="007F645B">
        <w:t>ș</w:t>
      </w:r>
      <w:r w:rsidRPr="00BD1DB7">
        <w:t xml:space="preserve">i componentelor pregătite pentru reutilizare, statele membre utilizează date verificate provenind de la operatori </w:t>
      </w:r>
      <w:r w:rsidR="007F645B">
        <w:t>ș</w:t>
      </w:r>
      <w:r w:rsidRPr="00BD1DB7">
        <w:t xml:space="preserve">i aplică formula prevăzută în anexa IV. </w:t>
      </w:r>
    </w:p>
    <w:p w:rsidR="00081DBF" w:rsidRPr="00BD1DB7" w:rsidRDefault="005B4A46">
      <w:pPr>
        <w:pStyle w:val="Text1"/>
        <w:rPr>
          <w:noProof/>
        </w:rPr>
      </w:pPr>
      <w:r w:rsidRPr="00BD1DB7">
        <w:t>2. În vederea asigurării unor condi</w:t>
      </w:r>
      <w:r w:rsidR="007F645B">
        <w:t>ț</w:t>
      </w:r>
      <w:r w:rsidRPr="00BD1DB7">
        <w:t xml:space="preserve">ii armonizate pentru aplicarea alineatului (1) literele (b) </w:t>
      </w:r>
      <w:r w:rsidR="007F645B">
        <w:t>ș</w:t>
      </w:r>
      <w:r w:rsidRPr="00BD1DB7">
        <w:t xml:space="preserve">i (c) </w:t>
      </w:r>
      <w:r w:rsidR="007F645B">
        <w:t>ș</w:t>
      </w:r>
      <w:r w:rsidRPr="00BD1DB7">
        <w:t>i a anexei IV, Comisia adoptă acte delegate în conformitate cu articolul 21a, prin care să stabilească cerin</w:t>
      </w:r>
      <w:r w:rsidR="007F645B">
        <w:t>ț</w:t>
      </w:r>
      <w:r w:rsidRPr="00BD1DB7">
        <w:t xml:space="preserve">e minime de calitate </w:t>
      </w:r>
      <w:r w:rsidR="007F645B">
        <w:t>ș</w:t>
      </w:r>
      <w:r w:rsidRPr="00BD1DB7">
        <w:t>i cerin</w:t>
      </w:r>
      <w:r w:rsidR="007F645B">
        <w:t>ț</w:t>
      </w:r>
      <w:r w:rsidRPr="00BD1DB7">
        <w:t>e opera</w:t>
      </w:r>
      <w:r w:rsidR="007F645B">
        <w:t>ț</w:t>
      </w:r>
      <w:r w:rsidRPr="00BD1DB7">
        <w:t>ionale pentru determinarea operatorilor recunoscu</w:t>
      </w:r>
      <w:r w:rsidR="007F645B">
        <w:t>ț</w:t>
      </w:r>
      <w:r w:rsidRPr="00BD1DB7">
        <w:t xml:space="preserve">i care se ocupă de pregătirea </w:t>
      </w:r>
      <w:r w:rsidRPr="00BD1DB7">
        <w:lastRenderedPageBreak/>
        <w:t xml:space="preserve">pentru reutilizare </w:t>
      </w:r>
      <w:r w:rsidR="007F645B">
        <w:t>ș</w:t>
      </w:r>
      <w:r w:rsidRPr="00BD1DB7">
        <w:t>i a schemelor recunoscute de returnare a garan</w:t>
      </w:r>
      <w:r w:rsidR="007F645B">
        <w:t>ț</w:t>
      </w:r>
      <w:r w:rsidRPr="00BD1DB7">
        <w:t xml:space="preserve">iei, inclusiv reguli specifice privind colectarea datelor, verificarea </w:t>
      </w:r>
      <w:r w:rsidR="007F645B">
        <w:t>ș</w:t>
      </w:r>
      <w:r w:rsidRPr="00BD1DB7">
        <w:t>i raportarea.</w:t>
      </w:r>
    </w:p>
    <w:p w:rsidR="00081DBF" w:rsidRPr="00BD1DB7" w:rsidRDefault="005B4A46">
      <w:pPr>
        <w:pStyle w:val="Text1"/>
        <w:rPr>
          <w:noProof/>
        </w:rPr>
      </w:pPr>
      <w:r w:rsidRPr="00BD1DB7">
        <w:t>3. Prin derogare de la alineatul (1), greutatea de</w:t>
      </w:r>
      <w:r w:rsidR="007F645B">
        <w:t>ș</w:t>
      </w:r>
      <w:r w:rsidRPr="00BD1DB7">
        <w:t>eurilor care rezultă din orice opera</w:t>
      </w:r>
      <w:r w:rsidR="007F645B">
        <w:t>ț</w:t>
      </w:r>
      <w:r w:rsidRPr="00BD1DB7">
        <w:t>iune de sortare poate fi raportată ca fiind greutatea de</w:t>
      </w:r>
      <w:r w:rsidR="007F645B">
        <w:t>ș</w:t>
      </w:r>
      <w:r w:rsidRPr="00BD1DB7">
        <w:t>eurilor de ambalaje reciclate în cazul în care:</w:t>
      </w:r>
    </w:p>
    <w:p w:rsidR="00081DBF" w:rsidRPr="00BD1DB7" w:rsidRDefault="005B4A46">
      <w:pPr>
        <w:pStyle w:val="Text2"/>
        <w:rPr>
          <w:noProof/>
        </w:rPr>
      </w:pPr>
      <w:r w:rsidRPr="00BD1DB7">
        <w:t>(a) de</w:t>
      </w:r>
      <w:r w:rsidR="007F645B">
        <w:t>ș</w:t>
      </w:r>
      <w:r w:rsidRPr="00BD1DB7">
        <w:t>eurile rezultate respective sunt trimise către un proces de reciclare final;</w:t>
      </w:r>
    </w:p>
    <w:p w:rsidR="00081DBF" w:rsidRPr="00BD1DB7" w:rsidRDefault="005B4A46">
      <w:pPr>
        <w:pStyle w:val="Text2"/>
        <w:rPr>
          <w:noProof/>
        </w:rPr>
      </w:pPr>
      <w:r w:rsidRPr="00BD1DB7">
        <w:t>(b) greutatea materialelor sau a substan</w:t>
      </w:r>
      <w:r w:rsidR="007F645B">
        <w:t>ț</w:t>
      </w:r>
      <w:r w:rsidRPr="00BD1DB7">
        <w:t xml:space="preserve">elor care nu sunt supuse unui proces de reciclare final </w:t>
      </w:r>
      <w:r w:rsidR="007F645B">
        <w:t>ș</w:t>
      </w:r>
      <w:r w:rsidRPr="00BD1DB7">
        <w:t>i care sunt eliminate sau valorificate energetic rămâne sub 10 % din greutatea totală care urmează a fi raportată ca fiind reciclată.</w:t>
      </w:r>
    </w:p>
    <w:p w:rsidR="00081DBF" w:rsidRPr="00BD1DB7" w:rsidRDefault="005B4A46">
      <w:pPr>
        <w:pStyle w:val="Text1"/>
        <w:rPr>
          <w:noProof/>
        </w:rPr>
      </w:pPr>
      <w:r w:rsidRPr="00BD1DB7">
        <w:t>4. Statele membre instituie un sistem eficace de control al calită</w:t>
      </w:r>
      <w:r w:rsidR="007F645B">
        <w:t>ț</w:t>
      </w:r>
      <w:r w:rsidRPr="00BD1DB7">
        <w:t xml:space="preserve">ii </w:t>
      </w:r>
      <w:r w:rsidR="007F645B">
        <w:t>ș</w:t>
      </w:r>
      <w:r w:rsidRPr="00BD1DB7">
        <w:t>i de trasabilitate a de</w:t>
      </w:r>
      <w:r w:rsidR="007F645B">
        <w:t>ș</w:t>
      </w:r>
      <w:r w:rsidRPr="00BD1DB7">
        <w:t>eurilor de ambalaje, pentru a asigura îndeplinirea condi</w:t>
      </w:r>
      <w:r w:rsidR="007F645B">
        <w:t>ț</w:t>
      </w:r>
      <w:r w:rsidRPr="00BD1DB7">
        <w:t xml:space="preserve">iilor prevăzute la alineatul (3) literele (a) </w:t>
      </w:r>
      <w:r w:rsidR="007F645B">
        <w:t>ș</w:t>
      </w:r>
      <w:r w:rsidRPr="00BD1DB7">
        <w:t>i (b). Sistemul poate consta fie în registre electronice create în temeiul articolului 35 alineatul (4) din Directiva 2008/98/CE, fie în specifica</w:t>
      </w:r>
      <w:r w:rsidR="007F645B">
        <w:t>ț</w:t>
      </w:r>
      <w:r w:rsidRPr="00BD1DB7">
        <w:t>ii tehnice pentru cerin</w:t>
      </w:r>
      <w:r w:rsidR="007F645B">
        <w:t>ț</w:t>
      </w:r>
      <w:r w:rsidRPr="00BD1DB7">
        <w:t>ele de calitate aplicabile de</w:t>
      </w:r>
      <w:r w:rsidR="007F645B">
        <w:t>ș</w:t>
      </w:r>
      <w:r w:rsidRPr="00BD1DB7">
        <w:t xml:space="preserve">eurilor sortate, fie în orice măsuri echivalente care să asigure fiabilitatea </w:t>
      </w:r>
      <w:r w:rsidR="007F645B">
        <w:t>ș</w:t>
      </w:r>
      <w:r w:rsidRPr="00BD1DB7">
        <w:t>i exactitatea datelor colectate privind de</w:t>
      </w:r>
      <w:r w:rsidR="007F645B">
        <w:t>ș</w:t>
      </w:r>
      <w:r w:rsidRPr="00BD1DB7">
        <w:t>eurile reciclate.</w:t>
      </w:r>
    </w:p>
    <w:p w:rsidR="00081DBF" w:rsidRPr="00BD1DB7" w:rsidRDefault="005B4A46">
      <w:pPr>
        <w:pStyle w:val="Text1"/>
        <w:rPr>
          <w:noProof/>
        </w:rPr>
      </w:pPr>
      <w:r w:rsidRPr="00BD1DB7">
        <w:t>5. Pentru a calcula dacă au fost îndeplinite obiectivele prevăzute la articolul 6 alineatul (1) literele (f)-(i), statele membre pot lua în considerare reciclarea metalelor realizată în cadrul procesului de incinerare, propor</w:t>
      </w:r>
      <w:r w:rsidR="007F645B">
        <w:t>ț</w:t>
      </w:r>
      <w:r w:rsidRPr="00BD1DB7">
        <w:t>ional cu de</w:t>
      </w:r>
      <w:r w:rsidR="007F645B">
        <w:t>ș</w:t>
      </w:r>
      <w:r w:rsidRPr="00BD1DB7">
        <w:t>eurile de ambalaje incinerate, cu condi</w:t>
      </w:r>
      <w:r w:rsidR="007F645B">
        <w:t>ț</w:t>
      </w:r>
      <w:r w:rsidRPr="00BD1DB7">
        <w:t>ia ca metalele reciclate să îndeplinească anumite cerin</w:t>
      </w:r>
      <w:r w:rsidR="007F645B">
        <w:t>ț</w:t>
      </w:r>
      <w:r w:rsidRPr="00BD1DB7">
        <w:t>e de calitate. Statele membre utilizează metodologia comună stabilită în conformitate cu articolul 11a alineatul (6) din Directiva 2008/98/CE.”;</w:t>
      </w:r>
    </w:p>
    <w:p w:rsidR="00081DBF" w:rsidRPr="00BD1DB7" w:rsidRDefault="005B4A46">
      <w:pPr>
        <w:pStyle w:val="ManualNumPar1"/>
        <w:rPr>
          <w:noProof/>
        </w:rPr>
      </w:pPr>
      <w:r w:rsidRPr="00BD1DB7">
        <w:t xml:space="preserve"> (5) se introduce următorul articol 6b:</w:t>
      </w:r>
    </w:p>
    <w:p w:rsidR="00081DBF" w:rsidRPr="00BD1DB7" w:rsidRDefault="005B4A46">
      <w:pPr>
        <w:pStyle w:val="Text1"/>
        <w:rPr>
          <w:i/>
          <w:noProof/>
        </w:rPr>
      </w:pPr>
      <w:r w:rsidRPr="00BD1DB7">
        <w:t>„</w:t>
      </w:r>
      <w:r w:rsidRPr="00BD1DB7">
        <w:rPr>
          <w:i/>
          <w:noProof/>
        </w:rPr>
        <w:t>Articolul 6b</w:t>
      </w:r>
    </w:p>
    <w:p w:rsidR="00081DBF" w:rsidRPr="00BD1DB7" w:rsidRDefault="005B4A46">
      <w:pPr>
        <w:pStyle w:val="Text1"/>
        <w:rPr>
          <w:b/>
          <w:noProof/>
        </w:rPr>
      </w:pPr>
      <w:r w:rsidRPr="00BD1DB7">
        <w:rPr>
          <w:b/>
          <w:noProof/>
        </w:rPr>
        <w:t>Raportul de alertă timpurie</w:t>
      </w:r>
    </w:p>
    <w:p w:rsidR="00081DBF" w:rsidRPr="00BD1DB7" w:rsidRDefault="005B4A46">
      <w:pPr>
        <w:pStyle w:val="Text1"/>
        <w:rPr>
          <w:noProof/>
        </w:rPr>
      </w:pPr>
      <w:r w:rsidRPr="00BD1DB7">
        <w:t>1. Comisia, în cooperare cu Agen</w:t>
      </w:r>
      <w:r w:rsidR="007F645B">
        <w:t>ț</w:t>
      </w:r>
      <w:r w:rsidRPr="00BD1DB7">
        <w:t>ia Europeană de Mediu, întocme</w:t>
      </w:r>
      <w:r w:rsidR="007F645B">
        <w:t>ș</w:t>
      </w:r>
      <w:r w:rsidRPr="00BD1DB7">
        <w:t>te rapoarte privind progresele înregistrate în vederea atingerii obiectivelor prevăzute la articolul 6 alineatul (1) literele (f)-(i) cel târziu cu trei ani înainte de expirarea fiecărui termen prevăzut în dispozi</w:t>
      </w:r>
      <w:r w:rsidR="007F645B">
        <w:t>ț</w:t>
      </w:r>
      <w:r w:rsidRPr="00BD1DB7">
        <w:t>iile respective.</w:t>
      </w:r>
    </w:p>
    <w:p w:rsidR="00081DBF" w:rsidRPr="00BD1DB7" w:rsidRDefault="005B4A46">
      <w:pPr>
        <w:pStyle w:val="Text1"/>
        <w:rPr>
          <w:noProof/>
        </w:rPr>
      </w:pPr>
      <w:r w:rsidRPr="00BD1DB7">
        <w:t>2. Rapoartele men</w:t>
      </w:r>
      <w:r w:rsidR="007F645B">
        <w:t>ț</w:t>
      </w:r>
      <w:r w:rsidRPr="00BD1DB7">
        <w:t>ionate la alineatul (1) includ următoarele:</w:t>
      </w:r>
    </w:p>
    <w:p w:rsidR="00081DBF" w:rsidRPr="00BD1DB7" w:rsidRDefault="005B4A46">
      <w:pPr>
        <w:pStyle w:val="Text2"/>
        <w:rPr>
          <w:noProof/>
        </w:rPr>
      </w:pPr>
      <w:r w:rsidRPr="00BD1DB7">
        <w:t>(a) o estimare a gradului de îndeplinire a obiectivelor de către fiecare stat membru;</w:t>
      </w:r>
    </w:p>
    <w:p w:rsidR="00081DBF" w:rsidRPr="00BD1DB7" w:rsidRDefault="005B4A46">
      <w:pPr>
        <w:pStyle w:val="Text2"/>
        <w:rPr>
          <w:noProof/>
        </w:rPr>
      </w:pPr>
      <w:r w:rsidRPr="00BD1DB7">
        <w:t>(b) o listă a statelor membre care riscă să nu îndeplinească obiectivele până la termenele-limită respective, înso</w:t>
      </w:r>
      <w:r w:rsidR="007F645B">
        <w:t>ț</w:t>
      </w:r>
      <w:r w:rsidRPr="00BD1DB7">
        <w:t>ită de recomandări corespunzătoare pentru statele membre vizate.”;</w:t>
      </w:r>
    </w:p>
    <w:p w:rsidR="00081DBF" w:rsidRPr="00BD1DB7" w:rsidRDefault="005B4A46">
      <w:pPr>
        <w:pStyle w:val="ManualNumPar1"/>
        <w:rPr>
          <w:noProof/>
        </w:rPr>
      </w:pPr>
      <w:r w:rsidRPr="00BD1DB7">
        <w:t>(6) Articolul 11 alineatul (3) se înlocuie</w:t>
      </w:r>
      <w:r w:rsidR="007F645B">
        <w:t>ș</w:t>
      </w:r>
      <w:r w:rsidRPr="00BD1DB7">
        <w:t>te cu următorul text:</w:t>
      </w:r>
    </w:p>
    <w:p w:rsidR="00081DBF" w:rsidRPr="00BD1DB7" w:rsidRDefault="005B4A46">
      <w:pPr>
        <w:pStyle w:val="Text1"/>
        <w:rPr>
          <w:noProof/>
        </w:rPr>
      </w:pPr>
      <w:r w:rsidRPr="00BD1DB7">
        <w:t>„3. Comisia este împuternicită să adopte acte delegate în conformitate cu articolul 21a pentru a stabili condi</w:t>
      </w:r>
      <w:r w:rsidR="007F645B">
        <w:t>ț</w:t>
      </w:r>
      <w:r w:rsidRPr="00BD1DB7">
        <w:t>iile în care nivelurile de concentra</w:t>
      </w:r>
      <w:r w:rsidR="007F645B">
        <w:t>ț</w:t>
      </w:r>
      <w:r w:rsidRPr="00BD1DB7">
        <w:t>ie men</w:t>
      </w:r>
      <w:r w:rsidR="007F645B">
        <w:t>ț</w:t>
      </w:r>
      <w:r w:rsidRPr="00BD1DB7">
        <w:t xml:space="preserve">ionate la alineatul (1) nu se aplică materialelor reciclate </w:t>
      </w:r>
      <w:r w:rsidR="007F645B">
        <w:t>ș</w:t>
      </w:r>
      <w:r w:rsidRPr="00BD1DB7">
        <w:t>i circuitelor de produse aflate într-un lan</w:t>
      </w:r>
      <w:r w:rsidR="007F645B">
        <w:t>ț</w:t>
      </w:r>
      <w:r w:rsidRPr="00BD1DB7">
        <w:t xml:space="preserve"> închis </w:t>
      </w:r>
      <w:r w:rsidR="007F645B">
        <w:t>ș</w:t>
      </w:r>
      <w:r w:rsidRPr="00BD1DB7">
        <w:t xml:space="preserve">i controlat, precum </w:t>
      </w:r>
      <w:r w:rsidR="007F645B">
        <w:t>ș</w:t>
      </w:r>
      <w:r w:rsidRPr="00BD1DB7">
        <w:t>i pentru a stabili tipurile de ambalaje scutite de obliga</w:t>
      </w:r>
      <w:r w:rsidR="007F645B">
        <w:t>ț</w:t>
      </w:r>
      <w:r w:rsidRPr="00BD1DB7">
        <w:t>ia men</w:t>
      </w:r>
      <w:r w:rsidR="007F645B">
        <w:t>ț</w:t>
      </w:r>
      <w:r w:rsidRPr="00BD1DB7">
        <w:t>ionată la alineatul (1) a treia liniu</w:t>
      </w:r>
      <w:r w:rsidR="007F645B">
        <w:t>ț</w:t>
      </w:r>
      <w:r w:rsidRPr="00BD1DB7">
        <w:t>ă.”;</w:t>
      </w:r>
    </w:p>
    <w:p w:rsidR="00081DBF" w:rsidRPr="00BD1DB7" w:rsidRDefault="005B4A46">
      <w:pPr>
        <w:pStyle w:val="ManualNumPar1"/>
        <w:rPr>
          <w:noProof/>
        </w:rPr>
      </w:pPr>
      <w:r w:rsidRPr="00BD1DB7">
        <w:t>(7) Articolul 12 se modifică după cum urmează:</w:t>
      </w:r>
    </w:p>
    <w:p w:rsidR="00081DBF" w:rsidRPr="00BD1DB7" w:rsidRDefault="005B4A46">
      <w:pPr>
        <w:pStyle w:val="ManualNumPar2"/>
        <w:rPr>
          <w:noProof/>
          <w:szCs w:val="24"/>
        </w:rPr>
      </w:pPr>
      <w:r w:rsidRPr="00BD1DB7">
        <w:t>(a) titlul se înlocuie</w:t>
      </w:r>
      <w:r w:rsidR="007F645B">
        <w:t>ș</w:t>
      </w:r>
      <w:r w:rsidRPr="00BD1DB7">
        <w:t xml:space="preserve">te cu „Sisteme de informare </w:t>
      </w:r>
      <w:r w:rsidR="007F645B">
        <w:t>ș</w:t>
      </w:r>
      <w:r w:rsidRPr="00BD1DB7">
        <w:t>i raportare”;</w:t>
      </w:r>
    </w:p>
    <w:p w:rsidR="00081DBF" w:rsidRPr="00BD1DB7" w:rsidRDefault="005B4A46">
      <w:pPr>
        <w:pStyle w:val="ManualNumPar2"/>
        <w:rPr>
          <w:noProof/>
        </w:rPr>
      </w:pPr>
      <w:r w:rsidRPr="00BD1DB7">
        <w:t>(b) alineatul (2) se înlocuie</w:t>
      </w:r>
      <w:r w:rsidR="007F645B">
        <w:t>ș</w:t>
      </w:r>
      <w:r w:rsidRPr="00BD1DB7">
        <w:t>te cu următorul text:</w:t>
      </w:r>
    </w:p>
    <w:p w:rsidR="00081DBF" w:rsidRPr="00BD1DB7" w:rsidRDefault="005B4A46">
      <w:pPr>
        <w:pStyle w:val="Text1"/>
        <w:rPr>
          <w:noProof/>
        </w:rPr>
      </w:pPr>
      <w:r w:rsidRPr="00BD1DB7">
        <w:lastRenderedPageBreak/>
        <w:t>„2.</w:t>
      </w:r>
      <w:r w:rsidR="007F645B">
        <w:t xml:space="preserve"> </w:t>
      </w:r>
      <w:r w:rsidRPr="00BD1DB7">
        <w:t>Bazele de date prevăzute la alineatul (1) includ datele men</w:t>
      </w:r>
      <w:r w:rsidR="007F645B">
        <w:t>ț</w:t>
      </w:r>
      <w:r w:rsidRPr="00BD1DB7">
        <w:t xml:space="preserve">ionate în anexa III </w:t>
      </w:r>
      <w:r w:rsidR="007F645B">
        <w:t>ș</w:t>
      </w:r>
      <w:r w:rsidRPr="00BD1DB7">
        <w:t>i furnizează în special informa</w:t>
      </w:r>
      <w:r w:rsidR="007F645B">
        <w:t>ț</w:t>
      </w:r>
      <w:r w:rsidRPr="00BD1DB7">
        <w:t xml:space="preserve">ii privind mărimea, caracteristicile </w:t>
      </w:r>
      <w:r w:rsidR="007F645B">
        <w:t>ș</w:t>
      </w:r>
      <w:r w:rsidRPr="00BD1DB7">
        <w:t>i evolu</w:t>
      </w:r>
      <w:r w:rsidR="007F645B">
        <w:t>ț</w:t>
      </w:r>
      <w:r w:rsidRPr="00BD1DB7">
        <w:t xml:space="preserve">ia fluxurilor de ambalaje </w:t>
      </w:r>
      <w:r w:rsidR="007F645B">
        <w:t>ș</w:t>
      </w:r>
      <w:r w:rsidRPr="00BD1DB7">
        <w:t>i de de</w:t>
      </w:r>
      <w:r w:rsidR="007F645B">
        <w:t>ș</w:t>
      </w:r>
      <w:r w:rsidRPr="00BD1DB7">
        <w:t>euri de ambalaje, inclusiv informa</w:t>
      </w:r>
      <w:r w:rsidR="007F645B">
        <w:t>ț</w:t>
      </w:r>
      <w:r w:rsidRPr="00BD1DB7">
        <w:t xml:space="preserve">ii privind caracterul toxic sau periculos al materialelor de ambalaje </w:t>
      </w:r>
      <w:r w:rsidR="007F645B">
        <w:t>ș</w:t>
      </w:r>
      <w:r w:rsidRPr="00BD1DB7">
        <w:t>i al componentelor utilizate pentru fabricarea lor, la nivelul fiecărui stat membru.”;</w:t>
      </w:r>
    </w:p>
    <w:p w:rsidR="00081DBF" w:rsidRPr="00BD1DB7" w:rsidRDefault="005B4A46">
      <w:pPr>
        <w:pStyle w:val="ManualNumPar2"/>
        <w:rPr>
          <w:noProof/>
        </w:rPr>
      </w:pPr>
      <w:r w:rsidRPr="00BD1DB7">
        <w:t>(c) alineatul (3) se elimină;</w:t>
      </w:r>
    </w:p>
    <w:p w:rsidR="00081DBF" w:rsidRPr="00BD1DB7" w:rsidRDefault="005B4A46">
      <w:pPr>
        <w:pStyle w:val="ManualNumPar2"/>
        <w:rPr>
          <w:noProof/>
        </w:rPr>
      </w:pPr>
      <w:r w:rsidRPr="00BD1DB7">
        <w:t xml:space="preserve">(d) se inserează următoarele alineate (3a), (3b), (3c) </w:t>
      </w:r>
      <w:r w:rsidR="007F645B">
        <w:t>ș</w:t>
      </w:r>
      <w:r w:rsidRPr="00BD1DB7">
        <w:t>i (3d):</w:t>
      </w:r>
    </w:p>
    <w:p w:rsidR="00081DBF" w:rsidRPr="00BD1DB7" w:rsidRDefault="005B4A46">
      <w:pPr>
        <w:pStyle w:val="Text1"/>
        <w:rPr>
          <w:rFonts w:cs="Calibri"/>
          <w:bCs/>
          <w:noProof/>
        </w:rPr>
      </w:pPr>
      <w:r w:rsidRPr="00BD1DB7">
        <w:t>„3a. Statele membre raportează Comisiei, pentru fiecare an calendaristic, datele privind îndeplinirea obiectivelor prevăzute la articolul 6 alineatul (1) literele (a)-(i). Statele membre raportează aceste date pe cale electronică, în termen de 18 luni de la sfâr</w:t>
      </w:r>
      <w:r w:rsidR="007F645B">
        <w:t>ș</w:t>
      </w:r>
      <w:r w:rsidRPr="00BD1DB7">
        <w:t xml:space="preserve">itul anului de raportare pentru care sunt colectate datele. </w:t>
      </w:r>
    </w:p>
    <w:p w:rsidR="00081DBF" w:rsidRPr="00BD1DB7" w:rsidRDefault="005B4A46">
      <w:pPr>
        <w:pStyle w:val="Text1"/>
        <w:rPr>
          <w:noProof/>
        </w:rPr>
      </w:pPr>
      <w:r w:rsidRPr="00BD1DB7">
        <w:t>Datele se raportează în formatul stabilit de Comisie în conformitate cu alineatul (3d). Primul raport acoperă perioada cuprinsă între 1 ianuarie [</w:t>
      </w:r>
      <w:r w:rsidRPr="00BD1DB7">
        <w:rPr>
          <w:i/>
          <w:noProof/>
        </w:rPr>
        <w:t>a se introduce anul intrării în vigoare a prezentei directive + 1 an</w:t>
      </w:r>
      <w:r w:rsidRPr="00BD1DB7">
        <w:t xml:space="preserve">] </w:t>
      </w:r>
      <w:r w:rsidR="007F645B">
        <w:t>ș</w:t>
      </w:r>
      <w:r w:rsidRPr="00BD1DB7">
        <w:t>i 31 decembrie [</w:t>
      </w:r>
      <w:r w:rsidRPr="00BD1DB7">
        <w:rPr>
          <w:i/>
          <w:noProof/>
        </w:rPr>
        <w:t>a se introduce anul intrării în vigoare a prezentei directive + 1 an</w:t>
      </w:r>
      <w:r w:rsidRPr="00BD1DB7">
        <w:t xml:space="preserve">]. </w:t>
      </w:r>
    </w:p>
    <w:p w:rsidR="00081DBF" w:rsidRPr="00BD1DB7" w:rsidRDefault="005B4A46">
      <w:pPr>
        <w:pStyle w:val="Text1"/>
        <w:rPr>
          <w:noProof/>
        </w:rPr>
      </w:pPr>
      <w:r w:rsidRPr="00BD1DB7">
        <w:t>3b. Datele raportate de statele membre în conformitate cu prezentul articol sunt înso</w:t>
      </w:r>
      <w:r w:rsidR="007F645B">
        <w:t>ț</w:t>
      </w:r>
      <w:r w:rsidRPr="00BD1DB7">
        <w:t>ite de un raport de verificare a calită</w:t>
      </w:r>
      <w:r w:rsidR="007F645B">
        <w:t>ț</w:t>
      </w:r>
      <w:r w:rsidRPr="00BD1DB7">
        <w:t xml:space="preserve">ii </w:t>
      </w:r>
      <w:r w:rsidR="007F645B">
        <w:t>ș</w:t>
      </w:r>
      <w:r w:rsidRPr="00BD1DB7">
        <w:t>i de un raport privind punerea în aplicare a articolului 6a alineatul (4).</w:t>
      </w:r>
    </w:p>
    <w:p w:rsidR="00081DBF" w:rsidRPr="00BD1DB7" w:rsidRDefault="005B4A46">
      <w:pPr>
        <w:pStyle w:val="Text1"/>
        <w:rPr>
          <w:rFonts w:cs="Calibri"/>
          <w:noProof/>
        </w:rPr>
      </w:pPr>
      <w:r w:rsidRPr="00BD1DB7">
        <w:t>3c.</w:t>
      </w:r>
      <w:r w:rsidR="007F645B">
        <w:t xml:space="preserve"> </w:t>
      </w:r>
      <w:r w:rsidRPr="00BD1DB7">
        <w:t>Comisia revizuie</w:t>
      </w:r>
      <w:r w:rsidR="007F645B">
        <w:t>ș</w:t>
      </w:r>
      <w:r w:rsidRPr="00BD1DB7">
        <w:t xml:space="preserve">te datele raportate în conformitate cu prezentul articol </w:t>
      </w:r>
      <w:r w:rsidR="007F645B">
        <w:t>ș</w:t>
      </w:r>
      <w:r w:rsidRPr="00BD1DB7">
        <w:t xml:space="preserve">i publică un raport cu privire la rezultatele revizuirii respective. Raportul cuprinde o evaluare a modului de organizare a culegerii datelor, a surselor de date </w:t>
      </w:r>
      <w:r w:rsidR="007F645B">
        <w:t>ș</w:t>
      </w:r>
      <w:r w:rsidRPr="00BD1DB7">
        <w:t xml:space="preserve">i a metodologiei utilizate în statele membre, precum </w:t>
      </w:r>
      <w:r w:rsidR="007F645B">
        <w:t>ș</w:t>
      </w:r>
      <w:r w:rsidRPr="00BD1DB7">
        <w:t>i a caracterului complet, a fiabilită</w:t>
      </w:r>
      <w:r w:rsidR="007F645B">
        <w:t>ț</w:t>
      </w:r>
      <w:r w:rsidRPr="00BD1DB7">
        <w:t>ii, a actualită</w:t>
      </w:r>
      <w:r w:rsidR="007F645B">
        <w:t>ț</w:t>
      </w:r>
      <w:r w:rsidRPr="00BD1DB7">
        <w:t xml:space="preserve">ii </w:t>
      </w:r>
      <w:r w:rsidR="007F645B">
        <w:t>ș</w:t>
      </w:r>
      <w:r w:rsidRPr="00BD1DB7">
        <w:t>i a consecven</w:t>
      </w:r>
      <w:r w:rsidR="007F645B">
        <w:t>ț</w:t>
      </w:r>
      <w:r w:rsidRPr="00BD1DB7">
        <w:t>ei datelor respective. Evaluarea poate include recomandări specifice de îmbunătă</w:t>
      </w:r>
      <w:r w:rsidR="007F645B">
        <w:t>ț</w:t>
      </w:r>
      <w:r w:rsidRPr="00BD1DB7">
        <w:t>ire. Raportul se întocme</w:t>
      </w:r>
      <w:r w:rsidR="007F645B">
        <w:t>ș</w:t>
      </w:r>
      <w:r w:rsidRPr="00BD1DB7">
        <w:t xml:space="preserve">te o dată la trei ani. </w:t>
      </w:r>
    </w:p>
    <w:p w:rsidR="00081DBF" w:rsidRPr="00BD1DB7" w:rsidRDefault="005B4A46">
      <w:pPr>
        <w:pStyle w:val="Text1"/>
        <w:rPr>
          <w:noProof/>
        </w:rPr>
      </w:pPr>
      <w:r w:rsidRPr="00BD1DB7">
        <w:t>3d. Comisia adoptă acte de punere în aplicare de stabilire a formatului pentru raportarea datelor în conformitate cu alineatul (3a). Respectivele acte de punere în aplicare se adoptă în conformitate cu procedura men</w:t>
      </w:r>
      <w:r w:rsidR="007F645B">
        <w:t>ț</w:t>
      </w:r>
      <w:r w:rsidRPr="00BD1DB7">
        <w:t>ionată la articolul 21 alineatul (2).”;</w:t>
      </w:r>
    </w:p>
    <w:p w:rsidR="00081DBF" w:rsidRPr="00BD1DB7" w:rsidRDefault="005B4A46">
      <w:pPr>
        <w:pStyle w:val="ManualNumPar2"/>
        <w:rPr>
          <w:noProof/>
        </w:rPr>
      </w:pPr>
      <w:r w:rsidRPr="00BD1DB7">
        <w:t>(e) alineatul (5) se elimină;</w:t>
      </w:r>
    </w:p>
    <w:p w:rsidR="00081DBF" w:rsidRPr="00BD1DB7" w:rsidRDefault="005B4A46">
      <w:pPr>
        <w:pStyle w:val="ManualNumPar1"/>
        <w:rPr>
          <w:noProof/>
        </w:rPr>
      </w:pPr>
      <w:r w:rsidRPr="00BD1DB7">
        <w:t>(8) articolul 17 se elimină;</w:t>
      </w:r>
    </w:p>
    <w:p w:rsidR="00081DBF" w:rsidRPr="00BD1DB7" w:rsidRDefault="005B4A46">
      <w:pPr>
        <w:pStyle w:val="ManualNumPar1"/>
        <w:rPr>
          <w:noProof/>
        </w:rPr>
      </w:pPr>
      <w:r w:rsidRPr="00BD1DB7">
        <w:t>(9) Articolul 19 se înlocuie</w:t>
      </w:r>
      <w:r w:rsidR="007F645B">
        <w:t>ș</w:t>
      </w:r>
      <w:r w:rsidRPr="00BD1DB7">
        <w:t>te cu următorul text:</w:t>
      </w:r>
    </w:p>
    <w:p w:rsidR="00081DBF" w:rsidRPr="00BD1DB7" w:rsidRDefault="005B4A46">
      <w:pPr>
        <w:pStyle w:val="Text1"/>
        <w:rPr>
          <w:rFonts w:cs="Calibri"/>
          <w:noProof/>
        </w:rPr>
      </w:pPr>
      <w:r w:rsidRPr="00BD1DB7">
        <w:t xml:space="preserve">„1. Comisia adoptă actele de punere în aplicare necesare pentru adaptarea la progresul </w:t>
      </w:r>
      <w:r w:rsidR="007F645B">
        <w:t>ș</w:t>
      </w:r>
      <w:r w:rsidRPr="00BD1DB7">
        <w:t>tiin</w:t>
      </w:r>
      <w:r w:rsidR="007F645B">
        <w:t>ț</w:t>
      </w:r>
      <w:r w:rsidRPr="00BD1DB7">
        <w:t xml:space="preserve">ific </w:t>
      </w:r>
      <w:r w:rsidR="007F645B">
        <w:t>ș</w:t>
      </w:r>
      <w:r w:rsidRPr="00BD1DB7">
        <w:t>i tehnic a sistemului de identificare men</w:t>
      </w:r>
      <w:r w:rsidR="007F645B">
        <w:t>ț</w:t>
      </w:r>
      <w:r w:rsidRPr="00BD1DB7">
        <w:t xml:space="preserve">ionat la articolul 8 alineatul (2) </w:t>
      </w:r>
      <w:r w:rsidR="007F645B">
        <w:t>ș</w:t>
      </w:r>
      <w:r w:rsidRPr="00BD1DB7">
        <w:t xml:space="preserve">i la articolul 10 al doilea paragraf a </w:t>
      </w:r>
      <w:r w:rsidR="007F645B">
        <w:t>ș</w:t>
      </w:r>
      <w:r w:rsidRPr="00BD1DB7">
        <w:t>asea liniu</w:t>
      </w:r>
      <w:r w:rsidR="007F645B">
        <w:t>ț</w:t>
      </w:r>
      <w:r w:rsidRPr="00BD1DB7">
        <w:t>ă. Respectivele acte de punere în aplicare se adoptă în conformitate cu procedura men</w:t>
      </w:r>
      <w:r w:rsidR="007F645B">
        <w:t>ț</w:t>
      </w:r>
      <w:r w:rsidRPr="00BD1DB7">
        <w:t>ionată la articolul 21 alineatul (2).</w:t>
      </w:r>
    </w:p>
    <w:p w:rsidR="00081DBF" w:rsidRPr="00BD1DB7" w:rsidRDefault="005B4A46">
      <w:pPr>
        <w:pStyle w:val="Text1"/>
        <w:rPr>
          <w:noProof/>
        </w:rPr>
      </w:pPr>
      <w:r w:rsidRPr="00BD1DB7">
        <w:t>2. Comisia este împuternicită să adopte, în conformitate cu articolul 21a, acte delegate pentru a modifica lista de exemple ilustrative pentru defini</w:t>
      </w:r>
      <w:r w:rsidR="007F645B">
        <w:t>ț</w:t>
      </w:r>
      <w:r w:rsidRPr="00BD1DB7">
        <w:t>ia ambalajelor din anexa I.”;</w:t>
      </w:r>
    </w:p>
    <w:p w:rsidR="00081DBF" w:rsidRPr="00BD1DB7" w:rsidRDefault="005B4A46">
      <w:pPr>
        <w:pStyle w:val="ManualNumPar1"/>
        <w:rPr>
          <w:noProof/>
        </w:rPr>
      </w:pPr>
      <w:r w:rsidRPr="00BD1DB7">
        <w:t>(10) Articolul 20 se înlocuie</w:t>
      </w:r>
      <w:r w:rsidR="007F645B">
        <w:t>ș</w:t>
      </w:r>
      <w:r w:rsidRPr="00BD1DB7">
        <w:t>te cu următorul text:</w:t>
      </w:r>
    </w:p>
    <w:p w:rsidR="00081DBF" w:rsidRPr="00BD1DB7" w:rsidRDefault="005B4A46">
      <w:pPr>
        <w:pStyle w:val="Text1"/>
        <w:rPr>
          <w:i/>
          <w:noProof/>
        </w:rPr>
      </w:pPr>
      <w:r w:rsidRPr="00BD1DB7">
        <w:t>„</w:t>
      </w:r>
      <w:r w:rsidRPr="00BD1DB7">
        <w:rPr>
          <w:i/>
          <w:noProof/>
        </w:rPr>
        <w:t>Articolul 20</w:t>
      </w:r>
    </w:p>
    <w:p w:rsidR="00081DBF" w:rsidRPr="00BD1DB7" w:rsidRDefault="005B4A46">
      <w:pPr>
        <w:pStyle w:val="Text1"/>
        <w:rPr>
          <w:b/>
          <w:noProof/>
        </w:rPr>
      </w:pPr>
      <w:r w:rsidRPr="00BD1DB7">
        <w:rPr>
          <w:b/>
          <w:noProof/>
        </w:rPr>
        <w:t>Măsuri specifice</w:t>
      </w:r>
    </w:p>
    <w:p w:rsidR="00081DBF" w:rsidRPr="00BD1DB7" w:rsidRDefault="005B4A46">
      <w:pPr>
        <w:pStyle w:val="Text1"/>
        <w:rPr>
          <w:noProof/>
        </w:rPr>
      </w:pPr>
      <w:r w:rsidRPr="00BD1DB7">
        <w:t>Comisia este împuternicită, în conformitate cu articolul 21a, să adopte actele delegate necesare pentru a aborda orice dificultă</w:t>
      </w:r>
      <w:r w:rsidR="007F645B">
        <w:t>ț</w:t>
      </w:r>
      <w:r w:rsidRPr="00BD1DB7">
        <w:t>i întâmpinate în aplicarea dispozi</w:t>
      </w:r>
      <w:r w:rsidR="007F645B">
        <w:t>ț</w:t>
      </w:r>
      <w:r w:rsidRPr="00BD1DB7">
        <w:t xml:space="preserve">iilor </w:t>
      </w:r>
      <w:r w:rsidRPr="00BD1DB7">
        <w:lastRenderedPageBreak/>
        <w:t>prezentei directive, în special în ceea ce prive</w:t>
      </w:r>
      <w:r w:rsidR="007F645B">
        <w:t>ș</w:t>
      </w:r>
      <w:r w:rsidRPr="00BD1DB7">
        <w:t>te materialele de ambalaj inerte introduse pe pia</w:t>
      </w:r>
      <w:r w:rsidR="007F645B">
        <w:t>ț</w:t>
      </w:r>
      <w:r w:rsidRPr="00BD1DB7">
        <w:t>ă în Uniune în cantită</w:t>
      </w:r>
      <w:r w:rsidR="007F645B">
        <w:t>ț</w:t>
      </w:r>
      <w:r w:rsidRPr="00BD1DB7">
        <w:t>i foarte mici (</w:t>
      </w:r>
      <w:r w:rsidR="007F645B">
        <w:t>ș</w:t>
      </w:r>
      <w:r w:rsidRPr="00BD1DB7">
        <w:t xml:space="preserve">i anume aproximativ 0,1 % în greutate), ambalajele primare ale echipamentelor medicale </w:t>
      </w:r>
      <w:r w:rsidR="007F645B">
        <w:t>ș</w:t>
      </w:r>
      <w:r w:rsidRPr="00BD1DB7">
        <w:t xml:space="preserve">i ale produselor farmaceutice, ambalajele de mici dimensiuni </w:t>
      </w:r>
      <w:r w:rsidR="007F645B">
        <w:t>ș</w:t>
      </w:r>
      <w:r w:rsidRPr="00BD1DB7">
        <w:t>i ambalajele de lux.”;</w:t>
      </w:r>
    </w:p>
    <w:p w:rsidR="00081DBF" w:rsidRPr="00BD1DB7" w:rsidRDefault="005B4A46">
      <w:pPr>
        <w:pStyle w:val="ManualNumPar1"/>
        <w:rPr>
          <w:noProof/>
        </w:rPr>
      </w:pPr>
      <w:r w:rsidRPr="00BD1DB7">
        <w:t>(11) Articolul 21 se înlocuie</w:t>
      </w:r>
      <w:r w:rsidR="007F645B">
        <w:t>ș</w:t>
      </w:r>
      <w:r w:rsidRPr="00BD1DB7">
        <w:t>te cu următorul text:</w:t>
      </w:r>
    </w:p>
    <w:p w:rsidR="00081DBF" w:rsidRPr="00BD1DB7" w:rsidRDefault="005B4A46">
      <w:pPr>
        <w:pStyle w:val="Text1"/>
        <w:rPr>
          <w:i/>
          <w:noProof/>
        </w:rPr>
      </w:pPr>
      <w:r w:rsidRPr="00BD1DB7">
        <w:t>„</w:t>
      </w:r>
      <w:r w:rsidRPr="00BD1DB7">
        <w:rPr>
          <w:i/>
          <w:noProof/>
        </w:rPr>
        <w:t>Articolul 21</w:t>
      </w:r>
    </w:p>
    <w:p w:rsidR="00081DBF" w:rsidRPr="00BD1DB7" w:rsidRDefault="005B4A46">
      <w:pPr>
        <w:pStyle w:val="Text1"/>
        <w:rPr>
          <w:b/>
          <w:noProof/>
        </w:rPr>
      </w:pPr>
      <w:r w:rsidRPr="00BD1DB7">
        <w:rPr>
          <w:b/>
          <w:noProof/>
        </w:rPr>
        <w:t>Procedura comitetelor</w:t>
      </w:r>
    </w:p>
    <w:p w:rsidR="00081DBF" w:rsidRPr="00BD1DB7" w:rsidRDefault="005B4A46">
      <w:pPr>
        <w:pStyle w:val="Text1"/>
        <w:rPr>
          <w:noProof/>
        </w:rPr>
      </w:pPr>
      <w:r w:rsidRPr="00BD1DB7">
        <w:t xml:space="preserve">1. În sensul articolului 12 alineatul (3d) </w:t>
      </w:r>
      <w:r w:rsidR="007F645B">
        <w:t>ș</w:t>
      </w:r>
      <w:r w:rsidRPr="00BD1DB7">
        <w:t xml:space="preserve">i al articolului 19 alineatul (1), Comisia este asistată de comitetul instituit prin articolul 39 din Directiva 2008/98/CE. Comitetul respectiv este un comitet în sensul Regulamentului (UE) nr. 182/2011 al Parlamentului European </w:t>
      </w:r>
      <w:r w:rsidR="007F645B">
        <w:t>ș</w:t>
      </w:r>
      <w:r w:rsidRPr="00BD1DB7">
        <w:t>i al Consiliului(*).</w:t>
      </w:r>
    </w:p>
    <w:p w:rsidR="00081DBF" w:rsidRPr="00BD1DB7" w:rsidRDefault="005B4A46">
      <w:pPr>
        <w:pStyle w:val="Text1"/>
        <w:rPr>
          <w:noProof/>
        </w:rPr>
      </w:pPr>
      <w:r w:rsidRPr="00BD1DB7">
        <w:t>2. Atunci când se face trimitere la prezentul alineat, se aplică articolul 5 din Regulamentul (UE) nr. 182/2011.</w:t>
      </w:r>
    </w:p>
    <w:p w:rsidR="00081DBF" w:rsidRPr="00BD1DB7" w:rsidRDefault="00081DBF">
      <w:pPr>
        <w:pStyle w:val="Text1"/>
        <w:pBdr>
          <w:bottom w:val="single" w:sz="12" w:space="1" w:color="auto"/>
        </w:pBdr>
        <w:rPr>
          <w:noProof/>
        </w:rPr>
      </w:pPr>
    </w:p>
    <w:p w:rsidR="00081DBF" w:rsidRPr="00BD1DB7" w:rsidRDefault="005B4A46">
      <w:pPr>
        <w:pStyle w:val="Text1"/>
        <w:rPr>
          <w:noProof/>
        </w:rPr>
      </w:pPr>
      <w:r w:rsidRPr="00BD1DB7">
        <w:t xml:space="preserve">(*) Regulamentul (UE) nr. 182/2011 al Parlamentului European </w:t>
      </w:r>
      <w:r w:rsidR="007F645B">
        <w:t>ș</w:t>
      </w:r>
      <w:r w:rsidRPr="00BD1DB7">
        <w:t xml:space="preserve">i al Consiliului din 16 februarie 2011 de stabilire a normelor </w:t>
      </w:r>
      <w:r w:rsidR="007F645B">
        <w:t>ș</w:t>
      </w:r>
      <w:r w:rsidRPr="00BD1DB7">
        <w:t>i principiilor generale privind mecanismele de control de către statele membre al exercitării competen</w:t>
      </w:r>
      <w:r w:rsidR="007F645B">
        <w:t>ț</w:t>
      </w:r>
      <w:r w:rsidRPr="00BD1DB7">
        <w:t>elor de executare de către Comisie (JO L 55, 28.2.2011, p. 13).”;</w:t>
      </w:r>
    </w:p>
    <w:p w:rsidR="00081DBF" w:rsidRPr="00BD1DB7" w:rsidRDefault="005B4A46">
      <w:pPr>
        <w:pStyle w:val="ManualNumPar1"/>
        <w:rPr>
          <w:noProof/>
        </w:rPr>
      </w:pPr>
      <w:r w:rsidRPr="00BD1DB7">
        <w:t>(12) se introduce articolul 21 a cu următorul text:</w:t>
      </w:r>
    </w:p>
    <w:p w:rsidR="00081DBF" w:rsidRPr="00BD1DB7" w:rsidRDefault="005B4A46">
      <w:pPr>
        <w:pStyle w:val="Text1"/>
        <w:rPr>
          <w:noProof/>
        </w:rPr>
      </w:pPr>
      <w:r w:rsidRPr="00BD1DB7">
        <w:t>„</w:t>
      </w:r>
      <w:r w:rsidRPr="00BD1DB7">
        <w:rPr>
          <w:i/>
          <w:noProof/>
        </w:rPr>
        <w:t>Articolul 21a</w:t>
      </w:r>
    </w:p>
    <w:p w:rsidR="00081DBF" w:rsidRPr="00BD1DB7" w:rsidRDefault="005B4A46">
      <w:pPr>
        <w:pStyle w:val="Text1"/>
        <w:rPr>
          <w:b/>
          <w:noProof/>
        </w:rPr>
      </w:pPr>
      <w:r w:rsidRPr="00BD1DB7">
        <w:rPr>
          <w:b/>
          <w:noProof/>
        </w:rPr>
        <w:t>Exercitarea delegării</w:t>
      </w:r>
    </w:p>
    <w:p w:rsidR="00081DBF" w:rsidRPr="00BD1DB7" w:rsidRDefault="005B4A46">
      <w:pPr>
        <w:pStyle w:val="Text1"/>
        <w:rPr>
          <w:noProof/>
        </w:rPr>
      </w:pPr>
      <w:r w:rsidRPr="00BD1DB7">
        <w:t>1. Competen</w:t>
      </w:r>
      <w:r w:rsidR="007F645B">
        <w:t>ț</w:t>
      </w:r>
      <w:r w:rsidRPr="00BD1DB7">
        <w:t>a de a adopta acte delegate se conferă Comisiei în condi</w:t>
      </w:r>
      <w:r w:rsidR="007F645B">
        <w:t>ț</w:t>
      </w:r>
      <w:r w:rsidRPr="00BD1DB7">
        <w:t>iile prevăzute la prezentul articol.</w:t>
      </w:r>
    </w:p>
    <w:p w:rsidR="00081DBF" w:rsidRPr="00BD1DB7" w:rsidRDefault="005B4A46">
      <w:pPr>
        <w:pStyle w:val="Text1"/>
        <w:rPr>
          <w:noProof/>
        </w:rPr>
      </w:pPr>
      <w:r w:rsidRPr="00BD1DB7">
        <w:t>2. Competen</w:t>
      </w:r>
      <w:r w:rsidR="007F645B">
        <w:t>ț</w:t>
      </w:r>
      <w:r w:rsidRPr="00BD1DB7">
        <w:t>a de a adopta actele delegate men</w:t>
      </w:r>
      <w:r w:rsidR="007F645B">
        <w:t>ț</w:t>
      </w:r>
      <w:r w:rsidRPr="00BD1DB7">
        <w:t xml:space="preserve">ionate la articolul 6a alineatul (2), articolul 11 alineatul (3), articolul 19 alineatul (2) </w:t>
      </w:r>
      <w:r w:rsidR="007F645B">
        <w:t>ș</w:t>
      </w:r>
      <w:r w:rsidRPr="00BD1DB7">
        <w:t>i articolul 20 se conferă Comisiei pentru o perioadă de timp nedeterminată începând de la [</w:t>
      </w:r>
      <w:r w:rsidRPr="00BD1DB7">
        <w:rPr>
          <w:i/>
          <w:noProof/>
        </w:rPr>
        <w:t>a se introduce data intrării în vigoare a prezentei directive</w:t>
      </w:r>
      <w:r w:rsidRPr="00BD1DB7">
        <w:t xml:space="preserve">]. </w:t>
      </w:r>
    </w:p>
    <w:p w:rsidR="00081DBF" w:rsidRPr="00BD1DB7" w:rsidRDefault="005B4A46">
      <w:pPr>
        <w:pStyle w:val="Text1"/>
        <w:rPr>
          <w:noProof/>
        </w:rPr>
      </w:pPr>
      <w:r w:rsidRPr="00BD1DB7">
        <w:t>3. Delegarea de competen</w:t>
      </w:r>
      <w:r w:rsidR="007F645B">
        <w:t>ț</w:t>
      </w:r>
      <w:r w:rsidRPr="00BD1DB7">
        <w:t>e men</w:t>
      </w:r>
      <w:r w:rsidR="007F645B">
        <w:t>ț</w:t>
      </w:r>
      <w:r w:rsidRPr="00BD1DB7">
        <w:t xml:space="preserve">ionată la articolul 6a alineatul (2), articolul 11 alineatul (3), articolul 19 alineatul (2) </w:t>
      </w:r>
      <w:r w:rsidR="007F645B">
        <w:t>ș</w:t>
      </w:r>
      <w:r w:rsidRPr="00BD1DB7">
        <w:t>i articolul 20 poate fi revocată oricând de Parlamentul European sau de Consiliu. O decizie de revocare pune capăt delegării competen</w:t>
      </w:r>
      <w:r w:rsidR="007F645B">
        <w:t>ț</w:t>
      </w:r>
      <w:r w:rsidRPr="00BD1DB7">
        <w:t xml:space="preserve">elor specificate în decizia respectivă. Decizia respectivă produce efecte din ziua următoare datei publicării în </w:t>
      </w:r>
      <w:r w:rsidRPr="00BD1DB7">
        <w:rPr>
          <w:i/>
          <w:noProof/>
        </w:rPr>
        <w:t>Jurnalul Oficial al Uniunii Europene</w:t>
      </w:r>
      <w:r w:rsidRPr="00BD1DB7">
        <w:t xml:space="preserve"> sau de la o dată ulterioară men</w:t>
      </w:r>
      <w:r w:rsidR="007F645B">
        <w:t>ț</w:t>
      </w:r>
      <w:r w:rsidRPr="00BD1DB7">
        <w:t>ionată în decizie. Decizia nu aduce atingere valabilită</w:t>
      </w:r>
      <w:r w:rsidR="007F645B">
        <w:t>ț</w:t>
      </w:r>
      <w:r w:rsidRPr="00BD1DB7">
        <w:t>ii actelor delegate aflate deja în vigoare.</w:t>
      </w:r>
    </w:p>
    <w:p w:rsidR="00081DBF" w:rsidRPr="00BD1DB7" w:rsidRDefault="005B4A46">
      <w:pPr>
        <w:pStyle w:val="Text1"/>
        <w:rPr>
          <w:noProof/>
        </w:rPr>
      </w:pPr>
      <w:r w:rsidRPr="00BD1DB7">
        <w:t xml:space="preserve">4. De îndată ce adoptă un act delegat, Comisia îl notifică simultan Parlamentului European </w:t>
      </w:r>
      <w:r w:rsidR="007F645B">
        <w:t>ș</w:t>
      </w:r>
      <w:r w:rsidRPr="00BD1DB7">
        <w:t>i Consiliului.</w:t>
      </w:r>
    </w:p>
    <w:p w:rsidR="00081DBF" w:rsidRPr="00BD1DB7" w:rsidRDefault="005B4A46">
      <w:pPr>
        <w:pStyle w:val="Text1"/>
        <w:rPr>
          <w:noProof/>
        </w:rPr>
      </w:pPr>
      <w:r w:rsidRPr="00BD1DB7">
        <w:t xml:space="preserve">5. Un act delegat adoptat în temeiul articolului 6a alineatul (2), al articolului 11 alineatul (3), al articolului 19 alineatul (2) </w:t>
      </w:r>
      <w:r w:rsidR="007F645B">
        <w:t>ș</w:t>
      </w:r>
      <w:r w:rsidRPr="00BD1DB7">
        <w:t xml:space="preserve">i al articolului 20 intră în vigoare numai în cazul în care nici Parlamentul European </w:t>
      </w:r>
      <w:r w:rsidR="007F645B">
        <w:t>ș</w:t>
      </w:r>
      <w:r w:rsidRPr="00BD1DB7">
        <w:t>i nici Consiliul nu au formulat obiec</w:t>
      </w:r>
      <w:r w:rsidR="007F645B">
        <w:t>ț</w:t>
      </w:r>
      <w:r w:rsidRPr="00BD1DB7">
        <w:t xml:space="preserve">iuni în termen de două luni de la notificarea acestuia către Parlamentul European </w:t>
      </w:r>
      <w:r w:rsidR="007F645B">
        <w:t>ș</w:t>
      </w:r>
      <w:r w:rsidRPr="00BD1DB7">
        <w:t xml:space="preserve">i Consiliu sau în cazul în care, înaintea expirării termenului respectiv, Parlamentul European </w:t>
      </w:r>
      <w:r w:rsidR="007F645B">
        <w:t>ș</w:t>
      </w:r>
      <w:r w:rsidRPr="00BD1DB7">
        <w:t>i Consiliul au informat Comisia că nu vor formula obiec</w:t>
      </w:r>
      <w:r w:rsidR="007F645B">
        <w:t>ț</w:t>
      </w:r>
      <w:r w:rsidRPr="00BD1DB7">
        <w:t>iuni. Respectivul termen se prelunge</w:t>
      </w:r>
      <w:r w:rsidR="007F645B">
        <w:t>ș</w:t>
      </w:r>
      <w:r w:rsidRPr="00BD1DB7">
        <w:t>te cu două luni la ini</w:t>
      </w:r>
      <w:r w:rsidR="007F645B">
        <w:t>ț</w:t>
      </w:r>
      <w:r w:rsidRPr="00BD1DB7">
        <w:t>iativa Parlamentului European sau a Consiliului.”</w:t>
      </w:r>
    </w:p>
    <w:p w:rsidR="00081DBF" w:rsidRPr="00BD1DB7" w:rsidRDefault="005B4A46">
      <w:pPr>
        <w:pStyle w:val="ManualNumPar1"/>
        <w:rPr>
          <w:noProof/>
        </w:rPr>
      </w:pPr>
      <w:r w:rsidRPr="00BD1DB7">
        <w:lastRenderedPageBreak/>
        <w:t xml:space="preserve">(13) Anexa III la Directiva 94/62/CE privind ambalajele </w:t>
      </w:r>
      <w:r w:rsidR="007F645B">
        <w:t>ș</w:t>
      </w:r>
      <w:r w:rsidRPr="00BD1DB7">
        <w:t>i de</w:t>
      </w:r>
      <w:r w:rsidR="007F645B">
        <w:t>ș</w:t>
      </w:r>
      <w:r w:rsidRPr="00BD1DB7">
        <w:t>eurile de ambalaje se modifică astfel cum se prevede în anexa la prezenta directivă.</w:t>
      </w:r>
    </w:p>
    <w:p w:rsidR="00081DBF" w:rsidRPr="00BD1DB7" w:rsidRDefault="005B4A46">
      <w:pPr>
        <w:pStyle w:val="ManualNumPar1"/>
        <w:rPr>
          <w:noProof/>
        </w:rPr>
      </w:pPr>
      <w:r w:rsidRPr="00BD1DB7">
        <w:t xml:space="preserve">(14) Se adaugă anexa IV la Directiva 94/62/CE privind ambalajele </w:t>
      </w:r>
      <w:r w:rsidR="007F645B">
        <w:t>ș</w:t>
      </w:r>
      <w:r w:rsidRPr="00BD1DB7">
        <w:t>i de</w:t>
      </w:r>
      <w:r w:rsidR="007F645B">
        <w:t>ș</w:t>
      </w:r>
      <w:r w:rsidRPr="00BD1DB7">
        <w:t>eurile de ambalaje, astfel cum se prevede în anexa la prezenta directivă.</w:t>
      </w:r>
    </w:p>
    <w:p w:rsidR="00081DBF" w:rsidRPr="00BD1DB7" w:rsidRDefault="005B4A46">
      <w:pPr>
        <w:pStyle w:val="Titrearticle"/>
        <w:keepLines/>
        <w:spacing w:before="120"/>
        <w:rPr>
          <w:noProof/>
        </w:rPr>
      </w:pPr>
      <w:r w:rsidRPr="00BD1DB7">
        <w:t>Articolul 2</w:t>
      </w:r>
    </w:p>
    <w:p w:rsidR="00081DBF" w:rsidRPr="00BD1DB7" w:rsidRDefault="005B4A46">
      <w:pPr>
        <w:jc w:val="center"/>
        <w:rPr>
          <w:b/>
          <w:noProof/>
        </w:rPr>
      </w:pPr>
      <w:r w:rsidRPr="00BD1DB7">
        <w:rPr>
          <w:b/>
          <w:noProof/>
        </w:rPr>
        <w:t>Transpunere</w:t>
      </w:r>
    </w:p>
    <w:p w:rsidR="00081DBF" w:rsidRPr="00BD1DB7" w:rsidRDefault="005B4A46">
      <w:pPr>
        <w:pStyle w:val="ManualNumPar1"/>
        <w:rPr>
          <w:noProof/>
          <w:szCs w:val="24"/>
        </w:rPr>
      </w:pPr>
      <w:r w:rsidRPr="00BD1DB7">
        <w:t>1.</w:t>
      </w:r>
      <w:r w:rsidRPr="00BD1DB7">
        <w:tab/>
        <w:t xml:space="preserve">Statele membre pun în aplicare actele cu putere de lege </w:t>
      </w:r>
      <w:r w:rsidR="007F645B">
        <w:t>ș</w:t>
      </w:r>
      <w:r w:rsidRPr="00BD1DB7">
        <w:t>i actele administrative necesare pentru a se conforma prezentei directive cel târziu până la [</w:t>
      </w:r>
      <w:r w:rsidRPr="00BD1DB7">
        <w:rPr>
          <w:i/>
          <w:noProof/>
        </w:rPr>
        <w:t>a se introduce data: optsprezece luni de la intrarea în vigoare a prezentei directive</w:t>
      </w:r>
      <w:r w:rsidRPr="00BD1DB7">
        <w:t>]. Statele membre comunică de îndată Comisiei textul acestor acte.</w:t>
      </w:r>
    </w:p>
    <w:p w:rsidR="00081DBF" w:rsidRPr="00BD1DB7" w:rsidRDefault="005B4A46">
      <w:pPr>
        <w:pStyle w:val="Text1"/>
        <w:rPr>
          <w:noProof/>
          <w:szCs w:val="24"/>
        </w:rPr>
      </w:pPr>
      <w:r w:rsidRPr="00BD1DB7">
        <w:t>Atunci când statele membre adoptă aceste acte, ele cuprind o trimitere la prezenta directivă sau sunt înso</w:t>
      </w:r>
      <w:r w:rsidR="007F645B">
        <w:t>ț</w:t>
      </w:r>
      <w:r w:rsidRPr="00BD1DB7">
        <w:t>ite de o astfel de trimitere la data publicării lor oficiale. Statele membre stabilesc modalitatea de efectuare a acestei trimiteri.</w:t>
      </w:r>
    </w:p>
    <w:p w:rsidR="00081DBF" w:rsidRPr="00BD1DB7" w:rsidRDefault="005B4A46">
      <w:pPr>
        <w:pStyle w:val="ManualNumPar1"/>
        <w:rPr>
          <w:noProof/>
          <w:szCs w:val="24"/>
        </w:rPr>
      </w:pPr>
      <w:r w:rsidRPr="00BD1DB7">
        <w:t>2.</w:t>
      </w:r>
      <w:r w:rsidRPr="00BD1DB7">
        <w:tab/>
        <w:t>Statele membre comunică Comisiei textul principalelor dispozi</w:t>
      </w:r>
      <w:r w:rsidR="007F645B">
        <w:t>ț</w:t>
      </w:r>
      <w:r w:rsidRPr="00BD1DB7">
        <w:t>ii de drept intern pe care le adoptă în domeniul reglementat de prezenta directivă.</w:t>
      </w:r>
    </w:p>
    <w:p w:rsidR="00081DBF" w:rsidRPr="00BD1DB7" w:rsidRDefault="005B4A46">
      <w:pPr>
        <w:pStyle w:val="Titrearticle"/>
        <w:spacing w:before="120"/>
        <w:rPr>
          <w:noProof/>
        </w:rPr>
      </w:pPr>
      <w:r w:rsidRPr="00BD1DB7">
        <w:t>Articolul 3</w:t>
      </w:r>
    </w:p>
    <w:p w:rsidR="00081DBF" w:rsidRPr="00BD1DB7" w:rsidRDefault="005B4A46">
      <w:pPr>
        <w:jc w:val="center"/>
        <w:rPr>
          <w:b/>
          <w:noProof/>
        </w:rPr>
      </w:pPr>
      <w:r w:rsidRPr="00BD1DB7">
        <w:rPr>
          <w:b/>
          <w:noProof/>
        </w:rPr>
        <w:t>Intrarea în vigoare</w:t>
      </w:r>
    </w:p>
    <w:p w:rsidR="00081DBF" w:rsidRPr="00BD1DB7" w:rsidRDefault="005B4A46">
      <w:pPr>
        <w:rPr>
          <w:noProof/>
        </w:rPr>
      </w:pPr>
      <w:r w:rsidRPr="00BD1DB7">
        <w:t xml:space="preserve">Prezenta directivă intră în vigoare în a douăzecea zi de la data publicării în </w:t>
      </w:r>
      <w:r w:rsidRPr="00BD1DB7">
        <w:rPr>
          <w:i/>
          <w:noProof/>
        </w:rPr>
        <w:t>Jurnalul Oficial al Uniunii Europene</w:t>
      </w:r>
      <w:r w:rsidRPr="00BD1DB7">
        <w:t>.</w:t>
      </w:r>
    </w:p>
    <w:p w:rsidR="00081DBF" w:rsidRPr="00BD1DB7" w:rsidRDefault="005B4A46">
      <w:pPr>
        <w:pStyle w:val="Titrearticle"/>
        <w:spacing w:before="120"/>
        <w:rPr>
          <w:noProof/>
        </w:rPr>
      </w:pPr>
      <w:r w:rsidRPr="00BD1DB7">
        <w:t>Articolul 4</w:t>
      </w:r>
    </w:p>
    <w:p w:rsidR="00081DBF" w:rsidRPr="00BD1DB7" w:rsidRDefault="005B4A46">
      <w:pPr>
        <w:jc w:val="center"/>
        <w:rPr>
          <w:b/>
          <w:noProof/>
        </w:rPr>
      </w:pPr>
      <w:r w:rsidRPr="00BD1DB7">
        <w:rPr>
          <w:b/>
          <w:noProof/>
        </w:rPr>
        <w:t>Destinatari</w:t>
      </w:r>
    </w:p>
    <w:p w:rsidR="00081DBF" w:rsidRPr="00BD1DB7" w:rsidRDefault="005B4A46">
      <w:pPr>
        <w:keepNext/>
        <w:keepLines/>
        <w:rPr>
          <w:noProof/>
        </w:rPr>
      </w:pPr>
      <w:r w:rsidRPr="00BD1DB7">
        <w:t>Prezenta directivă se adresează statelor membre.</w:t>
      </w:r>
    </w:p>
    <w:p w:rsidR="00081DBF" w:rsidRPr="00BD1DB7" w:rsidRDefault="00570F8C" w:rsidP="00570F8C">
      <w:pPr>
        <w:pStyle w:val="Fait"/>
        <w:rPr>
          <w:noProof/>
        </w:rPr>
      </w:pPr>
      <w:r w:rsidRPr="00570F8C">
        <w:t>Adoptată la Bruxelles,</w:t>
      </w:r>
    </w:p>
    <w:p w:rsidR="00081DBF" w:rsidRPr="00BD1DB7" w:rsidRDefault="005B4A46">
      <w:pPr>
        <w:pStyle w:val="Institutionquisigne"/>
        <w:spacing w:before="120" w:after="120"/>
        <w:rPr>
          <w:noProof/>
        </w:rPr>
      </w:pPr>
      <w:r w:rsidRPr="00BD1DB7">
        <w:t>Pentru Parlamentul European,</w:t>
      </w:r>
      <w:r w:rsidRPr="00BD1DB7">
        <w:tab/>
        <w:t>Pentru Consiliu,</w:t>
      </w:r>
    </w:p>
    <w:p w:rsidR="00081DBF" w:rsidRPr="00570F8C" w:rsidRDefault="005B4A46">
      <w:pPr>
        <w:pStyle w:val="Personnequisigne"/>
        <w:spacing w:before="120" w:after="120"/>
        <w:rPr>
          <w:noProof/>
        </w:rPr>
      </w:pPr>
      <w:r w:rsidRPr="00BD1DB7">
        <w:t>Pre</w:t>
      </w:r>
      <w:r w:rsidR="007F645B">
        <w:t>ș</w:t>
      </w:r>
      <w:r w:rsidRPr="00BD1DB7">
        <w:t>edintele</w:t>
      </w:r>
      <w:r w:rsidRPr="00BD1DB7">
        <w:tab/>
      </w:r>
      <w:proofErr w:type="spellStart"/>
      <w:r w:rsidRPr="00BD1DB7">
        <w:t>Pre</w:t>
      </w:r>
      <w:r w:rsidR="007F645B">
        <w:t>ș</w:t>
      </w:r>
      <w:r w:rsidRPr="00BD1DB7">
        <w:t>edintele</w:t>
      </w:r>
      <w:proofErr w:type="spellEnd"/>
    </w:p>
    <w:sectPr w:rsidR="00081DBF" w:rsidRPr="00570F8C" w:rsidSect="00570F8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DBF" w:rsidRDefault="005B4A46">
      <w:pPr>
        <w:spacing w:before="0" w:after="0"/>
      </w:pPr>
      <w:r>
        <w:separator/>
      </w:r>
    </w:p>
  </w:endnote>
  <w:endnote w:type="continuationSeparator" w:id="0">
    <w:p w:rsidR="00081DBF" w:rsidRDefault="005B4A46">
      <w:pPr>
        <w:spacing w:before="0" w:after="0"/>
      </w:pPr>
      <w:r>
        <w:continuationSeparator/>
      </w:r>
    </w:p>
  </w:endnote>
  <w:endnote w:type="continuationNotice" w:id="1">
    <w:p w:rsidR="00081DBF" w:rsidRDefault="00081DB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F8C" w:rsidRPr="00570F8C" w:rsidRDefault="00570F8C" w:rsidP="00570F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64F" w:rsidRPr="00570F8C" w:rsidRDefault="00570F8C" w:rsidP="00570F8C">
    <w:pPr>
      <w:pStyle w:val="Footer"/>
      <w:rPr>
        <w:rFonts w:ascii="Arial" w:hAnsi="Arial" w:cs="Arial"/>
        <w:b/>
        <w:sz w:val="48"/>
      </w:rPr>
    </w:pPr>
    <w:r w:rsidRPr="00570F8C">
      <w:rPr>
        <w:rFonts w:ascii="Arial" w:hAnsi="Arial" w:cs="Arial"/>
        <w:b/>
        <w:sz w:val="48"/>
      </w:rPr>
      <w:t>RO</w:t>
    </w:r>
    <w:r w:rsidRPr="00570F8C">
      <w:rPr>
        <w:rFonts w:ascii="Arial" w:hAnsi="Arial" w:cs="Arial"/>
        <w:b/>
        <w:sz w:val="48"/>
      </w:rPr>
      <w:tab/>
    </w:r>
    <w:r w:rsidRPr="00570F8C">
      <w:rPr>
        <w:rFonts w:ascii="Arial" w:hAnsi="Arial" w:cs="Arial"/>
        <w:b/>
        <w:sz w:val="48"/>
      </w:rPr>
      <w:tab/>
    </w:r>
    <w:fldSimple w:instr=" DOCVARIABLE &quot;LW_Confidence&quot; \* MERGEFORMAT ">
      <w:r>
        <w:t xml:space="preserve"> </w:t>
      </w:r>
    </w:fldSimple>
    <w:r w:rsidRPr="00570F8C">
      <w:tab/>
    </w:r>
    <w:proofErr w:type="spellStart"/>
    <w:r w:rsidRPr="00570F8C">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F8C" w:rsidRPr="00570F8C" w:rsidRDefault="00570F8C" w:rsidP="00570F8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F8C" w:rsidRPr="00570F8C" w:rsidRDefault="00570F8C" w:rsidP="00570F8C">
    <w:pPr>
      <w:pStyle w:val="Footer"/>
      <w:rPr>
        <w:rFonts w:ascii="Arial" w:hAnsi="Arial" w:cs="Arial"/>
        <w:b/>
        <w:sz w:val="48"/>
      </w:rPr>
    </w:pPr>
    <w:r w:rsidRPr="00570F8C">
      <w:rPr>
        <w:rFonts w:ascii="Arial" w:hAnsi="Arial" w:cs="Arial"/>
        <w:b/>
        <w:sz w:val="48"/>
      </w:rPr>
      <w:t>RO</w:t>
    </w:r>
    <w:r w:rsidRPr="00570F8C">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fldSimple w:instr=" DOCVARIABLE &quot;LW_Confidence&quot; \* MERGEFORMAT ">
      <w:r>
        <w:t xml:space="preserve"> </w:t>
      </w:r>
    </w:fldSimple>
    <w:r w:rsidRPr="00570F8C">
      <w:tab/>
    </w:r>
    <w:r w:rsidRPr="00570F8C">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F8C" w:rsidRPr="00570F8C" w:rsidRDefault="00570F8C" w:rsidP="00570F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DBF" w:rsidRDefault="005B4A46">
      <w:pPr>
        <w:spacing w:before="0" w:after="0"/>
      </w:pPr>
      <w:r>
        <w:separator/>
      </w:r>
    </w:p>
  </w:footnote>
  <w:footnote w:type="continuationSeparator" w:id="0">
    <w:p w:rsidR="00081DBF" w:rsidRDefault="005B4A46">
      <w:pPr>
        <w:spacing w:before="0" w:after="0"/>
      </w:pPr>
      <w:r>
        <w:continuationSeparator/>
      </w:r>
    </w:p>
  </w:footnote>
  <w:footnote w:type="continuationNotice" w:id="1">
    <w:p w:rsidR="00081DBF" w:rsidRDefault="00081DBF">
      <w:pPr>
        <w:spacing w:before="0" w:after="0"/>
      </w:pPr>
    </w:p>
  </w:footnote>
  <w:footnote w:id="2">
    <w:p w:rsidR="00081DBF" w:rsidRDefault="005B4A46">
      <w:pPr>
        <w:pStyle w:val="FootnoteText"/>
      </w:pPr>
      <w:r>
        <w:rPr>
          <w:rStyle w:val="FootnoteReference"/>
        </w:rPr>
        <w:footnoteRef/>
      </w:r>
      <w:r>
        <w:tab/>
        <w:t xml:space="preserve">Directiva 2008/98/CE a Parlamentului European </w:t>
      </w:r>
      <w:r w:rsidR="007F645B">
        <w:t>ș</w:t>
      </w:r>
      <w:r>
        <w:t>i a Consiliului din 19 noiembrie 2008 privind de</w:t>
      </w:r>
      <w:r w:rsidR="007F645B">
        <w:t>ș</w:t>
      </w:r>
      <w:r>
        <w:t xml:space="preserve">eurile </w:t>
      </w:r>
      <w:r w:rsidR="007F645B">
        <w:t>ș</w:t>
      </w:r>
      <w:r>
        <w:t>i de abrogare a anumitor directive (JO L 312, 22.11.2008, p. 3).</w:t>
      </w:r>
    </w:p>
  </w:footnote>
  <w:footnote w:id="3">
    <w:p w:rsidR="00081DBF" w:rsidRDefault="005B4A46">
      <w:pPr>
        <w:pStyle w:val="FootnoteText"/>
      </w:pPr>
      <w:r>
        <w:rPr>
          <w:rStyle w:val="FootnoteReference"/>
        </w:rPr>
        <w:footnoteRef/>
      </w:r>
      <w:r>
        <w:tab/>
        <w:t xml:space="preserve">Directiva 94/62/CE a Parlamentului European </w:t>
      </w:r>
      <w:r w:rsidR="007F645B">
        <w:t>ș</w:t>
      </w:r>
      <w:r>
        <w:t xml:space="preserve">i a Consiliului din 20 decembrie 1994 privind ambalajele </w:t>
      </w:r>
      <w:r w:rsidR="007F645B">
        <w:t>ș</w:t>
      </w:r>
      <w:r>
        <w:t>i de</w:t>
      </w:r>
      <w:r w:rsidR="007F645B">
        <w:t>ș</w:t>
      </w:r>
      <w:r>
        <w:t>eurile de ambalaje (JO L 365, 31.12.1994, p. 10).</w:t>
      </w:r>
    </w:p>
  </w:footnote>
  <w:footnote w:id="4">
    <w:p w:rsidR="00081DBF" w:rsidRDefault="005B4A46">
      <w:pPr>
        <w:pStyle w:val="FootnoteText"/>
      </w:pPr>
      <w:r>
        <w:rPr>
          <w:rStyle w:val="FootnoteReference"/>
        </w:rPr>
        <w:footnoteRef/>
      </w:r>
      <w:r>
        <w:tab/>
        <w:t>Directiva 1999/31/CE a Consiliului din 26 aprilie 1999 privind depozitele de de</w:t>
      </w:r>
      <w:r w:rsidR="007F645B">
        <w:t>ș</w:t>
      </w:r>
      <w:r>
        <w:t>euri (JO L 182, 16.7.1999, p. 1).</w:t>
      </w:r>
    </w:p>
  </w:footnote>
  <w:footnote w:id="5">
    <w:p w:rsidR="00081DBF" w:rsidRDefault="005B4A46">
      <w:pPr>
        <w:pStyle w:val="FootnoteText"/>
      </w:pPr>
      <w:r>
        <w:rPr>
          <w:rStyle w:val="FootnoteReference"/>
        </w:rPr>
        <w:footnoteRef/>
      </w:r>
      <w:r>
        <w:tab/>
        <w:t xml:space="preserve">Directiva 2000/53/CE a Parlamentului European </w:t>
      </w:r>
      <w:r w:rsidR="007F645B">
        <w:t>ș</w:t>
      </w:r>
      <w:r>
        <w:t>i a Consiliului din 18 septembrie 2000 privind vehiculele scoase din uz (JO L 269, 21.10.2000, p. 34-43).</w:t>
      </w:r>
    </w:p>
  </w:footnote>
  <w:footnote w:id="6">
    <w:p w:rsidR="00081DBF" w:rsidRDefault="005B4A46">
      <w:pPr>
        <w:pStyle w:val="FootnoteText"/>
      </w:pPr>
      <w:r>
        <w:rPr>
          <w:rStyle w:val="FootnoteReference"/>
        </w:rPr>
        <w:footnoteRef/>
      </w:r>
      <w:r>
        <w:tab/>
        <w:t xml:space="preserve">Directiva 2006/66/CE a Parlamentului European </w:t>
      </w:r>
      <w:r w:rsidR="007F645B">
        <w:t>ș</w:t>
      </w:r>
      <w:r>
        <w:t xml:space="preserve">i a Consiliului din 6 septembrie 2006 privind bateriile </w:t>
      </w:r>
      <w:r w:rsidR="007F645B">
        <w:t>ș</w:t>
      </w:r>
      <w:r>
        <w:t xml:space="preserve">i acumulatorii </w:t>
      </w:r>
      <w:r w:rsidR="007F645B">
        <w:t>ș</w:t>
      </w:r>
      <w:r>
        <w:t>i de</w:t>
      </w:r>
      <w:r w:rsidR="007F645B">
        <w:t>ș</w:t>
      </w:r>
      <w:r>
        <w:t xml:space="preserve">eurile de baterii </w:t>
      </w:r>
      <w:r w:rsidR="007F645B">
        <w:t>ș</w:t>
      </w:r>
      <w:r>
        <w:t xml:space="preserve">i acumulatori </w:t>
      </w:r>
      <w:r w:rsidR="007F645B">
        <w:t>ș</w:t>
      </w:r>
      <w:r>
        <w:t>i de abrogare a Directivei 91/157/CEE (JO L 266, 26.9.2006, p. 1-14).</w:t>
      </w:r>
    </w:p>
  </w:footnote>
  <w:footnote w:id="7">
    <w:p w:rsidR="00081DBF" w:rsidRDefault="005B4A46">
      <w:pPr>
        <w:pStyle w:val="FootnoteText"/>
      </w:pPr>
      <w:r>
        <w:rPr>
          <w:rStyle w:val="FootnoteReference"/>
        </w:rPr>
        <w:footnoteRef/>
      </w:r>
      <w:r>
        <w:tab/>
        <w:t xml:space="preserve">Directiva 2012/19/UE a Parlamentului European </w:t>
      </w:r>
      <w:r w:rsidR="007F645B">
        <w:t>ș</w:t>
      </w:r>
      <w:r>
        <w:t>i a Consiliului din 4 iulie 2012 privind de</w:t>
      </w:r>
      <w:r w:rsidR="007F645B">
        <w:t>ș</w:t>
      </w:r>
      <w:r>
        <w:t xml:space="preserve">eurile de echipamente electrice </w:t>
      </w:r>
      <w:r w:rsidR="007F645B">
        <w:t>ș</w:t>
      </w:r>
      <w:r>
        <w:t>i electronice (JO L 197, 24.7.2012, p. 38-71).</w:t>
      </w:r>
    </w:p>
  </w:footnote>
  <w:footnote w:id="8">
    <w:p w:rsidR="00081DBF" w:rsidRDefault="005B4A46">
      <w:pPr>
        <w:pStyle w:val="FootnoteText"/>
      </w:pPr>
      <w:r>
        <w:rPr>
          <w:rStyle w:val="FootnoteReference"/>
        </w:rPr>
        <w:footnoteRef/>
      </w:r>
      <w:r>
        <w:tab/>
        <w:t>COM(2011) 571.</w:t>
      </w:r>
    </w:p>
  </w:footnote>
  <w:footnote w:id="9">
    <w:p w:rsidR="00081DBF" w:rsidRDefault="005B4A46">
      <w:pPr>
        <w:pStyle w:val="FootnoteText"/>
      </w:pPr>
      <w:r>
        <w:rPr>
          <w:rStyle w:val="FootnoteReference"/>
        </w:rPr>
        <w:footnoteRef/>
      </w:r>
      <w:r>
        <w:tab/>
        <w:t xml:space="preserve">Decizia nr. 1386/2013/UE a Parlamentului European </w:t>
      </w:r>
      <w:r w:rsidR="007F645B">
        <w:t>ș</w:t>
      </w:r>
      <w:r>
        <w:t>i a Consiliului din 20 noiembrie 2013 privind un Program general al Uniunii de ac</w:t>
      </w:r>
      <w:r w:rsidR="007F645B">
        <w:t>ț</w:t>
      </w:r>
      <w:r>
        <w:t>iune pentru mediu până în 2020 „O via</w:t>
      </w:r>
      <w:r w:rsidR="007F645B">
        <w:t>ț</w:t>
      </w:r>
      <w:r>
        <w:t>ă bună, în limitele planetei noastre” (JO L 354, 28.12.2013, p. 171).</w:t>
      </w:r>
    </w:p>
  </w:footnote>
  <w:footnote w:id="10">
    <w:p w:rsidR="00081DBF" w:rsidRDefault="005B4A46">
      <w:pPr>
        <w:pStyle w:val="FootnoteText"/>
      </w:pPr>
      <w:r>
        <w:rPr>
          <w:rStyle w:val="FootnoteReference"/>
        </w:rPr>
        <w:footnoteRef/>
      </w:r>
      <w:r>
        <w:tab/>
        <w:t>Ierarhia de</w:t>
      </w:r>
      <w:r w:rsidR="007F645B">
        <w:t>ș</w:t>
      </w:r>
      <w:r>
        <w:t xml:space="preserve">eurilor acordă prioritate în primul rând prevenirii, urmată de reutilizare, de reciclare, apoi de valorificarea energetică </w:t>
      </w:r>
      <w:r w:rsidR="007F645B">
        <w:t>ș</w:t>
      </w:r>
      <w:r>
        <w:t>i de eliminare, care include stocarea de</w:t>
      </w:r>
      <w:r w:rsidR="007F645B">
        <w:t>ș</w:t>
      </w:r>
      <w:r>
        <w:t>eurilor în depozite de de</w:t>
      </w:r>
      <w:r w:rsidR="007F645B">
        <w:t>ș</w:t>
      </w:r>
      <w:r>
        <w:t xml:space="preserve">euri </w:t>
      </w:r>
      <w:r w:rsidR="007F645B">
        <w:t>ș</w:t>
      </w:r>
      <w:r>
        <w:t>i incinerarea fără valorificare energetică.</w:t>
      </w:r>
    </w:p>
  </w:footnote>
  <w:footnote w:id="11">
    <w:p w:rsidR="00081DBF" w:rsidRDefault="005B4A46">
      <w:pPr>
        <w:pStyle w:val="FootnoteText"/>
        <w:rPr>
          <w:lang w:val="pt-PT"/>
        </w:rPr>
      </w:pPr>
      <w:r>
        <w:rPr>
          <w:rStyle w:val="FootnoteReference"/>
        </w:rPr>
        <w:footnoteRef/>
      </w:r>
      <w:r>
        <w:tab/>
        <w:t xml:space="preserve">COM(2008) 699 </w:t>
      </w:r>
      <w:r w:rsidR="007F645B">
        <w:t>ș</w:t>
      </w:r>
      <w:r>
        <w:t>i COM(2014) 297.</w:t>
      </w:r>
    </w:p>
  </w:footnote>
  <w:footnote w:id="12">
    <w:p w:rsidR="00081DBF" w:rsidRDefault="005B4A46">
      <w:pPr>
        <w:pStyle w:val="FootnoteText"/>
        <w:rPr>
          <w:lang w:val="pt-PT"/>
        </w:rPr>
      </w:pPr>
      <w:r>
        <w:rPr>
          <w:rStyle w:val="FootnoteReference"/>
        </w:rPr>
        <w:footnoteRef/>
      </w:r>
      <w:r>
        <w:tab/>
        <w:t>COM(2014) 397.</w:t>
      </w:r>
    </w:p>
  </w:footnote>
  <w:footnote w:id="13">
    <w:p w:rsidR="00081DBF" w:rsidRDefault="005B4A46">
      <w:pPr>
        <w:pStyle w:val="FootnoteText"/>
        <w:rPr>
          <w:lang w:val="pt-PT"/>
        </w:rPr>
      </w:pPr>
      <w:r>
        <w:rPr>
          <w:rStyle w:val="FootnoteReference"/>
        </w:rPr>
        <w:footnoteRef/>
      </w:r>
      <w:r>
        <w:tab/>
        <w:t>JO C , , p. .</w:t>
      </w:r>
    </w:p>
  </w:footnote>
  <w:footnote w:id="14">
    <w:p w:rsidR="00081DBF" w:rsidRDefault="005B4A46">
      <w:pPr>
        <w:pStyle w:val="FootnoteText"/>
      </w:pPr>
      <w:r>
        <w:rPr>
          <w:rStyle w:val="FootnoteReference"/>
        </w:rPr>
        <w:footnoteRef/>
      </w:r>
      <w:r>
        <w:tab/>
        <w:t xml:space="preserve">Directiva 94/62/CE a Parlamentului European </w:t>
      </w:r>
      <w:r w:rsidR="007F645B">
        <w:t>ș</w:t>
      </w:r>
      <w:r>
        <w:t xml:space="preserve">i a Consiliului din 20 decembrie 1994 privind ambalajele </w:t>
      </w:r>
      <w:r w:rsidR="007F645B">
        <w:t>ș</w:t>
      </w:r>
      <w:r>
        <w:t>i de</w:t>
      </w:r>
      <w:r w:rsidR="007F645B">
        <w:t>ș</w:t>
      </w:r>
      <w:r>
        <w:t>eurile de ambalaje (JO L 365, 31.12.1994, p. 10).</w:t>
      </w:r>
    </w:p>
  </w:footnote>
  <w:footnote w:id="15">
    <w:p w:rsidR="00081DBF" w:rsidRDefault="005B4A46">
      <w:pPr>
        <w:pStyle w:val="FootnoteText"/>
      </w:pPr>
      <w:r>
        <w:rPr>
          <w:rStyle w:val="FootnoteReference"/>
        </w:rPr>
        <w:footnoteRef/>
      </w:r>
      <w:r>
        <w:tab/>
        <w:t xml:space="preserve">Directiva 2008/98/CE a Parlamentului European </w:t>
      </w:r>
      <w:r w:rsidR="007F645B">
        <w:t>ș</w:t>
      </w:r>
      <w:r>
        <w:t>i a Consiliului din 19 noiembrie 2008 privind de</w:t>
      </w:r>
      <w:r w:rsidR="007F645B">
        <w:t>ș</w:t>
      </w:r>
      <w:r>
        <w:t xml:space="preserve">eurile </w:t>
      </w:r>
      <w:r w:rsidR="007F645B">
        <w:t>ș</w:t>
      </w:r>
      <w:r>
        <w:t>i de abrogare a anumitor directive (JO L 312, 22.11.2008, p. 3).</w:t>
      </w:r>
    </w:p>
  </w:footnote>
  <w:footnote w:id="16">
    <w:p w:rsidR="00081DBF" w:rsidRDefault="005B4A46">
      <w:pPr>
        <w:pStyle w:val="FootnoteText"/>
      </w:pPr>
      <w:r>
        <w:rPr>
          <w:rStyle w:val="FootnoteReference"/>
        </w:rPr>
        <w:footnoteRef/>
      </w:r>
      <w:r>
        <w:tab/>
        <w:t>COM(2013) 442.</w:t>
      </w:r>
    </w:p>
  </w:footnote>
  <w:footnote w:id="17">
    <w:p w:rsidR="00081DBF" w:rsidRDefault="005B4A46">
      <w:pPr>
        <w:pStyle w:val="FootnoteText"/>
      </w:pPr>
      <w:r>
        <w:rPr>
          <w:rStyle w:val="FootnoteReference"/>
        </w:rPr>
        <w:footnoteRef/>
      </w:r>
      <w:r>
        <w:tab/>
        <w:t xml:space="preserve">Regulamentul (UE) nr. 182/2011 al Parlamentului European </w:t>
      </w:r>
      <w:r w:rsidR="007F645B">
        <w:t>ș</w:t>
      </w:r>
      <w:r>
        <w:t xml:space="preserve">i al Consiliului din 16 februarie 2011 de stabilire a normelor </w:t>
      </w:r>
      <w:r w:rsidR="007F645B">
        <w:t>ș</w:t>
      </w:r>
      <w:r>
        <w:t>i principiilor generale privind mecanismele de control de către statele membre al exercitării competen</w:t>
      </w:r>
      <w:r w:rsidR="007F645B">
        <w:t>ț</w:t>
      </w:r>
      <w:r>
        <w:t>elor de executare de către Comisie (JO L 55, 28.2.2011, p. 13).</w:t>
      </w:r>
    </w:p>
  </w:footnote>
  <w:footnote w:id="18">
    <w:p w:rsidR="00081DBF" w:rsidRDefault="005B4A46">
      <w:pPr>
        <w:pStyle w:val="FootnoteText"/>
        <w:rPr>
          <w:lang w:val="sl-SI"/>
        </w:rPr>
      </w:pPr>
      <w:r>
        <w:rPr>
          <w:rStyle w:val="FootnoteReference"/>
        </w:rPr>
        <w:footnoteRef/>
      </w:r>
      <w:r>
        <w:tab/>
        <w:t>JO C 369, 17.12.2011, p.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F8C" w:rsidRPr="00570F8C" w:rsidRDefault="00570F8C" w:rsidP="00570F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F8C" w:rsidRPr="00570F8C" w:rsidRDefault="00570F8C" w:rsidP="00570F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F8C" w:rsidRPr="00570F8C" w:rsidRDefault="00570F8C" w:rsidP="00570F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51ECB6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22C2F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41B4084E"/>
    <w:lvl w:ilvl="0">
      <w:start w:val="1"/>
      <w:numFmt w:val="decimal"/>
      <w:pStyle w:val="ListNumber2"/>
      <w:lvlText w:val="%1."/>
      <w:lvlJc w:val="left"/>
      <w:pPr>
        <w:tabs>
          <w:tab w:val="num" w:pos="643"/>
        </w:tabs>
        <w:ind w:left="643" w:hanging="360"/>
      </w:pPr>
    </w:lvl>
  </w:abstractNum>
  <w:abstractNum w:abstractNumId="3">
    <w:nsid w:val="FFFFFF81"/>
    <w:multiLevelType w:val="singleLevel"/>
    <w:tmpl w:val="47620D6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F62362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A334946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DBAB3C4"/>
    <w:lvl w:ilvl="0">
      <w:start w:val="1"/>
      <w:numFmt w:val="decimal"/>
      <w:pStyle w:val="ListNumber"/>
      <w:lvlText w:val="%1."/>
      <w:lvlJc w:val="left"/>
      <w:pPr>
        <w:tabs>
          <w:tab w:val="num" w:pos="360"/>
        </w:tabs>
        <w:ind w:left="360" w:hanging="360"/>
      </w:pPr>
    </w:lvl>
  </w:abstractNum>
  <w:abstractNum w:abstractNumId="7">
    <w:nsid w:val="FFFFFF89"/>
    <w:multiLevelType w:val="singleLevel"/>
    <w:tmpl w:val="5D3EB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num>
  <w:num w:numId="10">
    <w:abstractNumId w:val="18"/>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attachedTemplate r:id="rId1"/>
  <w:defaultTabStop w:val="720"/>
  <w:drawingGridHorizontalSpacing w:val="120"/>
  <w:displayHorizontalDrawingGridEvery w:val="2"/>
  <w:characterSpacingControl w:val="doNotCompress"/>
  <w:hdrShapeDefaults>
    <o:shapedefaults v:ext="edit" spidmax="542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04 11:46:5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4"/>
    <w:docVar w:name="DQCResult_ModifiedMarkers" w:val="0;0"/>
    <w:docVar w:name="DQCResult_ModifiedNumbering" w:val="0;0"/>
    <w:docVar w:name="DQCResult_Objects" w:val="0;0"/>
    <w:docVar w:name="DQCResult_Sections" w:val="0;0"/>
    <w:docVar w:name="DQCResult_StructureCheck" w:val="0;0"/>
    <w:docVar w:name="DQCResult_SuperfluousWhitespace" w:val="0;7"/>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4AA6DB7648A346FB80111F933CD889A5"/>
    <w:docVar w:name="LW_CROSSREFERENCE" w:val="{SWD(2015) 259 final}_x000a_{SWD(2015) 260 final}"/>
    <w:docVar w:name="LW_DocType" w:val="COM"/>
    <w:docVar w:name="LW_EMISSION" w:val="2.12.2015"/>
    <w:docVar w:name="LW_EMISSION_ISODATE" w:val="2015-12-02"/>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76"/>
    <w:docVar w:name="LW_REF.II.NEW.CP_YEAR" w:val="2015"/>
    <w:docVar w:name="LW_REF.INST.NEW" w:val="COM"/>
    <w:docVar w:name="LW_REF.INST.NEW_ADOPTED" w:val="final"/>
    <w:docVar w:name="LW_REF.INST.NEW_TEXT" w:val="(2015) 596"/>
    <w:docVar w:name="LW_REF.INTERNE" w:val="&lt;UNUSED&gt;"/>
    <w:docVar w:name="LW_SOUS.TITRE.OBJ.CP" w:val="&lt;UNUSED&gt;"/>
    <w:docVar w:name="LW_STATUT.CP" w:val="Propunere de"/>
    <w:docVar w:name="LW_SUPERTITRE" w:val="&lt;UNUSED&gt;"/>
    <w:docVar w:name="LW_TITRE.OBJ.CP" w:val="de modificare a Directivei 94/62/CE privind ambalajele \u537?i de\u537?eurile de ambalaje"/>
    <w:docVar w:name="LW_TYPE.DOC.CP" w:val="DIRECTIV\u258? A PARLAMENTULUI EUROPEAN \u350?I A CONSILIULUI"/>
  </w:docVars>
  <w:rsids>
    <w:rsidRoot w:val="00081DBF"/>
    <w:rsid w:val="00021B3A"/>
    <w:rsid w:val="00034A7B"/>
    <w:rsid w:val="000736BA"/>
    <w:rsid w:val="00081DBF"/>
    <w:rsid w:val="000B34B5"/>
    <w:rsid w:val="00116B7C"/>
    <w:rsid w:val="0012644B"/>
    <w:rsid w:val="001538DD"/>
    <w:rsid w:val="00180BCF"/>
    <w:rsid w:val="001C5C51"/>
    <w:rsid w:val="001F4DD2"/>
    <w:rsid w:val="0024790D"/>
    <w:rsid w:val="0026249D"/>
    <w:rsid w:val="002725A3"/>
    <w:rsid w:val="0035677C"/>
    <w:rsid w:val="00387BF7"/>
    <w:rsid w:val="004158E4"/>
    <w:rsid w:val="00435B7D"/>
    <w:rsid w:val="004F01E3"/>
    <w:rsid w:val="00570F8C"/>
    <w:rsid w:val="005B4A46"/>
    <w:rsid w:val="006D764F"/>
    <w:rsid w:val="00733EBB"/>
    <w:rsid w:val="007F645B"/>
    <w:rsid w:val="00891719"/>
    <w:rsid w:val="00896327"/>
    <w:rsid w:val="00964C80"/>
    <w:rsid w:val="0098527B"/>
    <w:rsid w:val="009C0E8F"/>
    <w:rsid w:val="00A06F69"/>
    <w:rsid w:val="00A41E87"/>
    <w:rsid w:val="00A428B3"/>
    <w:rsid w:val="00A839A1"/>
    <w:rsid w:val="00AB449E"/>
    <w:rsid w:val="00AD4B07"/>
    <w:rsid w:val="00AF3B0C"/>
    <w:rsid w:val="00B54256"/>
    <w:rsid w:val="00B60121"/>
    <w:rsid w:val="00BD1DB7"/>
    <w:rsid w:val="00C04CF3"/>
    <w:rsid w:val="00CD6689"/>
    <w:rsid w:val="00D661FA"/>
    <w:rsid w:val="00D77C6E"/>
    <w:rsid w:val="00E23E10"/>
    <w:rsid w:val="00ED08D9"/>
    <w:rsid w:val="00EE340B"/>
    <w:rsid w:val="00FB4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customStyle="1" w:styleId="ColorfulShading-Accent11">
    <w:name w:val="Colorful Shading - Accent 11"/>
    <w:hidden/>
    <w:uiPriority w:val="99"/>
    <w:semiHidden/>
    <w:rPr>
      <w:rFonts w:ascii="Times New Roman" w:hAnsi="Times New Roman" w:cs="Times New Roman"/>
      <w:sz w:val="24"/>
    </w:rPr>
  </w:style>
  <w:style w:type="character" w:styleId="Strong">
    <w:name w:val="Strong"/>
    <w:uiPriority w:val="22"/>
    <w:qFormat/>
    <w:rPr>
      <w:b/>
      <w:bCs/>
    </w:rPr>
  </w:style>
  <w:style w:type="paragraph" w:styleId="Header">
    <w:name w:val="header"/>
    <w:basedOn w:val="Normal"/>
    <w:link w:val="HeaderChar"/>
    <w:uiPriority w:val="99"/>
    <w:unhideWhenUsed/>
    <w:rsid w:val="00570F8C"/>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570F8C"/>
    <w:rPr>
      <w:rFonts w:ascii="Times New Roman" w:eastAsiaTheme="minorHAnsi"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570F8C"/>
    <w:pPr>
      <w:tabs>
        <w:tab w:val="center" w:pos="7285"/>
        <w:tab w:val="right" w:pos="14003"/>
      </w:tabs>
      <w:spacing w:before="0"/>
    </w:pPr>
    <w:rPr>
      <w:rFonts w:eastAsiaTheme="minorHAnsi"/>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5"/>
      </w:numPr>
    </w:pPr>
  </w:style>
  <w:style w:type="paragraph" w:customStyle="1" w:styleId="Tiret1">
    <w:name w:val="Tiret 1"/>
    <w:basedOn w:val="Point1"/>
    <w:rsid w:val="007D53B6"/>
    <w:pPr>
      <w:numPr>
        <w:numId w:val="26"/>
      </w:numPr>
    </w:pPr>
  </w:style>
  <w:style w:type="paragraph" w:customStyle="1" w:styleId="Tiret2">
    <w:name w:val="Tiret 2"/>
    <w:basedOn w:val="Point2"/>
    <w:rsid w:val="007D53B6"/>
    <w:pPr>
      <w:numPr>
        <w:numId w:val="27"/>
      </w:numPr>
    </w:pPr>
  </w:style>
  <w:style w:type="paragraph" w:customStyle="1" w:styleId="Tiret3">
    <w:name w:val="Tiret 3"/>
    <w:basedOn w:val="Point3"/>
    <w:rsid w:val="007D53B6"/>
    <w:pPr>
      <w:numPr>
        <w:numId w:val="28"/>
      </w:numPr>
    </w:pPr>
  </w:style>
  <w:style w:type="paragraph" w:customStyle="1" w:styleId="Tiret4">
    <w:name w:val="Tiret 4"/>
    <w:basedOn w:val="Point4"/>
    <w:rsid w:val="007D53B6"/>
    <w:pPr>
      <w:numPr>
        <w:numId w:val="29"/>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30"/>
      </w:numPr>
    </w:pPr>
  </w:style>
  <w:style w:type="paragraph" w:customStyle="1" w:styleId="NumPar2">
    <w:name w:val="NumPar 2"/>
    <w:basedOn w:val="Normal"/>
    <w:next w:val="Text1"/>
    <w:rsid w:val="007D53B6"/>
    <w:pPr>
      <w:numPr>
        <w:ilvl w:val="1"/>
        <w:numId w:val="30"/>
      </w:numPr>
    </w:pPr>
  </w:style>
  <w:style w:type="paragraph" w:customStyle="1" w:styleId="NumPar3">
    <w:name w:val="NumPar 3"/>
    <w:basedOn w:val="Normal"/>
    <w:next w:val="Text1"/>
    <w:rsid w:val="007D53B6"/>
    <w:pPr>
      <w:numPr>
        <w:ilvl w:val="2"/>
        <w:numId w:val="30"/>
      </w:numPr>
    </w:pPr>
  </w:style>
  <w:style w:type="paragraph" w:customStyle="1" w:styleId="NumPar4">
    <w:name w:val="NumPar 4"/>
    <w:basedOn w:val="Normal"/>
    <w:next w:val="Text1"/>
    <w:rsid w:val="007D53B6"/>
    <w:pPr>
      <w:numPr>
        <w:ilvl w:val="3"/>
        <w:numId w:val="30"/>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32"/>
      </w:numPr>
    </w:pPr>
  </w:style>
  <w:style w:type="paragraph" w:customStyle="1" w:styleId="Point1number">
    <w:name w:val="Point 1 (number)"/>
    <w:basedOn w:val="Normal"/>
    <w:rsid w:val="007D53B6"/>
    <w:pPr>
      <w:numPr>
        <w:ilvl w:val="2"/>
        <w:numId w:val="32"/>
      </w:numPr>
    </w:pPr>
  </w:style>
  <w:style w:type="paragraph" w:customStyle="1" w:styleId="Point2number">
    <w:name w:val="Point 2 (number)"/>
    <w:basedOn w:val="Normal"/>
    <w:rsid w:val="007D53B6"/>
    <w:pPr>
      <w:numPr>
        <w:ilvl w:val="4"/>
        <w:numId w:val="32"/>
      </w:numPr>
    </w:pPr>
  </w:style>
  <w:style w:type="paragraph" w:customStyle="1" w:styleId="Point3number">
    <w:name w:val="Point 3 (number)"/>
    <w:basedOn w:val="Normal"/>
    <w:rsid w:val="007D53B6"/>
    <w:pPr>
      <w:numPr>
        <w:ilvl w:val="6"/>
        <w:numId w:val="32"/>
      </w:numPr>
    </w:pPr>
  </w:style>
  <w:style w:type="paragraph" w:customStyle="1" w:styleId="Point0letter">
    <w:name w:val="Point 0 (letter)"/>
    <w:basedOn w:val="Normal"/>
    <w:rsid w:val="007D53B6"/>
    <w:pPr>
      <w:numPr>
        <w:ilvl w:val="1"/>
        <w:numId w:val="32"/>
      </w:numPr>
    </w:pPr>
  </w:style>
  <w:style w:type="paragraph" w:customStyle="1" w:styleId="Point1letter">
    <w:name w:val="Point 1 (letter)"/>
    <w:basedOn w:val="Normal"/>
    <w:rsid w:val="007D53B6"/>
    <w:pPr>
      <w:numPr>
        <w:ilvl w:val="3"/>
        <w:numId w:val="32"/>
      </w:numPr>
    </w:pPr>
  </w:style>
  <w:style w:type="paragraph" w:customStyle="1" w:styleId="Point2letter">
    <w:name w:val="Point 2 (letter)"/>
    <w:basedOn w:val="Normal"/>
    <w:rsid w:val="007D53B6"/>
    <w:pPr>
      <w:numPr>
        <w:ilvl w:val="5"/>
        <w:numId w:val="32"/>
      </w:numPr>
    </w:pPr>
  </w:style>
  <w:style w:type="paragraph" w:customStyle="1" w:styleId="Point3letter">
    <w:name w:val="Point 3 (letter)"/>
    <w:basedOn w:val="Normal"/>
    <w:rsid w:val="007D53B6"/>
    <w:pPr>
      <w:numPr>
        <w:ilvl w:val="7"/>
        <w:numId w:val="32"/>
      </w:numPr>
    </w:pPr>
  </w:style>
  <w:style w:type="paragraph" w:customStyle="1" w:styleId="Point4letter">
    <w:name w:val="Point 4 (letter)"/>
    <w:basedOn w:val="Normal"/>
    <w:rsid w:val="007D53B6"/>
    <w:pPr>
      <w:numPr>
        <w:ilvl w:val="8"/>
        <w:numId w:val="32"/>
      </w:numPr>
    </w:pPr>
  </w:style>
  <w:style w:type="paragraph" w:customStyle="1" w:styleId="Bullet0">
    <w:name w:val="Bullet 0"/>
    <w:basedOn w:val="Normal"/>
    <w:rsid w:val="007D53B6"/>
    <w:pPr>
      <w:numPr>
        <w:numId w:val="33"/>
      </w:numPr>
    </w:pPr>
  </w:style>
  <w:style w:type="paragraph" w:customStyle="1" w:styleId="Bullet1">
    <w:name w:val="Bullet 1"/>
    <w:basedOn w:val="Normal"/>
    <w:rsid w:val="007D53B6"/>
    <w:pPr>
      <w:numPr>
        <w:numId w:val="34"/>
      </w:numPr>
    </w:pPr>
  </w:style>
  <w:style w:type="paragraph" w:customStyle="1" w:styleId="Bullet2">
    <w:name w:val="Bullet 2"/>
    <w:basedOn w:val="Normal"/>
    <w:rsid w:val="007D53B6"/>
    <w:pPr>
      <w:numPr>
        <w:numId w:val="35"/>
      </w:numPr>
    </w:pPr>
  </w:style>
  <w:style w:type="paragraph" w:customStyle="1" w:styleId="Bullet3">
    <w:name w:val="Bullet 3"/>
    <w:basedOn w:val="Normal"/>
    <w:rsid w:val="007D53B6"/>
    <w:pPr>
      <w:numPr>
        <w:numId w:val="36"/>
      </w:numPr>
    </w:pPr>
  </w:style>
  <w:style w:type="paragraph" w:customStyle="1" w:styleId="Bullet4">
    <w:name w:val="Bullet 4"/>
    <w:basedOn w:val="Normal"/>
    <w:rsid w:val="007D53B6"/>
    <w:pPr>
      <w:numPr>
        <w:numId w:val="37"/>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8"/>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customStyle="1" w:styleId="ColorfulShading-Accent11">
    <w:name w:val="Colorful Shading - Accent 11"/>
    <w:hidden/>
    <w:uiPriority w:val="99"/>
    <w:semiHidden/>
    <w:rPr>
      <w:rFonts w:ascii="Times New Roman" w:hAnsi="Times New Roman" w:cs="Times New Roman"/>
      <w:sz w:val="24"/>
    </w:rPr>
  </w:style>
  <w:style w:type="character" w:styleId="Strong">
    <w:name w:val="Strong"/>
    <w:uiPriority w:val="22"/>
    <w:qFormat/>
    <w:rPr>
      <w:b/>
      <w:bCs/>
    </w:rPr>
  </w:style>
  <w:style w:type="paragraph" w:styleId="Header">
    <w:name w:val="header"/>
    <w:basedOn w:val="Normal"/>
    <w:link w:val="HeaderChar"/>
    <w:uiPriority w:val="99"/>
    <w:unhideWhenUsed/>
    <w:rsid w:val="00570F8C"/>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570F8C"/>
    <w:rPr>
      <w:rFonts w:ascii="Times New Roman" w:eastAsiaTheme="minorHAnsi"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570F8C"/>
    <w:pPr>
      <w:tabs>
        <w:tab w:val="center" w:pos="7285"/>
        <w:tab w:val="right" w:pos="14003"/>
      </w:tabs>
      <w:spacing w:before="0"/>
    </w:pPr>
    <w:rPr>
      <w:rFonts w:eastAsiaTheme="minorHAnsi"/>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5"/>
      </w:numPr>
    </w:pPr>
  </w:style>
  <w:style w:type="paragraph" w:customStyle="1" w:styleId="Tiret1">
    <w:name w:val="Tiret 1"/>
    <w:basedOn w:val="Point1"/>
    <w:rsid w:val="007D53B6"/>
    <w:pPr>
      <w:numPr>
        <w:numId w:val="26"/>
      </w:numPr>
    </w:pPr>
  </w:style>
  <w:style w:type="paragraph" w:customStyle="1" w:styleId="Tiret2">
    <w:name w:val="Tiret 2"/>
    <w:basedOn w:val="Point2"/>
    <w:rsid w:val="007D53B6"/>
    <w:pPr>
      <w:numPr>
        <w:numId w:val="27"/>
      </w:numPr>
    </w:pPr>
  </w:style>
  <w:style w:type="paragraph" w:customStyle="1" w:styleId="Tiret3">
    <w:name w:val="Tiret 3"/>
    <w:basedOn w:val="Point3"/>
    <w:rsid w:val="007D53B6"/>
    <w:pPr>
      <w:numPr>
        <w:numId w:val="28"/>
      </w:numPr>
    </w:pPr>
  </w:style>
  <w:style w:type="paragraph" w:customStyle="1" w:styleId="Tiret4">
    <w:name w:val="Tiret 4"/>
    <w:basedOn w:val="Point4"/>
    <w:rsid w:val="007D53B6"/>
    <w:pPr>
      <w:numPr>
        <w:numId w:val="29"/>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30"/>
      </w:numPr>
    </w:pPr>
  </w:style>
  <w:style w:type="paragraph" w:customStyle="1" w:styleId="NumPar2">
    <w:name w:val="NumPar 2"/>
    <w:basedOn w:val="Normal"/>
    <w:next w:val="Text1"/>
    <w:rsid w:val="007D53B6"/>
    <w:pPr>
      <w:numPr>
        <w:ilvl w:val="1"/>
        <w:numId w:val="30"/>
      </w:numPr>
    </w:pPr>
  </w:style>
  <w:style w:type="paragraph" w:customStyle="1" w:styleId="NumPar3">
    <w:name w:val="NumPar 3"/>
    <w:basedOn w:val="Normal"/>
    <w:next w:val="Text1"/>
    <w:rsid w:val="007D53B6"/>
    <w:pPr>
      <w:numPr>
        <w:ilvl w:val="2"/>
        <w:numId w:val="30"/>
      </w:numPr>
    </w:pPr>
  </w:style>
  <w:style w:type="paragraph" w:customStyle="1" w:styleId="NumPar4">
    <w:name w:val="NumPar 4"/>
    <w:basedOn w:val="Normal"/>
    <w:next w:val="Text1"/>
    <w:rsid w:val="007D53B6"/>
    <w:pPr>
      <w:numPr>
        <w:ilvl w:val="3"/>
        <w:numId w:val="30"/>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32"/>
      </w:numPr>
    </w:pPr>
  </w:style>
  <w:style w:type="paragraph" w:customStyle="1" w:styleId="Point1number">
    <w:name w:val="Point 1 (number)"/>
    <w:basedOn w:val="Normal"/>
    <w:rsid w:val="007D53B6"/>
    <w:pPr>
      <w:numPr>
        <w:ilvl w:val="2"/>
        <w:numId w:val="32"/>
      </w:numPr>
    </w:pPr>
  </w:style>
  <w:style w:type="paragraph" w:customStyle="1" w:styleId="Point2number">
    <w:name w:val="Point 2 (number)"/>
    <w:basedOn w:val="Normal"/>
    <w:rsid w:val="007D53B6"/>
    <w:pPr>
      <w:numPr>
        <w:ilvl w:val="4"/>
        <w:numId w:val="32"/>
      </w:numPr>
    </w:pPr>
  </w:style>
  <w:style w:type="paragraph" w:customStyle="1" w:styleId="Point3number">
    <w:name w:val="Point 3 (number)"/>
    <w:basedOn w:val="Normal"/>
    <w:rsid w:val="007D53B6"/>
    <w:pPr>
      <w:numPr>
        <w:ilvl w:val="6"/>
        <w:numId w:val="32"/>
      </w:numPr>
    </w:pPr>
  </w:style>
  <w:style w:type="paragraph" w:customStyle="1" w:styleId="Point0letter">
    <w:name w:val="Point 0 (letter)"/>
    <w:basedOn w:val="Normal"/>
    <w:rsid w:val="007D53B6"/>
    <w:pPr>
      <w:numPr>
        <w:ilvl w:val="1"/>
        <w:numId w:val="32"/>
      </w:numPr>
    </w:pPr>
  </w:style>
  <w:style w:type="paragraph" w:customStyle="1" w:styleId="Point1letter">
    <w:name w:val="Point 1 (letter)"/>
    <w:basedOn w:val="Normal"/>
    <w:rsid w:val="007D53B6"/>
    <w:pPr>
      <w:numPr>
        <w:ilvl w:val="3"/>
        <w:numId w:val="32"/>
      </w:numPr>
    </w:pPr>
  </w:style>
  <w:style w:type="paragraph" w:customStyle="1" w:styleId="Point2letter">
    <w:name w:val="Point 2 (letter)"/>
    <w:basedOn w:val="Normal"/>
    <w:rsid w:val="007D53B6"/>
    <w:pPr>
      <w:numPr>
        <w:ilvl w:val="5"/>
        <w:numId w:val="32"/>
      </w:numPr>
    </w:pPr>
  </w:style>
  <w:style w:type="paragraph" w:customStyle="1" w:styleId="Point3letter">
    <w:name w:val="Point 3 (letter)"/>
    <w:basedOn w:val="Normal"/>
    <w:rsid w:val="007D53B6"/>
    <w:pPr>
      <w:numPr>
        <w:ilvl w:val="7"/>
        <w:numId w:val="32"/>
      </w:numPr>
    </w:pPr>
  </w:style>
  <w:style w:type="paragraph" w:customStyle="1" w:styleId="Point4letter">
    <w:name w:val="Point 4 (letter)"/>
    <w:basedOn w:val="Normal"/>
    <w:rsid w:val="007D53B6"/>
    <w:pPr>
      <w:numPr>
        <w:ilvl w:val="8"/>
        <w:numId w:val="32"/>
      </w:numPr>
    </w:pPr>
  </w:style>
  <w:style w:type="paragraph" w:customStyle="1" w:styleId="Bullet0">
    <w:name w:val="Bullet 0"/>
    <w:basedOn w:val="Normal"/>
    <w:rsid w:val="007D53B6"/>
    <w:pPr>
      <w:numPr>
        <w:numId w:val="33"/>
      </w:numPr>
    </w:pPr>
  </w:style>
  <w:style w:type="paragraph" w:customStyle="1" w:styleId="Bullet1">
    <w:name w:val="Bullet 1"/>
    <w:basedOn w:val="Normal"/>
    <w:rsid w:val="007D53B6"/>
    <w:pPr>
      <w:numPr>
        <w:numId w:val="34"/>
      </w:numPr>
    </w:pPr>
  </w:style>
  <w:style w:type="paragraph" w:customStyle="1" w:styleId="Bullet2">
    <w:name w:val="Bullet 2"/>
    <w:basedOn w:val="Normal"/>
    <w:rsid w:val="007D53B6"/>
    <w:pPr>
      <w:numPr>
        <w:numId w:val="35"/>
      </w:numPr>
    </w:pPr>
  </w:style>
  <w:style w:type="paragraph" w:customStyle="1" w:styleId="Bullet3">
    <w:name w:val="Bullet 3"/>
    <w:basedOn w:val="Normal"/>
    <w:rsid w:val="007D53B6"/>
    <w:pPr>
      <w:numPr>
        <w:numId w:val="36"/>
      </w:numPr>
    </w:pPr>
  </w:style>
  <w:style w:type="paragraph" w:customStyle="1" w:styleId="Bullet4">
    <w:name w:val="Bullet 4"/>
    <w:basedOn w:val="Normal"/>
    <w:rsid w:val="007D53B6"/>
    <w:pPr>
      <w:numPr>
        <w:numId w:val="37"/>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8"/>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07269">
      <w:bodyDiv w:val="1"/>
      <w:marLeft w:val="0"/>
      <w:marRight w:val="0"/>
      <w:marTop w:val="0"/>
      <w:marBottom w:val="0"/>
      <w:divBdr>
        <w:top w:val="none" w:sz="0" w:space="0" w:color="auto"/>
        <w:left w:val="none" w:sz="0" w:space="0" w:color="auto"/>
        <w:bottom w:val="none" w:sz="0" w:space="0" w:color="auto"/>
        <w:right w:val="none" w:sz="0" w:space="0" w:color="auto"/>
      </w:divBdr>
    </w:div>
    <w:div w:id="258947889">
      <w:bodyDiv w:val="1"/>
      <w:marLeft w:val="0"/>
      <w:marRight w:val="0"/>
      <w:marTop w:val="0"/>
      <w:marBottom w:val="0"/>
      <w:divBdr>
        <w:top w:val="none" w:sz="0" w:space="0" w:color="auto"/>
        <w:left w:val="none" w:sz="0" w:space="0" w:color="auto"/>
        <w:bottom w:val="none" w:sz="0" w:space="0" w:color="auto"/>
        <w:right w:val="none" w:sz="0" w:space="0" w:color="auto"/>
      </w:divBdr>
    </w:div>
    <w:div w:id="522087647">
      <w:bodyDiv w:val="1"/>
      <w:marLeft w:val="0"/>
      <w:marRight w:val="0"/>
      <w:marTop w:val="0"/>
      <w:marBottom w:val="0"/>
      <w:divBdr>
        <w:top w:val="none" w:sz="0" w:space="0" w:color="auto"/>
        <w:left w:val="none" w:sz="0" w:space="0" w:color="auto"/>
        <w:bottom w:val="none" w:sz="0" w:space="0" w:color="auto"/>
        <w:right w:val="none" w:sz="0" w:space="0" w:color="auto"/>
      </w:divBdr>
    </w:div>
    <w:div w:id="1896812593">
      <w:bodyDiv w:val="1"/>
      <w:marLeft w:val="0"/>
      <w:marRight w:val="0"/>
      <w:marTop w:val="0"/>
      <w:marBottom w:val="0"/>
      <w:divBdr>
        <w:top w:val="none" w:sz="0" w:space="0" w:color="auto"/>
        <w:left w:val="none" w:sz="0" w:space="0" w:color="auto"/>
        <w:bottom w:val="none" w:sz="0" w:space="0" w:color="auto"/>
        <w:right w:val="none" w:sz="0" w:space="0" w:color="auto"/>
      </w:divBdr>
    </w:div>
    <w:div w:id="2033651788">
      <w:bodyDiv w:val="1"/>
      <w:marLeft w:val="0"/>
      <w:marRight w:val="0"/>
      <w:marTop w:val="0"/>
      <w:marBottom w:val="0"/>
      <w:divBdr>
        <w:top w:val="none" w:sz="0" w:space="0" w:color="auto"/>
        <w:left w:val="none" w:sz="0" w:space="0" w:color="auto"/>
        <w:bottom w:val="none" w:sz="0" w:space="0" w:color="auto"/>
        <w:right w:val="none" w:sz="0" w:space="0" w:color="auto"/>
      </w:divBdr>
    </w:div>
    <w:div w:id="211505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0A24C-DF3C-4F2F-A8DF-7760B7A24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17</Pages>
  <Words>6399</Words>
  <Characters>38205</Characters>
  <Application>Microsoft Office Word</Application>
  <DocSecurity>0</DocSecurity>
  <Lines>658</Lines>
  <Paragraphs>268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4</cp:revision>
  <cp:lastPrinted>2015-11-23T14:03:00Z</cp:lastPrinted>
  <dcterms:created xsi:type="dcterms:W3CDTF">2015-12-04T10:46:00Z</dcterms:created>
  <dcterms:modified xsi:type="dcterms:W3CDTF">2015-12-07T10:09:00Z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LWCR Document">
    <vt:lpwstr>True</vt:lpwstr>
  </property>
  <property fmtid="{D5CDD505-2E9C-101B-9397-08002B2CF9AE}" pid="11" name="LWCR Version">
    <vt:lpwstr>1.6.413</vt:lpwstr>
  </property>
  <property fmtid="{D5CDD505-2E9C-101B-9397-08002B2CF9AE}" pid="12" name="_NewReviewCycle">
    <vt:lpwstr/>
  </property>
  <property fmtid="{D5CDD505-2E9C-101B-9397-08002B2CF9AE}" pid="13" name="DQCStatus">
    <vt:lpwstr>Yellow (DQC version 03)</vt:lpwstr>
  </property>
</Properties>
</file>