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06C7" w:rsidRDefault="00334C44">
      <w:pPr>
        <w:pStyle w:val="Pagedecouverture"/>
        <w:rPr>
          <w:noProof/>
        </w:rPr>
      </w:pPr>
      <w:bookmarkStart w:id="0" w:name="LW_BM_COVERPAGE"/>
      <w:bookmarkStart w:id="1" w:name="_GoBack"/>
      <w:bookmarkEnd w:id="1"/>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FFA714ABDF4149C49BB2652CEE1FCA81" style="width:451.45pt;height:321.1pt">
            <v:imagedata r:id="rId9" o:title=""/>
          </v:shape>
        </w:pict>
      </w:r>
    </w:p>
    <w:bookmarkEnd w:id="0"/>
    <w:p w:rsidR="002A06C7" w:rsidRDefault="002A06C7">
      <w:pPr>
        <w:rPr>
          <w:noProof/>
        </w:rPr>
        <w:sectPr w:rsidR="002A06C7">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26"/>
        </w:sectPr>
      </w:pPr>
    </w:p>
    <w:p w:rsidR="002A06C7" w:rsidRDefault="00334C44">
      <w:pPr>
        <w:pStyle w:val="Heading1"/>
        <w:ind w:left="482" w:hanging="482"/>
        <w:rPr>
          <w:noProof/>
        </w:rPr>
      </w:pPr>
      <w:r>
        <w:rPr>
          <w:noProof/>
        </w:rPr>
        <w:lastRenderedPageBreak/>
        <w:t xml:space="preserve">INTRODUCTION </w:t>
      </w:r>
    </w:p>
    <w:p w:rsidR="002A06C7" w:rsidRDefault="00334C44">
      <w:pPr>
        <w:spacing w:before="240"/>
        <w:jc w:val="both"/>
        <w:rPr>
          <w:noProof/>
        </w:rPr>
      </w:pPr>
      <w:r>
        <w:rPr>
          <w:noProof/>
        </w:rPr>
        <w:t>Dans le programme européen en matière de sécurité, adopté le 28 avril 2015</w:t>
      </w:r>
      <w:r>
        <w:rPr>
          <w:rStyle w:val="FootnoteReference"/>
          <w:noProof/>
        </w:rPr>
        <w:footnoteReference w:id="1"/>
      </w:r>
      <w:r>
        <w:rPr>
          <w:noProof/>
        </w:rPr>
        <w:t xml:space="preserve">, la </w:t>
      </w:r>
      <w:r>
        <w:rPr>
          <w:noProof/>
        </w:rPr>
        <w:t>Commission a souligné la nécessité de renforcer le cadre juridique relatif aux armes à feu et de lutter contre le trafic illicite. Elle a également insisté sur la nécessité de limiter l'accès des réseaux terroristes aux substances dangereuses, notamment le</w:t>
      </w:r>
      <w:r>
        <w:rPr>
          <w:noProof/>
        </w:rPr>
        <w:t>s explosifs, ainsi que leur déploiement.</w:t>
      </w:r>
    </w:p>
    <w:p w:rsidR="002A06C7" w:rsidRDefault="00334C44">
      <w:pPr>
        <w:spacing w:before="240"/>
        <w:jc w:val="both"/>
        <w:rPr>
          <w:noProof/>
        </w:rPr>
      </w:pPr>
      <w:r>
        <w:rPr>
          <w:noProof/>
        </w:rPr>
        <w:t>Dans le sillage de ce programme européen en matière de sécurité, le 8 octobre 2015, le Conseil a invité les États membres, la Commission, Europol et Interpol à renforcer l’application des moyens mis en œuvre pour lu</w:t>
      </w:r>
      <w:r>
        <w:rPr>
          <w:noProof/>
        </w:rPr>
        <w:t>tter contre le trafic d’armes à feu</w:t>
      </w:r>
      <w:r>
        <w:rPr>
          <w:rStyle w:val="FootnoteReference"/>
          <w:noProof/>
        </w:rPr>
        <w:footnoteReference w:id="2"/>
      </w:r>
      <w:r>
        <w:rPr>
          <w:noProof/>
        </w:rPr>
        <w:t xml:space="preserve">. </w:t>
      </w:r>
    </w:p>
    <w:p w:rsidR="002A06C7" w:rsidRDefault="00334C44">
      <w:pPr>
        <w:spacing w:before="240"/>
        <w:jc w:val="both"/>
        <w:rPr>
          <w:noProof/>
        </w:rPr>
      </w:pPr>
      <w:r>
        <w:rPr>
          <w:noProof/>
        </w:rPr>
        <w:t>Le trafic illicite d’armes à feu fait partie des activités de base des groupes criminels organisés. Il représente pour eux une source essentielle de revenus, aux côtés d’autres types de trafic, comme le trafic de stup</w:t>
      </w:r>
      <w:r>
        <w:rPr>
          <w:noProof/>
        </w:rPr>
        <w:t>éfiants. Les armes à feu rendent possibles d’autres formes de criminalité et sont utilisées à des fins d’intimidation, de contrainte et de violence en bandes. Les attentats terroristes odieux perpétrés durant l’année écoulée ont montré la nécessité absolue</w:t>
      </w:r>
      <w:r>
        <w:rPr>
          <w:noProof/>
        </w:rPr>
        <w:t xml:space="preserve"> de bloquer l’accès aux armes à feu et aux explosifs, en plus de celle de lutter contre la criminalité organisée. Les attaques de Paris et de Copenhague et la tentative d’attaque dans un train Thalys ont permis de constater que les réseaux terroristes se p</w:t>
      </w:r>
      <w:r>
        <w:rPr>
          <w:noProof/>
        </w:rPr>
        <w:t xml:space="preserve">rocuraient des armes et des explosifs par le biais de filières de la criminalité organisée et du marché noir. </w:t>
      </w:r>
    </w:p>
    <w:p w:rsidR="002A06C7" w:rsidRDefault="00334C44">
      <w:pPr>
        <w:spacing w:before="240"/>
        <w:jc w:val="both"/>
        <w:rPr>
          <w:noProof/>
        </w:rPr>
      </w:pPr>
      <w:r>
        <w:rPr>
          <w:noProof/>
        </w:rPr>
        <w:t>Dans ces circonstances, il est indispensable que l’Union européenne, et en particulier ses États membres, redoublent d'efforts pour parer à la me</w:t>
      </w:r>
      <w:r>
        <w:rPr>
          <w:noProof/>
        </w:rPr>
        <w:t xml:space="preserve">nace grave que le trafic illicite d’armes à feu et l’usage d’explosifs font peser sur la sécurité intérieure de l’Union </w:t>
      </w:r>
    </w:p>
    <w:p w:rsidR="002A06C7" w:rsidRDefault="00334C44">
      <w:pPr>
        <w:spacing w:before="240"/>
        <w:jc w:val="both"/>
        <w:rPr>
          <w:noProof/>
        </w:rPr>
      </w:pPr>
      <w:r>
        <w:rPr>
          <w:noProof/>
        </w:rPr>
        <w:t>Le 18 novembre 2015, la Commission a adopté un paquet de mesures destinées à renforcer le contrôle des armes à feu au sein de l’Union e</w:t>
      </w:r>
      <w:r>
        <w:rPr>
          <w:noProof/>
        </w:rPr>
        <w:t>uropéenne</w:t>
      </w:r>
      <w:r>
        <w:rPr>
          <w:rStyle w:val="FootnoteReference"/>
          <w:noProof/>
        </w:rPr>
        <w:footnoteReference w:id="3"/>
      </w:r>
      <w:r>
        <w:rPr>
          <w:noProof/>
        </w:rPr>
        <w:t xml:space="preserve">. L'étape suivante doit consistera à améliorer la </w:t>
      </w:r>
      <w:r>
        <w:rPr>
          <w:b/>
          <w:noProof/>
        </w:rPr>
        <w:t>coopération opérationnelle</w:t>
      </w:r>
      <w:r>
        <w:rPr>
          <w:noProof/>
        </w:rPr>
        <w:t xml:space="preserve"> à l'échelle de l’UE, entre États membres et avec les pays tiers. </w:t>
      </w:r>
    </w:p>
    <w:p w:rsidR="002A06C7" w:rsidRDefault="00334C44">
      <w:pPr>
        <w:spacing w:before="240"/>
        <w:jc w:val="both"/>
        <w:rPr>
          <w:noProof/>
        </w:rPr>
      </w:pPr>
      <w:r>
        <w:rPr>
          <w:noProof/>
        </w:rPr>
        <w:t>La présente communication décrit une série d’actions spécifiques indispensables pour mettre en œuvre le</w:t>
      </w:r>
      <w:r>
        <w:rPr>
          <w:noProof/>
        </w:rPr>
        <w:t xml:space="preserve"> programme européen en matière de sécurité dans le domaine du trafic des armes à feu et des explosifs, en s’appuyant également sur le plan d’action opérationnel 2016</w:t>
      </w:r>
      <w:r>
        <w:rPr>
          <w:rStyle w:val="FootnoteReference"/>
          <w:noProof/>
        </w:rPr>
        <w:footnoteReference w:id="4"/>
      </w:r>
      <w:r>
        <w:rPr>
          <w:noProof/>
        </w:rPr>
        <w:t xml:space="preserve"> adopté au titre du cycle politique de l’UE</w:t>
      </w:r>
      <w:r>
        <w:rPr>
          <w:rStyle w:val="FootnoteReference"/>
          <w:noProof/>
        </w:rPr>
        <w:footnoteReference w:id="5"/>
      </w:r>
      <w:r>
        <w:rPr>
          <w:noProof/>
        </w:rPr>
        <w:t>.</w:t>
      </w:r>
    </w:p>
    <w:p w:rsidR="002A06C7" w:rsidRDefault="00334C44">
      <w:pPr>
        <w:pStyle w:val="Heading1"/>
        <w:ind w:left="482" w:hanging="482"/>
        <w:rPr>
          <w:b w:val="0"/>
          <w:bCs/>
          <w:caps/>
          <w:noProof/>
        </w:rPr>
      </w:pPr>
      <w:r>
        <w:rPr>
          <w:caps/>
          <w:noProof/>
        </w:rPr>
        <w:t>Limiter l’accès aux armes à feu et aux explo</w:t>
      </w:r>
      <w:r>
        <w:rPr>
          <w:caps/>
          <w:noProof/>
        </w:rPr>
        <w:t>sifs illicites</w:t>
      </w:r>
    </w:p>
    <w:p w:rsidR="002A06C7" w:rsidRDefault="00334C44">
      <w:pPr>
        <w:spacing w:before="240"/>
        <w:jc w:val="both"/>
        <w:rPr>
          <w:noProof/>
        </w:rPr>
      </w:pPr>
      <w:r>
        <w:rPr>
          <w:noProof/>
        </w:rPr>
        <w:t>Malgré la législation existante au niveau de l’UE, l'accès aux armes à feu, aux explosifs et aux précurseurs d’explosifs</w:t>
      </w:r>
      <w:r>
        <w:rPr>
          <w:rStyle w:val="FootnoteReference"/>
          <w:noProof/>
        </w:rPr>
        <w:footnoteReference w:id="6"/>
      </w:r>
      <w:r>
        <w:rPr>
          <w:noProof/>
        </w:rPr>
        <w:t xml:space="preserve"> demeure encore trop facile. À l’accès par le biais de filières illicites se sont ajoutées les offres d’armes disponible</w:t>
      </w:r>
      <w:r>
        <w:rPr>
          <w:noProof/>
        </w:rPr>
        <w:t>s sur l'internet. Une approche globale s’impose pour parvenir à enrayer le trafic et l’usage illicite d’armes à feu et d’explosifs tout en préservant le commerce licite des armes à feu et l’utilisation légitime des substances chimiques.</w:t>
      </w:r>
    </w:p>
    <w:p w:rsidR="002A06C7" w:rsidRDefault="00334C44" w:rsidP="00334C44">
      <w:pPr>
        <w:keepNext/>
        <w:spacing w:before="240"/>
        <w:jc w:val="both"/>
        <w:rPr>
          <w:b/>
          <w:i/>
          <w:noProof/>
        </w:rPr>
      </w:pPr>
      <w:r>
        <w:rPr>
          <w:b/>
          <w:i/>
          <w:noProof/>
        </w:rPr>
        <w:t>Améliorer la connai</w:t>
      </w:r>
      <w:r>
        <w:rPr>
          <w:b/>
          <w:i/>
          <w:noProof/>
        </w:rPr>
        <w:t>ssance de la situation grâce au renseignement</w:t>
      </w:r>
    </w:p>
    <w:p w:rsidR="002A06C7" w:rsidRDefault="00334C44">
      <w:pPr>
        <w:spacing w:before="240"/>
        <w:jc w:val="both"/>
        <w:rPr>
          <w:noProof/>
        </w:rPr>
      </w:pPr>
      <w:r>
        <w:rPr>
          <w:noProof/>
        </w:rPr>
        <w:lastRenderedPageBreak/>
        <w:t>Afin d'intensifier et d'accélérer les réponses effectives des autorités chargées d'appliquer la loi devant ces menaces, il est essentiel de recourir au renseignement pour accroître les connaissances disponibles sur le trafic d’armes à feu, l’usage d’explos</w:t>
      </w:r>
      <w:r>
        <w:rPr>
          <w:noProof/>
        </w:rPr>
        <w:t xml:space="preserve">ifs et le contournement des marchés légaux et d’améliorer les outils statistiques et analytiques existants au </w:t>
      </w:r>
      <w:r>
        <w:rPr>
          <w:b/>
          <w:noProof/>
        </w:rPr>
        <w:t>niveau national et au niveau de l’UE</w:t>
      </w:r>
    </w:p>
    <w:p w:rsidR="002A06C7" w:rsidRDefault="00334C44">
      <w:pPr>
        <w:spacing w:before="240"/>
        <w:jc w:val="both"/>
        <w:rPr>
          <w:noProof/>
        </w:rPr>
      </w:pPr>
      <w:r>
        <w:rPr>
          <w:noProof/>
        </w:rPr>
        <w:t>À cette fin, tous les acteurs concernés devraient prendre les mesures supplémentaires suivantes:</w:t>
      </w:r>
    </w:p>
    <w:p w:rsidR="002A06C7" w:rsidRDefault="00334C44">
      <w:pPr>
        <w:pStyle w:val="ListParagraph"/>
        <w:tabs>
          <w:tab w:val="left" w:pos="709"/>
        </w:tabs>
        <w:spacing w:before="120"/>
        <w:ind w:left="721" w:hanging="437"/>
        <w:contextualSpacing w:val="0"/>
        <w:jc w:val="both"/>
        <w:rPr>
          <w:noProof/>
        </w:rPr>
      </w:pPr>
      <w:r>
        <w:rPr>
          <w:noProof/>
        </w:rPr>
        <w:t>1.</w:t>
      </w:r>
      <w:r>
        <w:rPr>
          <w:noProof/>
        </w:rPr>
        <w:tab/>
        <w:t>La Commis</w:t>
      </w:r>
      <w:r>
        <w:rPr>
          <w:noProof/>
        </w:rPr>
        <w:t xml:space="preserve">sion invite tous les États membres à créer des </w:t>
      </w:r>
      <w:r>
        <w:rPr>
          <w:b/>
          <w:noProof/>
        </w:rPr>
        <w:t>points focaux nationaux</w:t>
      </w:r>
      <w:r>
        <w:rPr>
          <w:noProof/>
        </w:rPr>
        <w:t xml:space="preserve"> interconnectés sur les armes à feu et à mettre en réseau ces points focaux afin de développer leur expertise et d'améliorer l’analyse et l’établissement de rapports stratégiques sur le </w:t>
      </w:r>
      <w:r>
        <w:rPr>
          <w:noProof/>
        </w:rPr>
        <w:t>trafic d’armes à feu, notamment par l'exploitation combinée de renseignements de nature pénale et balistique</w:t>
      </w:r>
      <w:r>
        <w:rPr>
          <w:noProof/>
          <w:vertAlign w:val="superscript"/>
        </w:rPr>
        <w:footnoteReference w:id="7"/>
      </w:r>
      <w:r>
        <w:rPr>
          <w:noProof/>
        </w:rPr>
        <w:t xml:space="preserve">. </w:t>
      </w:r>
    </w:p>
    <w:p w:rsidR="002A06C7" w:rsidRDefault="00334C44">
      <w:pPr>
        <w:pStyle w:val="ListParagraph"/>
        <w:tabs>
          <w:tab w:val="left" w:pos="709"/>
        </w:tabs>
        <w:spacing w:before="120"/>
        <w:ind w:left="721" w:hanging="437"/>
        <w:contextualSpacing w:val="0"/>
        <w:jc w:val="both"/>
        <w:rPr>
          <w:noProof/>
        </w:rPr>
      </w:pPr>
      <w:r>
        <w:rPr>
          <w:noProof/>
        </w:rPr>
        <w:t>2.</w:t>
      </w:r>
      <w:r>
        <w:rPr>
          <w:noProof/>
        </w:rPr>
        <w:tab/>
      </w:r>
      <w:r>
        <w:rPr>
          <w:noProof/>
        </w:rPr>
        <w:t>Étant donné que les réseaux de trafic dépassent les frontières de l’Europe, la Commission se rapprochera de l’Office des Nations unies contre la drogue et le crime (ONUDC), qui est incontournable pour une collecte de données harmonisée à l’échelle internat</w:t>
      </w:r>
      <w:r>
        <w:rPr>
          <w:noProof/>
        </w:rPr>
        <w:t xml:space="preserve">ionale, pour </w:t>
      </w:r>
      <w:r>
        <w:rPr>
          <w:b/>
          <w:noProof/>
        </w:rPr>
        <w:t>cartographier</w:t>
      </w:r>
      <w:r>
        <w:rPr>
          <w:noProof/>
        </w:rPr>
        <w:t xml:space="preserve"> régulièrement les </w:t>
      </w:r>
      <w:r>
        <w:rPr>
          <w:b/>
          <w:noProof/>
        </w:rPr>
        <w:t>itinéraires empruntés par le trafic mondial d’armes à feu</w:t>
      </w:r>
      <w:r>
        <w:rPr>
          <w:noProof/>
        </w:rPr>
        <w:t xml:space="preserve"> à destination de l’Union européenne et en informer les autorités répressives de tous les États membres.</w:t>
      </w:r>
    </w:p>
    <w:p w:rsidR="002A06C7" w:rsidRDefault="00334C44">
      <w:pPr>
        <w:pStyle w:val="ListParagraph"/>
        <w:tabs>
          <w:tab w:val="left" w:pos="709"/>
        </w:tabs>
        <w:spacing w:before="120"/>
        <w:ind w:left="721" w:hanging="437"/>
        <w:contextualSpacing w:val="0"/>
        <w:jc w:val="both"/>
        <w:rPr>
          <w:noProof/>
        </w:rPr>
      </w:pPr>
      <w:r>
        <w:rPr>
          <w:noProof/>
        </w:rPr>
        <w:t>3.</w:t>
      </w:r>
      <w:r>
        <w:rPr>
          <w:noProof/>
        </w:rPr>
        <w:tab/>
        <w:t>Dans le droit fil du plan d’action opérationne</w:t>
      </w:r>
      <w:r>
        <w:rPr>
          <w:noProof/>
        </w:rPr>
        <w:t xml:space="preserve">l 2016, </w:t>
      </w:r>
      <w:r>
        <w:rPr>
          <w:b/>
          <w:noProof/>
        </w:rPr>
        <w:t>Europol</w:t>
      </w:r>
      <w:r>
        <w:rPr>
          <w:noProof/>
        </w:rPr>
        <w:t xml:space="preserve"> devrait intensifier ses actions relatives au </w:t>
      </w:r>
      <w:r>
        <w:rPr>
          <w:b/>
          <w:noProof/>
        </w:rPr>
        <w:t>trafic en ligne</w:t>
      </w:r>
      <w:r>
        <w:rPr>
          <w:rStyle w:val="FootnoteReference"/>
          <w:noProof/>
        </w:rPr>
        <w:footnoteReference w:id="8"/>
      </w:r>
      <w:r>
        <w:rPr>
          <w:noProof/>
        </w:rPr>
        <w:t xml:space="preserve"> et au détournement des flux commerciaux licites, en mettant également à profit </w:t>
      </w:r>
      <w:r>
        <w:rPr>
          <w:b/>
          <w:noProof/>
        </w:rPr>
        <w:t>l’unité de signalement des contenus sur Internet</w:t>
      </w:r>
      <w:r>
        <w:rPr>
          <w:rStyle w:val="FootnoteReference"/>
          <w:noProof/>
        </w:rPr>
        <w:footnoteReference w:id="9"/>
      </w:r>
      <w:r>
        <w:rPr>
          <w:noProof/>
        </w:rPr>
        <w:t xml:space="preserve"> pour surveiller éventuellement les sources illici</w:t>
      </w:r>
      <w:r>
        <w:rPr>
          <w:noProof/>
        </w:rPr>
        <w:t>tes d’armes à feu, d’explosifs et de précurseurs d’explosifs.</w:t>
      </w:r>
    </w:p>
    <w:p w:rsidR="002A06C7" w:rsidRDefault="00334C44">
      <w:pPr>
        <w:pStyle w:val="ListParagraph"/>
        <w:tabs>
          <w:tab w:val="left" w:pos="709"/>
        </w:tabs>
        <w:spacing w:before="120"/>
        <w:ind w:left="721" w:hanging="437"/>
        <w:contextualSpacing w:val="0"/>
        <w:jc w:val="both"/>
        <w:rPr>
          <w:noProof/>
        </w:rPr>
      </w:pPr>
      <w:r>
        <w:rPr>
          <w:noProof/>
        </w:rPr>
        <w:t>4.</w:t>
      </w:r>
      <w:r>
        <w:rPr>
          <w:noProof/>
        </w:rPr>
        <w:tab/>
        <w:t>À l’aide des évaluations fournies par les parties intéressées</w:t>
      </w:r>
      <w:r>
        <w:rPr>
          <w:rStyle w:val="FootnoteReference"/>
          <w:noProof/>
        </w:rPr>
        <w:footnoteReference w:id="10"/>
      </w:r>
      <w:r>
        <w:rPr>
          <w:noProof/>
        </w:rPr>
        <w:t>, Europol continuera d’améliorer la collecte d’informations et le renseignement sur les armes à feu, y compris le trafic, les arm</w:t>
      </w:r>
      <w:r>
        <w:rPr>
          <w:noProof/>
        </w:rPr>
        <w:t xml:space="preserve">es à feu saisies et volées et les modes opératoires, afin de produire en temps utile des </w:t>
      </w:r>
      <w:r>
        <w:rPr>
          <w:b/>
          <w:noProof/>
        </w:rPr>
        <w:t xml:space="preserve">produits de connaissances/des </w:t>
      </w:r>
      <w:r>
        <w:rPr>
          <w:noProof/>
        </w:rPr>
        <w:t>notifications</w:t>
      </w:r>
      <w:r>
        <w:rPr>
          <w:b/>
          <w:noProof/>
        </w:rPr>
        <w:t xml:space="preserve"> d’alerte précoce</w:t>
      </w:r>
      <w:r>
        <w:rPr>
          <w:noProof/>
        </w:rPr>
        <w:t xml:space="preserve"> et une analyse de la menace actualisée, qui couvre entre autres les salons commerciaux</w:t>
      </w:r>
      <w:r>
        <w:rPr>
          <w:rStyle w:val="FootnoteReference"/>
          <w:noProof/>
        </w:rPr>
        <w:footnoteReference w:id="11"/>
      </w:r>
      <w:r>
        <w:rPr>
          <w:noProof/>
        </w:rPr>
        <w:t xml:space="preserve"> consacrés aux arme</w:t>
      </w:r>
      <w:r>
        <w:rPr>
          <w:noProof/>
        </w:rPr>
        <w:t>s à feu et les sociétés de livraison express dans l’UE. Europol doit mettre ces documents à la disposition des autorités répressives nationales de tous les États membres.</w:t>
      </w:r>
    </w:p>
    <w:p w:rsidR="002A06C7" w:rsidRDefault="00334C44">
      <w:pPr>
        <w:pStyle w:val="ListParagraph"/>
        <w:tabs>
          <w:tab w:val="left" w:pos="709"/>
        </w:tabs>
        <w:spacing w:before="120"/>
        <w:ind w:left="721" w:hanging="437"/>
        <w:contextualSpacing w:val="0"/>
        <w:jc w:val="both"/>
        <w:rPr>
          <w:noProof/>
        </w:rPr>
      </w:pPr>
      <w:r>
        <w:rPr>
          <w:noProof/>
        </w:rPr>
        <w:t>5.</w:t>
      </w:r>
      <w:r>
        <w:rPr>
          <w:noProof/>
        </w:rPr>
        <w:tab/>
        <w:t xml:space="preserve">La Commission continuera de fournir une </w:t>
      </w:r>
      <w:r>
        <w:rPr>
          <w:b/>
          <w:noProof/>
        </w:rPr>
        <w:t>aide financière</w:t>
      </w:r>
      <w:r>
        <w:rPr>
          <w:noProof/>
        </w:rPr>
        <w:t>, en mettant l’accent sur l</w:t>
      </w:r>
      <w:r>
        <w:rPr>
          <w:noProof/>
        </w:rPr>
        <w:t>es projets qui ont une portée globale et exercent une influence sensible sur la collecte de données</w:t>
      </w:r>
      <w:r>
        <w:rPr>
          <w:rStyle w:val="FootnoteReference"/>
          <w:noProof/>
        </w:rPr>
        <w:footnoteReference w:id="12"/>
      </w:r>
      <w:r>
        <w:rPr>
          <w:noProof/>
        </w:rPr>
        <w:t xml:space="preserve">. </w:t>
      </w:r>
    </w:p>
    <w:p w:rsidR="002A06C7" w:rsidRDefault="00334C44">
      <w:pPr>
        <w:spacing w:before="240"/>
        <w:jc w:val="both"/>
        <w:rPr>
          <w:b/>
          <w:bCs/>
          <w:i/>
          <w:noProof/>
        </w:rPr>
      </w:pPr>
      <w:r>
        <w:rPr>
          <w:b/>
          <w:i/>
          <w:noProof/>
        </w:rPr>
        <w:t>Se préparer à de nouveaux types de risques et de menaces</w:t>
      </w:r>
    </w:p>
    <w:p w:rsidR="002A06C7" w:rsidRDefault="00334C44">
      <w:pPr>
        <w:spacing w:before="240"/>
        <w:jc w:val="both"/>
        <w:rPr>
          <w:noProof/>
        </w:rPr>
      </w:pPr>
      <w:r>
        <w:rPr>
          <w:noProof/>
        </w:rPr>
        <w:t>Il est bien connu que les réseaux criminels et terroristes évoluent rapidement, et exploitent le</w:t>
      </w:r>
      <w:r>
        <w:rPr>
          <w:noProof/>
        </w:rPr>
        <w:t>s innovations technologiques</w:t>
      </w:r>
      <w:r>
        <w:rPr>
          <w:rStyle w:val="FootnoteReference"/>
          <w:noProof/>
        </w:rPr>
        <w:footnoteReference w:id="13"/>
      </w:r>
      <w:r>
        <w:rPr>
          <w:noProof/>
        </w:rPr>
        <w:t xml:space="preserve">. La Commission va donc établir une collaboration avec l’industrie de l’armement, l’industrie chimique, les autorités répressives nationales compétentes et Europol afin d'examiner </w:t>
      </w:r>
      <w:r>
        <w:rPr>
          <w:b/>
          <w:noProof/>
        </w:rPr>
        <w:t>l’incidence des progrès technologiques</w:t>
      </w:r>
      <w:r>
        <w:rPr>
          <w:noProof/>
        </w:rPr>
        <w:t xml:space="preserve"> sur la d</w:t>
      </w:r>
      <w:r>
        <w:rPr>
          <w:noProof/>
        </w:rPr>
        <w:t>isponibilité potentielle d’armes à feu et d’explosifs et cerner les failles éventuelles dans la sécurité.</w:t>
      </w:r>
    </w:p>
    <w:p w:rsidR="002A06C7" w:rsidRDefault="00334C44">
      <w:pPr>
        <w:spacing w:before="240"/>
        <w:jc w:val="both"/>
        <w:rPr>
          <w:rFonts w:eastAsia="Times New Roman"/>
          <w:noProof/>
        </w:rPr>
      </w:pPr>
      <w:r>
        <w:rPr>
          <w:noProof/>
        </w:rPr>
        <w:t xml:space="preserve">Simultanément, la capacité à réagir rapidement aux nouvelles menaces doit être renforcée (par exemple, impression en 3D). Aux frontières extérieures, </w:t>
      </w:r>
      <w:r>
        <w:rPr>
          <w:noProof/>
        </w:rPr>
        <w:t>les autorités douanières affineront les critères de risque communs actuels en matière de douane, en collaboration avec d’autres autorités répressives et sur la base d'informations provenant d'Europol et d’autres systèmes d’analyse des données, de façon à m</w:t>
      </w:r>
      <w:r>
        <w:rPr>
          <w:noProof/>
        </w:rPr>
        <w:t xml:space="preserve">ieux cibler le trafic illicite d’armement et d’armes à feu. </w:t>
      </w:r>
    </w:p>
    <w:p w:rsidR="002A06C7" w:rsidRDefault="00334C44">
      <w:pPr>
        <w:spacing w:before="240"/>
        <w:jc w:val="both"/>
        <w:rPr>
          <w:rFonts w:eastAsia="Times New Roman"/>
          <w:b/>
          <w:i/>
          <w:noProof/>
        </w:rPr>
      </w:pPr>
      <w:r>
        <w:rPr>
          <w:b/>
          <w:i/>
          <w:noProof/>
        </w:rPr>
        <w:t>Améliorer la sécurité des explosifs</w:t>
      </w:r>
    </w:p>
    <w:p w:rsidR="002A06C7" w:rsidRDefault="00334C44">
      <w:pPr>
        <w:spacing w:before="240"/>
        <w:jc w:val="both"/>
        <w:rPr>
          <w:iCs/>
          <w:noProof/>
          <w:bdr w:val="none" w:sz="0" w:space="0" w:color="auto"/>
        </w:rPr>
      </w:pPr>
      <w:r>
        <w:rPr>
          <w:noProof/>
        </w:rPr>
        <w:t>Le plan d’action actuel de l’UE relatif à l’amélioration de la sécurité des explosifs</w:t>
      </w:r>
      <w:r>
        <w:rPr>
          <w:rStyle w:val="FootnoteReference"/>
          <w:noProof/>
        </w:rPr>
        <w:footnoteReference w:id="14"/>
      </w:r>
      <w:r>
        <w:rPr>
          <w:noProof/>
        </w:rPr>
        <w:t xml:space="preserve"> a été adopté en 2008</w:t>
      </w:r>
      <w:r>
        <w:rPr>
          <w:rStyle w:val="FootnoteReference"/>
          <w:noProof/>
        </w:rPr>
        <w:footnoteReference w:id="15"/>
      </w:r>
      <w:r>
        <w:rPr>
          <w:noProof/>
        </w:rPr>
        <w:t>. La plupart des mesures que le Conseil y suggérait</w:t>
      </w:r>
      <w:r>
        <w:rPr>
          <w:noProof/>
        </w:rPr>
        <w:t xml:space="preserve"> ont aujourd’hui été mises en œuvre grâce aux efforts déployés conjointement par la Commission, les États membres de l’UE, Europol, des instituts de recherche et le secteur privé. D’importants progrès ont été accomplis et, en particulier, les États membres</w:t>
      </w:r>
      <w:r>
        <w:rPr>
          <w:noProof/>
        </w:rPr>
        <w:t xml:space="preserve"> ont bien compris la valeur ajoutée des actions visant à améliorer l’échange d’informations et le partage de bonnes pratiques, à définir des normes et des procédures harmonisées et à soutenir la recherche et la formation sur les explosifs.</w:t>
      </w:r>
    </w:p>
    <w:p w:rsidR="002A06C7" w:rsidRDefault="00334C44">
      <w:pPr>
        <w:spacing w:before="240"/>
        <w:jc w:val="both"/>
        <w:rPr>
          <w:noProof/>
        </w:rPr>
      </w:pPr>
      <w:r>
        <w:rPr>
          <w:noProof/>
        </w:rPr>
        <w:t>Un des aboutisse</w:t>
      </w:r>
      <w:r>
        <w:rPr>
          <w:noProof/>
        </w:rPr>
        <w:t>ments majeurs de ce plan d’action a été l’adoption du règlement (UE) nº 98/2013 sur la commercialisation et l’utilisation de précurseurs d’explosifs</w:t>
      </w:r>
      <w:r>
        <w:rPr>
          <w:rStyle w:val="FootnoteReference"/>
          <w:noProof/>
        </w:rPr>
        <w:footnoteReference w:id="16"/>
      </w:r>
      <w:r>
        <w:rPr>
          <w:noProof/>
        </w:rPr>
        <w:t xml:space="preserve">. Ce règlement, qui est entré en vigueur le 2 septembre 2014, peut </w:t>
      </w:r>
      <w:r>
        <w:rPr>
          <w:b/>
          <w:noProof/>
        </w:rPr>
        <w:t>prévenir les actes de terrorisme</w:t>
      </w:r>
      <w:r>
        <w:rPr>
          <w:noProof/>
        </w:rPr>
        <w:t xml:space="preserve"> en barr</w:t>
      </w:r>
      <w:r>
        <w:rPr>
          <w:noProof/>
        </w:rPr>
        <w:t xml:space="preserve">ant l’accès aux composants nécessaires à la fabrication de bombes et en autorisant des enquêtes policières précoces sur les opérations suspectes et d’autres incidents. Il est par conséquent </w:t>
      </w:r>
      <w:r>
        <w:rPr>
          <w:b/>
          <w:noProof/>
        </w:rPr>
        <w:t>prioritaire de garantir d’urgence sa pleine et entière mise en œuv</w:t>
      </w:r>
      <w:r>
        <w:rPr>
          <w:b/>
          <w:noProof/>
        </w:rPr>
        <w:t>re dans les États membres</w:t>
      </w:r>
      <w:r>
        <w:rPr>
          <w:noProof/>
        </w:rPr>
        <w:t xml:space="preserve"> et de renforcer les contrôles relatifs aux précurseurs à mesure que les menaces évoluent. Les mesures essentielles suivantes devraient permettre d’y parvenir:</w:t>
      </w:r>
    </w:p>
    <w:p w:rsidR="002A06C7" w:rsidRDefault="00334C44">
      <w:pPr>
        <w:pStyle w:val="ListParagraph"/>
        <w:numPr>
          <w:ilvl w:val="0"/>
          <w:numId w:val="40"/>
        </w:numPr>
        <w:tabs>
          <w:tab w:val="left" w:pos="709"/>
        </w:tabs>
        <w:spacing w:before="240"/>
        <w:ind w:left="1003" w:hanging="357"/>
        <w:contextualSpacing w:val="0"/>
        <w:jc w:val="both"/>
        <w:rPr>
          <w:noProof/>
        </w:rPr>
      </w:pPr>
      <w:r>
        <w:rPr>
          <w:noProof/>
        </w:rPr>
        <w:t>La Commission encouragera l’adoption de mesures harmonisées à travers l</w:t>
      </w:r>
      <w:r>
        <w:rPr>
          <w:noProof/>
        </w:rPr>
        <w:t>’UE et de pratiques telles que a) l’échange transfrontalier d’informations entre les points de contact nationaux afin d’assurer que les autorités répressives de tous les États membres concernés soient informées des incidents suspects, à l’aide d’une plate-</w:t>
      </w:r>
      <w:r>
        <w:rPr>
          <w:noProof/>
        </w:rPr>
        <w:t>forme d’Europol existante comme le Système européen de données sur les attentats à la bombe b) la surveillance étendue et systématique par les autorités répressives du commerce de précurseurs sur l'internet, ainsi que la mise en œuvre de mesures pour limit</w:t>
      </w:r>
      <w:r>
        <w:rPr>
          <w:noProof/>
        </w:rPr>
        <w:t xml:space="preserve">er davantage l’accès à ces produits. </w:t>
      </w:r>
    </w:p>
    <w:p w:rsidR="002A06C7" w:rsidRDefault="00334C44">
      <w:pPr>
        <w:pStyle w:val="ListParagraph"/>
        <w:numPr>
          <w:ilvl w:val="0"/>
          <w:numId w:val="40"/>
        </w:numPr>
        <w:tabs>
          <w:tab w:val="left" w:pos="709"/>
        </w:tabs>
        <w:spacing w:before="240"/>
        <w:ind w:left="1003" w:hanging="357"/>
        <w:contextualSpacing w:val="0"/>
        <w:jc w:val="both"/>
        <w:rPr>
          <w:noProof/>
        </w:rPr>
      </w:pPr>
      <w:r>
        <w:rPr>
          <w:noProof/>
        </w:rPr>
        <w:t>La Commission intensifiera en outre son engagement dans la chaîne d’approvisionnement des précurseurs</w:t>
      </w:r>
      <w:r>
        <w:rPr>
          <w:rStyle w:val="FootnoteReference"/>
          <w:noProof/>
        </w:rPr>
        <w:footnoteReference w:id="17"/>
      </w:r>
      <w:r>
        <w:rPr>
          <w:noProof/>
        </w:rPr>
        <w:t xml:space="preserve"> en publiant et en diffusant des outils d’orientation énonçant des conseils de bonnes pratiques à l’intention de l’i</w:t>
      </w:r>
      <w:r>
        <w:rPr>
          <w:noProof/>
        </w:rPr>
        <w:t xml:space="preserve">ndustrie chimique, du commerce de détail et d’autres secteurs pertinents. </w:t>
      </w:r>
    </w:p>
    <w:p w:rsidR="002A06C7" w:rsidRDefault="00334C44">
      <w:pPr>
        <w:pStyle w:val="ListParagraph"/>
        <w:numPr>
          <w:ilvl w:val="0"/>
          <w:numId w:val="40"/>
        </w:numPr>
        <w:tabs>
          <w:tab w:val="left" w:pos="709"/>
        </w:tabs>
        <w:spacing w:before="240"/>
        <w:ind w:left="1003" w:hanging="357"/>
        <w:contextualSpacing w:val="0"/>
        <w:jc w:val="both"/>
        <w:rPr>
          <w:rFonts w:eastAsia="Times New Roman"/>
          <w:noProof/>
        </w:rPr>
      </w:pPr>
      <w:r>
        <w:rPr>
          <w:noProof/>
        </w:rPr>
        <w:t xml:space="preserve">La Commission va accélérer les travaux en vue de présenter, en 2016, le réexamen du règlement et examinera la nécessité d'adopter des mesures plus strictes, parmi lesquelles </w:t>
      </w:r>
      <w:r>
        <w:rPr>
          <w:noProof/>
        </w:rPr>
        <w:t>l’inclusion de nouvelles substances représentant une menace; l’élargissement du champ d’application aux utilisateurs professionnels; l’obligation de fournir une déclaration d’utilisateur final pour les opérations, l’enregistrement obligatoire des fabricant</w:t>
      </w:r>
      <w:r>
        <w:rPr>
          <w:noProof/>
        </w:rPr>
        <w:t>s, des détaillants et des importateurs; la limitation et le contrôle des exportations; le resserrement des restrictions au commerce en ligne et aux caisses en libre-service; l’attribution d’une fonction aux autorités douanières</w:t>
      </w:r>
      <w:r>
        <w:rPr>
          <w:rStyle w:val="FootnoteReference"/>
          <w:noProof/>
        </w:rPr>
        <w:footnoteReference w:id="18"/>
      </w:r>
      <w:r>
        <w:rPr>
          <w:noProof/>
        </w:rPr>
        <w:t xml:space="preserve">. </w:t>
      </w:r>
    </w:p>
    <w:p w:rsidR="002A06C7" w:rsidRDefault="00334C44">
      <w:pPr>
        <w:spacing w:before="240"/>
        <w:jc w:val="both"/>
        <w:rPr>
          <w:noProof/>
        </w:rPr>
      </w:pPr>
      <w:r>
        <w:rPr>
          <w:noProof/>
        </w:rPr>
        <w:t>Effectuer des enquêtes de</w:t>
      </w:r>
      <w:r>
        <w:rPr>
          <w:noProof/>
        </w:rPr>
        <w:t xml:space="preserve"> sécurité concernant le personnel est fondamental pour prévenir le détournement ou l’utilisation malveillante de substances chimiques dangereuses ou l’accès à celles-ci</w:t>
      </w:r>
      <w:r>
        <w:rPr>
          <w:rStyle w:val="FootnoteReference"/>
          <w:noProof/>
        </w:rPr>
        <w:footnoteReference w:id="19"/>
      </w:r>
      <w:r>
        <w:rPr>
          <w:noProof/>
        </w:rPr>
        <w:t>. Il n’existe pas dans les États membres de l’UE de normes ou de procédures d’enquête m</w:t>
      </w:r>
      <w:r>
        <w:rPr>
          <w:noProof/>
        </w:rPr>
        <w:t>inimales communes pour le recrutement et la formation des personnes travaillant dans la chaîne d’approvisionnement d’explosifs et dans d’autres secteurs sensibles</w:t>
      </w:r>
      <w:r>
        <w:rPr>
          <w:rStyle w:val="FootnoteReference"/>
          <w:noProof/>
        </w:rPr>
        <w:footnoteReference w:id="20"/>
      </w:r>
      <w:r>
        <w:rPr>
          <w:noProof/>
        </w:rPr>
        <w:t xml:space="preserve"> pour la sécurité , et la Commission examinera l'opportunité de mener une action à cet égard </w:t>
      </w:r>
      <w:r>
        <w:rPr>
          <w:noProof/>
        </w:rPr>
        <w:t>au niveau de l’UE</w:t>
      </w:r>
    </w:p>
    <w:p w:rsidR="002A06C7" w:rsidRDefault="002A06C7">
      <w:pPr>
        <w:jc w:val="both"/>
        <w:rPr>
          <w:noProof/>
        </w:rPr>
      </w:pPr>
    </w:p>
    <w:tbl>
      <w:tblPr>
        <w:tblStyle w:val="TableGrid"/>
        <w:tblW w:w="0" w:type="auto"/>
        <w:tblLook w:val="04A0" w:firstRow="1" w:lastRow="0" w:firstColumn="1" w:lastColumn="0" w:noHBand="0" w:noVBand="1"/>
      </w:tblPr>
      <w:tblGrid>
        <w:gridCol w:w="9286"/>
      </w:tblGrid>
      <w:tr w:rsidR="002A06C7">
        <w:trPr>
          <w:trHeight w:val="4676"/>
        </w:trPr>
        <w:tc>
          <w:tcPr>
            <w:tcW w:w="9286" w:type="dxa"/>
            <w:vAlign w:val="center"/>
          </w:tcPr>
          <w:p w:rsidR="002A06C7" w:rsidRDefault="00334C44">
            <w:pPr>
              <w:keepNext/>
              <w:keepLines/>
              <w:pBdr>
                <w:top w:val="none" w:sz="0" w:space="0" w:color="auto"/>
                <w:left w:val="none" w:sz="0" w:space="0" w:color="auto"/>
                <w:bottom w:val="none" w:sz="0" w:space="0" w:color="auto"/>
                <w:right w:val="none" w:sz="0" w:space="0" w:color="auto"/>
                <w:between w:val="none" w:sz="0" w:space="0" w:color="auto"/>
                <w:bar w:val="none" w:sz="0" w:color="auto"/>
              </w:pBdr>
              <w:rPr>
                <w:b/>
                <w:bCs/>
                <w:noProof/>
              </w:rPr>
            </w:pPr>
            <w:r>
              <w:rPr>
                <w:b/>
                <w:noProof/>
              </w:rPr>
              <w:t>Actions spécifiques:</w:t>
            </w:r>
          </w:p>
          <w:p w:rsidR="002A06C7" w:rsidRDefault="00334C44">
            <w:pPr>
              <w:pStyle w:val="Body"/>
              <w:keepNext/>
              <w:keepLines/>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Times New Roman" w:hAnsi="Times New Roman" w:cs="Times New Roman"/>
                <w:bCs/>
                <w:i/>
                <w:iCs/>
                <w:noProof/>
              </w:rPr>
            </w:pPr>
            <w:r>
              <w:rPr>
                <w:rFonts w:ascii="Times New Roman" w:hAnsi="Times New Roman"/>
                <w:i/>
                <w:noProof/>
                <w:sz w:val="24"/>
              </w:rPr>
              <w:t>Améliorer les outils statistiques et analytiques existants et mettre au point des évaluations au niveau national sur la circulation d’armes à feu et leur disponibilité, et donner la priorité aux échanges au niveau de</w:t>
            </w:r>
            <w:r>
              <w:rPr>
                <w:rFonts w:ascii="Times New Roman" w:hAnsi="Times New Roman"/>
                <w:i/>
                <w:noProof/>
                <w:sz w:val="24"/>
              </w:rPr>
              <w:t xml:space="preserve"> l’UE.</w:t>
            </w:r>
          </w:p>
          <w:p w:rsidR="002A06C7" w:rsidRDefault="00334C44">
            <w:pPr>
              <w:pStyle w:val="Body"/>
              <w:keepNext/>
              <w:keepLines/>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714" w:hanging="357"/>
              <w:jc w:val="both"/>
              <w:rPr>
                <w:rFonts w:ascii="Times New Roman" w:hAnsi="Times New Roman" w:cs="Times New Roman"/>
                <w:bCs/>
                <w:i/>
                <w:iCs/>
                <w:noProof/>
              </w:rPr>
            </w:pPr>
            <w:r>
              <w:rPr>
                <w:rFonts w:ascii="Times New Roman" w:hAnsi="Times New Roman"/>
                <w:i/>
                <w:noProof/>
                <w:sz w:val="24"/>
              </w:rPr>
              <w:t>Europol doit fournir des produits d’analyse à l’échelle de l’UE et, eu égard aux liens étroits avec le terrorisme, le rôle de surveillance de l’EU IRU doit être renforcé.</w:t>
            </w:r>
          </w:p>
          <w:p w:rsidR="002A06C7" w:rsidRDefault="00334C44">
            <w:pPr>
              <w:pStyle w:val="Body"/>
              <w:keepNext/>
              <w:keepLines/>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Times New Roman" w:hAnsi="Times New Roman" w:cs="Times New Roman"/>
                <w:bCs/>
                <w:i/>
                <w:iCs/>
                <w:noProof/>
              </w:rPr>
            </w:pPr>
            <w:r>
              <w:rPr>
                <w:rFonts w:ascii="Times New Roman" w:hAnsi="Times New Roman"/>
                <w:i/>
                <w:noProof/>
                <w:sz w:val="24"/>
              </w:rPr>
              <w:t xml:space="preserve">L’ONUDC doit cartographier les itinéraires empruntés par le trafic mondial </w:t>
            </w:r>
            <w:r>
              <w:rPr>
                <w:rFonts w:ascii="Times New Roman" w:hAnsi="Times New Roman"/>
                <w:i/>
                <w:noProof/>
                <w:sz w:val="24"/>
              </w:rPr>
              <w:t>d’armes à feu à destination de l’UE.</w:t>
            </w:r>
          </w:p>
          <w:p w:rsidR="002A06C7" w:rsidRDefault="00334C44">
            <w:pPr>
              <w:pStyle w:val="Body"/>
              <w:keepNext/>
              <w:keepLines/>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714" w:hanging="357"/>
              <w:jc w:val="both"/>
              <w:rPr>
                <w:rFonts w:ascii="Times New Roman" w:hAnsi="Times New Roman" w:cs="Times New Roman"/>
                <w:bCs/>
                <w:i/>
                <w:iCs/>
                <w:noProof/>
              </w:rPr>
            </w:pPr>
            <w:r>
              <w:rPr>
                <w:rFonts w:ascii="Times New Roman" w:hAnsi="Times New Roman"/>
                <w:i/>
                <w:noProof/>
                <w:sz w:val="24"/>
              </w:rPr>
              <w:t>Coopérer avec des partenaires pour accroître les connaissances sur le trafic illicite d’armes à feu, y compris, entre autres, sur le trafic en ligne et le détournement des flux commerciaux licites.</w:t>
            </w:r>
          </w:p>
          <w:p w:rsidR="002A06C7" w:rsidRDefault="00334C44">
            <w:pPr>
              <w:pStyle w:val="Body"/>
              <w:keepNext/>
              <w:keepLines/>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714" w:hanging="357"/>
              <w:jc w:val="both"/>
              <w:rPr>
                <w:rFonts w:ascii="Times New Roman" w:hAnsi="Times New Roman" w:cs="Times New Roman"/>
                <w:bCs/>
                <w:i/>
                <w:iCs/>
                <w:noProof/>
              </w:rPr>
            </w:pPr>
            <w:r>
              <w:rPr>
                <w:rFonts w:ascii="Times New Roman" w:hAnsi="Times New Roman"/>
                <w:i/>
                <w:noProof/>
                <w:sz w:val="24"/>
              </w:rPr>
              <w:t>Améliorer l’accès des</w:t>
            </w:r>
            <w:r>
              <w:rPr>
                <w:rFonts w:ascii="Times New Roman" w:hAnsi="Times New Roman"/>
                <w:i/>
                <w:noProof/>
                <w:sz w:val="24"/>
              </w:rPr>
              <w:t xml:space="preserve"> autorités répressives de tous les États membres à tous les produits d’analyse au niveau national et de l’UE.</w:t>
            </w:r>
          </w:p>
          <w:p w:rsidR="002A06C7" w:rsidRDefault="00334C44">
            <w:pPr>
              <w:pStyle w:val="Body"/>
              <w:keepNext/>
              <w:keepLines/>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714" w:hanging="357"/>
              <w:jc w:val="both"/>
              <w:rPr>
                <w:rFonts w:ascii="Times New Roman" w:hAnsi="Times New Roman" w:cs="Times New Roman"/>
                <w:bCs/>
                <w:i/>
                <w:iCs/>
                <w:noProof/>
              </w:rPr>
            </w:pPr>
            <w:r>
              <w:rPr>
                <w:rFonts w:ascii="Times New Roman" w:hAnsi="Times New Roman"/>
                <w:i/>
                <w:noProof/>
                <w:sz w:val="24"/>
              </w:rPr>
              <w:t xml:space="preserve">Continuer de fournir une aide financière, en mettant l’accent sur les projets qui ont une portée globale et ont un effet sensible sur la collecte </w:t>
            </w:r>
            <w:r>
              <w:rPr>
                <w:rFonts w:ascii="Times New Roman" w:hAnsi="Times New Roman"/>
                <w:i/>
                <w:noProof/>
                <w:sz w:val="24"/>
              </w:rPr>
              <w:t>de données.</w:t>
            </w:r>
          </w:p>
          <w:p w:rsidR="002A06C7" w:rsidRDefault="00334C44">
            <w:pPr>
              <w:pStyle w:val="Body"/>
              <w:keepNext/>
              <w:keepLines/>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714" w:hanging="357"/>
              <w:jc w:val="both"/>
              <w:rPr>
                <w:rFonts w:ascii="Times New Roman" w:hAnsi="Times New Roman" w:cs="Times New Roman"/>
                <w:bCs/>
                <w:i/>
                <w:iCs/>
                <w:noProof/>
              </w:rPr>
            </w:pPr>
            <w:r>
              <w:rPr>
                <w:rFonts w:ascii="Times New Roman" w:hAnsi="Times New Roman"/>
                <w:i/>
                <w:noProof/>
                <w:sz w:val="24"/>
              </w:rPr>
              <w:t>Évaluer les risques liés aux innovations technologiques, comme l’impression 3D;</w:t>
            </w:r>
          </w:p>
          <w:p w:rsidR="002A06C7" w:rsidRDefault="00334C44">
            <w:pPr>
              <w:pStyle w:val="ListParagraph"/>
              <w:keepNext/>
              <w:keepLines/>
              <w:numPr>
                <w:ilvl w:val="0"/>
                <w:numId w:val="24"/>
              </w:numPr>
              <w:ind w:left="714" w:hanging="357"/>
              <w:jc w:val="both"/>
              <w:rPr>
                <w:i/>
                <w:noProof/>
              </w:rPr>
            </w:pPr>
            <w:r>
              <w:rPr>
                <w:i/>
                <w:noProof/>
              </w:rPr>
              <w:t>Renforcer la sécurité des explosifs en mettant pleinement en œuvre le règlement sur les précurseurs d’explosifs et en avançant à 2016 le réexamen de ce règlement.</w:t>
            </w:r>
          </w:p>
          <w:p w:rsidR="002A06C7" w:rsidRDefault="00334C44">
            <w:pPr>
              <w:pStyle w:val="Body"/>
              <w:keepLines/>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714" w:hanging="357"/>
              <w:jc w:val="both"/>
              <w:rPr>
                <w:noProof/>
              </w:rPr>
            </w:pPr>
            <w:r>
              <w:rPr>
                <w:rFonts w:ascii="Times New Roman" w:hAnsi="Times New Roman"/>
                <w:i/>
                <w:noProof/>
                <w:sz w:val="24"/>
              </w:rPr>
              <w:t>Évaluer la nécessité d’harmoniser les normes et les procédures d’enquête de sécurité au niveau de l’UE.</w:t>
            </w:r>
          </w:p>
        </w:tc>
      </w:tr>
    </w:tbl>
    <w:p w:rsidR="002A06C7" w:rsidRDefault="002A06C7">
      <w:pPr>
        <w:pStyle w:val="Heading1"/>
        <w:numPr>
          <w:ilvl w:val="0"/>
          <w:numId w:val="0"/>
        </w:numPr>
        <w:ind w:left="482"/>
        <w:rPr>
          <w:noProof/>
        </w:rPr>
      </w:pPr>
    </w:p>
    <w:p w:rsidR="002A06C7" w:rsidRDefault="00334C44">
      <w:pPr>
        <w:pStyle w:val="Heading1"/>
        <w:ind w:left="482" w:hanging="482"/>
        <w:rPr>
          <w:noProof/>
        </w:rPr>
      </w:pPr>
      <w:r>
        <w:rPr>
          <w:noProof/>
        </w:rPr>
        <w:t xml:space="preserve">INTENSIFIER LA COOPÉRATION OPÉRATIONNELLE </w:t>
      </w:r>
    </w:p>
    <w:p w:rsidR="002A06C7" w:rsidRDefault="00334C44">
      <w:pPr>
        <w:pStyle w:val="Body"/>
        <w:spacing w:before="240" w:after="0" w:line="240" w:lineRule="auto"/>
        <w:jc w:val="both"/>
        <w:rPr>
          <w:rFonts w:ascii="Times New Roman" w:hAnsi="Times New Roman"/>
          <w:b/>
          <w:noProof/>
          <w:sz w:val="24"/>
          <w:szCs w:val="24"/>
        </w:rPr>
      </w:pPr>
      <w:r>
        <w:rPr>
          <w:rFonts w:ascii="Times New Roman" w:hAnsi="Times New Roman"/>
          <w:noProof/>
          <w:sz w:val="24"/>
        </w:rPr>
        <w:t>Le programme européen en matière de sécurité a souligné la nécessité urgente d’</w:t>
      </w:r>
      <w:r>
        <w:rPr>
          <w:rFonts w:ascii="Times New Roman" w:hAnsi="Times New Roman"/>
          <w:b/>
          <w:noProof/>
          <w:sz w:val="24"/>
        </w:rPr>
        <w:t>intensifier la coopération o</w:t>
      </w:r>
      <w:r>
        <w:rPr>
          <w:rFonts w:ascii="Times New Roman" w:hAnsi="Times New Roman"/>
          <w:b/>
          <w:noProof/>
          <w:sz w:val="24"/>
        </w:rPr>
        <w:t>pérationnelle</w:t>
      </w:r>
      <w:r>
        <w:rPr>
          <w:rFonts w:ascii="Times New Roman" w:hAnsi="Times New Roman"/>
          <w:noProof/>
          <w:sz w:val="24"/>
        </w:rPr>
        <w:t xml:space="preserve"> entre les autorités compétentes des États membres. Il est fondamental de mettre à profit le savoir-faire disponible et de fournir une formation appropriée aux autorités répressives et aux autres organismes et experts compétents dans les États</w:t>
      </w:r>
      <w:r>
        <w:rPr>
          <w:rFonts w:ascii="Times New Roman" w:hAnsi="Times New Roman"/>
          <w:noProof/>
          <w:sz w:val="24"/>
        </w:rPr>
        <w:t xml:space="preserve"> membres. Il convient d’exploiter pleinement le potentiel des réseaux d’autorités répressives et d’experts dans ce contexte</w:t>
      </w:r>
      <w:r>
        <w:rPr>
          <w:rFonts w:ascii="Times New Roman" w:hAnsi="Times New Roman"/>
          <w:noProof/>
          <w:color w:val="auto"/>
          <w:sz w:val="24"/>
          <w:vertAlign w:val="superscript"/>
        </w:rPr>
        <w:footnoteReference w:id="21"/>
      </w:r>
      <w:r>
        <w:rPr>
          <w:rFonts w:ascii="Times New Roman" w:hAnsi="Times New Roman"/>
          <w:noProof/>
          <w:sz w:val="24"/>
        </w:rPr>
        <w:t>.</w:t>
      </w:r>
    </w:p>
    <w:p w:rsidR="002A06C7" w:rsidRDefault="00334C44">
      <w:pPr>
        <w:pStyle w:val="Body"/>
        <w:keepNext/>
        <w:spacing w:before="240" w:after="0" w:line="240" w:lineRule="auto"/>
        <w:jc w:val="both"/>
        <w:rPr>
          <w:rFonts w:ascii="Times New Roman" w:hAnsi="Times New Roman"/>
          <w:b/>
          <w:bCs/>
          <w:i/>
          <w:noProof/>
          <w:sz w:val="24"/>
          <w:szCs w:val="24"/>
        </w:rPr>
      </w:pPr>
      <w:r>
        <w:rPr>
          <w:rFonts w:ascii="Times New Roman" w:hAnsi="Times New Roman"/>
          <w:b/>
          <w:i/>
          <w:noProof/>
          <w:sz w:val="24"/>
        </w:rPr>
        <w:t>Accroître la coopération opérationnelle transfrontière</w:t>
      </w:r>
    </w:p>
    <w:p w:rsidR="002A06C7" w:rsidRDefault="00334C44">
      <w:pPr>
        <w:spacing w:before="240"/>
        <w:jc w:val="both"/>
        <w:rPr>
          <w:noProof/>
        </w:rPr>
      </w:pPr>
      <w:r>
        <w:rPr>
          <w:noProof/>
        </w:rPr>
        <w:t>Le plan d’action opérationnel (PAO) sur les armes à feu</w:t>
      </w:r>
      <w:r>
        <w:rPr>
          <w:rStyle w:val="FootnoteReference"/>
          <w:noProof/>
        </w:rPr>
        <w:footnoteReference w:id="22"/>
      </w:r>
      <w:r>
        <w:rPr>
          <w:noProof/>
        </w:rPr>
        <w:t xml:space="preserve"> comprend déjà la grande majorité de ces mesures, parmi lesquelles, entre autres, des journées d’action communes et la réalisation d’opérations fondées sur le renseignement contre les trafiquants et les catalyseurs essentiels (acteurs du marché légaux ou s</w:t>
      </w:r>
      <w:r>
        <w:rPr>
          <w:noProof/>
        </w:rPr>
        <w:t xml:space="preserve">ociétés de livraison express, par exemple). La coopération judiciaire entre les autorités nationales revêt également une importance primordiale pour lutter activement contre le trafic illicite d’armes à feu. Eurojust est intervenue dans plusieurs affaires </w:t>
      </w:r>
      <w:r>
        <w:rPr>
          <w:noProof/>
        </w:rPr>
        <w:t>importantes au cours des dernières années, en conjonction notamment avec d’autres délits, tels que le trafic de stupéfiants.</w:t>
      </w:r>
    </w:p>
    <w:p w:rsidR="002A06C7" w:rsidRDefault="00334C44" w:rsidP="00334C44">
      <w:pPr>
        <w:pStyle w:val="Body"/>
        <w:keepNext/>
        <w:spacing w:before="240" w:after="0" w:line="240" w:lineRule="auto"/>
        <w:jc w:val="both"/>
        <w:rPr>
          <w:rFonts w:ascii="Times New Roman" w:eastAsia="Times New Roman" w:hAnsi="Times New Roman" w:cs="Times New Roman"/>
          <w:b/>
          <w:i/>
          <w:iCs/>
          <w:noProof/>
          <w:sz w:val="24"/>
          <w:szCs w:val="24"/>
        </w:rPr>
      </w:pPr>
      <w:r>
        <w:rPr>
          <w:rFonts w:ascii="Times New Roman" w:hAnsi="Times New Roman"/>
          <w:b/>
          <w:i/>
          <w:noProof/>
          <w:sz w:val="24"/>
        </w:rPr>
        <w:t xml:space="preserve">Perturber l’approvisionnement illicite en armes à feu via l’internet (web visible et invisible) </w:t>
      </w:r>
    </w:p>
    <w:p w:rsidR="002A06C7" w:rsidRDefault="00334C44">
      <w:pPr>
        <w:pStyle w:val="Body"/>
        <w:spacing w:before="240" w:after="0" w:line="240" w:lineRule="auto"/>
        <w:jc w:val="both"/>
        <w:rPr>
          <w:rFonts w:ascii="Times New Roman" w:hAnsi="Times New Roman"/>
          <w:noProof/>
          <w:sz w:val="24"/>
          <w:szCs w:val="24"/>
        </w:rPr>
      </w:pPr>
      <w:r>
        <w:rPr>
          <w:rFonts w:ascii="Times New Roman" w:hAnsi="Times New Roman"/>
          <w:noProof/>
          <w:sz w:val="24"/>
        </w:rPr>
        <w:t>La capacité des milieux de la crim</w:t>
      </w:r>
      <w:r>
        <w:rPr>
          <w:rFonts w:ascii="Times New Roman" w:hAnsi="Times New Roman"/>
          <w:noProof/>
          <w:sz w:val="24"/>
        </w:rPr>
        <w:t>inalité organisée et du terrorisme à acquérir des armes à feu ou des pièces ou composants d’armes sur l’internet, que ce soit sur des sites «ouverts» ou sur le «web invisible», constitue une fragilité à laquelle il est urgent de remédier. Les mesures suiva</w:t>
      </w:r>
      <w:r>
        <w:rPr>
          <w:rFonts w:ascii="Times New Roman" w:hAnsi="Times New Roman"/>
          <w:noProof/>
          <w:sz w:val="24"/>
        </w:rPr>
        <w:t xml:space="preserve">ntes devraient être appliquées: </w:t>
      </w:r>
    </w:p>
    <w:p w:rsidR="002A06C7" w:rsidRDefault="00334C44">
      <w:pPr>
        <w:pStyle w:val="ListParagraph"/>
        <w:numPr>
          <w:ilvl w:val="0"/>
          <w:numId w:val="41"/>
        </w:numPr>
        <w:tabs>
          <w:tab w:val="left" w:pos="709"/>
        </w:tabs>
        <w:spacing w:before="240"/>
        <w:contextualSpacing w:val="0"/>
        <w:jc w:val="both"/>
        <w:rPr>
          <w:rFonts w:eastAsia="Times New Roman"/>
          <w:noProof/>
        </w:rPr>
      </w:pPr>
      <w:r>
        <w:rPr>
          <w:noProof/>
        </w:rPr>
        <w:t xml:space="preserve">Outre la mise en œuvre complète du plan d’action opérationnel sur les armes à feu, la Commission appelle les États membres à créer des </w:t>
      </w:r>
      <w:r>
        <w:rPr>
          <w:b/>
          <w:noProof/>
        </w:rPr>
        <w:t>équipes de cybersurveillance</w:t>
      </w:r>
      <w:r>
        <w:rPr>
          <w:noProof/>
        </w:rPr>
        <w:t xml:space="preserve"> ou, s’il en existe déjà, à orienter principalement leurs activités sur la détection du trafic d’armes à feu, de pièces ou composants d’armes et d’explosifs sur l’internet.</w:t>
      </w:r>
    </w:p>
    <w:p w:rsidR="002A06C7" w:rsidRDefault="00334C44">
      <w:pPr>
        <w:pStyle w:val="ListParagraph"/>
        <w:numPr>
          <w:ilvl w:val="0"/>
          <w:numId w:val="41"/>
        </w:numPr>
        <w:tabs>
          <w:tab w:val="left" w:pos="709"/>
        </w:tabs>
        <w:spacing w:before="240"/>
        <w:ind w:left="1003" w:hanging="357"/>
        <w:contextualSpacing w:val="0"/>
        <w:jc w:val="both"/>
        <w:rPr>
          <w:rFonts w:eastAsia="Times New Roman"/>
          <w:noProof/>
        </w:rPr>
      </w:pPr>
      <w:r>
        <w:rPr>
          <w:noProof/>
        </w:rPr>
        <w:t>Fort des enseignements récoltés durant l’opération Onymous</w:t>
      </w:r>
      <w:r>
        <w:rPr>
          <w:noProof/>
          <w:vertAlign w:val="superscript"/>
        </w:rPr>
        <w:footnoteReference w:id="23"/>
      </w:r>
      <w:r>
        <w:rPr>
          <w:noProof/>
        </w:rPr>
        <w:t xml:space="preserve"> et le démantèlement de </w:t>
      </w:r>
      <w:r>
        <w:rPr>
          <w:noProof/>
        </w:rPr>
        <w:t>Darkode</w:t>
      </w:r>
      <w:r>
        <w:rPr>
          <w:noProof/>
          <w:vertAlign w:val="superscript"/>
        </w:rPr>
        <w:footnoteReference w:id="24"/>
      </w:r>
      <w:r>
        <w:rPr>
          <w:noProof/>
        </w:rPr>
        <w:t>, Europol soutiendra les opérations et les enquêtes des États membres en leur fournissant des services d’analyse opérationnelle, de coordination et d’expertise, notamment au moyen de ses capacités hautement spécialisées en matière de soutien crimin</w:t>
      </w:r>
      <w:r>
        <w:rPr>
          <w:noProof/>
        </w:rPr>
        <w:t>alistique technique et numérique et de la Force d’action anticybercriminalité (J-CAT)</w:t>
      </w:r>
      <w:r>
        <w:rPr>
          <w:noProof/>
          <w:sz w:val="20"/>
          <w:vertAlign w:val="superscript"/>
        </w:rPr>
        <w:footnoteReference w:id="25"/>
      </w:r>
      <w:r>
        <w:rPr>
          <w:noProof/>
        </w:rPr>
        <w:t>.</w:t>
      </w:r>
    </w:p>
    <w:p w:rsidR="002A06C7" w:rsidRDefault="00334C44">
      <w:pPr>
        <w:pStyle w:val="ListParagraph"/>
        <w:numPr>
          <w:ilvl w:val="0"/>
          <w:numId w:val="41"/>
        </w:numPr>
        <w:tabs>
          <w:tab w:val="left" w:pos="709"/>
        </w:tabs>
        <w:spacing w:before="240"/>
        <w:ind w:left="1003" w:hanging="357"/>
        <w:contextualSpacing w:val="0"/>
        <w:jc w:val="both"/>
        <w:rPr>
          <w:rFonts w:eastAsia="Times New Roman"/>
          <w:noProof/>
        </w:rPr>
      </w:pPr>
      <w:r>
        <w:rPr>
          <w:noProof/>
        </w:rPr>
        <w:t xml:space="preserve">Europol élaborera également un </w:t>
      </w:r>
      <w:r>
        <w:rPr>
          <w:b/>
          <w:noProof/>
        </w:rPr>
        <w:t>manuel sur les enquêtes en ligne</w:t>
      </w:r>
      <w:r>
        <w:rPr>
          <w:noProof/>
        </w:rPr>
        <w:t>, en particulier, en coopération avec le Bureau of Alcohol, Tobacco, Firearms and Explosives des États-Un</w:t>
      </w:r>
      <w:r>
        <w:rPr>
          <w:noProof/>
        </w:rPr>
        <w:t>is.</w:t>
      </w:r>
    </w:p>
    <w:p w:rsidR="002A06C7" w:rsidRDefault="00334C44">
      <w:pPr>
        <w:pStyle w:val="ListParagraph"/>
        <w:numPr>
          <w:ilvl w:val="0"/>
          <w:numId w:val="41"/>
        </w:numPr>
        <w:tabs>
          <w:tab w:val="left" w:pos="709"/>
        </w:tabs>
        <w:spacing w:before="240"/>
        <w:ind w:left="1003" w:hanging="357"/>
        <w:contextualSpacing w:val="0"/>
        <w:jc w:val="both"/>
        <w:rPr>
          <w:rFonts w:eastAsia="Times New Roman"/>
          <w:noProof/>
        </w:rPr>
      </w:pPr>
      <w:r>
        <w:rPr>
          <w:noProof/>
        </w:rPr>
        <w:t xml:space="preserve">Étant donné que les infrastructures sous-jacentes de l’internet sont en majeure partie détenues et exploitées par le secteur privé, la Commission intégrera la prévention et la détection du trafic illicite d’armes à feu, de pièces ou composants d’armes </w:t>
      </w:r>
      <w:r>
        <w:rPr>
          <w:noProof/>
        </w:rPr>
        <w:t xml:space="preserve">et d’explosifs dans ses </w:t>
      </w:r>
      <w:r>
        <w:rPr>
          <w:b/>
          <w:noProof/>
        </w:rPr>
        <w:t>partenariats en cours avec le secteur privé</w:t>
      </w:r>
      <w:r>
        <w:rPr>
          <w:noProof/>
          <w:vertAlign w:val="superscript"/>
        </w:rPr>
        <w:footnoteReference w:id="26"/>
      </w:r>
      <w:r>
        <w:rPr>
          <w:b/>
          <w:noProof/>
        </w:rPr>
        <w:t>.</w:t>
      </w:r>
    </w:p>
    <w:p w:rsidR="002A06C7" w:rsidRDefault="00334C44">
      <w:pPr>
        <w:pStyle w:val="Body"/>
        <w:spacing w:before="240" w:after="0" w:line="240" w:lineRule="auto"/>
        <w:jc w:val="both"/>
        <w:rPr>
          <w:rFonts w:ascii="Times New Roman" w:eastAsia="Times New Roman" w:hAnsi="Times New Roman" w:cs="Times New Roman"/>
          <w:b/>
          <w:i/>
          <w:iCs/>
          <w:noProof/>
          <w:sz w:val="24"/>
          <w:szCs w:val="24"/>
        </w:rPr>
      </w:pPr>
      <w:r>
        <w:rPr>
          <w:rFonts w:ascii="Times New Roman" w:hAnsi="Times New Roman"/>
          <w:b/>
          <w:i/>
          <w:noProof/>
          <w:sz w:val="24"/>
        </w:rPr>
        <w:t>Renforcer le contrôle de la circulation au sein de l’UE</w:t>
      </w:r>
    </w:p>
    <w:p w:rsidR="002A06C7" w:rsidRDefault="00334C44">
      <w:pPr>
        <w:pStyle w:val="Body"/>
        <w:spacing w:before="240" w:after="0" w:line="240" w:lineRule="auto"/>
        <w:jc w:val="both"/>
        <w:rPr>
          <w:rFonts w:ascii="Times New Roman" w:hAnsi="Times New Roman"/>
          <w:noProof/>
          <w:sz w:val="24"/>
          <w:szCs w:val="24"/>
        </w:rPr>
      </w:pPr>
      <w:r>
        <w:rPr>
          <w:rFonts w:ascii="Times New Roman" w:hAnsi="Times New Roman"/>
          <w:noProof/>
          <w:sz w:val="24"/>
        </w:rPr>
        <w:t>Le système de contrôle des explosifs en matière de prévention et de lutte contre le terrorisme (SCEPYLT)</w:t>
      </w:r>
      <w:r>
        <w:rPr>
          <w:rStyle w:val="FootnoteReference"/>
          <w:rFonts w:ascii="Times New Roman" w:hAnsi="Times New Roman"/>
          <w:noProof/>
          <w:sz w:val="24"/>
        </w:rPr>
        <w:footnoteReference w:id="27"/>
      </w:r>
      <w:r>
        <w:rPr>
          <w:rFonts w:ascii="Times New Roman" w:hAnsi="Times New Roman"/>
          <w:noProof/>
          <w:sz w:val="24"/>
        </w:rPr>
        <w:t xml:space="preserve"> permet l’approbation éle</w:t>
      </w:r>
      <w:r>
        <w:rPr>
          <w:rFonts w:ascii="Times New Roman" w:hAnsi="Times New Roman"/>
          <w:noProof/>
          <w:sz w:val="24"/>
        </w:rPr>
        <w:t>ctronique des transferts d’explosifs à l’intérieur de l’UE, de sorte que la circulation d’explosifs en Europe peut être surveillée plus rapidement et plus facilement. À l’avenir, il pourrait également servir d’outil de traçabilité afin de favoriser les opé</w:t>
      </w:r>
      <w:r>
        <w:rPr>
          <w:rFonts w:ascii="Times New Roman" w:hAnsi="Times New Roman"/>
          <w:noProof/>
          <w:sz w:val="24"/>
        </w:rPr>
        <w:t>rations d’identification et de pistage.</w:t>
      </w:r>
    </w:p>
    <w:p w:rsidR="002A06C7" w:rsidRDefault="00334C44">
      <w:pPr>
        <w:pStyle w:val="Body"/>
        <w:spacing w:before="240" w:after="0" w:line="240" w:lineRule="auto"/>
        <w:jc w:val="both"/>
        <w:rPr>
          <w:rFonts w:ascii="Times New Roman" w:hAnsi="Times New Roman"/>
          <w:noProof/>
          <w:sz w:val="24"/>
          <w:szCs w:val="24"/>
        </w:rPr>
      </w:pPr>
      <w:r>
        <w:rPr>
          <w:rFonts w:ascii="Times New Roman" w:hAnsi="Times New Roman"/>
          <w:noProof/>
          <w:sz w:val="24"/>
        </w:rPr>
        <w:t xml:space="preserve">Afin d’accroître le contrôle des explosifs, la Commission encouragera tous les États membres à pleinement se connecter à ce système et à l'utiliser. </w:t>
      </w:r>
    </w:p>
    <w:p w:rsidR="002A06C7" w:rsidRDefault="00334C44">
      <w:pPr>
        <w:pStyle w:val="Body"/>
        <w:spacing w:before="240" w:after="0" w:line="240" w:lineRule="auto"/>
        <w:jc w:val="both"/>
        <w:rPr>
          <w:rFonts w:ascii="Times New Roman" w:hAnsi="Times New Roman"/>
          <w:noProof/>
          <w:sz w:val="24"/>
          <w:szCs w:val="24"/>
        </w:rPr>
      </w:pPr>
      <w:r>
        <w:rPr>
          <w:rFonts w:ascii="Times New Roman" w:hAnsi="Times New Roman"/>
          <w:noProof/>
          <w:sz w:val="24"/>
        </w:rPr>
        <w:t xml:space="preserve">Conformément à la proposition de modification de la directive sur </w:t>
      </w:r>
      <w:r>
        <w:rPr>
          <w:rFonts w:ascii="Times New Roman" w:hAnsi="Times New Roman"/>
          <w:noProof/>
          <w:sz w:val="24"/>
        </w:rPr>
        <w:t>les armes à feu adoptée le 18 novembre 2015</w:t>
      </w:r>
      <w:r>
        <w:rPr>
          <w:rStyle w:val="FootnoteReference"/>
          <w:rFonts w:ascii="Times New Roman" w:hAnsi="Times New Roman"/>
          <w:noProof/>
          <w:sz w:val="24"/>
        </w:rPr>
        <w:footnoteReference w:id="28"/>
      </w:r>
      <w:r>
        <w:rPr>
          <w:rFonts w:ascii="Times New Roman" w:hAnsi="Times New Roman"/>
          <w:noProof/>
          <w:sz w:val="24"/>
        </w:rPr>
        <w:t>, la Commission étudiera les modalités d’un système d’échange d’informations sur la circulation d’armes à feu au sein de l’UE en tenant compte des systèmes et instruments européens d’information pertinents qui ex</w:t>
      </w:r>
      <w:r>
        <w:rPr>
          <w:rFonts w:ascii="Times New Roman" w:hAnsi="Times New Roman"/>
          <w:noProof/>
          <w:sz w:val="24"/>
        </w:rPr>
        <w:t>istent déjà. Ce système devra assurer un lien entre les États membres qui introduisent les données et ceux qui en sont destinataires de façon à rendre les transferts internes plus sûrs et à améliorer la traçabilité des armes et des munitions.</w:t>
      </w:r>
    </w:p>
    <w:p w:rsidR="002A06C7" w:rsidRDefault="00334C44">
      <w:pPr>
        <w:pStyle w:val="Body"/>
        <w:spacing w:before="240"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En vue de </w:t>
      </w:r>
      <w:r>
        <w:rPr>
          <w:rFonts w:ascii="Times New Roman" w:hAnsi="Times New Roman"/>
          <w:noProof/>
          <w:sz w:val="24"/>
        </w:rPr>
        <w:t>renforcer la traçabilité des armes à feu licites circulant au sein d’un État membre ou d’un État membre à un autre, la Commission étudiera la possibilité d’interdire les règlements en espèces pour les opérations d’achat et de vente d’armes à feu et de muni</w:t>
      </w:r>
      <w:r>
        <w:rPr>
          <w:rFonts w:ascii="Times New Roman" w:hAnsi="Times New Roman"/>
          <w:noProof/>
          <w:sz w:val="24"/>
        </w:rPr>
        <w:t>tions par des personnes physiques.</w:t>
      </w:r>
    </w:p>
    <w:p w:rsidR="002A06C7" w:rsidRDefault="00334C44">
      <w:pPr>
        <w:pStyle w:val="Body"/>
        <w:spacing w:before="240" w:after="0" w:line="240" w:lineRule="auto"/>
        <w:jc w:val="both"/>
        <w:rPr>
          <w:rFonts w:ascii="Times New Roman" w:eastAsia="Times New Roman" w:hAnsi="Times New Roman" w:cs="Times New Roman"/>
          <w:b/>
          <w:bCs/>
          <w:i/>
          <w:iCs/>
          <w:noProof/>
          <w:sz w:val="24"/>
          <w:szCs w:val="24"/>
        </w:rPr>
      </w:pPr>
      <w:r>
        <w:rPr>
          <w:rFonts w:ascii="Times New Roman" w:hAnsi="Times New Roman"/>
          <w:b/>
          <w:i/>
          <w:noProof/>
          <w:sz w:val="24"/>
        </w:rPr>
        <w:t>Renforcer les contrôles aux frontières extérieures</w:t>
      </w:r>
    </w:p>
    <w:p w:rsidR="002A06C7" w:rsidRDefault="00334C44">
      <w:pPr>
        <w:pStyle w:val="Body"/>
        <w:spacing w:before="240" w:after="0" w:line="240" w:lineRule="auto"/>
        <w:jc w:val="both"/>
        <w:rPr>
          <w:rFonts w:ascii="Times New Roman" w:hAnsi="Times New Roman"/>
          <w:noProof/>
          <w:sz w:val="24"/>
          <w:szCs w:val="24"/>
        </w:rPr>
      </w:pPr>
      <w:r>
        <w:rPr>
          <w:rFonts w:ascii="Times New Roman" w:hAnsi="Times New Roman"/>
          <w:noProof/>
          <w:sz w:val="24"/>
        </w:rPr>
        <w:t>Bien que les sources du trafic illicite d’armes à feu et d’explosifs soient multiples, les contrôles aux frontières extérieures et la coopération policière et douanière g</w:t>
      </w:r>
      <w:r>
        <w:rPr>
          <w:rFonts w:ascii="Times New Roman" w:hAnsi="Times New Roman"/>
          <w:noProof/>
          <w:sz w:val="24"/>
        </w:rPr>
        <w:t xml:space="preserve">ardent une importance de premier ordre. </w:t>
      </w:r>
    </w:p>
    <w:p w:rsidR="002A06C7" w:rsidRDefault="00334C44">
      <w:pPr>
        <w:pStyle w:val="Body"/>
        <w:spacing w:before="240"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La Commission appelle les États membres à pratiquer des </w:t>
      </w:r>
      <w:r>
        <w:rPr>
          <w:rFonts w:ascii="Times New Roman" w:hAnsi="Times New Roman"/>
          <w:b/>
          <w:noProof/>
          <w:sz w:val="24"/>
        </w:rPr>
        <w:t>contrôles aux frontières extérieures fondés sur les risques sur les marchandises</w:t>
      </w:r>
      <w:r>
        <w:rPr>
          <w:rFonts w:ascii="Times New Roman" w:hAnsi="Times New Roman"/>
          <w:noProof/>
          <w:sz w:val="24"/>
        </w:rPr>
        <w:t xml:space="preserve"> qui entrent dans l’Union sous forme de fret commercial (p. ex. conteneurs), da</w:t>
      </w:r>
      <w:r>
        <w:rPr>
          <w:rFonts w:ascii="Times New Roman" w:hAnsi="Times New Roman"/>
          <w:noProof/>
          <w:sz w:val="24"/>
        </w:rPr>
        <w:t>ns le cadre de la circulation de voyageurs (p. ex. voitures) ou dans les bagages de passagers. Elle propose à cette fin d’</w:t>
      </w:r>
      <w:r>
        <w:rPr>
          <w:rFonts w:ascii="Times New Roman" w:hAnsi="Times New Roman"/>
          <w:b/>
          <w:noProof/>
          <w:sz w:val="24"/>
        </w:rPr>
        <w:t>instituer une action de contrôles douaniers prioritaires</w:t>
      </w:r>
      <w:r>
        <w:rPr>
          <w:rFonts w:ascii="Times New Roman" w:hAnsi="Times New Roman"/>
          <w:noProof/>
          <w:sz w:val="24"/>
        </w:rPr>
        <w:t xml:space="preserve"> avec les États membres sur le trafic illicite d’armes à feu et - dans la mesu</w:t>
      </w:r>
      <w:r>
        <w:rPr>
          <w:rFonts w:ascii="Times New Roman" w:hAnsi="Times New Roman"/>
          <w:noProof/>
          <w:sz w:val="24"/>
        </w:rPr>
        <w:t xml:space="preserve">re du possible - d’explosifs aux frontières extérieures. </w:t>
      </w:r>
      <w:r>
        <w:rPr>
          <w:noProof/>
        </w:rPr>
        <w:t>La Commission accélérera en outre la mise en œuvre de toutes les mesures relatives à la sécurité prévues dans la stratégie et le plan d’action sur la gestion des risques en matière douanière et les É</w:t>
      </w:r>
      <w:r>
        <w:rPr>
          <w:noProof/>
        </w:rPr>
        <w:t>tats membres devront également progresser à cet égard</w:t>
      </w:r>
      <w:r>
        <w:rPr>
          <w:rFonts w:ascii="Times New Roman" w:hAnsi="Times New Roman"/>
          <w:noProof/>
          <w:sz w:val="20"/>
          <w:vertAlign w:val="superscript"/>
        </w:rPr>
        <w:footnoteReference w:id="29"/>
      </w:r>
      <w:r>
        <w:rPr>
          <w:noProof/>
        </w:rPr>
        <w:t>.</w:t>
      </w:r>
    </w:p>
    <w:p w:rsidR="002A06C7" w:rsidRDefault="00334C44">
      <w:pPr>
        <w:pStyle w:val="Body"/>
        <w:spacing w:before="240" w:after="0" w:line="240" w:lineRule="auto"/>
        <w:jc w:val="both"/>
        <w:rPr>
          <w:rFonts w:ascii="Times New Roman" w:eastAsia="Times New Roman" w:hAnsi="Times New Roman" w:cs="Times New Roman"/>
          <w:b/>
          <w:i/>
          <w:iCs/>
          <w:noProof/>
          <w:sz w:val="24"/>
          <w:szCs w:val="24"/>
        </w:rPr>
      </w:pPr>
      <w:r>
        <w:rPr>
          <w:rFonts w:ascii="Times New Roman" w:hAnsi="Times New Roman"/>
          <w:b/>
          <w:i/>
          <w:noProof/>
          <w:sz w:val="24"/>
        </w:rPr>
        <w:t>Tracer les armes à feu utilisées par les criminels et les terroristes</w:t>
      </w:r>
    </w:p>
    <w:p w:rsidR="002A06C7" w:rsidRDefault="00334C44">
      <w:pPr>
        <w:pStyle w:val="Body"/>
        <w:spacing w:before="240" w:after="0" w:line="240" w:lineRule="auto"/>
        <w:jc w:val="both"/>
        <w:rPr>
          <w:rFonts w:ascii="Times New Roman" w:eastAsia="Times New Roman" w:hAnsi="Times New Roman" w:cs="Times New Roman"/>
          <w:bCs/>
          <w:noProof/>
          <w:sz w:val="24"/>
          <w:szCs w:val="24"/>
        </w:rPr>
      </w:pPr>
      <w:r>
        <w:rPr>
          <w:rFonts w:ascii="Times New Roman" w:hAnsi="Times New Roman"/>
          <w:noProof/>
          <w:sz w:val="24"/>
        </w:rPr>
        <w:t>Le traçage des armes à feu occupe une place importante dans les enquêtes sur les délits liés à des armes à feu et permet d’en savo</w:t>
      </w:r>
      <w:r>
        <w:rPr>
          <w:rFonts w:ascii="Times New Roman" w:hAnsi="Times New Roman"/>
          <w:noProof/>
          <w:sz w:val="24"/>
        </w:rPr>
        <w:t>ir davantage sur les filières d’acquisition d’armes illicites. Il est également fondamental pour réussir à empêcher l’accès aux explosifs et aux précurseurs d’explosifs. La possibilité de tracer les munitions, qui est actuellement restreinte, serait égalem</w:t>
      </w:r>
      <w:r>
        <w:rPr>
          <w:rFonts w:ascii="Times New Roman" w:hAnsi="Times New Roman"/>
          <w:noProof/>
          <w:sz w:val="24"/>
        </w:rPr>
        <w:t>ent utile dans les enquêtes.</w:t>
      </w:r>
    </w:p>
    <w:p w:rsidR="002A06C7" w:rsidRDefault="00334C44">
      <w:pPr>
        <w:pStyle w:val="Body"/>
        <w:spacing w:before="240" w:after="0" w:line="240" w:lineRule="auto"/>
        <w:jc w:val="both"/>
        <w:rPr>
          <w:rFonts w:ascii="Times New Roman" w:eastAsia="Times New Roman" w:hAnsi="Times New Roman" w:cs="Times New Roman"/>
          <w:bCs/>
          <w:noProof/>
          <w:color w:val="auto"/>
          <w:sz w:val="24"/>
        </w:rPr>
      </w:pPr>
      <w:r>
        <w:rPr>
          <w:rFonts w:ascii="Times New Roman" w:hAnsi="Times New Roman"/>
          <w:noProof/>
          <w:color w:val="auto"/>
          <w:sz w:val="24"/>
        </w:rPr>
        <w:t>Dans le cadre du réexamen de la directive sur les armes à feu proposé par la Commission, il est prévu d’instaurer des règles européennes communes sur le marquage des armes à feu afin d’augmenter la traçabilité des armes à feu d</w:t>
      </w:r>
      <w:r>
        <w:rPr>
          <w:rFonts w:ascii="Times New Roman" w:hAnsi="Times New Roman"/>
          <w:noProof/>
          <w:color w:val="auto"/>
          <w:sz w:val="24"/>
        </w:rPr>
        <w:t>étenues ou importées légalement.</w:t>
      </w:r>
    </w:p>
    <w:p w:rsidR="002A06C7" w:rsidRDefault="00334C44">
      <w:pPr>
        <w:pStyle w:val="Body"/>
        <w:spacing w:before="240"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La Commission continuera par ailleurs de soutenir pleinement les </w:t>
      </w:r>
      <w:r>
        <w:rPr>
          <w:rFonts w:ascii="Times New Roman" w:hAnsi="Times New Roman"/>
          <w:b/>
          <w:noProof/>
          <w:sz w:val="24"/>
        </w:rPr>
        <w:t>activités du groupe d’experts européens en armes à feu</w:t>
      </w:r>
      <w:r>
        <w:rPr>
          <w:rFonts w:ascii="Times New Roman" w:hAnsi="Times New Roman"/>
          <w:noProof/>
          <w:sz w:val="24"/>
          <w:vertAlign w:val="superscript"/>
        </w:rPr>
        <w:footnoteReference w:id="30"/>
      </w:r>
      <w:r>
        <w:rPr>
          <w:rFonts w:ascii="Times New Roman" w:hAnsi="Times New Roman"/>
          <w:noProof/>
          <w:sz w:val="24"/>
        </w:rPr>
        <w:t xml:space="preserve"> dans le but d’élaborer un </w:t>
      </w:r>
      <w:r>
        <w:rPr>
          <w:rFonts w:ascii="Times New Roman" w:hAnsi="Times New Roman"/>
          <w:b/>
          <w:noProof/>
          <w:sz w:val="24"/>
        </w:rPr>
        <w:t>manuel sur le pistage et le traçage des armes à feu illicites</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 xml:space="preserve">Inspiré de </w:t>
      </w:r>
      <w:r>
        <w:rPr>
          <w:rFonts w:ascii="Times New Roman" w:hAnsi="Times New Roman"/>
          <w:noProof/>
          <w:sz w:val="24"/>
        </w:rPr>
        <w:t>l’instrument international de traçage et des pratiques optimales internationales à l’origine des normes internationales des Nations unies sur le contrôle des armes légères (ISACS)</w:t>
      </w:r>
      <w:r>
        <w:rPr>
          <w:rFonts w:ascii="Times New Roman" w:hAnsi="Times New Roman"/>
          <w:noProof/>
          <w:sz w:val="24"/>
          <w:vertAlign w:val="superscript"/>
        </w:rPr>
        <w:footnoteReference w:id="31"/>
      </w:r>
      <w:r>
        <w:rPr>
          <w:rFonts w:ascii="Times New Roman" w:hAnsi="Times New Roman"/>
          <w:noProof/>
          <w:sz w:val="24"/>
        </w:rPr>
        <w:t>, ce manuel sera distribué à toutes les autorités des États membres chargées</w:t>
      </w:r>
      <w:r>
        <w:rPr>
          <w:rFonts w:ascii="Times New Roman" w:hAnsi="Times New Roman"/>
          <w:noProof/>
          <w:sz w:val="24"/>
        </w:rPr>
        <w:t xml:space="preserve"> de faire respecter la loi. Les lignes directrices et les règles sur le traçage pourraient comporter une obligation de déclarer à Europol les risques de détournement aux fins d’usages criminels et de faciliter les demandes de traçage internationales.</w:t>
      </w:r>
    </w:p>
    <w:p w:rsidR="002A06C7" w:rsidRDefault="00334C44">
      <w:pPr>
        <w:pStyle w:val="Body"/>
        <w:keepNext/>
        <w:spacing w:before="240" w:after="0" w:line="240" w:lineRule="auto"/>
        <w:jc w:val="both"/>
        <w:rPr>
          <w:rFonts w:ascii="Times New Roman" w:eastAsia="Times New Roman" w:hAnsi="Times New Roman" w:cs="Times New Roman"/>
          <w:b/>
          <w:i/>
          <w:iCs/>
          <w:noProof/>
          <w:sz w:val="24"/>
          <w:szCs w:val="24"/>
        </w:rPr>
      </w:pPr>
      <w:r>
        <w:rPr>
          <w:rFonts w:ascii="Times New Roman" w:hAnsi="Times New Roman"/>
          <w:b/>
          <w:i/>
          <w:noProof/>
          <w:sz w:val="24"/>
        </w:rPr>
        <w:t>Améli</w:t>
      </w:r>
      <w:r>
        <w:rPr>
          <w:rFonts w:ascii="Times New Roman" w:hAnsi="Times New Roman"/>
          <w:b/>
          <w:i/>
          <w:noProof/>
          <w:sz w:val="24"/>
        </w:rPr>
        <w:t xml:space="preserve">orer la formation </w:t>
      </w:r>
    </w:p>
    <w:p w:rsidR="002A06C7" w:rsidRDefault="00334C44">
      <w:pPr>
        <w:pStyle w:val="Body"/>
        <w:spacing w:before="240" w:after="0" w:line="240" w:lineRule="auto"/>
        <w:jc w:val="both"/>
        <w:rPr>
          <w:rFonts w:ascii="Times New Roman" w:hAnsi="Times New Roman"/>
          <w:noProof/>
          <w:sz w:val="24"/>
          <w:szCs w:val="24"/>
          <w:highlight w:val="yellow"/>
        </w:rPr>
      </w:pPr>
      <w:r>
        <w:rPr>
          <w:rFonts w:ascii="Times New Roman" w:hAnsi="Times New Roman"/>
          <w:noProof/>
          <w:sz w:val="24"/>
        </w:rPr>
        <w:t>La formation est essentielle pour accroître le niveau d’expertise et, partant, améliorer la coopération au sein de l’UE. La réalisation de contrôles efficaces et réguliers aux frontières extérieures requiert en outre un échange concret d</w:t>
      </w:r>
      <w:r>
        <w:rPr>
          <w:rFonts w:ascii="Times New Roman" w:hAnsi="Times New Roman"/>
          <w:noProof/>
          <w:sz w:val="24"/>
        </w:rPr>
        <w:t>e bonnes pratiques, de connaissances et d’informations. Le CEPOL</w:t>
      </w:r>
      <w:r>
        <w:rPr>
          <w:rStyle w:val="FootnoteReference"/>
          <w:rFonts w:ascii="Times New Roman" w:hAnsi="Times New Roman"/>
          <w:noProof/>
          <w:sz w:val="24"/>
        </w:rPr>
        <w:footnoteReference w:id="32"/>
      </w:r>
      <w:r>
        <w:rPr>
          <w:rFonts w:ascii="Times New Roman" w:hAnsi="Times New Roman"/>
          <w:noProof/>
          <w:sz w:val="24"/>
        </w:rPr>
        <w:t xml:space="preserve"> poursuivra ses activités dans ce domaine et procédera à une «analyse des lacunes» afin de comprendre les besoins de formation actuels. Cet exercice pourrait conduire à l’élaboration de progr</w:t>
      </w:r>
      <w:r>
        <w:rPr>
          <w:rFonts w:ascii="Times New Roman" w:hAnsi="Times New Roman"/>
          <w:noProof/>
          <w:sz w:val="24"/>
        </w:rPr>
        <w:t xml:space="preserve">ammes d’études </w:t>
      </w:r>
      <w:r>
        <w:rPr>
          <w:rFonts w:ascii="Times New Roman" w:hAnsi="Times New Roman"/>
          <w:b/>
          <w:noProof/>
          <w:sz w:val="24"/>
        </w:rPr>
        <w:t>communs sur les armes à feu et les explosifs</w:t>
      </w:r>
      <w:r>
        <w:rPr>
          <w:rFonts w:ascii="Times New Roman" w:hAnsi="Times New Roman"/>
          <w:noProof/>
          <w:sz w:val="24"/>
        </w:rPr>
        <w:t xml:space="preserve"> pour tous les experts nationaux, en coopération avec le réseau européen d’unités de neutralisation des explosifs et munitions (EEODN)</w:t>
      </w:r>
      <w:r>
        <w:rPr>
          <w:rStyle w:val="FootnoteReference"/>
          <w:rFonts w:ascii="Times New Roman" w:hAnsi="Times New Roman"/>
          <w:noProof/>
          <w:sz w:val="24"/>
        </w:rPr>
        <w:footnoteReference w:id="33"/>
      </w:r>
      <w:r>
        <w:rPr>
          <w:rFonts w:ascii="Times New Roman" w:hAnsi="Times New Roman"/>
          <w:noProof/>
          <w:sz w:val="24"/>
        </w:rPr>
        <w:t>. Le CEPOL étudiera en outre la possibilité de concevoir des p</w:t>
      </w:r>
      <w:r>
        <w:rPr>
          <w:rFonts w:ascii="Times New Roman" w:hAnsi="Times New Roman"/>
          <w:noProof/>
          <w:sz w:val="24"/>
        </w:rPr>
        <w:t>rogrammes de formation avec des spécialistes en armes à feu de pays tiers.</w:t>
      </w:r>
      <w:r>
        <w:rPr>
          <w:rFonts w:ascii="Times New Roman" w:hAnsi="Times New Roman"/>
          <w:noProof/>
          <w:sz w:val="24"/>
          <w:highlight w:val="yellow"/>
        </w:rPr>
        <w:t xml:space="preserve"> </w:t>
      </w:r>
    </w:p>
    <w:p w:rsidR="002A06C7" w:rsidRDefault="00334C44">
      <w:pPr>
        <w:pStyle w:val="Body"/>
        <w:spacing w:before="240" w:after="0" w:line="240" w:lineRule="auto"/>
        <w:jc w:val="both"/>
        <w:rPr>
          <w:rFonts w:ascii="Times New Roman" w:hAnsi="Times New Roman"/>
          <w:b/>
          <w:i/>
          <w:noProof/>
          <w:sz w:val="24"/>
          <w:szCs w:val="24"/>
        </w:rPr>
      </w:pPr>
      <w:r>
        <w:rPr>
          <w:rFonts w:ascii="Times New Roman" w:hAnsi="Times New Roman"/>
          <w:b/>
          <w:i/>
          <w:noProof/>
          <w:sz w:val="24"/>
        </w:rPr>
        <w:t>Concevoir des outils de détection innovants</w:t>
      </w:r>
    </w:p>
    <w:p w:rsidR="002A06C7" w:rsidRDefault="00334C44">
      <w:pPr>
        <w:pStyle w:val="Body"/>
        <w:spacing w:before="240" w:after="0" w:line="240" w:lineRule="auto"/>
        <w:jc w:val="both"/>
        <w:rPr>
          <w:rFonts w:ascii="Times New Roman" w:eastAsia="Times New Roman" w:hAnsi="Times New Roman" w:cs="Times New Roman"/>
          <w:noProof/>
          <w:sz w:val="24"/>
          <w:szCs w:val="24"/>
        </w:rPr>
      </w:pPr>
      <w:r>
        <w:rPr>
          <w:rFonts w:ascii="Times New Roman" w:hAnsi="Times New Roman"/>
          <w:noProof/>
          <w:sz w:val="24"/>
        </w:rPr>
        <w:t>Dans sa communication de 2014 sur la détection, la Commission a souligné qu’une stratégie efficace de détection des menaces</w:t>
      </w:r>
      <w:r>
        <w:rPr>
          <w:rStyle w:val="FootnoteReference"/>
          <w:rFonts w:ascii="Times New Roman" w:hAnsi="Times New Roman"/>
          <w:noProof/>
          <w:sz w:val="24"/>
        </w:rPr>
        <w:footnoteReference w:id="34"/>
      </w:r>
      <w:r>
        <w:rPr>
          <w:rFonts w:ascii="Times New Roman" w:hAnsi="Times New Roman"/>
          <w:noProof/>
          <w:sz w:val="24"/>
        </w:rPr>
        <w:t xml:space="preserve"> ne pouvait </w:t>
      </w:r>
      <w:r>
        <w:rPr>
          <w:rFonts w:ascii="Times New Roman" w:hAnsi="Times New Roman"/>
          <w:noProof/>
          <w:sz w:val="24"/>
        </w:rPr>
        <w:t xml:space="preserve">être menée à bien que si les substances représentant une menace et l’environnement (aviation, espaces publics, manifestations sportives, zones de transports urbains, etc.) étaient dûment pris en considération. Si l’aviation civile possède des normes </w:t>
      </w:r>
      <w:r>
        <w:rPr>
          <w:rFonts w:ascii="Times New Roman" w:hAnsi="Times New Roman"/>
          <w:noProof/>
          <w:color w:val="auto"/>
          <w:sz w:val="24"/>
        </w:rPr>
        <w:t>spécif</w:t>
      </w:r>
      <w:r>
        <w:rPr>
          <w:rFonts w:ascii="Times New Roman" w:hAnsi="Times New Roman"/>
          <w:noProof/>
          <w:color w:val="auto"/>
          <w:sz w:val="24"/>
        </w:rPr>
        <w:t xml:space="preserve">iques </w:t>
      </w:r>
      <w:r>
        <w:rPr>
          <w:rFonts w:ascii="Times New Roman" w:hAnsi="Times New Roman"/>
          <w:noProof/>
          <w:sz w:val="24"/>
        </w:rPr>
        <w:t>sur les technologies et les procédures de détection, ce n’est pas le cas à ce jour dans les autres espaces publics (manifestations sportives, autres modes de transport et infrastructures critiques). Davantage d’efforts doivent être consentis à la foi</w:t>
      </w:r>
      <w:r>
        <w:rPr>
          <w:rFonts w:ascii="Times New Roman" w:hAnsi="Times New Roman"/>
          <w:noProof/>
          <w:sz w:val="24"/>
        </w:rPr>
        <w:t>s dans l’utilisation des technologies de détection et pour l’uniformisation de leur utilisation. La Commission a démarré en 2012 un programme dans le cadre duquel des essais de détection ont été menés dans différents milieux opérationnels (aéroports, infra</w:t>
      </w:r>
      <w:r>
        <w:rPr>
          <w:rFonts w:ascii="Times New Roman" w:hAnsi="Times New Roman"/>
          <w:noProof/>
          <w:sz w:val="24"/>
        </w:rPr>
        <w:t>structures critiques, bâtiments publics et manifestations, comme l’Euro 2012 en Pologne)</w:t>
      </w:r>
      <w:r>
        <w:rPr>
          <w:rStyle w:val="FootnoteReference"/>
          <w:rFonts w:ascii="Times New Roman" w:hAnsi="Times New Roman"/>
          <w:noProof/>
          <w:sz w:val="24"/>
        </w:rPr>
        <w:footnoteReference w:id="35"/>
      </w:r>
      <w:r>
        <w:rPr>
          <w:rFonts w:ascii="Times New Roman" w:hAnsi="Times New Roman"/>
          <w:noProof/>
          <w:sz w:val="24"/>
        </w:rPr>
        <w:t>.</w:t>
      </w:r>
    </w:p>
    <w:p w:rsidR="002A06C7" w:rsidRDefault="00334C44">
      <w:pPr>
        <w:pStyle w:val="Body"/>
        <w:spacing w:before="240" w:after="0" w:line="240" w:lineRule="auto"/>
        <w:jc w:val="both"/>
        <w:rPr>
          <w:rFonts w:ascii="Times New Roman" w:hAnsi="Times New Roman"/>
          <w:noProof/>
          <w:sz w:val="24"/>
        </w:rPr>
      </w:pPr>
      <w:r>
        <w:rPr>
          <w:rFonts w:ascii="Times New Roman" w:hAnsi="Times New Roman"/>
          <w:noProof/>
          <w:sz w:val="24"/>
        </w:rPr>
        <w:t xml:space="preserve">Sur la base des actions précitées, la Commission étudiera s’il est faisable de constituer une </w:t>
      </w:r>
      <w:r>
        <w:rPr>
          <w:rFonts w:ascii="Times New Roman" w:hAnsi="Times New Roman"/>
          <w:b/>
          <w:noProof/>
          <w:sz w:val="24"/>
        </w:rPr>
        <w:t>équipe de détection de l’UE</w:t>
      </w:r>
      <w:r>
        <w:rPr>
          <w:rFonts w:ascii="Times New Roman" w:hAnsi="Times New Roman"/>
          <w:noProof/>
          <w:sz w:val="24"/>
        </w:rPr>
        <w:t>, composée d’experts de la Commission et des États membres, qui serait chargée d'élaborer un programme de renforcement des capacités et de soutien dans le domaine de la détection des explosifs et des armes à feu. Cette équipe pourrait se concentrer dans un</w:t>
      </w:r>
      <w:r>
        <w:rPr>
          <w:rFonts w:ascii="Times New Roman" w:hAnsi="Times New Roman"/>
          <w:noProof/>
          <w:sz w:val="24"/>
        </w:rPr>
        <w:t xml:space="preserve"> premier temps sur la </w:t>
      </w:r>
      <w:r>
        <w:rPr>
          <w:rFonts w:ascii="Times New Roman" w:hAnsi="Times New Roman"/>
          <w:b/>
          <w:noProof/>
          <w:sz w:val="24"/>
        </w:rPr>
        <w:t>fourniture d’une aide</w:t>
      </w:r>
      <w:r>
        <w:rPr>
          <w:rFonts w:ascii="Times New Roman" w:hAnsi="Times New Roman"/>
          <w:noProof/>
          <w:sz w:val="24"/>
        </w:rPr>
        <w:t xml:space="preserve"> aux autorités répressives et autres services compétents des États membres et ses missions seraient ensuite étoffées selon les nécessités.</w:t>
      </w:r>
    </w:p>
    <w:p w:rsidR="00334C44" w:rsidRDefault="00334C44">
      <w:pPr>
        <w:pStyle w:val="Body"/>
        <w:spacing w:before="240" w:after="0" w:line="240" w:lineRule="auto"/>
        <w:jc w:val="both"/>
        <w:rPr>
          <w:rFonts w:ascii="Times New Roman" w:hAnsi="Times New Roman"/>
          <w:noProof/>
          <w:sz w:val="24"/>
          <w:szCs w:val="24"/>
        </w:rPr>
      </w:pPr>
    </w:p>
    <w:p w:rsidR="002A06C7" w:rsidRDefault="002A06C7">
      <w:pPr>
        <w:pStyle w:val="Body"/>
        <w:spacing w:after="0" w:line="240" w:lineRule="auto"/>
        <w:jc w:val="both"/>
        <w:rPr>
          <w:rFonts w:ascii="Times New Roman" w:hAnsi="Times New Roman"/>
          <w:noProof/>
          <w:sz w:val="24"/>
          <w:szCs w:val="24"/>
        </w:rPr>
      </w:pPr>
    </w:p>
    <w:tbl>
      <w:tblPr>
        <w:tblW w:w="9336"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36"/>
      </w:tblGrid>
      <w:tr w:rsidR="002A06C7">
        <w:trPr>
          <w:trHeight w:val="348"/>
        </w:trPr>
        <w:tc>
          <w:tcPr>
            <w:tcW w:w="9336" w:type="dxa"/>
          </w:tcPr>
          <w:p w:rsidR="002A06C7" w:rsidRDefault="00334C44">
            <w:pPr>
              <w:pStyle w:val="Body"/>
              <w:pBdr>
                <w:top w:val="none" w:sz="0" w:space="0" w:color="auto"/>
                <w:left w:val="none" w:sz="0" w:space="0" w:color="auto"/>
                <w:bottom w:val="none" w:sz="0" w:space="0" w:color="auto"/>
                <w:right w:val="none" w:sz="0" w:space="0" w:color="auto"/>
                <w:between w:val="none" w:sz="0" w:space="0" w:color="auto"/>
              </w:pBdr>
              <w:spacing w:before="120" w:after="0" w:line="240" w:lineRule="auto"/>
              <w:ind w:left="130"/>
              <w:rPr>
                <w:rFonts w:ascii="Times New Roman" w:hAnsi="Times New Roman"/>
                <w:b/>
                <w:bCs/>
                <w:noProof/>
                <w:sz w:val="24"/>
                <w:szCs w:val="24"/>
              </w:rPr>
            </w:pPr>
            <w:r>
              <w:rPr>
                <w:rFonts w:ascii="Times New Roman" w:hAnsi="Times New Roman"/>
                <w:b/>
                <w:noProof/>
                <w:sz w:val="24"/>
              </w:rPr>
              <w:t>Actions spécifiques:</w:t>
            </w:r>
          </w:p>
          <w:p w:rsidR="002A06C7" w:rsidRDefault="00334C44">
            <w:pPr>
              <w:pStyle w:val="Body"/>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853"/>
              <w:jc w:val="both"/>
              <w:rPr>
                <w:rFonts w:ascii="Times New Roman" w:hAnsi="Times New Roman"/>
                <w:i/>
                <w:iCs/>
                <w:noProof/>
                <w:sz w:val="24"/>
                <w:szCs w:val="24"/>
              </w:rPr>
            </w:pPr>
            <w:r>
              <w:rPr>
                <w:rFonts w:ascii="Times New Roman" w:hAnsi="Times New Roman"/>
                <w:i/>
                <w:noProof/>
                <w:sz w:val="24"/>
              </w:rPr>
              <w:t>Accroître la coopération transfrontière par:</w:t>
            </w:r>
          </w:p>
          <w:p w:rsidR="002A06C7" w:rsidRDefault="00334C44">
            <w:pPr>
              <w:pStyle w:val="Body"/>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573"/>
              <w:jc w:val="both"/>
              <w:rPr>
                <w:rFonts w:ascii="Times New Roman" w:eastAsia="Times New Roman" w:hAnsi="Times New Roman" w:cs="Times New Roman"/>
                <w:i/>
                <w:iCs/>
                <w:noProof/>
                <w:sz w:val="24"/>
                <w:szCs w:val="24"/>
              </w:rPr>
            </w:pPr>
            <w:r>
              <w:rPr>
                <w:rFonts w:ascii="Times New Roman" w:hAnsi="Times New Roman"/>
                <w:i/>
                <w:noProof/>
                <w:sz w:val="24"/>
              </w:rPr>
              <w:t>la mise</w:t>
            </w:r>
            <w:r>
              <w:rPr>
                <w:rFonts w:ascii="Times New Roman" w:hAnsi="Times New Roman"/>
                <w:i/>
                <w:noProof/>
                <w:sz w:val="24"/>
              </w:rPr>
              <w:t xml:space="preserve"> en œuvre complète du plan d’action opérationnel (PAO) sur les armes à feu;</w:t>
            </w:r>
          </w:p>
          <w:p w:rsidR="002A06C7" w:rsidRDefault="00334C44">
            <w:pPr>
              <w:pStyle w:val="Body"/>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573"/>
              <w:jc w:val="both"/>
              <w:rPr>
                <w:rFonts w:ascii="Times New Roman" w:eastAsia="Times New Roman" w:hAnsi="Times New Roman" w:cs="Times New Roman"/>
                <w:i/>
                <w:iCs/>
                <w:noProof/>
                <w:sz w:val="24"/>
                <w:szCs w:val="24"/>
              </w:rPr>
            </w:pPr>
            <w:r>
              <w:rPr>
                <w:rFonts w:ascii="Times New Roman" w:hAnsi="Times New Roman"/>
                <w:i/>
                <w:noProof/>
                <w:sz w:val="24"/>
              </w:rPr>
              <w:t>une coopération accrue pour perturber l’approvisionnement en armes à feu illicites en ligne (web visible et invisible);</w:t>
            </w:r>
          </w:p>
          <w:p w:rsidR="002A06C7" w:rsidRDefault="00334C44">
            <w:pPr>
              <w:pStyle w:val="Body"/>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573"/>
              <w:jc w:val="both"/>
              <w:rPr>
                <w:rFonts w:ascii="Times New Roman" w:hAnsi="Times New Roman"/>
                <w:i/>
                <w:iCs/>
                <w:noProof/>
                <w:sz w:val="24"/>
                <w:szCs w:val="24"/>
              </w:rPr>
            </w:pPr>
            <w:r>
              <w:rPr>
                <w:rFonts w:ascii="Times New Roman" w:hAnsi="Times New Roman"/>
                <w:i/>
                <w:noProof/>
                <w:sz w:val="24"/>
              </w:rPr>
              <w:t xml:space="preserve">l’étude des modalités d’un système d’échange d’informations </w:t>
            </w:r>
            <w:r>
              <w:rPr>
                <w:rFonts w:ascii="Times New Roman" w:hAnsi="Times New Roman"/>
                <w:i/>
                <w:noProof/>
                <w:sz w:val="24"/>
              </w:rPr>
              <w:t>sur la circulation d’armes à feu au sein de l’UE en tenant compte des systèmes et instruments européens d’information pertinents qui existent déjà;</w:t>
            </w:r>
          </w:p>
          <w:p w:rsidR="002A06C7" w:rsidRDefault="00334C44">
            <w:pPr>
              <w:pStyle w:val="Body"/>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573"/>
              <w:jc w:val="both"/>
              <w:rPr>
                <w:rFonts w:ascii="Times New Roman" w:hAnsi="Times New Roman"/>
                <w:i/>
                <w:iCs/>
                <w:noProof/>
                <w:sz w:val="24"/>
                <w:szCs w:val="24"/>
              </w:rPr>
            </w:pPr>
            <w:r>
              <w:rPr>
                <w:rFonts w:ascii="Times New Roman" w:hAnsi="Times New Roman"/>
                <w:i/>
                <w:noProof/>
                <w:sz w:val="24"/>
              </w:rPr>
              <w:t>l’étude de la possibilité d’interdire les règlements en espèces pour les opérations d’achat et de vente d’ar</w:t>
            </w:r>
            <w:r>
              <w:rPr>
                <w:rFonts w:ascii="Times New Roman" w:hAnsi="Times New Roman"/>
                <w:i/>
                <w:noProof/>
                <w:sz w:val="24"/>
              </w:rPr>
              <w:t>mes à feu et de munitions par des personnes physiques</w:t>
            </w:r>
          </w:p>
          <w:p w:rsidR="002A06C7" w:rsidRDefault="00334C44">
            <w:pPr>
              <w:pStyle w:val="Body"/>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573"/>
              <w:jc w:val="both"/>
              <w:rPr>
                <w:rFonts w:ascii="Times New Roman" w:hAnsi="Times New Roman"/>
                <w:i/>
                <w:iCs/>
                <w:noProof/>
                <w:sz w:val="24"/>
                <w:szCs w:val="24"/>
              </w:rPr>
            </w:pPr>
            <w:r>
              <w:rPr>
                <w:rFonts w:ascii="Times New Roman" w:hAnsi="Times New Roman"/>
                <w:i/>
                <w:noProof/>
                <w:sz w:val="24"/>
              </w:rPr>
              <w:t>le renforcement des contrôles aux frontières extérieures en contrôlant les marchandises en fonction des risques et en créant une action de contrôles douaniers prioritaires.</w:t>
            </w:r>
          </w:p>
          <w:p w:rsidR="002A06C7" w:rsidRDefault="00334C44">
            <w:pPr>
              <w:pStyle w:val="Body"/>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853"/>
              <w:jc w:val="both"/>
              <w:rPr>
                <w:rFonts w:ascii="Times New Roman" w:hAnsi="Times New Roman"/>
                <w:i/>
                <w:noProof/>
                <w:sz w:val="24"/>
                <w:szCs w:val="24"/>
              </w:rPr>
            </w:pPr>
            <w:r>
              <w:rPr>
                <w:rFonts w:ascii="Times New Roman" w:hAnsi="Times New Roman"/>
                <w:i/>
                <w:noProof/>
                <w:sz w:val="24"/>
              </w:rPr>
              <w:t>Améliorer le traçage des arme</w:t>
            </w:r>
            <w:r>
              <w:rPr>
                <w:rFonts w:ascii="Times New Roman" w:hAnsi="Times New Roman"/>
                <w:i/>
                <w:noProof/>
                <w:sz w:val="24"/>
              </w:rPr>
              <w:t>s à feu par l’élaboration d’un manuel sur le pistage et le traçage des armes à feu illicites dans le cadre du groupe d’experts européens en armes à feu.</w:t>
            </w:r>
          </w:p>
          <w:p w:rsidR="002A06C7" w:rsidRDefault="00334C44">
            <w:pPr>
              <w:pStyle w:val="Body"/>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853"/>
              <w:jc w:val="both"/>
              <w:rPr>
                <w:rFonts w:ascii="Times New Roman" w:hAnsi="Times New Roman"/>
                <w:i/>
                <w:noProof/>
                <w:sz w:val="24"/>
                <w:szCs w:val="24"/>
              </w:rPr>
            </w:pPr>
            <w:r>
              <w:rPr>
                <w:rFonts w:ascii="Times New Roman" w:hAnsi="Times New Roman"/>
                <w:i/>
                <w:noProof/>
                <w:sz w:val="24"/>
              </w:rPr>
              <w:t xml:space="preserve">Élaborer des programmes d’études communs sur les armes à feu et les explosifs. </w:t>
            </w:r>
          </w:p>
          <w:p w:rsidR="002A06C7" w:rsidRDefault="00334C44">
            <w:pPr>
              <w:pStyle w:val="Body"/>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853"/>
              <w:jc w:val="both"/>
              <w:rPr>
                <w:noProof/>
              </w:rPr>
            </w:pPr>
            <w:r>
              <w:rPr>
                <w:rFonts w:ascii="Times New Roman" w:hAnsi="Times New Roman"/>
                <w:i/>
                <w:noProof/>
                <w:sz w:val="24"/>
              </w:rPr>
              <w:t>Concevoir des outils de</w:t>
            </w:r>
            <w:r>
              <w:rPr>
                <w:rFonts w:ascii="Times New Roman" w:hAnsi="Times New Roman"/>
                <w:i/>
                <w:noProof/>
                <w:sz w:val="24"/>
              </w:rPr>
              <w:t xml:space="preserve"> détection innovants.</w:t>
            </w:r>
          </w:p>
          <w:p w:rsidR="002A06C7" w:rsidRDefault="00334C44">
            <w:pPr>
              <w:pStyle w:val="Body"/>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after="120" w:line="240" w:lineRule="auto"/>
              <w:ind w:left="850" w:hanging="357"/>
              <w:jc w:val="both"/>
              <w:rPr>
                <w:noProof/>
              </w:rPr>
            </w:pPr>
            <w:r>
              <w:rPr>
                <w:rFonts w:ascii="Times New Roman" w:hAnsi="Times New Roman"/>
                <w:i/>
                <w:noProof/>
                <w:sz w:val="24"/>
              </w:rPr>
              <w:t>Mener des actions opérationnelles conjointes associant toutes les autorités répressives pertinentes.</w:t>
            </w:r>
          </w:p>
        </w:tc>
      </w:tr>
    </w:tbl>
    <w:p w:rsidR="002A06C7" w:rsidRDefault="00334C44">
      <w:pPr>
        <w:pStyle w:val="Heading1"/>
        <w:jc w:val="both"/>
        <w:rPr>
          <w:caps/>
          <w:smallCaps w:val="0"/>
          <w:noProof/>
        </w:rPr>
      </w:pPr>
      <w:r>
        <w:rPr>
          <w:caps/>
          <w:smallCaps w:val="0"/>
          <w:noProof/>
        </w:rPr>
        <w:t>AMÉLIORER LA COLLECTE ET LE PARTAGE D’INFORMATIONS OPÉRATIONNELLES EN TIRANT PARTI AU MIEUX dES OUTILS EXISTANTS</w:t>
      </w:r>
    </w:p>
    <w:p w:rsidR="002A06C7" w:rsidRDefault="00334C44">
      <w:pPr>
        <w:pStyle w:val="Body"/>
        <w:spacing w:before="240" w:after="0" w:line="240" w:lineRule="auto"/>
        <w:jc w:val="both"/>
        <w:rPr>
          <w:rFonts w:ascii="Times New Roman" w:hAnsi="Times New Roman"/>
          <w:noProof/>
          <w:sz w:val="24"/>
          <w:szCs w:val="24"/>
        </w:rPr>
      </w:pPr>
      <w:r>
        <w:rPr>
          <w:rFonts w:ascii="Times New Roman" w:hAnsi="Times New Roman"/>
          <w:noProof/>
          <w:sz w:val="24"/>
        </w:rPr>
        <w:t xml:space="preserve">Le </w:t>
      </w:r>
      <w:r>
        <w:rPr>
          <w:rFonts w:ascii="Times New Roman" w:hAnsi="Times New Roman"/>
          <w:b/>
          <w:noProof/>
          <w:sz w:val="24"/>
        </w:rPr>
        <w:t xml:space="preserve">programme </w:t>
      </w:r>
      <w:r>
        <w:rPr>
          <w:rFonts w:ascii="Times New Roman" w:hAnsi="Times New Roman"/>
          <w:b/>
          <w:noProof/>
          <w:sz w:val="24"/>
        </w:rPr>
        <w:t>européen en matière de sécurité</w:t>
      </w:r>
      <w:r>
        <w:rPr>
          <w:rFonts w:ascii="Times New Roman" w:hAnsi="Times New Roman"/>
          <w:noProof/>
          <w:sz w:val="24"/>
        </w:rPr>
        <w:t xml:space="preserve"> a mis en exergue la nécessité pressante de </w:t>
      </w:r>
      <w:r>
        <w:rPr>
          <w:rFonts w:ascii="Times New Roman" w:hAnsi="Times New Roman"/>
          <w:b/>
          <w:noProof/>
          <w:sz w:val="24"/>
        </w:rPr>
        <w:t>faire un usage maximal des outils existants</w:t>
      </w:r>
      <w:r>
        <w:rPr>
          <w:rFonts w:ascii="Times New Roman" w:hAnsi="Times New Roman"/>
          <w:noProof/>
          <w:sz w:val="24"/>
        </w:rPr>
        <w:t xml:space="preserve"> que l’Union met à la disposition des États membres pour faciliter l’</w:t>
      </w:r>
      <w:r>
        <w:rPr>
          <w:rFonts w:ascii="Times New Roman" w:hAnsi="Times New Roman"/>
          <w:b/>
          <w:noProof/>
          <w:sz w:val="24"/>
        </w:rPr>
        <w:t>échange d’informations</w:t>
      </w:r>
      <w:r>
        <w:rPr>
          <w:rFonts w:ascii="Times New Roman" w:hAnsi="Times New Roman"/>
          <w:noProof/>
          <w:sz w:val="24"/>
        </w:rPr>
        <w:t xml:space="preserve"> entre les autorités répressives nationales. Certaines lacunes critiques subsistantes pourraient rendre nécessaire la création d'outils européens supplémentaires, </w:t>
      </w:r>
      <w:r>
        <w:rPr>
          <w:rFonts w:ascii="Times New Roman" w:hAnsi="Times New Roman"/>
          <w:b/>
          <w:noProof/>
          <w:sz w:val="24"/>
        </w:rPr>
        <w:t>tout en assurant l’interopérabilité effective des systèmes déjà en place</w:t>
      </w:r>
      <w:r>
        <w:rPr>
          <w:rFonts w:ascii="Times New Roman" w:hAnsi="Times New Roman"/>
          <w:noProof/>
          <w:sz w:val="24"/>
        </w:rPr>
        <w:t>.</w:t>
      </w:r>
    </w:p>
    <w:p w:rsidR="002A06C7" w:rsidRDefault="00334C44">
      <w:pPr>
        <w:pStyle w:val="Body"/>
        <w:spacing w:before="240" w:after="0" w:line="240" w:lineRule="auto"/>
        <w:jc w:val="both"/>
        <w:rPr>
          <w:rFonts w:ascii="Times New Roman" w:hAnsi="Times New Roman"/>
          <w:noProof/>
          <w:sz w:val="24"/>
          <w:szCs w:val="24"/>
        </w:rPr>
      </w:pPr>
      <w:r>
        <w:rPr>
          <w:rFonts w:ascii="Times New Roman" w:hAnsi="Times New Roman"/>
          <w:noProof/>
          <w:sz w:val="24"/>
        </w:rPr>
        <w:t>L’existence de diff</w:t>
      </w:r>
      <w:r>
        <w:rPr>
          <w:rFonts w:ascii="Times New Roman" w:hAnsi="Times New Roman"/>
          <w:noProof/>
          <w:sz w:val="24"/>
        </w:rPr>
        <w:t>érents systèmes d’échange d’informations, qui sont utilisés par différentes autorités répressives pour différentes finalités, mais sont tous pertinents pour la lutte contre le trafic illicite d’armes à feu et d’explosifs, illustre la nécessité d’une meille</w:t>
      </w:r>
      <w:r>
        <w:rPr>
          <w:rFonts w:ascii="Times New Roman" w:hAnsi="Times New Roman"/>
          <w:noProof/>
          <w:sz w:val="24"/>
        </w:rPr>
        <w:t xml:space="preserve">ure interconnectivité technique. La Commission examinera donc comment garantir au mieux la compatibilité effective entre ces systèmes. </w:t>
      </w:r>
    </w:p>
    <w:p w:rsidR="002A06C7" w:rsidRDefault="00334C44">
      <w:pPr>
        <w:pStyle w:val="Body"/>
        <w:spacing w:before="240" w:after="0" w:line="240" w:lineRule="auto"/>
        <w:jc w:val="both"/>
        <w:rPr>
          <w:rFonts w:ascii="Times New Roman" w:hAnsi="Times New Roman"/>
          <w:noProof/>
          <w:sz w:val="24"/>
          <w:szCs w:val="24"/>
        </w:rPr>
      </w:pPr>
      <w:r>
        <w:rPr>
          <w:rFonts w:ascii="Times New Roman" w:hAnsi="Times New Roman"/>
          <w:noProof/>
          <w:sz w:val="24"/>
        </w:rPr>
        <w:t>À cette fin, la Commission accordera une attention particulière à l’impératif d’intensifier la coopération entre les ser</w:t>
      </w:r>
      <w:r>
        <w:rPr>
          <w:rFonts w:ascii="Times New Roman" w:hAnsi="Times New Roman"/>
          <w:noProof/>
          <w:sz w:val="24"/>
        </w:rPr>
        <w:t xml:space="preserve">vices policiers et douaniers, tout en prenant en considération le système d’échange d’informations sur la circulation d’armes à feu au sein de l’UE qui doit être conçu conformément au projet de directive révisée sur les armes à feu présenté le 18 novembre </w:t>
      </w:r>
      <w:r>
        <w:rPr>
          <w:rFonts w:ascii="Times New Roman" w:hAnsi="Times New Roman"/>
          <w:noProof/>
          <w:sz w:val="24"/>
        </w:rPr>
        <w:t>2015.</w:t>
      </w:r>
    </w:p>
    <w:p w:rsidR="002A06C7" w:rsidRDefault="00334C44">
      <w:pPr>
        <w:pStyle w:val="Body"/>
        <w:spacing w:before="240" w:after="0" w:line="240" w:lineRule="auto"/>
        <w:jc w:val="both"/>
        <w:rPr>
          <w:rFonts w:ascii="Times New Roman" w:eastAsia="Times New Roman" w:hAnsi="Times New Roman" w:cs="Times New Roman"/>
          <w:i/>
          <w:noProof/>
          <w:color w:val="auto"/>
          <w:sz w:val="24"/>
          <w:szCs w:val="24"/>
        </w:rPr>
      </w:pPr>
      <w:r>
        <w:rPr>
          <w:rFonts w:ascii="Times New Roman" w:hAnsi="Times New Roman"/>
          <w:b/>
          <w:i/>
          <w:noProof/>
          <w:color w:val="auto"/>
          <w:sz w:val="24"/>
        </w:rPr>
        <w:t>Garantir l’interopérabilité entre iARMS, le SIS II et l’UMF</w:t>
      </w:r>
      <w:r>
        <w:rPr>
          <w:rFonts w:ascii="Times New Roman" w:hAnsi="Times New Roman"/>
          <w:i/>
          <w:noProof/>
          <w:color w:val="auto"/>
          <w:sz w:val="24"/>
        </w:rPr>
        <w:t xml:space="preserve"> </w:t>
      </w:r>
    </w:p>
    <w:p w:rsidR="002A06C7" w:rsidRDefault="002A06C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eastAsia="Times New Roman"/>
          <w:noProof/>
          <w:bdr w:val="none" w:sz="0" w:space="0" w:color="auto"/>
        </w:rPr>
      </w:pPr>
    </w:p>
    <w:p w:rsidR="002A06C7" w:rsidRDefault="00334C4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eastAsia="Calibri" w:cs="Calibri"/>
          <w:noProof/>
        </w:rPr>
      </w:pPr>
      <w:r>
        <w:rPr>
          <w:noProof/>
        </w:rPr>
        <w:t>Dans le droit fil des conclusions du Conseil du 8 octobre 2015, la Commission invite les États membres à intégrer systématiquement les données relatives aux armes à feu recherchées dans le</w:t>
      </w:r>
      <w:r>
        <w:rPr>
          <w:noProof/>
        </w:rPr>
        <w:t xml:space="preserve"> SIS et à enregistrer davantage d’informations sur les armes à feu dans le système d’information Europol (SIE) et le système iARMS d’Interpol, le cas échéant.</w:t>
      </w:r>
    </w:p>
    <w:p w:rsidR="002A06C7" w:rsidRDefault="00334C44">
      <w:pPr>
        <w:pStyle w:val="Body"/>
        <w:spacing w:before="240" w:after="0" w:line="240" w:lineRule="auto"/>
        <w:jc w:val="both"/>
        <w:rPr>
          <w:rFonts w:ascii="Times New Roman" w:eastAsia="Times New Roman" w:hAnsi="Times New Roman" w:cs="Times New Roman"/>
          <w:noProof/>
          <w:sz w:val="20"/>
          <w:szCs w:val="24"/>
          <w:vertAlign w:val="superscript"/>
        </w:rPr>
      </w:pPr>
      <w:r>
        <w:rPr>
          <w:rFonts w:ascii="Times New Roman" w:hAnsi="Times New Roman"/>
          <w:noProof/>
          <w:sz w:val="24"/>
        </w:rPr>
        <w:t xml:space="preserve">L'interopérabilité entre le </w:t>
      </w:r>
      <w:r>
        <w:rPr>
          <w:rFonts w:ascii="Times New Roman" w:hAnsi="Times New Roman"/>
          <w:b/>
          <w:noProof/>
          <w:sz w:val="24"/>
        </w:rPr>
        <w:t>Système d'information Schengen</w:t>
      </w:r>
      <w:r>
        <w:rPr>
          <w:rFonts w:ascii="Times New Roman" w:hAnsi="Times New Roman"/>
          <w:noProof/>
          <w:sz w:val="24"/>
        </w:rPr>
        <w:t xml:space="preserve"> (SIS)</w:t>
      </w:r>
      <w:r>
        <w:rPr>
          <w:rStyle w:val="FootnoteReference"/>
          <w:rFonts w:ascii="Times New Roman" w:hAnsi="Times New Roman"/>
          <w:noProof/>
          <w:sz w:val="24"/>
        </w:rPr>
        <w:footnoteReference w:id="36"/>
      </w:r>
      <w:r>
        <w:rPr>
          <w:rFonts w:ascii="Times New Roman" w:hAnsi="Times New Roman"/>
          <w:noProof/>
          <w:sz w:val="24"/>
        </w:rPr>
        <w:t xml:space="preserve"> et le système iARMS d'Interpol</w:t>
      </w:r>
      <w:r>
        <w:rPr>
          <w:rFonts w:ascii="Times New Roman" w:hAnsi="Times New Roman"/>
          <w:noProof/>
          <w:sz w:val="24"/>
          <w:vertAlign w:val="superscript"/>
        </w:rPr>
        <w:footnoteReference w:id="37"/>
      </w:r>
      <w:r>
        <w:rPr>
          <w:rFonts w:ascii="Times New Roman" w:hAnsi="Times New Roman"/>
          <w:noProof/>
          <w:sz w:val="24"/>
        </w:rPr>
        <w:t xml:space="preserve"> faciliterait considérablement et rendrait plus effective l'action des autorités chargées d'appliquer la loi.</w:t>
      </w:r>
    </w:p>
    <w:p w:rsidR="002A06C7" w:rsidRDefault="00334C44">
      <w:pPr>
        <w:pStyle w:val="Body"/>
        <w:spacing w:before="240" w:after="0" w:line="240" w:lineRule="auto"/>
        <w:jc w:val="both"/>
        <w:rPr>
          <w:rFonts w:ascii="Times New Roman" w:hAnsi="Times New Roman"/>
          <w:noProof/>
          <w:sz w:val="24"/>
          <w:szCs w:val="24"/>
        </w:rPr>
      </w:pPr>
      <w:r>
        <w:rPr>
          <w:rFonts w:ascii="Times New Roman" w:hAnsi="Times New Roman"/>
          <w:noProof/>
          <w:sz w:val="24"/>
        </w:rPr>
        <w:t>En pratique, l’interopérabilité commence d’ores et déjà à prendre forme grâce aux actions conjointes permanentes de la Commission et d’Interpol. I</w:t>
      </w:r>
      <w:r>
        <w:rPr>
          <w:rFonts w:ascii="Times New Roman" w:hAnsi="Times New Roman"/>
          <w:noProof/>
          <w:sz w:val="24"/>
        </w:rPr>
        <w:t xml:space="preserve">nterpol a enrichi le logiciel FIND pour couvrir également les armes à feu et demandé à des États membres de se porter volontaires pour un </w:t>
      </w:r>
      <w:r>
        <w:rPr>
          <w:rFonts w:ascii="Times New Roman" w:hAnsi="Times New Roman"/>
          <w:b/>
          <w:noProof/>
          <w:sz w:val="24"/>
        </w:rPr>
        <w:t>projet pilote</w:t>
      </w:r>
      <w:r>
        <w:rPr>
          <w:rFonts w:ascii="Times New Roman" w:hAnsi="Times New Roman"/>
          <w:noProof/>
          <w:sz w:val="24"/>
        </w:rPr>
        <w:t xml:space="preserve"> sur la réalisation de recherches simultanées dans les bases de données nationales, le SIS et iARMS, qui </w:t>
      </w:r>
      <w:r>
        <w:rPr>
          <w:rFonts w:ascii="Times New Roman" w:hAnsi="Times New Roman"/>
          <w:noProof/>
          <w:sz w:val="24"/>
        </w:rPr>
        <w:t>se déroulera au premier semestre 2016. Enfin, les paramètres relatifs au «type d’arme à feu» peuvent faire l’objet d’une recherche dans les deux systèmes et les tableaux décrivant les modèles d’armes à feu peuvent être comparés.</w:t>
      </w:r>
    </w:p>
    <w:p w:rsidR="002A06C7" w:rsidRDefault="00334C44">
      <w:pPr>
        <w:pStyle w:val="Body"/>
        <w:spacing w:before="240" w:after="0" w:line="240" w:lineRule="auto"/>
        <w:jc w:val="both"/>
        <w:rPr>
          <w:rFonts w:ascii="Times New Roman" w:hAnsi="Times New Roman"/>
          <w:b/>
          <w:noProof/>
          <w:sz w:val="24"/>
          <w:szCs w:val="24"/>
        </w:rPr>
      </w:pPr>
      <w:r>
        <w:rPr>
          <w:rFonts w:ascii="Times New Roman" w:hAnsi="Times New Roman"/>
          <w:noProof/>
          <w:sz w:val="24"/>
        </w:rPr>
        <w:t xml:space="preserve">La Commission poursuivra sa </w:t>
      </w:r>
      <w:r>
        <w:rPr>
          <w:rFonts w:ascii="Times New Roman" w:hAnsi="Times New Roman"/>
          <w:b/>
          <w:noProof/>
          <w:sz w:val="24"/>
        </w:rPr>
        <w:t>coopération avec Europol, Interpol et les États membres</w:t>
      </w:r>
      <w:r>
        <w:rPr>
          <w:rStyle w:val="FootnoteReference"/>
          <w:rFonts w:ascii="Times New Roman" w:hAnsi="Times New Roman"/>
          <w:noProof/>
          <w:sz w:val="24"/>
        </w:rPr>
        <w:footnoteReference w:id="38"/>
      </w:r>
      <w:r>
        <w:rPr>
          <w:rFonts w:ascii="Times New Roman" w:hAnsi="Times New Roman"/>
          <w:noProof/>
          <w:sz w:val="24"/>
        </w:rPr>
        <w:t xml:space="preserve"> dans le but de garantir l’interopérabilité des deux systèmes d’ici juillet 2016. Dans cette optique, la Commission appelle les </w:t>
      </w:r>
      <w:r>
        <w:rPr>
          <w:rFonts w:ascii="Times New Roman" w:hAnsi="Times New Roman"/>
          <w:b/>
          <w:noProof/>
          <w:sz w:val="24"/>
        </w:rPr>
        <w:t>États membres à participer au projet pilote</w:t>
      </w:r>
      <w:r>
        <w:rPr>
          <w:rFonts w:ascii="Times New Roman" w:hAnsi="Times New Roman"/>
          <w:noProof/>
          <w:sz w:val="24"/>
        </w:rPr>
        <w:t>.</w:t>
      </w:r>
    </w:p>
    <w:p w:rsidR="002A06C7" w:rsidRDefault="00334C44">
      <w:pPr>
        <w:pStyle w:val="Body"/>
        <w:spacing w:before="240" w:after="0" w:line="240" w:lineRule="auto"/>
        <w:jc w:val="both"/>
        <w:rPr>
          <w:rFonts w:ascii="Times New Roman" w:hAnsi="Times New Roman"/>
          <w:b/>
          <w:noProof/>
          <w:sz w:val="24"/>
          <w:szCs w:val="24"/>
        </w:rPr>
      </w:pPr>
      <w:r>
        <w:rPr>
          <w:rFonts w:ascii="Times New Roman" w:hAnsi="Times New Roman"/>
          <w:noProof/>
          <w:sz w:val="24"/>
        </w:rPr>
        <w:t>Dans le même temps, l’octroi d’un droit d’accès à toutes les autorités nationales chargées de l'application de la loi, les autorités chargées des frontières et les autorités douanières, dans le cadre de leur mandat respectif, augmenterait sensiblement l’e</w:t>
      </w:r>
      <w:r>
        <w:rPr>
          <w:rFonts w:ascii="Times New Roman" w:hAnsi="Times New Roman"/>
          <w:noProof/>
          <w:sz w:val="24"/>
        </w:rPr>
        <w:t>fficacité des activités opérationnelles sur le terrain. La possibilité d’introduire ou de rechercher simultanément des informations dans plusieurs bases de données contenant des informations similaires ou complémentaires doit continuer d’être exploitée.</w:t>
      </w:r>
    </w:p>
    <w:p w:rsidR="002A06C7" w:rsidRDefault="00334C44">
      <w:pPr>
        <w:pStyle w:val="Body"/>
        <w:spacing w:before="240" w:after="0" w:line="240" w:lineRule="auto"/>
        <w:jc w:val="both"/>
        <w:rPr>
          <w:rFonts w:ascii="Times New Roman" w:hAnsi="Times New Roman"/>
          <w:b/>
          <w:i/>
          <w:noProof/>
          <w:sz w:val="24"/>
          <w:szCs w:val="24"/>
        </w:rPr>
      </w:pPr>
      <w:r>
        <w:rPr>
          <w:rFonts w:ascii="Times New Roman" w:hAnsi="Times New Roman"/>
          <w:b/>
          <w:i/>
          <w:noProof/>
          <w:sz w:val="24"/>
        </w:rPr>
        <w:t>Am</w:t>
      </w:r>
      <w:r>
        <w:rPr>
          <w:rFonts w:ascii="Times New Roman" w:hAnsi="Times New Roman"/>
          <w:b/>
          <w:i/>
          <w:noProof/>
          <w:sz w:val="24"/>
        </w:rPr>
        <w:t>éliorer l’échange d’informations balistiques</w:t>
      </w:r>
    </w:p>
    <w:p w:rsidR="002A06C7" w:rsidRDefault="00334C44">
      <w:pPr>
        <w:pStyle w:val="Body"/>
        <w:spacing w:before="240" w:after="0" w:line="240" w:lineRule="auto"/>
        <w:jc w:val="both"/>
        <w:rPr>
          <w:rFonts w:ascii="Times New Roman" w:hAnsi="Times New Roman"/>
          <w:noProof/>
          <w:sz w:val="24"/>
          <w:szCs w:val="24"/>
        </w:rPr>
      </w:pPr>
      <w:r>
        <w:rPr>
          <w:rFonts w:ascii="Times New Roman" w:hAnsi="Times New Roman"/>
          <w:noProof/>
          <w:sz w:val="24"/>
        </w:rPr>
        <w:t>La plupart des armes à feu possèdent des caractéristiques d’identification uniques, et même si l’arme n’a pas été laissée sur la scène d’un crime, de précieuses informations peuvent quand même être recueillies à</w:t>
      </w:r>
      <w:r>
        <w:rPr>
          <w:rFonts w:ascii="Times New Roman" w:hAnsi="Times New Roman"/>
          <w:noProof/>
          <w:sz w:val="24"/>
        </w:rPr>
        <w:t xml:space="preserve"> partir de la balle, de la nature de la plaie (le cas échéant) et des résidus éventuels qui l’entourent. </w:t>
      </w:r>
    </w:p>
    <w:p w:rsidR="002A06C7" w:rsidRDefault="00334C44">
      <w:pPr>
        <w:pStyle w:val="Body"/>
        <w:spacing w:before="240" w:after="0" w:line="240" w:lineRule="auto"/>
        <w:jc w:val="both"/>
        <w:rPr>
          <w:rFonts w:ascii="Times New Roman" w:hAnsi="Times New Roman"/>
          <w:noProof/>
          <w:sz w:val="24"/>
          <w:szCs w:val="24"/>
        </w:rPr>
      </w:pPr>
      <w:r>
        <w:rPr>
          <w:rFonts w:ascii="Times New Roman" w:hAnsi="Times New Roman"/>
          <w:noProof/>
          <w:sz w:val="24"/>
        </w:rPr>
        <w:t>Il n’existe à ce jour aucun système à l'échelle de l'UE d’analyse des données balistiques et aucun référentiel central permettant d’intégrer et de com</w:t>
      </w:r>
      <w:r>
        <w:rPr>
          <w:rFonts w:ascii="Times New Roman" w:hAnsi="Times New Roman"/>
          <w:noProof/>
          <w:sz w:val="24"/>
        </w:rPr>
        <w:t>parer ces analyses. À ce jour les États membres de l’UE utilisent en général deux systèmes distincts</w:t>
      </w:r>
      <w:r>
        <w:rPr>
          <w:rFonts w:ascii="Times New Roman" w:hAnsi="Times New Roman"/>
          <w:noProof/>
          <w:sz w:val="24"/>
          <w:vertAlign w:val="superscript"/>
        </w:rPr>
        <w:footnoteReference w:id="39"/>
      </w:r>
      <w:r>
        <w:rPr>
          <w:rFonts w:ascii="Times New Roman" w:hAnsi="Times New Roman"/>
          <w:noProof/>
          <w:sz w:val="24"/>
        </w:rPr>
        <w:t>. Au titre du 7</w:t>
      </w:r>
      <w:r>
        <w:rPr>
          <w:rFonts w:ascii="Times New Roman" w:hAnsi="Times New Roman"/>
          <w:noProof/>
          <w:sz w:val="24"/>
          <w:vertAlign w:val="superscript"/>
        </w:rPr>
        <w:t>e</w:t>
      </w:r>
      <w:r>
        <w:rPr>
          <w:rFonts w:ascii="Times New Roman" w:hAnsi="Times New Roman"/>
          <w:noProof/>
          <w:sz w:val="24"/>
        </w:rPr>
        <w:t xml:space="preserve"> programme-cadre, la Commission a soutenu un projet, appelé plate-forme Odyssey, qui visait à résoudre le problème de l’analyse de données </w:t>
      </w:r>
      <w:r>
        <w:rPr>
          <w:rFonts w:ascii="Times New Roman" w:hAnsi="Times New Roman"/>
          <w:noProof/>
          <w:sz w:val="24"/>
        </w:rPr>
        <w:t>criminalistiques et balistiques issues de systèmes balistiques disparates à travers l’Europe</w:t>
      </w:r>
      <w:r>
        <w:rPr>
          <w:rStyle w:val="FootnoteReference"/>
          <w:rFonts w:ascii="Times New Roman" w:hAnsi="Times New Roman"/>
          <w:noProof/>
          <w:sz w:val="24"/>
        </w:rPr>
        <w:footnoteReference w:id="40"/>
      </w:r>
      <w:r>
        <w:rPr>
          <w:rFonts w:ascii="Times New Roman" w:hAnsi="Times New Roman"/>
          <w:noProof/>
          <w:sz w:val="24"/>
        </w:rPr>
        <w:t>. Dans le sillage de ses conclusions, la Commission facilitera l’</w:t>
      </w:r>
      <w:r>
        <w:rPr>
          <w:rFonts w:ascii="Times New Roman" w:hAnsi="Times New Roman"/>
          <w:b/>
          <w:noProof/>
          <w:sz w:val="24"/>
        </w:rPr>
        <w:t>échange d’informations balistiques par le biais d’une plate-forme spécialement dédiée à cet object</w:t>
      </w:r>
      <w:r>
        <w:rPr>
          <w:rFonts w:ascii="Times New Roman" w:hAnsi="Times New Roman"/>
          <w:b/>
          <w:noProof/>
          <w:sz w:val="24"/>
        </w:rPr>
        <w:t>if</w:t>
      </w:r>
      <w:r>
        <w:rPr>
          <w:rFonts w:ascii="Times New Roman" w:hAnsi="Times New Roman"/>
          <w:noProof/>
          <w:sz w:val="24"/>
        </w:rPr>
        <w:t xml:space="preserve"> s’appuyant sur le réseau d’information balistique et d’autres systèmes pertinents utilisés par les États membres. </w:t>
      </w:r>
    </w:p>
    <w:p w:rsidR="002A06C7" w:rsidRDefault="00334C44">
      <w:pPr>
        <w:pStyle w:val="Body"/>
        <w:spacing w:before="240" w:after="0" w:line="240" w:lineRule="auto"/>
        <w:jc w:val="both"/>
        <w:rPr>
          <w:rFonts w:ascii="Times New Roman" w:eastAsia="Times New Roman" w:hAnsi="Times New Roman" w:cs="Times New Roman"/>
          <w:b/>
          <w:bCs/>
          <w:i/>
          <w:noProof/>
          <w:sz w:val="24"/>
          <w:szCs w:val="24"/>
        </w:rPr>
      </w:pPr>
      <w:r>
        <w:rPr>
          <w:rFonts w:ascii="Times New Roman" w:hAnsi="Times New Roman"/>
          <w:b/>
          <w:i/>
          <w:noProof/>
          <w:sz w:val="24"/>
        </w:rPr>
        <w:t>Utilisation renforcée d'iTrace</w:t>
      </w:r>
    </w:p>
    <w:p w:rsidR="002A06C7" w:rsidRDefault="00334C44">
      <w:pPr>
        <w:pStyle w:val="Body"/>
        <w:spacing w:before="240" w:after="0" w:line="240" w:lineRule="auto"/>
        <w:jc w:val="both"/>
        <w:rPr>
          <w:rFonts w:ascii="Times New Roman" w:hAnsi="Times New Roman"/>
          <w:noProof/>
          <w:sz w:val="24"/>
          <w:szCs w:val="24"/>
        </w:rPr>
      </w:pPr>
      <w:r>
        <w:rPr>
          <w:rFonts w:ascii="Times New Roman" w:hAnsi="Times New Roman"/>
          <w:noProof/>
          <w:sz w:val="24"/>
        </w:rPr>
        <w:t xml:space="preserve">La communauté internationale manque actuellement d’informations tangibles pour savoir quand, où et comment </w:t>
      </w:r>
      <w:r>
        <w:rPr>
          <w:rFonts w:ascii="Times New Roman" w:hAnsi="Times New Roman"/>
          <w:noProof/>
          <w:sz w:val="24"/>
        </w:rPr>
        <w:t xml:space="preserve">des armes conventionnelles produites légalement pénètrent sur le marché noir et sont détournées vers des acteurs de conflits armés ou d’autres utilisateurs finaux illicites. </w:t>
      </w:r>
    </w:p>
    <w:p w:rsidR="002A06C7" w:rsidRDefault="00334C44">
      <w:pPr>
        <w:pStyle w:val="Body"/>
        <w:spacing w:before="240" w:after="0" w:line="240" w:lineRule="auto"/>
        <w:jc w:val="both"/>
        <w:rPr>
          <w:rFonts w:ascii="Times New Roman" w:hAnsi="Times New Roman"/>
          <w:noProof/>
          <w:sz w:val="24"/>
          <w:szCs w:val="24"/>
        </w:rPr>
      </w:pPr>
      <w:r>
        <w:rPr>
          <w:rFonts w:ascii="Times New Roman" w:hAnsi="Times New Roman"/>
          <w:noProof/>
          <w:sz w:val="24"/>
        </w:rPr>
        <w:t>C’est pourquoi l’UE finance le projet «iTrace»</w:t>
      </w:r>
      <w:r>
        <w:rPr>
          <w:rFonts w:ascii="Times New Roman" w:hAnsi="Times New Roman"/>
          <w:noProof/>
          <w:sz w:val="24"/>
          <w:vertAlign w:val="superscript"/>
        </w:rPr>
        <w:footnoteReference w:id="41"/>
      </w:r>
      <w:r>
        <w:rPr>
          <w:rFonts w:ascii="Times New Roman" w:hAnsi="Times New Roman"/>
          <w:noProof/>
          <w:sz w:val="24"/>
        </w:rPr>
        <w:t>. Eu égard à ses résultats positif</w:t>
      </w:r>
      <w:r>
        <w:rPr>
          <w:rFonts w:ascii="Times New Roman" w:hAnsi="Times New Roman"/>
          <w:noProof/>
          <w:sz w:val="24"/>
        </w:rPr>
        <w:t>s</w:t>
      </w:r>
      <w:r>
        <w:rPr>
          <w:rStyle w:val="FootnoteReference"/>
          <w:rFonts w:ascii="Times New Roman" w:hAnsi="Times New Roman"/>
          <w:noProof/>
          <w:sz w:val="24"/>
        </w:rPr>
        <w:footnoteReference w:id="42"/>
      </w:r>
      <w:r>
        <w:rPr>
          <w:rFonts w:ascii="Times New Roman" w:hAnsi="Times New Roman"/>
          <w:noProof/>
          <w:sz w:val="24"/>
        </w:rPr>
        <w:t xml:space="preserve">, l’UE soutient en outre une deuxième phase du programme iTrace, qui comprend l’intensification des enquêtes sur le terrain et l’élargissement de la portée géographique de l’outil. À l’évidence, l’accomplissement de progrès est toutefois subordonné à ce </w:t>
      </w:r>
      <w:r>
        <w:rPr>
          <w:rFonts w:ascii="Times New Roman" w:hAnsi="Times New Roman"/>
          <w:noProof/>
          <w:sz w:val="24"/>
        </w:rPr>
        <w:t>que les pays, y compris tous les États membres de l’UE, répondent aux demandes de traçage. De plus, toute détection faite par une autorité répressive nationale doit être vérifiée par rapport à cet outil. À cette fin, la Commission examinera la nécessité po</w:t>
      </w:r>
      <w:r>
        <w:rPr>
          <w:rFonts w:ascii="Times New Roman" w:hAnsi="Times New Roman"/>
          <w:noProof/>
          <w:sz w:val="24"/>
        </w:rPr>
        <w:t xml:space="preserve">ur les États membres de l'UE d'appliquer des règles contraignantes à cet égard. </w:t>
      </w:r>
    </w:p>
    <w:p w:rsidR="002A06C7" w:rsidRDefault="00334C44">
      <w:pPr>
        <w:pStyle w:val="Body"/>
        <w:spacing w:before="240" w:after="0" w:line="240" w:lineRule="auto"/>
        <w:jc w:val="both"/>
        <w:rPr>
          <w:rFonts w:ascii="Times New Roman" w:hAnsi="Times New Roman"/>
          <w:noProof/>
          <w:sz w:val="24"/>
          <w:szCs w:val="24"/>
        </w:rPr>
      </w:pPr>
      <w:r>
        <w:rPr>
          <w:rFonts w:ascii="Times New Roman" w:hAnsi="Times New Roman"/>
          <w:noProof/>
          <w:sz w:val="24"/>
        </w:rPr>
        <w:t xml:space="preserve">La Commission soutiendra une </w:t>
      </w:r>
      <w:r>
        <w:rPr>
          <w:rFonts w:ascii="Times New Roman" w:hAnsi="Times New Roman"/>
          <w:b/>
          <w:noProof/>
          <w:sz w:val="24"/>
        </w:rPr>
        <w:t>coopération étroite entre Europol, Interpol, les principaux acteurs d’iTrace et d’autres organismes compétents</w:t>
      </w:r>
      <w:r>
        <w:rPr>
          <w:rFonts w:ascii="Times New Roman" w:hAnsi="Times New Roman"/>
          <w:noProof/>
          <w:sz w:val="24"/>
        </w:rPr>
        <w:t>, comme les douanes et les autorités</w:t>
      </w:r>
      <w:r>
        <w:rPr>
          <w:rFonts w:ascii="Times New Roman" w:hAnsi="Times New Roman"/>
          <w:noProof/>
          <w:sz w:val="24"/>
        </w:rPr>
        <w:t xml:space="preserve"> délivrant les permis d’importation et d’exportation d’armes à feu, afin d’optimiser la coopération opérationnelle, la traçabilité et la prévention du détournement d’armes à feu sur le marché noir.</w:t>
      </w:r>
    </w:p>
    <w:p w:rsidR="002A06C7" w:rsidRDefault="00334C44">
      <w:pPr>
        <w:pStyle w:val="Body"/>
        <w:spacing w:before="240" w:after="0" w:line="240" w:lineRule="auto"/>
        <w:jc w:val="both"/>
        <w:rPr>
          <w:rFonts w:ascii="Times New Roman" w:eastAsia="Times New Roman" w:hAnsi="Times New Roman" w:cs="Times New Roman"/>
          <w:b/>
          <w:i/>
          <w:iCs/>
          <w:noProof/>
          <w:sz w:val="24"/>
          <w:szCs w:val="24"/>
        </w:rPr>
      </w:pPr>
      <w:r>
        <w:rPr>
          <w:rFonts w:ascii="Times New Roman" w:hAnsi="Times New Roman"/>
          <w:b/>
          <w:i/>
          <w:noProof/>
          <w:sz w:val="24"/>
        </w:rPr>
        <w:t xml:space="preserve">Développer le système d’analyse d’Europol et assurer </w:t>
      </w:r>
      <w:r>
        <w:rPr>
          <w:rFonts w:ascii="Times New Roman" w:hAnsi="Times New Roman"/>
          <w:b/>
          <w:i/>
          <w:noProof/>
          <w:sz w:val="24"/>
        </w:rPr>
        <w:t>l’utilisation maximale du point focal d’Europol sur les armes à feu</w:t>
      </w:r>
    </w:p>
    <w:p w:rsidR="002A06C7" w:rsidRDefault="00334C44">
      <w:pPr>
        <w:pStyle w:val="Body"/>
        <w:spacing w:before="240" w:after="0" w:line="240" w:lineRule="auto"/>
        <w:jc w:val="both"/>
        <w:rPr>
          <w:rFonts w:ascii="Times New Roman" w:hAnsi="Times New Roman"/>
          <w:noProof/>
          <w:sz w:val="24"/>
          <w:szCs w:val="24"/>
        </w:rPr>
      </w:pPr>
      <w:r>
        <w:rPr>
          <w:rFonts w:ascii="Times New Roman" w:hAnsi="Times New Roman"/>
          <w:noProof/>
          <w:sz w:val="24"/>
        </w:rPr>
        <w:t xml:space="preserve">Il est prévu qu’Europol déploie en 2016 une nouvelle </w:t>
      </w:r>
      <w:r>
        <w:rPr>
          <w:rFonts w:ascii="Times New Roman" w:hAnsi="Times New Roman"/>
          <w:b/>
          <w:noProof/>
          <w:sz w:val="24"/>
        </w:rPr>
        <w:t>plate-forme pour le système d’analyse d’Europol (SAE)</w:t>
      </w:r>
      <w:r>
        <w:rPr>
          <w:rFonts w:ascii="Times New Roman" w:hAnsi="Times New Roman"/>
          <w:noProof/>
          <w:sz w:val="24"/>
        </w:rPr>
        <w:t>, un puissant outil analytique à l’appui de l’analyse opérationnelle et stratégiqu</w:t>
      </w:r>
      <w:r>
        <w:rPr>
          <w:rFonts w:ascii="Times New Roman" w:hAnsi="Times New Roman"/>
          <w:noProof/>
          <w:sz w:val="24"/>
        </w:rPr>
        <w:t>e des données transmises par les États membres et les tiers, conçu pour devenir l’un des principaux systèmes de traitement de l’information d’Europol. La Commission mettra tout en œuvre pour assurer l'application rapide et exhaustive de cet outil en aidant</w:t>
      </w:r>
      <w:r>
        <w:rPr>
          <w:rFonts w:ascii="Times New Roman" w:hAnsi="Times New Roman"/>
          <w:noProof/>
          <w:sz w:val="24"/>
        </w:rPr>
        <w:t xml:space="preserve"> les États membres et en soutenant la réalisation de mesures supplémentaires destinées à améliorer la surveillance systématique des armes à feu. Elle examinera la nécessité de règles contraignantes dans ce domaine afin d’améliorer la capacité d’analyse d’E</w:t>
      </w:r>
      <w:r>
        <w:rPr>
          <w:rFonts w:ascii="Times New Roman" w:hAnsi="Times New Roman"/>
          <w:noProof/>
          <w:sz w:val="24"/>
        </w:rPr>
        <w:t>uropol dans l’intérêt de toutes les autorités répressives des États membres.</w:t>
      </w:r>
    </w:p>
    <w:p w:rsidR="002A06C7" w:rsidRDefault="00334C44">
      <w:pPr>
        <w:pStyle w:val="Body"/>
        <w:spacing w:before="240" w:after="0" w:line="240" w:lineRule="auto"/>
        <w:jc w:val="both"/>
        <w:rPr>
          <w:rFonts w:ascii="Times New Roman" w:hAnsi="Times New Roman"/>
          <w:noProof/>
          <w:sz w:val="24"/>
          <w:szCs w:val="24"/>
        </w:rPr>
      </w:pPr>
      <w:r>
        <w:rPr>
          <w:rFonts w:ascii="Times New Roman" w:hAnsi="Times New Roman"/>
          <w:noProof/>
          <w:sz w:val="24"/>
        </w:rPr>
        <w:t xml:space="preserve">Ainsi que le Conseil l’avait demandé en 2014, Europol a mis sur pied un </w:t>
      </w:r>
      <w:r>
        <w:rPr>
          <w:rFonts w:ascii="Times New Roman" w:hAnsi="Times New Roman"/>
          <w:b/>
          <w:noProof/>
          <w:sz w:val="24"/>
        </w:rPr>
        <w:t>point focal sur les armes à feu</w:t>
      </w:r>
      <w:r>
        <w:rPr>
          <w:rFonts w:ascii="Times New Roman" w:hAnsi="Times New Roman"/>
          <w:noProof/>
          <w:sz w:val="24"/>
        </w:rPr>
        <w:t xml:space="preserve">, qui fournit un soutien stratégique et opérationnel aux enquêtes en cours. </w:t>
      </w:r>
      <w:r>
        <w:rPr>
          <w:rFonts w:ascii="Times New Roman" w:hAnsi="Times New Roman"/>
          <w:noProof/>
          <w:sz w:val="24"/>
        </w:rPr>
        <w:t>À l’heure actuelle, 21 États membres</w:t>
      </w:r>
      <w:r>
        <w:rPr>
          <w:rFonts w:ascii="Times New Roman" w:hAnsi="Times New Roman"/>
          <w:noProof/>
          <w:sz w:val="24"/>
          <w:vertAlign w:val="superscript"/>
        </w:rPr>
        <w:footnoteReference w:id="43"/>
      </w:r>
      <w:r>
        <w:rPr>
          <w:rFonts w:ascii="Times New Roman" w:hAnsi="Times New Roman"/>
          <w:noProof/>
          <w:sz w:val="24"/>
        </w:rPr>
        <w:t xml:space="preserve"> et 6 partenaires tiers y sont associés</w:t>
      </w:r>
      <w:r>
        <w:rPr>
          <w:rFonts w:ascii="Times New Roman" w:hAnsi="Times New Roman"/>
          <w:noProof/>
          <w:sz w:val="24"/>
          <w:vertAlign w:val="superscript"/>
        </w:rPr>
        <w:footnoteReference w:id="44"/>
      </w:r>
      <w:r>
        <w:rPr>
          <w:rFonts w:ascii="Times New Roman" w:hAnsi="Times New Roman"/>
          <w:noProof/>
          <w:sz w:val="24"/>
        </w:rPr>
        <w:t>. Depuis son démarrage, le point focal sur les armes à feu a reçu 3 089 contributions, pour quelque 625 dossiers d’enquêtes, comprenant des informations sur 35 000 armes à feu, 28</w:t>
      </w:r>
      <w:r>
        <w:rPr>
          <w:rFonts w:ascii="Times New Roman" w:hAnsi="Times New Roman"/>
          <w:noProof/>
          <w:sz w:val="24"/>
        </w:rPr>
        <w:t xml:space="preserve"> 700 personnes et près de 3 216 sociétés suspectes. Il a reçu cette année 1 750 contributions. La Commission exhorte </w:t>
      </w:r>
      <w:r>
        <w:rPr>
          <w:rFonts w:ascii="Times New Roman" w:hAnsi="Times New Roman"/>
          <w:b/>
          <w:noProof/>
          <w:sz w:val="24"/>
        </w:rPr>
        <w:t>tous les États membres à partager les informations de manière proactive et à participer pleinement aux actions du point focal sur les armes</w:t>
      </w:r>
      <w:r>
        <w:rPr>
          <w:rFonts w:ascii="Times New Roman" w:hAnsi="Times New Roman"/>
          <w:b/>
          <w:noProof/>
          <w:sz w:val="24"/>
        </w:rPr>
        <w:t xml:space="preserve"> à feu</w:t>
      </w:r>
      <w:r>
        <w:rPr>
          <w:rFonts w:ascii="Times New Roman" w:hAnsi="Times New Roman"/>
          <w:noProof/>
          <w:sz w:val="24"/>
        </w:rPr>
        <w:t xml:space="preserve">. </w:t>
      </w:r>
    </w:p>
    <w:p w:rsidR="002A06C7" w:rsidRDefault="00334C44">
      <w:pPr>
        <w:pStyle w:val="Body"/>
        <w:keepNext/>
        <w:spacing w:before="240" w:after="0" w:line="240" w:lineRule="auto"/>
        <w:jc w:val="both"/>
        <w:rPr>
          <w:rFonts w:ascii="Times New Roman" w:eastAsia="Times New Roman" w:hAnsi="Times New Roman" w:cs="Times New Roman"/>
          <w:b/>
          <w:bCs/>
          <w:i/>
          <w:noProof/>
          <w:sz w:val="24"/>
          <w:szCs w:val="24"/>
        </w:rPr>
      </w:pPr>
      <w:r>
        <w:rPr>
          <w:rFonts w:ascii="Times New Roman" w:hAnsi="Times New Roman"/>
          <w:b/>
          <w:i/>
          <w:noProof/>
          <w:sz w:val="24"/>
        </w:rPr>
        <w:t>Optimiser l’utilisation du Système européen de données sur les attentats à la bombe (SEDAB)</w:t>
      </w:r>
    </w:p>
    <w:p w:rsidR="002A06C7" w:rsidRDefault="00334C44">
      <w:pPr>
        <w:pStyle w:val="Body"/>
        <w:spacing w:before="240" w:after="0" w:line="240" w:lineRule="auto"/>
        <w:jc w:val="both"/>
        <w:rPr>
          <w:rFonts w:ascii="Times New Roman" w:hAnsi="Times New Roman"/>
          <w:noProof/>
          <w:sz w:val="24"/>
          <w:szCs w:val="24"/>
        </w:rPr>
      </w:pPr>
      <w:r>
        <w:rPr>
          <w:rFonts w:ascii="Times New Roman" w:hAnsi="Times New Roman"/>
          <w:noProof/>
          <w:sz w:val="24"/>
        </w:rPr>
        <w:t xml:space="preserve">Dans le cadre du plan d’action de l’UE sur les explosifs, la Commission a financé l’élaboration du </w:t>
      </w:r>
      <w:r>
        <w:rPr>
          <w:rFonts w:ascii="Times New Roman" w:hAnsi="Times New Roman"/>
          <w:b/>
          <w:noProof/>
          <w:sz w:val="24"/>
        </w:rPr>
        <w:t>Système européen de données sur les attentats à la bombe</w:t>
      </w:r>
      <w:r>
        <w:rPr>
          <w:rFonts w:ascii="Times New Roman" w:hAnsi="Times New Roman"/>
          <w:noProof/>
          <w:sz w:val="24"/>
        </w:rPr>
        <w:t xml:space="preserve"> </w:t>
      </w:r>
      <w:r>
        <w:rPr>
          <w:rFonts w:ascii="Times New Roman" w:hAnsi="Times New Roman"/>
          <w:b/>
          <w:noProof/>
          <w:sz w:val="24"/>
        </w:rPr>
        <w:t>(SEDAB)</w:t>
      </w:r>
      <w:r>
        <w:rPr>
          <w:rFonts w:ascii="Times New Roman" w:hAnsi="Times New Roman"/>
          <w:noProof/>
          <w:sz w:val="24"/>
        </w:rPr>
        <w:t>, qui est aujourd’hui géré par Europol. Ce système relie entre eux presque tous les États membres, ainsi que la Norvège et la Commission, et peut être utilisé pour échanger des données techniques sur les explosifs et les matériaux CBRN, ainsi que s</w:t>
      </w:r>
      <w:r>
        <w:rPr>
          <w:rFonts w:ascii="Times New Roman" w:hAnsi="Times New Roman"/>
          <w:noProof/>
          <w:sz w:val="24"/>
        </w:rPr>
        <w:t xml:space="preserve">ur les incidents, les tendances et les dispositifs. </w:t>
      </w:r>
    </w:p>
    <w:p w:rsidR="002A06C7" w:rsidRDefault="00334C44">
      <w:pPr>
        <w:pStyle w:val="Body"/>
        <w:spacing w:before="240" w:after="0" w:line="240" w:lineRule="auto"/>
        <w:jc w:val="both"/>
        <w:rPr>
          <w:rFonts w:ascii="Times New Roman" w:hAnsi="Times New Roman"/>
          <w:noProof/>
          <w:sz w:val="24"/>
          <w:szCs w:val="24"/>
        </w:rPr>
      </w:pPr>
      <w:r>
        <w:rPr>
          <w:rFonts w:ascii="Times New Roman" w:hAnsi="Times New Roman"/>
          <w:noProof/>
          <w:sz w:val="24"/>
        </w:rPr>
        <w:t xml:space="preserve">La </w:t>
      </w:r>
      <w:r>
        <w:rPr>
          <w:rFonts w:ascii="Times New Roman" w:hAnsi="Times New Roman"/>
          <w:b/>
          <w:noProof/>
          <w:sz w:val="24"/>
        </w:rPr>
        <w:t>connectivité totale</w:t>
      </w:r>
      <w:r>
        <w:rPr>
          <w:rFonts w:ascii="Times New Roman" w:hAnsi="Times New Roman"/>
          <w:noProof/>
          <w:sz w:val="24"/>
        </w:rPr>
        <w:t xml:space="preserve"> pour les utilisateurs pertinents dans les États membres doit être garantie et davantage d’efforts doivent être déployés pour identifier tous les utilisateurs pertinents possibles e</w:t>
      </w:r>
      <w:r>
        <w:rPr>
          <w:rFonts w:ascii="Times New Roman" w:hAnsi="Times New Roman"/>
          <w:noProof/>
          <w:sz w:val="24"/>
        </w:rPr>
        <w:t>t les former. La Commission étudiera en outre, en collaboration avec Europol, l’opportunité d’intégrer dans le SEDAB des informations de type «alerte précoce»</w:t>
      </w:r>
      <w:r>
        <w:rPr>
          <w:rStyle w:val="FootnoteReference"/>
          <w:rFonts w:ascii="Times New Roman" w:hAnsi="Times New Roman"/>
          <w:noProof/>
          <w:sz w:val="24"/>
        </w:rPr>
        <w:footnoteReference w:id="45"/>
      </w:r>
      <w:r>
        <w:rPr>
          <w:rFonts w:ascii="Times New Roman" w:hAnsi="Times New Roman"/>
          <w:noProof/>
          <w:sz w:val="24"/>
        </w:rPr>
        <w:t xml:space="preserve"> et des capacités de détection et de relier ce système à certaines autres bases de données europé</w:t>
      </w:r>
      <w:r>
        <w:rPr>
          <w:rFonts w:ascii="Times New Roman" w:hAnsi="Times New Roman"/>
          <w:noProof/>
          <w:sz w:val="24"/>
        </w:rPr>
        <w:t>ennes. Afin de compléter les informations diffusées par le biais du SEDAB, la Commission proposera la tenue de réunions d’information régulières dans des lieux confidentiels, durant lesquelles les États membres et Europol pourront partager leurs évaluation</w:t>
      </w:r>
      <w:r>
        <w:rPr>
          <w:rFonts w:ascii="Times New Roman" w:hAnsi="Times New Roman"/>
          <w:noProof/>
          <w:sz w:val="24"/>
        </w:rPr>
        <w:t>s des menaces liées aux explosifs.</w:t>
      </w:r>
    </w:p>
    <w:p w:rsidR="002A06C7" w:rsidRDefault="002A06C7">
      <w:pPr>
        <w:pStyle w:val="Body"/>
        <w:spacing w:after="0" w:line="240" w:lineRule="auto"/>
        <w:jc w:val="both"/>
        <w:rPr>
          <w:rFonts w:ascii="Times New Roman" w:hAnsi="Times New Roman"/>
          <w:noProof/>
          <w:sz w:val="24"/>
          <w:szCs w:val="24"/>
        </w:rPr>
      </w:pPr>
    </w:p>
    <w:tbl>
      <w:tblPr>
        <w:tblW w:w="9288" w:type="dxa"/>
        <w:tblInd w:w="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2A06C7">
        <w:trPr>
          <w:trHeight w:val="1673"/>
        </w:trPr>
        <w:tc>
          <w:tcPr>
            <w:tcW w:w="9288" w:type="dxa"/>
          </w:tcPr>
          <w:p w:rsidR="002A06C7" w:rsidRDefault="00334C44">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jc w:val="both"/>
              <w:rPr>
                <w:rFonts w:ascii="Times New Roman" w:hAnsi="Times New Roman"/>
                <w:b/>
                <w:bCs/>
                <w:noProof/>
                <w:sz w:val="24"/>
                <w:szCs w:val="24"/>
              </w:rPr>
            </w:pPr>
            <w:r>
              <w:rPr>
                <w:rFonts w:ascii="Times New Roman" w:hAnsi="Times New Roman"/>
                <w:b/>
                <w:noProof/>
                <w:sz w:val="24"/>
              </w:rPr>
              <w:t>Actions spécifiques:</w:t>
            </w:r>
          </w:p>
          <w:p w:rsidR="002A06C7" w:rsidRDefault="00334C44">
            <w:pPr>
              <w:pStyle w:val="Body"/>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781"/>
              <w:jc w:val="both"/>
              <w:rPr>
                <w:rFonts w:ascii="Times New Roman" w:eastAsia="Times New Roman" w:hAnsi="Times New Roman" w:cs="Times New Roman"/>
                <w:bCs/>
                <w:i/>
                <w:noProof/>
                <w:sz w:val="24"/>
                <w:szCs w:val="24"/>
              </w:rPr>
            </w:pPr>
            <w:r>
              <w:rPr>
                <w:rFonts w:ascii="Times New Roman" w:hAnsi="Times New Roman"/>
                <w:i/>
                <w:noProof/>
                <w:sz w:val="24"/>
              </w:rPr>
              <w:t xml:space="preserve">Évaluer les systèmes d’échange d’informations existants concernant la lutte contre le trafic d’armes à feu et d’explosifs afin d’assurer leur compatibilité technique, en accordant une attention particulière à la nécessité de renforcer la coopération entre </w:t>
            </w:r>
            <w:r>
              <w:rPr>
                <w:rFonts w:ascii="Times New Roman" w:hAnsi="Times New Roman"/>
                <w:i/>
                <w:noProof/>
                <w:sz w:val="24"/>
              </w:rPr>
              <w:t xml:space="preserve">les services policiers et douaniers et aux exigences du projet de directive sur les armes à feu. </w:t>
            </w:r>
          </w:p>
          <w:p w:rsidR="002A06C7" w:rsidRDefault="00334C44">
            <w:pPr>
              <w:pStyle w:val="Body"/>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781"/>
              <w:jc w:val="both"/>
              <w:rPr>
                <w:rFonts w:ascii="Times New Roman" w:eastAsia="Times New Roman" w:hAnsi="Times New Roman" w:cs="Times New Roman"/>
                <w:bCs/>
                <w:i/>
                <w:noProof/>
                <w:sz w:val="24"/>
                <w:szCs w:val="24"/>
              </w:rPr>
            </w:pPr>
            <w:r>
              <w:rPr>
                <w:rFonts w:ascii="Times New Roman" w:hAnsi="Times New Roman"/>
                <w:i/>
                <w:noProof/>
                <w:sz w:val="24"/>
              </w:rPr>
              <w:t>Veiller à l’interopérabilité effective des systèmes d’information existants, y compris iARMS/le SIS II par rapport à l’UMF.</w:t>
            </w:r>
          </w:p>
          <w:p w:rsidR="002A06C7" w:rsidRDefault="00334C44">
            <w:pPr>
              <w:pStyle w:val="Body"/>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781"/>
              <w:jc w:val="both"/>
              <w:rPr>
                <w:rFonts w:ascii="Times New Roman" w:eastAsia="Times New Roman" w:hAnsi="Times New Roman" w:cs="Times New Roman"/>
                <w:i/>
                <w:iCs/>
                <w:noProof/>
                <w:sz w:val="24"/>
                <w:szCs w:val="24"/>
              </w:rPr>
            </w:pPr>
            <w:r>
              <w:rPr>
                <w:rFonts w:ascii="Times New Roman" w:hAnsi="Times New Roman"/>
                <w:i/>
                <w:noProof/>
                <w:sz w:val="24"/>
              </w:rPr>
              <w:t xml:space="preserve">Accroître l’utilisation d’iTrace, </w:t>
            </w:r>
            <w:r>
              <w:rPr>
                <w:rFonts w:ascii="Times New Roman" w:hAnsi="Times New Roman"/>
                <w:i/>
                <w:noProof/>
                <w:sz w:val="24"/>
              </w:rPr>
              <w:t>du Système européen de données sur les attentats à la bombe (SEDAB) et du système d’analyse d’Europol, tout en assurant un usage maximal de son point focal sur les armes à feu.</w:t>
            </w:r>
          </w:p>
          <w:p w:rsidR="002A06C7" w:rsidRDefault="00334C44">
            <w:pPr>
              <w:pStyle w:val="Body"/>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after="120" w:line="240" w:lineRule="auto"/>
              <w:ind w:left="777" w:hanging="357"/>
              <w:jc w:val="both"/>
              <w:rPr>
                <w:rFonts w:ascii="Times New Roman" w:hAnsi="Times New Roman"/>
                <w:noProof/>
                <w:sz w:val="24"/>
                <w:szCs w:val="24"/>
              </w:rPr>
            </w:pPr>
            <w:r>
              <w:rPr>
                <w:rFonts w:ascii="Times New Roman" w:hAnsi="Times New Roman"/>
                <w:i/>
                <w:noProof/>
                <w:sz w:val="24"/>
              </w:rPr>
              <w:t xml:space="preserve">Améliorer l’échange d’informations balistiques par le biais d’une plate-forme </w:t>
            </w:r>
            <w:r>
              <w:rPr>
                <w:rFonts w:ascii="Times New Roman" w:hAnsi="Times New Roman"/>
                <w:i/>
                <w:noProof/>
                <w:sz w:val="24"/>
              </w:rPr>
              <w:t>spécialement dédiée à cet objectif.</w:t>
            </w:r>
          </w:p>
        </w:tc>
      </w:tr>
    </w:tbl>
    <w:p w:rsidR="002A06C7" w:rsidRDefault="002A06C7">
      <w:pPr>
        <w:pStyle w:val="Heading1"/>
        <w:numPr>
          <w:ilvl w:val="0"/>
          <w:numId w:val="0"/>
        </w:numPr>
        <w:ind w:left="480"/>
        <w:rPr>
          <w:noProof/>
        </w:rPr>
      </w:pPr>
    </w:p>
    <w:p w:rsidR="002A06C7" w:rsidRDefault="00334C44">
      <w:pPr>
        <w:pStyle w:val="Heading1"/>
        <w:rPr>
          <w:noProof/>
        </w:rPr>
      </w:pPr>
      <w:r>
        <w:rPr>
          <w:noProof/>
        </w:rPr>
        <w:t xml:space="preserve"> COOPÉRATION RENFORCÉE AVEC LES PAYS TIERS</w:t>
      </w:r>
    </w:p>
    <w:p w:rsidR="002A06C7" w:rsidRDefault="00334C44">
      <w:pPr>
        <w:pStyle w:val="Text1"/>
        <w:spacing w:before="240"/>
        <w:ind w:left="0"/>
        <w:jc w:val="both"/>
        <w:rPr>
          <w:noProof/>
        </w:rPr>
      </w:pPr>
      <w:r>
        <w:rPr>
          <w:noProof/>
        </w:rPr>
        <w:t xml:space="preserve">Comme annoncé dans la communication conjointe de la Commission européenne et de la Haute représentante de l’Union pour les affaires étrangères et la politique de sécurité sur </w:t>
      </w:r>
      <w:r>
        <w:rPr>
          <w:noProof/>
        </w:rPr>
        <w:t>le réexamen de la politique européenne de voisinage</w:t>
      </w:r>
      <w:r>
        <w:rPr>
          <w:rStyle w:val="FootnoteReference"/>
          <w:noProof/>
        </w:rPr>
        <w:footnoteReference w:id="46"/>
      </w:r>
      <w:r>
        <w:rPr>
          <w:noProof/>
        </w:rPr>
        <w:t>, adoptée le 18 novembre 2015, l’UE renforcera sa coopération avec les pays voisins sur les questions de sécurité, notamment pour lutter contre la traite des êtres humains, le trafic illicite d’armes légè</w:t>
      </w:r>
      <w:r>
        <w:rPr>
          <w:noProof/>
        </w:rPr>
        <w:t>res et de petit calibre (ALPC) et le trafic de stupéfiants;</w:t>
      </w:r>
    </w:p>
    <w:p w:rsidR="002A06C7" w:rsidRDefault="00334C44">
      <w:pPr>
        <w:pStyle w:val="Body"/>
        <w:spacing w:before="240" w:after="0" w:line="240" w:lineRule="auto"/>
        <w:jc w:val="both"/>
        <w:rPr>
          <w:rFonts w:ascii="Times New Roman" w:hAnsi="Times New Roman"/>
          <w:noProof/>
          <w:sz w:val="24"/>
          <w:szCs w:val="24"/>
        </w:rPr>
      </w:pPr>
      <w:r>
        <w:rPr>
          <w:rFonts w:ascii="Times New Roman" w:hAnsi="Times New Roman"/>
          <w:noProof/>
          <w:sz w:val="24"/>
        </w:rPr>
        <w:t xml:space="preserve">Le trafic et l’usage illicites d’armes à feu et d’explosifs doivent être systématiquement </w:t>
      </w:r>
      <w:r>
        <w:rPr>
          <w:rFonts w:ascii="Times New Roman" w:hAnsi="Times New Roman"/>
          <w:b/>
          <w:noProof/>
          <w:sz w:val="24"/>
        </w:rPr>
        <w:t>intégrés aux dialogues de sécurité</w:t>
      </w:r>
      <w:r>
        <w:rPr>
          <w:rFonts w:ascii="Times New Roman" w:hAnsi="Times New Roman"/>
          <w:noProof/>
          <w:sz w:val="24"/>
        </w:rPr>
        <w:t xml:space="preserve"> avec les principaux pays et organismes partenaires. Le cas échéant, ces</w:t>
      </w:r>
      <w:r>
        <w:rPr>
          <w:rFonts w:ascii="Times New Roman" w:hAnsi="Times New Roman"/>
          <w:noProof/>
          <w:sz w:val="24"/>
        </w:rPr>
        <w:t xml:space="preserve"> dialogues doivent aboutir à des plans d’action communs spécifiques sur les armes à feu ainsi que, dans la mesure du possible, sur les explosifs, qui impliquent des agences de l’UE telles qu’Europol, Eurojust et le CEPOL et des organisations internationale</w:t>
      </w:r>
      <w:r>
        <w:rPr>
          <w:rFonts w:ascii="Times New Roman" w:hAnsi="Times New Roman"/>
          <w:noProof/>
          <w:sz w:val="24"/>
        </w:rPr>
        <w:t>s pertinentes telles que les Nations unies et Interpol. Une aide financière de l’UE pourrait également être envisagée dans certains cas (tels que la saisie/neutralisation d’armes à feu), par exemple, au titre de l’instrument contribuant à la stabilité et à</w:t>
      </w:r>
      <w:r>
        <w:rPr>
          <w:rFonts w:ascii="Times New Roman" w:hAnsi="Times New Roman"/>
          <w:noProof/>
          <w:sz w:val="24"/>
        </w:rPr>
        <w:t xml:space="preserve"> la paix, d’autres programmes d’aide de l’UE ou du budget de la PESC.</w:t>
      </w:r>
    </w:p>
    <w:p w:rsidR="002A06C7" w:rsidRDefault="00334C44">
      <w:pPr>
        <w:pStyle w:val="Body"/>
        <w:spacing w:before="240" w:after="0" w:line="240" w:lineRule="auto"/>
        <w:jc w:val="both"/>
        <w:rPr>
          <w:rFonts w:ascii="Times New Roman" w:hAnsi="Times New Roman"/>
          <w:noProof/>
          <w:sz w:val="24"/>
          <w:szCs w:val="24"/>
        </w:rPr>
      </w:pPr>
      <w:r>
        <w:rPr>
          <w:rFonts w:ascii="Times New Roman" w:hAnsi="Times New Roman"/>
          <w:noProof/>
          <w:sz w:val="24"/>
        </w:rPr>
        <w:t xml:space="preserve">Lorsque cela s’avère pertinent, les programmes de coopération conclus au niveau mondial, régional ou bilatéral doivent inclure une formation et d’autres mesures de soutien (y compris la </w:t>
      </w:r>
      <w:r>
        <w:rPr>
          <w:rFonts w:ascii="Times New Roman" w:hAnsi="Times New Roman"/>
          <w:noProof/>
          <w:sz w:val="24"/>
        </w:rPr>
        <w:t>fourniture d’un matériel et d’outils appropriés) afin de renforcer les capacités des pays partenaires et des autres pays tiers pertinents dans la lutte contre le trafic et l’usage illicites d’armes à feu et d’explosifs.</w:t>
      </w:r>
    </w:p>
    <w:p w:rsidR="002A06C7" w:rsidRDefault="00334C44">
      <w:pPr>
        <w:pStyle w:val="Body"/>
        <w:spacing w:before="240" w:after="0" w:line="240" w:lineRule="auto"/>
        <w:jc w:val="both"/>
        <w:rPr>
          <w:rFonts w:ascii="Times New Roman" w:hAnsi="Times New Roman"/>
          <w:b/>
          <w:bCs/>
          <w:i/>
          <w:noProof/>
          <w:sz w:val="24"/>
          <w:szCs w:val="24"/>
        </w:rPr>
      </w:pPr>
      <w:r>
        <w:rPr>
          <w:rFonts w:ascii="Times New Roman" w:hAnsi="Times New Roman"/>
          <w:b/>
          <w:i/>
          <w:noProof/>
          <w:sz w:val="24"/>
        </w:rPr>
        <w:t>Renforcer les activités opérationnel</w:t>
      </w:r>
      <w:r>
        <w:rPr>
          <w:rFonts w:ascii="Times New Roman" w:hAnsi="Times New Roman"/>
          <w:b/>
          <w:i/>
          <w:noProof/>
          <w:sz w:val="24"/>
        </w:rPr>
        <w:t>les et élargir la portée du plan d’action UE-Europe du Sud-Est</w:t>
      </w:r>
    </w:p>
    <w:p w:rsidR="002A06C7" w:rsidRDefault="00334C44">
      <w:pPr>
        <w:pStyle w:val="Body"/>
        <w:spacing w:before="240" w:after="0" w:line="240" w:lineRule="auto"/>
        <w:jc w:val="both"/>
        <w:rPr>
          <w:rFonts w:ascii="Times New Roman" w:hAnsi="Times New Roman"/>
          <w:noProof/>
          <w:sz w:val="24"/>
          <w:szCs w:val="24"/>
        </w:rPr>
      </w:pPr>
      <w:r>
        <w:rPr>
          <w:rFonts w:ascii="Times New Roman" w:hAnsi="Times New Roman"/>
          <w:noProof/>
          <w:sz w:val="24"/>
        </w:rPr>
        <w:t>L’UE et ses partenaires d’Europe du Sud-Est ont un intérêt partagé à accroître leur coopération dans la lutte contre les menaces communes que soulève le trafic illicite d’armes et d’explosifs à</w:t>
      </w:r>
      <w:r>
        <w:rPr>
          <w:rFonts w:ascii="Times New Roman" w:hAnsi="Times New Roman"/>
          <w:noProof/>
          <w:sz w:val="24"/>
        </w:rPr>
        <w:t xml:space="preserve"> usage militaire</w:t>
      </w:r>
      <w:r>
        <w:rPr>
          <w:rStyle w:val="FootnoteReference"/>
          <w:rFonts w:ascii="Times New Roman" w:hAnsi="Times New Roman"/>
          <w:noProof/>
          <w:sz w:val="20"/>
        </w:rPr>
        <w:footnoteReference w:id="47"/>
      </w:r>
      <w:r>
        <w:rPr>
          <w:rFonts w:ascii="Times New Roman" w:hAnsi="Times New Roman"/>
          <w:noProof/>
          <w:sz w:val="24"/>
        </w:rPr>
        <w:t xml:space="preserve">. </w:t>
      </w:r>
    </w:p>
    <w:p w:rsidR="002A06C7" w:rsidRDefault="00334C44">
      <w:pPr>
        <w:pStyle w:val="Body"/>
        <w:spacing w:before="240" w:after="0" w:line="240" w:lineRule="auto"/>
        <w:jc w:val="both"/>
        <w:rPr>
          <w:rFonts w:ascii="Times New Roman" w:hAnsi="Times New Roman"/>
          <w:noProof/>
          <w:sz w:val="24"/>
          <w:szCs w:val="24"/>
        </w:rPr>
      </w:pPr>
      <w:r>
        <w:rPr>
          <w:rFonts w:ascii="Times New Roman" w:hAnsi="Times New Roman"/>
          <w:noProof/>
          <w:sz w:val="24"/>
        </w:rPr>
        <w:t xml:space="preserve">Cette coopération a atteint un degré supérieur lors de l’adoption d’un </w:t>
      </w:r>
      <w:r>
        <w:rPr>
          <w:rFonts w:ascii="Times New Roman" w:hAnsi="Times New Roman"/>
          <w:b/>
          <w:noProof/>
          <w:sz w:val="24"/>
        </w:rPr>
        <w:t>plan d’action sur le trafic d’armes à feu convenu entre l’UE et l’Europe du Sud-Est pour la période 2015-2019</w:t>
      </w:r>
      <w:r>
        <w:rPr>
          <w:rStyle w:val="FootnoteReference"/>
          <w:rFonts w:ascii="Times New Roman" w:hAnsi="Times New Roman"/>
          <w:noProof/>
          <w:sz w:val="20"/>
        </w:rPr>
        <w:footnoteReference w:id="48"/>
      </w:r>
      <w:r>
        <w:rPr>
          <w:rFonts w:ascii="Times New Roman" w:hAnsi="Times New Roman"/>
          <w:noProof/>
          <w:sz w:val="24"/>
        </w:rPr>
        <w:t>.</w:t>
      </w:r>
    </w:p>
    <w:p w:rsidR="002A06C7" w:rsidRDefault="00334C44">
      <w:pPr>
        <w:pStyle w:val="Body"/>
        <w:spacing w:before="240" w:after="0" w:line="240" w:lineRule="auto"/>
        <w:jc w:val="both"/>
        <w:rPr>
          <w:rFonts w:ascii="Times New Roman" w:hAnsi="Times New Roman"/>
          <w:noProof/>
          <w:sz w:val="24"/>
          <w:szCs w:val="24"/>
        </w:rPr>
      </w:pPr>
      <w:r>
        <w:rPr>
          <w:rFonts w:ascii="Times New Roman" w:hAnsi="Times New Roman"/>
          <w:noProof/>
          <w:sz w:val="24"/>
        </w:rPr>
        <w:t xml:space="preserve">Les activités menées au titre de ce plan d’action doivent être </w:t>
      </w:r>
      <w:r>
        <w:rPr>
          <w:rFonts w:ascii="Times New Roman" w:hAnsi="Times New Roman"/>
          <w:b/>
          <w:noProof/>
          <w:sz w:val="24"/>
        </w:rPr>
        <w:t>rapidement intensifiées</w:t>
      </w:r>
      <w:r>
        <w:rPr>
          <w:rFonts w:ascii="Times New Roman" w:hAnsi="Times New Roman"/>
          <w:noProof/>
          <w:sz w:val="24"/>
        </w:rPr>
        <w:t xml:space="preserve"> afin de juguler l’arrivée illicite d’armes à feu dans l’UE. Europol doit </w:t>
      </w:r>
      <w:r>
        <w:rPr>
          <w:rFonts w:ascii="Times New Roman" w:hAnsi="Times New Roman"/>
          <w:b/>
          <w:noProof/>
          <w:sz w:val="24"/>
        </w:rPr>
        <w:t>accélérer</w:t>
      </w:r>
      <w:r>
        <w:rPr>
          <w:rFonts w:ascii="Times New Roman" w:hAnsi="Times New Roman"/>
          <w:noProof/>
          <w:sz w:val="24"/>
        </w:rPr>
        <w:t xml:space="preserve"> la mise en œuvre du </w:t>
      </w:r>
      <w:r>
        <w:rPr>
          <w:rFonts w:ascii="Times New Roman" w:hAnsi="Times New Roman"/>
          <w:b/>
          <w:noProof/>
          <w:sz w:val="24"/>
        </w:rPr>
        <w:t>plan d’action opérationnel 2016</w:t>
      </w:r>
      <w:r>
        <w:rPr>
          <w:rFonts w:ascii="Times New Roman" w:hAnsi="Times New Roman"/>
          <w:noProof/>
          <w:sz w:val="24"/>
        </w:rPr>
        <w:t xml:space="preserve"> du cycle politique, notamment en o</w:t>
      </w:r>
      <w:r>
        <w:rPr>
          <w:rFonts w:ascii="Times New Roman" w:hAnsi="Times New Roman"/>
          <w:noProof/>
          <w:sz w:val="24"/>
        </w:rPr>
        <w:t xml:space="preserve">rganisant des opérations conjointes fondées sur le </w:t>
      </w:r>
      <w:r>
        <w:rPr>
          <w:rFonts w:ascii="Times New Roman" w:hAnsi="Times New Roman"/>
          <w:b/>
          <w:noProof/>
          <w:sz w:val="24"/>
        </w:rPr>
        <w:t>renseignement et en resserrant la coopération entre les agents de liaison</w:t>
      </w:r>
      <w:r>
        <w:rPr>
          <w:rFonts w:ascii="Times New Roman" w:hAnsi="Times New Roman"/>
          <w:noProof/>
          <w:sz w:val="24"/>
        </w:rPr>
        <w:t xml:space="preserve"> de la région et le </w:t>
      </w:r>
      <w:r>
        <w:rPr>
          <w:rFonts w:ascii="Times New Roman" w:hAnsi="Times New Roman"/>
          <w:b/>
          <w:noProof/>
          <w:sz w:val="24"/>
        </w:rPr>
        <w:t>réseau d’experts en armes à feu</w:t>
      </w:r>
      <w:r>
        <w:rPr>
          <w:rFonts w:ascii="Times New Roman" w:hAnsi="Times New Roman"/>
          <w:noProof/>
          <w:sz w:val="24"/>
        </w:rPr>
        <w:t>.</w:t>
      </w:r>
    </w:p>
    <w:p w:rsidR="002A06C7" w:rsidRDefault="00334C44">
      <w:pPr>
        <w:pStyle w:val="Body"/>
        <w:spacing w:before="120" w:after="0" w:line="240" w:lineRule="auto"/>
        <w:jc w:val="both"/>
        <w:rPr>
          <w:rFonts w:ascii="Times New Roman" w:hAnsi="Times New Roman"/>
          <w:noProof/>
          <w:sz w:val="24"/>
          <w:szCs w:val="24"/>
        </w:rPr>
      </w:pPr>
      <w:r>
        <w:rPr>
          <w:rFonts w:ascii="Times New Roman" w:hAnsi="Times New Roman"/>
          <w:noProof/>
          <w:sz w:val="24"/>
        </w:rPr>
        <w:t xml:space="preserve">La Commission organisera au début de 2016 une deuxième conférence avec ses partenaires des Balkans occidentaux pour </w:t>
      </w:r>
      <w:r>
        <w:rPr>
          <w:rFonts w:ascii="Times New Roman" w:hAnsi="Times New Roman"/>
          <w:b/>
          <w:noProof/>
          <w:sz w:val="24"/>
        </w:rPr>
        <w:t>examiner la mise en œuvre du plan d’action</w:t>
      </w:r>
      <w:r>
        <w:rPr>
          <w:rFonts w:ascii="Times New Roman" w:hAnsi="Times New Roman"/>
          <w:noProof/>
          <w:sz w:val="24"/>
        </w:rPr>
        <w:t xml:space="preserve"> et discuter des étapes suivantes, parmi lesquelles la proposition d’étendre le plan aux explosifs</w:t>
      </w:r>
      <w:r>
        <w:rPr>
          <w:rFonts w:ascii="Times New Roman" w:hAnsi="Times New Roman"/>
          <w:noProof/>
          <w:sz w:val="24"/>
        </w:rPr>
        <w:t xml:space="preserve"> illicites. </w:t>
      </w:r>
    </w:p>
    <w:p w:rsidR="002A06C7" w:rsidRDefault="00334C44">
      <w:pPr>
        <w:pStyle w:val="Body"/>
        <w:spacing w:before="240" w:after="0" w:line="240" w:lineRule="auto"/>
        <w:jc w:val="both"/>
        <w:rPr>
          <w:noProof/>
          <w:color w:val="1F497D"/>
        </w:rPr>
      </w:pPr>
      <w:r>
        <w:rPr>
          <w:rFonts w:ascii="Times New Roman" w:hAnsi="Times New Roman"/>
          <w:noProof/>
          <w:sz w:val="24"/>
        </w:rPr>
        <w:t>Les pays des Balkans occidentaux mettent en œuvre des stratégies nationales destinées à faire obstacle au trafic d'armes et à la prolifération d’armes légères et de petit calibre. Un suivi des progrès réalisés dans ce domaine est également ass</w:t>
      </w:r>
      <w:r>
        <w:rPr>
          <w:rFonts w:ascii="Times New Roman" w:hAnsi="Times New Roman"/>
          <w:noProof/>
          <w:sz w:val="24"/>
        </w:rPr>
        <w:t>uré dans le cadre des négociations d'adhésion au chapitre 24 - Justice, Liberté et Sécurité.</w:t>
      </w:r>
      <w:r>
        <w:rPr>
          <w:noProof/>
          <w:color w:val="1F497D"/>
        </w:rPr>
        <w:t xml:space="preserve"> </w:t>
      </w:r>
    </w:p>
    <w:p w:rsidR="002A06C7" w:rsidRDefault="00334C44">
      <w:pPr>
        <w:pStyle w:val="Body"/>
        <w:spacing w:before="240" w:after="0" w:line="240" w:lineRule="auto"/>
        <w:jc w:val="both"/>
        <w:rPr>
          <w:rFonts w:ascii="Times New Roman" w:hAnsi="Times New Roman"/>
          <w:noProof/>
          <w:sz w:val="24"/>
          <w:szCs w:val="24"/>
        </w:rPr>
      </w:pPr>
      <w:r>
        <w:rPr>
          <w:rFonts w:ascii="Times New Roman" w:hAnsi="Times New Roman"/>
          <w:noProof/>
          <w:sz w:val="24"/>
        </w:rPr>
        <w:t>S’appuyant sur les enseignements tirés d’initiatives similaires</w:t>
      </w:r>
      <w:r>
        <w:rPr>
          <w:rStyle w:val="FootnoteReference"/>
          <w:rFonts w:ascii="Times New Roman" w:hAnsi="Times New Roman"/>
          <w:noProof/>
          <w:sz w:val="24"/>
        </w:rPr>
        <w:footnoteReference w:id="49"/>
      </w:r>
      <w:r>
        <w:rPr>
          <w:rFonts w:ascii="Times New Roman" w:hAnsi="Times New Roman"/>
          <w:noProof/>
          <w:sz w:val="24"/>
        </w:rPr>
        <w:t xml:space="preserve">, la Commission se penchera, aux côtés de partenaires essentiels, sur la pertinence de </w:t>
      </w:r>
      <w:r>
        <w:rPr>
          <w:rFonts w:ascii="Times New Roman" w:hAnsi="Times New Roman"/>
          <w:b/>
          <w:noProof/>
          <w:sz w:val="24"/>
        </w:rPr>
        <w:t xml:space="preserve">programmes </w:t>
      </w:r>
      <w:r>
        <w:rPr>
          <w:rFonts w:ascii="Times New Roman" w:hAnsi="Times New Roman"/>
          <w:b/>
          <w:noProof/>
          <w:sz w:val="24"/>
        </w:rPr>
        <w:t>de rachat des armes à feu</w:t>
      </w:r>
      <w:r>
        <w:rPr>
          <w:rFonts w:ascii="Times New Roman" w:hAnsi="Times New Roman"/>
          <w:noProof/>
          <w:sz w:val="24"/>
        </w:rPr>
        <w:t xml:space="preserve"> dans la région.</w:t>
      </w:r>
    </w:p>
    <w:p w:rsidR="002A06C7" w:rsidRDefault="00334C44">
      <w:pPr>
        <w:pStyle w:val="Body"/>
        <w:spacing w:before="240" w:after="0" w:line="240" w:lineRule="auto"/>
        <w:jc w:val="both"/>
        <w:rPr>
          <w:rFonts w:ascii="Times New Roman" w:hAnsi="Times New Roman"/>
          <w:b/>
          <w:bCs/>
          <w:i/>
          <w:noProof/>
          <w:sz w:val="24"/>
          <w:szCs w:val="24"/>
        </w:rPr>
      </w:pPr>
      <w:r>
        <w:rPr>
          <w:rFonts w:ascii="Times New Roman" w:hAnsi="Times New Roman"/>
          <w:b/>
          <w:i/>
          <w:noProof/>
          <w:sz w:val="24"/>
        </w:rPr>
        <w:t>Renforcer la coopération avec les pays du Moyen-Orient et d’Afrique du Nord (région MENA)</w:t>
      </w:r>
    </w:p>
    <w:p w:rsidR="002A06C7" w:rsidRDefault="002A06C7">
      <w:pPr>
        <w:jc w:val="both"/>
        <w:rPr>
          <w:noProof/>
        </w:rPr>
      </w:pPr>
    </w:p>
    <w:p w:rsidR="002A06C7" w:rsidRDefault="00334C44">
      <w:pPr>
        <w:jc w:val="both"/>
        <w:rPr>
          <w:noProof/>
          <w:color w:val="1F497D"/>
        </w:rPr>
      </w:pPr>
      <w:r>
        <w:rPr>
          <w:noProof/>
        </w:rPr>
        <w:t>L’instabilité qui règne actuellement dans la région MENA, avec notamment les conflits persistants en Libye et en Syrie, ent</w:t>
      </w:r>
      <w:r>
        <w:rPr>
          <w:noProof/>
        </w:rPr>
        <w:t xml:space="preserve">raîne une hausse spectaculaire du trafic illicite d’armes à feu dans cette région. Il en résulte une menace substantielle à long terme pour la sécurité dans l’UE, à laquelle il y a lieu de s’attaquer de toute urgence. </w:t>
      </w:r>
    </w:p>
    <w:p w:rsidR="002A06C7" w:rsidRDefault="00334C44">
      <w:pPr>
        <w:pStyle w:val="Body"/>
        <w:spacing w:before="240" w:after="0" w:line="240" w:lineRule="auto"/>
        <w:jc w:val="both"/>
        <w:rPr>
          <w:rFonts w:ascii="Times New Roman" w:hAnsi="Times New Roman"/>
          <w:noProof/>
          <w:sz w:val="24"/>
          <w:szCs w:val="24"/>
        </w:rPr>
      </w:pPr>
      <w:r>
        <w:rPr>
          <w:rFonts w:ascii="Times New Roman" w:hAnsi="Times New Roman"/>
          <w:noProof/>
          <w:sz w:val="24"/>
        </w:rPr>
        <w:t>L’UE a déjà entamé un dialogue afin d</w:t>
      </w:r>
      <w:r>
        <w:rPr>
          <w:rFonts w:ascii="Times New Roman" w:hAnsi="Times New Roman"/>
          <w:noProof/>
          <w:sz w:val="24"/>
        </w:rPr>
        <w:t>’étudier la possibilité d’une future coopération avec les pays de la région MENA (après des contacts exploratoires et une première conférence au niveau technique avec les pays de la région le 1</w:t>
      </w:r>
      <w:r>
        <w:rPr>
          <w:rFonts w:ascii="Times New Roman" w:hAnsi="Times New Roman"/>
          <w:noProof/>
          <w:sz w:val="24"/>
          <w:vertAlign w:val="superscript"/>
        </w:rPr>
        <w:t>er</w:t>
      </w:r>
      <w:r>
        <w:rPr>
          <w:rFonts w:ascii="Times New Roman" w:hAnsi="Times New Roman"/>
          <w:noProof/>
          <w:sz w:val="24"/>
        </w:rPr>
        <w:t xml:space="preserve"> octobre 2015) et elle s’efforcera de </w:t>
      </w:r>
      <w:r>
        <w:rPr>
          <w:rFonts w:ascii="Times New Roman" w:hAnsi="Times New Roman"/>
          <w:b/>
          <w:noProof/>
          <w:sz w:val="24"/>
        </w:rPr>
        <w:t>renforcer la coopératio</w:t>
      </w:r>
      <w:r>
        <w:rPr>
          <w:rFonts w:ascii="Times New Roman" w:hAnsi="Times New Roman"/>
          <w:b/>
          <w:noProof/>
          <w:sz w:val="24"/>
        </w:rPr>
        <w:t>n UE-MENA entre les agences répressives pertinentes</w:t>
      </w:r>
      <w:r>
        <w:rPr>
          <w:rFonts w:ascii="Times New Roman" w:hAnsi="Times New Roman"/>
          <w:noProof/>
          <w:color w:val="auto"/>
          <w:sz w:val="24"/>
        </w:rPr>
        <w:t>, de soutenir</w:t>
      </w:r>
      <w:r>
        <w:rPr>
          <w:rFonts w:ascii="Times New Roman" w:hAnsi="Times New Roman"/>
          <w:b/>
          <w:noProof/>
          <w:sz w:val="24"/>
        </w:rPr>
        <w:t xml:space="preserve"> le renforcement des capacités</w:t>
      </w:r>
      <w:r>
        <w:rPr>
          <w:rFonts w:ascii="Times New Roman" w:hAnsi="Times New Roman"/>
          <w:noProof/>
          <w:sz w:val="24"/>
        </w:rPr>
        <w:t xml:space="preserve"> par le biais de programmes régionaux et/ou bilatéraux pertinents</w:t>
      </w:r>
      <w:r>
        <w:rPr>
          <w:rStyle w:val="FootnoteReference"/>
          <w:rFonts w:ascii="Times New Roman" w:hAnsi="Times New Roman"/>
          <w:noProof/>
          <w:sz w:val="24"/>
        </w:rPr>
        <w:footnoteReference w:id="50"/>
      </w:r>
      <w:r>
        <w:rPr>
          <w:rFonts w:ascii="Times New Roman" w:hAnsi="Times New Roman"/>
          <w:noProof/>
          <w:sz w:val="24"/>
        </w:rPr>
        <w:t xml:space="preserve"> et de concevoir des </w:t>
      </w:r>
      <w:r>
        <w:rPr>
          <w:rFonts w:ascii="Times New Roman" w:hAnsi="Times New Roman"/>
          <w:b/>
          <w:noProof/>
          <w:sz w:val="24"/>
        </w:rPr>
        <w:t>actions opérationnelles</w:t>
      </w:r>
      <w:r>
        <w:rPr>
          <w:rFonts w:ascii="Times New Roman" w:hAnsi="Times New Roman"/>
          <w:noProof/>
          <w:sz w:val="24"/>
        </w:rPr>
        <w:t xml:space="preserve"> à l’intérieur d’un cadre convenu d’un commun accord</w:t>
      </w:r>
      <w:r>
        <w:rPr>
          <w:rFonts w:ascii="Times New Roman" w:hAnsi="Times New Roman"/>
          <w:noProof/>
          <w:sz w:val="24"/>
        </w:rPr>
        <w:t>.</w:t>
      </w:r>
    </w:p>
    <w:p w:rsidR="002A06C7" w:rsidRDefault="00334C44">
      <w:pPr>
        <w:pStyle w:val="Body"/>
        <w:spacing w:before="240" w:after="0" w:line="240" w:lineRule="auto"/>
        <w:jc w:val="both"/>
        <w:rPr>
          <w:rFonts w:ascii="Times New Roman" w:hAnsi="Times New Roman"/>
          <w:noProof/>
          <w:sz w:val="24"/>
          <w:szCs w:val="24"/>
        </w:rPr>
      </w:pPr>
      <w:r>
        <w:rPr>
          <w:rFonts w:ascii="Times New Roman" w:hAnsi="Times New Roman"/>
          <w:noProof/>
          <w:sz w:val="24"/>
        </w:rPr>
        <w:t>Cette approche régionale doit être complétée au niveau bilatéral par l'intégration systématique de la question des armes à feu et des explosifs dans les dialogues politiques avec les pays de la région MENA dans le cadre des accords d’association de la po</w:t>
      </w:r>
      <w:r>
        <w:rPr>
          <w:rFonts w:ascii="Times New Roman" w:hAnsi="Times New Roman"/>
          <w:noProof/>
          <w:sz w:val="24"/>
        </w:rPr>
        <w:t xml:space="preserve">litique européenne de voisinage et des sous-comités connexes sur la justice et les affaires intérieures et, le cas échéant, dans les dialogues spécifiques sur la lutte contre le terrorisme (déjà ouverts avec la Tunisie et sur le point de commencer avec le </w:t>
      </w:r>
      <w:r>
        <w:rPr>
          <w:rFonts w:ascii="Times New Roman" w:hAnsi="Times New Roman"/>
          <w:noProof/>
          <w:sz w:val="24"/>
        </w:rPr>
        <w:t>Liban, la Jordanie, l’Algérie et le Maroc).</w:t>
      </w:r>
      <w:r>
        <w:rPr>
          <w:rFonts w:ascii="Times New Roman" w:hAnsi="Times New Roman"/>
          <w:b/>
          <w:noProof/>
          <w:sz w:val="24"/>
        </w:rPr>
        <w:t xml:space="preserve"> </w:t>
      </w:r>
    </w:p>
    <w:p w:rsidR="002A06C7" w:rsidRDefault="00334C44">
      <w:pPr>
        <w:pStyle w:val="Body"/>
        <w:spacing w:before="240" w:after="0" w:line="240" w:lineRule="auto"/>
        <w:jc w:val="both"/>
        <w:rPr>
          <w:rFonts w:ascii="Times New Roman" w:hAnsi="Times New Roman"/>
          <w:noProof/>
          <w:sz w:val="24"/>
          <w:szCs w:val="24"/>
        </w:rPr>
      </w:pPr>
      <w:r>
        <w:rPr>
          <w:rFonts w:ascii="Times New Roman" w:hAnsi="Times New Roman"/>
          <w:noProof/>
          <w:sz w:val="24"/>
        </w:rPr>
        <w:t xml:space="preserve">La propagation et le trafic illicites d’armes conventionnelles depuis la </w:t>
      </w:r>
      <w:r>
        <w:rPr>
          <w:rFonts w:ascii="Times New Roman" w:hAnsi="Times New Roman"/>
          <w:b/>
          <w:noProof/>
          <w:sz w:val="24"/>
        </w:rPr>
        <w:t>Libye</w:t>
      </w:r>
      <w:r>
        <w:rPr>
          <w:rFonts w:ascii="Times New Roman" w:hAnsi="Times New Roman"/>
          <w:noProof/>
          <w:sz w:val="24"/>
        </w:rPr>
        <w:t xml:space="preserve"> et sur son territoire continuent de nourrir l’insécurité dans la région, en raison notamment du détournement d’engins explosifs impr</w:t>
      </w:r>
      <w:r>
        <w:rPr>
          <w:rFonts w:ascii="Times New Roman" w:hAnsi="Times New Roman"/>
          <w:noProof/>
          <w:sz w:val="24"/>
        </w:rPr>
        <w:t>ovisés (EEI)</w:t>
      </w:r>
      <w:r>
        <w:rPr>
          <w:rStyle w:val="FootnoteReference"/>
          <w:rFonts w:ascii="Times New Roman" w:hAnsi="Times New Roman"/>
          <w:noProof/>
          <w:sz w:val="24"/>
        </w:rPr>
        <w:footnoteReference w:id="51"/>
      </w:r>
      <w:r>
        <w:rPr>
          <w:rFonts w:ascii="Times New Roman" w:hAnsi="Times New Roman"/>
          <w:noProof/>
          <w:sz w:val="24"/>
        </w:rPr>
        <w:t xml:space="preserve"> ou de MANPADS</w:t>
      </w:r>
      <w:r>
        <w:rPr>
          <w:rStyle w:val="FootnoteReference"/>
          <w:rFonts w:ascii="Times New Roman" w:hAnsi="Times New Roman"/>
          <w:noProof/>
          <w:sz w:val="24"/>
        </w:rPr>
        <w:footnoteReference w:id="52"/>
      </w:r>
      <w:r>
        <w:rPr>
          <w:rFonts w:ascii="Times New Roman" w:hAnsi="Times New Roman"/>
          <w:noProof/>
          <w:sz w:val="20"/>
        </w:rPr>
        <w:t>.</w:t>
      </w:r>
      <w:r>
        <w:rPr>
          <w:rFonts w:ascii="Times New Roman" w:hAnsi="Times New Roman"/>
          <w:noProof/>
          <w:sz w:val="24"/>
        </w:rPr>
        <w:t xml:space="preserve"> Il a en outre été rapporté que des milices libyennes se sont emparées d’armes chimiques provenant d’arsenaux stockés dans de mauvaises conditions, qui risquent désormais de tomber aux mains de groupes extrémistes violents ou de terroristes. </w:t>
      </w:r>
    </w:p>
    <w:p w:rsidR="002A06C7" w:rsidRDefault="00334C44">
      <w:pPr>
        <w:pStyle w:val="Body"/>
        <w:spacing w:before="240" w:after="0" w:line="240" w:lineRule="auto"/>
        <w:jc w:val="both"/>
        <w:rPr>
          <w:rFonts w:ascii="Times New Roman" w:hAnsi="Times New Roman"/>
          <w:noProof/>
          <w:sz w:val="24"/>
          <w:szCs w:val="24"/>
        </w:rPr>
      </w:pPr>
      <w:r>
        <w:rPr>
          <w:rFonts w:ascii="Times New Roman" w:hAnsi="Times New Roman"/>
          <w:noProof/>
          <w:sz w:val="24"/>
        </w:rPr>
        <w:t>Dès qu’un gou</w:t>
      </w:r>
      <w:r>
        <w:rPr>
          <w:rFonts w:ascii="Times New Roman" w:hAnsi="Times New Roman"/>
          <w:noProof/>
          <w:sz w:val="24"/>
        </w:rPr>
        <w:t>vernement d’union nationale sera installé, l’UE s’assignera pour priorité de proposer aux autorités libyennes, en coordination avec d’autres partenaires internationaux pertinents, des programmes pour le renforcement de leurs capacités de lutte contre le te</w:t>
      </w:r>
      <w:r>
        <w:rPr>
          <w:rFonts w:ascii="Times New Roman" w:hAnsi="Times New Roman"/>
          <w:noProof/>
          <w:sz w:val="24"/>
        </w:rPr>
        <w:t>rrorisme. Un pilier fondamental de cette formule consistera à combattre le trafic illicite d’armes à feu et l’usage illicite d’explosifs.</w:t>
      </w:r>
    </w:p>
    <w:p w:rsidR="002A06C7" w:rsidRDefault="00334C44">
      <w:pPr>
        <w:pStyle w:val="Body"/>
        <w:spacing w:before="240" w:after="0" w:line="240" w:lineRule="auto"/>
        <w:jc w:val="both"/>
        <w:rPr>
          <w:rFonts w:ascii="Times New Roman" w:hAnsi="Times New Roman"/>
          <w:b/>
          <w:bCs/>
          <w:i/>
          <w:noProof/>
          <w:sz w:val="24"/>
          <w:szCs w:val="24"/>
        </w:rPr>
      </w:pPr>
      <w:r>
        <w:rPr>
          <w:rFonts w:ascii="Times New Roman" w:hAnsi="Times New Roman"/>
          <w:b/>
          <w:i/>
          <w:noProof/>
          <w:sz w:val="24"/>
        </w:rPr>
        <w:t>Renforcer la coopération avec l'Ukraine</w:t>
      </w:r>
    </w:p>
    <w:p w:rsidR="002A06C7" w:rsidRDefault="00334C44">
      <w:pPr>
        <w:pStyle w:val="Body"/>
        <w:spacing w:before="240" w:after="0" w:line="240" w:lineRule="auto"/>
        <w:jc w:val="both"/>
        <w:rPr>
          <w:rFonts w:ascii="Times New Roman" w:hAnsi="Times New Roman"/>
          <w:noProof/>
          <w:sz w:val="24"/>
          <w:szCs w:val="24"/>
        </w:rPr>
      </w:pPr>
      <w:r>
        <w:rPr>
          <w:rFonts w:ascii="Times New Roman" w:hAnsi="Times New Roman"/>
          <w:noProof/>
          <w:sz w:val="24"/>
        </w:rPr>
        <w:t>Il est dans l’intérêt tant de l’UE que de l’</w:t>
      </w:r>
      <w:r>
        <w:rPr>
          <w:rFonts w:ascii="Times New Roman" w:hAnsi="Times New Roman"/>
          <w:b/>
          <w:noProof/>
          <w:sz w:val="24"/>
        </w:rPr>
        <w:t>Ukraine</w:t>
      </w:r>
      <w:r>
        <w:rPr>
          <w:rFonts w:ascii="Times New Roman" w:hAnsi="Times New Roman"/>
          <w:noProof/>
          <w:sz w:val="24"/>
        </w:rPr>
        <w:t xml:space="preserve"> de renforcer leur coopérat</w:t>
      </w:r>
      <w:r>
        <w:rPr>
          <w:rFonts w:ascii="Times New Roman" w:hAnsi="Times New Roman"/>
          <w:noProof/>
          <w:sz w:val="24"/>
        </w:rPr>
        <w:t>ion contre les menaces communes que soulèvent le trafic et l’usage illicites d’armes à feu et d’explosifs. En même temps, l’UE pourrait apporter un plus grand soutien à la réforme du secteur de la sécurité civile en Ukraine, y compris dans le domaine d’int</w:t>
      </w:r>
      <w:r>
        <w:rPr>
          <w:rFonts w:ascii="Times New Roman" w:hAnsi="Times New Roman"/>
          <w:noProof/>
          <w:sz w:val="24"/>
        </w:rPr>
        <w:t>érêt faisant l’objet de la présente communication.</w:t>
      </w:r>
    </w:p>
    <w:p w:rsidR="002A06C7" w:rsidRDefault="00334C44">
      <w:pPr>
        <w:pStyle w:val="Body"/>
        <w:spacing w:before="240" w:after="0" w:line="240" w:lineRule="auto"/>
        <w:jc w:val="both"/>
        <w:rPr>
          <w:rFonts w:ascii="Times New Roman" w:hAnsi="Times New Roman"/>
          <w:b/>
          <w:i/>
          <w:noProof/>
          <w:sz w:val="24"/>
          <w:szCs w:val="24"/>
        </w:rPr>
      </w:pPr>
      <w:r>
        <w:rPr>
          <w:rFonts w:ascii="Times New Roman" w:hAnsi="Times New Roman"/>
          <w:b/>
          <w:i/>
          <w:noProof/>
          <w:sz w:val="24"/>
        </w:rPr>
        <w:t>Renforcer la coopération avec la Turquie</w:t>
      </w:r>
    </w:p>
    <w:p w:rsidR="002A06C7" w:rsidRDefault="00334C44">
      <w:pPr>
        <w:pStyle w:val="Body"/>
        <w:spacing w:before="240" w:after="0" w:line="240" w:lineRule="auto"/>
        <w:jc w:val="both"/>
        <w:rPr>
          <w:rFonts w:ascii="Times New Roman" w:hAnsi="Times New Roman"/>
          <w:noProof/>
          <w:sz w:val="24"/>
          <w:szCs w:val="24"/>
        </w:rPr>
      </w:pPr>
      <w:r>
        <w:rPr>
          <w:rFonts w:ascii="Times New Roman" w:hAnsi="Times New Roman"/>
          <w:noProof/>
          <w:sz w:val="24"/>
        </w:rPr>
        <w:t>Le dialogue UE-Turquie actuel sur la lutte contre le terrorisme doit être étendu au trafic et à l’usage illicites d’armes à feu et d’explosifs.</w:t>
      </w:r>
    </w:p>
    <w:p w:rsidR="002A06C7" w:rsidRDefault="00334C44">
      <w:pPr>
        <w:pStyle w:val="Body"/>
        <w:spacing w:before="240" w:after="0" w:line="240" w:lineRule="auto"/>
        <w:jc w:val="both"/>
        <w:rPr>
          <w:rFonts w:ascii="Times New Roman" w:hAnsi="Times New Roman"/>
          <w:b/>
          <w:bCs/>
          <w:i/>
          <w:noProof/>
          <w:sz w:val="24"/>
          <w:szCs w:val="24"/>
        </w:rPr>
      </w:pPr>
      <w:r>
        <w:rPr>
          <w:rFonts w:ascii="Times New Roman" w:hAnsi="Times New Roman"/>
          <w:b/>
          <w:i/>
          <w:noProof/>
          <w:sz w:val="24"/>
        </w:rPr>
        <w:t>Renforcer la coopéra</w:t>
      </w:r>
      <w:r>
        <w:rPr>
          <w:rFonts w:ascii="Times New Roman" w:hAnsi="Times New Roman"/>
          <w:b/>
          <w:i/>
          <w:noProof/>
          <w:sz w:val="24"/>
        </w:rPr>
        <w:t xml:space="preserve">tion avec d’autres acteurs régionaux et organisations internationales </w:t>
      </w:r>
    </w:p>
    <w:p w:rsidR="002A06C7" w:rsidRDefault="00334C44">
      <w:pPr>
        <w:pStyle w:val="Body"/>
        <w:spacing w:before="240" w:after="0" w:line="240" w:lineRule="auto"/>
        <w:jc w:val="both"/>
        <w:rPr>
          <w:rFonts w:ascii="Times New Roman" w:hAnsi="Times New Roman"/>
          <w:noProof/>
          <w:sz w:val="24"/>
          <w:szCs w:val="24"/>
        </w:rPr>
      </w:pPr>
      <w:r>
        <w:rPr>
          <w:rFonts w:ascii="Times New Roman" w:hAnsi="Times New Roman"/>
          <w:noProof/>
          <w:sz w:val="24"/>
        </w:rPr>
        <w:t xml:space="preserve">Les groupes terroristes et criminels aggravent la situation en matière de sécurité en </w:t>
      </w:r>
      <w:r>
        <w:rPr>
          <w:rFonts w:ascii="Times New Roman" w:hAnsi="Times New Roman"/>
          <w:b/>
          <w:noProof/>
          <w:sz w:val="24"/>
        </w:rPr>
        <w:t>Libye</w:t>
      </w:r>
      <w:r>
        <w:rPr>
          <w:rFonts w:ascii="Times New Roman" w:hAnsi="Times New Roman"/>
          <w:noProof/>
          <w:sz w:val="24"/>
        </w:rPr>
        <w:t xml:space="preserve">, ce qui se répercute sur le Sahel (par ex. au Mali) et </w:t>
      </w:r>
      <w:r>
        <w:rPr>
          <w:rFonts w:ascii="Times New Roman" w:hAnsi="Times New Roman"/>
          <w:noProof/>
          <w:color w:val="auto"/>
          <w:sz w:val="24"/>
        </w:rPr>
        <w:t xml:space="preserve">sur la sécurité dans la région du Lac </w:t>
      </w:r>
      <w:r>
        <w:rPr>
          <w:rFonts w:ascii="Times New Roman" w:hAnsi="Times New Roman"/>
          <w:noProof/>
          <w:color w:val="auto"/>
          <w:sz w:val="24"/>
        </w:rPr>
        <w:t>Tchad (en particulier au Nigeria)</w:t>
      </w:r>
      <w:r>
        <w:rPr>
          <w:rFonts w:ascii="Times New Roman" w:hAnsi="Times New Roman"/>
          <w:noProof/>
          <w:sz w:val="24"/>
        </w:rPr>
        <w:t>. La Commission, en coordination avec le SEAE, apportera un soutien approprié afin de contrecarrer l'action de ces groupes, au moyen d’une aide en matière de sécurité, y compris, le cas échéant, au titre du fonds fiduciaire</w:t>
      </w:r>
      <w:r>
        <w:rPr>
          <w:rFonts w:ascii="Times New Roman" w:hAnsi="Times New Roman"/>
          <w:noProof/>
          <w:sz w:val="24"/>
        </w:rPr>
        <w:t xml:space="preserve"> d’urgence de l’Union européenne en faveur de la stabilité et de la lutte contre les causes profondes de la migration irrégulière et du phénomène des personnes déplacées en Afrique, qui a été créé récemment. </w:t>
      </w:r>
    </w:p>
    <w:p w:rsidR="002A06C7" w:rsidRDefault="00334C44">
      <w:pPr>
        <w:pStyle w:val="Body"/>
        <w:spacing w:before="240" w:after="0" w:line="240" w:lineRule="auto"/>
        <w:jc w:val="both"/>
        <w:rPr>
          <w:rFonts w:ascii="Times New Roman" w:hAnsi="Times New Roman"/>
          <w:noProof/>
          <w:sz w:val="24"/>
          <w:szCs w:val="24"/>
        </w:rPr>
      </w:pPr>
      <w:r>
        <w:rPr>
          <w:rFonts w:ascii="Times New Roman" w:hAnsi="Times New Roman"/>
          <w:noProof/>
          <w:sz w:val="24"/>
        </w:rPr>
        <w:t>La Commission aidera les pays membres de la Lig</w:t>
      </w:r>
      <w:r>
        <w:rPr>
          <w:rFonts w:ascii="Times New Roman" w:hAnsi="Times New Roman"/>
          <w:noProof/>
          <w:sz w:val="24"/>
        </w:rPr>
        <w:t>ue des États arabes (LEA)</w:t>
      </w:r>
      <w:r>
        <w:rPr>
          <w:rStyle w:val="FootnoteReference"/>
          <w:rFonts w:ascii="Times New Roman" w:hAnsi="Times New Roman"/>
          <w:noProof/>
          <w:sz w:val="24"/>
        </w:rPr>
        <w:footnoteReference w:id="53"/>
      </w:r>
      <w:r>
        <w:rPr>
          <w:rFonts w:ascii="Times New Roman" w:hAnsi="Times New Roman"/>
          <w:noProof/>
          <w:sz w:val="24"/>
        </w:rPr>
        <w:t xml:space="preserve"> à mettre au point un système informatisé de contrôle des transferts d’armes et d’armement et elle étudiera comment les points de contact de la LEA sur les ALPC pourraient coopérer avec les structures comparables dans l’UE.</w:t>
      </w:r>
    </w:p>
    <w:p w:rsidR="002A06C7" w:rsidRDefault="00334C44">
      <w:pPr>
        <w:pStyle w:val="Body"/>
        <w:spacing w:before="240"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Sur la</w:t>
      </w:r>
      <w:r>
        <w:rPr>
          <w:rFonts w:ascii="Times New Roman" w:hAnsi="Times New Roman" w:cs="Times New Roman"/>
          <w:noProof/>
          <w:sz w:val="24"/>
          <w:szCs w:val="24"/>
        </w:rPr>
        <w:t xml:space="preserve"> base des efforts déjà entrepris avec la mise en œuvre de la stratégie 2005 de l’UE sur les armes légères et de petit calibre (ALPC)</w:t>
      </w:r>
      <w:r>
        <w:rPr>
          <w:rStyle w:val="FootnoteReference"/>
          <w:rFonts w:ascii="Times New Roman" w:hAnsi="Times New Roman" w:cs="Times New Roman"/>
          <w:noProof/>
          <w:sz w:val="24"/>
          <w:szCs w:val="24"/>
        </w:rPr>
        <w:footnoteReference w:id="54"/>
      </w:r>
      <w:r>
        <w:rPr>
          <w:rFonts w:ascii="Times New Roman" w:hAnsi="Times New Roman" w:cs="Times New Roman"/>
          <w:noProof/>
          <w:sz w:val="24"/>
          <w:szCs w:val="24"/>
        </w:rPr>
        <w:t xml:space="preserve"> et la stratégie européenne de sécurité</w:t>
      </w:r>
      <w:r>
        <w:rPr>
          <w:rStyle w:val="FootnoteReference"/>
          <w:rFonts w:ascii="Times New Roman" w:hAnsi="Times New Roman" w:cs="Times New Roman"/>
          <w:noProof/>
          <w:sz w:val="24"/>
          <w:szCs w:val="24"/>
        </w:rPr>
        <w:footnoteReference w:id="55"/>
      </w:r>
      <w:r>
        <w:rPr>
          <w:rFonts w:ascii="Times New Roman" w:hAnsi="Times New Roman" w:cs="Times New Roman"/>
          <w:noProof/>
          <w:sz w:val="24"/>
          <w:szCs w:val="24"/>
        </w:rPr>
        <w:t>, l’UE continuera d’encourager la ratification, la transposition et l’application d</w:t>
      </w:r>
      <w:r>
        <w:rPr>
          <w:rFonts w:ascii="Times New Roman" w:hAnsi="Times New Roman" w:cs="Times New Roman"/>
          <w:noProof/>
          <w:sz w:val="24"/>
          <w:szCs w:val="24"/>
        </w:rPr>
        <w:t xml:space="preserve">es conventions internationales pertinentes, telles que le traité sur le commerce des armes et le protocole sur les armes à feu additionnel à la Convention des Nations unies contre la criminalité transnationale organisée. Elle mettra également à profit les </w:t>
      </w:r>
      <w:r>
        <w:rPr>
          <w:rFonts w:ascii="Times New Roman" w:hAnsi="Times New Roman" w:cs="Times New Roman"/>
          <w:noProof/>
          <w:sz w:val="24"/>
          <w:szCs w:val="24"/>
        </w:rPr>
        <w:t>réseaux régionaux CBRN établis dans huit régions au titre de l’initiative de l’UE pour la réduction des risques.</w:t>
      </w:r>
    </w:p>
    <w:p w:rsidR="002A06C7" w:rsidRDefault="002A06C7">
      <w:pPr>
        <w:pStyle w:val="Body"/>
        <w:spacing w:after="0" w:line="240" w:lineRule="auto"/>
        <w:jc w:val="both"/>
        <w:rPr>
          <w:rFonts w:ascii="Times New Roman" w:hAnsi="Times New Roman"/>
          <w:noProof/>
          <w:sz w:val="24"/>
          <w:szCs w:val="24"/>
        </w:rPr>
      </w:pPr>
    </w:p>
    <w:tbl>
      <w:tblPr>
        <w:tblW w:w="9348"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90"/>
      </w:tblGrid>
      <w:tr w:rsidR="002A06C7">
        <w:trPr>
          <w:trHeight w:val="1827"/>
        </w:trPr>
        <w:tc>
          <w:tcPr>
            <w:tcW w:w="9348" w:type="dxa"/>
            <w:tcBorders>
              <w:top w:val="nil"/>
              <w:left w:val="nil"/>
              <w:bottom w:val="nil"/>
              <w:right w:val="nil"/>
            </w:tcBorders>
          </w:tcPr>
          <w:tbl>
            <w:tblPr>
              <w:tblW w:w="92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64"/>
            </w:tblGrid>
            <w:tr w:rsidR="002A06C7">
              <w:trPr>
                <w:trHeight w:val="2472"/>
              </w:trPr>
              <w:tc>
                <w:tcPr>
                  <w:tcW w:w="9264" w:type="dxa"/>
                </w:tcPr>
                <w:p w:rsidR="002A06C7" w:rsidRDefault="00334C44">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jc w:val="both"/>
                    <w:rPr>
                      <w:rFonts w:ascii="Times New Roman" w:hAnsi="Times New Roman"/>
                      <w:b/>
                      <w:bCs/>
                      <w:noProof/>
                      <w:sz w:val="24"/>
                      <w:szCs w:val="24"/>
                    </w:rPr>
                  </w:pPr>
                  <w:r>
                    <w:rPr>
                      <w:rFonts w:ascii="Times New Roman" w:hAnsi="Times New Roman"/>
                      <w:b/>
                      <w:noProof/>
                      <w:sz w:val="24"/>
                    </w:rPr>
                    <w:t>Actions spécifiques:</w:t>
                  </w:r>
                </w:p>
                <w:p w:rsidR="002A06C7" w:rsidRDefault="00334C44">
                  <w:pPr>
                    <w:pStyle w:val="Body"/>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Times New Roman" w:hAnsi="Times New Roman"/>
                      <w:bCs/>
                      <w:i/>
                      <w:noProof/>
                      <w:sz w:val="24"/>
                      <w:szCs w:val="24"/>
                    </w:rPr>
                  </w:pPr>
                  <w:r>
                    <w:rPr>
                      <w:rFonts w:ascii="Times New Roman" w:hAnsi="Times New Roman"/>
                      <w:i/>
                      <w:noProof/>
                      <w:sz w:val="24"/>
                    </w:rPr>
                    <w:t>Renforcer les activités opérationnelles et élargir la portée du plan d’action UE-Europe du Sud-Est;</w:t>
                  </w:r>
                </w:p>
                <w:p w:rsidR="002A06C7" w:rsidRDefault="00334C44">
                  <w:pPr>
                    <w:pStyle w:val="Body"/>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Times New Roman" w:hAnsi="Times New Roman"/>
                      <w:bCs/>
                      <w:i/>
                      <w:noProof/>
                      <w:sz w:val="24"/>
                      <w:szCs w:val="24"/>
                    </w:rPr>
                  </w:pPr>
                  <w:r>
                    <w:rPr>
                      <w:rFonts w:ascii="Times New Roman" w:hAnsi="Times New Roman"/>
                      <w:i/>
                      <w:noProof/>
                      <w:sz w:val="24"/>
                    </w:rPr>
                    <w:t xml:space="preserve">Renforcer la </w:t>
                  </w:r>
                  <w:r>
                    <w:rPr>
                      <w:rFonts w:ascii="Times New Roman" w:hAnsi="Times New Roman"/>
                      <w:i/>
                      <w:noProof/>
                      <w:sz w:val="24"/>
                    </w:rPr>
                    <w:t>coopération avec les pays du Moyen-Orient et d’Afrique du Nord (région MENA);</w:t>
                  </w:r>
                </w:p>
                <w:p w:rsidR="002A06C7" w:rsidRDefault="00334C44">
                  <w:pPr>
                    <w:pStyle w:val="Body"/>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Times New Roman" w:hAnsi="Times New Roman"/>
                      <w:bCs/>
                      <w:i/>
                      <w:noProof/>
                      <w:sz w:val="24"/>
                      <w:szCs w:val="24"/>
                    </w:rPr>
                  </w:pPr>
                  <w:r>
                    <w:rPr>
                      <w:rFonts w:ascii="Times New Roman" w:hAnsi="Times New Roman"/>
                      <w:i/>
                      <w:noProof/>
                      <w:sz w:val="24"/>
                    </w:rPr>
                    <w:t>Renforcer la coopération avec l’Ukraine et la Turquie;</w:t>
                  </w:r>
                </w:p>
                <w:p w:rsidR="002A06C7" w:rsidRDefault="00334C44">
                  <w:pPr>
                    <w:pStyle w:val="Body"/>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jc w:val="both"/>
                    <w:rPr>
                      <w:rFonts w:ascii="Times New Roman" w:hAnsi="Times New Roman"/>
                      <w:b/>
                      <w:bCs/>
                      <w:noProof/>
                      <w:sz w:val="24"/>
                      <w:szCs w:val="24"/>
                    </w:rPr>
                  </w:pPr>
                  <w:r>
                    <w:rPr>
                      <w:rFonts w:ascii="Times New Roman" w:hAnsi="Times New Roman"/>
                      <w:i/>
                      <w:noProof/>
                      <w:sz w:val="24"/>
                    </w:rPr>
                    <w:t>Renforcer la coopération avec d’autres pays tiers, acteurs régionaux et organisations internationales pertinentes.</w:t>
                  </w:r>
                </w:p>
              </w:tc>
            </w:tr>
          </w:tbl>
          <w:p w:rsidR="002A06C7" w:rsidRDefault="002A06C7">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20" w:line="240" w:lineRule="auto"/>
              <w:jc w:val="both"/>
              <w:rPr>
                <w:rFonts w:ascii="Times New Roman" w:hAnsi="Times New Roman"/>
                <w:bCs/>
                <w:i/>
                <w:noProof/>
                <w:sz w:val="24"/>
                <w:szCs w:val="24"/>
              </w:rPr>
            </w:pPr>
          </w:p>
          <w:p w:rsidR="002A06C7" w:rsidRDefault="002A06C7">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20" w:line="240" w:lineRule="auto"/>
              <w:jc w:val="both"/>
              <w:rPr>
                <w:rFonts w:ascii="Times New Roman" w:hAnsi="Times New Roman"/>
                <w:bCs/>
                <w:i/>
                <w:noProof/>
                <w:sz w:val="24"/>
                <w:szCs w:val="24"/>
              </w:rPr>
            </w:pPr>
          </w:p>
          <w:p w:rsidR="002A06C7" w:rsidRDefault="00334C44">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20" w:line="240" w:lineRule="auto"/>
              <w:jc w:val="both"/>
              <w:rPr>
                <w:rFonts w:ascii="Times New Roman" w:hAnsi="Times New Roman"/>
                <w:b/>
                <w:bCs/>
                <w:noProof/>
                <w:sz w:val="24"/>
                <w:szCs w:val="24"/>
              </w:rPr>
            </w:pPr>
            <w:r>
              <w:rPr>
                <w:rFonts w:ascii="Times New Roman" w:hAnsi="Times New Roman"/>
                <w:b/>
                <w:noProof/>
                <w:sz w:val="24"/>
              </w:rPr>
              <w:t>CONCLUSIONS</w:t>
            </w:r>
          </w:p>
          <w:p w:rsidR="002A06C7" w:rsidRDefault="00334C44">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240" w:after="120" w:line="240" w:lineRule="auto"/>
              <w:jc w:val="both"/>
              <w:rPr>
                <w:rFonts w:ascii="Times New Roman" w:hAnsi="Times New Roman"/>
                <w:bCs/>
                <w:i/>
                <w:noProof/>
                <w:sz w:val="24"/>
                <w:szCs w:val="24"/>
              </w:rPr>
            </w:pPr>
            <w:r>
              <w:rPr>
                <w:rFonts w:ascii="Times New Roman" w:hAnsi="Times New Roman"/>
                <w:noProof/>
                <w:sz w:val="24"/>
              </w:rPr>
              <w:t>La Commission appelle les États membres et l'ensemble des autres parties concernées à prendre toutes les mesures nécessaires pour assurer la mise en œuvre rapide du présent plan d'action. La Commission rendra compte au Parlement européen et au Conseil de l</w:t>
            </w:r>
            <w:r>
              <w:rPr>
                <w:rFonts w:ascii="Times New Roman" w:hAnsi="Times New Roman"/>
                <w:noProof/>
                <w:sz w:val="24"/>
              </w:rPr>
              <w:t xml:space="preserve">a mise en œuvre du présent plan d'action dans le cadre du suivi semestriel de l'application du programme européen en matière de sécurité.  </w:t>
            </w:r>
          </w:p>
        </w:tc>
      </w:tr>
    </w:tbl>
    <w:p w:rsidR="002A06C7" w:rsidRDefault="002A06C7">
      <w:pPr>
        <w:rPr>
          <w:noProof/>
        </w:rPr>
      </w:pPr>
    </w:p>
    <w:sectPr w:rsidR="002A06C7">
      <w:headerReference w:type="even" r:id="rId16"/>
      <w:headerReference w:type="default" r:id="rId17"/>
      <w:footerReference w:type="even" r:id="rId18"/>
      <w:footerReference w:type="default" r:id="rId19"/>
      <w:headerReference w:type="first" r:id="rId20"/>
      <w:footerReference w:type="first" r:id="rId21"/>
      <w:pgSz w:w="11906" w:h="16838" w:code="9"/>
      <w:pgMar w:top="1418" w:right="1418" w:bottom="1418" w:left="1418" w:header="601" w:footer="567" w:gutter="0"/>
      <w:pgNumType w:start="2"/>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06C7" w:rsidRDefault="00334C44">
      <w:r>
        <w:separator/>
      </w:r>
    </w:p>
  </w:endnote>
  <w:endnote w:type="continuationSeparator" w:id="0">
    <w:p w:rsidR="002A06C7" w:rsidRDefault="00334C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6C7" w:rsidRDefault="002A06C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6C7" w:rsidRDefault="00334C44">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proofErr w:type="spellStart"/>
    <w:r>
      <w:rPr>
        <w:rFonts w:ascii="Arial" w:hAnsi="Arial" w:cs="Arial"/>
        <w:b/>
        <w:sz w:val="48"/>
      </w:rPr>
      <w:t>FR</w:t>
    </w:r>
    <w:proofErr w:type="spellEnd"/>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6C7" w:rsidRDefault="002A06C7">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6C7" w:rsidRDefault="002A06C7">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6C7" w:rsidRDefault="00334C44">
    <w:pPr>
      <w:pStyle w:val="Footer"/>
      <w:jc w:val="center"/>
    </w:pPr>
    <w:r>
      <w:fldChar w:fldCharType="begin"/>
    </w:r>
    <w:r>
      <w:instrText>PAGE</w:instrText>
    </w:r>
    <w:r>
      <w:fldChar w:fldCharType="separate"/>
    </w:r>
    <w:r>
      <w:rPr>
        <w:noProof/>
      </w:rPr>
      <w:t>6</w:t>
    </w:r>
    <w:r>
      <w:rPr>
        <w:noProof/>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6C7" w:rsidRDefault="00334C44">
    <w:pPr>
      <w:pStyle w:val="Footer"/>
      <w:jc w:val="center"/>
      <w:rPr>
        <w:sz w:val="20"/>
        <w:szCs w:val="20"/>
      </w:rPr>
    </w:pPr>
    <w:r>
      <w:rPr>
        <w:sz w:val="20"/>
        <w:szCs w:val="20"/>
      </w:rPr>
      <w:fldChar w:fldCharType="begin"/>
    </w:r>
    <w:r>
      <w:rPr>
        <w:sz w:val="20"/>
        <w:szCs w:val="20"/>
      </w:rPr>
      <w:instrText xml:space="preserve"> PAGE   \* MERGEFORMAT </w:instrText>
    </w:r>
    <w:r>
      <w:rPr>
        <w:sz w:val="20"/>
        <w:szCs w:val="20"/>
      </w:rPr>
      <w:fldChar w:fldCharType="separate"/>
    </w:r>
    <w:r>
      <w:rPr>
        <w:noProof/>
        <w:sz w:val="20"/>
        <w:szCs w:val="20"/>
      </w:rPr>
      <w:t>2</w:t>
    </w:r>
    <w:r>
      <w:rPr>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06C7" w:rsidRDefault="00334C44">
      <w:r>
        <w:separator/>
      </w:r>
    </w:p>
  </w:footnote>
  <w:footnote w:type="continuationSeparator" w:id="0">
    <w:p w:rsidR="002A06C7" w:rsidRDefault="00334C44">
      <w:r>
        <w:continuationSeparator/>
      </w:r>
    </w:p>
  </w:footnote>
  <w:footnote w:id="1">
    <w:p w:rsidR="002A06C7" w:rsidRDefault="00334C44">
      <w:pPr>
        <w:pStyle w:val="FootnoteText"/>
        <w:rPr>
          <w:sz w:val="18"/>
          <w:szCs w:val="18"/>
          <w:lang w:val="fr-BE"/>
        </w:rPr>
      </w:pPr>
      <w:r>
        <w:rPr>
          <w:rStyle w:val="FootnoteReference"/>
        </w:rPr>
        <w:footnoteRef/>
      </w:r>
      <w:r>
        <w:t xml:space="preserve">      </w:t>
      </w:r>
      <w:hyperlink r:id="rId1">
        <w:r>
          <w:rPr>
            <w:rStyle w:val="Hyperlink0"/>
            <w:rFonts w:eastAsia="Arial Unicode MS"/>
            <w:sz w:val="18"/>
          </w:rPr>
          <w:t>http://ec.europa.eu/dgs/home-affairs/e-library/documents/basic-documents/docs/eu_agenda_on_security_fr.pdf</w:t>
        </w:r>
      </w:hyperlink>
    </w:p>
  </w:footnote>
  <w:footnote w:id="2">
    <w:p w:rsidR="002A06C7" w:rsidRDefault="00334C4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sz w:val="18"/>
          <w:szCs w:val="18"/>
          <w:lang w:val="fr-BE"/>
        </w:rPr>
      </w:pPr>
      <w:r>
        <w:rPr>
          <w:rStyle w:val="FootnoteReference"/>
          <w:sz w:val="18"/>
        </w:rPr>
        <w:footnoteRef/>
      </w:r>
      <w:r>
        <w:rPr>
          <w:sz w:val="18"/>
        </w:rPr>
        <w:t xml:space="preserve">      </w:t>
      </w:r>
      <w:hyperlink r:id="rId2">
        <w:r>
          <w:rPr>
            <w:rStyle w:val="Hyperlink"/>
            <w:color w:val="0033CC"/>
            <w:sz w:val="18"/>
          </w:rPr>
          <w:t>http://www.consilium.europa.eu/fr/press/press-releases/2015/10/08-jha-fighting-trafficking-firearms/</w:t>
        </w:r>
      </w:hyperlink>
    </w:p>
  </w:footnote>
  <w:footnote w:id="3">
    <w:p w:rsidR="002A06C7" w:rsidRDefault="00334C44">
      <w:pPr>
        <w:pStyle w:val="FootnoteText"/>
        <w:tabs>
          <w:tab w:val="left" w:pos="720"/>
          <w:tab w:val="left" w:pos="1440"/>
          <w:tab w:val="left" w:pos="2160"/>
          <w:tab w:val="left" w:pos="2880"/>
          <w:tab w:val="left" w:pos="3600"/>
          <w:tab w:val="left" w:pos="4320"/>
          <w:tab w:val="left" w:pos="5805"/>
        </w:tabs>
        <w:ind w:left="0" w:firstLine="0"/>
        <w:rPr>
          <w:sz w:val="18"/>
          <w:szCs w:val="18"/>
          <w:lang w:val="fr-BE"/>
        </w:rPr>
      </w:pPr>
      <w:r>
        <w:rPr>
          <w:rStyle w:val="FootnoteReference"/>
          <w:sz w:val="18"/>
        </w:rPr>
        <w:footnoteRef/>
      </w:r>
      <w:r>
        <w:rPr>
          <w:sz w:val="18"/>
        </w:rPr>
        <w:t xml:space="preserve">      </w:t>
      </w:r>
      <w:hyperlink r:id="rId3">
        <w:r>
          <w:rPr>
            <w:rStyle w:val="Hyperlink"/>
            <w:color w:val="0000FF"/>
            <w:sz w:val="18"/>
          </w:rPr>
          <w:t>http://europa.eu/rapid/press-release_IP-15-6110_fr.htm</w:t>
        </w:r>
      </w:hyperlink>
      <w:r>
        <w:rPr>
          <w:sz w:val="18"/>
        </w:rPr>
        <w:t xml:space="preserve"> </w:t>
      </w:r>
    </w:p>
  </w:footnote>
  <w:footnote w:id="4">
    <w:p w:rsidR="002A06C7" w:rsidRDefault="00334C44">
      <w:pPr>
        <w:pStyle w:val="FootnoteText"/>
        <w:rPr>
          <w:sz w:val="18"/>
          <w:szCs w:val="18"/>
        </w:rPr>
      </w:pPr>
      <w:r>
        <w:rPr>
          <w:rStyle w:val="FootnoteReference"/>
          <w:sz w:val="18"/>
        </w:rPr>
        <w:footnoteRef/>
      </w:r>
      <w:r>
        <w:rPr>
          <w:sz w:val="18"/>
        </w:rPr>
        <w:t xml:space="preserve">      Document restreint.</w:t>
      </w:r>
    </w:p>
  </w:footnote>
  <w:footnote w:id="5">
    <w:p w:rsidR="002A06C7" w:rsidRDefault="00334C44">
      <w:pPr>
        <w:pStyle w:val="FootnoteText"/>
        <w:ind w:left="360" w:hanging="360"/>
        <w:jc w:val="both"/>
        <w:rPr>
          <w:sz w:val="18"/>
          <w:szCs w:val="18"/>
        </w:rPr>
      </w:pPr>
      <w:r>
        <w:rPr>
          <w:rStyle w:val="FootnoteReference"/>
          <w:sz w:val="18"/>
        </w:rPr>
        <w:footnoteRef/>
      </w:r>
      <w:r>
        <w:rPr>
          <w:sz w:val="18"/>
        </w:rPr>
        <w:t xml:space="preserve"> </w:t>
      </w:r>
      <w:r>
        <w:tab/>
      </w:r>
      <w:hyperlink r:id="rId4">
        <w:r>
          <w:rPr>
            <w:rStyle w:val="Hyperlink"/>
            <w:sz w:val="18"/>
          </w:rPr>
          <w:t>http://www.consilium.europa.eu/fr/documents-publications/publications/2015/eu-policy-cycle-tackle-organized-crime/</w:t>
        </w:r>
      </w:hyperlink>
      <w:r>
        <w:rPr>
          <w:rStyle w:val="Hyperlink"/>
          <w:color w:val="0033CC"/>
          <w:sz w:val="18"/>
        </w:rPr>
        <w:t xml:space="preserve"> </w:t>
      </w:r>
    </w:p>
  </w:footnote>
  <w:footnote w:id="6">
    <w:p w:rsidR="002A06C7" w:rsidRDefault="00334C44">
      <w:pPr>
        <w:pStyle w:val="FootnoteText"/>
        <w:ind w:left="360" w:hanging="360"/>
        <w:jc w:val="both"/>
        <w:rPr>
          <w:sz w:val="18"/>
          <w:szCs w:val="18"/>
        </w:rPr>
      </w:pPr>
      <w:r>
        <w:rPr>
          <w:rStyle w:val="FootnoteReference"/>
          <w:sz w:val="18"/>
        </w:rPr>
        <w:footnoteRef/>
      </w:r>
      <w:r>
        <w:rPr>
          <w:sz w:val="18"/>
        </w:rPr>
        <w:t xml:space="preserve">   </w:t>
      </w:r>
      <w:r>
        <w:tab/>
      </w:r>
      <w:r>
        <w:rPr>
          <w:sz w:val="18"/>
        </w:rPr>
        <w:t>Les précurseurs d'explosifs sont des substances ou des mélanges chimiques pouvant servir à la fabrication d'explosifs.</w:t>
      </w:r>
    </w:p>
  </w:footnote>
  <w:footnote w:id="7">
    <w:p w:rsidR="002A06C7" w:rsidRDefault="00334C44">
      <w:pPr>
        <w:pStyle w:val="FootnoteText"/>
        <w:jc w:val="both"/>
        <w:rPr>
          <w:sz w:val="18"/>
          <w:szCs w:val="18"/>
        </w:rPr>
      </w:pPr>
      <w:r>
        <w:rPr>
          <w:rStyle w:val="FootnoteReference"/>
          <w:sz w:val="18"/>
        </w:rPr>
        <w:footnoteRef/>
      </w:r>
      <w:r>
        <w:rPr>
          <w:sz w:val="18"/>
        </w:rPr>
        <w:t xml:space="preserve">    Cet</w:t>
      </w:r>
      <w:r>
        <w:rPr>
          <w:sz w:val="18"/>
        </w:rPr>
        <w:t xml:space="preserve">te idée a été proposée par les États membres au séminaire de l'UE sur l'utilisation de l'analyse judiciaire pour améliorer l'analyse stratégique et opérationnelle à des fins opérationnelles et tactiques. Birmingham - 11 novembre 2015 </w:t>
      </w:r>
    </w:p>
  </w:footnote>
  <w:footnote w:id="8">
    <w:p w:rsidR="002A06C7" w:rsidRDefault="00334C44">
      <w:pPr>
        <w:pStyle w:val="FootnoteText"/>
        <w:jc w:val="both"/>
        <w:rPr>
          <w:sz w:val="18"/>
          <w:szCs w:val="18"/>
        </w:rPr>
      </w:pPr>
      <w:r>
        <w:rPr>
          <w:rStyle w:val="FootnoteReference"/>
          <w:sz w:val="18"/>
        </w:rPr>
        <w:footnoteRef/>
      </w:r>
      <w:r>
        <w:rPr>
          <w:sz w:val="18"/>
        </w:rPr>
        <w:t xml:space="preserve">    </w:t>
      </w:r>
      <w:r>
        <w:tab/>
        <w:t xml:space="preserve">Des projets de </w:t>
      </w:r>
      <w:r>
        <w:t xml:space="preserve">recherche pertinents sur la surveillance de l’internet ont déjà été lancés dans le cadre du programme Horizon 2020, </w:t>
      </w:r>
      <w:hyperlink r:id="rId5">
        <w:r>
          <w:rPr>
            <w:rStyle w:val="Hyperlink"/>
            <w:color w:val="0000FF"/>
            <w:sz w:val="18"/>
          </w:rPr>
          <w:t>http://ec.europa.eu/programmes/horizon2020/</w:t>
        </w:r>
      </w:hyperlink>
      <w:r>
        <w:t>.</w:t>
      </w:r>
    </w:p>
  </w:footnote>
  <w:footnote w:id="9">
    <w:p w:rsidR="002A06C7" w:rsidRDefault="00334C44">
      <w:pPr>
        <w:pStyle w:val="FootnoteText"/>
        <w:jc w:val="both"/>
        <w:rPr>
          <w:sz w:val="18"/>
          <w:szCs w:val="18"/>
        </w:rPr>
      </w:pPr>
      <w:r>
        <w:rPr>
          <w:rStyle w:val="FootnoteReference"/>
          <w:sz w:val="18"/>
        </w:rPr>
        <w:footnoteRef/>
      </w:r>
      <w:r>
        <w:rPr>
          <w:sz w:val="18"/>
        </w:rPr>
        <w:t xml:space="preserve">    </w:t>
      </w:r>
      <w:r>
        <w:tab/>
      </w:r>
      <w:r>
        <w:rPr>
          <w:sz w:val="18"/>
        </w:rPr>
        <w:t>EU IRU, lancée le 1</w:t>
      </w:r>
      <w:r>
        <w:rPr>
          <w:sz w:val="18"/>
          <w:vertAlign w:val="superscript"/>
        </w:rPr>
        <w:t>er</w:t>
      </w:r>
      <w:r>
        <w:rPr>
          <w:sz w:val="18"/>
        </w:rPr>
        <w:t xml:space="preserve"> juil</w:t>
      </w:r>
      <w:r>
        <w:rPr>
          <w:sz w:val="18"/>
        </w:rPr>
        <w:t>let 2015 pour lutter contre la propagande terroriste et les activités extrémistes violentes connexes sur l'internet.</w:t>
      </w:r>
    </w:p>
  </w:footnote>
  <w:footnote w:id="10">
    <w:p w:rsidR="002A06C7" w:rsidRDefault="00334C44">
      <w:pPr>
        <w:pStyle w:val="FootnoteText"/>
        <w:rPr>
          <w:sz w:val="18"/>
          <w:szCs w:val="18"/>
        </w:rPr>
      </w:pPr>
      <w:r>
        <w:rPr>
          <w:rStyle w:val="FootnoteReference"/>
          <w:sz w:val="18"/>
        </w:rPr>
        <w:footnoteRef/>
      </w:r>
      <w:r>
        <w:rPr>
          <w:sz w:val="18"/>
        </w:rPr>
        <w:t xml:space="preserve">     Notamment au niveau national, dans le secteur privé et dans les milieux universitaires.</w:t>
      </w:r>
    </w:p>
  </w:footnote>
  <w:footnote w:id="11">
    <w:p w:rsidR="002A06C7" w:rsidRDefault="00334C44">
      <w:pPr>
        <w:pStyle w:val="FootnoteText"/>
        <w:jc w:val="both"/>
        <w:rPr>
          <w:sz w:val="18"/>
          <w:szCs w:val="18"/>
        </w:rPr>
      </w:pPr>
      <w:r>
        <w:rPr>
          <w:rStyle w:val="FootnoteReference"/>
          <w:sz w:val="18"/>
        </w:rPr>
        <w:footnoteRef/>
      </w:r>
      <w:r>
        <w:rPr>
          <w:sz w:val="18"/>
        </w:rPr>
        <w:t xml:space="preserve">    Des informations tirées d’opérations des</w:t>
      </w:r>
      <w:r>
        <w:rPr>
          <w:sz w:val="18"/>
        </w:rPr>
        <w:t xml:space="preserve"> services répressifs révèlent que les salons commerciaux consacrés aux armes à feu présentent un risque de trafic illicite d’armes à feu.</w:t>
      </w:r>
    </w:p>
  </w:footnote>
  <w:footnote w:id="12">
    <w:p w:rsidR="002A06C7" w:rsidRDefault="00334C44">
      <w:pPr>
        <w:pStyle w:val="FootnoteText"/>
        <w:jc w:val="both"/>
      </w:pPr>
      <w:r>
        <w:rPr>
          <w:rStyle w:val="FootnoteReference"/>
          <w:sz w:val="18"/>
        </w:rPr>
        <w:footnoteRef/>
      </w:r>
      <w:r>
        <w:rPr>
          <w:sz w:val="18"/>
        </w:rPr>
        <w:t xml:space="preserve">   La Commission finance déjà deux études pertinentes par le biais du fonds pour la sécurité intérieure (FSI), à savo</w:t>
      </w:r>
      <w:r>
        <w:rPr>
          <w:sz w:val="18"/>
        </w:rPr>
        <w:t>ir les projets EFFECT et FIRE, qui ont respectivement pour objectif d’améliorer les connaissances sur le trafic illicite d’armes à feu et de faciliter l’élaboration de politiques et d’actions fondées sur les éléments concrets disponibles à travers l’Europe</w:t>
      </w:r>
      <w:r>
        <w:rPr>
          <w:sz w:val="18"/>
        </w:rPr>
        <w:t xml:space="preserve">. </w:t>
      </w:r>
      <w:r>
        <w:t>Elle a également alloué quelque 60 millions d’euros à 15 projets liés aux explosifs au titre du 7</w:t>
      </w:r>
      <w:r>
        <w:rPr>
          <w:vertAlign w:val="superscript"/>
        </w:rPr>
        <w:t>e</w:t>
      </w:r>
      <w:r>
        <w:t xml:space="preserve"> PC sur la recherche (</w:t>
      </w:r>
      <w:hyperlink r:id="rId6">
        <w:r>
          <w:rPr>
            <w:rStyle w:val="Hyperlink"/>
            <w:color w:val="0033CC"/>
            <w:sz w:val="18"/>
          </w:rPr>
          <w:t>http://ec.europa.eu/research/fp7/index_fr.cfm</w:t>
        </w:r>
      </w:hyperlink>
      <w:r>
        <w:t xml:space="preserve">), ainsi qu’à plusieurs </w:t>
      </w:r>
      <w:r>
        <w:t>projets au titre du programme Prévenir et combattre la criminalité</w:t>
      </w:r>
      <w:r>
        <w:rPr>
          <w:sz w:val="18"/>
        </w:rPr>
        <w:t xml:space="preserve"> Elle financera d’autres projets de recherche sur la sécurité au titre du programme Sociétés sûres d’Horizon 2020 et du FSI</w:t>
      </w:r>
    </w:p>
  </w:footnote>
  <w:footnote w:id="13">
    <w:p w:rsidR="002A06C7" w:rsidRDefault="00334C44">
      <w:pPr>
        <w:pStyle w:val="FootnoteText"/>
        <w:jc w:val="both"/>
        <w:rPr>
          <w:sz w:val="18"/>
          <w:szCs w:val="18"/>
        </w:rPr>
      </w:pPr>
      <w:r>
        <w:rPr>
          <w:rStyle w:val="FootnoteReference"/>
          <w:sz w:val="18"/>
        </w:rPr>
        <w:footnoteRef/>
      </w:r>
      <w:r>
        <w:rPr>
          <w:sz w:val="18"/>
        </w:rPr>
        <w:t xml:space="preserve">   L’impression 3D peut être utilisée pour fabriquer des armes à </w:t>
      </w:r>
      <w:r>
        <w:rPr>
          <w:sz w:val="18"/>
        </w:rPr>
        <w:t>feu et des composants essentiels permettant de réactiver des armes à feu désactivées. Les armes non métalliques, telles que celles fabriquées en kevlar ou en céramique, comportent un potentiel de risque qui requiert une surveillance étroite.</w:t>
      </w:r>
    </w:p>
  </w:footnote>
  <w:footnote w:id="14">
    <w:p w:rsidR="002A06C7" w:rsidRDefault="00334C44">
      <w:pPr>
        <w:pStyle w:val="FootnoteText"/>
        <w:rPr>
          <w:sz w:val="18"/>
          <w:szCs w:val="18"/>
        </w:rPr>
      </w:pPr>
      <w:r>
        <w:rPr>
          <w:rStyle w:val="FootnoteReference"/>
          <w:sz w:val="18"/>
        </w:rPr>
        <w:footnoteRef/>
      </w:r>
      <w:r>
        <w:rPr>
          <w:sz w:val="18"/>
        </w:rPr>
        <w:t xml:space="preserve">    </w:t>
      </w:r>
      <w:r>
        <w:tab/>
      </w:r>
      <w:r>
        <w:rPr>
          <w:sz w:val="18"/>
        </w:rPr>
        <w:t>Document</w:t>
      </w:r>
      <w:r>
        <w:rPr>
          <w:sz w:val="18"/>
        </w:rPr>
        <w:t xml:space="preserve"> 8109/08 du Conseil.</w:t>
      </w:r>
    </w:p>
  </w:footnote>
  <w:footnote w:id="15">
    <w:p w:rsidR="002A06C7" w:rsidRDefault="00334C44">
      <w:pPr>
        <w:pStyle w:val="FootnoteText"/>
        <w:jc w:val="both"/>
        <w:rPr>
          <w:sz w:val="18"/>
          <w:szCs w:val="18"/>
        </w:rPr>
      </w:pPr>
      <w:r>
        <w:rPr>
          <w:rStyle w:val="FootnoteReference"/>
          <w:sz w:val="18"/>
        </w:rPr>
        <w:footnoteRef/>
      </w:r>
      <w:r>
        <w:rPr>
          <w:sz w:val="18"/>
        </w:rPr>
        <w:t xml:space="preserve">    Il comptait 48 mesures se rapportant d’une manière générale à un grand nombre d’aspects jouant un rôle dans la garantie de la sécurité des explosifs, tels que les précurseurs, le stockage, le transport, la traçabilité, la détectio</w:t>
      </w:r>
      <w:r>
        <w:rPr>
          <w:sz w:val="18"/>
        </w:rPr>
        <w:t>n, la recherche, l’échange d’informations au-delà des frontières et la coordination entre agences.</w:t>
      </w:r>
    </w:p>
  </w:footnote>
  <w:footnote w:id="16">
    <w:p w:rsidR="002A06C7" w:rsidRDefault="00334C44">
      <w:pPr>
        <w:pStyle w:val="FootnoteText"/>
        <w:jc w:val="both"/>
        <w:rPr>
          <w:sz w:val="18"/>
          <w:szCs w:val="18"/>
        </w:rPr>
      </w:pPr>
      <w:r>
        <w:rPr>
          <w:rStyle w:val="FootnoteReference"/>
          <w:sz w:val="18"/>
        </w:rPr>
        <w:footnoteRef/>
      </w:r>
      <w:r>
        <w:rPr>
          <w:sz w:val="18"/>
        </w:rPr>
        <w:t xml:space="preserve">   </w:t>
      </w:r>
      <w:r>
        <w:tab/>
      </w:r>
      <w:r>
        <w:rPr>
          <w:sz w:val="18"/>
        </w:rPr>
        <w:t>Ce règlement impose des restrictions et augmente les contrôles sur une série de substances chimiques dangereuses qui sont des précurseurs d’explosifs et</w:t>
      </w:r>
      <w:r>
        <w:rPr>
          <w:sz w:val="18"/>
        </w:rPr>
        <w:t xml:space="preserve"> dont l’utilisation peut donc être détournée pour fabriquer des explosifs artisanaux.</w:t>
      </w:r>
    </w:p>
  </w:footnote>
  <w:footnote w:id="17">
    <w:p w:rsidR="002A06C7" w:rsidRDefault="00334C44">
      <w:pPr>
        <w:pStyle w:val="FootnoteText"/>
        <w:jc w:val="both"/>
        <w:rPr>
          <w:sz w:val="18"/>
          <w:szCs w:val="18"/>
        </w:rPr>
      </w:pPr>
      <w:r>
        <w:rPr>
          <w:rStyle w:val="FootnoteReference"/>
          <w:sz w:val="18"/>
        </w:rPr>
        <w:footnoteRef/>
      </w:r>
      <w:r>
        <w:rPr>
          <w:sz w:val="18"/>
        </w:rPr>
        <w:t xml:space="preserve">   </w:t>
      </w:r>
      <w:r>
        <w:tab/>
      </w:r>
      <w:r>
        <w:rPr>
          <w:sz w:val="18"/>
        </w:rPr>
        <w:t>Les opérateurs de toute la chaîne, des fabricants aux détaillants, sont tenus de signaler toute activité suspecte au point de contact national de leur État membre. I</w:t>
      </w:r>
      <w:r>
        <w:rPr>
          <w:sz w:val="18"/>
        </w:rPr>
        <w:t>ls sont les mieux placés pour repérer les opérations qui ne font pas partie des activités normales dans chaque secteur et détecter les comportements suspects.</w:t>
      </w:r>
    </w:p>
  </w:footnote>
  <w:footnote w:id="18">
    <w:p w:rsidR="002A06C7" w:rsidRDefault="00334C44">
      <w:pPr>
        <w:pStyle w:val="FootnoteText"/>
        <w:jc w:val="both"/>
        <w:rPr>
          <w:sz w:val="18"/>
          <w:szCs w:val="18"/>
        </w:rPr>
      </w:pPr>
      <w:r>
        <w:rPr>
          <w:rStyle w:val="FootnoteReference"/>
          <w:sz w:val="18"/>
        </w:rPr>
        <w:footnoteRef/>
      </w:r>
      <w:r>
        <w:rPr>
          <w:sz w:val="18"/>
        </w:rPr>
        <w:t xml:space="preserve"> </w:t>
      </w:r>
      <w:r>
        <w:tab/>
        <w:t xml:space="preserve">Ce réexamen sera réalisé en consultation avec le groupe d’experts du comité permanent sur les </w:t>
      </w:r>
      <w:r>
        <w:t xml:space="preserve">précurseurs, </w:t>
      </w:r>
      <w:hyperlink r:id="rId7">
        <w:r>
          <w:rPr>
            <w:rStyle w:val="Hyperlink"/>
            <w:color w:val="0000FF"/>
            <w:sz w:val="18"/>
          </w:rPr>
          <w:t>http://ec.europa.eu/transparency/regexpert/index.cfm?do=groupDetail.groupDetail&amp;groupID=3245&amp;Lang=FR</w:t>
        </w:r>
      </w:hyperlink>
    </w:p>
  </w:footnote>
  <w:footnote w:id="19">
    <w:p w:rsidR="002A06C7" w:rsidRDefault="00334C44">
      <w:pPr>
        <w:pStyle w:val="FootnoteText"/>
        <w:jc w:val="both"/>
        <w:rPr>
          <w:sz w:val="18"/>
          <w:szCs w:val="18"/>
        </w:rPr>
      </w:pPr>
      <w:r>
        <w:rPr>
          <w:rStyle w:val="FootnoteReference"/>
          <w:sz w:val="18"/>
        </w:rPr>
        <w:footnoteRef/>
      </w:r>
      <w:r>
        <w:rPr>
          <w:sz w:val="18"/>
        </w:rPr>
        <w:t xml:space="preserve">   </w:t>
      </w:r>
      <w:r>
        <w:tab/>
      </w:r>
      <w:r>
        <w:rPr>
          <w:sz w:val="18"/>
        </w:rPr>
        <w:t xml:space="preserve">Cette </w:t>
      </w:r>
      <w:r>
        <w:rPr>
          <w:sz w:val="18"/>
        </w:rPr>
        <w:t>préoccupation a déjà été exprimée dans la communication de la Commission de 2014 sur une nouvelle approche de l’UE en matière de détection et d’atténuation des risques CBRN-E, COM(2014) 247 final.</w:t>
      </w:r>
    </w:p>
  </w:footnote>
  <w:footnote w:id="20">
    <w:p w:rsidR="002A06C7" w:rsidRDefault="00334C44">
      <w:pPr>
        <w:pStyle w:val="FootnoteText"/>
      </w:pPr>
      <w:r>
        <w:rPr>
          <w:rStyle w:val="FootnoteReference"/>
          <w:sz w:val="18"/>
        </w:rPr>
        <w:footnoteRef/>
      </w:r>
      <w:r>
        <w:rPr>
          <w:sz w:val="18"/>
        </w:rPr>
        <w:t xml:space="preserve">    </w:t>
      </w:r>
      <w:r>
        <w:tab/>
      </w:r>
      <w:r>
        <w:rPr>
          <w:sz w:val="18"/>
        </w:rPr>
        <w:t xml:space="preserve">Cette mesure était déjà prévue dans le plan d’action </w:t>
      </w:r>
      <w:r>
        <w:rPr>
          <w:sz w:val="18"/>
        </w:rPr>
        <w:t>de 2008.</w:t>
      </w:r>
    </w:p>
  </w:footnote>
  <w:footnote w:id="21">
    <w:p w:rsidR="002A06C7" w:rsidRDefault="00334C44">
      <w:pPr>
        <w:pStyle w:val="FootnoteText"/>
        <w:jc w:val="both"/>
        <w:rPr>
          <w:sz w:val="18"/>
          <w:szCs w:val="18"/>
        </w:rPr>
      </w:pPr>
      <w:r>
        <w:rPr>
          <w:rStyle w:val="FootnoteReference"/>
          <w:sz w:val="18"/>
        </w:rPr>
        <w:footnoteRef/>
      </w:r>
      <w:r>
        <w:rPr>
          <w:sz w:val="18"/>
        </w:rPr>
        <w:t xml:space="preserve">   La Commission a rationalisé l’aide financière au profit des mesures opérationnelles. Au titre de l’accord de délégation de la </w:t>
      </w:r>
      <w:r>
        <w:rPr>
          <w:rStyle w:val="st1"/>
          <w:sz w:val="18"/>
        </w:rPr>
        <w:t>plateforme pluridisciplinaire européenne contre les menaces criminelles</w:t>
      </w:r>
      <w:r>
        <w:rPr>
          <w:sz w:val="18"/>
        </w:rPr>
        <w:t xml:space="preserve"> (EMPACT), 7 millions d’euros ont été transfér</w:t>
      </w:r>
      <w:r>
        <w:rPr>
          <w:sz w:val="18"/>
        </w:rPr>
        <w:t xml:space="preserve">és à Europol, dont quelque 350 000 euros </w:t>
      </w:r>
      <w:proofErr w:type="gramStart"/>
      <w:r>
        <w:rPr>
          <w:sz w:val="18"/>
        </w:rPr>
        <w:t>ont</w:t>
      </w:r>
      <w:proofErr w:type="gramEnd"/>
      <w:r>
        <w:rPr>
          <w:sz w:val="18"/>
        </w:rPr>
        <w:t xml:space="preserve"> été spécialement affectés à la mise en œuvre du plan d’action opérationnel (PAO) sur les armes à feu au printemps 2015. Europol fournira en 2016 un financement privilégié sur la base du PAO sur les armes à feu.</w:t>
      </w:r>
    </w:p>
  </w:footnote>
  <w:footnote w:id="22">
    <w:p w:rsidR="002A06C7" w:rsidRDefault="00334C44">
      <w:pPr>
        <w:pStyle w:val="FootnoteText"/>
        <w:rPr>
          <w:sz w:val="18"/>
          <w:szCs w:val="18"/>
        </w:rPr>
      </w:pPr>
      <w:r>
        <w:rPr>
          <w:rStyle w:val="FootnoteReference"/>
          <w:sz w:val="18"/>
        </w:rPr>
        <w:footnoteRef/>
      </w:r>
      <w:r>
        <w:rPr>
          <w:sz w:val="18"/>
        </w:rPr>
        <w:t xml:space="preserve">    </w:t>
      </w:r>
      <w:r>
        <w:tab/>
      </w:r>
      <w:r>
        <w:rPr>
          <w:sz w:val="18"/>
        </w:rPr>
        <w:t>Document restreint</w:t>
      </w:r>
    </w:p>
  </w:footnote>
  <w:footnote w:id="23">
    <w:p w:rsidR="002A06C7" w:rsidRDefault="00334C44">
      <w:pPr>
        <w:pStyle w:val="FootnoteText"/>
        <w:rPr>
          <w:sz w:val="18"/>
          <w:szCs w:val="18"/>
        </w:rPr>
      </w:pPr>
      <w:r>
        <w:rPr>
          <w:sz w:val="18"/>
          <w:vertAlign w:val="superscript"/>
        </w:rPr>
        <w:footnoteRef/>
      </w:r>
      <w:r>
        <w:rPr>
          <w:sz w:val="18"/>
        </w:rPr>
        <w:t xml:space="preserve">    </w:t>
      </w:r>
      <w:r>
        <w:tab/>
      </w:r>
      <w:hyperlink r:id="rId8">
        <w:r>
          <w:rPr>
            <w:rStyle w:val="Hyperlink0"/>
            <w:rFonts w:eastAsia="Arial Unicode MS"/>
            <w:sz w:val="18"/>
          </w:rPr>
          <w:t>https://www.europol.europa.eu/content/global-action-against-dark-markets-tor-network</w:t>
        </w:r>
      </w:hyperlink>
    </w:p>
  </w:footnote>
  <w:footnote w:id="24">
    <w:p w:rsidR="002A06C7" w:rsidRDefault="00334C44">
      <w:pPr>
        <w:pStyle w:val="FootnoteText"/>
        <w:rPr>
          <w:sz w:val="18"/>
          <w:szCs w:val="18"/>
        </w:rPr>
      </w:pPr>
      <w:r>
        <w:rPr>
          <w:sz w:val="18"/>
          <w:vertAlign w:val="superscript"/>
        </w:rPr>
        <w:footnoteRef/>
      </w:r>
      <w:r>
        <w:rPr>
          <w:sz w:val="18"/>
        </w:rPr>
        <w:t xml:space="preserve">   </w:t>
      </w:r>
      <w:r>
        <w:tab/>
      </w:r>
      <w:r>
        <w:rPr>
          <w:sz w:val="18"/>
        </w:rPr>
        <w:t xml:space="preserve"> </w:t>
      </w:r>
      <w:hyperlink r:id="rId9">
        <w:r>
          <w:rPr>
            <w:rStyle w:val="Hyperlink0"/>
            <w:rFonts w:eastAsia="Arial Unicode MS"/>
            <w:sz w:val="18"/>
          </w:rPr>
          <w:t>https://www.europol.europa.eu/content/cybercriminal-darkode-forum-taken-down-through-global-action</w:t>
        </w:r>
      </w:hyperlink>
    </w:p>
  </w:footnote>
  <w:footnote w:id="25">
    <w:p w:rsidR="002A06C7" w:rsidRDefault="00334C44">
      <w:pPr>
        <w:pStyle w:val="FootnoteText"/>
        <w:jc w:val="both"/>
        <w:rPr>
          <w:sz w:val="18"/>
          <w:szCs w:val="18"/>
        </w:rPr>
      </w:pPr>
      <w:r>
        <w:rPr>
          <w:sz w:val="18"/>
          <w:vertAlign w:val="superscript"/>
        </w:rPr>
        <w:footnoteRef/>
      </w:r>
      <w:r>
        <w:rPr>
          <w:sz w:val="18"/>
        </w:rPr>
        <w:t xml:space="preserve">   </w:t>
      </w:r>
      <w:r>
        <w:tab/>
      </w:r>
      <w:r>
        <w:rPr>
          <w:sz w:val="18"/>
        </w:rPr>
        <w:t xml:space="preserve">La Force d’action </w:t>
      </w:r>
      <w:proofErr w:type="spellStart"/>
      <w:r>
        <w:rPr>
          <w:sz w:val="18"/>
        </w:rPr>
        <w:t>anticybercriminalité</w:t>
      </w:r>
      <w:proofErr w:type="spellEnd"/>
      <w:r>
        <w:rPr>
          <w:sz w:val="18"/>
        </w:rPr>
        <w:t xml:space="preserve"> européenne est installée </w:t>
      </w:r>
      <w:r>
        <w:rPr>
          <w:sz w:val="18"/>
        </w:rPr>
        <w:t>dans les infrastructures du Centre européen de lutte contre la cybercriminalité (EC3) au sein d’Europol. Elle a été créée le 1</w:t>
      </w:r>
      <w:r>
        <w:rPr>
          <w:sz w:val="18"/>
          <w:vertAlign w:val="superscript"/>
        </w:rPr>
        <w:t>er</w:t>
      </w:r>
      <w:r>
        <w:rPr>
          <w:sz w:val="18"/>
        </w:rPr>
        <w:t xml:space="preserve"> septembre 2014 pour intensifier davantage encore la lutte contre la cybercriminalité dans l’Union européenne et dans le reste d</w:t>
      </w:r>
      <w:r>
        <w:rPr>
          <w:sz w:val="18"/>
        </w:rPr>
        <w:t>u monde.</w:t>
      </w:r>
    </w:p>
  </w:footnote>
  <w:footnote w:id="26">
    <w:p w:rsidR="002A06C7" w:rsidRDefault="00334C44">
      <w:pPr>
        <w:pStyle w:val="FootnoteText"/>
        <w:jc w:val="both"/>
        <w:rPr>
          <w:sz w:val="18"/>
          <w:szCs w:val="18"/>
        </w:rPr>
      </w:pPr>
      <w:r>
        <w:rPr>
          <w:rStyle w:val="FootnoteReference"/>
          <w:sz w:val="18"/>
        </w:rPr>
        <w:footnoteRef/>
      </w:r>
      <w:r>
        <w:rPr>
          <w:sz w:val="18"/>
        </w:rPr>
        <w:t xml:space="preserve"> </w:t>
      </w:r>
      <w:r>
        <w:tab/>
        <w:t xml:space="preserve">Dans le cadre </w:t>
      </w:r>
      <w:r>
        <w:rPr>
          <w:sz w:val="18"/>
        </w:rPr>
        <w:t xml:space="preserve">de la </w:t>
      </w:r>
      <w:hyperlink r:id="rId10">
        <w:r>
          <w:rPr>
            <w:rStyle w:val="Hyperlink"/>
            <w:sz w:val="18"/>
          </w:rPr>
          <w:t>stratégie pour un marché unique numérique</w:t>
        </w:r>
      </w:hyperlink>
      <w:r>
        <w:rPr>
          <w:sz w:val="18"/>
        </w:rPr>
        <w:t xml:space="preserve">, la Commission examine les moyens de remédier au mieux au problème des contenus illicites sur </w:t>
      </w:r>
      <w:r>
        <w:rPr>
          <w:sz w:val="18"/>
        </w:rPr>
        <w:t xml:space="preserve">l'internet. </w:t>
      </w:r>
    </w:p>
  </w:footnote>
  <w:footnote w:id="27">
    <w:p w:rsidR="002A06C7" w:rsidRDefault="00334C44">
      <w:pPr>
        <w:pStyle w:val="FootnoteText"/>
        <w:jc w:val="both"/>
        <w:rPr>
          <w:sz w:val="18"/>
          <w:szCs w:val="18"/>
        </w:rPr>
      </w:pPr>
      <w:r>
        <w:rPr>
          <w:rStyle w:val="FootnoteReference"/>
          <w:sz w:val="18"/>
        </w:rPr>
        <w:footnoteRef/>
      </w:r>
      <w:r>
        <w:rPr>
          <w:sz w:val="18"/>
        </w:rPr>
        <w:t xml:space="preserve">    </w:t>
      </w:r>
      <w:r>
        <w:tab/>
        <w:t xml:space="preserve">Voir les conclusions du Conseil du 26 avril 2010 sur des systèmes et mécanismes permettant d’améliorer la sécurité des explosifs, </w:t>
      </w:r>
      <w:hyperlink r:id="rId11">
        <w:r>
          <w:rPr>
            <w:rStyle w:val="Hyperlink"/>
            <w:color w:val="0033CC"/>
            <w:sz w:val="18"/>
          </w:rPr>
          <w:t>http://www.consilium.europa.eu/uedocs/cms_data/docs/pressdata/en/jha/114017.pdf</w:t>
        </w:r>
      </w:hyperlink>
    </w:p>
  </w:footnote>
  <w:footnote w:id="28">
    <w:p w:rsidR="002A06C7" w:rsidRDefault="00334C44">
      <w:pPr>
        <w:pStyle w:val="FootnoteText"/>
        <w:jc w:val="both"/>
        <w:rPr>
          <w:sz w:val="18"/>
          <w:szCs w:val="18"/>
        </w:rPr>
      </w:pPr>
      <w:r>
        <w:rPr>
          <w:rStyle w:val="FootnoteReference"/>
          <w:sz w:val="18"/>
        </w:rPr>
        <w:footnoteRef/>
      </w:r>
      <w:r>
        <w:rPr>
          <w:sz w:val="18"/>
        </w:rPr>
        <w:t xml:space="preserve"> </w:t>
      </w:r>
      <w:r>
        <w:tab/>
      </w:r>
      <w:r>
        <w:rPr>
          <w:sz w:val="18"/>
        </w:rPr>
        <w:t>COM(2015) 750 </w:t>
      </w:r>
      <w:proofErr w:type="gramStart"/>
      <w:r>
        <w:rPr>
          <w:sz w:val="18"/>
        </w:rPr>
        <w:t>final</w:t>
      </w:r>
      <w:proofErr w:type="gramEnd"/>
      <w:r>
        <w:rPr>
          <w:sz w:val="18"/>
        </w:rPr>
        <w:t xml:space="preserve"> du 18 novembre 2015. Proposition de directive du Parlement européen et du Conseil modifiant la directive 91/477/CEE du Conseil relative au contrôle de l’</w:t>
      </w:r>
      <w:r>
        <w:rPr>
          <w:sz w:val="18"/>
        </w:rPr>
        <w:t>acquisition et de la détention d’armes.</w:t>
      </w:r>
    </w:p>
  </w:footnote>
  <w:footnote w:id="29">
    <w:p w:rsidR="002A06C7" w:rsidRDefault="00334C44">
      <w:pPr>
        <w:pStyle w:val="FootnoteText"/>
        <w:jc w:val="both"/>
        <w:rPr>
          <w:sz w:val="18"/>
          <w:szCs w:val="18"/>
        </w:rPr>
      </w:pPr>
      <w:r>
        <w:rPr>
          <w:sz w:val="18"/>
          <w:vertAlign w:val="superscript"/>
        </w:rPr>
        <w:footnoteRef/>
      </w:r>
      <w:r>
        <w:rPr>
          <w:sz w:val="18"/>
        </w:rPr>
        <w:t xml:space="preserve">   </w:t>
      </w:r>
      <w:r>
        <w:tab/>
      </w:r>
      <w:r>
        <w:rPr>
          <w:sz w:val="18"/>
        </w:rPr>
        <w:t>COM(2014)527 of 21.8.2014 final.</w:t>
      </w:r>
      <w:r>
        <w:rPr>
          <w:b/>
          <w:sz w:val="18"/>
        </w:rPr>
        <w:t xml:space="preserve"> </w:t>
      </w:r>
      <w:r>
        <w:rPr>
          <w:sz w:val="18"/>
        </w:rPr>
        <w:t>Communication relative à la stratégie et au plan d’action de l’UE sur la gestion des risques en matière douanière: faire face aux risques, renforcer la sécurité de la chaîne d’ap</w:t>
      </w:r>
      <w:r>
        <w:rPr>
          <w:sz w:val="18"/>
        </w:rPr>
        <w:t xml:space="preserve">provisionnement et faciliter le commerce. </w:t>
      </w:r>
    </w:p>
  </w:footnote>
  <w:footnote w:id="30">
    <w:p w:rsidR="002A06C7" w:rsidRDefault="00334C44">
      <w:pPr>
        <w:pStyle w:val="FootnoteText"/>
        <w:jc w:val="both"/>
        <w:rPr>
          <w:sz w:val="18"/>
          <w:szCs w:val="18"/>
        </w:rPr>
      </w:pPr>
      <w:r>
        <w:rPr>
          <w:sz w:val="18"/>
          <w:vertAlign w:val="superscript"/>
        </w:rPr>
        <w:footnoteRef/>
      </w:r>
      <w:r>
        <w:rPr>
          <w:sz w:val="18"/>
        </w:rPr>
        <w:t xml:space="preserve">   </w:t>
      </w:r>
      <w:r>
        <w:tab/>
      </w:r>
      <w:r>
        <w:rPr>
          <w:sz w:val="18"/>
        </w:rPr>
        <w:t>Le groupe d’experts européens en armes à feu, qui réunit des experts de tous les États membres de l’UE, d’Europol ainsi que du Liechtenstein, de Norvège, de Suisse et de Turquie en qualité de membres associés</w:t>
      </w:r>
      <w:r>
        <w:rPr>
          <w:sz w:val="18"/>
        </w:rPr>
        <w:t>, a été créé en 2004 pour faciliter l’échange d’informations et favoriser la coopération dans la lutte contre le trafic illicite d’armes à feu. Il forme un réseau hautement apprécié, qui épaule le groupe «Application de la loi» du Conseil.</w:t>
      </w:r>
    </w:p>
  </w:footnote>
  <w:footnote w:id="31">
    <w:p w:rsidR="002A06C7" w:rsidRDefault="00334C44">
      <w:pPr>
        <w:pStyle w:val="FootnoteText"/>
        <w:jc w:val="both"/>
        <w:rPr>
          <w:sz w:val="18"/>
          <w:szCs w:val="18"/>
        </w:rPr>
      </w:pPr>
      <w:r>
        <w:rPr>
          <w:sz w:val="18"/>
          <w:vertAlign w:val="superscript"/>
        </w:rPr>
        <w:footnoteRef/>
      </w:r>
      <w:r>
        <w:rPr>
          <w:sz w:val="18"/>
        </w:rPr>
        <w:t xml:space="preserve">    </w:t>
      </w:r>
      <w:r>
        <w:tab/>
      </w:r>
      <w:hyperlink r:id="rId12">
        <w:r>
          <w:rPr>
            <w:rStyle w:val="Hyperlink0"/>
            <w:rFonts w:eastAsia="Arial Unicode MS"/>
            <w:sz w:val="18"/>
          </w:rPr>
          <w:t>http://www.smallarmsstandards.org/</w:t>
        </w:r>
      </w:hyperlink>
    </w:p>
  </w:footnote>
  <w:footnote w:id="32">
    <w:p w:rsidR="002A06C7" w:rsidRDefault="00334C44">
      <w:pPr>
        <w:pStyle w:val="FootnoteText"/>
        <w:rPr>
          <w:sz w:val="18"/>
          <w:szCs w:val="18"/>
        </w:rPr>
      </w:pPr>
      <w:r>
        <w:rPr>
          <w:rStyle w:val="FootnoteReference"/>
          <w:sz w:val="18"/>
        </w:rPr>
        <w:footnoteRef/>
      </w:r>
      <w:r>
        <w:rPr>
          <w:sz w:val="18"/>
        </w:rPr>
        <w:t xml:space="preserve">   </w:t>
      </w:r>
      <w:r>
        <w:tab/>
        <w:t xml:space="preserve">Collège européen de police, </w:t>
      </w:r>
      <w:hyperlink r:id="rId13">
        <w:r>
          <w:rPr>
            <w:rStyle w:val="Hyperlink2"/>
            <w:rFonts w:eastAsia="Arial Unicode MS"/>
            <w:sz w:val="18"/>
          </w:rPr>
          <w:t>https://www.cepol.europa.eu/fr</w:t>
        </w:r>
      </w:hyperlink>
    </w:p>
  </w:footnote>
  <w:footnote w:id="33">
    <w:p w:rsidR="002A06C7" w:rsidRDefault="00334C44">
      <w:pPr>
        <w:pStyle w:val="FootnoteText"/>
        <w:jc w:val="both"/>
        <w:rPr>
          <w:sz w:val="18"/>
          <w:szCs w:val="18"/>
        </w:rPr>
      </w:pPr>
      <w:r>
        <w:rPr>
          <w:rStyle w:val="FootnoteReference"/>
          <w:sz w:val="18"/>
        </w:rPr>
        <w:footnoteRef/>
      </w:r>
      <w:r>
        <w:rPr>
          <w:sz w:val="18"/>
        </w:rPr>
        <w:t xml:space="preserve">    Au cours de ces dernières années, l’EEODN s’est imposé en </w:t>
      </w:r>
      <w:r>
        <w:rPr>
          <w:sz w:val="18"/>
        </w:rPr>
        <w:t>qualité de réseau réputé dans la fourniture de formations et l’échange d’informations, y compris sur les événements récents, au service des experts en explosifs de tous les États membres et il a apporté une contribution substantielle au renforcement des ca</w:t>
      </w:r>
      <w:r>
        <w:rPr>
          <w:sz w:val="18"/>
        </w:rPr>
        <w:t>pacités et à la diffusion des bonnes pratiques.</w:t>
      </w:r>
    </w:p>
  </w:footnote>
  <w:footnote w:id="34">
    <w:p w:rsidR="002A06C7" w:rsidRDefault="00334C44">
      <w:pPr>
        <w:pStyle w:val="FootnoteText"/>
        <w:rPr>
          <w:sz w:val="18"/>
          <w:szCs w:val="18"/>
        </w:rPr>
      </w:pPr>
      <w:r>
        <w:rPr>
          <w:rStyle w:val="FootnoteReference"/>
          <w:sz w:val="18"/>
        </w:rPr>
        <w:footnoteRef/>
      </w:r>
      <w:r>
        <w:rPr>
          <w:sz w:val="18"/>
        </w:rPr>
        <w:t xml:space="preserve">    </w:t>
      </w:r>
      <w:r>
        <w:tab/>
      </w:r>
      <w:r>
        <w:rPr>
          <w:sz w:val="18"/>
        </w:rPr>
        <w:t xml:space="preserve">     COM(2014) 247 </w:t>
      </w:r>
      <w:proofErr w:type="gramStart"/>
      <w:r>
        <w:rPr>
          <w:sz w:val="18"/>
        </w:rPr>
        <w:t>final</w:t>
      </w:r>
      <w:proofErr w:type="gramEnd"/>
      <w:r>
        <w:rPr>
          <w:sz w:val="18"/>
        </w:rPr>
        <w:t xml:space="preserve"> du 5 mai 2014.</w:t>
      </w:r>
    </w:p>
  </w:footnote>
  <w:footnote w:id="35">
    <w:p w:rsidR="002A06C7" w:rsidRDefault="00334C44">
      <w:pPr>
        <w:pStyle w:val="FootnoteText"/>
        <w:jc w:val="both"/>
        <w:rPr>
          <w:sz w:val="18"/>
          <w:szCs w:val="18"/>
        </w:rPr>
      </w:pPr>
      <w:r>
        <w:rPr>
          <w:rStyle w:val="FootnoteReference"/>
          <w:sz w:val="18"/>
        </w:rPr>
        <w:footnoteRef/>
      </w:r>
      <w:r>
        <w:rPr>
          <w:sz w:val="18"/>
        </w:rPr>
        <w:t xml:space="preserve">    À la lumière de ces essais, différents outils d’orientation ont été élaborés, notamment pour la protection des cibles faciles dans les aéroports, le recours </w:t>
      </w:r>
      <w:r>
        <w:rPr>
          <w:sz w:val="18"/>
        </w:rPr>
        <w:t>aux chiens détecteurs d’explosifs et la protection des cibles faciles dans différents environnements, ainsi que pour la détection de résidus d’explosifs et d’armes à feu sur les passeports. Il est prévu de mettre ces outils à la disposition des États membr</w:t>
      </w:r>
      <w:r>
        <w:rPr>
          <w:sz w:val="18"/>
        </w:rPr>
        <w:t>es</w:t>
      </w:r>
    </w:p>
  </w:footnote>
  <w:footnote w:id="36">
    <w:p w:rsidR="002A06C7" w:rsidRDefault="00334C44">
      <w:pPr>
        <w:pStyle w:val="FootnoteText"/>
        <w:jc w:val="both"/>
        <w:rPr>
          <w:sz w:val="18"/>
          <w:szCs w:val="18"/>
        </w:rPr>
      </w:pPr>
      <w:r>
        <w:rPr>
          <w:rStyle w:val="FootnoteReference"/>
          <w:sz w:val="18"/>
        </w:rPr>
        <w:footnoteRef/>
      </w:r>
      <w:r>
        <w:rPr>
          <w:sz w:val="18"/>
        </w:rPr>
        <w:t xml:space="preserve">   </w:t>
      </w:r>
      <w:r>
        <w:tab/>
      </w:r>
      <w:r>
        <w:rPr>
          <w:sz w:val="18"/>
        </w:rPr>
        <w:t>Le SIS est la plus grande plate-forme d’échange de données sur les armes à feu perdues et volées dans l’UE et les pays associés à Schengen, reliant à ce jour 29 pays en Europe. Au 31 décembre 2014, il recensait 457 059 signalements d’armes à feu, m</w:t>
      </w:r>
      <w:r>
        <w:rPr>
          <w:sz w:val="18"/>
        </w:rPr>
        <w:t>ais 180 réponses positives seulement ont été obtenues en 2014 (sur un total de 128 598 identifications pour toutes les catégories d’armes à feu). Ce taux très faible est essentiellement dû à des problèmes tenant à la qualité des données, par exemple, le fa</w:t>
      </w:r>
      <w:r>
        <w:rPr>
          <w:sz w:val="18"/>
        </w:rPr>
        <w:t>it que de nombreux États membres n'enregistrent pas le calibre, et que les numéros de série des armes à feu ne sont pas uniques.</w:t>
      </w:r>
    </w:p>
  </w:footnote>
  <w:footnote w:id="37">
    <w:p w:rsidR="002A06C7" w:rsidRDefault="00334C44">
      <w:pPr>
        <w:pStyle w:val="FootnoteText"/>
        <w:jc w:val="both"/>
        <w:rPr>
          <w:sz w:val="18"/>
          <w:szCs w:val="18"/>
        </w:rPr>
      </w:pPr>
      <w:r>
        <w:rPr>
          <w:sz w:val="18"/>
          <w:vertAlign w:val="superscript"/>
        </w:rPr>
        <w:footnoteRef/>
      </w:r>
      <w:r>
        <w:rPr>
          <w:sz w:val="18"/>
        </w:rPr>
        <w:t xml:space="preserve">   Le système de gestion des données sur les armes illicites et du traçage des armes d’Interpol (</w:t>
      </w:r>
      <w:proofErr w:type="spellStart"/>
      <w:r>
        <w:rPr>
          <w:sz w:val="18"/>
        </w:rPr>
        <w:t>iARMS</w:t>
      </w:r>
      <w:proofErr w:type="spellEnd"/>
      <w:r>
        <w:rPr>
          <w:sz w:val="18"/>
        </w:rPr>
        <w:t>), financé par l’UE, fac</w:t>
      </w:r>
      <w:r>
        <w:rPr>
          <w:sz w:val="18"/>
        </w:rPr>
        <w:t>ilite l’échange d’informations et la coopération judiciaire entre les services chargés de l’application de la loi au sujet de la circulation internationale d’armes à feu illicites ainsi que d’armes à feu licites qui ont été utilisées dans un crime. La base</w:t>
      </w:r>
      <w:r>
        <w:rPr>
          <w:sz w:val="18"/>
        </w:rPr>
        <w:t xml:space="preserve"> de données </w:t>
      </w:r>
      <w:proofErr w:type="spellStart"/>
      <w:r>
        <w:rPr>
          <w:sz w:val="18"/>
        </w:rPr>
        <w:t>iARMS</w:t>
      </w:r>
      <w:proofErr w:type="spellEnd"/>
      <w:r>
        <w:rPr>
          <w:sz w:val="18"/>
        </w:rPr>
        <w:t xml:space="preserve"> d’Interpol est en cours de déploiement dans les 190 pays membres de l’organisation. Elle contient environ 756 000 dossiers, en majorité introduits par l’Australie et les pays d’Amérique latine. À ce jour, 3 % seulement des informations su</w:t>
      </w:r>
      <w:r>
        <w:rPr>
          <w:sz w:val="18"/>
        </w:rPr>
        <w:t xml:space="preserve">r les armes à feu figurant dans cette base de données proviennent de l’UE. </w:t>
      </w:r>
      <w:hyperlink r:id="rId14">
        <w:r>
          <w:rPr>
            <w:rStyle w:val="Hyperlink0"/>
            <w:rFonts w:eastAsia="Arial Unicode MS"/>
            <w:sz w:val="18"/>
          </w:rPr>
          <w:t>http://www.interpol.int/fr/Crime-areas/Firearms/</w:t>
        </w:r>
        <w:r>
          <w:rPr>
            <w:rStyle w:val="Hyperlink0"/>
            <w:rFonts w:eastAsia="Arial Unicode MS"/>
            <w:sz w:val="18"/>
          </w:rPr>
          <w:t>INTERPOL-Illicit-Arms-Records-and-tracing-Management-System-iARMS</w:t>
        </w:r>
      </w:hyperlink>
    </w:p>
  </w:footnote>
  <w:footnote w:id="38">
    <w:p w:rsidR="002A06C7" w:rsidRDefault="00334C44">
      <w:pPr>
        <w:pStyle w:val="FootnoteText"/>
        <w:jc w:val="both"/>
        <w:rPr>
          <w:sz w:val="18"/>
          <w:szCs w:val="18"/>
        </w:rPr>
      </w:pPr>
      <w:r>
        <w:rPr>
          <w:rStyle w:val="FootnoteReference"/>
          <w:sz w:val="18"/>
        </w:rPr>
        <w:footnoteRef/>
      </w:r>
      <w:r>
        <w:rPr>
          <w:sz w:val="18"/>
        </w:rPr>
        <w:t xml:space="preserve">    Le projet connexe UMF (</w:t>
      </w:r>
      <w:proofErr w:type="spellStart"/>
      <w:r>
        <w:rPr>
          <w:sz w:val="18"/>
        </w:rPr>
        <w:t>Universal</w:t>
      </w:r>
      <w:proofErr w:type="spellEnd"/>
      <w:r>
        <w:rPr>
          <w:sz w:val="18"/>
        </w:rPr>
        <w:t xml:space="preserve"> Message Format, ou format de message universel, soit un ensemble de composants permettant de construire des échanges de données standard afin de relier </w:t>
      </w:r>
      <w:r>
        <w:rPr>
          <w:sz w:val="18"/>
        </w:rPr>
        <w:t>des systèmes répressifs éloignés) sera aligné sur le projet sur l’interopérabilité du SIS et d’</w:t>
      </w:r>
      <w:proofErr w:type="spellStart"/>
      <w:r>
        <w:rPr>
          <w:sz w:val="18"/>
        </w:rPr>
        <w:t>iARMS</w:t>
      </w:r>
      <w:proofErr w:type="spellEnd"/>
      <w:r>
        <w:rPr>
          <w:sz w:val="18"/>
        </w:rPr>
        <w:t xml:space="preserve">. </w:t>
      </w:r>
    </w:p>
  </w:footnote>
  <w:footnote w:id="39">
    <w:p w:rsidR="002A06C7" w:rsidRDefault="00334C44">
      <w:pPr>
        <w:pStyle w:val="FootnoteText"/>
        <w:jc w:val="both"/>
        <w:rPr>
          <w:sz w:val="18"/>
          <w:szCs w:val="18"/>
        </w:rPr>
      </w:pPr>
      <w:r>
        <w:rPr>
          <w:vertAlign w:val="superscript"/>
        </w:rPr>
        <w:footnoteRef/>
      </w:r>
      <w:r>
        <w:t xml:space="preserve">   </w:t>
      </w:r>
      <w:r>
        <w:rPr>
          <w:sz w:val="18"/>
        </w:rPr>
        <w:t>Interpol gère le Réseau d’information balistique (IBIN) pour les pays équipés de la technologie des systèmes d’information balistique intégrés (IBIS)</w:t>
      </w:r>
      <w:r>
        <w:rPr>
          <w:sz w:val="18"/>
        </w:rPr>
        <w:t>. À ce jour, 19 pays à travers le monde, dont 8 appartiennent à l’espace Schengen, sont membres de l’IBIN et 42 autres pays (dont 3 États membres de l’UE) utilisent la technologie IBIS, mais ne font pas partie de l’IBIN. Jusqu’à présent, 36 résultats posit</w:t>
      </w:r>
      <w:r>
        <w:rPr>
          <w:sz w:val="18"/>
        </w:rPr>
        <w:t>ifs ont été obtenus, parmi lesquels une majorité dans des pays de l’UE.</w:t>
      </w:r>
    </w:p>
  </w:footnote>
  <w:footnote w:id="40">
    <w:p w:rsidR="002A06C7" w:rsidRDefault="00334C44">
      <w:pPr>
        <w:pStyle w:val="FootnoteText"/>
        <w:jc w:val="both"/>
        <w:rPr>
          <w:sz w:val="18"/>
          <w:szCs w:val="18"/>
        </w:rPr>
      </w:pPr>
      <w:r>
        <w:rPr>
          <w:rStyle w:val="FootnoteReference"/>
          <w:sz w:val="18"/>
        </w:rPr>
        <w:footnoteRef/>
      </w:r>
      <w:r>
        <w:rPr>
          <w:sz w:val="18"/>
        </w:rPr>
        <w:t xml:space="preserve">     http://research.shu.ac.uk/aces/odyssey/index.php?option=com_content&amp;view=category&amp;layout=blog&amp;id=56&amp;Itemid=88</w:t>
      </w:r>
    </w:p>
  </w:footnote>
  <w:footnote w:id="41">
    <w:p w:rsidR="002A06C7" w:rsidRDefault="00334C44">
      <w:pPr>
        <w:pStyle w:val="FootnoteText"/>
        <w:jc w:val="both"/>
        <w:rPr>
          <w:sz w:val="18"/>
          <w:szCs w:val="18"/>
        </w:rPr>
      </w:pPr>
      <w:r>
        <w:rPr>
          <w:sz w:val="18"/>
          <w:vertAlign w:val="superscript"/>
        </w:rPr>
        <w:footnoteRef/>
      </w:r>
      <w:r>
        <w:rPr>
          <w:sz w:val="18"/>
        </w:rPr>
        <w:t xml:space="preserve">    </w:t>
      </w:r>
      <w:r>
        <w:tab/>
      </w:r>
      <w:r>
        <w:rPr>
          <w:sz w:val="18"/>
        </w:rPr>
        <w:t xml:space="preserve">Décision 2013/698/PESC du Conseil. </w:t>
      </w:r>
      <w:proofErr w:type="spellStart"/>
      <w:proofErr w:type="gramStart"/>
      <w:r>
        <w:rPr>
          <w:sz w:val="18"/>
        </w:rPr>
        <w:t>iTrace</w:t>
      </w:r>
      <w:proofErr w:type="spellEnd"/>
      <w:proofErr w:type="gramEnd"/>
      <w:r>
        <w:rPr>
          <w:sz w:val="18"/>
        </w:rPr>
        <w:t xml:space="preserve"> rassemble et communique des informations précises, soumises à des vérifications croisées, comprenant des données de terrain sur les filières du commerce illicite d’armes conventionnelles détournées ou faisant l’obj</w:t>
      </w:r>
      <w:r>
        <w:rPr>
          <w:sz w:val="18"/>
        </w:rPr>
        <w:t xml:space="preserve">et d’un trafic. </w:t>
      </w:r>
      <w:hyperlink r:id="rId15">
        <w:r>
          <w:rPr>
            <w:rStyle w:val="Hyperlink0"/>
            <w:rFonts w:eastAsia="Arial Unicode MS"/>
            <w:sz w:val="18"/>
          </w:rPr>
          <w:t>http://www.conflictarm.com/itrace/</w:t>
        </w:r>
      </w:hyperlink>
      <w:r>
        <w:rPr>
          <w:rStyle w:val="Hyperlink0"/>
          <w:rFonts w:eastAsia="Arial Unicode MS"/>
          <w:sz w:val="18"/>
        </w:rPr>
        <w:t xml:space="preserve"> </w:t>
      </w:r>
      <w:r>
        <w:rPr>
          <w:sz w:val="18"/>
        </w:rPr>
        <w:t xml:space="preserve">D’autre part, le projet </w:t>
      </w:r>
      <w:proofErr w:type="spellStart"/>
      <w:r>
        <w:rPr>
          <w:sz w:val="18"/>
        </w:rPr>
        <w:t>iTrace</w:t>
      </w:r>
      <w:proofErr w:type="spellEnd"/>
      <w:r>
        <w:rPr>
          <w:sz w:val="18"/>
        </w:rPr>
        <w:t xml:space="preserve"> poursuit expressément l’objectif de soutenir la mise en œuvre du traité sur le commerce des armes en aidant les autorité</w:t>
      </w:r>
      <w:r>
        <w:rPr>
          <w:sz w:val="18"/>
        </w:rPr>
        <w:t xml:space="preserve">s nationales à détecter le détournement des armes conventionnelles transférées et à évaluer les risques de détournement lors de l’examen de demandes de licences d’exportation. Les enquêtes de terrain menées par des spécialistes de la société privée </w:t>
      </w:r>
      <w:proofErr w:type="spellStart"/>
      <w:r>
        <w:rPr>
          <w:sz w:val="18"/>
        </w:rPr>
        <w:t>Conflic</w:t>
      </w:r>
      <w:r>
        <w:rPr>
          <w:sz w:val="18"/>
        </w:rPr>
        <w:t>t</w:t>
      </w:r>
      <w:proofErr w:type="spellEnd"/>
      <w:r>
        <w:rPr>
          <w:sz w:val="18"/>
        </w:rPr>
        <w:t xml:space="preserve"> </w:t>
      </w:r>
      <w:proofErr w:type="spellStart"/>
      <w:r>
        <w:rPr>
          <w:sz w:val="18"/>
        </w:rPr>
        <w:t>Armament</w:t>
      </w:r>
      <w:proofErr w:type="spellEnd"/>
      <w:r>
        <w:rPr>
          <w:sz w:val="18"/>
        </w:rPr>
        <w:t xml:space="preserve"> </w:t>
      </w:r>
      <w:proofErr w:type="spellStart"/>
      <w:r>
        <w:rPr>
          <w:sz w:val="18"/>
        </w:rPr>
        <w:t>Research</w:t>
      </w:r>
      <w:proofErr w:type="spellEnd"/>
      <w:r>
        <w:rPr>
          <w:sz w:val="18"/>
        </w:rPr>
        <w:t xml:space="preserve"> (CAR) dans 21 pays (en particulier en Afrique et au Moyen-Orient) alimentent une «base de données sur le trafic d’armes» accessible au public sur les armes détournées ou faisant l’objet d’un trafic.</w:t>
      </w:r>
    </w:p>
  </w:footnote>
  <w:footnote w:id="42">
    <w:p w:rsidR="002A06C7" w:rsidRDefault="00334C44">
      <w:pPr>
        <w:pStyle w:val="FootnoteText"/>
        <w:jc w:val="both"/>
      </w:pPr>
      <w:r>
        <w:rPr>
          <w:rStyle w:val="FootnoteReference"/>
          <w:sz w:val="18"/>
        </w:rPr>
        <w:footnoteRef/>
      </w:r>
      <w:r>
        <w:rPr>
          <w:sz w:val="18"/>
        </w:rPr>
        <w:t xml:space="preserve">  </w:t>
      </w:r>
      <w:r>
        <w:tab/>
      </w:r>
      <w:r>
        <w:rPr>
          <w:sz w:val="18"/>
        </w:rPr>
        <w:t>130 000 articles documentés: arme</w:t>
      </w:r>
      <w:r>
        <w:rPr>
          <w:sz w:val="18"/>
        </w:rPr>
        <w:t>s, munitions et matériels connexes; 213 demandes Trace envoyées à des gouvernements (bilan arrêté en juillet 2015).</w:t>
      </w:r>
    </w:p>
  </w:footnote>
  <w:footnote w:id="43">
    <w:p w:rsidR="002A06C7" w:rsidRDefault="00334C44">
      <w:pPr>
        <w:pStyle w:val="FootnoteText"/>
        <w:jc w:val="both"/>
        <w:rPr>
          <w:sz w:val="18"/>
          <w:szCs w:val="18"/>
        </w:rPr>
      </w:pPr>
      <w:r>
        <w:rPr>
          <w:vertAlign w:val="superscript"/>
        </w:rPr>
        <w:footnoteRef/>
      </w:r>
      <w:r>
        <w:t xml:space="preserve">  </w:t>
      </w:r>
      <w:r>
        <w:tab/>
      </w:r>
      <w:r>
        <w:rPr>
          <w:sz w:val="18"/>
        </w:rPr>
        <w:t>Membres du point focal: Belgique, Bulgarie, Chypre, Croatie, Danemark, Espagne, Finlande, France, Grèce, Lituanie, Luxembourg, Malte, Pa</w:t>
      </w:r>
      <w:r>
        <w:rPr>
          <w:sz w:val="18"/>
        </w:rPr>
        <w:t>ys-Bas, Pologne, Portugal, République slovaque, République tchèque, Roumanie, Royaume-Uni, Slovénie et Suède.</w:t>
      </w:r>
    </w:p>
  </w:footnote>
  <w:footnote w:id="44">
    <w:p w:rsidR="002A06C7" w:rsidRDefault="00334C44">
      <w:pPr>
        <w:pStyle w:val="FootnoteText"/>
        <w:jc w:val="both"/>
        <w:rPr>
          <w:sz w:val="18"/>
          <w:szCs w:val="18"/>
        </w:rPr>
      </w:pPr>
      <w:r>
        <w:rPr>
          <w:sz w:val="18"/>
          <w:vertAlign w:val="superscript"/>
        </w:rPr>
        <w:footnoteRef/>
      </w:r>
      <w:r>
        <w:rPr>
          <w:sz w:val="18"/>
        </w:rPr>
        <w:t xml:space="preserve">    </w:t>
      </w:r>
      <w:r>
        <w:tab/>
      </w:r>
      <w:r>
        <w:rPr>
          <w:sz w:val="18"/>
        </w:rPr>
        <w:t xml:space="preserve">Eurojust, Interpol, Suisse, Australie, Bureau of </w:t>
      </w:r>
      <w:proofErr w:type="spellStart"/>
      <w:r>
        <w:rPr>
          <w:sz w:val="18"/>
        </w:rPr>
        <w:t>Alcohol</w:t>
      </w:r>
      <w:proofErr w:type="spellEnd"/>
      <w:r>
        <w:rPr>
          <w:sz w:val="18"/>
        </w:rPr>
        <w:t xml:space="preserve">, Tobacco, </w:t>
      </w:r>
      <w:proofErr w:type="spellStart"/>
      <w:r>
        <w:rPr>
          <w:sz w:val="18"/>
        </w:rPr>
        <w:t>Firearms</w:t>
      </w:r>
      <w:proofErr w:type="spellEnd"/>
      <w:r>
        <w:rPr>
          <w:sz w:val="18"/>
        </w:rPr>
        <w:t xml:space="preserve"> and Explosives des États-Unis et Albanie.</w:t>
      </w:r>
    </w:p>
  </w:footnote>
  <w:footnote w:id="45">
    <w:p w:rsidR="002A06C7" w:rsidRDefault="00334C44">
      <w:pPr>
        <w:pStyle w:val="FootnoteText"/>
        <w:jc w:val="both"/>
        <w:rPr>
          <w:sz w:val="18"/>
          <w:szCs w:val="18"/>
        </w:rPr>
      </w:pPr>
      <w:r>
        <w:rPr>
          <w:rStyle w:val="FootnoteReference"/>
          <w:sz w:val="18"/>
        </w:rPr>
        <w:footnoteRef/>
      </w:r>
      <w:r>
        <w:rPr>
          <w:sz w:val="18"/>
        </w:rPr>
        <w:t xml:space="preserve">   </w:t>
      </w:r>
      <w:r>
        <w:tab/>
      </w:r>
      <w:r>
        <w:rPr>
          <w:sz w:val="18"/>
        </w:rPr>
        <w:t>Un système d’aler</w:t>
      </w:r>
      <w:r>
        <w:rPr>
          <w:sz w:val="18"/>
        </w:rPr>
        <w:t>te précoce a été conçu au titre du plan d’action de l’UE sur les explosifs, à l’aide d’un financement de la Commission, mais il n’a pas réussi à relier les autorités de tous les États membres.</w:t>
      </w:r>
    </w:p>
  </w:footnote>
  <w:footnote w:id="46">
    <w:p w:rsidR="002A06C7" w:rsidRDefault="00334C44">
      <w:pPr>
        <w:pStyle w:val="FootnoteText"/>
        <w:rPr>
          <w:sz w:val="18"/>
          <w:szCs w:val="18"/>
        </w:rPr>
      </w:pPr>
      <w:r>
        <w:rPr>
          <w:rStyle w:val="FootnoteReference"/>
        </w:rPr>
        <w:footnoteRef/>
      </w:r>
      <w:r>
        <w:t xml:space="preserve">    </w:t>
      </w:r>
      <w:r>
        <w:rPr>
          <w:sz w:val="18"/>
        </w:rPr>
        <w:t>JOIN(2015) 50 final.</w:t>
      </w:r>
    </w:p>
  </w:footnote>
  <w:footnote w:id="47">
    <w:p w:rsidR="002A06C7" w:rsidRDefault="00334C44">
      <w:pPr>
        <w:pStyle w:val="FootnoteText"/>
        <w:jc w:val="both"/>
        <w:rPr>
          <w:sz w:val="18"/>
          <w:szCs w:val="18"/>
        </w:rPr>
      </w:pPr>
      <w:r>
        <w:rPr>
          <w:rStyle w:val="FootnoteReference"/>
          <w:sz w:val="18"/>
        </w:rPr>
        <w:footnoteRef/>
      </w:r>
      <w:r>
        <w:rPr>
          <w:sz w:val="18"/>
        </w:rPr>
        <w:t xml:space="preserve">    </w:t>
      </w:r>
      <w:r>
        <w:tab/>
        <w:t xml:space="preserve">Depuis 2002, l’UE soutient les </w:t>
      </w:r>
      <w:r>
        <w:t>efforts déployés pour atténuer la menace découlant de l’accumulation à grande échelle d’armes légères et de petit calibre (ALPC) et de réserves de munitions en Europe du Sud-Est (</w:t>
      </w:r>
      <w:hyperlink r:id="rId16">
        <w:r>
          <w:rPr>
            <w:rStyle w:val="Hyperlink"/>
            <w:sz w:val="18"/>
          </w:rPr>
          <w:t>http://www.seesac.or</w:t>
        </w:r>
        <w:r>
          <w:rPr>
            <w:rStyle w:val="Hyperlink"/>
            <w:sz w:val="18"/>
          </w:rPr>
          <w:t>g/news.php?id=495</w:t>
        </w:r>
      </w:hyperlink>
      <w:r>
        <w:t>).</w:t>
      </w:r>
      <w:r>
        <w:rPr>
          <w:sz w:val="18"/>
        </w:rPr>
        <w:t xml:space="preserve"> Elle a ainsi financé plusieurs projets dans la région des Balkans occidentaux dans le but d’améliorer la sécurité de la gestion de ces stocks.</w:t>
      </w:r>
    </w:p>
  </w:footnote>
  <w:footnote w:id="48">
    <w:p w:rsidR="002A06C7" w:rsidRDefault="00334C44">
      <w:pPr>
        <w:pStyle w:val="FootnoteText"/>
        <w:jc w:val="both"/>
        <w:rPr>
          <w:sz w:val="18"/>
          <w:szCs w:val="18"/>
        </w:rPr>
      </w:pPr>
      <w:r>
        <w:rPr>
          <w:rStyle w:val="FootnoteReference"/>
          <w:sz w:val="18"/>
        </w:rPr>
        <w:footnoteRef/>
      </w:r>
      <w:r>
        <w:rPr>
          <w:sz w:val="18"/>
        </w:rPr>
        <w:t xml:space="preserve">    Après le forum ministériel UE-Balkans occidentaux sur la justice et les affaires intérie</w:t>
      </w:r>
      <w:r>
        <w:rPr>
          <w:sz w:val="18"/>
        </w:rPr>
        <w:t>ures tenu en 2012 à Tirana, un réseau régional d’experts sur le trafic d’armes à feu a été constitué en 2013 et le plan d’action a ensuite été adopté. Approuvé à la fois par le Conseil et par les partenaires des Balkans occidentaux lors du forum ministérie</w:t>
      </w:r>
      <w:r>
        <w:rPr>
          <w:sz w:val="18"/>
        </w:rPr>
        <w:t>l UE-Balkans occidentaux sur la justice et les affaires intérieures de Belgrade, en décembre 2014, ce plan d’action comprend les mesures suivantes:</w:t>
      </w:r>
    </w:p>
    <w:p w:rsidR="002A06C7" w:rsidRDefault="00334C44">
      <w:pPr>
        <w:pStyle w:val="Body"/>
        <w:numPr>
          <w:ilvl w:val="0"/>
          <w:numId w:val="42"/>
        </w:numPr>
        <w:spacing w:after="0" w:line="240" w:lineRule="auto"/>
        <w:ind w:left="714" w:hanging="357"/>
        <w:jc w:val="both"/>
        <w:rPr>
          <w:rFonts w:ascii="Times New Roman" w:hAnsi="Times New Roman"/>
          <w:sz w:val="18"/>
          <w:szCs w:val="18"/>
        </w:rPr>
      </w:pPr>
      <w:r>
        <w:rPr>
          <w:rFonts w:ascii="Times New Roman" w:hAnsi="Times New Roman"/>
          <w:sz w:val="18"/>
        </w:rPr>
        <w:t>renforcer l’échange d’informations au niveau régional et avec les États membres, en y associant Europol, con</w:t>
      </w:r>
      <w:r>
        <w:rPr>
          <w:rFonts w:ascii="Times New Roman" w:hAnsi="Times New Roman"/>
          <w:sz w:val="18"/>
        </w:rPr>
        <w:t xml:space="preserve">cernant la production, le stockage et le trafic d’armes à feu et de leurs munitions, dans le but également d’élaborer des normes plus efficaces sur le plan des enquêtes et du renseignement; </w:t>
      </w:r>
    </w:p>
    <w:p w:rsidR="002A06C7" w:rsidRDefault="00334C44">
      <w:pPr>
        <w:pStyle w:val="Body"/>
        <w:numPr>
          <w:ilvl w:val="0"/>
          <w:numId w:val="42"/>
        </w:numPr>
        <w:spacing w:after="0" w:line="240" w:lineRule="auto"/>
        <w:ind w:left="714" w:hanging="357"/>
        <w:jc w:val="both"/>
        <w:rPr>
          <w:rFonts w:ascii="Times New Roman" w:hAnsi="Times New Roman"/>
          <w:sz w:val="18"/>
          <w:szCs w:val="18"/>
        </w:rPr>
      </w:pPr>
      <w:r>
        <w:rPr>
          <w:rFonts w:ascii="Times New Roman" w:hAnsi="Times New Roman"/>
          <w:sz w:val="18"/>
        </w:rPr>
        <w:t xml:space="preserve">renforcer la coopération opérationnelle en matière d’application </w:t>
      </w:r>
      <w:r>
        <w:rPr>
          <w:rFonts w:ascii="Times New Roman" w:hAnsi="Times New Roman"/>
          <w:sz w:val="18"/>
        </w:rPr>
        <w:t xml:space="preserve">de la loi au niveau régional et avec les États membres et Europol afin de contrôler la production, le stockage et le trafic d’armes à feu et de leurs munitions; </w:t>
      </w:r>
    </w:p>
    <w:p w:rsidR="002A06C7" w:rsidRDefault="00334C44">
      <w:pPr>
        <w:pStyle w:val="Body"/>
        <w:numPr>
          <w:ilvl w:val="0"/>
          <w:numId w:val="42"/>
        </w:numPr>
        <w:spacing w:after="0" w:line="240" w:lineRule="auto"/>
        <w:ind w:left="714" w:hanging="357"/>
        <w:jc w:val="both"/>
        <w:rPr>
          <w:rFonts w:ascii="Times New Roman" w:hAnsi="Times New Roman"/>
          <w:sz w:val="18"/>
          <w:szCs w:val="18"/>
        </w:rPr>
      </w:pPr>
      <w:r>
        <w:rPr>
          <w:rFonts w:ascii="Times New Roman" w:hAnsi="Times New Roman"/>
          <w:sz w:val="18"/>
        </w:rPr>
        <w:t>améliorer la collecte et l’échange de statistiques concernant la production, le stockage et le</w:t>
      </w:r>
      <w:r>
        <w:rPr>
          <w:rFonts w:ascii="Times New Roman" w:hAnsi="Times New Roman"/>
          <w:sz w:val="18"/>
        </w:rPr>
        <w:t xml:space="preserve"> trafic d’armes à feu et de leurs munitions; </w:t>
      </w:r>
    </w:p>
    <w:p w:rsidR="002A06C7" w:rsidRDefault="00334C44">
      <w:pPr>
        <w:pStyle w:val="Body"/>
        <w:numPr>
          <w:ilvl w:val="0"/>
          <w:numId w:val="42"/>
        </w:numPr>
        <w:spacing w:after="0" w:line="240" w:lineRule="auto"/>
        <w:ind w:left="714" w:hanging="357"/>
        <w:jc w:val="both"/>
        <w:rPr>
          <w:rFonts w:ascii="Times New Roman" w:hAnsi="Times New Roman"/>
          <w:sz w:val="18"/>
          <w:szCs w:val="18"/>
        </w:rPr>
      </w:pPr>
      <w:r>
        <w:rPr>
          <w:rFonts w:ascii="Times New Roman" w:hAnsi="Times New Roman"/>
          <w:sz w:val="18"/>
        </w:rPr>
        <w:t>promouvoir le travail en réseau à tous les niveaux, l’échange de bonnes pratiques et les formations communes entre les experts de la région des Balkans occidentaux;</w:t>
      </w:r>
    </w:p>
    <w:p w:rsidR="002A06C7" w:rsidRDefault="00334C44">
      <w:pPr>
        <w:pStyle w:val="Body"/>
        <w:numPr>
          <w:ilvl w:val="0"/>
          <w:numId w:val="42"/>
        </w:numPr>
        <w:spacing w:after="0" w:line="240" w:lineRule="auto"/>
        <w:ind w:left="714" w:hanging="357"/>
        <w:jc w:val="both"/>
      </w:pPr>
      <w:r>
        <w:rPr>
          <w:rFonts w:ascii="Times New Roman" w:hAnsi="Times New Roman"/>
          <w:sz w:val="18"/>
        </w:rPr>
        <w:t>harmoniser les législations nationales sur le</w:t>
      </w:r>
      <w:r>
        <w:rPr>
          <w:rFonts w:ascii="Times New Roman" w:hAnsi="Times New Roman"/>
          <w:sz w:val="18"/>
        </w:rPr>
        <w:t>s armes à feu avec les normes internationales et celles de l’UE;</w:t>
      </w:r>
    </w:p>
  </w:footnote>
  <w:footnote w:id="49">
    <w:p w:rsidR="002A06C7" w:rsidRDefault="00334C44">
      <w:pPr>
        <w:pStyle w:val="FootnoteText"/>
        <w:jc w:val="both"/>
        <w:rPr>
          <w:bCs/>
          <w:sz w:val="18"/>
          <w:szCs w:val="18"/>
        </w:rPr>
      </w:pPr>
      <w:r>
        <w:rPr>
          <w:rStyle w:val="FootnoteReference"/>
        </w:rPr>
        <w:footnoteRef/>
      </w:r>
      <w:r>
        <w:t xml:space="preserve">   </w:t>
      </w:r>
      <w:r>
        <w:tab/>
      </w:r>
      <w:r>
        <w:rPr>
          <w:sz w:val="18"/>
        </w:rPr>
        <w:t>– Stratégie de l’Union européenne de lutte contre l’accumulation et le trafic illicites d’armes légères et de petit calibre (ALPC) et de leurs munitions, doc. 5319/06 PESC 31 du 13 janvi</w:t>
      </w:r>
      <w:r>
        <w:rPr>
          <w:sz w:val="18"/>
        </w:rPr>
        <w:t>er 2006;</w:t>
      </w:r>
    </w:p>
    <w:p w:rsidR="002A06C7" w:rsidRDefault="00334C44">
      <w:pPr>
        <w:ind w:left="357"/>
        <w:jc w:val="both"/>
        <w:rPr>
          <w:sz w:val="18"/>
          <w:szCs w:val="18"/>
        </w:rPr>
      </w:pPr>
      <w:r>
        <w:rPr>
          <w:sz w:val="18"/>
        </w:rPr>
        <w:t>– Décision 2013/730/PESC du Conseil;</w:t>
      </w:r>
    </w:p>
    <w:p w:rsidR="002A06C7" w:rsidRDefault="00334C44">
      <w:pPr>
        <w:ind w:left="357"/>
        <w:jc w:val="both"/>
        <w:rPr>
          <w:sz w:val="18"/>
          <w:szCs w:val="18"/>
        </w:rPr>
      </w:pPr>
      <w:r>
        <w:rPr>
          <w:sz w:val="18"/>
        </w:rPr>
        <w:t>– Programme d’action des Nations unies en vue de prévenir, combattre et éliminer le commerce illicite des armes légères sous tous ses aspects.</w:t>
      </w:r>
      <w:r>
        <w:rPr>
          <w:i/>
          <w:sz w:val="18"/>
        </w:rPr>
        <w:t xml:space="preserve"> </w:t>
      </w:r>
      <w:hyperlink r:id="rId17">
        <w:r>
          <w:rPr>
            <w:rStyle w:val="Hyperlink"/>
            <w:color w:val="0033CC"/>
            <w:sz w:val="18"/>
          </w:rPr>
          <w:t>http://www</w:t>
        </w:r>
        <w:r>
          <w:rPr>
            <w:rStyle w:val="Hyperlink"/>
            <w:color w:val="0033CC"/>
            <w:sz w:val="18"/>
          </w:rPr>
          <w:t>.un.org/disarmament/content</w:t>
        </w:r>
      </w:hyperlink>
    </w:p>
  </w:footnote>
  <w:footnote w:id="50">
    <w:p w:rsidR="002A06C7" w:rsidRDefault="00334C44">
      <w:pPr>
        <w:pStyle w:val="FootnoteText"/>
        <w:jc w:val="both"/>
        <w:rPr>
          <w:sz w:val="18"/>
          <w:szCs w:val="18"/>
        </w:rPr>
      </w:pPr>
      <w:r>
        <w:rPr>
          <w:rStyle w:val="FootnoteReference"/>
          <w:sz w:val="18"/>
        </w:rPr>
        <w:footnoteRef/>
      </w:r>
      <w:r>
        <w:rPr>
          <w:sz w:val="18"/>
        </w:rPr>
        <w:t xml:space="preserve">    Par exemple, l’instrument européen de voisinage (IEV) et l’instrument contribuant à la stabilité et à la paix (</w:t>
      </w:r>
      <w:proofErr w:type="spellStart"/>
      <w:r>
        <w:rPr>
          <w:sz w:val="18"/>
        </w:rPr>
        <w:t>IcSP</w:t>
      </w:r>
      <w:proofErr w:type="spellEnd"/>
      <w:r>
        <w:rPr>
          <w:sz w:val="18"/>
        </w:rPr>
        <w:t>), comme c’est déjà le cas pour le nouveau programme Police IV d’EUROMED, financé par l’IEV, qui est sur le point d’être lancé.</w:t>
      </w:r>
    </w:p>
  </w:footnote>
  <w:footnote w:id="51">
    <w:p w:rsidR="002A06C7" w:rsidRDefault="00334C44">
      <w:pPr>
        <w:pStyle w:val="FootnoteText"/>
        <w:rPr>
          <w:sz w:val="18"/>
          <w:szCs w:val="18"/>
        </w:rPr>
      </w:pPr>
      <w:r>
        <w:rPr>
          <w:rStyle w:val="FootnoteReference"/>
          <w:sz w:val="18"/>
        </w:rPr>
        <w:footnoteRef/>
      </w:r>
      <w:r>
        <w:rPr>
          <w:sz w:val="18"/>
        </w:rPr>
        <w:t xml:space="preserve">    Des </w:t>
      </w:r>
      <w:r>
        <w:rPr>
          <w:sz w:val="18"/>
        </w:rPr>
        <w:t>armes venant de Libye ont été retrouvées dans des pays comme le Tchad, l’Égypte, Gaza, le Mali, le Niger et la Tunisie.</w:t>
      </w:r>
    </w:p>
  </w:footnote>
  <w:footnote w:id="52">
    <w:p w:rsidR="002A06C7" w:rsidRDefault="00334C44">
      <w:pPr>
        <w:pStyle w:val="FootnoteText"/>
        <w:rPr>
          <w:sz w:val="18"/>
          <w:szCs w:val="18"/>
        </w:rPr>
      </w:pPr>
      <w:r>
        <w:rPr>
          <w:rStyle w:val="FootnoteReference"/>
          <w:sz w:val="18"/>
        </w:rPr>
        <w:footnoteRef/>
      </w:r>
      <w:r>
        <w:rPr>
          <w:sz w:val="18"/>
        </w:rPr>
        <w:t xml:space="preserve">    </w:t>
      </w:r>
      <w:r>
        <w:rPr>
          <w:rStyle w:val="st1"/>
          <w:sz w:val="18"/>
        </w:rPr>
        <w:t>Systèmes antiaériens portables.</w:t>
      </w:r>
    </w:p>
  </w:footnote>
  <w:footnote w:id="53">
    <w:p w:rsidR="002A06C7" w:rsidRDefault="00334C44">
      <w:pPr>
        <w:pStyle w:val="FootnoteText"/>
        <w:rPr>
          <w:sz w:val="18"/>
          <w:szCs w:val="18"/>
        </w:rPr>
      </w:pPr>
      <w:r>
        <w:rPr>
          <w:rStyle w:val="FootnoteReference"/>
        </w:rPr>
        <w:footnoteRef/>
      </w:r>
      <w:r>
        <w:t xml:space="preserve">   La LEA est une </w:t>
      </w:r>
      <w:hyperlink r:id="rId18" w:tooltip="Organisation régionale">
        <w:r>
          <w:rPr>
            <w:rStyle w:val="Hyperlink"/>
            <w:sz w:val="18"/>
            <w:u w:val="none"/>
          </w:rPr>
          <w:t>organisation régionale</w:t>
        </w:r>
      </w:hyperlink>
      <w:r>
        <w:t xml:space="preserve"> réunissant des </w:t>
      </w:r>
      <w:hyperlink r:id="rId19" w:tooltip="Monde arabe">
        <w:r>
          <w:rPr>
            <w:rStyle w:val="Hyperlink"/>
            <w:sz w:val="18"/>
            <w:u w:val="none"/>
          </w:rPr>
          <w:t>pays arabes</w:t>
        </w:r>
      </w:hyperlink>
      <w:r>
        <w:t xml:space="preserve"> à l'intérieur et autour de </w:t>
      </w:r>
      <w:hyperlink r:id="rId20" w:tooltip="Afrique du Nord">
        <w:r>
          <w:rPr>
            <w:rStyle w:val="Hyperlink"/>
            <w:sz w:val="18"/>
            <w:u w:val="none"/>
          </w:rPr>
          <w:t>l'Afrique du Nord</w:t>
        </w:r>
      </w:hyperlink>
      <w:r>
        <w:t xml:space="preserve">, de </w:t>
      </w:r>
      <w:hyperlink r:id="rId21" w:tooltip="Corne de l&amp;amp;apos;Afrique">
        <w:r>
          <w:rPr>
            <w:rStyle w:val="Hyperlink"/>
            <w:sz w:val="18"/>
            <w:u w:val="none"/>
          </w:rPr>
          <w:t>la Corne de l'Afrique</w:t>
        </w:r>
      </w:hyperlink>
      <w:r>
        <w:t xml:space="preserve"> et de </w:t>
      </w:r>
      <w:hyperlink r:id="rId22" w:tooltip="Péninsule arabique">
        <w:r>
          <w:rPr>
            <w:rStyle w:val="Hyperlink"/>
            <w:sz w:val="18"/>
            <w:u w:val="none"/>
          </w:rPr>
          <w:t>la péninsule arabique</w:t>
        </w:r>
      </w:hyperlink>
      <w:r>
        <w:t>.</w:t>
      </w:r>
    </w:p>
  </w:footnote>
  <w:footnote w:id="54">
    <w:p w:rsidR="002A06C7" w:rsidRDefault="00334C44">
      <w:pPr>
        <w:pStyle w:val="FootnoteText"/>
        <w:rPr>
          <w:sz w:val="18"/>
          <w:szCs w:val="18"/>
        </w:rPr>
      </w:pPr>
      <w:r>
        <w:rPr>
          <w:rStyle w:val="FootnoteReference"/>
          <w:sz w:val="18"/>
        </w:rPr>
        <w:footnoteRef/>
      </w:r>
      <w:r>
        <w:rPr>
          <w:sz w:val="18"/>
        </w:rPr>
        <w:t xml:space="preserve">    </w:t>
      </w:r>
      <w:hyperlink r:id="rId23">
        <w:r>
          <w:rPr>
            <w:rStyle w:val="Hyperlink"/>
            <w:color w:val="0000FF"/>
            <w:sz w:val="18"/>
          </w:rPr>
          <w:t>http://eeas.europa.eu/non-proliferation-and-disarmament/conventional_weapons/salw/index_en.htm</w:t>
        </w:r>
      </w:hyperlink>
    </w:p>
  </w:footnote>
  <w:footnote w:id="55">
    <w:p w:rsidR="002A06C7" w:rsidRDefault="00334C44">
      <w:pPr>
        <w:pStyle w:val="FootnoteText"/>
      </w:pPr>
      <w:r>
        <w:rPr>
          <w:rStyle w:val="FootnoteReference"/>
          <w:sz w:val="18"/>
        </w:rPr>
        <w:footnoteRef/>
      </w:r>
      <w:r>
        <w:rPr>
          <w:sz w:val="18"/>
        </w:rPr>
        <w:t xml:space="preserve">    </w:t>
      </w:r>
      <w:hyperlink r:id="rId24">
        <w:r>
          <w:rPr>
            <w:rStyle w:val="Hyperlink"/>
            <w:color w:val="0000FF"/>
            <w:sz w:val="18"/>
          </w:rPr>
          <w:t>http://www.eeas.europa.eu/csdp/about-csdp/european-security-strategy/index_fr.htm</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6C7" w:rsidRDefault="002A06C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6C7" w:rsidRDefault="002A06C7">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6C7" w:rsidRDefault="002A06C7">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6C7" w:rsidRDefault="002A06C7">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6C7" w:rsidRDefault="002A06C7">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6C7" w:rsidRDefault="002A06C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4973607"/>
    <w:multiLevelType w:val="hybridMultilevel"/>
    <w:tmpl w:val="3628159E"/>
    <w:lvl w:ilvl="0" w:tplc="8D86EB6A">
      <w:start w:val="1"/>
      <w:numFmt w:val="bullet"/>
      <w:lvlText w:val=""/>
      <w:lvlJc w:val="left"/>
      <w:pPr>
        <w:ind w:left="720" w:hanging="360"/>
      </w:pPr>
      <w:rPr>
        <w:rFonts w:ascii="Symbol" w:hAnsi="Symbol" w:hint="default"/>
        <w:sz w:val="2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83C0E3C"/>
    <w:multiLevelType w:val="hybridMultilevel"/>
    <w:tmpl w:val="82C64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8D222CF"/>
    <w:multiLevelType w:val="hybridMultilevel"/>
    <w:tmpl w:val="BC0458DE"/>
    <w:lvl w:ilvl="0" w:tplc="080C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5">
    <w:nsid w:val="08DE61A8"/>
    <w:multiLevelType w:val="hybridMultilevel"/>
    <w:tmpl w:val="686A40CA"/>
    <w:name w:val="LegalNumParListTemplate3"/>
    <w:lvl w:ilvl="0" w:tplc="A588FCC0">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5B9168C"/>
    <w:multiLevelType w:val="hybridMultilevel"/>
    <w:tmpl w:val="2B26CC8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74F5F0F"/>
    <w:multiLevelType w:val="hybridMultilevel"/>
    <w:tmpl w:val="3DC05072"/>
    <w:lvl w:ilvl="0" w:tplc="08090001">
      <w:start w:val="1"/>
      <w:numFmt w:val="bullet"/>
      <w:lvlText w:val=""/>
      <w:lvlJc w:val="left"/>
      <w:pPr>
        <w:ind w:left="720" w:hanging="360"/>
      </w:pPr>
      <w:rPr>
        <w:rFonts w:ascii="Symbol" w:hAnsi="Symbol" w:hint="default"/>
      </w:rPr>
    </w:lvl>
    <w:lvl w:ilvl="1" w:tplc="C81A212E">
      <w:numFmt w:val="bullet"/>
      <w:lvlText w:val="•"/>
      <w:lvlJc w:val="left"/>
      <w:pPr>
        <w:ind w:left="1440" w:hanging="36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1B58268F"/>
    <w:multiLevelType w:val="hybridMultilevel"/>
    <w:tmpl w:val="3D7064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B5C5EFA"/>
    <w:multiLevelType w:val="hybridMultilevel"/>
    <w:tmpl w:val="A1DE3764"/>
    <w:lvl w:ilvl="0" w:tplc="77CE9B42">
      <w:start w:val="1"/>
      <w:numFmt w:val="bullet"/>
      <w:lvlText w:val=""/>
      <w:lvlJc w:val="left"/>
      <w:pPr>
        <w:ind w:left="720" w:hanging="360"/>
      </w:pPr>
      <w:rPr>
        <w:rFonts w:ascii="Symbol" w:hAnsi="Symbo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DBC5B17"/>
    <w:multiLevelType w:val="hybridMultilevel"/>
    <w:tmpl w:val="BC0458DE"/>
    <w:lvl w:ilvl="0" w:tplc="080C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2">
    <w:nsid w:val="1F734306"/>
    <w:multiLevelType w:val="multilevel"/>
    <w:tmpl w:val="28629EE4"/>
    <w:lvl w:ilvl="0">
      <w:start w:val="1"/>
      <w:numFmt w:val="decimal"/>
      <w:pStyle w:val="Heading1"/>
      <w:lvlText w:val="%1."/>
      <w:lvlJc w:val="left"/>
      <w:pPr>
        <w:tabs>
          <w:tab w:val="num" w:pos="480"/>
        </w:tabs>
        <w:ind w:left="480" w:hanging="480"/>
      </w:pPr>
      <w:rPr>
        <w:b/>
      </w:r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53F191B"/>
    <w:multiLevelType w:val="hybridMultilevel"/>
    <w:tmpl w:val="BE66DFAA"/>
    <w:lvl w:ilvl="0" w:tplc="7EDE7E0A">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8BD0AD3"/>
    <w:multiLevelType w:val="hybridMultilevel"/>
    <w:tmpl w:val="E5A45FBC"/>
    <w:lvl w:ilvl="0" w:tplc="3CF4E5EA">
      <w:start w:val="1"/>
      <w:numFmt w:val="bullet"/>
      <w:lvlText w:val=""/>
      <w:lvlJc w:val="left"/>
      <w:pPr>
        <w:ind w:left="720" w:hanging="360"/>
      </w:pPr>
      <w:rPr>
        <w:rFonts w:ascii="Symbol" w:hAnsi="Symbol" w:hint="default"/>
        <w:sz w:val="20"/>
        <w:szCs w:val="24"/>
      </w:rPr>
    </w:lvl>
    <w:lvl w:ilvl="1" w:tplc="22800A7C">
      <w:start w:val="1"/>
      <w:numFmt w:val="bullet"/>
      <w:lvlText w:val="o"/>
      <w:lvlJc w:val="left"/>
      <w:pPr>
        <w:ind w:left="1440" w:hanging="360"/>
      </w:pPr>
      <w:rPr>
        <w:rFonts w:ascii="Courier New" w:hAnsi="Courier New" w:cs="Courier New" w:hint="default"/>
        <w:sz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7">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D293CE3"/>
    <w:multiLevelType w:val="hybridMultilevel"/>
    <w:tmpl w:val="42B46776"/>
    <w:name w:val="LegalNumParListTemplate2"/>
    <w:lvl w:ilvl="0" w:tplc="0C02F2CE">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2E7A46B2"/>
    <w:multiLevelType w:val="hybridMultilevel"/>
    <w:tmpl w:val="EA86C244"/>
    <w:lvl w:ilvl="0" w:tplc="40C64D18">
      <w:start w:val="1"/>
      <w:numFmt w:val="bullet"/>
      <w:lvlText w:val=""/>
      <w:lvlJc w:val="left"/>
      <w:pPr>
        <w:ind w:left="720" w:hanging="360"/>
      </w:pPr>
      <w:rPr>
        <w:rFonts w:ascii="Symbol" w:hAnsi="Symbo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1">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3">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4">
    <w:nsid w:val="409978B0"/>
    <w:multiLevelType w:val="hybridMultilevel"/>
    <w:tmpl w:val="3C9ECDA4"/>
    <w:lvl w:ilvl="0" w:tplc="81F29DF4">
      <w:start w:val="1"/>
      <w:numFmt w:val="bullet"/>
      <w:lvlText w:val=""/>
      <w:lvlJc w:val="left"/>
      <w:pPr>
        <w:ind w:left="720" w:hanging="360"/>
      </w:pPr>
      <w:rPr>
        <w:rFonts w:ascii="Symbol" w:hAnsi="Symbo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26">
    <w:nsid w:val="47443FFC"/>
    <w:multiLevelType w:val="hybridMultilevel"/>
    <w:tmpl w:val="7786F2DA"/>
    <w:lvl w:ilvl="0" w:tplc="499E9A68">
      <w:start w:val="1"/>
      <w:numFmt w:val="bullet"/>
      <w:lvlText w:val=""/>
      <w:lvlJc w:val="left"/>
      <w:pPr>
        <w:ind w:left="720" w:hanging="360"/>
      </w:pPr>
      <w:rPr>
        <w:rFonts w:ascii="Symbol" w:hAnsi="Symbol" w:hint="default"/>
        <w:sz w:val="20"/>
        <w:szCs w:val="20"/>
      </w:rPr>
    </w:lvl>
    <w:lvl w:ilvl="1" w:tplc="04FC8A00">
      <w:numFmt w:val="bullet"/>
      <w:lvlText w:val="-"/>
      <w:lvlJc w:val="left"/>
      <w:pPr>
        <w:ind w:left="1440" w:hanging="36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4CF4001"/>
    <w:multiLevelType w:val="hybridMultilevel"/>
    <w:tmpl w:val="34DC5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9">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30">
    <w:nsid w:val="5F9E7D3E"/>
    <w:multiLevelType w:val="hybridMultilevel"/>
    <w:tmpl w:val="F6CE09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2">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33">
    <w:nsid w:val="64BF3853"/>
    <w:multiLevelType w:val="hybridMultilevel"/>
    <w:tmpl w:val="E0442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6BAE3C48"/>
    <w:multiLevelType w:val="hybridMultilevel"/>
    <w:tmpl w:val="7A582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BFD0CE2"/>
    <w:multiLevelType w:val="hybridMultilevel"/>
    <w:tmpl w:val="EAEAA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6C7A47E3"/>
    <w:multiLevelType w:val="hybridMultilevel"/>
    <w:tmpl w:val="4A18C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38">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nsid w:val="727011D9"/>
    <w:multiLevelType w:val="hybridMultilevel"/>
    <w:tmpl w:val="48762CE2"/>
    <w:lvl w:ilvl="0" w:tplc="6128D690">
      <w:start w:val="1"/>
      <w:numFmt w:val="bullet"/>
      <w:lvlText w:val=""/>
      <w:lvlJc w:val="left"/>
      <w:pPr>
        <w:ind w:left="720" w:hanging="360"/>
      </w:pPr>
      <w:rPr>
        <w:rFonts w:ascii="Symbol" w:hAnsi="Symbo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7C6B63E6"/>
    <w:multiLevelType w:val="singleLevel"/>
    <w:tmpl w:val="0292EEF0"/>
    <w:name w:val="LegalNumParListTemplate"/>
    <w:lvl w:ilvl="0">
      <w:start w:val="1"/>
      <w:numFmt w:val="decimal"/>
      <w:lvlText w:val="%1."/>
      <w:lvlJc w:val="left"/>
      <w:pPr>
        <w:tabs>
          <w:tab w:val="num" w:pos="476"/>
        </w:tabs>
        <w:ind w:left="476" w:hanging="476"/>
      </w:pPr>
    </w:lvl>
  </w:abstractNum>
  <w:num w:numId="1">
    <w:abstractNumId w:val="1"/>
  </w:num>
  <w:num w:numId="2">
    <w:abstractNumId w:val="0"/>
  </w:num>
  <w:num w:numId="3">
    <w:abstractNumId w:val="12"/>
  </w:num>
  <w:num w:numId="4">
    <w:abstractNumId w:val="23"/>
  </w:num>
  <w:num w:numId="5">
    <w:abstractNumId w:val="16"/>
  </w:num>
  <w:num w:numId="6">
    <w:abstractNumId w:val="22"/>
  </w:num>
  <w:num w:numId="7">
    <w:abstractNumId w:val="32"/>
  </w:num>
  <w:num w:numId="8">
    <w:abstractNumId w:val="37"/>
  </w:num>
  <w:num w:numId="9">
    <w:abstractNumId w:val="20"/>
  </w:num>
  <w:num w:numId="10">
    <w:abstractNumId w:val="31"/>
  </w:num>
  <w:num w:numId="11">
    <w:abstractNumId w:val="29"/>
  </w:num>
  <w:num w:numId="12">
    <w:abstractNumId w:val="25"/>
  </w:num>
  <w:num w:numId="13">
    <w:abstractNumId w:val="28"/>
  </w:num>
  <w:num w:numId="14">
    <w:abstractNumId w:val="13"/>
  </w:num>
  <w:num w:numId="15">
    <w:abstractNumId w:val="21"/>
  </w:num>
  <w:num w:numId="16">
    <w:abstractNumId w:val="8"/>
  </w:num>
  <w:num w:numId="17">
    <w:abstractNumId w:val="17"/>
  </w:num>
  <w:num w:numId="18">
    <w:abstractNumId w:val="38"/>
  </w:num>
  <w:num w:numId="19">
    <w:abstractNumId w:val="18"/>
  </w:num>
  <w:num w:numId="20">
    <w:abstractNumId w:val="40"/>
  </w:num>
  <w:num w:numId="21">
    <w:abstractNumId w:val="5"/>
  </w:num>
  <w:num w:numId="22">
    <w:abstractNumId w:val="27"/>
  </w:num>
  <w:num w:numId="23">
    <w:abstractNumId w:val="2"/>
  </w:num>
  <w:num w:numId="24">
    <w:abstractNumId w:val="26"/>
  </w:num>
  <w:num w:numId="25">
    <w:abstractNumId w:val="15"/>
  </w:num>
  <w:num w:numId="26">
    <w:abstractNumId w:val="39"/>
  </w:num>
  <w:num w:numId="27">
    <w:abstractNumId w:val="35"/>
  </w:num>
  <w:num w:numId="28">
    <w:abstractNumId w:val="24"/>
  </w:num>
  <w:num w:numId="29">
    <w:abstractNumId w:val="36"/>
  </w:num>
  <w:num w:numId="30">
    <w:abstractNumId w:val="30"/>
  </w:num>
  <w:num w:numId="31">
    <w:abstractNumId w:val="7"/>
  </w:num>
  <w:num w:numId="32">
    <w:abstractNumId w:val="14"/>
  </w:num>
  <w:num w:numId="33">
    <w:abstractNumId w:val="34"/>
  </w:num>
  <w:num w:numId="34">
    <w:abstractNumId w:val="6"/>
  </w:num>
  <w:num w:numId="35">
    <w:abstractNumId w:val="3"/>
  </w:num>
  <w:num w:numId="36">
    <w:abstractNumId w:val="33"/>
  </w:num>
  <w:num w:numId="37">
    <w:abstractNumId w:val="9"/>
  </w:num>
  <w:num w:numId="38">
    <w:abstractNumId w:val="12"/>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1"/>
  </w:num>
  <w:num w:numId="41">
    <w:abstractNumId w:val="4"/>
  </w:num>
  <w:num w:numId="42">
    <w:abstractNumId w:val="19"/>
  </w:num>
  <w:num w:numId="43">
    <w:abstractNumId w:val="12"/>
  </w:num>
  <w:num w:numId="44">
    <w:abstractNumId w:val="1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FFA714ABDF4149C49BB2652CEE1FCA81"/>
    <w:docVar w:name="LW_CROSSREFERENCE" w:val="&lt;UNUSED&gt;"/>
    <w:docVar w:name="LW_DocType" w:val="REP"/>
    <w:docVar w:name="LW_EMISSION" w:val="2.12.2015"/>
    <w:docVar w:name="LW_EMISSION_ISODATE" w:val="2015-12-02"/>
    <w:docVar w:name="LW_EMISSION_LOCATION" w:val="BRX"/>
    <w:docVar w:name="LW_EMISSION_PREFIX" w:val="Bruxelles, le "/>
    <w:docVar w:name="LW_EMISSION_SUFFIX" w:val=" "/>
    <w:docVar w:name="LW_ID_DOCTYPE_NONLW" w:val="CP-012"/>
    <w:docVar w:name="LW_LANGUE" w:val="FR"/>
    <w:docVar w:name="LW_MARKING" w:val="&lt;UNUSED&g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5) 624"/>
    <w:docVar w:name="LW_REF.INTERNE" w:val="&lt;UNUSED&gt;"/>
    <w:docVar w:name="LW_SOUS.TITRE.OBJ.CP" w:val="&lt;UNUSED&gt;"/>
    <w:docVar w:name="LW_SUPERTITRE" w:val="&lt;UNUSED&gt;"/>
    <w:docVar w:name="LW_TITRE.OBJ.CP" w:val="relative à la mise en \u339?uvre du programme européen en matière de sécurité \u8211? Plan d\u8217?action de l\u8217?UE contre le trafic et l\u8217?utilisation illicite d\u8217?armes à feu et d\u8217?explosifs"/>
    <w:docVar w:name="LW_TYPE.DOC.CP" w:val="COMMUNICATION DE LA COMMISSION AU PARLEMENT EUROPÉEN ET AU CONSEIL"/>
    <w:docVar w:name="LW_TYPE.DOC.CP.USERTEXT" w:val="&lt;EMPTY&gt;"/>
  </w:docVars>
  <w:rsids>
    <w:rsidRoot w:val="002A06C7"/>
    <w:rsid w:val="002A06C7"/>
    <w:rsid w:val="00334C44"/>
  </w:rsids>
  <m:mathPr>
    <m:mathFont m:val="Cambria Math"/>
    <m:brkBin m:val="before"/>
    <m:brkBinSub m:val="--"/>
    <m:smallFrac m:val="0"/>
    <m:dispDef/>
    <m:lMargin m:val="0"/>
    <m:rMargin m:val="0"/>
    <m:defJc m:val="centerGroup"/>
    <m:wrapIndent m:val="1440"/>
    <m:intLim m:val="subSup"/>
    <m:naryLim m:val="undOvr"/>
  </m:mathPr>
  <w:themeFontLang w:val="fr-B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fr-FR"/>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pPr>
      <w:pBdr>
        <w:top w:val="nil"/>
        <w:left w:val="nil"/>
        <w:bottom w:val="nil"/>
        <w:right w:val="nil"/>
        <w:between w:val="nil"/>
        <w:bar w:val="nil"/>
      </w:pBdr>
    </w:pPr>
    <w:rPr>
      <w:rFonts w:eastAsia="Arial Unicode MS"/>
      <w:sz w:val="24"/>
      <w:szCs w:val="24"/>
      <w:bdr w:val="nil"/>
    </w:rPr>
  </w:style>
  <w:style w:type="paragraph" w:styleId="Heading1">
    <w:name w:val="heading 1"/>
    <w:basedOn w:val="Normal"/>
    <w:next w:val="Text1"/>
    <w:link w:val="Heading1Char"/>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style>
  <w:style w:type="paragraph" w:customStyle="1" w:styleId="AddressTL">
    <w:name w:val="AddressTL"/>
    <w:basedOn w:val="Normal"/>
    <w:next w:val="Normal"/>
    <w:pPr>
      <w:spacing w:after="720"/>
    </w:pPr>
  </w:style>
  <w:style w:type="paragraph" w:customStyle="1" w:styleId="AddressTR">
    <w:name w:val="AddressTR"/>
    <w:basedOn w:val="Normal"/>
    <w:next w:val="Normal"/>
    <w:pPr>
      <w:spacing w:after="720"/>
      <w:ind w:left="5103"/>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1"/>
    <w:uiPriority w:val="99"/>
    <w:semiHidden/>
    <w:rPr>
      <w:sz w:val="20"/>
    </w:rPr>
  </w:style>
  <w:style w:type="paragraph" w:styleId="Date">
    <w:name w:val="Date"/>
    <w:basedOn w:val="Normal"/>
    <w:next w:val="References"/>
    <w:pPr>
      <w:ind w:left="5103" w:right="-567"/>
    </w:pPr>
  </w:style>
  <w:style w:type="paragraph" w:customStyle="1" w:styleId="References">
    <w:name w:val="References"/>
    <w:basedOn w:val="Normal"/>
    <w:next w:val="AddressTR"/>
    <w:pPr>
      <w:ind w:left="5103"/>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pPr>
  </w:style>
  <w:style w:type="paragraph" w:customStyle="1" w:styleId="Enclosures">
    <w:name w:val="Enclosures"/>
    <w:basedOn w:val="Normal"/>
    <w:pPr>
      <w:keepNext/>
      <w:keepLines/>
      <w:tabs>
        <w:tab w:val="left" w:pos="5642"/>
      </w:tabs>
      <w:spacing w:before="480"/>
      <w:ind w:left="1191" w:hanging="1191"/>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pPr>
  </w:style>
  <w:style w:type="paragraph" w:styleId="EnvelopeReturn">
    <w:name w:val="envelope return"/>
    <w:basedOn w:val="Normal"/>
    <w:rPr>
      <w:sz w:val="20"/>
    </w:rPr>
  </w:style>
  <w:style w:type="paragraph" w:styleId="Footer">
    <w:name w:val="footer"/>
    <w:basedOn w:val="Normal"/>
    <w:link w:val="FooterChar"/>
    <w:uiPriority w:val="99"/>
    <w:pPr>
      <w:ind w:right="-567"/>
    </w:pPr>
    <w:rPr>
      <w:rFonts w:ascii="Arial" w:hAnsi="Arial"/>
      <w:sz w:val="16"/>
    </w:rPr>
  </w:style>
  <w:style w:type="paragraph" w:styleId="FootnoteText">
    <w:name w:val="footnote text"/>
    <w:basedOn w:val="Normal"/>
    <w:link w:val="FootnoteTextChar"/>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pPr>
    <w:rPr>
      <w:b/>
    </w:rPr>
  </w:style>
  <w:style w:type="paragraph" w:customStyle="1" w:styleId="NoteList">
    <w:name w:val="NoteList"/>
    <w:basedOn w:val="Normal"/>
    <w:next w:val="Subject"/>
    <w:pPr>
      <w:tabs>
        <w:tab w:val="left" w:pos="5823"/>
      </w:tabs>
      <w:spacing w:before="720" w:after="720"/>
      <w:ind w:left="5104" w:hanging="3119"/>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after="480"/>
      <w:ind w:left="567" w:hanging="567"/>
    </w:pPr>
  </w:style>
  <w:style w:type="paragraph" w:customStyle="1" w:styleId="Designator">
    <w:name w:val="Designator"/>
    <w:basedOn w:val="Normal"/>
    <w:pPr>
      <w:jc w:val="center"/>
    </w:pPr>
    <w:rPr>
      <w:b/>
      <w:caps/>
      <w:sz w:val="32"/>
    </w:rPr>
  </w:style>
  <w:style w:type="paragraph" w:customStyle="1" w:styleId="Releasable">
    <w:name w:val="Releasable"/>
    <w:basedOn w:val="Normal"/>
    <w:qFormat/>
    <w:pPr>
      <w:jc w:val="center"/>
    </w:pPr>
    <w:rPr>
      <w:b/>
      <w:caps/>
      <w:sz w:val="32"/>
    </w:rPr>
  </w:style>
  <w:style w:type="paragraph" w:customStyle="1" w:styleId="RUE">
    <w:name w:val="RUE"/>
    <w:basedOn w:val="Normal"/>
    <w:pPr>
      <w:jc w:val="center"/>
    </w:pPr>
    <w:rPr>
      <w:b/>
      <w:caps/>
      <w:sz w:val="32"/>
      <w:bdr w:val="single" w:sz="18" w:space="0" w:color="auto"/>
    </w:rPr>
  </w:style>
  <w:style w:type="paragraph" w:customStyle="1" w:styleId="ConfidentialUE">
    <w:name w:val="Confidential UE"/>
    <w:basedOn w:val="Normal"/>
    <w:pPr>
      <w:jc w:val="center"/>
    </w:pPr>
    <w:rPr>
      <w:b/>
      <w:caps/>
      <w:sz w:val="32"/>
      <w:bdr w:val="single" w:sz="18" w:space="0" w:color="auto"/>
    </w:rPr>
  </w:style>
  <w:style w:type="paragraph" w:customStyle="1" w:styleId="SecretUE">
    <w:name w:val="Secret UE"/>
    <w:basedOn w:val="Normal"/>
    <w:pPr>
      <w:jc w:val="center"/>
    </w:pPr>
    <w:rPr>
      <w:b/>
      <w:caps/>
      <w:color w:val="FF0000"/>
      <w:sz w:val="32"/>
      <w:bdr w:val="single" w:sz="18" w:space="0" w:color="FF0000"/>
    </w:rPr>
  </w:style>
  <w:style w:type="paragraph" w:customStyle="1" w:styleId="TrsSecretUE">
    <w:name w:val="Très Secret UE"/>
    <w:basedOn w:val="Normal"/>
    <w:pPr>
      <w:jc w:val="center"/>
    </w:pPr>
    <w:rPr>
      <w:b/>
      <w:caps/>
      <w:color w:val="FF0000"/>
      <w:sz w:val="32"/>
      <w:bdr w:val="single" w:sz="18" w:space="0" w:color="FF0000"/>
    </w:rPr>
  </w:style>
  <w:style w:type="paragraph" w:customStyle="1" w:styleId="LegalNumPar">
    <w:name w:val="LegalNumPar"/>
    <w:basedOn w:val="Normal"/>
    <w:pPr>
      <w:numPr>
        <w:numId w:val="21"/>
      </w:numPr>
    </w:pPr>
  </w:style>
  <w:style w:type="character" w:customStyle="1" w:styleId="FooterChar">
    <w:name w:val="Footer Char"/>
    <w:basedOn w:val="DefaultParagraphFont"/>
    <w:link w:val="Footer"/>
    <w:uiPriority w:val="99"/>
    <w:rPr>
      <w:rFonts w:ascii="Arial" w:hAnsi="Arial"/>
      <w:sz w:val="16"/>
      <w:lang w:eastAsia="fr-FR"/>
    </w:rPr>
  </w:style>
  <w:style w:type="character" w:customStyle="1" w:styleId="HeaderChar">
    <w:name w:val="Header Char"/>
    <w:basedOn w:val="DefaultParagraphFont"/>
    <w:link w:val="Header"/>
    <w:uiPriority w:val="99"/>
    <w:rPr>
      <w:sz w:val="24"/>
      <w:lang w:eastAsia="fr-FR"/>
    </w:rPr>
  </w:style>
  <w:style w:type="character" w:styleId="Hyperlink">
    <w:name w:val="Hyperlink"/>
    <w:rPr>
      <w:u w:val="single"/>
    </w:rPr>
  </w:style>
  <w:style w:type="paragraph" w:customStyle="1" w:styleId="HeaderFooter">
    <w:name w:val="Header &amp; Footer"/>
    <w:pPr>
      <w:pBdr>
        <w:top w:val="nil"/>
        <w:left w:val="nil"/>
        <w:bottom w:val="nil"/>
        <w:right w:val="nil"/>
        <w:between w:val="nil"/>
        <w:bar w:val="nil"/>
      </w:pBdr>
      <w:tabs>
        <w:tab w:val="right" w:pos="9020"/>
      </w:tabs>
    </w:pPr>
    <w:rPr>
      <w:rFonts w:ascii="Helvetica" w:eastAsia="Arial Unicode MS" w:hAnsi="Helvetica" w:cs="Arial Unicode MS"/>
      <w:color w:val="000000"/>
      <w:sz w:val="24"/>
      <w:szCs w:val="24"/>
      <w:bdr w:val="nil"/>
    </w:rPr>
  </w:style>
  <w:style w:type="paragraph" w:customStyle="1" w:styleId="Pagedecouverture">
    <w:name w:val="Page de couverture"/>
    <w:next w:val="Body"/>
    <w:pPr>
      <w:pBdr>
        <w:top w:val="nil"/>
        <w:left w:val="nil"/>
        <w:bottom w:val="nil"/>
        <w:right w:val="nil"/>
        <w:between w:val="nil"/>
        <w:bar w:val="nil"/>
      </w:pBdr>
      <w:jc w:val="both"/>
    </w:pPr>
    <w:rPr>
      <w:rFonts w:eastAsia="Arial Unicode MS" w:cs="Arial Unicode MS"/>
      <w:color w:val="000000"/>
      <w:sz w:val="24"/>
      <w:szCs w:val="24"/>
      <w:u w:color="000000"/>
      <w:bdr w:val="nil"/>
    </w:rPr>
  </w:style>
  <w:style w:type="paragraph" w:customStyle="1" w:styleId="Body">
    <w:name w:val="Body"/>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rPr>
  </w:style>
  <w:style w:type="character" w:customStyle="1" w:styleId="Link">
    <w:name w:val="Link"/>
    <w:rPr>
      <w:color w:val="0000FF"/>
      <w:u w:val="single" w:color="0000FF"/>
    </w:rPr>
  </w:style>
  <w:style w:type="character" w:customStyle="1" w:styleId="Hyperlink0">
    <w:name w:val="Hyperlink.0"/>
    <w:basedOn w:val="Link"/>
    <w:rPr>
      <w:rFonts w:ascii="Times New Roman" w:eastAsia="Times New Roman" w:hAnsi="Times New Roman" w:cs="Times New Roman"/>
      <w:color w:val="0000FF"/>
      <w:u w:val="single" w:color="0000FF"/>
    </w:rPr>
  </w:style>
  <w:style w:type="character" w:customStyle="1" w:styleId="Hyperlink1">
    <w:name w:val="Hyperlink.1"/>
    <w:basedOn w:val="Link"/>
    <w:rPr>
      <w:rFonts w:ascii="Times New Roman" w:eastAsia="Times New Roman" w:hAnsi="Times New Roman" w:cs="Times New Roman"/>
      <w:color w:val="0000FF"/>
      <w:sz w:val="20"/>
      <w:szCs w:val="20"/>
      <w:u w:val="single" w:color="0000FF"/>
    </w:rPr>
  </w:style>
  <w:style w:type="character" w:customStyle="1" w:styleId="Hyperlink2">
    <w:name w:val="Hyperlink.2"/>
    <w:basedOn w:val="Link"/>
    <w:rPr>
      <w:rFonts w:ascii="Times New Roman" w:eastAsia="Times New Roman" w:hAnsi="Times New Roman" w:cs="Times New Roman"/>
      <w:color w:val="0000FF"/>
      <w:u w:val="single" w:color="0000FF"/>
      <w:lang w:val="fr-FR"/>
    </w:rPr>
  </w:style>
  <w:style w:type="paragraph" w:customStyle="1" w:styleId="Default">
    <w:name w:val="Default"/>
    <w:pPr>
      <w:pBdr>
        <w:top w:val="nil"/>
        <w:left w:val="nil"/>
        <w:bottom w:val="nil"/>
        <w:right w:val="nil"/>
        <w:between w:val="nil"/>
        <w:bar w:val="nil"/>
      </w:pBdr>
    </w:pPr>
    <w:rPr>
      <w:rFonts w:ascii="Helvetica" w:eastAsia="Helvetica" w:hAnsi="Helvetica" w:cs="Helvetica"/>
      <w:color w:val="000000"/>
      <w:sz w:val="22"/>
      <w:szCs w:val="22"/>
      <w:bdr w:val="nil"/>
    </w:rPr>
  </w:style>
  <w:style w:type="character" w:customStyle="1" w:styleId="CommentTextChar">
    <w:name w:val="Comment Text Char"/>
    <w:basedOn w:val="DefaultParagraphFont"/>
    <w:uiPriority w:val="99"/>
    <w:semiHidden/>
    <w:rPr>
      <w:lang w:val="fr-FR" w:eastAsia="fr-FR"/>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Arial Unicode MS" w:hAnsi="Tahoma" w:cs="Tahoma"/>
      <w:sz w:val="16"/>
      <w:szCs w:val="16"/>
      <w:bdr w:val="nil"/>
      <w:lang w:val="fr-FR" w:eastAsia="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1">
    <w:name w:val="Comment Text Char1"/>
    <w:basedOn w:val="DefaultParagraphFont"/>
    <w:link w:val="CommentText"/>
    <w:uiPriority w:val="99"/>
    <w:semiHidden/>
    <w:rPr>
      <w:lang w:eastAsia="fr-FR"/>
    </w:rPr>
  </w:style>
  <w:style w:type="character" w:customStyle="1" w:styleId="CommentSubjectChar">
    <w:name w:val="Comment Subject Char"/>
    <w:basedOn w:val="CommentTextChar1"/>
    <w:link w:val="CommentSubject"/>
    <w:uiPriority w:val="99"/>
    <w:semiHidden/>
    <w:rPr>
      <w:rFonts w:eastAsia="Arial Unicode MS"/>
      <w:b/>
      <w:bCs/>
      <w:bdr w:val="nil"/>
      <w:lang w:val="fr-FR" w:eastAsia="fr-FR"/>
    </w:rPr>
  </w:style>
  <w:style w:type="character" w:styleId="FootnoteReference">
    <w:name w:val="footnote reference"/>
    <w:basedOn w:val="DefaultParagraphFont"/>
    <w:uiPriority w:val="99"/>
    <w:unhideWhenUsed/>
    <w:rPr>
      <w:vertAlign w:val="superscript"/>
    </w:rPr>
  </w:style>
  <w:style w:type="character" w:customStyle="1" w:styleId="FootnoteTextChar">
    <w:name w:val="Footnote Text Char"/>
    <w:basedOn w:val="DefaultParagraphFont"/>
    <w:link w:val="FootnoteText"/>
    <w:rPr>
      <w:lang w:eastAsia="fr-FR"/>
    </w:rPr>
  </w:style>
  <w:style w:type="paragraph" w:styleId="Revision">
    <w:name w:val="Revision"/>
    <w:hidden/>
    <w:uiPriority w:val="99"/>
    <w:semiHidden/>
    <w:rPr>
      <w:rFonts w:eastAsia="Arial Unicode MS"/>
      <w:sz w:val="24"/>
      <w:szCs w:val="24"/>
      <w:bdr w:val="nil"/>
    </w:rPr>
  </w:style>
  <w:style w:type="paragraph" w:styleId="ListParagraph">
    <w:name w:val="List Paragraph"/>
    <w:basedOn w:val="Normal"/>
    <w:uiPriority w:val="34"/>
    <w:qFormat/>
    <w:pPr>
      <w:ind w:left="720"/>
      <w:contextualSpacing/>
    </w:pPr>
  </w:style>
  <w:style w:type="character" w:customStyle="1" w:styleId="Marker">
    <w:name w:val="Marker"/>
    <w:basedOn w:val="DefaultParagraphFont"/>
    <w:rPr>
      <w:color w:val="0000FF"/>
      <w:shd w:val="clear" w:color="auto" w:fill="auto"/>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Heading1Char">
    <w:name w:val="Heading 1 Char"/>
    <w:basedOn w:val="DefaultParagraphFont"/>
    <w:link w:val="Heading1"/>
    <w:rPr>
      <w:rFonts w:eastAsia="Arial Unicode MS"/>
      <w:b/>
      <w:smallCaps/>
      <w:sz w:val="24"/>
      <w:szCs w:val="24"/>
      <w:bdr w:val="nil"/>
      <w:lang w:val="fr-FR" w:eastAsia="fr-FR"/>
    </w:rPr>
  </w:style>
  <w:style w:type="character" w:customStyle="1" w:styleId="FooterCoverPageChar">
    <w:name w:val="Footer Cover Page Char"/>
    <w:basedOn w:val="Heading1Char"/>
    <w:link w:val="FooterCoverPage"/>
    <w:rPr>
      <w:rFonts w:eastAsia="Arial Unicode MS"/>
      <w:b w:val="0"/>
      <w:smallCaps w:val="0"/>
      <w:sz w:val="24"/>
      <w:szCs w:val="24"/>
      <w:bdr w:val="nil"/>
      <w:lang w:val="fr-FR" w:eastAsia="fr-FR"/>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Heading1Char"/>
    <w:link w:val="HeaderCoverPage"/>
    <w:rPr>
      <w:rFonts w:eastAsia="Arial Unicode MS"/>
      <w:b w:val="0"/>
      <w:smallCaps w:val="0"/>
      <w:sz w:val="24"/>
      <w:szCs w:val="24"/>
      <w:bdr w:val="nil"/>
      <w:lang w:val="fr-FR" w:eastAsia="fr-FR"/>
    </w:rPr>
  </w:style>
  <w:style w:type="character" w:styleId="EndnoteReference">
    <w:name w:val="endnote reference"/>
    <w:basedOn w:val="DefaultParagraphFont"/>
    <w:uiPriority w:val="99"/>
    <w:semiHidden/>
    <w:unhideWhenUsed/>
    <w:rPr>
      <w:vertAlign w:val="superscript"/>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st1">
    <w:name w:val="st1"/>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fr-FR"/>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pPr>
      <w:pBdr>
        <w:top w:val="nil"/>
        <w:left w:val="nil"/>
        <w:bottom w:val="nil"/>
        <w:right w:val="nil"/>
        <w:between w:val="nil"/>
        <w:bar w:val="nil"/>
      </w:pBdr>
    </w:pPr>
    <w:rPr>
      <w:rFonts w:eastAsia="Arial Unicode MS"/>
      <w:sz w:val="24"/>
      <w:szCs w:val="24"/>
      <w:bdr w:val="nil"/>
    </w:rPr>
  </w:style>
  <w:style w:type="paragraph" w:styleId="Heading1">
    <w:name w:val="heading 1"/>
    <w:basedOn w:val="Normal"/>
    <w:next w:val="Text1"/>
    <w:link w:val="Heading1Char"/>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style>
  <w:style w:type="paragraph" w:customStyle="1" w:styleId="AddressTL">
    <w:name w:val="AddressTL"/>
    <w:basedOn w:val="Normal"/>
    <w:next w:val="Normal"/>
    <w:pPr>
      <w:spacing w:after="720"/>
    </w:pPr>
  </w:style>
  <w:style w:type="paragraph" w:customStyle="1" w:styleId="AddressTR">
    <w:name w:val="AddressTR"/>
    <w:basedOn w:val="Normal"/>
    <w:next w:val="Normal"/>
    <w:pPr>
      <w:spacing w:after="720"/>
      <w:ind w:left="5103"/>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1"/>
    <w:uiPriority w:val="99"/>
    <w:semiHidden/>
    <w:rPr>
      <w:sz w:val="20"/>
    </w:rPr>
  </w:style>
  <w:style w:type="paragraph" w:styleId="Date">
    <w:name w:val="Date"/>
    <w:basedOn w:val="Normal"/>
    <w:next w:val="References"/>
    <w:pPr>
      <w:ind w:left="5103" w:right="-567"/>
    </w:pPr>
  </w:style>
  <w:style w:type="paragraph" w:customStyle="1" w:styleId="References">
    <w:name w:val="References"/>
    <w:basedOn w:val="Normal"/>
    <w:next w:val="AddressTR"/>
    <w:pPr>
      <w:ind w:left="5103"/>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pPr>
  </w:style>
  <w:style w:type="paragraph" w:customStyle="1" w:styleId="Enclosures">
    <w:name w:val="Enclosures"/>
    <w:basedOn w:val="Normal"/>
    <w:pPr>
      <w:keepNext/>
      <w:keepLines/>
      <w:tabs>
        <w:tab w:val="left" w:pos="5642"/>
      </w:tabs>
      <w:spacing w:before="480"/>
      <w:ind w:left="1191" w:hanging="1191"/>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pPr>
  </w:style>
  <w:style w:type="paragraph" w:styleId="EnvelopeReturn">
    <w:name w:val="envelope return"/>
    <w:basedOn w:val="Normal"/>
    <w:rPr>
      <w:sz w:val="20"/>
    </w:rPr>
  </w:style>
  <w:style w:type="paragraph" w:styleId="Footer">
    <w:name w:val="footer"/>
    <w:basedOn w:val="Normal"/>
    <w:link w:val="FooterChar"/>
    <w:uiPriority w:val="99"/>
    <w:pPr>
      <w:ind w:right="-567"/>
    </w:pPr>
    <w:rPr>
      <w:rFonts w:ascii="Arial" w:hAnsi="Arial"/>
      <w:sz w:val="16"/>
    </w:rPr>
  </w:style>
  <w:style w:type="paragraph" w:styleId="FootnoteText">
    <w:name w:val="footnote text"/>
    <w:basedOn w:val="Normal"/>
    <w:link w:val="FootnoteTextChar"/>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pPr>
    <w:rPr>
      <w:b/>
    </w:rPr>
  </w:style>
  <w:style w:type="paragraph" w:customStyle="1" w:styleId="NoteList">
    <w:name w:val="NoteList"/>
    <w:basedOn w:val="Normal"/>
    <w:next w:val="Subject"/>
    <w:pPr>
      <w:tabs>
        <w:tab w:val="left" w:pos="5823"/>
      </w:tabs>
      <w:spacing w:before="720" w:after="720"/>
      <w:ind w:left="5104" w:hanging="3119"/>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after="480"/>
      <w:ind w:left="567" w:hanging="567"/>
    </w:pPr>
  </w:style>
  <w:style w:type="paragraph" w:customStyle="1" w:styleId="Designator">
    <w:name w:val="Designator"/>
    <w:basedOn w:val="Normal"/>
    <w:pPr>
      <w:jc w:val="center"/>
    </w:pPr>
    <w:rPr>
      <w:b/>
      <w:caps/>
      <w:sz w:val="32"/>
    </w:rPr>
  </w:style>
  <w:style w:type="paragraph" w:customStyle="1" w:styleId="Releasable">
    <w:name w:val="Releasable"/>
    <w:basedOn w:val="Normal"/>
    <w:qFormat/>
    <w:pPr>
      <w:jc w:val="center"/>
    </w:pPr>
    <w:rPr>
      <w:b/>
      <w:caps/>
      <w:sz w:val="32"/>
    </w:rPr>
  </w:style>
  <w:style w:type="paragraph" w:customStyle="1" w:styleId="RUE">
    <w:name w:val="RUE"/>
    <w:basedOn w:val="Normal"/>
    <w:pPr>
      <w:jc w:val="center"/>
    </w:pPr>
    <w:rPr>
      <w:b/>
      <w:caps/>
      <w:sz w:val="32"/>
      <w:bdr w:val="single" w:sz="18" w:space="0" w:color="auto"/>
    </w:rPr>
  </w:style>
  <w:style w:type="paragraph" w:customStyle="1" w:styleId="ConfidentialUE">
    <w:name w:val="Confidential UE"/>
    <w:basedOn w:val="Normal"/>
    <w:pPr>
      <w:jc w:val="center"/>
    </w:pPr>
    <w:rPr>
      <w:b/>
      <w:caps/>
      <w:sz w:val="32"/>
      <w:bdr w:val="single" w:sz="18" w:space="0" w:color="auto"/>
    </w:rPr>
  </w:style>
  <w:style w:type="paragraph" w:customStyle="1" w:styleId="SecretUE">
    <w:name w:val="Secret UE"/>
    <w:basedOn w:val="Normal"/>
    <w:pPr>
      <w:jc w:val="center"/>
    </w:pPr>
    <w:rPr>
      <w:b/>
      <w:caps/>
      <w:color w:val="FF0000"/>
      <w:sz w:val="32"/>
      <w:bdr w:val="single" w:sz="18" w:space="0" w:color="FF0000"/>
    </w:rPr>
  </w:style>
  <w:style w:type="paragraph" w:customStyle="1" w:styleId="TrsSecretUE">
    <w:name w:val="Très Secret UE"/>
    <w:basedOn w:val="Normal"/>
    <w:pPr>
      <w:jc w:val="center"/>
    </w:pPr>
    <w:rPr>
      <w:b/>
      <w:caps/>
      <w:color w:val="FF0000"/>
      <w:sz w:val="32"/>
      <w:bdr w:val="single" w:sz="18" w:space="0" w:color="FF0000"/>
    </w:rPr>
  </w:style>
  <w:style w:type="paragraph" w:customStyle="1" w:styleId="LegalNumPar">
    <w:name w:val="LegalNumPar"/>
    <w:basedOn w:val="Normal"/>
    <w:pPr>
      <w:numPr>
        <w:numId w:val="21"/>
      </w:numPr>
    </w:pPr>
  </w:style>
  <w:style w:type="character" w:customStyle="1" w:styleId="FooterChar">
    <w:name w:val="Footer Char"/>
    <w:basedOn w:val="DefaultParagraphFont"/>
    <w:link w:val="Footer"/>
    <w:uiPriority w:val="99"/>
    <w:rPr>
      <w:rFonts w:ascii="Arial" w:hAnsi="Arial"/>
      <w:sz w:val="16"/>
      <w:lang w:eastAsia="fr-FR"/>
    </w:rPr>
  </w:style>
  <w:style w:type="character" w:customStyle="1" w:styleId="HeaderChar">
    <w:name w:val="Header Char"/>
    <w:basedOn w:val="DefaultParagraphFont"/>
    <w:link w:val="Header"/>
    <w:uiPriority w:val="99"/>
    <w:rPr>
      <w:sz w:val="24"/>
      <w:lang w:eastAsia="fr-FR"/>
    </w:rPr>
  </w:style>
  <w:style w:type="character" w:styleId="Hyperlink">
    <w:name w:val="Hyperlink"/>
    <w:rPr>
      <w:u w:val="single"/>
    </w:rPr>
  </w:style>
  <w:style w:type="paragraph" w:customStyle="1" w:styleId="HeaderFooter">
    <w:name w:val="Header &amp; Footer"/>
    <w:pPr>
      <w:pBdr>
        <w:top w:val="nil"/>
        <w:left w:val="nil"/>
        <w:bottom w:val="nil"/>
        <w:right w:val="nil"/>
        <w:between w:val="nil"/>
        <w:bar w:val="nil"/>
      </w:pBdr>
      <w:tabs>
        <w:tab w:val="right" w:pos="9020"/>
      </w:tabs>
    </w:pPr>
    <w:rPr>
      <w:rFonts w:ascii="Helvetica" w:eastAsia="Arial Unicode MS" w:hAnsi="Helvetica" w:cs="Arial Unicode MS"/>
      <w:color w:val="000000"/>
      <w:sz w:val="24"/>
      <w:szCs w:val="24"/>
      <w:bdr w:val="nil"/>
    </w:rPr>
  </w:style>
  <w:style w:type="paragraph" w:customStyle="1" w:styleId="Pagedecouverture">
    <w:name w:val="Page de couverture"/>
    <w:next w:val="Body"/>
    <w:pPr>
      <w:pBdr>
        <w:top w:val="nil"/>
        <w:left w:val="nil"/>
        <w:bottom w:val="nil"/>
        <w:right w:val="nil"/>
        <w:between w:val="nil"/>
        <w:bar w:val="nil"/>
      </w:pBdr>
      <w:jc w:val="both"/>
    </w:pPr>
    <w:rPr>
      <w:rFonts w:eastAsia="Arial Unicode MS" w:cs="Arial Unicode MS"/>
      <w:color w:val="000000"/>
      <w:sz w:val="24"/>
      <w:szCs w:val="24"/>
      <w:u w:color="000000"/>
      <w:bdr w:val="nil"/>
    </w:rPr>
  </w:style>
  <w:style w:type="paragraph" w:customStyle="1" w:styleId="Body">
    <w:name w:val="Body"/>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rPr>
  </w:style>
  <w:style w:type="character" w:customStyle="1" w:styleId="Link">
    <w:name w:val="Link"/>
    <w:rPr>
      <w:color w:val="0000FF"/>
      <w:u w:val="single" w:color="0000FF"/>
    </w:rPr>
  </w:style>
  <w:style w:type="character" w:customStyle="1" w:styleId="Hyperlink0">
    <w:name w:val="Hyperlink.0"/>
    <w:basedOn w:val="Link"/>
    <w:rPr>
      <w:rFonts w:ascii="Times New Roman" w:eastAsia="Times New Roman" w:hAnsi="Times New Roman" w:cs="Times New Roman"/>
      <w:color w:val="0000FF"/>
      <w:u w:val="single" w:color="0000FF"/>
    </w:rPr>
  </w:style>
  <w:style w:type="character" w:customStyle="1" w:styleId="Hyperlink1">
    <w:name w:val="Hyperlink.1"/>
    <w:basedOn w:val="Link"/>
    <w:rPr>
      <w:rFonts w:ascii="Times New Roman" w:eastAsia="Times New Roman" w:hAnsi="Times New Roman" w:cs="Times New Roman"/>
      <w:color w:val="0000FF"/>
      <w:sz w:val="20"/>
      <w:szCs w:val="20"/>
      <w:u w:val="single" w:color="0000FF"/>
    </w:rPr>
  </w:style>
  <w:style w:type="character" w:customStyle="1" w:styleId="Hyperlink2">
    <w:name w:val="Hyperlink.2"/>
    <w:basedOn w:val="Link"/>
    <w:rPr>
      <w:rFonts w:ascii="Times New Roman" w:eastAsia="Times New Roman" w:hAnsi="Times New Roman" w:cs="Times New Roman"/>
      <w:color w:val="0000FF"/>
      <w:u w:val="single" w:color="0000FF"/>
      <w:lang w:val="fr-FR"/>
    </w:rPr>
  </w:style>
  <w:style w:type="paragraph" w:customStyle="1" w:styleId="Default">
    <w:name w:val="Default"/>
    <w:pPr>
      <w:pBdr>
        <w:top w:val="nil"/>
        <w:left w:val="nil"/>
        <w:bottom w:val="nil"/>
        <w:right w:val="nil"/>
        <w:between w:val="nil"/>
        <w:bar w:val="nil"/>
      </w:pBdr>
    </w:pPr>
    <w:rPr>
      <w:rFonts w:ascii="Helvetica" w:eastAsia="Helvetica" w:hAnsi="Helvetica" w:cs="Helvetica"/>
      <w:color w:val="000000"/>
      <w:sz w:val="22"/>
      <w:szCs w:val="22"/>
      <w:bdr w:val="nil"/>
    </w:rPr>
  </w:style>
  <w:style w:type="character" w:customStyle="1" w:styleId="CommentTextChar">
    <w:name w:val="Comment Text Char"/>
    <w:basedOn w:val="DefaultParagraphFont"/>
    <w:uiPriority w:val="99"/>
    <w:semiHidden/>
    <w:rPr>
      <w:lang w:val="fr-FR" w:eastAsia="fr-FR"/>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Arial Unicode MS" w:hAnsi="Tahoma" w:cs="Tahoma"/>
      <w:sz w:val="16"/>
      <w:szCs w:val="16"/>
      <w:bdr w:val="nil"/>
      <w:lang w:val="fr-FR" w:eastAsia="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1">
    <w:name w:val="Comment Text Char1"/>
    <w:basedOn w:val="DefaultParagraphFont"/>
    <w:link w:val="CommentText"/>
    <w:uiPriority w:val="99"/>
    <w:semiHidden/>
    <w:rPr>
      <w:lang w:eastAsia="fr-FR"/>
    </w:rPr>
  </w:style>
  <w:style w:type="character" w:customStyle="1" w:styleId="CommentSubjectChar">
    <w:name w:val="Comment Subject Char"/>
    <w:basedOn w:val="CommentTextChar1"/>
    <w:link w:val="CommentSubject"/>
    <w:uiPriority w:val="99"/>
    <w:semiHidden/>
    <w:rPr>
      <w:rFonts w:eastAsia="Arial Unicode MS"/>
      <w:b/>
      <w:bCs/>
      <w:bdr w:val="nil"/>
      <w:lang w:val="fr-FR" w:eastAsia="fr-FR"/>
    </w:rPr>
  </w:style>
  <w:style w:type="character" w:styleId="FootnoteReference">
    <w:name w:val="footnote reference"/>
    <w:basedOn w:val="DefaultParagraphFont"/>
    <w:uiPriority w:val="99"/>
    <w:unhideWhenUsed/>
    <w:rPr>
      <w:vertAlign w:val="superscript"/>
    </w:rPr>
  </w:style>
  <w:style w:type="character" w:customStyle="1" w:styleId="FootnoteTextChar">
    <w:name w:val="Footnote Text Char"/>
    <w:basedOn w:val="DefaultParagraphFont"/>
    <w:link w:val="FootnoteText"/>
    <w:rPr>
      <w:lang w:eastAsia="fr-FR"/>
    </w:rPr>
  </w:style>
  <w:style w:type="paragraph" w:styleId="Revision">
    <w:name w:val="Revision"/>
    <w:hidden/>
    <w:uiPriority w:val="99"/>
    <w:semiHidden/>
    <w:rPr>
      <w:rFonts w:eastAsia="Arial Unicode MS"/>
      <w:sz w:val="24"/>
      <w:szCs w:val="24"/>
      <w:bdr w:val="nil"/>
    </w:rPr>
  </w:style>
  <w:style w:type="paragraph" w:styleId="ListParagraph">
    <w:name w:val="List Paragraph"/>
    <w:basedOn w:val="Normal"/>
    <w:uiPriority w:val="34"/>
    <w:qFormat/>
    <w:pPr>
      <w:ind w:left="720"/>
      <w:contextualSpacing/>
    </w:pPr>
  </w:style>
  <w:style w:type="character" w:customStyle="1" w:styleId="Marker">
    <w:name w:val="Marker"/>
    <w:basedOn w:val="DefaultParagraphFont"/>
    <w:rPr>
      <w:color w:val="0000FF"/>
      <w:shd w:val="clear" w:color="auto" w:fill="auto"/>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Heading1Char">
    <w:name w:val="Heading 1 Char"/>
    <w:basedOn w:val="DefaultParagraphFont"/>
    <w:link w:val="Heading1"/>
    <w:rPr>
      <w:rFonts w:eastAsia="Arial Unicode MS"/>
      <w:b/>
      <w:smallCaps/>
      <w:sz w:val="24"/>
      <w:szCs w:val="24"/>
      <w:bdr w:val="nil"/>
      <w:lang w:val="fr-FR" w:eastAsia="fr-FR"/>
    </w:rPr>
  </w:style>
  <w:style w:type="character" w:customStyle="1" w:styleId="FooterCoverPageChar">
    <w:name w:val="Footer Cover Page Char"/>
    <w:basedOn w:val="Heading1Char"/>
    <w:link w:val="FooterCoverPage"/>
    <w:rPr>
      <w:rFonts w:eastAsia="Arial Unicode MS"/>
      <w:b w:val="0"/>
      <w:smallCaps w:val="0"/>
      <w:sz w:val="24"/>
      <w:szCs w:val="24"/>
      <w:bdr w:val="nil"/>
      <w:lang w:val="fr-FR" w:eastAsia="fr-FR"/>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Heading1Char"/>
    <w:link w:val="HeaderCoverPage"/>
    <w:rPr>
      <w:rFonts w:eastAsia="Arial Unicode MS"/>
      <w:b w:val="0"/>
      <w:smallCaps w:val="0"/>
      <w:sz w:val="24"/>
      <w:szCs w:val="24"/>
      <w:bdr w:val="nil"/>
      <w:lang w:val="fr-FR" w:eastAsia="fr-FR"/>
    </w:rPr>
  </w:style>
  <w:style w:type="character" w:styleId="EndnoteReference">
    <w:name w:val="endnote reference"/>
    <w:basedOn w:val="DefaultParagraphFont"/>
    <w:uiPriority w:val="99"/>
    <w:semiHidden/>
    <w:unhideWhenUsed/>
    <w:rPr>
      <w:vertAlign w:val="superscript"/>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st1">
    <w:name w:val="st1"/>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7731080">
      <w:bodyDiv w:val="1"/>
      <w:marLeft w:val="0"/>
      <w:marRight w:val="0"/>
      <w:marTop w:val="0"/>
      <w:marBottom w:val="0"/>
      <w:divBdr>
        <w:top w:val="none" w:sz="0" w:space="0" w:color="auto"/>
        <w:left w:val="none" w:sz="0" w:space="0" w:color="auto"/>
        <w:bottom w:val="none" w:sz="0" w:space="0" w:color="auto"/>
        <w:right w:val="none" w:sz="0" w:space="0" w:color="auto"/>
      </w:divBdr>
    </w:div>
    <w:div w:id="425226944">
      <w:bodyDiv w:val="1"/>
      <w:marLeft w:val="0"/>
      <w:marRight w:val="0"/>
      <w:marTop w:val="0"/>
      <w:marBottom w:val="0"/>
      <w:divBdr>
        <w:top w:val="none" w:sz="0" w:space="0" w:color="auto"/>
        <w:left w:val="none" w:sz="0" w:space="0" w:color="auto"/>
        <w:bottom w:val="none" w:sz="0" w:space="0" w:color="auto"/>
        <w:right w:val="none" w:sz="0" w:space="0" w:color="auto"/>
      </w:divBdr>
    </w:div>
    <w:div w:id="1123185155">
      <w:bodyDiv w:val="1"/>
      <w:marLeft w:val="0"/>
      <w:marRight w:val="0"/>
      <w:marTop w:val="0"/>
      <w:marBottom w:val="0"/>
      <w:divBdr>
        <w:top w:val="none" w:sz="0" w:space="0" w:color="auto"/>
        <w:left w:val="none" w:sz="0" w:space="0" w:color="auto"/>
        <w:bottom w:val="none" w:sz="0" w:space="0" w:color="auto"/>
        <w:right w:val="none" w:sz="0" w:space="0" w:color="auto"/>
      </w:divBdr>
    </w:div>
    <w:div w:id="1196388249">
      <w:bodyDiv w:val="1"/>
      <w:marLeft w:val="0"/>
      <w:marRight w:val="0"/>
      <w:marTop w:val="0"/>
      <w:marBottom w:val="0"/>
      <w:divBdr>
        <w:top w:val="none" w:sz="0" w:space="0" w:color="auto"/>
        <w:left w:val="none" w:sz="0" w:space="0" w:color="auto"/>
        <w:bottom w:val="none" w:sz="0" w:space="0" w:color="auto"/>
        <w:right w:val="none" w:sz="0" w:space="0" w:color="auto"/>
      </w:divBdr>
    </w:div>
    <w:div w:id="1288122970">
      <w:bodyDiv w:val="1"/>
      <w:marLeft w:val="0"/>
      <w:marRight w:val="0"/>
      <w:marTop w:val="0"/>
      <w:marBottom w:val="0"/>
      <w:divBdr>
        <w:top w:val="none" w:sz="0" w:space="0" w:color="auto"/>
        <w:left w:val="none" w:sz="0" w:space="0" w:color="auto"/>
        <w:bottom w:val="none" w:sz="0" w:space="0" w:color="auto"/>
        <w:right w:val="none" w:sz="0" w:space="0" w:color="auto"/>
      </w:divBdr>
    </w:div>
    <w:div w:id="19799192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europol.europa.eu/content/global-action-against-dark-markets-tor-network" TargetMode="External"/><Relationship Id="rId13" Type="http://schemas.openxmlformats.org/officeDocument/2006/relationships/hyperlink" Target="https://www.cepol.europa.eu/fr" TargetMode="External"/><Relationship Id="rId18" Type="http://schemas.openxmlformats.org/officeDocument/2006/relationships/hyperlink" Target="https://en.wikipedia.org/wiki/Regional_organization" TargetMode="External"/><Relationship Id="rId3" Type="http://schemas.openxmlformats.org/officeDocument/2006/relationships/hyperlink" Target="http://europa.eu/rapid/press-release_IP-15-6110_fr.htm" TargetMode="External"/><Relationship Id="rId21" Type="http://schemas.openxmlformats.org/officeDocument/2006/relationships/hyperlink" Target="https://en.wikipedia.org/wiki/Horn_of_Africa" TargetMode="External"/><Relationship Id="rId7" Type="http://schemas.openxmlformats.org/officeDocument/2006/relationships/hyperlink" Target="http://ec.europa.eu/transparency/regexpert/index.cfm?do=groupDetail.groupDetail&amp;groupID=3245&amp;Lang=FR" TargetMode="External"/><Relationship Id="rId12" Type="http://schemas.openxmlformats.org/officeDocument/2006/relationships/hyperlink" Target="http://www.smallarmsstandards.org/" TargetMode="External"/><Relationship Id="rId17" Type="http://schemas.openxmlformats.org/officeDocument/2006/relationships/hyperlink" Target="http://www.un.org/disarmament/content" TargetMode="External"/><Relationship Id="rId2" Type="http://schemas.openxmlformats.org/officeDocument/2006/relationships/hyperlink" Target="http://www.consilium.europa.eu/fr/press/press-releases/2015/10/08-jha-fighting-trafficking-firearms/" TargetMode="External"/><Relationship Id="rId16" Type="http://schemas.openxmlformats.org/officeDocument/2006/relationships/hyperlink" Target="http://www.seesac.org/news.php?id=495" TargetMode="External"/><Relationship Id="rId20" Type="http://schemas.openxmlformats.org/officeDocument/2006/relationships/hyperlink" Target="https://en.wikipedia.org/wiki/North_Africa" TargetMode="External"/><Relationship Id="rId1" Type="http://schemas.openxmlformats.org/officeDocument/2006/relationships/hyperlink" Target="http://ec.europa.eu/dgs/home-affairs/e-library/documents/basic-documents/docs/eu_agenda_on_security_fr.pdf" TargetMode="External"/><Relationship Id="rId6" Type="http://schemas.openxmlformats.org/officeDocument/2006/relationships/hyperlink" Target="http://ec.europa.eu/research/fp7/index_fr.cfm" TargetMode="External"/><Relationship Id="rId11" Type="http://schemas.openxmlformats.org/officeDocument/2006/relationships/hyperlink" Target="http://www.consilium.europa.eu/uedocs/cms_data/docs/pressdata/en/jha/114017.pdf" TargetMode="External"/><Relationship Id="rId24" Type="http://schemas.openxmlformats.org/officeDocument/2006/relationships/hyperlink" Target="http://www.eeas.europa.eu/csdp/about-csdp/european-security-strategy/index_fr.htm" TargetMode="External"/><Relationship Id="rId5" Type="http://schemas.openxmlformats.org/officeDocument/2006/relationships/hyperlink" Target="http://ec.europa.eu/programmes/horizon2020/" TargetMode="External"/><Relationship Id="rId15" Type="http://schemas.openxmlformats.org/officeDocument/2006/relationships/hyperlink" Target="http://www.conflictarm.com/itrace/" TargetMode="External"/><Relationship Id="rId23" Type="http://schemas.openxmlformats.org/officeDocument/2006/relationships/hyperlink" Target="http://eeas.europa.eu/non-proliferation-and-disarmament/conventional_weapons/salw/index_en.htm" TargetMode="External"/><Relationship Id="rId10" Type="http://schemas.openxmlformats.org/officeDocument/2006/relationships/hyperlink" Target="http://eur-lex.europa.eu/legal-content/FR/TXT/?uri=celex:52015DC0192" TargetMode="External"/><Relationship Id="rId19" Type="http://schemas.openxmlformats.org/officeDocument/2006/relationships/hyperlink" Target="https://en.wikipedia.org/wiki/Arab_world" TargetMode="External"/><Relationship Id="rId4" Type="http://schemas.openxmlformats.org/officeDocument/2006/relationships/hyperlink" Target="http://www.consilium.europa.eu/fr/documents-publications/publications/2015/eu-policy-cycle-tackle-organized-crime/" TargetMode="External"/><Relationship Id="rId9" Type="http://schemas.openxmlformats.org/officeDocument/2006/relationships/hyperlink" Target="https://www.europol.europa.eu/content/cybercriminal-darkode-forum-taken-down-through-global-action" TargetMode="External"/><Relationship Id="rId14" Type="http://schemas.openxmlformats.org/officeDocument/2006/relationships/hyperlink" Target="http://www.interpol.int/fr/Crime-areas/Firearms/INTERPOL-Illicit-Arms-Records-and-tracing-Management-System-iARMS" TargetMode="External"/><Relationship Id="rId22" Type="http://schemas.openxmlformats.org/officeDocument/2006/relationships/hyperlink" Target="https://en.wikipedia.org/wiki/Arab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5BFBE-EA97-4BCF-B03D-23E1B59A73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6162</Words>
  <Characters>34415</Characters>
  <Application>Microsoft Office Word</Application>
  <DocSecurity>0</DocSecurity>
  <PresentationFormat>Microsoft Word 14.0</PresentationFormat>
  <Lines>1811</Lines>
  <Paragraphs>654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39923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2015-11-30T11:18:00Z</dcterms:created>
  <dcterms:modified xsi:type="dcterms:W3CDTF">2015-12-22T09:33:00Z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