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5A0075616DB4E7F841CBDD4931DE372" style="width:450.8pt;height:321.3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pStyle w:val="Heading1"/>
        <w:ind w:left="482" w:hanging="482"/>
        <w:rPr>
          <w:noProof/>
        </w:rPr>
      </w:pPr>
      <w:bookmarkStart w:id="1" w:name="_GoBack"/>
      <w:bookmarkEnd w:id="1"/>
      <w:r>
        <w:rPr>
          <w:noProof/>
        </w:rPr>
        <w:lastRenderedPageBreak/>
        <w:t xml:space="preserve">INTRODUCERE </w:t>
      </w:r>
    </w:p>
    <w:p>
      <w:pPr>
        <w:spacing w:before="240"/>
        <w:jc w:val="both"/>
        <w:rPr>
          <w:noProof/>
        </w:rPr>
      </w:pPr>
      <w:r>
        <w:rPr>
          <w:noProof/>
        </w:rPr>
        <w:t>Agenda europeană privind securitatea, adoptată de Comisie la 28 aprilie 2015</w:t>
      </w:r>
      <w:r>
        <w:rPr>
          <w:rStyle w:val="FootnoteReference"/>
          <w:noProof/>
        </w:rPr>
        <w:footnoteReference w:id="1"/>
      </w:r>
      <w:r>
        <w:rPr>
          <w:noProof/>
        </w:rPr>
        <w:t>, a identificat necesitatea de a consolida cadrul juridic privind armele de foc și combaterea traficului ilegal. De asemenea, aceasta a evidențiat necesitatea de a restricționa accesul la și utilizarea de substanțe periculoase, cum ar fi explozivii, de către rețelele teroriste.</w:t>
      </w:r>
    </w:p>
    <w:p>
      <w:pPr>
        <w:spacing w:before="240"/>
        <w:jc w:val="both"/>
        <w:rPr>
          <w:noProof/>
        </w:rPr>
      </w:pPr>
      <w:r>
        <w:rPr>
          <w:noProof/>
        </w:rPr>
        <w:t>Pornind de la Agenda europeană privind securitatea, la 8 octombrie 2015, Consiliul a invitat statele membre, Comisia, Europol și Interpol să consolideze utilizarea mijloacelor de combatere a traficului de arme de foc</w:t>
      </w:r>
      <w:r>
        <w:rPr>
          <w:rStyle w:val="FootnoteReference"/>
          <w:noProof/>
        </w:rPr>
        <w:footnoteReference w:id="2"/>
      </w:r>
      <w:r>
        <w:rPr>
          <w:noProof/>
        </w:rPr>
        <w:t>.</w:t>
      </w:r>
    </w:p>
    <w:p>
      <w:pPr>
        <w:spacing w:before="240"/>
        <w:jc w:val="both"/>
        <w:rPr>
          <w:noProof/>
        </w:rPr>
      </w:pPr>
      <w:r>
        <w:rPr>
          <w:noProof/>
        </w:rPr>
        <w:t xml:space="preserve">Traficul ilegal de arme de foc face parte din activitatea principală a grupurilor de criminalitate organizată. Alături de alte forme de trafic, cum ar fi drogurile, aceasta reprezintă o sursă majoră de venituri. Armele de foc influențează alte forme de criminalitate și sunt utilizate pentru comiterea de acte de intimidare, coerciție și violență de către bandele de infractori. Dincolo de criminalitatea organizată, atacurile teroriste abominabile din ultimul an au demonstrat nevoia imperativă de blocare a accesului la arme de foc și explozivi. Atacurile de la Paris și Copenhaga, precum și tentativa de atac de la bordul unui tren Thalys, au subliniat faptul că rețelele teroriste au acces la arme și explozivi prin intermediul rețelelor de criminalitate organizată și al pieței negre. </w:t>
      </w:r>
    </w:p>
    <w:p>
      <w:pPr>
        <w:spacing w:before="240"/>
        <w:jc w:val="both"/>
        <w:rPr>
          <w:noProof/>
        </w:rPr>
      </w:pPr>
      <w:r>
        <w:rPr>
          <w:noProof/>
        </w:rPr>
        <w:t xml:space="preserve">În acest context, este esențial ca UE și, în special, statele membre, să-și intensifice eforturile de combatere a amenințării grave reprezentate de traficul ilegal de arme de foc și de utilizarea explozivilor pentru securitatea internă a Uniunii. </w:t>
      </w:r>
    </w:p>
    <w:p>
      <w:pPr>
        <w:spacing w:before="240"/>
        <w:jc w:val="both"/>
        <w:rPr>
          <w:noProof/>
        </w:rPr>
      </w:pPr>
      <w:r>
        <w:rPr>
          <w:noProof/>
        </w:rPr>
        <w:t xml:space="preserve">La 18 noiembrie 2015, Comisia a adoptat un pachet de </w:t>
      </w:r>
      <w:r>
        <w:rPr>
          <w:b/>
          <w:noProof/>
        </w:rPr>
        <w:t>măsuri legislative</w:t>
      </w:r>
      <w:r>
        <w:rPr>
          <w:noProof/>
        </w:rPr>
        <w:t xml:space="preserve"> pentru consolidarea controlului armelor de foc în Uniunea Europeană</w:t>
      </w:r>
      <w:r>
        <w:rPr>
          <w:rStyle w:val="FootnoteReference"/>
          <w:noProof/>
        </w:rPr>
        <w:footnoteReference w:id="3"/>
      </w:r>
      <w:r>
        <w:rPr>
          <w:noProof/>
        </w:rPr>
        <w:t xml:space="preserve">. Următorul pas trebuie să fie îmbunătățirea </w:t>
      </w:r>
      <w:r>
        <w:rPr>
          <w:b/>
          <w:noProof/>
        </w:rPr>
        <w:t>cooperării operaționale</w:t>
      </w:r>
      <w:r>
        <w:rPr>
          <w:noProof/>
        </w:rPr>
        <w:t xml:space="preserve"> la nivelul UE între statele membre și cu țările terțe. </w:t>
      </w:r>
    </w:p>
    <w:p>
      <w:pPr>
        <w:spacing w:before="240"/>
        <w:jc w:val="both"/>
        <w:rPr>
          <w:noProof/>
        </w:rPr>
      </w:pPr>
      <w:r>
        <w:rPr>
          <w:noProof/>
        </w:rPr>
        <w:t>Prezenta comunicare stabilește o serie de acțiuni specifice necesare pentru a pune în aplicare Agenda europeană privind securitatea în domeniul traficului de arme de foc și explozivi, contând, de asemenea, pe Planul de acțiune operațional pentru 2016</w:t>
      </w:r>
      <w:r>
        <w:rPr>
          <w:rStyle w:val="FootnoteReference"/>
          <w:noProof/>
        </w:rPr>
        <w:footnoteReference w:id="4"/>
      </w:r>
      <w:r>
        <w:rPr>
          <w:noProof/>
        </w:rPr>
        <w:t xml:space="preserve"> în cadrul Ciclului de politici ale UE</w:t>
      </w:r>
      <w:r>
        <w:rPr>
          <w:rStyle w:val="FootnoteReference"/>
          <w:noProof/>
        </w:rPr>
        <w:footnoteReference w:id="5"/>
      </w:r>
      <w:r>
        <w:rPr>
          <w:noProof/>
        </w:rPr>
        <w:t>.</w:t>
      </w:r>
    </w:p>
    <w:p>
      <w:pPr>
        <w:pStyle w:val="Heading1"/>
        <w:ind w:left="482" w:hanging="482"/>
        <w:rPr>
          <w:b w:val="0"/>
          <w:bCs/>
          <w:caps/>
          <w:noProof/>
        </w:rPr>
      </w:pPr>
      <w:r>
        <w:rPr>
          <w:caps/>
          <w:noProof/>
        </w:rPr>
        <w:t>Restricționarea accesului la arme de foc și explozivi de proveniență ilegală</w:t>
      </w:r>
    </w:p>
    <w:p>
      <w:pPr>
        <w:spacing w:before="240"/>
        <w:jc w:val="both"/>
        <w:rPr>
          <w:noProof/>
        </w:rPr>
      </w:pPr>
      <w:r>
        <w:rPr>
          <w:noProof/>
        </w:rPr>
        <w:t>În ciuda legislației existente la nivelul UE, armele de foc, explozivii și precursorii de explozivi</w:t>
      </w:r>
      <w:r>
        <w:rPr>
          <w:rStyle w:val="FootnoteReference"/>
          <w:noProof/>
        </w:rPr>
        <w:footnoteReference w:id="6"/>
      </w:r>
      <w:r>
        <w:rPr>
          <w:noProof/>
        </w:rPr>
        <w:t xml:space="preserve"> rămân încă prea ușor accesibile. Accesul prin canale ilegale a fost complicat de disponibilitatea armelor pe internet. Este necesară o abordare cuprinzătoare care să vină în sprijinul reprimării traficului și utilizării ilegale a armelor de foc și explozivilor, apărând în același timp comerțul legal cu arme de foc și utilizarea legitimă a substanțelor chimice.</w:t>
      </w:r>
    </w:p>
    <w:p>
      <w:pPr>
        <w:keepNext/>
        <w:spacing w:before="240"/>
        <w:jc w:val="both"/>
        <w:rPr>
          <w:b/>
          <w:i/>
          <w:noProof/>
        </w:rPr>
      </w:pPr>
      <w:r>
        <w:rPr>
          <w:b/>
          <w:i/>
          <w:noProof/>
        </w:rPr>
        <w:t>Obținerea unei mai bune imagini de ansamblu pe baza informațiilor disponibile</w:t>
      </w:r>
    </w:p>
    <w:p>
      <w:pPr>
        <w:spacing w:before="240"/>
        <w:jc w:val="both"/>
        <w:rPr>
          <w:noProof/>
        </w:rPr>
      </w:pPr>
      <w:r>
        <w:rPr>
          <w:noProof/>
        </w:rPr>
        <w:t xml:space="preserve">Pentru a spori și accelera aplicarea unei legi eficiente ca răspuns la aceste amenințări, este esențial să se obțină o mai bună imagine de ansamblu a informațiilor privind traficul de arme de foc și utilizarea de explozivi, precum și privind deturnarea de la piețele legale, și să se îmbunătățească instrumentele analitice și statistice existente </w:t>
      </w:r>
      <w:r>
        <w:rPr>
          <w:b/>
          <w:noProof/>
        </w:rPr>
        <w:t>la nivelul UE și la nivel național</w:t>
      </w:r>
      <w:r>
        <w:rPr>
          <w:noProof/>
        </w:rPr>
        <w:t>.</w:t>
      </w:r>
    </w:p>
    <w:p>
      <w:pPr>
        <w:spacing w:before="240"/>
        <w:jc w:val="both"/>
        <w:rPr>
          <w:noProof/>
        </w:rPr>
      </w:pPr>
      <w:r>
        <w:rPr>
          <w:noProof/>
        </w:rPr>
        <w:t>În acest scop, toate părțile interesate relevante ar trebui să ia următoarele măsuri suplimentare:</w:t>
      </w:r>
    </w:p>
    <w:p>
      <w:pPr>
        <w:pStyle w:val="ListParagraph"/>
        <w:tabs>
          <w:tab w:val="left" w:pos="709"/>
        </w:tabs>
        <w:spacing w:before="120"/>
        <w:ind w:left="721" w:hanging="437"/>
        <w:contextualSpacing w:val="0"/>
        <w:jc w:val="both"/>
        <w:rPr>
          <w:noProof/>
        </w:rPr>
      </w:pPr>
      <w:r>
        <w:rPr>
          <w:noProof/>
        </w:rPr>
        <w:t>1.</w:t>
      </w:r>
      <w:r>
        <w:rPr>
          <w:noProof/>
        </w:rPr>
        <w:tab/>
        <w:t xml:space="preserve">Comisia invită toate statele membre să creeze </w:t>
      </w:r>
      <w:r>
        <w:rPr>
          <w:b/>
          <w:noProof/>
        </w:rPr>
        <w:t>puncte focale naționale</w:t>
      </w:r>
      <w:r>
        <w:rPr>
          <w:noProof/>
        </w:rPr>
        <w:t xml:space="preserve"> privind armele de foc interconectate pentru a dezvolta expertiza și a îmbunătăți analiza și raportarea strategică privind traficul ilegal de arme de foc, în special prin utilizarea combinată atât a informațiilor balistice cât și a celor penale</w:t>
      </w:r>
      <w:r>
        <w:rPr>
          <w:noProof/>
          <w:vertAlign w:val="superscript"/>
        </w:rPr>
        <w:footnoteReference w:id="7"/>
      </w:r>
      <w:r>
        <w:rPr>
          <w:noProof/>
        </w:rPr>
        <w:t>.</w:t>
      </w:r>
    </w:p>
    <w:p>
      <w:pPr>
        <w:pStyle w:val="ListParagraph"/>
        <w:tabs>
          <w:tab w:val="left" w:pos="709"/>
        </w:tabs>
        <w:spacing w:before="120"/>
        <w:ind w:left="721" w:hanging="437"/>
        <w:contextualSpacing w:val="0"/>
        <w:jc w:val="both"/>
        <w:rPr>
          <w:noProof/>
        </w:rPr>
      </w:pPr>
      <w:r>
        <w:rPr>
          <w:noProof/>
        </w:rPr>
        <w:t>2.</w:t>
      </w:r>
      <w:r>
        <w:rPr>
          <w:noProof/>
        </w:rPr>
        <w:tab/>
        <w:t xml:space="preserve">Întrucât rețelele de traficanți să extind dincolo de granițele Europei, Comisia va colabora cu Biroul Națiunilor Unite pentru Droguri și Criminalitate (UNODC), esențial pentru elaborarea unei colecții de date armonizate la nivel internațional, </w:t>
      </w:r>
      <w:r>
        <w:rPr>
          <w:b/>
          <w:noProof/>
        </w:rPr>
        <w:t>pentru a identifica filierele mondiale ale traficului de arme de foc</w:t>
      </w:r>
      <w:r>
        <w:rPr>
          <w:noProof/>
        </w:rPr>
        <w:t xml:space="preserve"> destinate UE și a le pune în mod regulat la dispoziția tuturor autorităților de aplicare a legii din statele membre.</w:t>
      </w:r>
    </w:p>
    <w:p>
      <w:pPr>
        <w:pStyle w:val="ListParagraph"/>
        <w:tabs>
          <w:tab w:val="left" w:pos="709"/>
        </w:tabs>
        <w:spacing w:before="120"/>
        <w:ind w:left="721" w:hanging="437"/>
        <w:contextualSpacing w:val="0"/>
        <w:jc w:val="both"/>
        <w:rPr>
          <w:noProof/>
        </w:rPr>
      </w:pPr>
      <w:r>
        <w:rPr>
          <w:noProof/>
        </w:rPr>
        <w:t>3.</w:t>
      </w:r>
      <w:r>
        <w:rPr>
          <w:noProof/>
        </w:rPr>
        <w:tab/>
        <w:t xml:space="preserve">În conformitate cu Planul de acțiune operațional pentru 2016, </w:t>
      </w:r>
      <w:r>
        <w:rPr>
          <w:b/>
          <w:noProof/>
        </w:rPr>
        <w:t>Europol</w:t>
      </w:r>
      <w:r>
        <w:rPr>
          <w:noProof/>
        </w:rPr>
        <w:t xml:space="preserve"> ar trebui să consolideze acțiunile sale referitoare la </w:t>
      </w:r>
      <w:r>
        <w:rPr>
          <w:b/>
          <w:noProof/>
        </w:rPr>
        <w:t>activitățile de trafic online</w:t>
      </w:r>
      <w:r>
        <w:rPr>
          <w:rStyle w:val="FootnoteReference"/>
          <w:noProof/>
        </w:rPr>
        <w:footnoteReference w:id="8"/>
      </w:r>
      <w:r>
        <w:rPr>
          <w:noProof/>
        </w:rPr>
        <w:t xml:space="preserve"> și deturnarea comerțului legal, utilizând, de asemenea, </w:t>
      </w:r>
      <w:r>
        <w:rPr>
          <w:b/>
          <w:noProof/>
        </w:rPr>
        <w:t>unitatea sa pentru sesizări referitoare la internet</w:t>
      </w:r>
      <w:r>
        <w:rPr>
          <w:rStyle w:val="FootnoteReference"/>
          <w:noProof/>
        </w:rPr>
        <w:footnoteReference w:id="9"/>
      </w:r>
      <w:r>
        <w:rPr>
          <w:noProof/>
        </w:rPr>
        <w:t xml:space="preserve"> (EU IRU) pentru a monitoriza eventual sursele ilegale de arme de foc, explozivi și precursori de explozivi.</w:t>
      </w:r>
    </w:p>
    <w:p>
      <w:pPr>
        <w:pStyle w:val="ListParagraph"/>
        <w:tabs>
          <w:tab w:val="left" w:pos="709"/>
        </w:tabs>
        <w:spacing w:before="120"/>
        <w:ind w:left="721" w:hanging="437"/>
        <w:contextualSpacing w:val="0"/>
        <w:jc w:val="both"/>
        <w:rPr>
          <w:noProof/>
        </w:rPr>
      </w:pPr>
      <w:r>
        <w:rPr>
          <w:noProof/>
        </w:rPr>
        <w:t>4.</w:t>
      </w:r>
      <w:r>
        <w:rPr>
          <w:noProof/>
        </w:rPr>
        <w:tab/>
        <w:t>Pe baza evaluărilor realizate de părțile interesate</w:t>
      </w:r>
      <w:r>
        <w:rPr>
          <w:rStyle w:val="FootnoteReference"/>
          <w:noProof/>
        </w:rPr>
        <w:footnoteReference w:id="10"/>
      </w:r>
      <w:r>
        <w:rPr>
          <w:noProof/>
        </w:rPr>
        <w:t xml:space="preserve">, Europol va continua să îmbunătățească colectarea de informații și date referitoare la armele de foc, inclusiv activitățile traficanților, armele confiscate și furate precum și modurile de operare, pentru a produce din timp </w:t>
      </w:r>
      <w:r>
        <w:rPr>
          <w:b/>
          <w:noProof/>
        </w:rPr>
        <w:t>materiale informative/notificări de avertizare timpurii</w:t>
      </w:r>
      <w:r>
        <w:rPr>
          <w:noProof/>
        </w:rPr>
        <w:t xml:space="preserve"> și o </w:t>
      </w:r>
      <w:r>
        <w:rPr>
          <w:b/>
          <w:noProof/>
        </w:rPr>
        <w:t>evaluare a amenințării</w:t>
      </w:r>
      <w:r>
        <w:rPr>
          <w:noProof/>
        </w:rPr>
        <w:t xml:space="preserve"> actualizată care să acopere, printre altele, târgurile comerciale de arme de foc</w:t>
      </w:r>
      <w:r>
        <w:rPr>
          <w:rStyle w:val="FootnoteReference"/>
          <w:noProof/>
        </w:rPr>
        <w:footnoteReference w:id="11"/>
      </w:r>
      <w:r>
        <w:rPr>
          <w:noProof/>
        </w:rPr>
        <w:t xml:space="preserve"> și întreprinderile de curierat rapid din UE. Europol va pune aceste documente la dispoziția autorităților naționale de aplicare a legii din toate statele membre.</w:t>
      </w:r>
    </w:p>
    <w:p>
      <w:pPr>
        <w:pStyle w:val="ListParagraph"/>
        <w:tabs>
          <w:tab w:val="left" w:pos="709"/>
        </w:tabs>
        <w:spacing w:before="120"/>
        <w:ind w:left="721" w:hanging="437"/>
        <w:contextualSpacing w:val="0"/>
        <w:jc w:val="both"/>
        <w:rPr>
          <w:noProof/>
        </w:rPr>
      </w:pPr>
      <w:r>
        <w:rPr>
          <w:noProof/>
        </w:rPr>
        <w:t>5.</w:t>
      </w:r>
      <w:r>
        <w:rPr>
          <w:noProof/>
        </w:rPr>
        <w:tab/>
        <w:t xml:space="preserve">Comisia va continua să furnizeze </w:t>
      </w:r>
      <w:r>
        <w:rPr>
          <w:b/>
          <w:noProof/>
        </w:rPr>
        <w:t>asistență financiară</w:t>
      </w:r>
      <w:r>
        <w:rPr>
          <w:noProof/>
        </w:rPr>
        <w:t>, cu accent pe proiectele având un domeniu de aplicare cuprinzător și un puternic impact de colectare a datelor</w:t>
      </w:r>
      <w:r>
        <w:rPr>
          <w:rStyle w:val="FootnoteReference"/>
          <w:noProof/>
        </w:rPr>
        <w:footnoteReference w:id="12"/>
      </w:r>
      <w:r>
        <w:rPr>
          <w:noProof/>
        </w:rPr>
        <w:t xml:space="preserve">. </w:t>
      </w:r>
    </w:p>
    <w:p>
      <w:pPr>
        <w:spacing w:before="240"/>
        <w:jc w:val="both"/>
        <w:rPr>
          <w:b/>
          <w:bCs/>
          <w:i/>
          <w:noProof/>
        </w:rPr>
      </w:pPr>
      <w:r>
        <w:rPr>
          <w:b/>
          <w:i/>
          <w:noProof/>
        </w:rPr>
        <w:t>Pregătirea pentru noi amenințări și riscuri</w:t>
      </w:r>
    </w:p>
    <w:p>
      <w:pPr>
        <w:spacing w:before="240"/>
        <w:jc w:val="both"/>
        <w:rPr>
          <w:noProof/>
        </w:rPr>
      </w:pPr>
      <w:r>
        <w:rPr>
          <w:noProof/>
        </w:rPr>
        <w:t>Este cunoscut faptul că organizațiile criminale și rețelele teroriste evoluează rapid și profită la maximum de inovațiile tehnologice</w:t>
      </w:r>
      <w:r>
        <w:rPr>
          <w:rStyle w:val="FootnoteReference"/>
          <w:noProof/>
        </w:rPr>
        <w:footnoteReference w:id="13"/>
      </w:r>
      <w:r>
        <w:rPr>
          <w:noProof/>
        </w:rPr>
        <w:t xml:space="preserve">. Prin urmare, Comisia va colabora cu industria armelor de foc și industria chimică, agențiile naționale de aplicare a legii relevante și Europol pentru a evalua </w:t>
      </w:r>
      <w:r>
        <w:rPr>
          <w:b/>
          <w:noProof/>
        </w:rPr>
        <w:t>impactul progreselor tehnologice</w:t>
      </w:r>
      <w:r>
        <w:rPr>
          <w:noProof/>
        </w:rPr>
        <w:t xml:space="preserve"> asupra disponibilității potențiale a armelor de foc și explozivilor și a evalua posibilele lacune în materie de securitate.</w:t>
      </w:r>
    </w:p>
    <w:p>
      <w:pPr>
        <w:spacing w:before="240"/>
        <w:jc w:val="both"/>
        <w:rPr>
          <w:rFonts w:eastAsia="Times New Roman"/>
          <w:noProof/>
        </w:rPr>
      </w:pPr>
      <w:r>
        <w:rPr>
          <w:noProof/>
        </w:rPr>
        <w:t xml:space="preserve">În același timp, ar trebui consolidată capacitatea de a reacționa rapid la noile amenințări (de exemplu, imprimarea tridimensională). La granița externă a UE, autoritățile vamale – în cooperare cu alte autorități de aplicare a legii și pe baza informațiilor colectate de la Europol și a altor sisteme de analiză de date – vor perfecționa criteriile comune actuale pentru gestionarea riscurilor vamale pentru a îmbunătăți capacitatea de vizare a traficului ilegal de arme și arme de foc. </w:t>
      </w:r>
    </w:p>
    <w:p>
      <w:pPr>
        <w:spacing w:before="240"/>
        <w:jc w:val="both"/>
        <w:rPr>
          <w:rFonts w:eastAsia="Times New Roman"/>
          <w:b/>
          <w:i/>
          <w:noProof/>
        </w:rPr>
      </w:pPr>
      <w:r>
        <w:rPr>
          <w:b/>
          <w:i/>
          <w:noProof/>
        </w:rPr>
        <w:t>Îmbunătățirea securității explozivilor</w:t>
      </w:r>
    </w:p>
    <w:p>
      <w:pPr>
        <w:spacing w:before="240"/>
        <w:jc w:val="both"/>
        <w:rPr>
          <w:iCs/>
          <w:noProof/>
          <w:bdr w:val="none" w:sz="0" w:space="0" w:color="auto"/>
        </w:rPr>
      </w:pPr>
      <w:r>
        <w:rPr>
          <w:noProof/>
        </w:rPr>
        <w:t>Actualul Plan de acțiune al UE privind îmbunătățirea securității explozivilor</w:t>
      </w:r>
      <w:r>
        <w:rPr>
          <w:rStyle w:val="FootnoteReference"/>
          <w:noProof/>
        </w:rPr>
        <w:footnoteReference w:id="14"/>
      </w:r>
      <w:r>
        <w:rPr>
          <w:noProof/>
        </w:rPr>
        <w:t xml:space="preserve"> a fost adoptat de UE în 2008</w:t>
      </w:r>
      <w:r>
        <w:rPr>
          <w:rStyle w:val="FootnoteReference"/>
          <w:noProof/>
        </w:rPr>
        <w:footnoteReference w:id="15"/>
      </w:r>
      <w:r>
        <w:rPr>
          <w:noProof/>
        </w:rPr>
        <w:t>. Majoritatea acțiunilor au fost puse în aplicare prin eforturile comune ale Comisiei, statelor membre ale UE, Europol, institutelor de cercetare și sectorului privat. S-au realizat progrese substanțiale, iar statele membre au subliniat în special valoarea adăugată a acțiunilor de îmbunătățire a schimbului de informații și a schimbului de bune practici, pentru a elabora standarde și proceduri armonizate și a sprijini cercetarea științifică și formarea legate de explozivi.</w:t>
      </w:r>
    </w:p>
    <w:p>
      <w:pPr>
        <w:spacing w:before="240"/>
        <w:jc w:val="both"/>
        <w:rPr>
          <w:noProof/>
        </w:rPr>
      </w:pPr>
      <w:r>
        <w:rPr>
          <w:noProof/>
        </w:rPr>
        <w:t>O realizare esențială a planului de acțiune a fost adoptarea Regulamentului (UE) nr. 98/2013 privind comercializarea și utilizarea precursorilor de explozivi</w:t>
      </w:r>
      <w:r>
        <w:rPr>
          <w:rStyle w:val="FootnoteReference"/>
          <w:noProof/>
        </w:rPr>
        <w:footnoteReference w:id="16"/>
      </w:r>
      <w:r>
        <w:rPr>
          <w:noProof/>
        </w:rPr>
        <w:t xml:space="preserve">. Regulamentul, care a intrat în vigoare la 2 septembrie 2014, poate </w:t>
      </w:r>
      <w:r>
        <w:rPr>
          <w:b/>
          <w:noProof/>
        </w:rPr>
        <w:t>preveni actele teroriste</w:t>
      </w:r>
      <w:r>
        <w:rPr>
          <w:noProof/>
        </w:rPr>
        <w:t xml:space="preserve"> prin suprimarea accesului la ingredientele necesare pentru fabricarea de bombe, precum și prin înlesnirea unor anchete de poliție timpurii privind tranzacțiile suspecte și alte incidente. Prin urmare, este o </w:t>
      </w:r>
      <w:r>
        <w:rPr>
          <w:b/>
          <w:noProof/>
        </w:rPr>
        <w:t>prioritate urgentă asigurarea aplicării sale depline de către statele membre</w:t>
      </w:r>
      <w:r>
        <w:rPr>
          <w:noProof/>
        </w:rPr>
        <w:t>, precum și consolidarea controalelor referitoare la precursori, pe măsură ce amenințările evoluează. Acest obiectiv va fi realizat prin intermediul următoarelor măsuri principale:</w:t>
      </w:r>
    </w:p>
    <w:p>
      <w:pPr>
        <w:pStyle w:val="ListParagraph"/>
        <w:numPr>
          <w:ilvl w:val="0"/>
          <w:numId w:val="40"/>
        </w:numPr>
        <w:tabs>
          <w:tab w:val="left" w:pos="709"/>
        </w:tabs>
        <w:spacing w:before="240"/>
        <w:ind w:left="1003" w:hanging="357"/>
        <w:contextualSpacing w:val="0"/>
        <w:jc w:val="both"/>
        <w:rPr>
          <w:noProof/>
        </w:rPr>
      </w:pPr>
      <w:r>
        <w:rPr>
          <w:noProof/>
        </w:rPr>
        <w:t xml:space="preserve">Comisia va promova măsuri armonizate la nivelul UE, precum și practici de tipul următor: a) schimbul transfrontalier de informații între punctele de contact naționale pentru a garanta că autoritățile responsabile cu aplicarea legii din toate statele membre avute în vedere sunt conștiente de incidentele suspecte, prin utilizarea unei platforme Europol existente, cum ar fi Sistemul european de date privind bombele (EBDS) și b) monitorizarea sistematică și pe scară largă de către autoritățile de aplicare a legii a vânzărilor de precursori pe internet, precum și măsurile suplimentare de restricționare a accesului la acestea. </w:t>
      </w:r>
    </w:p>
    <w:p>
      <w:pPr>
        <w:pStyle w:val="ListParagraph"/>
        <w:numPr>
          <w:ilvl w:val="0"/>
          <w:numId w:val="40"/>
        </w:numPr>
        <w:tabs>
          <w:tab w:val="left" w:pos="709"/>
        </w:tabs>
        <w:spacing w:before="240"/>
        <w:ind w:left="1003" w:hanging="357"/>
        <w:contextualSpacing w:val="0"/>
        <w:jc w:val="both"/>
        <w:rPr>
          <w:noProof/>
        </w:rPr>
      </w:pPr>
      <w:r>
        <w:rPr>
          <w:noProof/>
        </w:rPr>
        <w:t>De asemenea, Comisia va continua să își dezvolte relațiile cu lanțul de aprovizionare cu precursori</w:t>
      </w:r>
      <w:r>
        <w:rPr>
          <w:rStyle w:val="FootnoteReference"/>
          <w:noProof/>
        </w:rPr>
        <w:footnoteReference w:id="17"/>
      </w:r>
      <w:r>
        <w:rPr>
          <w:noProof/>
        </w:rPr>
        <w:t xml:space="preserve"> prin producerea și promovarea de materiale de orientare care oferă consultanță privind bunele practici industriei chimice, sectorului comerțului cu amănuntul și altor sectoare relevante. </w:t>
      </w:r>
    </w:p>
    <w:p>
      <w:pPr>
        <w:pStyle w:val="ListParagraph"/>
        <w:numPr>
          <w:ilvl w:val="0"/>
          <w:numId w:val="40"/>
        </w:numPr>
        <w:tabs>
          <w:tab w:val="left" w:pos="709"/>
        </w:tabs>
        <w:spacing w:before="240"/>
        <w:ind w:left="1003" w:hanging="357"/>
        <w:contextualSpacing w:val="0"/>
        <w:jc w:val="both"/>
        <w:rPr>
          <w:rFonts w:eastAsia="Times New Roman"/>
          <w:noProof/>
        </w:rPr>
      </w:pPr>
      <w:r>
        <w:rPr>
          <w:noProof/>
        </w:rPr>
        <w:t xml:space="preserve">Comisia va accelera lucrările în vederea prezentării revizuirii regulamentului în 2016 și va analiza necesitatea unor măsuri mai stricte, printre care includerea de noi  substanțe care reprezintă o amenințare; extinderea domeniului de aplicare pentru a acoperi utilizatorii profesionali; solicitarea de declarații privind tranzacțiile de la utilizatorii finali și înregistrarea producătorilor, vânzătorilor cu amănuntul și a importatorilor; limitarea și controlul exporturilor; sporirea restricțiilor privind vânzările online și terminalele de plată de tip </w:t>
      </w:r>
      <w:r>
        <w:rPr>
          <w:i/>
          <w:noProof/>
        </w:rPr>
        <w:t>self-checkout</w:t>
      </w:r>
      <w:r>
        <w:rPr>
          <w:noProof/>
        </w:rPr>
        <w:t>; și stabilirea unui rol pentru autoritățile vamale</w:t>
      </w:r>
      <w:r>
        <w:rPr>
          <w:rStyle w:val="FootnoteReference"/>
          <w:noProof/>
        </w:rPr>
        <w:footnoteReference w:id="18"/>
      </w:r>
      <w:r>
        <w:rPr>
          <w:noProof/>
        </w:rPr>
        <w:t xml:space="preserve">. </w:t>
      </w:r>
    </w:p>
    <w:p>
      <w:pPr>
        <w:spacing w:before="240"/>
        <w:jc w:val="both"/>
        <w:rPr>
          <w:noProof/>
        </w:rPr>
      </w:pPr>
      <w:r>
        <w:rPr>
          <w:noProof/>
        </w:rPr>
        <w:t>Verificarea corespunzătoare a personalului este esențială pentru a preveni deturnarea, utilizarea abuzivă sau accesul ilegal la substanțe chimice periculoase</w:t>
      </w:r>
      <w:r>
        <w:rPr>
          <w:rStyle w:val="FootnoteReference"/>
          <w:noProof/>
        </w:rPr>
        <w:footnoteReference w:id="19"/>
      </w:r>
      <w:r>
        <w:rPr>
          <w:noProof/>
        </w:rPr>
        <w:t>. În statele membre ale UE, nu există standarde și proceduri de verificare comune minime pentru recrutarea și formarea personalului implicat în lanțul de aprovizionare cu explozivi și în alte sectoare sensibile din punctul de vedere al securității</w:t>
      </w:r>
      <w:r>
        <w:rPr>
          <w:rStyle w:val="FootnoteReference"/>
          <w:noProof/>
        </w:rPr>
        <w:footnoteReference w:id="20"/>
      </w:r>
      <w:r>
        <w:rPr>
          <w:noProof/>
        </w:rPr>
        <w:t>, iar Comisia va analiza dacă este necesară o acțiune a UE.</w:t>
      </w:r>
    </w:p>
    <w:p>
      <w:pPr>
        <w:jc w:val="both"/>
        <w:rPr>
          <w:noProof/>
        </w:rPr>
      </w:pPr>
    </w:p>
    <w:tbl>
      <w:tblPr>
        <w:tblStyle w:val="TableGrid"/>
        <w:tblW w:w="0" w:type="auto"/>
        <w:tblLook w:val="04A0" w:firstRow="1" w:lastRow="0" w:firstColumn="1" w:lastColumn="0" w:noHBand="0" w:noVBand="1"/>
      </w:tblPr>
      <w:tblGrid>
        <w:gridCol w:w="9286"/>
      </w:tblGrid>
      <w:tr>
        <w:trPr>
          <w:trHeight w:val="4676"/>
        </w:trPr>
        <w:tc>
          <w:tcPr>
            <w:tcW w:w="9286" w:type="dxa"/>
            <w:vAlign w:val="center"/>
          </w:tcPr>
          <w:p>
            <w:pPr>
              <w:pBdr>
                <w:top w:val="none" w:sz="0" w:space="0" w:color="auto"/>
                <w:left w:val="none" w:sz="0" w:space="0" w:color="auto"/>
                <w:bottom w:val="none" w:sz="0" w:space="0" w:color="auto"/>
                <w:right w:val="none" w:sz="0" w:space="0" w:color="auto"/>
                <w:between w:val="none" w:sz="0" w:space="0" w:color="auto"/>
                <w:bar w:val="none" w:sz="0" w:color="auto"/>
              </w:pBdr>
              <w:rPr>
                <w:b/>
                <w:bCs/>
                <w:noProof/>
              </w:rPr>
            </w:pPr>
            <w:r>
              <w:rPr>
                <w:b/>
                <w:noProof/>
              </w:rPr>
              <w:t>Acțiuni specifice:</w:t>
            </w:r>
          </w:p>
          <w:p>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bCs/>
                <w:i/>
                <w:iCs/>
                <w:noProof/>
              </w:rPr>
            </w:pPr>
            <w:r>
              <w:rPr>
                <w:rFonts w:ascii="Times New Roman" w:hAnsi="Times New Roman"/>
                <w:i/>
                <w:noProof/>
                <w:sz w:val="24"/>
              </w:rPr>
              <w:t>îmbunătățirea instrumentelor statistice și analitice existente și elaborarea de evaluări la nivel național privind circulația armelor de foc și disponibilitatea acestora, precum și acordarea de prioritate schimbului la nivelul UE;</w:t>
            </w:r>
          </w:p>
          <w:p>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rFonts w:ascii="Times New Roman" w:hAnsi="Times New Roman" w:cs="Times New Roman"/>
                <w:bCs/>
                <w:i/>
                <w:iCs/>
                <w:noProof/>
              </w:rPr>
            </w:pPr>
            <w:r>
              <w:rPr>
                <w:rFonts w:ascii="Times New Roman" w:hAnsi="Times New Roman"/>
                <w:i/>
                <w:noProof/>
                <w:sz w:val="24"/>
              </w:rPr>
              <w:t>Europol urmează să elaboreze produse analitice la nivelul UE și având în vedere puternicele legături cu terorismul, să consolideze rolul de monitorizare al EU IRU;</w:t>
            </w:r>
          </w:p>
          <w:p>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bCs/>
                <w:i/>
                <w:iCs/>
                <w:noProof/>
              </w:rPr>
            </w:pPr>
            <w:r>
              <w:rPr>
                <w:rFonts w:ascii="Times New Roman" w:hAnsi="Times New Roman"/>
                <w:i/>
                <w:noProof/>
                <w:sz w:val="24"/>
              </w:rPr>
              <w:t>cartografierea rutelor mondiale ale traficului de arme de foc către UE de către UNODC;</w:t>
            </w:r>
          </w:p>
          <w:p>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rFonts w:ascii="Times New Roman" w:hAnsi="Times New Roman" w:cs="Times New Roman"/>
                <w:bCs/>
                <w:i/>
                <w:iCs/>
                <w:noProof/>
              </w:rPr>
            </w:pPr>
            <w:r>
              <w:rPr>
                <w:rFonts w:ascii="Times New Roman" w:hAnsi="Times New Roman"/>
                <w:i/>
                <w:noProof/>
                <w:sz w:val="24"/>
              </w:rPr>
              <w:t>colaborarea cu parteneri pentru îmbunătățirea cunoștințelor cu privire la traficul ilegal de arme de foc, care să acopere,</w:t>
            </w:r>
            <w:r>
              <w:rPr>
                <w:rFonts w:ascii="Times New Roman" w:hAnsi="Times New Roman"/>
                <w:noProof/>
                <w:sz w:val="24"/>
              </w:rPr>
              <w:t xml:space="preserve"> </w:t>
            </w:r>
            <w:r>
              <w:rPr>
                <w:rFonts w:ascii="Times New Roman" w:hAnsi="Times New Roman"/>
                <w:i/>
                <w:noProof/>
                <w:sz w:val="24"/>
              </w:rPr>
              <w:t>printre altele, traficul online și deturnarea comerțului legal;</w:t>
            </w:r>
          </w:p>
          <w:p>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rFonts w:ascii="Times New Roman" w:hAnsi="Times New Roman" w:cs="Times New Roman"/>
                <w:bCs/>
                <w:i/>
                <w:iCs/>
                <w:noProof/>
              </w:rPr>
            </w:pPr>
            <w:r>
              <w:rPr>
                <w:rFonts w:ascii="Times New Roman" w:hAnsi="Times New Roman"/>
                <w:i/>
                <w:noProof/>
                <w:sz w:val="24"/>
              </w:rPr>
              <w:t>îmbunătățirea accesului la toate produsele analitice la nivelul UE și la nivel național pentru toate autoritățile de asigurare a respectării legii din statele membre;</w:t>
            </w:r>
          </w:p>
          <w:p>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rFonts w:ascii="Times New Roman" w:hAnsi="Times New Roman" w:cs="Times New Roman"/>
                <w:bCs/>
                <w:i/>
                <w:iCs/>
                <w:noProof/>
              </w:rPr>
            </w:pPr>
            <w:r>
              <w:rPr>
                <w:rFonts w:ascii="Times New Roman" w:hAnsi="Times New Roman"/>
                <w:i/>
                <w:noProof/>
                <w:sz w:val="24"/>
              </w:rPr>
              <w:t>continuarea furnizării de asistență financiară, cu accent pe proiectele având un domeniu de aplicare cuprinzător și un puternic impact de colectare a datelor;</w:t>
            </w:r>
          </w:p>
          <w:p>
            <w:pPr>
              <w:pStyle w:val="Body"/>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rFonts w:ascii="Times New Roman" w:hAnsi="Times New Roman" w:cs="Times New Roman"/>
                <w:bCs/>
                <w:i/>
                <w:iCs/>
                <w:noProof/>
              </w:rPr>
            </w:pPr>
            <w:r>
              <w:rPr>
                <w:rFonts w:ascii="Times New Roman" w:hAnsi="Times New Roman"/>
                <w:i/>
                <w:noProof/>
                <w:sz w:val="24"/>
              </w:rPr>
              <w:t>evaluarea riscurilor care decurg din inovațiile tehnologice, cum ar fi imprimarea tridimensională;</w:t>
            </w:r>
          </w:p>
          <w:p>
            <w:pPr>
              <w:pStyle w:val="ListParagraph"/>
              <w:keepNext/>
              <w:keepLines/>
              <w:numPr>
                <w:ilvl w:val="0"/>
                <w:numId w:val="24"/>
              </w:numPr>
              <w:ind w:left="714" w:hanging="357"/>
              <w:jc w:val="both"/>
              <w:rPr>
                <w:i/>
                <w:noProof/>
              </w:rPr>
            </w:pPr>
            <w:r>
              <w:rPr>
                <w:i/>
                <w:noProof/>
              </w:rPr>
              <w:t>îmbunătățirea securității explozivilor, prin aplicarea deplină a regulamentului privind precursorii de explozivi și revizuirea în 2016 în mod anticipat a regulamentului privind precursorii</w:t>
            </w:r>
            <w:r>
              <w:rPr>
                <w:i/>
                <w:noProof/>
                <w:color w:val="000000"/>
                <w:u w:color="000000"/>
              </w:rPr>
              <w:t>;</w:t>
            </w:r>
          </w:p>
          <w:p>
            <w:pPr>
              <w:pStyle w:val="Body"/>
              <w:keepLines/>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jc w:val="both"/>
              <w:rPr>
                <w:noProof/>
              </w:rPr>
            </w:pPr>
            <w:r>
              <w:rPr>
                <w:rFonts w:ascii="Times New Roman" w:hAnsi="Times New Roman"/>
                <w:i/>
                <w:noProof/>
                <w:sz w:val="24"/>
              </w:rPr>
              <w:t>evaluarea necesității de a armoniza standardele și procedurile de verificare la nivelul UE.</w:t>
            </w:r>
          </w:p>
        </w:tc>
      </w:tr>
    </w:tbl>
    <w:p>
      <w:pPr>
        <w:pStyle w:val="Heading1"/>
        <w:numPr>
          <w:ilvl w:val="0"/>
          <w:numId w:val="0"/>
        </w:numPr>
        <w:ind w:left="482"/>
        <w:rPr>
          <w:noProof/>
        </w:rPr>
      </w:pPr>
    </w:p>
    <w:p>
      <w:pPr>
        <w:pStyle w:val="Heading1"/>
        <w:ind w:left="482" w:hanging="482"/>
        <w:rPr>
          <w:noProof/>
        </w:rPr>
      </w:pPr>
      <w:r>
        <w:rPr>
          <w:noProof/>
        </w:rPr>
        <w:t xml:space="preserve">ÎMBUNĂTĂȚIREA COOPERĂRII OPERAȚIONALE </w:t>
      </w:r>
    </w:p>
    <w:p>
      <w:pPr>
        <w:pStyle w:val="Body"/>
        <w:spacing w:before="240" w:after="0" w:line="240" w:lineRule="auto"/>
        <w:jc w:val="both"/>
        <w:rPr>
          <w:rFonts w:ascii="Times New Roman" w:hAnsi="Times New Roman"/>
          <w:b/>
          <w:noProof/>
          <w:sz w:val="24"/>
          <w:szCs w:val="24"/>
        </w:rPr>
      </w:pPr>
      <w:r>
        <w:rPr>
          <w:rFonts w:ascii="Times New Roman" w:hAnsi="Times New Roman"/>
          <w:noProof/>
          <w:sz w:val="24"/>
        </w:rPr>
        <w:t>Agenda europeană privind securitatea</w:t>
      </w:r>
      <w:r>
        <w:rPr>
          <w:rFonts w:ascii="Times New Roman" w:hAnsi="Times New Roman"/>
          <w:b/>
          <w:noProof/>
          <w:sz w:val="24"/>
        </w:rPr>
        <w:t xml:space="preserve"> </w:t>
      </w:r>
      <w:r>
        <w:rPr>
          <w:rFonts w:ascii="Times New Roman" w:hAnsi="Times New Roman"/>
          <w:noProof/>
          <w:sz w:val="24"/>
        </w:rPr>
        <w:t xml:space="preserve">a subliniat necesitatea urgentă de a </w:t>
      </w:r>
      <w:r>
        <w:rPr>
          <w:rFonts w:ascii="Times New Roman" w:hAnsi="Times New Roman"/>
          <w:b/>
          <w:noProof/>
          <w:sz w:val="24"/>
        </w:rPr>
        <w:t>îmbunătăți cooperarea operațională</w:t>
      </w:r>
      <w:r>
        <w:rPr>
          <w:rFonts w:ascii="Times New Roman" w:hAnsi="Times New Roman"/>
          <w:noProof/>
          <w:sz w:val="24"/>
        </w:rPr>
        <w:t xml:space="preserve"> între autoritățile relevante din statele membre. Prin urmare, este esențial să se utilizeze cunoștințele disponibile și să se ofere o formare adecvată autorităților de aplicare a legii și altor agenții și experți relevanți din statele membre. Autoritățile de aplicare a legii și rețelele de experți ar trebui să fie utilizate la </w:t>
      </w:r>
      <w:r>
        <w:rPr>
          <w:rFonts w:ascii="Times New Roman" w:hAnsi="Times New Roman"/>
          <w:b/>
          <w:noProof/>
          <w:sz w:val="24"/>
        </w:rPr>
        <w:t xml:space="preserve">întregul lor potențial </w:t>
      </w:r>
      <w:r>
        <w:rPr>
          <w:rFonts w:ascii="Times New Roman" w:hAnsi="Times New Roman"/>
          <w:noProof/>
          <w:sz w:val="24"/>
        </w:rPr>
        <w:t>în acest context</w:t>
      </w:r>
      <w:r>
        <w:rPr>
          <w:rFonts w:ascii="Times New Roman" w:hAnsi="Times New Roman"/>
          <w:noProof/>
          <w:color w:val="auto"/>
          <w:sz w:val="24"/>
          <w:vertAlign w:val="superscript"/>
        </w:rPr>
        <w:footnoteReference w:id="21"/>
      </w:r>
      <w:r>
        <w:rPr>
          <w:rFonts w:ascii="Times New Roman" w:hAnsi="Times New Roman"/>
          <w:noProof/>
          <w:sz w:val="24"/>
        </w:rPr>
        <w:t>.</w:t>
      </w:r>
    </w:p>
    <w:p>
      <w:pPr>
        <w:pStyle w:val="Body"/>
        <w:keepNext/>
        <w:spacing w:before="240" w:after="0" w:line="240" w:lineRule="auto"/>
        <w:jc w:val="both"/>
        <w:rPr>
          <w:rFonts w:ascii="Times New Roman" w:hAnsi="Times New Roman"/>
          <w:b/>
          <w:bCs/>
          <w:i/>
          <w:noProof/>
          <w:sz w:val="24"/>
          <w:szCs w:val="24"/>
        </w:rPr>
      </w:pPr>
      <w:r>
        <w:rPr>
          <w:rFonts w:ascii="Times New Roman" w:hAnsi="Times New Roman"/>
          <w:b/>
          <w:i/>
          <w:noProof/>
          <w:sz w:val="24"/>
        </w:rPr>
        <w:t>Sporirea cooperării operaționale transfrontaliere</w:t>
      </w:r>
    </w:p>
    <w:p>
      <w:pPr>
        <w:spacing w:before="240"/>
        <w:jc w:val="both"/>
        <w:rPr>
          <w:noProof/>
        </w:rPr>
      </w:pPr>
      <w:r>
        <w:rPr>
          <w:noProof/>
        </w:rPr>
        <w:t>Planul de acțiune operațional (OAP) privind armele de foc</w:t>
      </w:r>
      <w:r>
        <w:rPr>
          <w:rStyle w:val="FootnoteReference"/>
          <w:noProof/>
        </w:rPr>
        <w:footnoteReference w:id="22"/>
      </w:r>
      <w:r>
        <w:rPr>
          <w:noProof/>
        </w:rPr>
        <w:t xml:space="preserve"> include deja cea mai mare parte a acestor acțiuni. Acestea privesc, </w:t>
      </w:r>
      <w:r>
        <w:rPr>
          <w:i/>
          <w:noProof/>
        </w:rPr>
        <w:t>inter alia</w:t>
      </w:r>
      <w:r>
        <w:rPr>
          <w:noProof/>
        </w:rPr>
        <w:t>, zilele de acțiune comună și</w:t>
      </w:r>
      <w:r>
        <w:rPr>
          <w:i/>
          <w:noProof/>
        </w:rPr>
        <w:t xml:space="preserve"> </w:t>
      </w:r>
      <w:r>
        <w:rPr>
          <w:noProof/>
        </w:rPr>
        <w:t>operațiunile bazate pe informații împotriva traficanților și a elementelor-cheie (de exemplu, sectoarele de activitate legale sau companiile de curierat rapid). Cooperarea judiciară între autoritățile naționale este, de asemenea, esențială pentru combaterea traficului ilegal de arme de foc. Agenția Eurojust a fost implicată în mai multe cazuri importante în ultimii ani, în special în legătură cu alte infracțiuni, cum ar fi traficul de droguri.</w:t>
      </w:r>
    </w:p>
    <w:p>
      <w:pPr>
        <w:pStyle w:val="Body"/>
        <w:spacing w:before="240" w:after="0" w:line="240" w:lineRule="auto"/>
        <w:jc w:val="both"/>
        <w:rPr>
          <w:rFonts w:ascii="Times New Roman" w:eastAsia="Times New Roman" w:hAnsi="Times New Roman" w:cs="Times New Roman"/>
          <w:b/>
          <w:i/>
          <w:iCs/>
          <w:noProof/>
          <w:sz w:val="24"/>
          <w:szCs w:val="24"/>
        </w:rPr>
      </w:pPr>
      <w:r>
        <w:rPr>
          <w:rFonts w:ascii="Times New Roman" w:hAnsi="Times New Roman"/>
          <w:b/>
          <w:i/>
          <w:noProof/>
          <w:sz w:val="24"/>
        </w:rPr>
        <w:t xml:space="preserve">Perturbarea aprovizionării ilegale cu arme de foc prin intermediul internetului („deschis” și „darkweb”)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Capacitatea rețelelor de criminalitate organizată și a teroriștilor de a obține arme de foc, piese sau componente pe internet, pe internetul „deschis” sau pe „darkweb”, este o vulnerabilitate care trebuie să fie abordată de urgență. Următoarele acțiuni ar trebui urmărite: </w:t>
      </w:r>
    </w:p>
    <w:p>
      <w:pPr>
        <w:pStyle w:val="ListParagraph"/>
        <w:numPr>
          <w:ilvl w:val="0"/>
          <w:numId w:val="41"/>
        </w:numPr>
        <w:tabs>
          <w:tab w:val="left" w:pos="709"/>
        </w:tabs>
        <w:spacing w:before="240"/>
        <w:contextualSpacing w:val="0"/>
        <w:jc w:val="both"/>
        <w:rPr>
          <w:rFonts w:eastAsia="Times New Roman"/>
          <w:noProof/>
        </w:rPr>
      </w:pPr>
      <w:r>
        <w:rPr>
          <w:noProof/>
        </w:rPr>
        <w:t xml:space="preserve">Pe lângă aplicarea deplină a Planului de acțiune operațional privind armele de foc, Comisia invită statele membre să înființeze </w:t>
      </w:r>
      <w:r>
        <w:rPr>
          <w:b/>
          <w:noProof/>
        </w:rPr>
        <w:t>echipe de patrule informatice</w:t>
      </w:r>
      <w:r>
        <w:rPr>
          <w:noProof/>
        </w:rPr>
        <w:t xml:space="preserve"> sau să concentreze activitățile celor existente pentru a detecta traficul de arme de foc, piese sau componente ale acestora, precum și de explozivi pe internet.</w:t>
      </w:r>
    </w:p>
    <w:p>
      <w:pPr>
        <w:pStyle w:val="ListParagraph"/>
        <w:numPr>
          <w:ilvl w:val="0"/>
          <w:numId w:val="41"/>
        </w:numPr>
        <w:tabs>
          <w:tab w:val="left" w:pos="709"/>
        </w:tabs>
        <w:spacing w:before="240"/>
        <w:ind w:left="1003" w:hanging="357"/>
        <w:contextualSpacing w:val="0"/>
        <w:jc w:val="both"/>
        <w:rPr>
          <w:rFonts w:eastAsia="Times New Roman"/>
          <w:noProof/>
        </w:rPr>
      </w:pPr>
      <w:r>
        <w:rPr>
          <w:noProof/>
        </w:rPr>
        <w:t xml:space="preserve">Pe baza învățămintelor trase din </w:t>
      </w:r>
      <w:r>
        <w:rPr>
          <w:i/>
          <w:noProof/>
        </w:rPr>
        <w:t>Operation Onymous</w:t>
      </w:r>
      <w:r>
        <w:rPr>
          <w:noProof/>
          <w:vertAlign w:val="superscript"/>
        </w:rPr>
        <w:footnoteReference w:id="23"/>
      </w:r>
      <w:r>
        <w:rPr>
          <w:noProof/>
        </w:rPr>
        <w:t xml:space="preserve"> și </w:t>
      </w:r>
      <w:r>
        <w:rPr>
          <w:i/>
          <w:noProof/>
        </w:rPr>
        <w:t>Darkode</w:t>
      </w:r>
      <w:r>
        <w:rPr>
          <w:noProof/>
          <w:vertAlign w:val="superscript"/>
        </w:rPr>
        <w:footnoteReference w:id="24"/>
      </w:r>
      <w:r>
        <w:rPr>
          <w:noProof/>
        </w:rPr>
        <w:t xml:space="preserve">, Europol va sprijini operațiunile și anchetele statelor membre prin furnizarea de analiză, coordonare și expertiză operațională, îndeosebi cu ajutorul capacităților tehnice și digitale în materie de </w:t>
      </w:r>
      <w:r>
        <w:rPr>
          <w:b/>
          <w:noProof/>
        </w:rPr>
        <w:t>sprijin criminalistic</w:t>
      </w:r>
      <w:r>
        <w:rPr>
          <w:noProof/>
        </w:rPr>
        <w:t xml:space="preserve"> de înaltă specializare, precum și a utilizării depline a </w:t>
      </w:r>
      <w:r>
        <w:rPr>
          <w:b/>
          <w:noProof/>
        </w:rPr>
        <w:t>Grupului de acțiune împotriva criminalității informatice</w:t>
      </w:r>
      <w:r>
        <w:rPr>
          <w:noProof/>
        </w:rPr>
        <w:t xml:space="preserve"> (J­CAT)</w:t>
      </w:r>
      <w:r>
        <w:rPr>
          <w:noProof/>
          <w:sz w:val="20"/>
          <w:vertAlign w:val="superscript"/>
        </w:rPr>
        <w:footnoteReference w:id="25"/>
      </w:r>
      <w:r>
        <w:rPr>
          <w:noProof/>
        </w:rPr>
        <w:t>.</w:t>
      </w:r>
    </w:p>
    <w:p>
      <w:pPr>
        <w:pStyle w:val="ListParagraph"/>
        <w:numPr>
          <w:ilvl w:val="0"/>
          <w:numId w:val="41"/>
        </w:numPr>
        <w:tabs>
          <w:tab w:val="left" w:pos="709"/>
        </w:tabs>
        <w:spacing w:before="240"/>
        <w:ind w:left="1003" w:hanging="357"/>
        <w:contextualSpacing w:val="0"/>
        <w:jc w:val="both"/>
        <w:rPr>
          <w:rFonts w:eastAsia="Times New Roman"/>
          <w:noProof/>
        </w:rPr>
      </w:pPr>
      <w:r>
        <w:rPr>
          <w:noProof/>
        </w:rPr>
        <w:t xml:space="preserve">Europol va elabora, de asemenea, un </w:t>
      </w:r>
      <w:r>
        <w:rPr>
          <w:b/>
          <w:noProof/>
        </w:rPr>
        <w:t>set de instrumente pentru desfășurarea de anchete online</w:t>
      </w:r>
      <w:r>
        <w:rPr>
          <w:noProof/>
        </w:rPr>
        <w:t>, în special în cooperare cu Biroul SUA pentru alcool, tutun, arme de foc și explozivi.</w:t>
      </w:r>
    </w:p>
    <w:p>
      <w:pPr>
        <w:pStyle w:val="ListParagraph"/>
        <w:numPr>
          <w:ilvl w:val="0"/>
          <w:numId w:val="41"/>
        </w:numPr>
        <w:tabs>
          <w:tab w:val="left" w:pos="709"/>
        </w:tabs>
        <w:spacing w:before="240"/>
        <w:ind w:left="1003" w:hanging="357"/>
        <w:contextualSpacing w:val="0"/>
        <w:jc w:val="both"/>
        <w:rPr>
          <w:rFonts w:eastAsia="Times New Roman"/>
          <w:noProof/>
        </w:rPr>
      </w:pPr>
      <w:r>
        <w:rPr>
          <w:noProof/>
        </w:rPr>
        <w:t xml:space="preserve">Întrucât cea mai mare parte a infrastructurii internetului este deținută și exploatată de sectorul privat, Comisia va include prevenirea și depistarea traficului ilegal de arme de foc, de piese sau componente și explozivi în cadrul </w:t>
      </w:r>
      <w:r>
        <w:rPr>
          <w:b/>
          <w:noProof/>
        </w:rPr>
        <w:t>parteneriatelor sale cu sectorul privat</w:t>
      </w:r>
      <w:r>
        <w:rPr>
          <w:noProof/>
          <w:vertAlign w:val="superscript"/>
        </w:rPr>
        <w:footnoteReference w:id="26"/>
      </w:r>
      <w:r>
        <w:rPr>
          <w:noProof/>
        </w:rPr>
        <w:t xml:space="preserve"> care sunt în curs de desfășurare.</w:t>
      </w:r>
    </w:p>
    <w:p>
      <w:pPr>
        <w:pStyle w:val="Body"/>
        <w:spacing w:before="240" w:after="0" w:line="240" w:lineRule="auto"/>
        <w:jc w:val="both"/>
        <w:rPr>
          <w:rFonts w:ascii="Times New Roman" w:eastAsia="Times New Roman" w:hAnsi="Times New Roman" w:cs="Times New Roman"/>
          <w:b/>
          <w:i/>
          <w:iCs/>
          <w:noProof/>
          <w:sz w:val="24"/>
          <w:szCs w:val="24"/>
        </w:rPr>
      </w:pPr>
      <w:r>
        <w:rPr>
          <w:rFonts w:ascii="Times New Roman" w:hAnsi="Times New Roman"/>
          <w:b/>
          <w:i/>
          <w:noProof/>
          <w:sz w:val="24"/>
        </w:rPr>
        <w:t>Îmbunătățirea controlului circulației în interiorul UE</w:t>
      </w:r>
    </w:p>
    <w:p>
      <w:pPr>
        <w:pStyle w:val="Body"/>
        <w:spacing w:before="240" w:after="0" w:line="240" w:lineRule="auto"/>
        <w:jc w:val="both"/>
        <w:rPr>
          <w:rFonts w:ascii="Times New Roman" w:hAnsi="Times New Roman"/>
          <w:noProof/>
          <w:sz w:val="24"/>
          <w:szCs w:val="24"/>
        </w:rPr>
      </w:pPr>
      <w:r>
        <w:rPr>
          <w:rFonts w:ascii="Times New Roman" w:hAnsi="Times New Roman"/>
          <w:b/>
          <w:noProof/>
          <w:sz w:val="24"/>
        </w:rPr>
        <w:t>Sistemul de control și protecție a explozivilor</w:t>
      </w:r>
      <w:r>
        <w:rPr>
          <w:rFonts w:ascii="Times New Roman" w:hAnsi="Times New Roman"/>
          <w:noProof/>
          <w:sz w:val="24"/>
        </w:rPr>
        <w:t xml:space="preserve"> (SCEPYLT)</w:t>
      </w:r>
      <w:r>
        <w:rPr>
          <w:rStyle w:val="FootnoteReference"/>
          <w:rFonts w:ascii="Times New Roman" w:hAnsi="Times New Roman"/>
          <w:noProof/>
          <w:sz w:val="24"/>
        </w:rPr>
        <w:footnoteReference w:id="27"/>
      </w:r>
      <w:r>
        <w:rPr>
          <w:rFonts w:ascii="Times New Roman" w:hAnsi="Times New Roman"/>
          <w:noProof/>
          <w:sz w:val="24"/>
        </w:rPr>
        <w:t xml:space="preserve"> permite aprobarea pe cale electronică a transferurilor de explozivi în interiorul UE, făcând ca circulația explozivilor în Europa să fie mai rapidă și mai ușor de controlat. În viitor, acesta ar putea fi, de asemenea, utilizat ca instrument de trasabilitate, pentru a sprijini eforturile de identificare și urmărire.</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Pentru a îmbunătăți controlul asupra explozivilor, Comisia va încuraja toate statele membre să utilizeze pe deplin și să se conecteze la acest sistem.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În conformitate cu propunerea de revizuire a Directivei privind armele de foc, adoptată la 18 noiembrie 2015</w:t>
      </w:r>
      <w:r>
        <w:rPr>
          <w:rStyle w:val="FootnoteReference"/>
          <w:rFonts w:ascii="Times New Roman" w:hAnsi="Times New Roman"/>
          <w:noProof/>
          <w:sz w:val="24"/>
        </w:rPr>
        <w:footnoteReference w:id="28"/>
      </w:r>
      <w:r>
        <w:rPr>
          <w:rFonts w:ascii="Times New Roman" w:hAnsi="Times New Roman"/>
          <w:noProof/>
          <w:sz w:val="24"/>
        </w:rPr>
        <w:t>, Comisia va evalua modalitățile de realizare a unui sistem de schimb de informații privind circulația armelor de foc în interiorul UE, ținând seama de sistemele și instrumentele de informații relevante existente din UE. Acest sistem ar trebui să asigure o legătură între statele membre care transmit și cele care primesc informații,în vederea efectuării de transferuri interne mai sigure și a îmbunătățirii trasabilității armelor și munițiilor.</w:t>
      </w:r>
    </w:p>
    <w:p>
      <w:pPr>
        <w:pStyle w:val="Body"/>
        <w:spacing w:before="240" w:after="0" w:line="240" w:lineRule="auto"/>
        <w:jc w:val="both"/>
        <w:rPr>
          <w:rFonts w:ascii="Times New Roman" w:eastAsia="Times New Roman" w:hAnsi="Times New Roman" w:cs="Times New Roman"/>
          <w:noProof/>
          <w:sz w:val="24"/>
          <w:szCs w:val="24"/>
        </w:rPr>
      </w:pPr>
      <w:r>
        <w:rPr>
          <w:rFonts w:ascii="Times New Roman" w:hAnsi="Times New Roman"/>
          <w:noProof/>
          <w:sz w:val="24"/>
        </w:rPr>
        <w:t>Pentru a consolida trasabilitatea circulației armelor de foc legale în interiorul unui stat membru sau între state membre, Comisia va explora posibilitatea de a interzice plățile în numerar în contextul vânzării sau achiziționării de arme de foc și de muniții de către persoane fizice.</w:t>
      </w:r>
    </w:p>
    <w:p>
      <w:pPr>
        <w:pStyle w:val="Body"/>
        <w:spacing w:before="240" w:after="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Intensificarea controalelor la frontierele externe</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Chiar dacă sursele traficului ilegal de arme de foc și explozivi sunt diverse, controalele la frontierele externe și cooperarea polițienească și vamală rămân de o importanță capitală. </w:t>
      </w:r>
    </w:p>
    <w:p>
      <w:pPr>
        <w:pStyle w:val="Body"/>
        <w:spacing w:before="240"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invită statele membre să efectueze </w:t>
      </w:r>
      <w:r>
        <w:rPr>
          <w:rFonts w:ascii="Times New Roman" w:hAnsi="Times New Roman"/>
          <w:b/>
          <w:noProof/>
          <w:sz w:val="24"/>
        </w:rPr>
        <w:t>controale bazate pe factori de risc ale mărfurilor care sosesc la frontiera externă</w:t>
      </w:r>
      <w:r>
        <w:rPr>
          <w:rFonts w:ascii="Times New Roman" w:hAnsi="Times New Roman"/>
          <w:noProof/>
          <w:sz w:val="24"/>
        </w:rPr>
        <w:t xml:space="preserve">, indiferent dacă acestea sosesc în cadrul traficului comercial (de exemplu, în containere), al transportului de călători (de exemplu, în mașini) sau în bagajele pasagerilor. În acest scop, Comisia propune stabilirea unei </w:t>
      </w:r>
      <w:r>
        <w:rPr>
          <w:rFonts w:ascii="Times New Roman" w:hAnsi="Times New Roman"/>
          <w:b/>
          <w:noProof/>
          <w:sz w:val="24"/>
        </w:rPr>
        <w:t>acțiuni prioritare de control vamal</w:t>
      </w:r>
      <w:r>
        <w:rPr>
          <w:rFonts w:ascii="Times New Roman" w:hAnsi="Times New Roman"/>
          <w:noProof/>
          <w:sz w:val="24"/>
        </w:rPr>
        <w:t xml:space="preserve"> cu statele membre privind traficul ilegal de arme de foc și - în măsura posibilului - explozivi, la frontierele externe. Punerea în aplicare a tuturor acțiunilor legate de securitate prevăzute în cadrul strategiei și a planului de acțiune pentru gestionarea riscurilor vamale va fi accelerată de către Comisie, iar statele membre ar trebui să își îmbunătățească eforturile în acest sens.</w:t>
      </w:r>
      <w:r>
        <w:rPr>
          <w:rFonts w:ascii="Times New Roman" w:hAnsi="Times New Roman"/>
          <w:noProof/>
          <w:sz w:val="20"/>
          <w:vertAlign w:val="superscript"/>
        </w:rPr>
        <w:footnoteReference w:id="29"/>
      </w:r>
      <w:r>
        <w:rPr>
          <w:rFonts w:ascii="Times New Roman" w:hAnsi="Times New Roman"/>
          <w:noProof/>
          <w:sz w:val="20"/>
          <w:vertAlign w:val="superscript"/>
        </w:rPr>
        <w:t>.</w:t>
      </w:r>
    </w:p>
    <w:p>
      <w:pPr>
        <w:pStyle w:val="Body"/>
        <w:spacing w:before="240" w:after="0" w:line="240" w:lineRule="auto"/>
        <w:jc w:val="both"/>
        <w:rPr>
          <w:rFonts w:ascii="Times New Roman" w:eastAsia="Times New Roman" w:hAnsi="Times New Roman" w:cs="Times New Roman"/>
          <w:b/>
          <w:i/>
          <w:iCs/>
          <w:noProof/>
          <w:sz w:val="24"/>
          <w:szCs w:val="24"/>
        </w:rPr>
      </w:pPr>
      <w:r>
        <w:rPr>
          <w:rFonts w:ascii="Times New Roman" w:hAnsi="Times New Roman"/>
          <w:b/>
          <w:i/>
          <w:noProof/>
          <w:sz w:val="24"/>
        </w:rPr>
        <w:t>Urmărirea armelor de foc utilizate de infractori și teroriști</w:t>
      </w:r>
    </w:p>
    <w:p>
      <w:pPr>
        <w:pStyle w:val="Body"/>
        <w:spacing w:before="240" w:after="0" w:line="240" w:lineRule="auto"/>
        <w:jc w:val="both"/>
        <w:rPr>
          <w:rFonts w:ascii="Times New Roman" w:eastAsia="Times New Roman" w:hAnsi="Times New Roman" w:cs="Times New Roman"/>
          <w:bCs/>
          <w:noProof/>
          <w:sz w:val="24"/>
          <w:szCs w:val="24"/>
        </w:rPr>
      </w:pPr>
      <w:r>
        <w:rPr>
          <w:rFonts w:ascii="Times New Roman" w:hAnsi="Times New Roman"/>
          <w:noProof/>
          <w:sz w:val="24"/>
        </w:rPr>
        <w:t>Urmărirea armelor de foc este o parte esențială a anchetelor privind infracțiunile legate de arme de foc și permite o mai bună cunoaștere a canalelor de distribuție a armelor de foc ilegale. Aceasta este, de asemenea, esențială pentru combaterea cu succes a accesului la explozivi și la precursori de explozivi. Posibilitatea de a urmări muniția, care este în prezent limitată, ar fi, de asemenea, utilă pentru anchete.</w:t>
      </w:r>
    </w:p>
    <w:p>
      <w:pPr>
        <w:pStyle w:val="Body"/>
        <w:spacing w:before="240" w:after="0" w:line="240" w:lineRule="auto"/>
        <w:jc w:val="both"/>
        <w:rPr>
          <w:rFonts w:ascii="Times New Roman" w:eastAsia="Times New Roman" w:hAnsi="Times New Roman" w:cs="Times New Roman"/>
          <w:bCs/>
          <w:noProof/>
          <w:color w:val="auto"/>
          <w:sz w:val="24"/>
        </w:rPr>
      </w:pPr>
      <w:r>
        <w:rPr>
          <w:rFonts w:ascii="Times New Roman" w:hAnsi="Times New Roman"/>
          <w:noProof/>
          <w:color w:val="auto"/>
          <w:sz w:val="24"/>
        </w:rPr>
        <w:t>Revizuirea Directivei privind armele de foc propusă de Comisie prevede norme comune privind marcarea armelor de foc pentru a îmbunătăți trasabilitatea armelor de foc deținute legal sau a armelor de foc importate.</w:t>
      </w:r>
    </w:p>
    <w:p>
      <w:pPr>
        <w:pStyle w:val="Body"/>
        <w:spacing w:before="240" w:after="0" w:line="240" w:lineRule="auto"/>
        <w:jc w:val="both"/>
        <w:rPr>
          <w:rFonts w:ascii="Times New Roman" w:eastAsia="Times New Roman" w:hAnsi="Times New Roman" w:cs="Times New Roman"/>
          <w:noProof/>
          <w:sz w:val="24"/>
          <w:szCs w:val="24"/>
        </w:rPr>
      </w:pPr>
      <w:r>
        <w:rPr>
          <w:rFonts w:ascii="Times New Roman" w:hAnsi="Times New Roman"/>
          <w:noProof/>
          <w:sz w:val="24"/>
        </w:rPr>
        <w:t>În plus, Comisia va continua să sprijine pe deplin activitățile</w:t>
      </w:r>
      <w:r>
        <w:rPr>
          <w:rFonts w:ascii="Times New Roman" w:hAnsi="Times New Roman"/>
          <w:noProof/>
          <w:sz w:val="24"/>
          <w:vertAlign w:val="superscript"/>
        </w:rPr>
        <w:footnoteReference w:id="30"/>
      </w:r>
      <w:r>
        <w:rPr>
          <w:rFonts w:ascii="Times New Roman" w:hAnsi="Times New Roman"/>
          <w:noProof/>
          <w:sz w:val="24"/>
        </w:rPr>
        <w:t xml:space="preserve"> </w:t>
      </w:r>
      <w:r>
        <w:rPr>
          <w:rFonts w:ascii="Times New Roman" w:hAnsi="Times New Roman"/>
          <w:b/>
          <w:noProof/>
          <w:sz w:val="24"/>
        </w:rPr>
        <w:t>Grupului european de experți în arme de foc</w:t>
      </w:r>
      <w:r>
        <w:rPr>
          <w:rFonts w:ascii="Times New Roman" w:hAnsi="Times New Roman"/>
          <w:noProof/>
          <w:sz w:val="24"/>
        </w:rPr>
        <w:t xml:space="preserve"> pentru a elabora un </w:t>
      </w:r>
      <w:r>
        <w:rPr>
          <w:rFonts w:ascii="Times New Roman" w:hAnsi="Times New Roman"/>
          <w:b/>
          <w:noProof/>
          <w:sz w:val="24"/>
        </w:rPr>
        <w:t xml:space="preserve">manual pentru localizarea și urmărirea armelor de foc ilegale. </w:t>
      </w:r>
      <w:r>
        <w:rPr>
          <w:rFonts w:ascii="Times New Roman" w:hAnsi="Times New Roman"/>
          <w:noProof/>
          <w:sz w:val="24"/>
        </w:rPr>
        <w:t>Bazându-se pe Instrumentul internațional de urmărire și pe bunele practici internaționale elaborate de standardele internaționale ale Organizației Națiunilor Unite pentru controlul armelor de calibru mic (ISACS)</w:t>
      </w:r>
      <w:r>
        <w:rPr>
          <w:rFonts w:ascii="Times New Roman" w:hAnsi="Times New Roman"/>
          <w:noProof/>
          <w:sz w:val="24"/>
          <w:vertAlign w:val="superscript"/>
        </w:rPr>
        <w:footnoteReference w:id="31"/>
      </w:r>
      <w:r>
        <w:rPr>
          <w:rFonts w:ascii="Times New Roman" w:hAnsi="Times New Roman"/>
          <w:noProof/>
          <w:sz w:val="24"/>
        </w:rPr>
        <w:t>, manualul va fi distribuit tuturor autorităților de aplicare a legii din statele membre. Orientările și normele privind urmărirea ar putea include o cerință de a genera rapoarte către Europol pentru a facilita cererile de urmărire internațională.</w:t>
      </w:r>
    </w:p>
    <w:p>
      <w:pPr>
        <w:pStyle w:val="Body"/>
        <w:keepNext/>
        <w:spacing w:before="240" w:after="0" w:line="240" w:lineRule="auto"/>
        <w:jc w:val="both"/>
        <w:rPr>
          <w:rFonts w:ascii="Times New Roman" w:eastAsia="Times New Roman" w:hAnsi="Times New Roman" w:cs="Times New Roman"/>
          <w:b/>
          <w:i/>
          <w:iCs/>
          <w:noProof/>
          <w:sz w:val="24"/>
          <w:szCs w:val="24"/>
        </w:rPr>
      </w:pPr>
      <w:r>
        <w:rPr>
          <w:rFonts w:ascii="Times New Roman" w:hAnsi="Times New Roman"/>
          <w:b/>
          <w:i/>
          <w:noProof/>
          <w:sz w:val="24"/>
        </w:rPr>
        <w:t xml:space="preserve">Consolidarea formării </w:t>
      </w:r>
    </w:p>
    <w:p>
      <w:pPr>
        <w:pStyle w:val="Body"/>
        <w:spacing w:before="240" w:after="0" w:line="240" w:lineRule="auto"/>
        <w:jc w:val="both"/>
        <w:rPr>
          <w:rFonts w:ascii="Times New Roman" w:hAnsi="Times New Roman"/>
          <w:noProof/>
          <w:sz w:val="24"/>
          <w:szCs w:val="24"/>
          <w:highlight w:val="yellow"/>
        </w:rPr>
      </w:pPr>
      <w:r>
        <w:rPr>
          <w:rFonts w:ascii="Times New Roman" w:hAnsi="Times New Roman"/>
          <w:noProof/>
          <w:sz w:val="24"/>
        </w:rPr>
        <w:t>Formarea este esențială pentru creșterea nivelului de expertiză și, prin urmare, pentru îmbunătățirea cooperării în UE. Efectuarea de controale eficace și consecvente la frontiera externă necesită, de asemenea, schimbul practic de bune practici, expertiză și informații. CEPOL</w:t>
      </w:r>
      <w:r>
        <w:rPr>
          <w:rStyle w:val="FootnoteReference"/>
          <w:rFonts w:ascii="Times New Roman" w:hAnsi="Times New Roman"/>
          <w:noProof/>
          <w:sz w:val="24"/>
        </w:rPr>
        <w:footnoteReference w:id="32"/>
      </w:r>
      <w:r>
        <w:rPr>
          <w:rFonts w:ascii="Times New Roman" w:hAnsi="Times New Roman"/>
          <w:noProof/>
          <w:sz w:val="24"/>
        </w:rPr>
        <w:t xml:space="preserve"> își va continua activitățile în acest domeniu și va efectua o „analiză a lacunelor” pentru a identifica necesitățile de formare existente. Acest exercițiu ar putea duce la dezvoltarea unor </w:t>
      </w:r>
      <w:r>
        <w:rPr>
          <w:rFonts w:ascii="Times New Roman" w:hAnsi="Times New Roman"/>
          <w:b/>
          <w:noProof/>
          <w:sz w:val="24"/>
        </w:rPr>
        <w:t>programe comune privind armele de foc și explozivii</w:t>
      </w:r>
      <w:r>
        <w:rPr>
          <w:rFonts w:ascii="Times New Roman" w:hAnsi="Times New Roman"/>
          <w:noProof/>
          <w:sz w:val="24"/>
        </w:rPr>
        <w:t xml:space="preserve"> pentru toți experții din statele membre, în cooperare cu Rețeaua europeană de eliminare a dispozitivelor explozive (rețeaua EOD)</w:t>
      </w:r>
      <w:r>
        <w:rPr>
          <w:rStyle w:val="FootnoteReference"/>
          <w:rFonts w:ascii="Times New Roman" w:hAnsi="Times New Roman"/>
          <w:noProof/>
          <w:sz w:val="24"/>
        </w:rPr>
        <w:footnoteReference w:id="33"/>
      </w:r>
      <w:r>
        <w:rPr>
          <w:rFonts w:ascii="Times New Roman" w:hAnsi="Times New Roman"/>
          <w:noProof/>
          <w:sz w:val="24"/>
        </w:rPr>
        <w:t>. CEPOL va examina, de asemenea, elaborarea de sisteme de formare cu experții în arme de foc din țările terțe.</w:t>
      </w:r>
      <w:r>
        <w:rPr>
          <w:rFonts w:ascii="Times New Roman" w:hAnsi="Times New Roman"/>
          <w:noProof/>
          <w:sz w:val="24"/>
          <w:highlight w:val="yellow"/>
        </w:rPr>
        <w:t xml:space="preserve"> </w:t>
      </w:r>
    </w:p>
    <w:p>
      <w:pPr>
        <w:pStyle w:val="Body"/>
        <w:spacing w:before="240" w:after="0" w:line="240" w:lineRule="auto"/>
        <w:jc w:val="both"/>
        <w:rPr>
          <w:rFonts w:ascii="Times New Roman" w:hAnsi="Times New Roman"/>
          <w:b/>
          <w:i/>
          <w:noProof/>
          <w:sz w:val="24"/>
          <w:szCs w:val="24"/>
        </w:rPr>
      </w:pPr>
      <w:r>
        <w:rPr>
          <w:rFonts w:ascii="Times New Roman" w:hAnsi="Times New Roman"/>
          <w:b/>
          <w:i/>
          <w:noProof/>
          <w:sz w:val="24"/>
        </w:rPr>
        <w:t>Elaborarea de instrumente de detectare inovatoare</w:t>
      </w:r>
    </w:p>
    <w:p>
      <w:pPr>
        <w:pStyle w:val="Body"/>
        <w:spacing w:before="240" w:after="0" w:line="240" w:lineRule="auto"/>
        <w:jc w:val="both"/>
        <w:rPr>
          <w:rFonts w:ascii="Times New Roman" w:eastAsia="Times New Roman" w:hAnsi="Times New Roman" w:cs="Times New Roman"/>
          <w:noProof/>
          <w:sz w:val="24"/>
          <w:szCs w:val="24"/>
        </w:rPr>
      </w:pPr>
      <w:r>
        <w:rPr>
          <w:rFonts w:ascii="Times New Roman" w:hAnsi="Times New Roman"/>
          <w:noProof/>
          <w:sz w:val="24"/>
        </w:rPr>
        <w:t>Comunicarea Comisiei din 2014 privind detectarea</w:t>
      </w:r>
      <w:r>
        <w:rPr>
          <w:rStyle w:val="FootnoteReference"/>
          <w:rFonts w:ascii="Times New Roman" w:hAnsi="Times New Roman"/>
          <w:noProof/>
          <w:sz w:val="24"/>
        </w:rPr>
        <w:footnoteReference w:id="34"/>
      </w:r>
      <w:r>
        <w:rPr>
          <w:rFonts w:ascii="Times New Roman" w:hAnsi="Times New Roman"/>
          <w:noProof/>
          <w:sz w:val="24"/>
        </w:rPr>
        <w:t xml:space="preserve"> a evidențiat faptul că o strategie eficace de detectare a amenințărilor poate fi realizată numai dacă substanțele care reprezintă amenințări și mediul înconjurător (sectorul aviatic, spații publice, evenimente sportive, zone de transport urban, etc.) sunt luate în considerare în mod corespunzător. Deși aviația civilă deține standarde </w:t>
      </w:r>
      <w:r>
        <w:rPr>
          <w:rFonts w:ascii="Times New Roman" w:hAnsi="Times New Roman"/>
          <w:noProof/>
          <w:color w:val="auto"/>
          <w:sz w:val="24"/>
        </w:rPr>
        <w:t>specifice</w:t>
      </w:r>
      <w:r>
        <w:rPr>
          <w:rFonts w:ascii="Times New Roman" w:hAnsi="Times New Roman"/>
          <w:noProof/>
          <w:sz w:val="24"/>
        </w:rPr>
        <w:t xml:space="preserve"> pentru tehnologiile și procesele de detectare, acesta nu a fost cazul în alte domenii publice (evenimente sportive, alte moduri de transport și infrastructură critică). Sunt necesare eforturi suplimentare atât în ceea ce privește utilizarea tehnologiei de detecție, cât și privind uniformizarea utilizării acesteia. În 2012, Comisia a inițiat un program cu diferite teste de detectare, în diferite medii operaționale (aeroporturi, infrastructuri critice, clădiri publice și evenimente - cum ar fi Euro 2012 în Polonia)</w:t>
      </w:r>
      <w:r>
        <w:rPr>
          <w:rStyle w:val="FootnoteReference"/>
          <w:rFonts w:ascii="Times New Roman" w:hAnsi="Times New Roman"/>
          <w:noProof/>
          <w:sz w:val="24"/>
        </w:rPr>
        <w:footnoteReference w:id="35"/>
      </w:r>
      <w:r>
        <w:rPr>
          <w:rFonts w:ascii="Times New Roman" w:hAnsi="Times New Roman"/>
          <w:noProof/>
          <w:sz w:val="24"/>
        </w:rPr>
        <w:t>.</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Pe baza activităților de mai sus, Comisia va evalua fezabilitatea creării unei </w:t>
      </w:r>
      <w:r>
        <w:rPr>
          <w:rFonts w:ascii="Times New Roman" w:hAnsi="Times New Roman"/>
          <w:b/>
          <w:noProof/>
          <w:sz w:val="24"/>
        </w:rPr>
        <w:t>platforme de detecție a UE</w:t>
      </w:r>
      <w:r>
        <w:rPr>
          <w:rFonts w:ascii="Times New Roman" w:hAnsi="Times New Roman"/>
          <w:noProof/>
          <w:sz w:val="24"/>
        </w:rPr>
        <w:t xml:space="preserve">, formate din experți ai Comisiei și ai statelor membre, care ar stabili un program de sprijin și de consolidare a capacităților în domeniul detectării de explozivi și arme de foc. O astfel de platformă ar putea să se focalizeze inițial asupra </w:t>
      </w:r>
      <w:r>
        <w:rPr>
          <w:rFonts w:ascii="Times New Roman" w:hAnsi="Times New Roman"/>
          <w:b/>
          <w:noProof/>
          <w:sz w:val="24"/>
        </w:rPr>
        <w:t>oferirii de sprijin</w:t>
      </w:r>
      <w:r>
        <w:rPr>
          <w:rFonts w:ascii="Times New Roman" w:hAnsi="Times New Roman"/>
          <w:noProof/>
          <w:sz w:val="24"/>
        </w:rPr>
        <w:t xml:space="preserve"> pentru autoritățile de aplicare a legii și serviciile competente din statele membre și să se extindă în continuare, după caz.</w:t>
      </w:r>
    </w:p>
    <w:p>
      <w:pPr>
        <w:pStyle w:val="Body"/>
        <w:spacing w:after="0" w:line="240" w:lineRule="auto"/>
        <w:jc w:val="both"/>
        <w:rPr>
          <w:rFonts w:ascii="Times New Roman" w:hAnsi="Times New Roman"/>
          <w:noProof/>
          <w:sz w:val="24"/>
          <w:szCs w:val="24"/>
        </w:rPr>
      </w:pPr>
    </w:p>
    <w:tbl>
      <w:tblPr>
        <w:tblW w:w="9336"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36"/>
      </w:tblGrid>
      <w:tr>
        <w:trPr>
          <w:trHeight w:val="348"/>
        </w:trPr>
        <w:tc>
          <w:tcPr>
            <w:tcW w:w="9336" w:type="dxa"/>
          </w:tcPr>
          <w:p>
            <w:pPr>
              <w:pStyle w:val="Body"/>
              <w:pBdr>
                <w:top w:val="none" w:sz="0" w:space="0" w:color="auto"/>
                <w:left w:val="none" w:sz="0" w:space="0" w:color="auto"/>
                <w:bottom w:val="none" w:sz="0" w:space="0" w:color="auto"/>
                <w:right w:val="none" w:sz="0" w:space="0" w:color="auto"/>
                <w:between w:val="none" w:sz="0" w:space="0" w:color="auto"/>
              </w:pBdr>
              <w:spacing w:before="120" w:after="0" w:line="240" w:lineRule="auto"/>
              <w:ind w:left="130"/>
              <w:rPr>
                <w:rFonts w:ascii="Times New Roman" w:hAnsi="Times New Roman"/>
                <w:b/>
                <w:bCs/>
                <w:noProof/>
                <w:sz w:val="24"/>
                <w:szCs w:val="24"/>
              </w:rPr>
            </w:pPr>
            <w:r>
              <w:rPr>
                <w:rFonts w:ascii="Times New Roman" w:hAnsi="Times New Roman"/>
                <w:b/>
                <w:noProof/>
                <w:sz w:val="24"/>
              </w:rPr>
              <w:t>Acțiuni specifice:</w:t>
            </w:r>
          </w:p>
          <w:p>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853"/>
              <w:jc w:val="both"/>
              <w:rPr>
                <w:rFonts w:ascii="Times New Roman" w:hAnsi="Times New Roman"/>
                <w:i/>
                <w:iCs/>
                <w:noProof/>
                <w:sz w:val="24"/>
                <w:szCs w:val="24"/>
              </w:rPr>
            </w:pPr>
            <w:r>
              <w:rPr>
                <w:rFonts w:ascii="Times New Roman" w:hAnsi="Times New Roman"/>
                <w:i/>
                <w:noProof/>
                <w:sz w:val="24"/>
              </w:rPr>
              <w:t>Creșterea cooperării la nivel transfrontalier prin:</w:t>
            </w:r>
          </w:p>
          <w:p>
            <w:pPr>
              <w:pStyle w:val="Body"/>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573"/>
              <w:jc w:val="both"/>
              <w:rPr>
                <w:rFonts w:ascii="Times New Roman" w:eastAsia="Times New Roman" w:hAnsi="Times New Roman" w:cs="Times New Roman"/>
                <w:i/>
                <w:iCs/>
                <w:noProof/>
                <w:sz w:val="24"/>
                <w:szCs w:val="24"/>
              </w:rPr>
            </w:pPr>
            <w:r>
              <w:rPr>
                <w:rFonts w:ascii="Times New Roman" w:hAnsi="Times New Roman"/>
                <w:i/>
                <w:noProof/>
                <w:sz w:val="24"/>
              </w:rPr>
              <w:t>punerea integrală în aplicare a Planului de acțiune operațional (OAP) privind armele de foc;</w:t>
            </w:r>
          </w:p>
          <w:p>
            <w:pPr>
              <w:pStyle w:val="Body"/>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573"/>
              <w:jc w:val="both"/>
              <w:rPr>
                <w:rFonts w:ascii="Times New Roman" w:eastAsia="Times New Roman" w:hAnsi="Times New Roman" w:cs="Times New Roman"/>
                <w:i/>
                <w:iCs/>
                <w:noProof/>
                <w:sz w:val="24"/>
                <w:szCs w:val="24"/>
              </w:rPr>
            </w:pPr>
            <w:r>
              <w:rPr>
                <w:rFonts w:ascii="Times New Roman" w:hAnsi="Times New Roman"/>
                <w:i/>
                <w:noProof/>
                <w:sz w:val="24"/>
              </w:rPr>
              <w:t>o cooperare sporită pentru perturbarea aprovizionării ilegale cu arme de foc pe internet („deschis” și „darkweb”);</w:t>
            </w:r>
          </w:p>
          <w:p>
            <w:pPr>
              <w:pStyle w:val="Body"/>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573"/>
              <w:jc w:val="both"/>
              <w:rPr>
                <w:rFonts w:ascii="Times New Roman" w:hAnsi="Times New Roman"/>
                <w:i/>
                <w:iCs/>
                <w:noProof/>
                <w:sz w:val="24"/>
                <w:szCs w:val="24"/>
              </w:rPr>
            </w:pPr>
            <w:r>
              <w:rPr>
                <w:rFonts w:ascii="Times New Roman" w:hAnsi="Times New Roman"/>
                <w:i/>
                <w:noProof/>
                <w:sz w:val="24"/>
              </w:rPr>
              <w:t>evaluarea modalităților de funcționare a unui sistem de schimb de informații privind circulația armelor de foc în interiorul UE, ținând seama de sistemele de informații și instrumentele existente la nivelul UE;</w:t>
            </w:r>
          </w:p>
          <w:p>
            <w:pPr>
              <w:pStyle w:val="Body"/>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573"/>
              <w:jc w:val="both"/>
              <w:rPr>
                <w:rFonts w:ascii="Times New Roman" w:hAnsi="Times New Roman"/>
                <w:i/>
                <w:iCs/>
                <w:noProof/>
                <w:sz w:val="24"/>
                <w:szCs w:val="24"/>
              </w:rPr>
            </w:pPr>
            <w:r>
              <w:rPr>
                <w:rFonts w:ascii="Times New Roman" w:hAnsi="Times New Roman"/>
                <w:i/>
                <w:noProof/>
                <w:sz w:val="24"/>
              </w:rPr>
              <w:t>analiza posibilității de a interzice plățile în numerar în contextul vânzării sau achiziționării de arme de foc și muniție de către persoane fizice;</w:t>
            </w:r>
          </w:p>
          <w:p>
            <w:pPr>
              <w:pStyle w:val="Body"/>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573"/>
              <w:jc w:val="both"/>
              <w:rPr>
                <w:rFonts w:ascii="Times New Roman" w:hAnsi="Times New Roman"/>
                <w:i/>
                <w:iCs/>
                <w:noProof/>
                <w:sz w:val="24"/>
                <w:szCs w:val="24"/>
              </w:rPr>
            </w:pPr>
            <w:r>
              <w:rPr>
                <w:rFonts w:ascii="Times New Roman" w:hAnsi="Times New Roman"/>
                <w:i/>
                <w:noProof/>
                <w:sz w:val="24"/>
              </w:rPr>
              <w:t>consolidarea controalelor la frontierele externe</w:t>
            </w:r>
            <w:r>
              <w:rPr>
                <w:noProof/>
              </w:rPr>
              <w:t xml:space="preserve"> </w:t>
            </w:r>
            <w:r>
              <w:rPr>
                <w:rFonts w:ascii="Times New Roman" w:hAnsi="Times New Roman"/>
                <w:i/>
                <w:noProof/>
                <w:sz w:val="24"/>
              </w:rPr>
              <w:t>prin efectuarea unor controale de risc asupra bunurilor și prin introducerea unei acțiuni prioritare de control vamal;</w:t>
            </w:r>
          </w:p>
          <w:p>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853"/>
              <w:jc w:val="both"/>
              <w:rPr>
                <w:rFonts w:ascii="Times New Roman" w:hAnsi="Times New Roman"/>
                <w:i/>
                <w:noProof/>
                <w:sz w:val="24"/>
                <w:szCs w:val="24"/>
              </w:rPr>
            </w:pPr>
            <w:r>
              <w:rPr>
                <w:rFonts w:ascii="Times New Roman" w:hAnsi="Times New Roman"/>
                <w:i/>
                <w:noProof/>
                <w:sz w:val="24"/>
              </w:rPr>
              <w:t>intensificarea urmăririi armelor de foc prin elaborarea unui manual pentru localizarea și urmărirea armelor de foc ilegale în cadrul Grupului european de experți în arme de foc;</w:t>
            </w:r>
          </w:p>
          <w:p>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853"/>
              <w:jc w:val="both"/>
              <w:rPr>
                <w:rFonts w:ascii="Times New Roman" w:hAnsi="Times New Roman"/>
                <w:i/>
                <w:noProof/>
                <w:sz w:val="24"/>
                <w:szCs w:val="24"/>
              </w:rPr>
            </w:pPr>
            <w:r>
              <w:rPr>
                <w:rFonts w:ascii="Times New Roman" w:hAnsi="Times New Roman"/>
                <w:i/>
                <w:noProof/>
                <w:sz w:val="24"/>
              </w:rPr>
              <w:t xml:space="preserve">elaborarea de programe de formare comune privind armele de foc și explozivii; </w:t>
            </w:r>
          </w:p>
          <w:p>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853"/>
              <w:jc w:val="both"/>
              <w:rPr>
                <w:noProof/>
              </w:rPr>
            </w:pPr>
            <w:r>
              <w:rPr>
                <w:rFonts w:ascii="Times New Roman" w:hAnsi="Times New Roman"/>
                <w:i/>
                <w:noProof/>
                <w:sz w:val="24"/>
              </w:rPr>
              <w:t>elaborarea de instrumente de detectare inovatoare;</w:t>
            </w:r>
          </w:p>
          <w:p>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850" w:hanging="357"/>
              <w:jc w:val="both"/>
              <w:rPr>
                <w:noProof/>
              </w:rPr>
            </w:pPr>
            <w:r>
              <w:rPr>
                <w:rFonts w:ascii="Times New Roman" w:hAnsi="Times New Roman"/>
                <w:i/>
                <w:noProof/>
                <w:sz w:val="24"/>
              </w:rPr>
              <w:t>acțiuni operaționale comune care să implice toate autoritățile de aplicare a legii relevante.</w:t>
            </w:r>
          </w:p>
        </w:tc>
      </w:tr>
    </w:tbl>
    <w:p>
      <w:pPr>
        <w:pStyle w:val="Heading1"/>
        <w:jc w:val="both"/>
        <w:rPr>
          <w:caps/>
          <w:smallCaps w:val="0"/>
          <w:noProof/>
        </w:rPr>
      </w:pPr>
      <w:r>
        <w:rPr>
          <w:caps/>
          <w:smallCaps w:val="0"/>
          <w:noProof/>
        </w:rPr>
        <w:t>ÎMBUNĂTĂȚIREA COLECTĂRII ȘI SCHIMBULUI DE INFORMAȚII OPERAȚIONALE PRIN UTILIZAREA OPTIMĂ A INSTRUMENTELOR EXISTENTE</w:t>
      </w:r>
    </w:p>
    <w:p>
      <w:pPr>
        <w:pStyle w:val="Body"/>
        <w:spacing w:before="240" w:after="0" w:line="240" w:lineRule="auto"/>
        <w:jc w:val="both"/>
        <w:rPr>
          <w:rFonts w:ascii="Times New Roman" w:hAnsi="Times New Roman"/>
          <w:noProof/>
          <w:sz w:val="24"/>
          <w:szCs w:val="24"/>
        </w:rPr>
      </w:pPr>
      <w:r>
        <w:rPr>
          <w:rFonts w:ascii="Times New Roman" w:hAnsi="Times New Roman"/>
          <w:b/>
          <w:noProof/>
          <w:sz w:val="24"/>
        </w:rPr>
        <w:t>Agenda europeană privind securitatea</w:t>
      </w:r>
      <w:r>
        <w:rPr>
          <w:rFonts w:ascii="Times New Roman" w:hAnsi="Times New Roman"/>
          <w:noProof/>
          <w:sz w:val="24"/>
        </w:rPr>
        <w:t xml:space="preserve"> a subliniat necesitatea urgentă de a </w:t>
      </w:r>
      <w:r>
        <w:rPr>
          <w:rFonts w:ascii="Times New Roman" w:hAnsi="Times New Roman"/>
          <w:b/>
          <w:noProof/>
          <w:sz w:val="24"/>
        </w:rPr>
        <w:t>utiliza pe deplin instrumentele existente</w:t>
      </w:r>
      <w:r>
        <w:rPr>
          <w:rFonts w:ascii="Times New Roman" w:hAnsi="Times New Roman"/>
          <w:noProof/>
          <w:sz w:val="24"/>
        </w:rPr>
        <w:t xml:space="preserve"> pe care Uniunea le pune la dispoziția statelor membre pentru a facilita </w:t>
      </w:r>
      <w:r>
        <w:rPr>
          <w:rFonts w:ascii="Times New Roman" w:hAnsi="Times New Roman"/>
          <w:b/>
          <w:noProof/>
          <w:sz w:val="24"/>
        </w:rPr>
        <w:t>schimbul de informații</w:t>
      </w:r>
      <w:r>
        <w:rPr>
          <w:rFonts w:ascii="Times New Roman" w:hAnsi="Times New Roman"/>
          <w:noProof/>
          <w:sz w:val="24"/>
        </w:rPr>
        <w:t xml:space="preserve"> între autoritățile naționale de aplicare a legii. Lacunele critice rămase pot necesita instrumente suplimentare ale UE, </w:t>
      </w:r>
      <w:r>
        <w:rPr>
          <w:rFonts w:ascii="Times New Roman" w:hAnsi="Times New Roman"/>
          <w:b/>
          <w:noProof/>
          <w:sz w:val="24"/>
        </w:rPr>
        <w:t>asigurând, în același timp, interoperabilitatea efectivă a sistemelor existente</w:t>
      </w:r>
      <w:r>
        <w:rPr>
          <w:rFonts w:ascii="Times New Roman" w:hAnsi="Times New Roman"/>
          <w:noProof/>
          <w:sz w:val="24"/>
        </w:rPr>
        <w:t>.</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Existența unor sisteme diferite de schimb de informații care sunt utilizate de diferite autorități de aplicare a legii în scopuri diferite, însă sunt toate relevante pentru lupta împotriva traficului ilegal de arme de foc și explozivi, subliniază necesitatea unei interconectivități tehnice sporite. Comisia va evalua modalitățile optime de asigurare a compatibilității lor efective.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În acest sens, Comisia va acorda o atenție deosebită necesității de a consolida cooperarea dintre poliție și serviciile vamale, ținând cont de sistemul de schimb de informații privind circulația armelor de foc în interiorul UE care urmează să fie dezvoltat în cadrul proiectului de revizuire a Directivei privind armele de foc, prezentat la 18 noiembrie 2015.</w:t>
      </w:r>
    </w:p>
    <w:p>
      <w:pPr>
        <w:pStyle w:val="Body"/>
        <w:spacing w:before="240" w:after="0" w:line="240" w:lineRule="auto"/>
        <w:jc w:val="both"/>
        <w:rPr>
          <w:rFonts w:ascii="Times New Roman" w:eastAsia="Times New Roman" w:hAnsi="Times New Roman" w:cs="Times New Roman"/>
          <w:i/>
          <w:noProof/>
          <w:color w:val="auto"/>
          <w:sz w:val="24"/>
          <w:szCs w:val="24"/>
        </w:rPr>
      </w:pPr>
      <w:r>
        <w:rPr>
          <w:rFonts w:ascii="Times New Roman" w:hAnsi="Times New Roman"/>
          <w:b/>
          <w:i/>
          <w:noProof/>
          <w:color w:val="auto"/>
          <w:sz w:val="24"/>
        </w:rPr>
        <w:t>Asigurarea interoperabilității între iARMS/SIS II/UMF</w:t>
      </w:r>
      <w:r>
        <w:rPr>
          <w:rFonts w:ascii="Times New Roman" w:hAnsi="Times New Roman"/>
          <w:i/>
          <w:noProof/>
          <w:color w:val="auto"/>
          <w:sz w:val="24"/>
        </w:rPr>
        <w:t xml:space="preserve"> </w:t>
      </w:r>
    </w:p>
    <w:p>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imes New Roman"/>
          <w:noProof/>
          <w:bdr w:val="none" w:sz="0" w:space="0" w:color="auto"/>
        </w:rPr>
      </w:pPr>
    </w:p>
    <w:p>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Calibri" w:cs="Calibri"/>
          <w:noProof/>
        </w:rPr>
      </w:pPr>
      <w:r>
        <w:rPr>
          <w:noProof/>
        </w:rPr>
        <w:t>În conformitate cu concluziile Consiliului din 8 octombrie 2015, Comisia invită statele membre să introducă în mod sistematic informații privind armele de foc căutate în SIS și să sporească introducerea de informații privind armele de foc în sistemul informațional Europol (EIS) și în Registrul de arme ilegale și sistemul de gestionare a urmăririi ale Interpol (iARMS), atunci când aceste date sunt disponibile</w:t>
      </w:r>
      <w:r>
        <w:rPr>
          <w:noProof/>
          <w:color w:val="000000"/>
          <w:u w:color="000000"/>
        </w:rPr>
        <w:t>.</w:t>
      </w:r>
    </w:p>
    <w:p>
      <w:pPr>
        <w:pStyle w:val="Body"/>
        <w:spacing w:before="240" w:after="0" w:line="240" w:lineRule="auto"/>
        <w:jc w:val="both"/>
        <w:rPr>
          <w:rFonts w:ascii="Times New Roman" w:eastAsia="Times New Roman" w:hAnsi="Times New Roman" w:cs="Times New Roman"/>
          <w:noProof/>
          <w:sz w:val="20"/>
          <w:szCs w:val="24"/>
          <w:vertAlign w:val="superscript"/>
        </w:rPr>
      </w:pPr>
      <w:r>
        <w:rPr>
          <w:rFonts w:ascii="Times New Roman" w:hAnsi="Times New Roman"/>
          <w:noProof/>
          <w:sz w:val="24"/>
        </w:rPr>
        <w:t xml:space="preserve">Interoperabilitatea între </w:t>
      </w:r>
      <w:r>
        <w:rPr>
          <w:rFonts w:ascii="Times New Roman" w:hAnsi="Times New Roman"/>
          <w:b/>
          <w:noProof/>
          <w:sz w:val="24"/>
        </w:rPr>
        <w:t>Sistemul de informații Schengen</w:t>
      </w:r>
      <w:r>
        <w:rPr>
          <w:rFonts w:ascii="Times New Roman" w:hAnsi="Times New Roman"/>
          <w:noProof/>
          <w:sz w:val="24"/>
        </w:rPr>
        <w:t xml:space="preserve"> (SIS)</w:t>
      </w:r>
      <w:r>
        <w:rPr>
          <w:rStyle w:val="FootnoteReference"/>
          <w:rFonts w:ascii="Times New Roman" w:hAnsi="Times New Roman"/>
          <w:noProof/>
          <w:sz w:val="24"/>
        </w:rPr>
        <w:footnoteReference w:id="36"/>
      </w:r>
      <w:r>
        <w:rPr>
          <w:rFonts w:ascii="Times New Roman" w:hAnsi="Times New Roman"/>
          <w:noProof/>
          <w:sz w:val="24"/>
        </w:rPr>
        <w:t xml:space="preserve"> și sistemul iARMS al INTERPOL</w:t>
      </w:r>
      <w:r>
        <w:rPr>
          <w:rFonts w:ascii="Times New Roman" w:hAnsi="Times New Roman"/>
          <w:noProof/>
          <w:sz w:val="24"/>
          <w:vertAlign w:val="superscript"/>
        </w:rPr>
        <w:footnoteReference w:id="37"/>
      </w:r>
      <w:r>
        <w:rPr>
          <w:rFonts w:ascii="Times New Roman" w:hAnsi="Times New Roman"/>
          <w:noProof/>
          <w:sz w:val="24"/>
        </w:rPr>
        <w:t xml:space="preserve"> ar facilita foarte mult acțiunea de aplicare a legii, sporindu-i eficacitatea.</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În practică, această interoperabilitate începe deja să prindă contur prin intermediul unor acțiuni în curs între Comisie și INTERPOL. INTERPOL a îmbunătățit programul informatic „FIND” pentru a acoperi, de asemenea, armele de foc și solicită statelor membre să se ofere voluntare pentru un </w:t>
      </w:r>
      <w:r>
        <w:rPr>
          <w:rFonts w:ascii="Times New Roman" w:hAnsi="Times New Roman"/>
          <w:b/>
          <w:noProof/>
          <w:sz w:val="24"/>
        </w:rPr>
        <w:t>proiect-pilot</w:t>
      </w:r>
      <w:r>
        <w:rPr>
          <w:rFonts w:ascii="Times New Roman" w:hAnsi="Times New Roman"/>
          <w:noProof/>
          <w:sz w:val="24"/>
        </w:rPr>
        <w:t xml:space="preserve"> care să aibă loc în prima jumătate a anului 2016 și să efectueze cercetări simultane în bazele de date naționale, SIS și iARMS. În cele din urmă, valorile „tip de armă de foc” pot fi căutate în ambele sisteme și se pot efectua comparații între tabelele care descriu mărcile de arme de foc.</w:t>
      </w:r>
    </w:p>
    <w:p>
      <w:pPr>
        <w:pStyle w:val="Body"/>
        <w:spacing w:before="240" w:after="0" w:line="240" w:lineRule="auto"/>
        <w:jc w:val="both"/>
        <w:rPr>
          <w:rFonts w:ascii="Times New Roman" w:hAnsi="Times New Roman"/>
          <w:b/>
          <w:noProof/>
          <w:sz w:val="24"/>
          <w:szCs w:val="24"/>
        </w:rPr>
      </w:pPr>
      <w:r>
        <w:rPr>
          <w:rFonts w:ascii="Times New Roman" w:hAnsi="Times New Roman"/>
          <w:noProof/>
          <w:sz w:val="24"/>
        </w:rPr>
        <w:t xml:space="preserve">Comisia va continua </w:t>
      </w:r>
      <w:r>
        <w:rPr>
          <w:rFonts w:ascii="Times New Roman" w:hAnsi="Times New Roman"/>
          <w:b/>
          <w:noProof/>
          <w:sz w:val="24"/>
        </w:rPr>
        <w:t>cooperarea cu Europol</w:t>
      </w:r>
      <w:r>
        <w:rPr>
          <w:rStyle w:val="FootnoteReference"/>
          <w:rFonts w:ascii="Times New Roman" w:hAnsi="Times New Roman"/>
          <w:noProof/>
          <w:sz w:val="24"/>
        </w:rPr>
        <w:footnoteReference w:id="38"/>
      </w:r>
      <w:r>
        <w:rPr>
          <w:rFonts w:ascii="Times New Roman" w:hAnsi="Times New Roman"/>
          <w:b/>
          <w:noProof/>
          <w:sz w:val="24"/>
        </w:rPr>
        <w:t>, INTERPOL și statele membre</w:t>
      </w:r>
      <w:r>
        <w:rPr>
          <w:rFonts w:ascii="Times New Roman" w:hAnsi="Times New Roman"/>
          <w:noProof/>
          <w:sz w:val="24"/>
        </w:rPr>
        <w:t xml:space="preserve"> în vederea asigurării interoperabilității dintre ambele sisteme până în iulie 2016. În acest scop, Comisia invită </w:t>
      </w:r>
      <w:r>
        <w:rPr>
          <w:rFonts w:ascii="Times New Roman" w:hAnsi="Times New Roman"/>
          <w:b/>
          <w:noProof/>
          <w:sz w:val="24"/>
        </w:rPr>
        <w:t>statele membre să participe la proiectul-pilot.</w:t>
      </w:r>
    </w:p>
    <w:p>
      <w:pPr>
        <w:pStyle w:val="Body"/>
        <w:spacing w:before="240" w:after="0" w:line="240" w:lineRule="auto"/>
        <w:jc w:val="both"/>
        <w:rPr>
          <w:rFonts w:ascii="Times New Roman" w:hAnsi="Times New Roman"/>
          <w:b/>
          <w:noProof/>
          <w:sz w:val="24"/>
          <w:szCs w:val="24"/>
        </w:rPr>
      </w:pPr>
      <w:r>
        <w:rPr>
          <w:rFonts w:ascii="Times New Roman" w:hAnsi="Times New Roman"/>
          <w:noProof/>
          <w:sz w:val="24"/>
        </w:rPr>
        <w:t>În același timp, accesul de către toate autoritățile naționale de aplicare a legii, autoritățile de frontieră și autoritățile vamale, în limitele mandatelor respective ale acestora, ar îmbunătăți considerabil eficiența activităților operaționale de pe teren. Posibilitatea de a introduce sau căuta informații în mod simultan în mai multe baze de date care conțin informații similare sau complementare ar trebui să continue să fie exploatată.</w:t>
      </w:r>
    </w:p>
    <w:p>
      <w:pPr>
        <w:pStyle w:val="Body"/>
        <w:spacing w:before="240" w:after="0" w:line="240" w:lineRule="auto"/>
        <w:jc w:val="both"/>
        <w:rPr>
          <w:rFonts w:ascii="Times New Roman" w:hAnsi="Times New Roman"/>
          <w:b/>
          <w:i/>
          <w:noProof/>
          <w:sz w:val="24"/>
          <w:szCs w:val="24"/>
        </w:rPr>
      </w:pPr>
      <w:r>
        <w:rPr>
          <w:rFonts w:ascii="Times New Roman" w:hAnsi="Times New Roman"/>
          <w:b/>
          <w:i/>
          <w:noProof/>
          <w:sz w:val="24"/>
        </w:rPr>
        <w:t>Îmbunătățirea schimbului de informații balistice</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Majoritatea armelor de foc au propriile caracteristici distinctive unice și chiar în cazul în care arma de foc nu au fost lăsată la locul faptei, informații esențiale pot fi, totuși, determinate din glonț, natura plăgii (dacă este cazul) și orice reziduu care este lăsat în jurul acesteia.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În prezent, în UE nu există un sistem de analiză a datelor balistice și niciun registru central care să integreze și compare această analiză. Până în prezent, statele membre ale UE utilizează, de obicei, două sisteme diferite.</w:t>
      </w:r>
      <w:r>
        <w:rPr>
          <w:rFonts w:ascii="Times New Roman" w:hAnsi="Times New Roman"/>
          <w:noProof/>
          <w:sz w:val="24"/>
          <w:vertAlign w:val="superscript"/>
        </w:rPr>
        <w:footnoteReference w:id="39"/>
      </w:r>
      <w:r>
        <w:rPr>
          <w:rFonts w:ascii="Times New Roman" w:hAnsi="Times New Roman"/>
          <w:noProof/>
          <w:sz w:val="24"/>
        </w:rPr>
        <w:t xml:space="preserve"> În cadrul celui de-Al 7-lea Program-cadru, Comisia a susținut un proiect (Platforma Odiseea) cu scopul de a aborda problema analizei criminalității și a datelor balistice preluate din diferite sisteme balistice din întreaga Europă</w:t>
      </w:r>
      <w:r>
        <w:rPr>
          <w:rStyle w:val="FootnoteReference"/>
          <w:rFonts w:ascii="Times New Roman" w:hAnsi="Times New Roman"/>
          <w:noProof/>
          <w:sz w:val="24"/>
        </w:rPr>
        <w:footnoteReference w:id="40"/>
      </w:r>
      <w:r>
        <w:rPr>
          <w:rFonts w:ascii="Times New Roman" w:hAnsi="Times New Roman"/>
          <w:noProof/>
          <w:sz w:val="24"/>
        </w:rPr>
        <w:t xml:space="preserve">. În urma constatărilor din proiectul Odiseea, Comisia va facilita </w:t>
      </w:r>
      <w:r>
        <w:rPr>
          <w:rFonts w:ascii="Times New Roman" w:hAnsi="Times New Roman"/>
          <w:b/>
          <w:noProof/>
          <w:sz w:val="24"/>
        </w:rPr>
        <w:t>schimbul de informații balistice prin intermediul unei platforme specifice</w:t>
      </w:r>
      <w:r>
        <w:rPr>
          <w:rFonts w:ascii="Times New Roman" w:hAnsi="Times New Roman"/>
          <w:noProof/>
          <w:sz w:val="24"/>
        </w:rPr>
        <w:t xml:space="preserve"> folosind Rețeaua de informații balistice și alte sisteme relevante utilizate de către statele membre. </w:t>
      </w:r>
    </w:p>
    <w:p>
      <w:pPr>
        <w:pStyle w:val="Body"/>
        <w:spacing w:before="240" w:after="0" w:line="240" w:lineRule="auto"/>
        <w:jc w:val="both"/>
        <w:rPr>
          <w:rFonts w:ascii="Times New Roman" w:eastAsia="Times New Roman" w:hAnsi="Times New Roman" w:cs="Times New Roman"/>
          <w:b/>
          <w:bCs/>
          <w:i/>
          <w:noProof/>
          <w:sz w:val="24"/>
          <w:szCs w:val="24"/>
        </w:rPr>
      </w:pPr>
      <w:r>
        <w:rPr>
          <w:rFonts w:ascii="Times New Roman" w:hAnsi="Times New Roman"/>
          <w:b/>
          <w:i/>
          <w:noProof/>
          <w:sz w:val="24"/>
        </w:rPr>
        <w:t>Utilizarea pe scară largă a iTRACE</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Comunitatea internațională nu dispune în prezent de informații concrete cu privire la când, unde și în ce mod armele convenționale produse în mod legal intră pe piața ilegală și sunt deturnate către actori implicați în conflicte armate sau către alți utilizatori finali ilegali.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UE finanțează, prin urmare, proiectul „iTRACE”</w:t>
      </w:r>
      <w:r>
        <w:rPr>
          <w:rFonts w:ascii="Times New Roman" w:hAnsi="Times New Roman"/>
          <w:noProof/>
          <w:sz w:val="24"/>
          <w:vertAlign w:val="superscript"/>
        </w:rPr>
        <w:footnoteReference w:id="41"/>
      </w:r>
      <w:r>
        <w:rPr>
          <w:rFonts w:ascii="Times New Roman" w:hAnsi="Times New Roman"/>
          <w:noProof/>
          <w:sz w:val="24"/>
        </w:rPr>
        <w:t>. Pe baza rezultatelor sale pozitive</w:t>
      </w:r>
      <w:r>
        <w:rPr>
          <w:rStyle w:val="FootnoteReference"/>
          <w:rFonts w:ascii="Times New Roman" w:hAnsi="Times New Roman"/>
          <w:noProof/>
          <w:sz w:val="24"/>
        </w:rPr>
        <w:footnoteReference w:id="42"/>
      </w:r>
      <w:r>
        <w:rPr>
          <w:rFonts w:ascii="Times New Roman" w:hAnsi="Times New Roman"/>
          <w:noProof/>
          <w:sz w:val="24"/>
        </w:rPr>
        <w:t xml:space="preserve">, UE sprijină o a doua etapă a programului iTRACE, inclusiv intensificarea investigațiilor pe teren și extinderea domeniului geografic de aplicare al instrumentului. Cu toate acestea, este evident că progresul depinde de state, inclusiv de toate statele membre ale UE, care răspund la cererile de urmărire. În plus, orice detectare de orice autoritate națională de aplicare a legii ar trebui să fie verificată cu ajutorul acestui instrument. În acest scop, Comisia va lua în considerare, pentru statele membre ale UE, necesitatea unor norme obligatorii în acest domeniu.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Comisia va sprijini </w:t>
      </w:r>
      <w:r>
        <w:rPr>
          <w:rFonts w:ascii="Times New Roman" w:hAnsi="Times New Roman"/>
          <w:b/>
          <w:noProof/>
          <w:sz w:val="24"/>
        </w:rPr>
        <w:t>cooperarea strânsă între Europol, INTERPOL, principalii actori iTRACE și alte organisme relevante,</w:t>
      </w:r>
      <w:r>
        <w:rPr>
          <w:rFonts w:ascii="Times New Roman" w:hAnsi="Times New Roman"/>
          <w:noProof/>
          <w:sz w:val="24"/>
        </w:rPr>
        <w:t xml:space="preserve"> cum ar fi autoritățile vamale și autoritățile însărcinate cu eliberarea licențelor de import și export de arme de foc, pentru a optimiza cooperarea operațională, trasabilitatea și prevenirea deturnării armelor de foc către piața ilegală.</w:t>
      </w:r>
    </w:p>
    <w:p>
      <w:pPr>
        <w:pStyle w:val="Body"/>
        <w:spacing w:before="240" w:after="0" w:line="240" w:lineRule="auto"/>
        <w:jc w:val="both"/>
        <w:rPr>
          <w:rFonts w:ascii="Times New Roman" w:eastAsia="Times New Roman" w:hAnsi="Times New Roman" w:cs="Times New Roman"/>
          <w:b/>
          <w:i/>
          <w:iCs/>
          <w:noProof/>
          <w:sz w:val="24"/>
          <w:szCs w:val="24"/>
        </w:rPr>
      </w:pPr>
      <w:r>
        <w:rPr>
          <w:rFonts w:ascii="Times New Roman" w:hAnsi="Times New Roman"/>
          <w:b/>
          <w:i/>
          <w:noProof/>
          <w:sz w:val="24"/>
        </w:rPr>
        <w:t>Dezvoltarea sistemului de analiză al Europol și asigurarea utilizării depline a punctului focal al Europol privind armele de foc</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Se preconizează că Europol va începe utilizarea unei noi </w:t>
      </w:r>
      <w:r>
        <w:rPr>
          <w:rFonts w:ascii="Times New Roman" w:hAnsi="Times New Roman"/>
          <w:b/>
          <w:noProof/>
          <w:sz w:val="24"/>
        </w:rPr>
        <w:t>Platforme pentru Sistemul de Analiză al Europol (EAS)</w:t>
      </w:r>
      <w:r>
        <w:rPr>
          <w:rFonts w:ascii="Times New Roman" w:hAnsi="Times New Roman"/>
          <w:noProof/>
          <w:sz w:val="24"/>
        </w:rPr>
        <w:t>în 2016, un puternic instrument analitic în sprijinul analizei operaționale și strategice a datelor furnizate de către statele membre și părțile terțe. Aceasta este concepută ca unul din principalele sisteme de prelucrare a informațiilor ale Europol. Comisia va depune eforturi pentru a asigura punerea în aplicare rapidă și cuprinzătoare a acestui instrument prin acordarea de asistență statelor membre și sprijinirea eforturilor complementare de a îmbunătăți monitorizarea sistematică a armelor de foc. Comisia va examina necesitatea unor norme obligatorii în acest domeniu, pentru a îmbunătăți capacitatea de analiză a Europol în sprijinul tuturor autorităților de aplicare a legii din statele membre.</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La solicitarea Consiliului în 2014, Europol a înființat un </w:t>
      </w:r>
      <w:r>
        <w:rPr>
          <w:rFonts w:ascii="Times New Roman" w:hAnsi="Times New Roman"/>
          <w:b/>
          <w:noProof/>
          <w:sz w:val="24"/>
        </w:rPr>
        <w:t>punct focal privind armele de foc</w:t>
      </w:r>
      <w:r>
        <w:rPr>
          <w:rFonts w:ascii="Times New Roman" w:hAnsi="Times New Roman"/>
          <w:noProof/>
          <w:sz w:val="24"/>
        </w:rPr>
        <w:t>. Acesta oferă sprijin operațional și strategic anchetelor în curs. 21 de state membre</w:t>
      </w:r>
      <w:r>
        <w:rPr>
          <w:rFonts w:ascii="Times New Roman" w:hAnsi="Times New Roman"/>
          <w:noProof/>
          <w:sz w:val="24"/>
          <w:vertAlign w:val="superscript"/>
        </w:rPr>
        <w:footnoteReference w:id="43"/>
      </w:r>
      <w:r>
        <w:rPr>
          <w:rFonts w:ascii="Times New Roman" w:hAnsi="Times New Roman"/>
          <w:noProof/>
          <w:sz w:val="24"/>
        </w:rPr>
        <w:t xml:space="preserve"> și 6 părți terțe partenere sunt în prezent asociate</w:t>
      </w:r>
      <w:r>
        <w:rPr>
          <w:rFonts w:ascii="Times New Roman" w:hAnsi="Times New Roman"/>
          <w:noProof/>
          <w:sz w:val="24"/>
          <w:vertAlign w:val="superscript"/>
        </w:rPr>
        <w:footnoteReference w:id="44"/>
      </w:r>
      <w:r>
        <w:rPr>
          <w:rFonts w:ascii="Times New Roman" w:hAnsi="Times New Roman"/>
          <w:noProof/>
          <w:sz w:val="24"/>
        </w:rPr>
        <w:t xml:space="preserve"> la acest punct focal. Începând de la înființare, punctul focal privind armele de foc a primit 3 089 de contribuții, numărul cazurilor de investigație ridicându-se la aproximativ 625, incluzând informații privind 35 000 de arme de foc, 28 700 de persoane și aproximativ 3 216 societăți suspectate. În acest an, punctul focal privind armele de foc a primit 1 750 de contribuții. Comisia îndeamnă </w:t>
      </w:r>
      <w:r>
        <w:rPr>
          <w:rFonts w:ascii="Times New Roman" w:hAnsi="Times New Roman"/>
          <w:b/>
          <w:noProof/>
          <w:sz w:val="24"/>
        </w:rPr>
        <w:t>toate statele membre să facă schimb de informații în mod proactiv și să participe pe deplin la acțiunile punctului focal privind armele de foc</w:t>
      </w:r>
      <w:r>
        <w:rPr>
          <w:rFonts w:ascii="Times New Roman" w:hAnsi="Times New Roman"/>
          <w:noProof/>
          <w:sz w:val="24"/>
        </w:rPr>
        <w:t xml:space="preserve">. </w:t>
      </w:r>
    </w:p>
    <w:p>
      <w:pPr>
        <w:pStyle w:val="Body"/>
        <w:keepNext/>
        <w:spacing w:before="240" w:after="0" w:line="240" w:lineRule="auto"/>
        <w:jc w:val="both"/>
        <w:rPr>
          <w:rFonts w:ascii="Times New Roman" w:eastAsia="Times New Roman" w:hAnsi="Times New Roman" w:cs="Times New Roman"/>
          <w:b/>
          <w:bCs/>
          <w:i/>
          <w:noProof/>
          <w:sz w:val="24"/>
          <w:szCs w:val="24"/>
        </w:rPr>
      </w:pPr>
      <w:r>
        <w:rPr>
          <w:rFonts w:ascii="Times New Roman" w:hAnsi="Times New Roman"/>
          <w:b/>
          <w:i/>
          <w:noProof/>
          <w:sz w:val="24"/>
        </w:rPr>
        <w:t>Maximizarea utilizării Sistemului european de date privind bombele (EBDS)</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În cadrul Planului de acțiune al UE privind explozivii, Comisia a finanțat dezvoltarea </w:t>
      </w:r>
      <w:r>
        <w:rPr>
          <w:rFonts w:ascii="Times New Roman" w:hAnsi="Times New Roman"/>
          <w:b/>
          <w:noProof/>
          <w:sz w:val="24"/>
        </w:rPr>
        <w:t>Sistemului european de date privind bombele (EBDS</w:t>
      </w:r>
      <w:r>
        <w:rPr>
          <w:rFonts w:ascii="Times New Roman" w:hAnsi="Times New Roman"/>
          <w:noProof/>
          <w:sz w:val="24"/>
        </w:rPr>
        <w:t xml:space="preserve">), care este gestionat în prezent de către Europol. EBDS conectează aproape toate statele membre, precum și Norvegia și Comisia, și poate fi utilizat pentru schimbul de date tehnice privind explozivii și materialele CBRN, precum și incidentele, tendințele și dispozitivele. </w:t>
      </w:r>
    </w:p>
    <w:p>
      <w:pPr>
        <w:pStyle w:val="Body"/>
        <w:spacing w:before="240" w:after="0" w:line="240" w:lineRule="auto"/>
        <w:jc w:val="both"/>
        <w:rPr>
          <w:rFonts w:ascii="Times New Roman" w:hAnsi="Times New Roman"/>
          <w:noProof/>
          <w:sz w:val="24"/>
          <w:szCs w:val="24"/>
        </w:rPr>
      </w:pPr>
      <w:r>
        <w:rPr>
          <w:rFonts w:ascii="Times New Roman" w:hAnsi="Times New Roman"/>
          <w:b/>
          <w:noProof/>
          <w:sz w:val="24"/>
        </w:rPr>
        <w:t>Conectivitatea integrală</w:t>
      </w:r>
      <w:r>
        <w:rPr>
          <w:rFonts w:ascii="Times New Roman" w:hAnsi="Times New Roman"/>
          <w:noProof/>
          <w:sz w:val="24"/>
        </w:rPr>
        <w:t xml:space="preserve"> a utilizatorilor relevanți din statele membre ar trebui asigurată și ar trebui depuse eforturi suplimentare pentru identificarea tuturor utilizatorilor relevanți posibili precum și pentru formarea acestora. În plus, Comisia, împreună cu Europol, va evalua dacă EBDS ar trebui să includă informații de tip „avertizare timpurie”</w:t>
      </w:r>
      <w:r>
        <w:rPr>
          <w:rStyle w:val="FootnoteReference"/>
          <w:rFonts w:ascii="Times New Roman" w:hAnsi="Times New Roman"/>
          <w:noProof/>
          <w:sz w:val="24"/>
        </w:rPr>
        <w:footnoteReference w:id="45"/>
      </w:r>
      <w:r>
        <w:rPr>
          <w:rFonts w:ascii="Times New Roman" w:hAnsi="Times New Roman"/>
          <w:noProof/>
          <w:sz w:val="24"/>
        </w:rPr>
        <w:t>, capacități de detecție, precum și necesitatea de a lega sau nu acest sistem de alte baze de date europene selectate. Pentru a completa informațiile transmise prin intermediul EBDS, Comisia va propune informări periodice într-un mediu clasificat destinate statelor membre și Europol cu scopul de a partaja evaluări specializate ale amenințării privind explozivii.</w:t>
      </w:r>
    </w:p>
    <w:p>
      <w:pPr>
        <w:pStyle w:val="Body"/>
        <w:spacing w:after="0" w:line="240" w:lineRule="auto"/>
        <w:jc w:val="both"/>
        <w:rPr>
          <w:rFonts w:ascii="Times New Roman" w:hAnsi="Times New Roman"/>
          <w:noProof/>
          <w:sz w:val="24"/>
          <w:szCs w:val="24"/>
        </w:rPr>
      </w:pPr>
    </w:p>
    <w:tbl>
      <w:tblPr>
        <w:tblW w:w="9288"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trPr>
          <w:trHeight w:val="1673"/>
        </w:trPr>
        <w:tc>
          <w:tcPr>
            <w:tcW w:w="9288" w:type="dxa"/>
          </w:tcPr>
          <w:p>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jc w:val="both"/>
              <w:rPr>
                <w:rFonts w:ascii="Times New Roman" w:hAnsi="Times New Roman"/>
                <w:b/>
                <w:bCs/>
                <w:noProof/>
                <w:sz w:val="24"/>
                <w:szCs w:val="24"/>
              </w:rPr>
            </w:pPr>
            <w:r>
              <w:rPr>
                <w:rFonts w:ascii="Times New Roman" w:hAnsi="Times New Roman"/>
                <w:b/>
                <w:noProof/>
                <w:sz w:val="24"/>
              </w:rPr>
              <w:t>Acțiuni specifice:</w:t>
            </w:r>
          </w:p>
          <w:p>
            <w:pPr>
              <w:pStyle w:val="Body"/>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81"/>
              <w:jc w:val="both"/>
              <w:rPr>
                <w:rFonts w:ascii="Times New Roman" w:eastAsia="Times New Roman" w:hAnsi="Times New Roman" w:cs="Times New Roman"/>
                <w:bCs/>
                <w:i/>
                <w:noProof/>
                <w:sz w:val="24"/>
                <w:szCs w:val="24"/>
              </w:rPr>
            </w:pPr>
            <w:r>
              <w:rPr>
                <w:rFonts w:ascii="Times New Roman" w:hAnsi="Times New Roman"/>
                <w:i/>
                <w:noProof/>
                <w:sz w:val="24"/>
              </w:rPr>
              <w:t xml:space="preserve">evaluarea sistemelor existente de schimb de informații relevante pentru lupta împotriva traficului de arme de foc și explozivi, pentru a le asigura compatibilitatea tehnică, cu o atenție deosebită acordată necesității de a consolida cooperarea poliției cu autoritățile vamale și dezvoltarea prevăzută în proiectul de directivă privind armele de foc; </w:t>
            </w:r>
          </w:p>
          <w:p>
            <w:pPr>
              <w:pStyle w:val="Body"/>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81"/>
              <w:jc w:val="both"/>
              <w:rPr>
                <w:rFonts w:ascii="Times New Roman" w:eastAsia="Times New Roman" w:hAnsi="Times New Roman" w:cs="Times New Roman"/>
                <w:bCs/>
                <w:i/>
                <w:noProof/>
                <w:sz w:val="24"/>
                <w:szCs w:val="24"/>
              </w:rPr>
            </w:pPr>
            <w:r>
              <w:rPr>
                <w:rFonts w:ascii="Times New Roman" w:hAnsi="Times New Roman"/>
                <w:i/>
                <w:noProof/>
                <w:sz w:val="24"/>
              </w:rPr>
              <w:t>asigurarea interoperabilității efective între sistemele de informații existente, inclusiv iARMS/SIS II în legătură cu UMF;</w:t>
            </w:r>
          </w:p>
          <w:p>
            <w:pPr>
              <w:pStyle w:val="Body"/>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81"/>
              <w:jc w:val="both"/>
              <w:rPr>
                <w:rFonts w:ascii="Times New Roman" w:eastAsia="Times New Roman" w:hAnsi="Times New Roman" w:cs="Times New Roman"/>
                <w:i/>
                <w:iCs/>
                <w:noProof/>
                <w:sz w:val="24"/>
                <w:szCs w:val="24"/>
              </w:rPr>
            </w:pPr>
            <w:r>
              <w:rPr>
                <w:rFonts w:ascii="Times New Roman" w:hAnsi="Times New Roman"/>
                <w:i/>
                <w:noProof/>
                <w:sz w:val="24"/>
              </w:rPr>
              <w:t>extinderea utilizării iTRACE, a Sistemului european de date privind bombele (EBDS) și a Sistemului de analiză al Europol, asigurând, în același timp, utilizarea integrală a punctului său focal privind armele de foc;</w:t>
            </w:r>
          </w:p>
          <w:p>
            <w:pPr>
              <w:pStyle w:val="Body"/>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ind w:left="777" w:hanging="357"/>
              <w:jc w:val="both"/>
              <w:rPr>
                <w:rFonts w:ascii="Times New Roman" w:hAnsi="Times New Roman"/>
                <w:noProof/>
                <w:sz w:val="24"/>
                <w:szCs w:val="24"/>
              </w:rPr>
            </w:pPr>
            <w:r>
              <w:rPr>
                <w:rFonts w:ascii="Times New Roman" w:hAnsi="Times New Roman"/>
                <w:i/>
                <w:noProof/>
                <w:sz w:val="24"/>
              </w:rPr>
              <w:t>consolidarea schimbului de informații balistice prin intermediul unei platforme specifice.</w:t>
            </w:r>
          </w:p>
        </w:tc>
      </w:tr>
    </w:tbl>
    <w:p>
      <w:pPr>
        <w:pStyle w:val="Heading1"/>
        <w:numPr>
          <w:ilvl w:val="0"/>
          <w:numId w:val="0"/>
        </w:numPr>
        <w:ind w:left="480"/>
        <w:rPr>
          <w:noProof/>
        </w:rPr>
      </w:pPr>
    </w:p>
    <w:p>
      <w:pPr>
        <w:pStyle w:val="Heading1"/>
        <w:rPr>
          <w:noProof/>
        </w:rPr>
      </w:pPr>
      <w:r>
        <w:rPr>
          <w:noProof/>
        </w:rPr>
        <w:t>CONSOLIDAREA COOPERĂRII CU ȚĂRILE TERȚE</w:t>
      </w:r>
    </w:p>
    <w:p>
      <w:pPr>
        <w:pStyle w:val="Text1"/>
        <w:spacing w:before="240"/>
        <w:ind w:left="0"/>
        <w:jc w:val="both"/>
        <w:rPr>
          <w:noProof/>
        </w:rPr>
      </w:pPr>
      <w:r>
        <w:rPr>
          <w:noProof/>
        </w:rPr>
        <w:t>Astfel cum se prevede în Comunicarea comună a Comisiei Europene și a Înaltului Reprezentant al Uniunii pentru afaceri externe și politica de securitate privind revizuirea politicii europene de vecinătate</w:t>
      </w:r>
      <w:r>
        <w:rPr>
          <w:rStyle w:val="FootnoteReference"/>
          <w:noProof/>
        </w:rPr>
        <w:footnoteReference w:id="46"/>
      </w:r>
      <w:r>
        <w:rPr>
          <w:noProof/>
        </w:rPr>
        <w:t>, adoptată la 18 noiembrie 2015, UE își va intensifica cooperarea cu țările vecine în ceea ce privește aspectele de securitate, inclusiv cu privire la combaterea traficului de ființe umane, a traficului ilegal de arme de calibru mic și armament ușor (SALW), precum și la cooperarea în materie de droguri.</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Traficul și utilizarea ilegale de arme de foc și explozivi ar trebui să fie, în mod sistematic, </w:t>
      </w:r>
      <w:r>
        <w:rPr>
          <w:rFonts w:ascii="Times New Roman" w:hAnsi="Times New Roman"/>
          <w:b/>
          <w:noProof/>
          <w:sz w:val="24"/>
        </w:rPr>
        <w:t>integrate în cadrul dialogurilor de securitate</w:t>
      </w:r>
      <w:r>
        <w:rPr>
          <w:rFonts w:ascii="Times New Roman" w:hAnsi="Times New Roman"/>
          <w:noProof/>
          <w:sz w:val="24"/>
        </w:rPr>
        <w:t xml:space="preserve"> cu principalele țări</w:t>
      </w:r>
      <w:r>
        <w:rPr>
          <w:rFonts w:ascii="Times New Roman" w:hAnsi="Times New Roman"/>
          <w:b/>
          <w:noProof/>
          <w:sz w:val="24"/>
        </w:rPr>
        <w:t xml:space="preserve"> </w:t>
      </w:r>
      <w:r>
        <w:rPr>
          <w:rFonts w:ascii="Times New Roman" w:hAnsi="Times New Roman"/>
          <w:noProof/>
          <w:sz w:val="24"/>
        </w:rPr>
        <w:t>și organizații partenere. De asemenea, aceste dialoguri ar trebui, să conducă, acolo unde este relevant, la planuri de acțiune comune specifice privind armele de foc și, acolo unde este posibil, privind explozivii, incluzând agențiile UE, cum ar fi Europol, Eurojust și CEPOL, precum și organizațiile internaționale relevante cum ar fi ONU și INTERPOL. Asistența financiară a UE ar putea fi, de asemenea, avută în vedere în anumite cazuri (precum armele de foc confiscate/dezafectate), de exemplu în cadrul Instrumentului care contribuie la stabilitate și pace, al altor programe de asistență ale UE sau al bugetului PESC.</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Formarea și alte măsuri de sprijin (inclusiv furnizarea de echipamente și instrumente relevante) pentru a consolida capacitățile țărilor partenere </w:t>
      </w:r>
      <w:r>
        <w:rPr>
          <w:rFonts w:ascii="Times New Roman" w:hAnsi="Times New Roman"/>
          <w:noProof/>
          <w:color w:val="auto"/>
          <w:sz w:val="24"/>
        </w:rPr>
        <w:t>și ale altor țări terțe relevante</w:t>
      </w:r>
      <w:r>
        <w:rPr>
          <w:rFonts w:ascii="Times New Roman" w:hAnsi="Times New Roman"/>
          <w:noProof/>
          <w:sz w:val="24"/>
        </w:rPr>
        <w:t xml:space="preserve"> împotriva traficului și utilizării ilegale a armelor de foc și explozivilor ar trebui, ori de câte ori este necesar, să fie incluse în programele de cooperare la nivel global, regional sau bilateral.</w:t>
      </w:r>
    </w:p>
    <w:p>
      <w:pPr>
        <w:pStyle w:val="Body"/>
        <w:spacing w:before="240" w:after="0" w:line="240" w:lineRule="auto"/>
        <w:jc w:val="both"/>
        <w:rPr>
          <w:rFonts w:ascii="Times New Roman" w:hAnsi="Times New Roman"/>
          <w:b/>
          <w:bCs/>
          <w:i/>
          <w:noProof/>
          <w:sz w:val="24"/>
          <w:szCs w:val="24"/>
        </w:rPr>
      </w:pPr>
      <w:r>
        <w:rPr>
          <w:rFonts w:ascii="Times New Roman" w:hAnsi="Times New Roman"/>
          <w:b/>
          <w:i/>
          <w:noProof/>
          <w:sz w:val="24"/>
        </w:rPr>
        <w:t>Consolidarea activităților operaționale și extinderea domeniului de aplicare al Planului de acțiune UE-Europa de Sud-Est</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UE și partenerii săi din Europa de Sud-Est au un interes comun în ceea ce privește sporirea cooperării lor împotriva amenințărilor reprezentate de traficul ilegal de arme și explozivi de război</w:t>
      </w:r>
      <w:r>
        <w:rPr>
          <w:rStyle w:val="FootnoteReference"/>
          <w:rFonts w:ascii="Times New Roman" w:hAnsi="Times New Roman"/>
          <w:noProof/>
          <w:sz w:val="20"/>
        </w:rPr>
        <w:footnoteReference w:id="47"/>
      </w:r>
      <w:r>
        <w:rPr>
          <w:noProof/>
        </w:rPr>
        <w:t>.</w:t>
      </w:r>
      <w:r>
        <w:rPr>
          <w:rFonts w:ascii="Times New Roman" w:hAnsi="Times New Roman"/>
          <w:noProof/>
          <w:sz w:val="24"/>
        </w:rPr>
        <w:t xml:space="preserve">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Această cooperare s-a dezvoltat în continuare prin adoptarea unui </w:t>
      </w:r>
      <w:r>
        <w:rPr>
          <w:rFonts w:ascii="Times New Roman" w:hAnsi="Times New Roman"/>
          <w:b/>
          <w:noProof/>
          <w:sz w:val="24"/>
        </w:rPr>
        <w:t>Plan de acțiune privind traficul ilegal de arme de foc între UE și regiunea Europei de Sud-Est pentru anii 2015-2019</w:t>
      </w:r>
      <w:r>
        <w:rPr>
          <w:rStyle w:val="FootnoteReference"/>
          <w:rFonts w:ascii="Times New Roman" w:hAnsi="Times New Roman"/>
          <w:noProof/>
          <w:sz w:val="20"/>
        </w:rPr>
        <w:footnoteReference w:id="48"/>
      </w:r>
      <w:r>
        <w:rPr>
          <w:rFonts w:ascii="Times New Roman" w:hAnsi="Times New Roman"/>
          <w:noProof/>
          <w:sz w:val="24"/>
        </w:rPr>
        <w:t>.</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Activitățile din cadrul Planului de acțiune ar trebui să fie </w:t>
      </w:r>
      <w:r>
        <w:rPr>
          <w:rFonts w:ascii="Times New Roman" w:hAnsi="Times New Roman"/>
          <w:b/>
          <w:noProof/>
          <w:color w:val="auto"/>
          <w:sz w:val="24"/>
        </w:rPr>
        <w:t xml:space="preserve">intensificate cu rapiditate </w:t>
      </w:r>
      <w:r>
        <w:rPr>
          <w:rFonts w:ascii="Times New Roman" w:hAnsi="Times New Roman"/>
          <w:noProof/>
          <w:sz w:val="24"/>
        </w:rPr>
        <w:t xml:space="preserve">pentru a continua reducerea fluxului ilegal de arme de foc către UE. Europol ar trebui </w:t>
      </w:r>
      <w:r>
        <w:rPr>
          <w:rFonts w:ascii="Times New Roman" w:hAnsi="Times New Roman"/>
          <w:b/>
          <w:noProof/>
          <w:sz w:val="24"/>
        </w:rPr>
        <w:t xml:space="preserve">să accelereze </w:t>
      </w:r>
      <w:r>
        <w:rPr>
          <w:rFonts w:ascii="Times New Roman" w:hAnsi="Times New Roman"/>
          <w:noProof/>
          <w:sz w:val="24"/>
        </w:rPr>
        <w:t>punerea în aplicare a</w:t>
      </w:r>
      <w:r>
        <w:rPr>
          <w:rFonts w:ascii="Times New Roman" w:hAnsi="Times New Roman"/>
          <w:b/>
          <w:noProof/>
          <w:sz w:val="24"/>
        </w:rPr>
        <w:t xml:space="preserve"> Planului de acțiune operațional pentru 2016</w:t>
      </w:r>
      <w:r>
        <w:rPr>
          <w:rFonts w:ascii="Times New Roman" w:hAnsi="Times New Roman"/>
          <w:noProof/>
          <w:sz w:val="24"/>
        </w:rPr>
        <w:t xml:space="preserve"> al ciclului de politici, îndeosebi prin organizarea de </w:t>
      </w:r>
      <w:r>
        <w:rPr>
          <w:rFonts w:ascii="Times New Roman" w:hAnsi="Times New Roman"/>
          <w:b/>
          <w:noProof/>
          <w:sz w:val="24"/>
        </w:rPr>
        <w:t>operațiuni comune bazate pe informații</w:t>
      </w:r>
      <w:r>
        <w:rPr>
          <w:rFonts w:ascii="Times New Roman" w:hAnsi="Times New Roman"/>
          <w:noProof/>
          <w:sz w:val="24"/>
        </w:rPr>
        <w:t xml:space="preserve">, precum și </w:t>
      </w:r>
      <w:r>
        <w:rPr>
          <w:rFonts w:ascii="Times New Roman" w:hAnsi="Times New Roman"/>
          <w:b/>
          <w:noProof/>
          <w:sz w:val="24"/>
        </w:rPr>
        <w:t xml:space="preserve">cooperarea mai strânsă între ofițerii de legătură </w:t>
      </w:r>
      <w:r>
        <w:rPr>
          <w:rFonts w:ascii="Times New Roman" w:hAnsi="Times New Roman"/>
          <w:noProof/>
          <w:sz w:val="24"/>
        </w:rPr>
        <w:t xml:space="preserve">din regiune și din </w:t>
      </w:r>
      <w:r>
        <w:rPr>
          <w:rFonts w:ascii="Times New Roman" w:hAnsi="Times New Roman"/>
          <w:b/>
          <w:noProof/>
          <w:sz w:val="24"/>
        </w:rPr>
        <w:t>rețeaua de experți în materie de arme de foc.</w:t>
      </w:r>
    </w:p>
    <w:p>
      <w:pPr>
        <w:pStyle w:val="Body"/>
        <w:spacing w:before="120" w:after="0" w:line="240" w:lineRule="auto"/>
        <w:jc w:val="both"/>
        <w:rPr>
          <w:rFonts w:ascii="Times New Roman" w:hAnsi="Times New Roman"/>
          <w:noProof/>
          <w:sz w:val="24"/>
          <w:szCs w:val="24"/>
        </w:rPr>
      </w:pPr>
      <w:r>
        <w:rPr>
          <w:rFonts w:ascii="Times New Roman" w:hAnsi="Times New Roman"/>
          <w:noProof/>
          <w:sz w:val="24"/>
        </w:rPr>
        <w:t xml:space="preserve">Comisia va organiza o a doua conferință la începutul anului 2016 cu partenerii săi din Balcanii de Vest pentru a </w:t>
      </w:r>
      <w:r>
        <w:rPr>
          <w:rFonts w:ascii="Times New Roman" w:hAnsi="Times New Roman"/>
          <w:b/>
          <w:noProof/>
          <w:sz w:val="24"/>
        </w:rPr>
        <w:t>evalua punerea în aplicare a Planului de acțiune</w:t>
      </w:r>
      <w:r>
        <w:rPr>
          <w:rFonts w:ascii="Times New Roman" w:hAnsi="Times New Roman"/>
          <w:noProof/>
          <w:sz w:val="24"/>
        </w:rPr>
        <w:t xml:space="preserve"> și a discuta etapele următoare, inclusiv propunerea de a extinde acest Plan de acțiune la explozivii ilegali. </w:t>
      </w:r>
    </w:p>
    <w:p>
      <w:pPr>
        <w:pStyle w:val="Body"/>
        <w:spacing w:before="240" w:after="0" w:line="240" w:lineRule="auto"/>
        <w:jc w:val="both"/>
        <w:rPr>
          <w:noProof/>
          <w:color w:val="1F497D"/>
        </w:rPr>
      </w:pPr>
      <w:r>
        <w:rPr>
          <w:rFonts w:ascii="Times New Roman" w:hAnsi="Times New Roman"/>
          <w:noProof/>
          <w:sz w:val="24"/>
        </w:rPr>
        <w:t>Țările din Balcanii de Vest pun în aplicare strategii naționale de combatere a traficului de arme și a proliferării armelor ușoare și de calibru mic. Progresele realizate în acest domeniu sunt, de asemenea, monitorizate în contextul negocierilor de aderare la capitolul 24 – Justiție, libertate și securitate.</w:t>
      </w:r>
      <w:r>
        <w:rPr>
          <w:noProof/>
          <w:color w:val="1F497D"/>
        </w:rPr>
        <w:t xml:space="preserve">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Pe baza învățămintelor trase din inițiative similare</w:t>
      </w:r>
      <w:r>
        <w:rPr>
          <w:rStyle w:val="FootnoteReference"/>
          <w:rFonts w:ascii="Times New Roman" w:hAnsi="Times New Roman"/>
          <w:noProof/>
          <w:sz w:val="24"/>
        </w:rPr>
        <w:footnoteReference w:id="49"/>
      </w:r>
      <w:r>
        <w:rPr>
          <w:rFonts w:ascii="Times New Roman" w:hAnsi="Times New Roman"/>
          <w:noProof/>
          <w:sz w:val="24"/>
        </w:rPr>
        <w:t xml:space="preserve">, Comisia, în parteneriat cu parteneri-cheie, va lua în considerare relevanța </w:t>
      </w:r>
      <w:r>
        <w:rPr>
          <w:rFonts w:ascii="Times New Roman" w:hAnsi="Times New Roman"/>
          <w:b/>
          <w:noProof/>
          <w:sz w:val="24"/>
        </w:rPr>
        <w:t>sistemelor de răscumpărare a armelor de foc</w:t>
      </w:r>
      <w:r>
        <w:rPr>
          <w:rFonts w:ascii="Times New Roman" w:hAnsi="Times New Roman"/>
          <w:noProof/>
          <w:sz w:val="24"/>
        </w:rPr>
        <w:t xml:space="preserve"> în regiune.</w:t>
      </w:r>
    </w:p>
    <w:p>
      <w:pPr>
        <w:pStyle w:val="Body"/>
        <w:spacing w:before="240" w:after="0" w:line="240" w:lineRule="auto"/>
        <w:jc w:val="both"/>
        <w:rPr>
          <w:rFonts w:ascii="Times New Roman" w:hAnsi="Times New Roman"/>
          <w:b/>
          <w:bCs/>
          <w:i/>
          <w:noProof/>
          <w:sz w:val="24"/>
          <w:szCs w:val="24"/>
        </w:rPr>
      </w:pPr>
      <w:r>
        <w:rPr>
          <w:rFonts w:ascii="Times New Roman" w:hAnsi="Times New Roman"/>
          <w:b/>
          <w:i/>
          <w:noProof/>
          <w:sz w:val="24"/>
        </w:rPr>
        <w:t>Consolidarea cooperării cu țările din Orientul Mijlociu și din Africa de Nord (MENA)</w:t>
      </w:r>
    </w:p>
    <w:p>
      <w:pPr>
        <w:jc w:val="both"/>
        <w:rPr>
          <w:noProof/>
        </w:rPr>
      </w:pPr>
    </w:p>
    <w:p>
      <w:pPr>
        <w:jc w:val="both"/>
        <w:rPr>
          <w:noProof/>
          <w:color w:val="1F497D"/>
        </w:rPr>
      </w:pPr>
      <w:r>
        <w:rPr>
          <w:noProof/>
        </w:rPr>
        <w:t xml:space="preserve">Instabilitatea actuală din regiunea MENA, în special conflictele prelungite din Libia și Siria, a făcut să crească în mod considerabil nivelul traficului ilegal de arme de foc în regiune. Aceasta reprezintă o importantă amenințare la adresa securității pe termen lung a UE, care trebuie să fie abordată de urgență.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UE a inițiat deja un dialog pentru a explora o eventuală viitoare cooperare cu țări MENA (în urma unor contacte prospective și a unei prime conferințe la nivel tehnic cu țări MENA la 1 octombrie 2015) și va căuta să </w:t>
      </w:r>
      <w:r>
        <w:rPr>
          <w:rFonts w:ascii="Times New Roman" w:hAnsi="Times New Roman"/>
          <w:b/>
          <w:noProof/>
          <w:sz w:val="24"/>
        </w:rPr>
        <w:t>consolideze cooperarea între agențiile de aplicare a legii relevante din UE/MENA</w:t>
      </w:r>
      <w:r>
        <w:rPr>
          <w:noProof/>
        </w:rPr>
        <w:t xml:space="preserve">, </w:t>
      </w:r>
      <w:r>
        <w:rPr>
          <w:rFonts w:ascii="Times New Roman" w:hAnsi="Times New Roman"/>
          <w:noProof/>
          <w:color w:val="auto"/>
          <w:sz w:val="24"/>
        </w:rPr>
        <w:t>să asigure</w:t>
      </w:r>
      <w:r>
        <w:rPr>
          <w:rFonts w:ascii="Times New Roman" w:hAnsi="Times New Roman"/>
          <w:b/>
          <w:noProof/>
          <w:color w:val="auto"/>
          <w:sz w:val="28"/>
        </w:rPr>
        <w:t xml:space="preserve"> </w:t>
      </w:r>
      <w:r>
        <w:rPr>
          <w:rFonts w:ascii="Times New Roman" w:hAnsi="Times New Roman"/>
          <w:b/>
          <w:noProof/>
          <w:sz w:val="24"/>
        </w:rPr>
        <w:t>asistență pentru construirea de capacități</w:t>
      </w:r>
      <w:r>
        <w:rPr>
          <w:rFonts w:ascii="Times New Roman" w:hAnsi="Times New Roman"/>
          <w:noProof/>
          <w:sz w:val="24"/>
        </w:rPr>
        <w:t xml:space="preserve"> în cadrul unor programe relevante regionale și/sau bilaterale</w:t>
      </w:r>
      <w:r>
        <w:rPr>
          <w:rStyle w:val="FootnoteReference"/>
          <w:rFonts w:ascii="Times New Roman" w:hAnsi="Times New Roman"/>
          <w:noProof/>
          <w:sz w:val="24"/>
        </w:rPr>
        <w:footnoteReference w:id="50"/>
      </w:r>
      <w:r>
        <w:rPr>
          <w:rFonts w:ascii="Times New Roman" w:hAnsi="Times New Roman"/>
          <w:noProof/>
          <w:sz w:val="24"/>
        </w:rPr>
        <w:t xml:space="preserve">, precum și să elaboreze </w:t>
      </w:r>
      <w:r>
        <w:rPr>
          <w:rFonts w:ascii="Times New Roman" w:hAnsi="Times New Roman"/>
          <w:b/>
          <w:noProof/>
          <w:sz w:val="24"/>
        </w:rPr>
        <w:t>acțiuni operaționale</w:t>
      </w:r>
      <w:r>
        <w:rPr>
          <w:rFonts w:ascii="Times New Roman" w:hAnsi="Times New Roman"/>
          <w:noProof/>
          <w:sz w:val="24"/>
        </w:rPr>
        <w:t xml:space="preserve"> într-un cadru convenit de comun acord.</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Această abordare regională trebuie să fie completată la nivel bilateral prin includerea sistematică a dimensiunii arme de foc și explozivi în dialogurile politice cu țările din MENA în cadrul acordurilor de asociere convenite în politica europeană de vecinătate, și în cadrul subcomitetelor conexe pentru justiție și afaceri interne și, acolo unde este cazul, în dialogurile specifice de combatere a terorismului (deja în curs de desfășurare cu Tunisia sau pe punctul de a începe cu Libanul, Iordania, Algeria și Marocul).</w:t>
      </w:r>
      <w:r>
        <w:rPr>
          <w:rFonts w:ascii="Times New Roman" w:hAnsi="Times New Roman"/>
          <w:b/>
          <w:noProof/>
          <w:sz w:val="24"/>
        </w:rPr>
        <w:t xml:space="preserve">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Răspândirea și traficul ilegale de arme convenționale pe teritoriul Libiei și provenind din </w:t>
      </w:r>
      <w:r>
        <w:rPr>
          <w:rFonts w:ascii="Times New Roman" w:hAnsi="Times New Roman"/>
          <w:b/>
          <w:noProof/>
          <w:sz w:val="24"/>
        </w:rPr>
        <w:t>Libia</w:t>
      </w:r>
      <w:r>
        <w:rPr>
          <w:rFonts w:ascii="Times New Roman" w:hAnsi="Times New Roman"/>
          <w:noProof/>
          <w:sz w:val="24"/>
        </w:rPr>
        <w:t xml:space="preserve"> continuă să alimenteze lipsa de securitate din regiune, inclusiv prin deturnarea suplimentară a dispozitivelor explozive improvizate (IED)</w:t>
      </w:r>
      <w:r>
        <w:rPr>
          <w:rStyle w:val="FootnoteReference"/>
          <w:rFonts w:ascii="Times New Roman" w:hAnsi="Times New Roman"/>
          <w:noProof/>
          <w:sz w:val="24"/>
        </w:rPr>
        <w:footnoteReference w:id="51"/>
      </w:r>
      <w:r>
        <w:rPr>
          <w:rFonts w:ascii="Times New Roman" w:hAnsi="Times New Roman"/>
          <w:noProof/>
          <w:sz w:val="24"/>
        </w:rPr>
        <w:t xml:space="preserve"> sau a MANPADs</w:t>
      </w:r>
      <w:r>
        <w:rPr>
          <w:rStyle w:val="FootnoteReference"/>
          <w:rFonts w:ascii="Times New Roman" w:hAnsi="Times New Roman"/>
          <w:noProof/>
          <w:sz w:val="24"/>
        </w:rPr>
        <w:footnoteReference w:id="52"/>
      </w:r>
      <w:r>
        <w:rPr>
          <w:rFonts w:ascii="Times New Roman" w:hAnsi="Times New Roman"/>
          <w:noProof/>
          <w:sz w:val="20"/>
        </w:rPr>
        <w:t>.</w:t>
      </w:r>
      <w:r>
        <w:rPr>
          <w:rFonts w:ascii="Times New Roman" w:hAnsi="Times New Roman"/>
          <w:noProof/>
          <w:sz w:val="24"/>
        </w:rPr>
        <w:t xml:space="preserve"> Se presupune că milițiile din Libia au confiscat, de asemenea, arme chimice din arsenale, depozitate în condiții precare, care riscă să cadă în mâinile grupărilor extremiste violente sau ale teroriștilor.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După formarea unui guvern de uniune națională, UE va reveni, cu titlu de prioritate și în coordonare cu alți parteneri internaționali relevanți, să ofere autorităților libiene programe de dezvoltare a capacității de combatere a terorismului. Combaterea traficului ilegal de arme de foc și a utilizării ilegale de explozivi va constitui o componentă vitală a unui astfel de pachet.</w:t>
      </w:r>
    </w:p>
    <w:p>
      <w:pPr>
        <w:pStyle w:val="Body"/>
        <w:spacing w:before="240" w:after="0" w:line="240" w:lineRule="auto"/>
        <w:jc w:val="both"/>
        <w:rPr>
          <w:rFonts w:ascii="Times New Roman" w:hAnsi="Times New Roman"/>
          <w:b/>
          <w:bCs/>
          <w:i/>
          <w:noProof/>
          <w:sz w:val="24"/>
          <w:szCs w:val="24"/>
        </w:rPr>
      </w:pPr>
      <w:r>
        <w:rPr>
          <w:rFonts w:ascii="Times New Roman" w:hAnsi="Times New Roman"/>
          <w:b/>
          <w:i/>
          <w:noProof/>
          <w:sz w:val="24"/>
        </w:rPr>
        <w:t>Consolidarea cooperării cu Ucraina</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Este atât în interesul UE, cât și al </w:t>
      </w:r>
      <w:r>
        <w:rPr>
          <w:rFonts w:ascii="Times New Roman" w:hAnsi="Times New Roman"/>
          <w:b/>
          <w:noProof/>
          <w:sz w:val="24"/>
        </w:rPr>
        <w:t>Ucrainei</w:t>
      </w:r>
      <w:r>
        <w:rPr>
          <w:rFonts w:ascii="Times New Roman" w:hAnsi="Times New Roman"/>
          <w:noProof/>
          <w:sz w:val="24"/>
        </w:rPr>
        <w:t xml:space="preserve"> de a consolida cooperarea împotriva amenințărilor comune reprezentate de traficul și utilizarea ilegale de arme de foc și explozivi. În același timp, UE ar trebui să își consolideze sprijinul pentru reforma sectorului securității civile în Ucraina, inclusiv în zona de interes care face obiectul prezentei comunicări.</w:t>
      </w:r>
    </w:p>
    <w:p>
      <w:pPr>
        <w:pStyle w:val="Body"/>
        <w:spacing w:before="240" w:after="0" w:line="240" w:lineRule="auto"/>
        <w:jc w:val="both"/>
        <w:rPr>
          <w:rFonts w:ascii="Times New Roman" w:hAnsi="Times New Roman"/>
          <w:b/>
          <w:i/>
          <w:noProof/>
          <w:sz w:val="24"/>
          <w:szCs w:val="24"/>
        </w:rPr>
      </w:pPr>
      <w:r>
        <w:rPr>
          <w:rFonts w:ascii="Times New Roman" w:hAnsi="Times New Roman"/>
          <w:b/>
          <w:i/>
          <w:noProof/>
          <w:sz w:val="24"/>
        </w:rPr>
        <w:t>Consolidarea cooperării cu Turcia</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Actualul dialog UE-Turcia privind combaterea terorismului ar trebui extins la traficul și utilizarea ilegale de arme de foc și explozivi.</w:t>
      </w:r>
    </w:p>
    <w:p>
      <w:pPr>
        <w:pStyle w:val="Body"/>
        <w:spacing w:before="240" w:after="0" w:line="240" w:lineRule="auto"/>
        <w:jc w:val="both"/>
        <w:rPr>
          <w:rFonts w:ascii="Times New Roman" w:hAnsi="Times New Roman"/>
          <w:b/>
          <w:bCs/>
          <w:i/>
          <w:noProof/>
          <w:sz w:val="24"/>
          <w:szCs w:val="24"/>
        </w:rPr>
      </w:pPr>
      <w:r>
        <w:rPr>
          <w:rFonts w:ascii="Times New Roman" w:hAnsi="Times New Roman"/>
          <w:b/>
          <w:i/>
          <w:noProof/>
          <w:sz w:val="24"/>
        </w:rPr>
        <w:t xml:space="preserve">Consolidarea cooperării cu alți actori regionali și organizații internaționale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 xml:space="preserve">Grupările teroriste și criminale se adaugă la situația instabilă a securității în </w:t>
      </w:r>
      <w:r>
        <w:rPr>
          <w:rFonts w:ascii="Times New Roman" w:hAnsi="Times New Roman"/>
          <w:b/>
          <w:noProof/>
          <w:sz w:val="24"/>
        </w:rPr>
        <w:t>Libia</w:t>
      </w:r>
      <w:r>
        <w:rPr>
          <w:rFonts w:ascii="Times New Roman" w:hAnsi="Times New Roman"/>
          <w:noProof/>
          <w:sz w:val="24"/>
        </w:rPr>
        <w:t xml:space="preserve">, cu un impact asupra Sahelului (de exemplu, Mali) și asupra </w:t>
      </w:r>
      <w:r>
        <w:rPr>
          <w:rFonts w:ascii="Times New Roman" w:hAnsi="Times New Roman"/>
          <w:noProof/>
          <w:color w:val="auto"/>
          <w:sz w:val="24"/>
        </w:rPr>
        <w:t>situației securității din regiunea Lacului Ciad (în special Nigeria).</w:t>
      </w:r>
      <w:r>
        <w:rPr>
          <w:rFonts w:ascii="Times New Roman" w:hAnsi="Times New Roman"/>
          <w:noProof/>
          <w:sz w:val="24"/>
        </w:rPr>
        <w:t xml:space="preserve"> Comisia, în coordonare cu SEAE, va asigura un sprijin relevant pentru a contracara aceste grupuri prin asistență legată de securitate, inclusiv, eventual, în cadrul Fondului fiduciar de urgență al Uniunii Europene pentru stabilitate nou</w:t>
      </w:r>
      <w:r>
        <w:rPr>
          <w:rFonts w:ascii="Times New Roman" w:hAnsi="Times New Roman" w:cs="Times New Roman"/>
          <w:noProof/>
          <w:sz w:val="24"/>
        </w:rPr>
        <w:t>­</w:t>
      </w:r>
      <w:r>
        <w:rPr>
          <w:rFonts w:ascii="Times New Roman" w:hAnsi="Times New Roman"/>
          <w:noProof/>
          <w:sz w:val="24"/>
        </w:rPr>
        <w:t xml:space="preserve">constituit și abordând cauzele profunde ale migrației neregulamentare și ale persoanelor strămutate în Africa. </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Comisia va sprijini țările Ligii Statelor Arabe (LSA)</w:t>
      </w:r>
      <w:r>
        <w:rPr>
          <w:rStyle w:val="FootnoteReference"/>
          <w:rFonts w:ascii="Times New Roman" w:hAnsi="Times New Roman"/>
          <w:noProof/>
          <w:sz w:val="24"/>
        </w:rPr>
        <w:footnoteReference w:id="53"/>
      </w:r>
      <w:r>
        <w:rPr>
          <w:rFonts w:ascii="Times New Roman" w:hAnsi="Times New Roman"/>
          <w:noProof/>
          <w:sz w:val="24"/>
        </w:rPr>
        <w:t xml:space="preserve"> în dezvoltarea unui sistem informatizat de control al transferurilor de arme și armament și va explora modalitățile în care punctele de contact ale LAS privind SALW ar putea coopera cu structuri comparabile din UE.</w:t>
      </w:r>
    </w:p>
    <w:p>
      <w:pPr>
        <w:pStyle w:val="Body"/>
        <w:spacing w:before="240" w:after="0" w:line="240" w:lineRule="auto"/>
        <w:jc w:val="both"/>
        <w:rPr>
          <w:rFonts w:ascii="Times New Roman" w:hAnsi="Times New Roman"/>
          <w:noProof/>
          <w:sz w:val="24"/>
          <w:szCs w:val="24"/>
        </w:rPr>
      </w:pPr>
      <w:r>
        <w:rPr>
          <w:rFonts w:ascii="Times New Roman" w:hAnsi="Times New Roman"/>
          <w:noProof/>
          <w:sz w:val="24"/>
        </w:rPr>
        <w:t>Pe baza eforturilor UE existente întreprinse prin punerea în aplicare a Strategiei UE de combatere a acumulării ilegale și a traficului ilegal de arme de calibru mic și armament ușor din 2005 (SALW)</w:t>
      </w:r>
      <w:r>
        <w:rPr>
          <w:rStyle w:val="FootnoteReference"/>
          <w:rFonts w:ascii="Times New Roman" w:hAnsi="Times New Roman"/>
          <w:noProof/>
          <w:sz w:val="24"/>
        </w:rPr>
        <w:footnoteReference w:id="54"/>
      </w:r>
      <w:r>
        <w:rPr>
          <w:rFonts w:ascii="Times New Roman" w:hAnsi="Times New Roman"/>
          <w:noProof/>
          <w:sz w:val="24"/>
        </w:rPr>
        <w:t xml:space="preserve"> precum și a Strategiei europene de securitate</w:t>
      </w:r>
      <w:r>
        <w:rPr>
          <w:rStyle w:val="FootnoteReference"/>
          <w:rFonts w:ascii="Times New Roman" w:hAnsi="Times New Roman"/>
          <w:noProof/>
          <w:sz w:val="24"/>
        </w:rPr>
        <w:footnoteReference w:id="55"/>
      </w:r>
      <w:r>
        <w:rPr>
          <w:rFonts w:ascii="Times New Roman" w:hAnsi="Times New Roman"/>
          <w:noProof/>
          <w:sz w:val="20"/>
        </w:rPr>
        <w:t>,</w:t>
      </w:r>
      <w:r>
        <w:rPr>
          <w:rFonts w:ascii="Times New Roman" w:hAnsi="Times New Roman"/>
          <w:noProof/>
          <w:sz w:val="24"/>
        </w:rPr>
        <w:t xml:space="preserve"> UE va continua să promoveze ratificarea, transpunerea și punerea în aplicare a convențiilor internaționale relevante, precum Tratatul privind comerțul cu arme și Protocolul privind armele de foc adițional la Convenția Organizației Națiunilor Unite împotriva criminalității transnaționale organizate. Se vor utiliza, de asemenea, rețelele regionale în domeniul CBRN, astfel cum au fost înființate în opt regiuni în temeiul inițiativei UE de reducere a riscurilor.</w:t>
      </w:r>
    </w:p>
    <w:p>
      <w:pPr>
        <w:pStyle w:val="Body"/>
        <w:spacing w:after="0" w:line="240" w:lineRule="auto"/>
        <w:jc w:val="both"/>
        <w:rPr>
          <w:rFonts w:ascii="Times New Roman" w:hAnsi="Times New Roman"/>
          <w:noProof/>
          <w:sz w:val="24"/>
          <w:szCs w:val="24"/>
        </w:rPr>
      </w:pPr>
    </w:p>
    <w:tbl>
      <w:tblPr>
        <w:tblW w:w="934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0"/>
      </w:tblGrid>
      <w:tr>
        <w:trPr>
          <w:trHeight w:val="1827"/>
        </w:trPr>
        <w:tc>
          <w:tcPr>
            <w:tcW w:w="9348" w:type="dxa"/>
            <w:tcBorders>
              <w:top w:val="nil"/>
              <w:left w:val="nil"/>
              <w:bottom w:val="nil"/>
              <w:right w:val="nil"/>
            </w:tcBorders>
          </w:tcPr>
          <w:tbl>
            <w:tblPr>
              <w:tblW w:w="9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4"/>
            </w:tblGrid>
            <w:tr>
              <w:trPr>
                <w:trHeight w:val="2472"/>
              </w:trPr>
              <w:tc>
                <w:tcPr>
                  <w:tcW w:w="9264" w:type="dxa"/>
                </w:tcPr>
                <w:p>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jc w:val="both"/>
                    <w:rPr>
                      <w:rFonts w:ascii="Times New Roman" w:hAnsi="Times New Roman"/>
                      <w:b/>
                      <w:bCs/>
                      <w:noProof/>
                      <w:sz w:val="24"/>
                      <w:szCs w:val="24"/>
                    </w:rPr>
                  </w:pPr>
                  <w:r>
                    <w:rPr>
                      <w:rFonts w:ascii="Times New Roman" w:hAnsi="Times New Roman"/>
                      <w:b/>
                      <w:noProof/>
                      <w:sz w:val="24"/>
                    </w:rPr>
                    <w:t>Acțiuni specifice:</w:t>
                  </w:r>
                </w:p>
                <w:p>
                  <w:pPr>
                    <w:pStyle w:val="Body"/>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bCs/>
                      <w:i/>
                      <w:noProof/>
                      <w:sz w:val="24"/>
                      <w:szCs w:val="24"/>
                    </w:rPr>
                  </w:pPr>
                  <w:r>
                    <w:rPr>
                      <w:rFonts w:ascii="Times New Roman" w:hAnsi="Times New Roman"/>
                      <w:i/>
                      <w:noProof/>
                      <w:sz w:val="24"/>
                    </w:rPr>
                    <w:t>consolidarea activităților operaționale și extinderea domeniului de aplicare al planului de acțiune UE-Europa de Sud-Est;</w:t>
                  </w:r>
                </w:p>
                <w:p>
                  <w:pPr>
                    <w:pStyle w:val="Body"/>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bCs/>
                      <w:i/>
                      <w:noProof/>
                      <w:sz w:val="24"/>
                      <w:szCs w:val="24"/>
                    </w:rPr>
                  </w:pPr>
                  <w:r>
                    <w:rPr>
                      <w:rFonts w:ascii="Times New Roman" w:hAnsi="Times New Roman"/>
                      <w:i/>
                      <w:noProof/>
                      <w:sz w:val="24"/>
                    </w:rPr>
                    <w:t>consolidarea cooperării cu țările din Orientul Mijlociu și din Africa de Nord (MENA);</w:t>
                  </w:r>
                </w:p>
                <w:p>
                  <w:pPr>
                    <w:pStyle w:val="Body"/>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bCs/>
                      <w:i/>
                      <w:noProof/>
                      <w:sz w:val="24"/>
                      <w:szCs w:val="24"/>
                    </w:rPr>
                  </w:pPr>
                  <w:r>
                    <w:rPr>
                      <w:rFonts w:ascii="Times New Roman" w:hAnsi="Times New Roman"/>
                      <w:i/>
                      <w:noProof/>
                      <w:sz w:val="24"/>
                    </w:rPr>
                    <w:t>consolidarea cooperării cu Ucraina și Turcia;</w:t>
                  </w:r>
                </w:p>
                <w:p>
                  <w:pPr>
                    <w:pStyle w:val="Body"/>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jc w:val="both"/>
                    <w:rPr>
                      <w:rFonts w:ascii="Times New Roman" w:hAnsi="Times New Roman"/>
                      <w:b/>
                      <w:bCs/>
                      <w:noProof/>
                      <w:sz w:val="24"/>
                      <w:szCs w:val="24"/>
                    </w:rPr>
                  </w:pPr>
                  <w:r>
                    <w:rPr>
                      <w:rFonts w:ascii="Times New Roman" w:hAnsi="Times New Roman"/>
                      <w:i/>
                      <w:noProof/>
                      <w:sz w:val="24"/>
                    </w:rPr>
                    <w:t>consolidarea cooperării cu alte țări terțe, actori regionali și organizații internaționale relevante.</w:t>
                  </w:r>
                </w:p>
              </w:tc>
            </w:tr>
          </w:tbl>
          <w:p>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Fonts w:ascii="Times New Roman" w:hAnsi="Times New Roman"/>
                <w:bCs/>
                <w:i/>
                <w:noProof/>
                <w:sz w:val="24"/>
                <w:szCs w:val="24"/>
              </w:rPr>
            </w:pPr>
          </w:p>
          <w:p>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Fonts w:ascii="Times New Roman" w:hAnsi="Times New Roman"/>
                <w:bCs/>
                <w:i/>
                <w:noProof/>
                <w:sz w:val="24"/>
                <w:szCs w:val="24"/>
              </w:rPr>
            </w:pPr>
          </w:p>
          <w:p>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Fonts w:ascii="Times New Roman" w:hAnsi="Times New Roman"/>
                <w:b/>
                <w:bCs/>
                <w:noProof/>
                <w:sz w:val="24"/>
                <w:szCs w:val="24"/>
              </w:rPr>
            </w:pPr>
            <w:r>
              <w:rPr>
                <w:rFonts w:ascii="Times New Roman" w:hAnsi="Times New Roman"/>
                <w:b/>
                <w:noProof/>
                <w:sz w:val="24"/>
              </w:rPr>
              <w:t>CONCLUZII</w:t>
            </w:r>
          </w:p>
          <w:p>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40" w:after="120" w:line="240" w:lineRule="auto"/>
              <w:jc w:val="both"/>
              <w:rPr>
                <w:rFonts w:ascii="Times New Roman" w:hAnsi="Times New Roman"/>
                <w:bCs/>
                <w:i/>
                <w:noProof/>
                <w:sz w:val="24"/>
                <w:szCs w:val="24"/>
              </w:rPr>
            </w:pPr>
            <w:r>
              <w:rPr>
                <w:rFonts w:ascii="Times New Roman" w:hAnsi="Times New Roman"/>
                <w:noProof/>
                <w:sz w:val="24"/>
              </w:rPr>
              <w:t xml:space="preserve">Comisia invită statele membre și toate celelalte părți interesate relevante să ia toate măsurile necesare pentru a asigura punerea rapidă în aplicare a prezentului plan de acțiune. Comisia va transmite un raport Parlamentului European și Consiliului cu privire la punerea în aplicare a acestui plan de acțiune în cadrul actualizării semestriale privind punerea în aplicare a Agendei europene privind securitatea. </w:t>
            </w:r>
          </w:p>
        </w:tc>
      </w:tr>
    </w:tbl>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601" w:footer="567"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16</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2</w:t>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ind w:left="284" w:hanging="284"/>
        <w:rPr>
          <w:sz w:val="18"/>
          <w:szCs w:val="18"/>
          <w:lang w:val="fr-BE"/>
        </w:rPr>
      </w:pPr>
      <w:r>
        <w:rPr>
          <w:rStyle w:val="FootnoteReference"/>
        </w:rPr>
        <w:footnoteRef/>
      </w:r>
      <w:r>
        <w:t xml:space="preserve"> </w:t>
      </w:r>
      <w:r>
        <w:tab/>
      </w:r>
      <w:hyperlink r:id="rId1">
        <w:r>
          <w:rPr>
            <w:rStyle w:val="Hyperlink0"/>
            <w:rFonts w:eastAsia="Arial Unicode MS"/>
            <w:sz w:val="18"/>
          </w:rPr>
          <w:t>http://ec.europa.eu/dgs/home-affairs/e-library/documents/basic-documents/docs/eu_agenda_on_security_en.pdf</w:t>
        </w:r>
      </w:hyperlink>
    </w:p>
  </w:footnote>
  <w:footnote w:id="2">
    <w:p>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284" w:hanging="284"/>
        <w:jc w:val="both"/>
        <w:rPr>
          <w:sz w:val="18"/>
          <w:szCs w:val="18"/>
          <w:lang w:val="fr-BE"/>
        </w:rPr>
      </w:pPr>
      <w:r>
        <w:rPr>
          <w:rStyle w:val="FootnoteReference"/>
          <w:sz w:val="18"/>
        </w:rPr>
        <w:footnoteRef/>
      </w:r>
      <w:r>
        <w:rPr>
          <w:sz w:val="18"/>
        </w:rPr>
        <w:t xml:space="preserve"> </w:t>
      </w:r>
      <w:r>
        <w:rPr>
          <w:sz w:val="18"/>
        </w:rPr>
        <w:tab/>
      </w:r>
      <w:hyperlink r:id="rId2">
        <w:r>
          <w:rPr>
            <w:rStyle w:val="Hyperlink"/>
            <w:color w:val="0033CC"/>
            <w:sz w:val="18"/>
          </w:rPr>
          <w:t>http://www.consilium.europa.eu/ro/press/press-releases/2015/10/08-jha-fighting-trafficking-firearms/</w:t>
        </w:r>
      </w:hyperlink>
    </w:p>
  </w:footnote>
  <w:footnote w:id="3">
    <w:p>
      <w:pPr>
        <w:pStyle w:val="FootnoteText"/>
        <w:tabs>
          <w:tab w:val="left" w:pos="720"/>
          <w:tab w:val="left" w:pos="1440"/>
          <w:tab w:val="left" w:pos="2160"/>
          <w:tab w:val="left" w:pos="2880"/>
          <w:tab w:val="left" w:pos="3600"/>
          <w:tab w:val="left" w:pos="4320"/>
          <w:tab w:val="left" w:pos="5805"/>
        </w:tabs>
        <w:ind w:left="284" w:hanging="284"/>
        <w:rPr>
          <w:sz w:val="18"/>
          <w:szCs w:val="18"/>
          <w:lang w:val="fr-BE"/>
        </w:rPr>
      </w:pPr>
      <w:r>
        <w:rPr>
          <w:rStyle w:val="FootnoteReference"/>
          <w:sz w:val="18"/>
        </w:rPr>
        <w:footnoteRef/>
      </w:r>
      <w:r>
        <w:rPr>
          <w:sz w:val="18"/>
        </w:rPr>
        <w:t xml:space="preserve"> </w:t>
      </w:r>
      <w:r>
        <w:rPr>
          <w:sz w:val="18"/>
        </w:rPr>
        <w:tab/>
      </w:r>
      <w:hyperlink r:id="rId3">
        <w:r>
          <w:rPr>
            <w:rStyle w:val="Hyperlink"/>
            <w:color w:val="0000FF"/>
            <w:sz w:val="18"/>
          </w:rPr>
          <w:t>http://europa.eu/rapid/press-release_IP-15-6110_en.htm</w:t>
        </w:r>
      </w:hyperlink>
      <w:r>
        <w:rPr>
          <w:sz w:val="18"/>
        </w:rPr>
        <w:t xml:space="preserve"> </w:t>
      </w:r>
    </w:p>
  </w:footnote>
  <w:footnote w:id="4">
    <w:p>
      <w:pPr>
        <w:pStyle w:val="FootnoteText"/>
        <w:ind w:left="284" w:hanging="284"/>
        <w:rPr>
          <w:sz w:val="18"/>
          <w:szCs w:val="18"/>
        </w:rPr>
      </w:pPr>
      <w:r>
        <w:rPr>
          <w:rStyle w:val="FootnoteReference"/>
          <w:sz w:val="18"/>
        </w:rPr>
        <w:footnoteRef/>
      </w:r>
      <w:r>
        <w:rPr>
          <w:sz w:val="18"/>
        </w:rPr>
        <w:t xml:space="preserve"> </w:t>
      </w:r>
      <w:r>
        <w:rPr>
          <w:sz w:val="18"/>
        </w:rPr>
        <w:tab/>
        <w:t>Document cu circulație restrânsă.</w:t>
      </w:r>
    </w:p>
  </w:footnote>
  <w:footnote w:id="5">
    <w:p>
      <w:pPr>
        <w:pStyle w:val="FootnoteText"/>
        <w:ind w:left="284" w:hanging="284"/>
        <w:jc w:val="both"/>
        <w:rPr>
          <w:sz w:val="18"/>
          <w:szCs w:val="18"/>
        </w:rPr>
      </w:pPr>
      <w:r>
        <w:rPr>
          <w:rStyle w:val="FootnoteReference"/>
          <w:sz w:val="18"/>
        </w:rPr>
        <w:footnoteRef/>
      </w:r>
      <w:r>
        <w:rPr>
          <w:sz w:val="18"/>
        </w:rPr>
        <w:t xml:space="preserve"> </w:t>
      </w:r>
      <w:r>
        <w:tab/>
      </w:r>
      <w:hyperlink r:id="rId4">
        <w:r>
          <w:rPr>
            <w:rStyle w:val="Hyperlink"/>
            <w:sz w:val="18"/>
          </w:rPr>
          <w:t>http://www.consilium.europa.eu/ro/documents-publications/publications/2015/eu-policy-cycle-tackle-organized-crime/</w:t>
        </w:r>
      </w:hyperlink>
      <w:r>
        <w:rPr>
          <w:rStyle w:val="Hyperlink"/>
          <w:color w:val="0033CC"/>
          <w:sz w:val="18"/>
        </w:rPr>
        <w:t xml:space="preserve"> </w:t>
      </w:r>
    </w:p>
  </w:footnote>
  <w:footnote w:id="6">
    <w:p>
      <w:pPr>
        <w:pStyle w:val="FootnoteText"/>
        <w:ind w:left="284" w:hanging="284"/>
        <w:jc w:val="both"/>
        <w:rPr>
          <w:sz w:val="18"/>
          <w:szCs w:val="18"/>
        </w:rPr>
      </w:pPr>
      <w:r>
        <w:rPr>
          <w:rStyle w:val="FootnoteReference"/>
          <w:sz w:val="18"/>
        </w:rPr>
        <w:footnoteRef/>
      </w:r>
      <w:r>
        <w:rPr>
          <w:sz w:val="18"/>
        </w:rPr>
        <w:t xml:space="preserve"> </w:t>
      </w:r>
      <w:r>
        <w:tab/>
      </w:r>
      <w:r>
        <w:rPr>
          <w:sz w:val="18"/>
        </w:rPr>
        <w:t>Precursorii de explozivi sunt substanțe chimice sau amestecuri care pot fi utilizate pentru fabricarea de explozivi.</w:t>
      </w:r>
    </w:p>
  </w:footnote>
  <w:footnote w:id="7">
    <w:p>
      <w:pPr>
        <w:pStyle w:val="FootnoteText"/>
        <w:jc w:val="both"/>
        <w:rPr>
          <w:sz w:val="18"/>
          <w:szCs w:val="18"/>
        </w:rPr>
      </w:pPr>
      <w:r>
        <w:rPr>
          <w:rStyle w:val="FootnoteReference"/>
          <w:sz w:val="18"/>
        </w:rPr>
        <w:footnoteRef/>
      </w:r>
      <w:r>
        <w:rPr>
          <w:sz w:val="18"/>
        </w:rPr>
        <w:t xml:space="preserve"> </w:t>
      </w:r>
      <w:r>
        <w:rPr>
          <w:sz w:val="18"/>
        </w:rPr>
        <w:tab/>
        <w:t xml:space="preserve">Această idee a fost propusă de statele membre cu ocazia seminarului UE privind utilizarea analizei criminalistice în vederea îmbunătățirii analizei strategice și operaționale pentru scopuri operaționale și tactice. Birmingham – 11 noiembrie 2015. </w:t>
      </w:r>
    </w:p>
  </w:footnote>
  <w:footnote w:id="8">
    <w:p>
      <w:pPr>
        <w:pStyle w:val="FootnoteText"/>
        <w:jc w:val="both"/>
        <w:rPr>
          <w:sz w:val="18"/>
          <w:szCs w:val="18"/>
        </w:rPr>
      </w:pPr>
      <w:r>
        <w:rPr>
          <w:rStyle w:val="FootnoteReference"/>
          <w:sz w:val="18"/>
        </w:rPr>
        <w:footnoteRef/>
      </w:r>
      <w:r>
        <w:rPr>
          <w:sz w:val="18"/>
        </w:rPr>
        <w:t xml:space="preserve"> </w:t>
      </w:r>
      <w:r>
        <w:tab/>
      </w:r>
      <w:r>
        <w:rPr>
          <w:sz w:val="18"/>
        </w:rPr>
        <w:t xml:space="preserve">Au fost deja lansate proiecte de cercetare relevante privind monitorizarea internetului în cadrul programului Orizont 2020, </w:t>
      </w:r>
      <w:hyperlink r:id="rId5">
        <w:r>
          <w:rPr>
            <w:rStyle w:val="Hyperlink"/>
            <w:color w:val="0000FF"/>
            <w:sz w:val="18"/>
          </w:rPr>
          <w:t>http://ec.europa.eu/programmes/horizon2020/</w:t>
        </w:r>
      </w:hyperlink>
    </w:p>
  </w:footnote>
  <w:footnote w:id="9">
    <w:p>
      <w:pPr>
        <w:pStyle w:val="FootnoteText"/>
        <w:jc w:val="both"/>
        <w:rPr>
          <w:sz w:val="18"/>
          <w:szCs w:val="18"/>
        </w:rPr>
      </w:pPr>
      <w:r>
        <w:rPr>
          <w:rStyle w:val="FootnoteReference"/>
          <w:sz w:val="18"/>
        </w:rPr>
        <w:footnoteRef/>
      </w:r>
      <w:r>
        <w:rPr>
          <w:sz w:val="18"/>
        </w:rPr>
        <w:t xml:space="preserve"> </w:t>
      </w:r>
      <w:r>
        <w:tab/>
      </w:r>
      <w:r>
        <w:rPr>
          <w:sz w:val="18"/>
        </w:rPr>
        <w:t>EU IRU a fost lansată la 1 iulie 2015 pentru combaterea propagandei teroriste și a activităților extremiste violente aferente pe internet.</w:t>
      </w:r>
    </w:p>
  </w:footnote>
  <w:footnote w:id="10">
    <w:p>
      <w:pPr>
        <w:pStyle w:val="FootnoteText"/>
        <w:rPr>
          <w:sz w:val="18"/>
          <w:szCs w:val="18"/>
          <w:lang w:val="es-ES"/>
        </w:rPr>
      </w:pPr>
      <w:r>
        <w:rPr>
          <w:rStyle w:val="FootnoteReference"/>
          <w:sz w:val="18"/>
        </w:rPr>
        <w:footnoteRef/>
      </w:r>
      <w:r>
        <w:rPr>
          <w:sz w:val="18"/>
        </w:rPr>
        <w:t xml:space="preserve"> </w:t>
      </w:r>
      <w:r>
        <w:rPr>
          <w:sz w:val="18"/>
        </w:rPr>
        <w:tab/>
        <w:t>Inclusiv, la nivel național, din sectorul privat și mediul academic.</w:t>
      </w:r>
    </w:p>
  </w:footnote>
  <w:footnote w:id="11">
    <w:p>
      <w:pPr>
        <w:pStyle w:val="FootnoteText"/>
        <w:jc w:val="both"/>
        <w:rPr>
          <w:sz w:val="18"/>
          <w:szCs w:val="18"/>
          <w:lang w:val="es-ES"/>
        </w:rPr>
      </w:pPr>
      <w:r>
        <w:rPr>
          <w:rStyle w:val="FootnoteReference"/>
          <w:sz w:val="18"/>
        </w:rPr>
        <w:footnoteRef/>
      </w:r>
      <w:r>
        <w:rPr>
          <w:sz w:val="18"/>
        </w:rPr>
        <w:t xml:space="preserve"> </w:t>
      </w:r>
      <w:r>
        <w:rPr>
          <w:sz w:val="18"/>
        </w:rPr>
        <w:tab/>
        <w:t>Informațiile provenite din operațiunile de aplicare a legii subliniază vulnerabilitatea târgurilor comerciale de arme de foc față de traficul ilegal de arme de foc.</w:t>
      </w:r>
    </w:p>
  </w:footnote>
  <w:footnote w:id="12">
    <w:p>
      <w:pPr>
        <w:pStyle w:val="FootnoteText"/>
        <w:jc w:val="both"/>
      </w:pPr>
      <w:r>
        <w:rPr>
          <w:rStyle w:val="FootnoteReference"/>
          <w:sz w:val="18"/>
        </w:rPr>
        <w:footnoteRef/>
      </w:r>
      <w:r>
        <w:rPr>
          <w:sz w:val="18"/>
        </w:rPr>
        <w:t xml:space="preserve"> </w:t>
      </w:r>
      <w:r>
        <w:rPr>
          <w:sz w:val="18"/>
        </w:rPr>
        <w:tab/>
        <w:t>Comisia finanțează deja, prin intermediul Fondului pentru securitate internă (ISF), două studii relevante, și anume proiectul EFFECT și proiectul FIRE, care au ca scop să îmbunătățească cunoștințele cu privire la traficul ilegal de arme de foc și să faciliteze elaborarea de politici bazate pe date concrete și acțiuni în întreaga Europă. De asemenea, Comisia a alocat aproximativ 60 de milioane EUR pentru 15 proiecte legate de explozivi în cadrul programului de cercetare PC7 (</w:t>
      </w:r>
      <w:hyperlink r:id="rId6">
        <w:r>
          <w:rPr>
            <w:rStyle w:val="Hyperlink"/>
            <w:color w:val="0033CC"/>
            <w:sz w:val="18"/>
          </w:rPr>
          <w:t>http://ec.europa.eu/research/fp7/index_en.cfm</w:t>
        </w:r>
      </w:hyperlink>
      <w:r>
        <w:rPr>
          <w:sz w:val="18"/>
        </w:rPr>
        <w:t>)</w:t>
      </w:r>
      <w:r>
        <w:rPr>
          <w:color w:val="0033CC"/>
          <w:sz w:val="18"/>
        </w:rPr>
        <w:t>,</w:t>
      </w:r>
      <w:r>
        <w:rPr>
          <w:sz w:val="18"/>
        </w:rPr>
        <w:t xml:space="preserve"> precum și o serie de proiecte în cadrul programului de prevenire și combatere a criminalității. Comisia va finanța noi proiecte de cercetare în domeniul securității în cadrul temei„Societăți sigure” din programul Orizont 2020 și al ISF.</w:t>
      </w:r>
    </w:p>
  </w:footnote>
  <w:footnote w:id="13">
    <w:p>
      <w:pPr>
        <w:pStyle w:val="FootnoteText"/>
        <w:jc w:val="both"/>
        <w:rPr>
          <w:sz w:val="18"/>
          <w:szCs w:val="18"/>
        </w:rPr>
      </w:pPr>
      <w:r>
        <w:rPr>
          <w:rStyle w:val="FootnoteReference"/>
          <w:sz w:val="18"/>
        </w:rPr>
        <w:footnoteRef/>
      </w:r>
      <w:r>
        <w:rPr>
          <w:sz w:val="18"/>
        </w:rPr>
        <w:t xml:space="preserve"> </w:t>
      </w:r>
      <w:r>
        <w:rPr>
          <w:sz w:val="18"/>
        </w:rPr>
        <w:tab/>
        <w:t>Imprimarea tridimensională poate fi utilizată pentru fabricarea armelor de foc și producția de componente esențiale pentru reactivarea armelor de foc dezactivate. Armele nemetalice, cum ar fi cele produse din Kevlar și ceramică, prezintă un risc potențial care necesită o monitorizare atentă.</w:t>
      </w:r>
    </w:p>
  </w:footnote>
  <w:footnote w:id="14">
    <w:p>
      <w:pPr>
        <w:pStyle w:val="FootnoteText"/>
        <w:rPr>
          <w:sz w:val="18"/>
          <w:szCs w:val="18"/>
        </w:rPr>
      </w:pPr>
      <w:r>
        <w:rPr>
          <w:rStyle w:val="FootnoteReference"/>
          <w:sz w:val="18"/>
        </w:rPr>
        <w:footnoteRef/>
      </w:r>
      <w:r>
        <w:rPr>
          <w:sz w:val="18"/>
        </w:rPr>
        <w:t xml:space="preserve"> </w:t>
      </w:r>
      <w:r>
        <w:rPr>
          <w:sz w:val="18"/>
        </w:rPr>
        <w:tab/>
        <w:t>Documentul 8109/08 al Consiliului.</w:t>
      </w:r>
    </w:p>
  </w:footnote>
  <w:footnote w:id="15">
    <w:p>
      <w:pPr>
        <w:pStyle w:val="FootnoteText"/>
        <w:jc w:val="both"/>
        <w:rPr>
          <w:sz w:val="18"/>
          <w:szCs w:val="18"/>
        </w:rPr>
      </w:pPr>
      <w:r>
        <w:rPr>
          <w:rStyle w:val="FootnoteReference"/>
          <w:sz w:val="18"/>
        </w:rPr>
        <w:footnoteRef/>
      </w:r>
      <w:r>
        <w:rPr>
          <w:sz w:val="18"/>
        </w:rPr>
        <w:t xml:space="preserve"> </w:t>
      </w:r>
      <w:r>
        <w:rPr>
          <w:sz w:val="18"/>
        </w:rPr>
        <w:tab/>
        <w:t>Aceasta a inclus 48 de acțiuni care vizează, în mod cuprinzător, să abordeze o gamă largă de aspecte legate de asigurarea securității explozivilor, precum precursorii, depozitarea, transportul, trasabilitatea, depistarea, cercetarea, schimbul transfrontalier de informații și coordonarea între agenții.</w:t>
      </w:r>
    </w:p>
  </w:footnote>
  <w:footnote w:id="16">
    <w:p>
      <w:pPr>
        <w:pStyle w:val="FootnoteText"/>
        <w:jc w:val="both"/>
        <w:rPr>
          <w:sz w:val="18"/>
          <w:szCs w:val="18"/>
        </w:rPr>
      </w:pPr>
      <w:r>
        <w:rPr>
          <w:rStyle w:val="FootnoteReference"/>
          <w:sz w:val="18"/>
        </w:rPr>
        <w:footnoteRef/>
      </w:r>
      <w:r>
        <w:rPr>
          <w:sz w:val="18"/>
        </w:rPr>
        <w:t xml:space="preserve"> </w:t>
      </w:r>
      <w:r>
        <w:tab/>
      </w:r>
      <w:r>
        <w:rPr>
          <w:sz w:val="18"/>
        </w:rPr>
        <w:t>Prezentul regulament restrânge și îmbunătățește controlul asupra unui număr de substanțe chimice periculoase care sunt precursori de explozivi și pot fi, prin urmare, utilizate în mod abuziv pentru fabricarea de explozivi artizanali.</w:t>
      </w:r>
    </w:p>
  </w:footnote>
  <w:footnote w:id="17">
    <w:p>
      <w:pPr>
        <w:pStyle w:val="FootnoteText"/>
        <w:jc w:val="both"/>
        <w:rPr>
          <w:sz w:val="18"/>
          <w:szCs w:val="18"/>
        </w:rPr>
      </w:pPr>
      <w:r>
        <w:rPr>
          <w:rStyle w:val="FootnoteReference"/>
          <w:sz w:val="18"/>
        </w:rPr>
        <w:footnoteRef/>
      </w:r>
      <w:r>
        <w:rPr>
          <w:sz w:val="18"/>
        </w:rPr>
        <w:t xml:space="preserve"> </w:t>
      </w:r>
      <w:r>
        <w:tab/>
      </w:r>
      <w:r>
        <w:rPr>
          <w:sz w:val="18"/>
        </w:rPr>
        <w:t>Operatorii, de la producători până la comercianți cu amănuntul, au obligația să raporteze activitățile suspecte către punctele naționale de contact din fiecare stat membru. Ei sunt cei mai bine plasați pentru a identifica tranzacțiile care se situează în afara unei activități normale în fiecare sector și a observa comportamentele suspecte.</w:t>
      </w:r>
    </w:p>
  </w:footnote>
  <w:footnote w:id="18">
    <w:p>
      <w:pPr>
        <w:pStyle w:val="FootnoteText"/>
        <w:jc w:val="both"/>
        <w:rPr>
          <w:sz w:val="18"/>
          <w:szCs w:val="18"/>
        </w:rPr>
      </w:pPr>
      <w:r>
        <w:rPr>
          <w:rStyle w:val="FootnoteReference"/>
          <w:sz w:val="18"/>
        </w:rPr>
        <w:footnoteRef/>
      </w:r>
      <w:r>
        <w:rPr>
          <w:sz w:val="18"/>
        </w:rPr>
        <w:t xml:space="preserve"> </w:t>
      </w:r>
      <w:r>
        <w:tab/>
      </w:r>
      <w:r>
        <w:rPr>
          <w:sz w:val="18"/>
        </w:rPr>
        <w:t>Revizuirea va fi realizată în consultare cu Comitetul permanent privind precursorii, care este un grup de experți;</w:t>
      </w:r>
      <w:hyperlink r:id="rId7">
        <w:r>
          <w:rPr>
            <w:rStyle w:val="Hyperlink"/>
            <w:color w:val="0000FF"/>
            <w:sz w:val="18"/>
          </w:rPr>
          <w:t>http://ec.europa.eu/transparency/regexpert/index.cfm?do=groupDetail.groupDetail&amp;groupID=3245</w:t>
        </w:r>
      </w:hyperlink>
    </w:p>
  </w:footnote>
  <w:footnote w:id="19">
    <w:p>
      <w:pPr>
        <w:pStyle w:val="FootnoteText"/>
        <w:jc w:val="both"/>
        <w:rPr>
          <w:sz w:val="18"/>
          <w:szCs w:val="18"/>
        </w:rPr>
      </w:pPr>
      <w:r>
        <w:rPr>
          <w:rStyle w:val="FootnoteReference"/>
          <w:sz w:val="18"/>
        </w:rPr>
        <w:footnoteRef/>
      </w:r>
      <w:r>
        <w:rPr>
          <w:sz w:val="18"/>
        </w:rPr>
        <w:t xml:space="preserve"> </w:t>
      </w:r>
      <w:r>
        <w:tab/>
      </w:r>
      <w:r>
        <w:rPr>
          <w:sz w:val="18"/>
        </w:rPr>
        <w:t>Această preocupare a fost deja prezentată în Comunicarea Comisiei din 2014 privind o nouă abordare în materie de detectare și atenuare a riscurilor chimice, biologice, radiologice, nucleare și a riscurilor explozivilor (CBRN-E), COM(2014) 247 final.</w:t>
      </w:r>
    </w:p>
  </w:footnote>
  <w:footnote w:id="20">
    <w:p>
      <w:pPr>
        <w:pStyle w:val="FootnoteText"/>
      </w:pPr>
      <w:r>
        <w:rPr>
          <w:rStyle w:val="FootnoteReference"/>
          <w:sz w:val="18"/>
        </w:rPr>
        <w:footnoteRef/>
      </w:r>
      <w:r>
        <w:rPr>
          <w:sz w:val="18"/>
        </w:rPr>
        <w:t xml:space="preserve"> </w:t>
      </w:r>
      <w:r>
        <w:tab/>
      </w:r>
      <w:r>
        <w:rPr>
          <w:sz w:val="18"/>
        </w:rPr>
        <w:t>Aceasta a fost deja prevăzută în Planul de acțiune pentru 2008.</w:t>
      </w:r>
    </w:p>
  </w:footnote>
  <w:footnote w:id="21">
    <w:p>
      <w:pPr>
        <w:pStyle w:val="FootnoteText"/>
        <w:jc w:val="both"/>
        <w:rPr>
          <w:sz w:val="18"/>
          <w:szCs w:val="18"/>
        </w:rPr>
      </w:pPr>
      <w:r>
        <w:rPr>
          <w:rStyle w:val="FootnoteReference"/>
          <w:sz w:val="18"/>
        </w:rPr>
        <w:footnoteRef/>
      </w:r>
      <w:r>
        <w:rPr>
          <w:sz w:val="18"/>
        </w:rPr>
        <w:t xml:space="preserve">   Comisia a raționalizat asistența financiară pentru acțiuni operaționale. În cadrul acordului de delegare al </w:t>
      </w:r>
      <w:r>
        <w:rPr>
          <w:rStyle w:val="st1"/>
          <w:sz w:val="18"/>
        </w:rPr>
        <w:t>Platformei multidisciplinare europene împotriva amenințărilor infracționale</w:t>
      </w:r>
      <w:r>
        <w:rPr>
          <w:sz w:val="18"/>
        </w:rPr>
        <w:t xml:space="preserve"> (EMPACT), 7 milioane EUR au fost transferați către Europol, din care aproximativ 350 000 EUR au fost alocați astfel încât să se asigure punerea în aplicare a Planului de acțiune operațional (OAP) privind armele de foc în primăvara anului 2015. În 2016, Europol va furniza o finanțare privilegiată pentru OAP cu privire la armele de foc.</w:t>
      </w:r>
    </w:p>
  </w:footnote>
  <w:footnote w:id="22">
    <w:p>
      <w:pPr>
        <w:pStyle w:val="FootnoteText"/>
        <w:rPr>
          <w:sz w:val="18"/>
          <w:szCs w:val="18"/>
        </w:rPr>
      </w:pPr>
      <w:r>
        <w:rPr>
          <w:rStyle w:val="FootnoteReference"/>
          <w:sz w:val="18"/>
        </w:rPr>
        <w:footnoteRef/>
      </w:r>
      <w:r>
        <w:rPr>
          <w:sz w:val="18"/>
        </w:rPr>
        <w:t xml:space="preserve">    </w:t>
      </w:r>
      <w:r>
        <w:tab/>
      </w:r>
      <w:r>
        <w:rPr>
          <w:sz w:val="18"/>
        </w:rPr>
        <w:t>Document cu circulație restrânsă.</w:t>
      </w:r>
    </w:p>
  </w:footnote>
  <w:footnote w:id="23">
    <w:p>
      <w:pPr>
        <w:pStyle w:val="FootnoteText"/>
        <w:rPr>
          <w:sz w:val="18"/>
          <w:szCs w:val="18"/>
        </w:rPr>
      </w:pPr>
      <w:r>
        <w:rPr>
          <w:sz w:val="18"/>
          <w:vertAlign w:val="superscript"/>
        </w:rPr>
        <w:footnoteRef/>
      </w:r>
      <w:r>
        <w:rPr>
          <w:sz w:val="18"/>
        </w:rPr>
        <w:t xml:space="preserve">    </w:t>
      </w:r>
      <w:r>
        <w:tab/>
      </w:r>
      <w:hyperlink r:id="rId8">
        <w:r>
          <w:rPr>
            <w:rStyle w:val="Hyperlink0"/>
            <w:rFonts w:eastAsia="Arial Unicode MS"/>
            <w:sz w:val="18"/>
          </w:rPr>
          <w:t>https://www.europol.europa.eu/content/global-action-against-dark-markets-tor-network</w:t>
        </w:r>
      </w:hyperlink>
    </w:p>
  </w:footnote>
  <w:footnote w:id="24">
    <w:p>
      <w:pPr>
        <w:pStyle w:val="FootnoteText"/>
        <w:rPr>
          <w:sz w:val="18"/>
          <w:szCs w:val="18"/>
        </w:rPr>
      </w:pPr>
      <w:r>
        <w:rPr>
          <w:sz w:val="18"/>
          <w:vertAlign w:val="superscript"/>
        </w:rPr>
        <w:footnoteRef/>
      </w:r>
      <w:r>
        <w:rPr>
          <w:sz w:val="18"/>
        </w:rPr>
        <w:t xml:space="preserve">   </w:t>
      </w:r>
      <w:r>
        <w:tab/>
      </w:r>
      <w:r>
        <w:rPr>
          <w:sz w:val="18"/>
        </w:rPr>
        <w:t xml:space="preserve"> </w:t>
      </w:r>
      <w:hyperlink r:id="rId9">
        <w:r>
          <w:rPr>
            <w:rStyle w:val="Hyperlink0"/>
            <w:rFonts w:eastAsia="Arial Unicode MS"/>
            <w:sz w:val="18"/>
          </w:rPr>
          <w:t>https://www.europol.europa.eu/content/cybercriminal-darkode-forum-taken-down-through-global-action</w:t>
        </w:r>
      </w:hyperlink>
    </w:p>
  </w:footnote>
  <w:footnote w:id="25">
    <w:p>
      <w:pPr>
        <w:pStyle w:val="FootnoteText"/>
        <w:jc w:val="both"/>
        <w:rPr>
          <w:sz w:val="18"/>
          <w:szCs w:val="18"/>
        </w:rPr>
      </w:pPr>
      <w:r>
        <w:rPr>
          <w:sz w:val="18"/>
          <w:vertAlign w:val="superscript"/>
        </w:rPr>
        <w:footnoteRef/>
      </w:r>
      <w:r>
        <w:rPr>
          <w:sz w:val="18"/>
        </w:rPr>
        <w:t xml:space="preserve">   </w:t>
      </w:r>
      <w:r>
        <w:tab/>
      </w:r>
      <w:r>
        <w:rPr>
          <w:sz w:val="18"/>
        </w:rPr>
        <w:t>Grupul de acțiune comună împotriva criminalității informatice este găzduit de Centrul european de combatere a criminalității informatice (EC3) în cadrul Europol. Acesta a fost lansat la 1 septembrie 2014 pentru a consolida în continuare lupta împotriva criminalității informatice în Uniunea Europeană și dincolo de granițele acesteia.</w:t>
      </w:r>
    </w:p>
  </w:footnote>
  <w:footnote w:id="26">
    <w:p>
      <w:pPr>
        <w:pStyle w:val="FootnoteText"/>
        <w:jc w:val="both"/>
        <w:rPr>
          <w:sz w:val="18"/>
          <w:szCs w:val="18"/>
        </w:rPr>
      </w:pPr>
      <w:r>
        <w:rPr>
          <w:rStyle w:val="FootnoteReference"/>
          <w:sz w:val="18"/>
        </w:rPr>
        <w:footnoteRef/>
      </w:r>
      <w:r>
        <w:rPr>
          <w:sz w:val="18"/>
        </w:rPr>
        <w:t xml:space="preserve"> </w:t>
      </w:r>
      <w:r>
        <w:tab/>
      </w:r>
      <w:r>
        <w:rPr>
          <w:sz w:val="18"/>
        </w:rPr>
        <w:t>În contextul</w:t>
      </w:r>
      <w:r>
        <w:t xml:space="preserve"> </w:t>
      </w:r>
      <w:hyperlink r:id="rId10">
        <w:r>
          <w:rPr>
            <w:rStyle w:val="Hyperlink"/>
            <w:sz w:val="18"/>
          </w:rPr>
          <w:t>Strategiei pentru piața unică digitală</w:t>
        </w:r>
      </w:hyperlink>
      <w:r>
        <w:rPr>
          <w:sz w:val="18"/>
        </w:rPr>
        <w:t xml:space="preserve">, Comisia evaluează cele mai bune modalități de abordare a conținutului ilegal de pe internet. </w:t>
      </w:r>
    </w:p>
  </w:footnote>
  <w:footnote w:id="27">
    <w:p>
      <w:pPr>
        <w:pStyle w:val="FootnoteText"/>
        <w:jc w:val="both"/>
        <w:rPr>
          <w:sz w:val="18"/>
          <w:szCs w:val="18"/>
        </w:rPr>
      </w:pPr>
      <w:r>
        <w:rPr>
          <w:rStyle w:val="FootnoteReference"/>
          <w:sz w:val="18"/>
        </w:rPr>
        <w:footnoteRef/>
      </w:r>
      <w:r>
        <w:rPr>
          <w:sz w:val="18"/>
        </w:rPr>
        <w:t xml:space="preserve"> </w:t>
      </w:r>
      <w:r>
        <w:tab/>
      </w:r>
      <w:r>
        <w:rPr>
          <w:sz w:val="18"/>
        </w:rPr>
        <w:t>A se vedea Concluziile Consiliului privind sistemele și mecanismele de îmbunătățire a securității explozivilor din 26 aprilie 2010,</w:t>
      </w:r>
      <w:r>
        <w:t xml:space="preserve"> </w:t>
      </w:r>
      <w:hyperlink r:id="rId11">
        <w:r>
          <w:rPr>
            <w:rStyle w:val="Hyperlink"/>
            <w:color w:val="0033CC"/>
            <w:sz w:val="18"/>
          </w:rPr>
          <w:t>http://www.consilium.europa.eu/uedocs/cms_data/docs/pressdata/en/jha/114017.pdf</w:t>
        </w:r>
      </w:hyperlink>
    </w:p>
  </w:footnote>
  <w:footnote w:id="28">
    <w:p>
      <w:pPr>
        <w:pStyle w:val="FootnoteText"/>
        <w:jc w:val="both"/>
        <w:rPr>
          <w:sz w:val="18"/>
          <w:szCs w:val="18"/>
        </w:rPr>
      </w:pPr>
      <w:r>
        <w:rPr>
          <w:rStyle w:val="FootnoteReference"/>
          <w:sz w:val="18"/>
        </w:rPr>
        <w:footnoteRef/>
      </w:r>
      <w:r>
        <w:rPr>
          <w:sz w:val="18"/>
        </w:rPr>
        <w:t xml:space="preserve"> </w:t>
      </w:r>
      <w:r>
        <w:tab/>
      </w:r>
      <w:r>
        <w:rPr>
          <w:sz w:val="18"/>
        </w:rPr>
        <w:t>COM(2015) 750 final din 18.11.2015. Propunere de directivă a Parlamentului European și a Consiliului de modificare a Directivei 91/477/CEE a Consiliului privind controlul achiziționării și deținerii de arme.</w:t>
      </w:r>
    </w:p>
  </w:footnote>
  <w:footnote w:id="29">
    <w:p>
      <w:pPr>
        <w:pStyle w:val="FootnoteText"/>
        <w:jc w:val="both"/>
        <w:rPr>
          <w:sz w:val="18"/>
          <w:szCs w:val="18"/>
        </w:rPr>
      </w:pPr>
      <w:r>
        <w:rPr>
          <w:sz w:val="18"/>
          <w:vertAlign w:val="superscript"/>
        </w:rPr>
        <w:footnoteRef/>
      </w:r>
      <w:r>
        <w:rPr>
          <w:sz w:val="18"/>
        </w:rPr>
        <w:t xml:space="preserve"> </w:t>
      </w:r>
      <w:r>
        <w:tab/>
      </w:r>
      <w:r>
        <w:rPr>
          <w:sz w:val="18"/>
        </w:rPr>
        <w:t>COM(2014)527 din 21.8.2014 final.</w:t>
      </w:r>
      <w:r>
        <w:rPr>
          <w:b/>
          <w:sz w:val="18"/>
        </w:rPr>
        <w:t xml:space="preserve"> </w:t>
      </w:r>
      <w:r>
        <w:rPr>
          <w:sz w:val="18"/>
        </w:rPr>
        <w:t xml:space="preserve">Comunicare privind strategia și planul de acțiune UE pentru gestionarea riscurilor vamale: combaterea riscurilor, consolidarea securității lanțului de aprovizionare și facilitarea comerțului. </w:t>
      </w:r>
    </w:p>
  </w:footnote>
  <w:footnote w:id="30">
    <w:p>
      <w:pPr>
        <w:pStyle w:val="FootnoteText"/>
        <w:jc w:val="both"/>
        <w:rPr>
          <w:sz w:val="18"/>
          <w:szCs w:val="18"/>
        </w:rPr>
      </w:pPr>
      <w:r>
        <w:rPr>
          <w:sz w:val="18"/>
          <w:vertAlign w:val="superscript"/>
        </w:rPr>
        <w:footnoteRef/>
      </w:r>
      <w:r>
        <w:rPr>
          <w:sz w:val="18"/>
        </w:rPr>
        <w:t xml:space="preserve"> </w:t>
      </w:r>
      <w:r>
        <w:tab/>
      </w:r>
      <w:r>
        <w:rPr>
          <w:sz w:val="18"/>
        </w:rPr>
        <w:t>Grupul european de experți în arme de foc, alcătuit din experți din fiecare stat membru al UE, de la Europol și din țările asociate Liechtenstein, Norvegia, Elveția și Turcia, a fost înființat în 2004 pentru a facilita schimbul de informații și a promova cooperarea împotriva traficului ilegal cu arme de foc. Această rețea foarte apreciată susține Grupul de lucru pentru asigurarea respectării legii din cadrul Consiliului.</w:t>
      </w:r>
    </w:p>
  </w:footnote>
  <w:footnote w:id="31">
    <w:p>
      <w:pPr>
        <w:pStyle w:val="FootnoteText"/>
        <w:jc w:val="both"/>
        <w:rPr>
          <w:sz w:val="18"/>
          <w:szCs w:val="18"/>
          <w:lang w:val="es-ES"/>
        </w:rPr>
      </w:pPr>
      <w:r>
        <w:rPr>
          <w:sz w:val="18"/>
          <w:vertAlign w:val="superscript"/>
        </w:rPr>
        <w:footnoteRef/>
      </w:r>
      <w:r>
        <w:rPr>
          <w:sz w:val="18"/>
        </w:rPr>
        <w:t xml:space="preserve"> </w:t>
      </w:r>
      <w:r>
        <w:tab/>
      </w:r>
      <w:hyperlink r:id="rId12">
        <w:r>
          <w:rPr>
            <w:rStyle w:val="Hyperlink0"/>
            <w:rFonts w:eastAsia="Arial Unicode MS"/>
            <w:sz w:val="18"/>
          </w:rPr>
          <w:t>http://www.smallarmsstandards.org/</w:t>
        </w:r>
      </w:hyperlink>
    </w:p>
  </w:footnote>
  <w:footnote w:id="32">
    <w:p>
      <w:pPr>
        <w:pStyle w:val="FootnoteText"/>
        <w:rPr>
          <w:sz w:val="18"/>
          <w:szCs w:val="18"/>
          <w:lang w:val="es-ES"/>
        </w:rPr>
      </w:pPr>
      <w:r>
        <w:rPr>
          <w:rStyle w:val="FootnoteReference"/>
          <w:sz w:val="18"/>
        </w:rPr>
        <w:footnoteRef/>
      </w:r>
      <w:r>
        <w:rPr>
          <w:sz w:val="18"/>
        </w:rPr>
        <w:t xml:space="preserve"> </w:t>
      </w:r>
      <w:r>
        <w:tab/>
      </w:r>
      <w:r>
        <w:rPr>
          <w:sz w:val="18"/>
        </w:rPr>
        <w:t>Colegiul European de Poliție,</w:t>
      </w:r>
      <w:r>
        <w:t xml:space="preserve"> </w:t>
      </w:r>
      <w:hyperlink r:id="rId13">
        <w:r>
          <w:rPr>
            <w:rStyle w:val="Hyperlink2"/>
            <w:rFonts w:eastAsia="Arial Unicode MS"/>
            <w:sz w:val="18"/>
          </w:rPr>
          <w:t>https://www.cepol.europa.eu/who-we-are/european-police-college/about-us</w:t>
        </w:r>
      </w:hyperlink>
    </w:p>
  </w:footnote>
  <w:footnote w:id="33">
    <w:p>
      <w:pPr>
        <w:pStyle w:val="FootnoteText"/>
        <w:jc w:val="both"/>
        <w:rPr>
          <w:sz w:val="18"/>
          <w:szCs w:val="18"/>
        </w:rPr>
      </w:pPr>
      <w:r>
        <w:rPr>
          <w:rStyle w:val="FootnoteReference"/>
          <w:sz w:val="18"/>
        </w:rPr>
        <w:footnoteRef/>
      </w:r>
      <w:r>
        <w:rPr>
          <w:sz w:val="18"/>
        </w:rPr>
        <w:t xml:space="preserve"> </w:t>
      </w:r>
      <w:r>
        <w:rPr>
          <w:sz w:val="18"/>
        </w:rPr>
        <w:tab/>
        <w:t>Rețeaua EOD a devenit în ultimii ani o rețea extrem de apreciată care oferă formare și schimb de informații, inclusiv cu privire la incidentele recente, pentru experții în materie de explozivi din toate statele membre și a contribuit în mod substanțial la consolidarea capacității și la schimbul de bune practici.</w:t>
      </w:r>
    </w:p>
  </w:footnote>
  <w:footnote w:id="34">
    <w:p>
      <w:pPr>
        <w:pStyle w:val="FootnoteText"/>
        <w:rPr>
          <w:sz w:val="18"/>
          <w:szCs w:val="18"/>
        </w:rPr>
      </w:pPr>
      <w:r>
        <w:rPr>
          <w:rStyle w:val="FootnoteReference"/>
          <w:sz w:val="18"/>
        </w:rPr>
        <w:footnoteRef/>
      </w:r>
      <w:r>
        <w:rPr>
          <w:sz w:val="18"/>
        </w:rPr>
        <w:t xml:space="preserve"> </w:t>
      </w:r>
      <w:r>
        <w:tab/>
      </w:r>
      <w:r>
        <w:rPr>
          <w:sz w:val="18"/>
        </w:rPr>
        <w:t>COM(2014) 247 final, 5.5.2014.</w:t>
      </w:r>
    </w:p>
  </w:footnote>
  <w:footnote w:id="35">
    <w:p>
      <w:pPr>
        <w:pStyle w:val="FootnoteText"/>
        <w:jc w:val="both"/>
        <w:rPr>
          <w:sz w:val="18"/>
          <w:szCs w:val="18"/>
        </w:rPr>
      </w:pPr>
      <w:r>
        <w:rPr>
          <w:rStyle w:val="FootnoteReference"/>
          <w:sz w:val="18"/>
        </w:rPr>
        <w:footnoteRef/>
      </w:r>
      <w:r>
        <w:rPr>
          <w:sz w:val="18"/>
        </w:rPr>
        <w:t xml:space="preserve"> </w:t>
      </w:r>
      <w:r>
        <w:rPr>
          <w:sz w:val="18"/>
        </w:rPr>
        <w:tab/>
        <w:t>În urma acestor teste au fost elaborate diferite materiale de orientare, cum ar fi cele pentru protecția țintelor ușoare aeroportuare, utilizarea de câini antrenați pentru detectarea explozivilor și protecția țintelor ușoare în diferite medii, precum și pentru detectarea reziduurilor de explozivi și arme de foc pe pașapoarte, care vor fi puse la dispoziția statelor membre.</w:t>
      </w:r>
    </w:p>
  </w:footnote>
  <w:footnote w:id="36">
    <w:p>
      <w:pPr>
        <w:pStyle w:val="FootnoteText"/>
        <w:jc w:val="both"/>
        <w:rPr>
          <w:sz w:val="18"/>
          <w:szCs w:val="18"/>
        </w:rPr>
      </w:pPr>
      <w:r>
        <w:rPr>
          <w:rStyle w:val="FootnoteReference"/>
          <w:sz w:val="18"/>
        </w:rPr>
        <w:footnoteRef/>
      </w:r>
      <w:r>
        <w:rPr>
          <w:sz w:val="18"/>
        </w:rPr>
        <w:t xml:space="preserve"> </w:t>
      </w:r>
      <w:r>
        <w:tab/>
      </w:r>
      <w:r>
        <w:rPr>
          <w:sz w:val="18"/>
        </w:rPr>
        <w:t>SIS este cea mai mare platformă de schimb de date privind armele de foc pierdute sau furate din UE și țările asociate spațiului Schengen. Până în prezent, 29 de țări din Europa sunt conectate la aceasta. Până la 31 decembrie 2014, aceasta a înregistrat 457 059 de semnalări privind armele de foc, cu numai 180 de rezultate pozitive obținute efectiv în 2014 (dintr-un total de 128 598 de rezultate pozitive la semnalări pentru toate categoriile de arme de foc). Această rată foarte redusă se datorează, în principal, problemelor de calitate a datelor, cum ar fi faptul că multe state membre nu înregistrează calibrul și că numerele de serie ale armelor de foc nu sunt unice.</w:t>
      </w:r>
    </w:p>
  </w:footnote>
  <w:footnote w:id="37">
    <w:p>
      <w:pPr>
        <w:pStyle w:val="FootnoteText"/>
        <w:jc w:val="both"/>
        <w:rPr>
          <w:sz w:val="18"/>
          <w:szCs w:val="18"/>
        </w:rPr>
      </w:pPr>
      <w:r>
        <w:rPr>
          <w:sz w:val="18"/>
          <w:vertAlign w:val="superscript"/>
        </w:rPr>
        <w:footnoteRef/>
      </w:r>
      <w:r>
        <w:rPr>
          <w:sz w:val="18"/>
        </w:rPr>
        <w:t xml:space="preserve"> </w:t>
      </w:r>
      <w:r>
        <w:rPr>
          <w:sz w:val="18"/>
        </w:rPr>
        <w:tab/>
        <w:t xml:space="preserve">Registrul de arme ilegale și sistemul de gestionare a urmăririi ale INTERPOL (iARMS), finanțat de UE, facilitează schimbul de informații și cooperarea de anchetă între agențiile de aplicare a legii în ceea ce privește circulația internațională a armelor de foc ilegale, precum și a armelor de foc legale care au fost implicate în comiterea unei infracțiuni. Baza de date iARMS a Interpol este în curs de extindere la cele 190 de state membre ale Interpol. Aceasta conține aproximativ 756 000 de înregistrări care sunt, în principal, introduse de Australia și țările din America Latină. Până în prezent, numai trei la sută din informațiile privind armele de foc din această bază de date iARMS proveneau din UE. </w:t>
      </w:r>
      <w:hyperlink r:id="rId14">
        <w:r>
          <w:rPr>
            <w:rStyle w:val="Hyperlink0"/>
            <w:rFonts w:eastAsia="Arial Unicode MS"/>
            <w:sz w:val="18"/>
          </w:rPr>
          <w:t>http://www.interpol.int/Crime-areas/Firearms/INTERPOL-Illicit-Arms-Records-and-tracing-Management-System-iARMS</w:t>
        </w:r>
      </w:hyperlink>
    </w:p>
  </w:footnote>
  <w:footnote w:id="38">
    <w:p>
      <w:pPr>
        <w:pStyle w:val="FootnoteText"/>
        <w:jc w:val="both"/>
        <w:rPr>
          <w:sz w:val="18"/>
          <w:szCs w:val="18"/>
        </w:rPr>
      </w:pPr>
      <w:r>
        <w:rPr>
          <w:rStyle w:val="FootnoteReference"/>
          <w:sz w:val="18"/>
        </w:rPr>
        <w:footnoteRef/>
      </w:r>
      <w:r>
        <w:rPr>
          <w:sz w:val="18"/>
        </w:rPr>
        <w:t xml:space="preserve"> </w:t>
      </w:r>
      <w:r>
        <w:rPr>
          <w:sz w:val="18"/>
        </w:rPr>
        <w:tab/>
        <w:t>Proiectul aferent privind formatul universal pentru mesaje (</w:t>
      </w:r>
      <w:r>
        <w:rPr>
          <w:i/>
          <w:sz w:val="18"/>
        </w:rPr>
        <w:t>Universal Message Format</w:t>
      </w:r>
      <w:r>
        <w:rPr>
          <w:sz w:val="18"/>
        </w:rPr>
        <w:t xml:space="preserve"> - UMF, un set de elemente fundamentale pentru a construi schimburile de date standard pentru interconectarea sistemelor dispersate de aplicare a legii) va fi corelat cu proiectul de interoperabilitate SIS-iARMS. </w:t>
      </w:r>
    </w:p>
  </w:footnote>
  <w:footnote w:id="39">
    <w:p>
      <w:pPr>
        <w:pStyle w:val="FootnoteText"/>
        <w:jc w:val="both"/>
        <w:rPr>
          <w:sz w:val="18"/>
          <w:szCs w:val="18"/>
        </w:rPr>
      </w:pPr>
      <w:r>
        <w:rPr>
          <w:vertAlign w:val="superscript"/>
        </w:rPr>
        <w:footnoteRef/>
      </w:r>
      <w:r>
        <w:t xml:space="preserve"> </w:t>
      </w:r>
      <w:r>
        <w:tab/>
      </w:r>
      <w:r>
        <w:rPr>
          <w:sz w:val="18"/>
        </w:rPr>
        <w:t>Interpol găzduiește Rețeaua de informații balistice (IBIN) pentru țările care dețin tehnologia sistemelor de identificare balistică integrate (IBIS). În prezent, 19 țări din întreaga lume, dintre care 8 țări din spațiul Schengen, sunt membre ale IBIN. 42 de țări suplimentare utilizează tehnologia IBIS dar nu fac parte din IBIN (3 dintre ele sunt state membre ale UE). Până în prezent au avut loc 36 de rezultate pozitive, majoritatea acestora în țările UE.</w:t>
      </w:r>
    </w:p>
  </w:footnote>
  <w:footnote w:id="40">
    <w:p>
      <w:pPr>
        <w:pStyle w:val="FootnoteText"/>
        <w:jc w:val="both"/>
        <w:rPr>
          <w:spacing w:val="-2"/>
          <w:sz w:val="18"/>
          <w:szCs w:val="18"/>
        </w:rPr>
      </w:pPr>
      <w:r>
        <w:rPr>
          <w:rStyle w:val="FootnoteReference"/>
          <w:sz w:val="18"/>
        </w:rPr>
        <w:footnoteRef/>
      </w:r>
      <w:r>
        <w:rPr>
          <w:sz w:val="18"/>
        </w:rPr>
        <w:t xml:space="preserve"> </w:t>
      </w:r>
      <w:r>
        <w:rPr>
          <w:sz w:val="18"/>
        </w:rPr>
        <w:tab/>
      </w:r>
      <w:r>
        <w:rPr>
          <w:spacing w:val="-2"/>
          <w:sz w:val="18"/>
        </w:rPr>
        <w:t>http://research.shu.ac.uk/aces/odyssey/index.php?option=com_content&amp;view=category&amp;layout=blog&amp;id=56&amp;Itemid=88</w:t>
      </w:r>
    </w:p>
  </w:footnote>
  <w:footnote w:id="41">
    <w:p>
      <w:pPr>
        <w:pStyle w:val="FootnoteText"/>
        <w:jc w:val="both"/>
        <w:rPr>
          <w:sz w:val="18"/>
          <w:szCs w:val="18"/>
        </w:rPr>
      </w:pPr>
      <w:r>
        <w:rPr>
          <w:sz w:val="18"/>
          <w:vertAlign w:val="superscript"/>
        </w:rPr>
        <w:footnoteRef/>
      </w:r>
      <w:r>
        <w:rPr>
          <w:sz w:val="18"/>
        </w:rPr>
        <w:t xml:space="preserve"> </w:t>
      </w:r>
      <w:r>
        <w:tab/>
      </w:r>
      <w:r>
        <w:rPr>
          <w:sz w:val="18"/>
        </w:rPr>
        <w:t xml:space="preserve">Decizia 2013/698/PESC a Consiliului: iTRACE colectează și oferă informații precise și verificate prin comparație cu datele de pe teren privind rutele comerciale ilegale ale armelor convenționale deturnate sau traficate; </w:t>
      </w:r>
      <w:hyperlink r:id="rId15">
        <w:r>
          <w:rPr>
            <w:rStyle w:val="Hyperlink0"/>
            <w:rFonts w:eastAsia="Arial Unicode MS"/>
            <w:sz w:val="18"/>
          </w:rPr>
          <w:t>http://www.conflictarm.com/itrace/</w:t>
        </w:r>
      </w:hyperlink>
      <w:r>
        <w:rPr>
          <w:rStyle w:val="Hyperlink0"/>
          <w:rFonts w:eastAsia="Arial Unicode MS"/>
          <w:sz w:val="18"/>
        </w:rPr>
        <w:t>;</w:t>
      </w:r>
      <w:r>
        <w:t>În plus, proiectul iTRACE vizează, de asemenea, să sprijine cu precădere punerea în aplicare a Tratatului privind Comerțul cu Arme, oferind asistență autorităților naționale pentru detectarea deturnării armelor convenționale transferate și evaluarea riscurilor de deturnare la examinarea cererilor de licențe de export.</w:t>
      </w:r>
      <w:r>
        <w:rPr>
          <w:sz w:val="18"/>
        </w:rPr>
        <w:t xml:space="preserve"> Investigațiile pe teren efectuate de către experți ai societății private „Conflict Armament Research” (CAR) în 21 de țări (în special în Africa și Orientul Mijlociu), alimentează o „bază de date de urmărire a armelor” cu acces public, referitoare la armele deturnate sau traficate.</w:t>
      </w:r>
    </w:p>
  </w:footnote>
  <w:footnote w:id="42">
    <w:p>
      <w:pPr>
        <w:pStyle w:val="FootnoteText"/>
        <w:jc w:val="both"/>
      </w:pPr>
      <w:r>
        <w:rPr>
          <w:rStyle w:val="FootnoteReference"/>
          <w:sz w:val="18"/>
        </w:rPr>
        <w:footnoteRef/>
      </w:r>
      <w:r>
        <w:rPr>
          <w:sz w:val="18"/>
        </w:rPr>
        <w:t xml:space="preserve">  </w:t>
      </w:r>
      <w:r>
        <w:tab/>
      </w:r>
      <w:r>
        <w:rPr>
          <w:sz w:val="18"/>
        </w:rPr>
        <w:t>130 000 de articole documentate: arme, muniții și materiale conexe; 213 cereri iTRACE trimise către guverne (până în iulie 2015).</w:t>
      </w:r>
    </w:p>
  </w:footnote>
  <w:footnote w:id="43">
    <w:p>
      <w:pPr>
        <w:pStyle w:val="FootnoteText"/>
        <w:jc w:val="both"/>
        <w:rPr>
          <w:sz w:val="18"/>
          <w:szCs w:val="18"/>
        </w:rPr>
      </w:pPr>
      <w:r>
        <w:rPr>
          <w:vertAlign w:val="superscript"/>
        </w:rPr>
        <w:footnoteRef/>
      </w:r>
      <w:r>
        <w:t xml:space="preserve"> </w:t>
      </w:r>
      <w:r>
        <w:tab/>
      </w:r>
      <w:r>
        <w:rPr>
          <w:sz w:val="18"/>
        </w:rPr>
        <w:t>Membrii punctului focal: Belgia, Bulgaria, Croația, Cipru, Republica Cehă, Danemarca, Finlanda, Franța, Grecia, Lituania, Luxemburg, Malta, Țările de Jos, Polonia, Portugalia, România, Republica Slovacă, Slovenia, Spania, Suedia, Regatul Unit.</w:t>
      </w:r>
    </w:p>
  </w:footnote>
  <w:footnote w:id="44">
    <w:p>
      <w:pPr>
        <w:pStyle w:val="FootnoteText"/>
        <w:jc w:val="both"/>
        <w:rPr>
          <w:sz w:val="18"/>
          <w:szCs w:val="18"/>
        </w:rPr>
      </w:pPr>
      <w:r>
        <w:rPr>
          <w:sz w:val="18"/>
          <w:vertAlign w:val="superscript"/>
        </w:rPr>
        <w:footnoteRef/>
      </w:r>
      <w:r>
        <w:rPr>
          <w:sz w:val="18"/>
        </w:rPr>
        <w:t xml:space="preserve"> </w:t>
      </w:r>
      <w:r>
        <w:tab/>
      </w:r>
      <w:r>
        <w:rPr>
          <w:sz w:val="18"/>
        </w:rPr>
        <w:t xml:space="preserve">Eurojust, Interpol, Elveția, Australia, autoritatea din SUA </w:t>
      </w:r>
      <w:r>
        <w:rPr>
          <w:i/>
          <w:sz w:val="18"/>
        </w:rPr>
        <w:t>US Bureau of Alcohol, Tobacco, Firearms and Explosives</w:t>
      </w:r>
      <w:r>
        <w:rPr>
          <w:sz w:val="18"/>
        </w:rPr>
        <w:t xml:space="preserve"> și Albania.</w:t>
      </w:r>
    </w:p>
  </w:footnote>
  <w:footnote w:id="45">
    <w:p>
      <w:pPr>
        <w:pStyle w:val="FootnoteText"/>
        <w:jc w:val="both"/>
        <w:rPr>
          <w:sz w:val="18"/>
          <w:szCs w:val="18"/>
        </w:rPr>
      </w:pPr>
      <w:r>
        <w:rPr>
          <w:rStyle w:val="FootnoteReference"/>
          <w:sz w:val="18"/>
        </w:rPr>
        <w:footnoteRef/>
      </w:r>
      <w:r>
        <w:rPr>
          <w:sz w:val="18"/>
        </w:rPr>
        <w:t xml:space="preserve"> </w:t>
      </w:r>
      <w:r>
        <w:tab/>
      </w:r>
      <w:r>
        <w:rPr>
          <w:sz w:val="18"/>
        </w:rPr>
        <w:t>Un sistem de avertizare timpurie a fost elaborat în cadrul Planului de acțiune al UE privind explozivii, cu finanțare din partea Comisiei, dar nu a reușit să facă legătura între toate autoritățile statelor membre.</w:t>
      </w:r>
    </w:p>
  </w:footnote>
  <w:footnote w:id="46">
    <w:p>
      <w:pPr>
        <w:pStyle w:val="FootnoteText"/>
        <w:rPr>
          <w:sz w:val="18"/>
          <w:szCs w:val="18"/>
        </w:rPr>
      </w:pPr>
      <w:r>
        <w:rPr>
          <w:rStyle w:val="FootnoteReference"/>
        </w:rPr>
        <w:footnoteRef/>
      </w:r>
      <w:r>
        <w:t xml:space="preserve"> </w:t>
      </w:r>
      <w:r>
        <w:tab/>
      </w:r>
      <w:r>
        <w:rPr>
          <w:sz w:val="18"/>
        </w:rPr>
        <w:t>JOIN (2015) 50 final.</w:t>
      </w:r>
    </w:p>
  </w:footnote>
  <w:footnote w:id="47">
    <w:p>
      <w:pPr>
        <w:pStyle w:val="FootnoteText"/>
        <w:jc w:val="both"/>
        <w:rPr>
          <w:sz w:val="18"/>
          <w:szCs w:val="18"/>
        </w:rPr>
      </w:pPr>
      <w:r>
        <w:rPr>
          <w:rStyle w:val="FootnoteReference"/>
          <w:sz w:val="18"/>
        </w:rPr>
        <w:footnoteRef/>
      </w:r>
      <w:r>
        <w:rPr>
          <w:sz w:val="18"/>
        </w:rPr>
        <w:t xml:space="preserve"> </w:t>
      </w:r>
      <w:r>
        <w:tab/>
      </w:r>
      <w:r>
        <w:rPr>
          <w:sz w:val="18"/>
        </w:rPr>
        <w:t>Începând din 2002, UE a sprijinit eforturile de a reduce amenințările reprezentate de acumularea pe scară largă de arme mici și armament ușor (SALW) precum și de muniții în Europa de Sud-Est (</w:t>
      </w:r>
      <w:hyperlink r:id="rId16">
        <w:r>
          <w:rPr>
            <w:rStyle w:val="Hyperlink"/>
            <w:sz w:val="18"/>
          </w:rPr>
          <w:t>http://www.seesac.org/news.php?id=495</w:t>
        </w:r>
      </w:hyperlink>
      <w:r>
        <w:rPr>
          <w:sz w:val="18"/>
        </w:rPr>
        <w:t>)</w:t>
      </w:r>
      <w:r>
        <w:t>.</w:t>
      </w:r>
      <w:r>
        <w:rPr>
          <w:sz w:val="18"/>
        </w:rPr>
        <w:t xml:space="preserve"> Diferite proiecte au fost finanțate de UE în regiunea Balcanilor de Vest, în vederea îmbunătățirii securității gestionării stocurilor.</w:t>
      </w:r>
    </w:p>
  </w:footnote>
  <w:footnote w:id="48">
    <w:p>
      <w:pPr>
        <w:pStyle w:val="FootnoteText"/>
        <w:jc w:val="both"/>
        <w:rPr>
          <w:sz w:val="18"/>
          <w:szCs w:val="18"/>
        </w:rPr>
      </w:pPr>
      <w:r>
        <w:rPr>
          <w:rStyle w:val="FootnoteReference"/>
          <w:sz w:val="18"/>
        </w:rPr>
        <w:footnoteRef/>
      </w:r>
      <w:r>
        <w:rPr>
          <w:sz w:val="18"/>
        </w:rPr>
        <w:t xml:space="preserve"> </w:t>
      </w:r>
      <w:r>
        <w:rPr>
          <w:sz w:val="18"/>
        </w:rPr>
        <w:tab/>
        <w:t>În urma Forumului ministerial UE-Balcanii de Vest privind justiția și afacerile interne, desfășurat la Tirana în 2012, o rețea regională de experți în traficul de arme de foc a fost înființată în 2013. Aceasta a dus la adoptarea Planului de acțiune. Acesta a fost aprobat în decembrie 2014 atât de către Consiliu, cât și de către partenerii din Balcanii de Vest cu ocazia Forumului ministerial UE - Balcanii de Vest în domeniul justiției și afacerilor interne, care a avut loc la Belgrad. Planul de acțiune prevede următoarele acțiuni:</w:t>
      </w:r>
    </w:p>
    <w:p>
      <w:pPr>
        <w:pStyle w:val="Body"/>
        <w:numPr>
          <w:ilvl w:val="0"/>
          <w:numId w:val="42"/>
        </w:numPr>
        <w:spacing w:after="0" w:line="240" w:lineRule="auto"/>
        <w:ind w:left="714" w:hanging="357"/>
        <w:jc w:val="both"/>
        <w:rPr>
          <w:rFonts w:ascii="Times New Roman" w:hAnsi="Times New Roman"/>
          <w:sz w:val="18"/>
          <w:szCs w:val="18"/>
        </w:rPr>
      </w:pPr>
      <w:r>
        <w:rPr>
          <w:rFonts w:ascii="Times New Roman" w:hAnsi="Times New Roman"/>
          <w:sz w:val="18"/>
        </w:rPr>
        <w:t xml:space="preserve">îmbunătățirea schimbului de informații la nivel regional și cu statele membre ale UE, cu participarea Europol, privind producerea, stocarea și traficul de arme de foc și de muniție, urmărind, de asemenea, dezvoltarea unor standarde mai eficiente de investigare și de informare; </w:t>
      </w:r>
    </w:p>
    <w:p>
      <w:pPr>
        <w:pStyle w:val="Body"/>
        <w:numPr>
          <w:ilvl w:val="0"/>
          <w:numId w:val="42"/>
        </w:numPr>
        <w:spacing w:after="0" w:line="240" w:lineRule="auto"/>
        <w:ind w:left="714" w:hanging="357"/>
        <w:jc w:val="both"/>
        <w:rPr>
          <w:rFonts w:ascii="Times New Roman" w:hAnsi="Times New Roman"/>
          <w:sz w:val="18"/>
          <w:szCs w:val="18"/>
        </w:rPr>
      </w:pPr>
      <w:r>
        <w:rPr>
          <w:rFonts w:ascii="Times New Roman" w:hAnsi="Times New Roman"/>
          <w:sz w:val="18"/>
        </w:rPr>
        <w:t xml:space="preserve">îmbunătățirea cooperării operaționale în materie de aplicare a legii la nivel regional și cu statele membre ale UE și Europol pentru a controla producția, stocarea și traficul de arme de foc și de muniție; </w:t>
      </w:r>
    </w:p>
    <w:p>
      <w:pPr>
        <w:pStyle w:val="Body"/>
        <w:numPr>
          <w:ilvl w:val="0"/>
          <w:numId w:val="42"/>
        </w:numPr>
        <w:spacing w:after="0" w:line="240" w:lineRule="auto"/>
        <w:ind w:left="714" w:hanging="357"/>
        <w:jc w:val="both"/>
        <w:rPr>
          <w:rFonts w:ascii="Times New Roman" w:hAnsi="Times New Roman"/>
          <w:sz w:val="18"/>
          <w:szCs w:val="18"/>
        </w:rPr>
      </w:pPr>
      <w:r>
        <w:rPr>
          <w:rFonts w:ascii="Times New Roman" w:hAnsi="Times New Roman"/>
          <w:sz w:val="18"/>
        </w:rPr>
        <w:t xml:space="preserve">îmbunătățirea colectării și a schimbului de statistici cu privire la producția, stocarea și traficul de arme de foc și de muniție; </w:t>
      </w:r>
    </w:p>
    <w:p>
      <w:pPr>
        <w:pStyle w:val="Body"/>
        <w:numPr>
          <w:ilvl w:val="0"/>
          <w:numId w:val="42"/>
        </w:numPr>
        <w:spacing w:after="0" w:line="240" w:lineRule="auto"/>
        <w:ind w:left="714" w:hanging="357"/>
        <w:jc w:val="both"/>
        <w:rPr>
          <w:rFonts w:ascii="Times New Roman" w:hAnsi="Times New Roman"/>
          <w:sz w:val="18"/>
          <w:szCs w:val="18"/>
        </w:rPr>
      </w:pPr>
      <w:r>
        <w:rPr>
          <w:rFonts w:ascii="Times New Roman" w:hAnsi="Times New Roman"/>
          <w:sz w:val="18"/>
        </w:rPr>
        <w:t>promovarea constituirii de rețele la toate nivelurile, a schimbului de cele mai bune practici și a formării comune între experții din regiunea Balcanilor de Vest;</w:t>
      </w:r>
    </w:p>
    <w:p>
      <w:pPr>
        <w:pStyle w:val="Body"/>
        <w:numPr>
          <w:ilvl w:val="0"/>
          <w:numId w:val="42"/>
        </w:numPr>
        <w:spacing w:after="0" w:line="240" w:lineRule="auto"/>
        <w:ind w:left="714" w:hanging="357"/>
        <w:jc w:val="both"/>
      </w:pPr>
      <w:r>
        <w:rPr>
          <w:rFonts w:ascii="Times New Roman" w:hAnsi="Times New Roman"/>
          <w:sz w:val="18"/>
        </w:rPr>
        <w:t>armonizarea legislației naționale privind armele de foc în conformitate cu standardele UE și internaționale.</w:t>
      </w:r>
    </w:p>
  </w:footnote>
  <w:footnote w:id="49">
    <w:p>
      <w:pPr>
        <w:pStyle w:val="FootnoteText"/>
        <w:jc w:val="both"/>
        <w:rPr>
          <w:bCs/>
          <w:sz w:val="18"/>
          <w:szCs w:val="18"/>
        </w:rPr>
      </w:pPr>
      <w:r>
        <w:rPr>
          <w:rStyle w:val="FootnoteReference"/>
        </w:rPr>
        <w:footnoteRef/>
      </w:r>
      <w:r>
        <w:t xml:space="preserve"> </w:t>
      </w:r>
      <w:r>
        <w:tab/>
      </w:r>
      <w:r>
        <w:rPr>
          <w:sz w:val="18"/>
        </w:rPr>
        <w:t>Strategia UE de combatere a acumulării și a traficului ilegale de SALW și de muniție aferentă. Doc. 5319/06 PESC 31, 13 ianuarie 2006;</w:t>
      </w:r>
    </w:p>
    <w:p>
      <w:pPr>
        <w:ind w:left="357"/>
        <w:jc w:val="both"/>
        <w:rPr>
          <w:sz w:val="18"/>
          <w:szCs w:val="18"/>
        </w:rPr>
      </w:pPr>
      <w:r>
        <w:rPr>
          <w:sz w:val="18"/>
        </w:rPr>
        <w:t>- Decizia 2013/730/PESC a Consiliului;</w:t>
      </w:r>
    </w:p>
    <w:p>
      <w:pPr>
        <w:ind w:left="357"/>
        <w:jc w:val="both"/>
        <w:rPr>
          <w:sz w:val="18"/>
          <w:szCs w:val="18"/>
        </w:rPr>
      </w:pPr>
      <w:r>
        <w:rPr>
          <w:sz w:val="18"/>
        </w:rPr>
        <w:t>- Programul de acțiune al ONU pentru prevenirea, combaterea și eradicarea comerțului ilegal cu arme de calibru mic și armament ușor în toate aspectele sale.</w:t>
      </w:r>
      <w:r>
        <w:rPr>
          <w:i/>
          <w:sz w:val="18"/>
        </w:rPr>
        <w:t xml:space="preserve"> </w:t>
      </w:r>
      <w:hyperlink r:id="rId17">
        <w:r>
          <w:rPr>
            <w:rStyle w:val="Hyperlink"/>
            <w:color w:val="0033CC"/>
            <w:sz w:val="18"/>
          </w:rPr>
          <w:t>http://www.un.org/disarmament/content</w:t>
        </w:r>
      </w:hyperlink>
    </w:p>
  </w:footnote>
  <w:footnote w:id="50">
    <w:p>
      <w:pPr>
        <w:pStyle w:val="FootnoteText"/>
        <w:jc w:val="both"/>
        <w:rPr>
          <w:sz w:val="18"/>
          <w:szCs w:val="18"/>
        </w:rPr>
      </w:pPr>
      <w:r>
        <w:rPr>
          <w:rStyle w:val="FootnoteReference"/>
          <w:sz w:val="18"/>
        </w:rPr>
        <w:footnoteRef/>
      </w:r>
      <w:r>
        <w:rPr>
          <w:sz w:val="18"/>
        </w:rPr>
        <w:t xml:space="preserve"> </w:t>
      </w:r>
      <w:r>
        <w:rPr>
          <w:sz w:val="18"/>
        </w:rPr>
        <w:tab/>
        <w:t>Astfel cum ar fi Instrumentul european de vecinătate (IEV) și Instrumentul care contribuie la stabilitate și pace (IcSP), precum și astfel cum este deja cazul noului Program EUROMED Police IV (pe cale de a fi inițiat), finanțat de IEV.</w:t>
      </w:r>
    </w:p>
  </w:footnote>
  <w:footnote w:id="51">
    <w:p>
      <w:pPr>
        <w:pStyle w:val="FootnoteText"/>
        <w:rPr>
          <w:sz w:val="18"/>
          <w:szCs w:val="18"/>
        </w:rPr>
      </w:pPr>
      <w:r>
        <w:rPr>
          <w:rStyle w:val="FootnoteReference"/>
          <w:sz w:val="18"/>
        </w:rPr>
        <w:footnoteRef/>
      </w:r>
      <w:r>
        <w:rPr>
          <w:sz w:val="18"/>
        </w:rPr>
        <w:t xml:space="preserve"> </w:t>
      </w:r>
      <w:r>
        <w:rPr>
          <w:sz w:val="18"/>
        </w:rPr>
        <w:tab/>
        <w:t>Arme din Libia au fost găsite în țări cum ar fi Ciad, Egipt, Gaza, Mali, Niger și Tunisia.</w:t>
      </w:r>
    </w:p>
  </w:footnote>
  <w:footnote w:id="52">
    <w:p>
      <w:pPr>
        <w:pStyle w:val="FootnoteText"/>
        <w:rPr>
          <w:sz w:val="18"/>
          <w:szCs w:val="18"/>
          <w:lang w:val="it-IT"/>
        </w:rPr>
      </w:pPr>
      <w:r>
        <w:rPr>
          <w:rStyle w:val="FootnoteReference"/>
          <w:sz w:val="18"/>
        </w:rPr>
        <w:footnoteRef/>
      </w:r>
      <w:r>
        <w:rPr>
          <w:sz w:val="18"/>
        </w:rPr>
        <w:t xml:space="preserve"> </w:t>
      </w:r>
      <w:r>
        <w:rPr>
          <w:sz w:val="18"/>
        </w:rPr>
        <w:tab/>
      </w:r>
      <w:r>
        <w:rPr>
          <w:rStyle w:val="st1"/>
          <w:sz w:val="18"/>
        </w:rPr>
        <w:t>Sisteme portabile de apărare antiaeriană.</w:t>
      </w:r>
    </w:p>
  </w:footnote>
  <w:footnote w:id="53">
    <w:p>
      <w:pPr>
        <w:pStyle w:val="FootnoteText"/>
        <w:rPr>
          <w:sz w:val="18"/>
          <w:szCs w:val="18"/>
        </w:rPr>
      </w:pPr>
      <w:r>
        <w:rPr>
          <w:rStyle w:val="FootnoteReference"/>
        </w:rPr>
        <w:footnoteRef/>
      </w:r>
      <w:r>
        <w:t xml:space="preserve">   </w:t>
      </w:r>
      <w:r>
        <w:rPr>
          <w:sz w:val="18"/>
        </w:rPr>
        <w:t xml:space="preserve">LAS este o </w:t>
      </w:r>
      <w:hyperlink r:id="rId18" w:tooltip="Organizație regională">
        <w:r>
          <w:rPr>
            <w:rStyle w:val="Hyperlink"/>
            <w:sz w:val="18"/>
            <w:u w:val="none"/>
          </w:rPr>
          <w:t>organizație regională</w:t>
        </w:r>
      </w:hyperlink>
      <w:r>
        <w:rPr>
          <w:sz w:val="18"/>
        </w:rPr>
        <w:t xml:space="preserve"> de </w:t>
      </w:r>
      <w:hyperlink r:id="rId19" w:tooltip="Lumea arabă">
        <w:r>
          <w:rPr>
            <w:rStyle w:val="Hyperlink"/>
            <w:sz w:val="18"/>
            <w:u w:val="none"/>
          </w:rPr>
          <w:t>țări arabe</w:t>
        </w:r>
      </w:hyperlink>
      <w:r>
        <w:rPr>
          <w:sz w:val="18"/>
        </w:rPr>
        <w:t xml:space="preserve"> din și din jurul </w:t>
      </w:r>
      <w:hyperlink r:id="rId20" w:tooltip="Africa de Nord">
        <w:r>
          <w:rPr>
            <w:rStyle w:val="Hyperlink"/>
            <w:sz w:val="18"/>
            <w:u w:val="none"/>
          </w:rPr>
          <w:t>Africii de Nord</w:t>
        </w:r>
      </w:hyperlink>
      <w:r>
        <w:rPr>
          <w:sz w:val="18"/>
        </w:rPr>
        <w:t xml:space="preserve">, din </w:t>
      </w:r>
      <w:hyperlink r:id="rId21" w:tooltip="Cornul Africii">
        <w:r>
          <w:rPr>
            <w:rStyle w:val="Hyperlink"/>
            <w:sz w:val="18"/>
            <w:u w:val="none"/>
          </w:rPr>
          <w:t>Cornul Africii</w:t>
        </w:r>
      </w:hyperlink>
      <w:r>
        <w:rPr>
          <w:sz w:val="18"/>
        </w:rPr>
        <w:t xml:space="preserve"> și </w:t>
      </w:r>
      <w:hyperlink r:id="rId22" w:tooltip="Arabia">
        <w:r>
          <w:rPr>
            <w:rStyle w:val="Hyperlink"/>
            <w:sz w:val="18"/>
            <w:u w:val="none"/>
          </w:rPr>
          <w:t>Arabia</w:t>
        </w:r>
      </w:hyperlink>
      <w:r>
        <w:rPr>
          <w:sz w:val="18"/>
        </w:rPr>
        <w:t>.</w:t>
      </w:r>
    </w:p>
  </w:footnote>
  <w:footnote w:id="54">
    <w:p>
      <w:pPr>
        <w:pStyle w:val="FootnoteText"/>
        <w:rPr>
          <w:sz w:val="18"/>
          <w:szCs w:val="18"/>
        </w:rPr>
      </w:pPr>
      <w:r>
        <w:rPr>
          <w:rStyle w:val="FootnoteReference"/>
          <w:sz w:val="18"/>
        </w:rPr>
        <w:footnoteRef/>
      </w:r>
      <w:r>
        <w:rPr>
          <w:sz w:val="18"/>
        </w:rPr>
        <w:t xml:space="preserve">    </w:t>
      </w:r>
      <w:hyperlink r:id="rId23">
        <w:r>
          <w:rPr>
            <w:rStyle w:val="Hyperlink"/>
            <w:color w:val="0000FF"/>
            <w:sz w:val="18"/>
          </w:rPr>
          <w:t>http://eeas.europa.eu/non-proliferation-and-disarmament/conventional_weapons/salw/index_en.htm</w:t>
        </w:r>
      </w:hyperlink>
    </w:p>
  </w:footnote>
  <w:footnote w:id="55">
    <w:p>
      <w:pPr>
        <w:pStyle w:val="FootnoteText"/>
      </w:pPr>
      <w:r>
        <w:rPr>
          <w:rStyle w:val="FootnoteReference"/>
          <w:sz w:val="18"/>
        </w:rPr>
        <w:footnoteRef/>
      </w:r>
      <w:r>
        <w:rPr>
          <w:sz w:val="18"/>
        </w:rPr>
        <w:t xml:space="preserve">    </w:t>
      </w:r>
      <w:hyperlink r:id="rId24">
        <w:r>
          <w:rPr>
            <w:rStyle w:val="Hyperlink"/>
            <w:color w:val="0000FF"/>
            <w:sz w:val="18"/>
          </w:rPr>
          <w:t>http://www.eeas.europa.eu/csdp/about-csdp/european-security-strategy/</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4973607"/>
    <w:multiLevelType w:val="hybridMultilevel"/>
    <w:tmpl w:val="3628159E"/>
    <w:lvl w:ilvl="0" w:tplc="8D86EB6A">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3C0E3C"/>
    <w:multiLevelType w:val="hybridMultilevel"/>
    <w:tmpl w:val="82C6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D222CF"/>
    <w:multiLevelType w:val="hybridMultilevel"/>
    <w:tmpl w:val="BC0458DE"/>
    <w:lvl w:ilvl="0" w:tplc="080C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5B9168C"/>
    <w:multiLevelType w:val="hybridMultilevel"/>
    <w:tmpl w:val="2B26CC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74F5F0F"/>
    <w:multiLevelType w:val="hybridMultilevel"/>
    <w:tmpl w:val="3DC05072"/>
    <w:lvl w:ilvl="0" w:tplc="08090001">
      <w:start w:val="1"/>
      <w:numFmt w:val="bullet"/>
      <w:lvlText w:val=""/>
      <w:lvlJc w:val="left"/>
      <w:pPr>
        <w:ind w:left="720" w:hanging="360"/>
      </w:pPr>
      <w:rPr>
        <w:rFonts w:ascii="Symbol" w:hAnsi="Symbol" w:hint="default"/>
      </w:rPr>
    </w:lvl>
    <w:lvl w:ilvl="1" w:tplc="C81A212E">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B58268F"/>
    <w:multiLevelType w:val="hybridMultilevel"/>
    <w:tmpl w:val="3D706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B5C5EFA"/>
    <w:multiLevelType w:val="hybridMultilevel"/>
    <w:tmpl w:val="A1DE3764"/>
    <w:lvl w:ilvl="0" w:tplc="77CE9B42">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BC5B17"/>
    <w:multiLevelType w:val="hybridMultilevel"/>
    <w:tmpl w:val="BC0458DE"/>
    <w:lvl w:ilvl="0" w:tplc="080C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nsid w:val="1F734306"/>
    <w:multiLevelType w:val="multilevel"/>
    <w:tmpl w:val="28629EE4"/>
    <w:lvl w:ilvl="0">
      <w:start w:val="1"/>
      <w:numFmt w:val="decimal"/>
      <w:pStyle w:val="Heading1"/>
      <w:lvlText w:val="%1."/>
      <w:lvlJc w:val="left"/>
      <w:pPr>
        <w:tabs>
          <w:tab w:val="num" w:pos="480"/>
        </w:tabs>
        <w:ind w:left="480" w:hanging="480"/>
      </w:pPr>
      <w:rPr>
        <w:b/>
      </w:r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53F191B"/>
    <w:multiLevelType w:val="hybridMultilevel"/>
    <w:tmpl w:val="BE66DFAA"/>
    <w:lvl w:ilvl="0" w:tplc="7EDE7E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8BD0AD3"/>
    <w:multiLevelType w:val="hybridMultilevel"/>
    <w:tmpl w:val="E5A45FBC"/>
    <w:lvl w:ilvl="0" w:tplc="3CF4E5EA">
      <w:start w:val="1"/>
      <w:numFmt w:val="bullet"/>
      <w:lvlText w:val=""/>
      <w:lvlJc w:val="left"/>
      <w:pPr>
        <w:ind w:left="720" w:hanging="360"/>
      </w:pPr>
      <w:rPr>
        <w:rFonts w:ascii="Symbol" w:hAnsi="Symbol" w:hint="default"/>
        <w:sz w:val="20"/>
        <w:szCs w:val="24"/>
      </w:rPr>
    </w:lvl>
    <w:lvl w:ilvl="1" w:tplc="22800A7C">
      <w:start w:val="1"/>
      <w:numFmt w:val="bullet"/>
      <w:lvlText w:val="o"/>
      <w:lvlJc w:val="left"/>
      <w:pPr>
        <w:ind w:left="1440" w:hanging="360"/>
      </w:pPr>
      <w:rPr>
        <w:rFonts w:ascii="Courier New" w:hAnsi="Courier New" w:cs="Courier New" w:hint="default"/>
        <w:sz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7">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E7A46B2"/>
    <w:multiLevelType w:val="hybridMultilevel"/>
    <w:tmpl w:val="EA86C244"/>
    <w:lvl w:ilvl="0" w:tplc="40C64D18">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1">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3">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4">
    <w:nsid w:val="409978B0"/>
    <w:multiLevelType w:val="hybridMultilevel"/>
    <w:tmpl w:val="3C9ECDA4"/>
    <w:lvl w:ilvl="0" w:tplc="81F29DF4">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6">
    <w:nsid w:val="47443FFC"/>
    <w:multiLevelType w:val="hybridMultilevel"/>
    <w:tmpl w:val="7786F2DA"/>
    <w:lvl w:ilvl="0" w:tplc="499E9A68">
      <w:start w:val="1"/>
      <w:numFmt w:val="bullet"/>
      <w:lvlText w:val=""/>
      <w:lvlJc w:val="left"/>
      <w:pPr>
        <w:ind w:left="720" w:hanging="360"/>
      </w:pPr>
      <w:rPr>
        <w:rFonts w:ascii="Symbol" w:hAnsi="Symbol" w:hint="default"/>
        <w:sz w:val="20"/>
        <w:szCs w:val="20"/>
      </w:rPr>
    </w:lvl>
    <w:lvl w:ilvl="1" w:tplc="04FC8A00">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4CF4001"/>
    <w:multiLevelType w:val="hybridMultilevel"/>
    <w:tmpl w:val="34DC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5F9E7D3E"/>
    <w:multiLevelType w:val="hybridMultilevel"/>
    <w:tmpl w:val="F6CE09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2">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3">
    <w:nsid w:val="64BF3853"/>
    <w:multiLevelType w:val="hybridMultilevel"/>
    <w:tmpl w:val="E0442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BAE3C48"/>
    <w:multiLevelType w:val="hybridMultilevel"/>
    <w:tmpl w:val="7A582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BFD0CE2"/>
    <w:multiLevelType w:val="hybridMultilevel"/>
    <w:tmpl w:val="EAEAA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C7A47E3"/>
    <w:multiLevelType w:val="hybridMultilevel"/>
    <w:tmpl w:val="4A18C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8">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727011D9"/>
    <w:multiLevelType w:val="hybridMultilevel"/>
    <w:tmpl w:val="48762CE2"/>
    <w:lvl w:ilvl="0" w:tplc="6128D690">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12"/>
  </w:num>
  <w:num w:numId="4">
    <w:abstractNumId w:val="23"/>
  </w:num>
  <w:num w:numId="5">
    <w:abstractNumId w:val="16"/>
  </w:num>
  <w:num w:numId="6">
    <w:abstractNumId w:val="22"/>
  </w:num>
  <w:num w:numId="7">
    <w:abstractNumId w:val="32"/>
  </w:num>
  <w:num w:numId="8">
    <w:abstractNumId w:val="37"/>
  </w:num>
  <w:num w:numId="9">
    <w:abstractNumId w:val="20"/>
  </w:num>
  <w:num w:numId="10">
    <w:abstractNumId w:val="31"/>
  </w:num>
  <w:num w:numId="11">
    <w:abstractNumId w:val="29"/>
  </w:num>
  <w:num w:numId="12">
    <w:abstractNumId w:val="25"/>
  </w:num>
  <w:num w:numId="13">
    <w:abstractNumId w:val="28"/>
  </w:num>
  <w:num w:numId="14">
    <w:abstractNumId w:val="13"/>
  </w:num>
  <w:num w:numId="15">
    <w:abstractNumId w:val="21"/>
  </w:num>
  <w:num w:numId="16">
    <w:abstractNumId w:val="8"/>
  </w:num>
  <w:num w:numId="17">
    <w:abstractNumId w:val="17"/>
  </w:num>
  <w:num w:numId="18">
    <w:abstractNumId w:val="38"/>
  </w:num>
  <w:num w:numId="19">
    <w:abstractNumId w:val="18"/>
  </w:num>
  <w:num w:numId="20">
    <w:abstractNumId w:val="40"/>
  </w:num>
  <w:num w:numId="21">
    <w:abstractNumId w:val="5"/>
  </w:num>
  <w:num w:numId="22">
    <w:abstractNumId w:val="27"/>
  </w:num>
  <w:num w:numId="23">
    <w:abstractNumId w:val="2"/>
  </w:num>
  <w:num w:numId="24">
    <w:abstractNumId w:val="26"/>
  </w:num>
  <w:num w:numId="25">
    <w:abstractNumId w:val="15"/>
  </w:num>
  <w:num w:numId="26">
    <w:abstractNumId w:val="39"/>
  </w:num>
  <w:num w:numId="27">
    <w:abstractNumId w:val="35"/>
  </w:num>
  <w:num w:numId="28">
    <w:abstractNumId w:val="24"/>
  </w:num>
  <w:num w:numId="29">
    <w:abstractNumId w:val="36"/>
  </w:num>
  <w:num w:numId="30">
    <w:abstractNumId w:val="30"/>
  </w:num>
  <w:num w:numId="31">
    <w:abstractNumId w:val="7"/>
  </w:num>
  <w:num w:numId="32">
    <w:abstractNumId w:val="14"/>
  </w:num>
  <w:num w:numId="33">
    <w:abstractNumId w:val="34"/>
  </w:num>
  <w:num w:numId="34">
    <w:abstractNumId w:val="6"/>
  </w:num>
  <w:num w:numId="35">
    <w:abstractNumId w:val="3"/>
  </w:num>
  <w:num w:numId="36">
    <w:abstractNumId w:val="33"/>
  </w:num>
  <w:num w:numId="37">
    <w:abstractNumId w:val="9"/>
  </w:num>
  <w:num w:numId="38">
    <w:abstractNumId w:val="12"/>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4"/>
  </w:num>
  <w:num w:numId="42">
    <w:abstractNumId w:val="19"/>
  </w:num>
  <w:num w:numId="43">
    <w:abstractNumId w:val="12"/>
  </w:num>
  <w:num w:numId="44">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55A0075616DB4E7F841CBDD4931DE372"/>
    <w:docVar w:name="LW_CROSSREFERENCE" w:val="&lt;UNUSED&gt;"/>
    <w:docVar w:name="LW_DocType" w:val="REP"/>
    <w:docVar w:name="LW_EMISSION" w:val="2.12.2015"/>
    <w:docVar w:name="LW_EMISSION_ISODATE" w:val="2015-12-02"/>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624"/>
    <w:docVar w:name="LW_REF.INTERNE" w:val="&lt;UNUSED&gt;"/>
    <w:docVar w:name="LW_SOUS.TITRE.OBJ.CP" w:val="&lt;UNUSED&gt;"/>
    <w:docVar w:name="LW_SUPERTITRE" w:val="&lt;UNUSED&gt;"/>
    <w:docVar w:name="LW_TITRE.OBJ.CP" w:val="Punerea în aplicare a Agendei europene privind securitatea: _x000b_planul de ac\u539?iune al UE împotriva traficului \u537?i utiliz\u259?rii ilegale de arme de foc \u537?i explozivi."/>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pPr>
      <w:pBdr>
        <w:top w:val="nil"/>
        <w:left w:val="nil"/>
        <w:bottom w:val="nil"/>
        <w:right w:val="nil"/>
        <w:between w:val="nil"/>
        <w:bar w:val="nil"/>
      </w:pBdr>
    </w:pPr>
    <w:rPr>
      <w:rFonts w:eastAsia="Arial Unicode MS"/>
      <w:sz w:val="24"/>
      <w:szCs w:val="24"/>
      <w:bdr w:val="nil"/>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1"/>
    <w:uiPriority w:val="99"/>
    <w:semiHidden/>
    <w:rPr>
      <w:sz w:val="20"/>
    </w:rPr>
  </w:style>
  <w:style w:type="paragraph" w:styleId="Date">
    <w:name w:val="Date"/>
    <w:basedOn w:val="Normal"/>
    <w:next w:val="References"/>
    <w:pPr>
      <w:ind w:left="5103" w:right="-567"/>
    </w:pPr>
  </w:style>
  <w:style w:type="paragraph" w:customStyle="1" w:styleId="References">
    <w:name w:val="References"/>
    <w:basedOn w:val="Normal"/>
    <w:next w:val="AddressTR"/>
    <w:pPr>
      <w:ind w:left="5103"/>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pPr>
  </w:style>
  <w:style w:type="paragraph" w:customStyle="1" w:styleId="Enclosures">
    <w:name w:val="Enclosures"/>
    <w:basedOn w:val="Normal"/>
    <w:pPr>
      <w:keepNext/>
      <w:keepLines/>
      <w:tabs>
        <w:tab w:val="left" w:pos="5642"/>
      </w:tabs>
      <w:spacing w:before="480"/>
      <w:ind w:left="1191" w:hanging="1191"/>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pPr>
  </w:style>
  <w:style w:type="paragraph" w:styleId="EnvelopeReturn">
    <w:name w:val="envelope return"/>
    <w:basedOn w:val="Normal"/>
    <w:rPr>
      <w:sz w:val="20"/>
    </w:rPr>
  </w:style>
  <w:style w:type="paragraph" w:styleId="Footer">
    <w:name w:val="footer"/>
    <w:basedOn w:val="Normal"/>
    <w:link w:val="FooterChar"/>
    <w:uiPriority w:val="99"/>
    <w:pPr>
      <w:ind w:right="-567"/>
    </w:pPr>
    <w:rPr>
      <w:rFonts w:ascii="Arial" w:hAnsi="Arial"/>
      <w:sz w:val="16"/>
    </w:rPr>
  </w:style>
  <w:style w:type="paragraph" w:styleId="FootnoteText">
    <w:name w:val="footnote text"/>
    <w:basedOn w:val="Normal"/>
    <w:link w:val="FootnoteTextChar"/>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pPr>
    <w:rPr>
      <w:b/>
    </w:rPr>
  </w:style>
  <w:style w:type="paragraph" w:customStyle="1" w:styleId="NoteList">
    <w:name w:val="NoteList"/>
    <w:basedOn w:val="Normal"/>
    <w:next w:val="Subject"/>
    <w:pPr>
      <w:tabs>
        <w:tab w:val="left" w:pos="5823"/>
      </w:tabs>
      <w:spacing w:before="720" w:after="720"/>
      <w:ind w:left="5104" w:hanging="3119"/>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pPr>
  </w:style>
  <w:style w:type="paragraph" w:customStyle="1" w:styleId="Designator">
    <w:name w:val="Designator"/>
    <w:basedOn w:val="Normal"/>
    <w:pPr>
      <w:jc w:val="center"/>
    </w:pPr>
    <w:rPr>
      <w:b/>
      <w:caps/>
      <w:sz w:val="32"/>
    </w:rPr>
  </w:style>
  <w:style w:type="paragraph" w:customStyle="1" w:styleId="Releasable">
    <w:name w:val="Releasable"/>
    <w:basedOn w:val="Normal"/>
    <w:qFormat/>
    <w:pPr>
      <w:jc w:val="center"/>
    </w:pPr>
    <w:rPr>
      <w:b/>
      <w:caps/>
      <w:sz w:val="32"/>
    </w:rPr>
  </w:style>
  <w:style w:type="paragraph" w:customStyle="1" w:styleId="RUE">
    <w:name w:val="RUE"/>
    <w:basedOn w:val="Normal"/>
    <w:pPr>
      <w:jc w:val="center"/>
    </w:pPr>
    <w:rPr>
      <w:b/>
      <w:caps/>
      <w:sz w:val="32"/>
      <w:bdr w:val="single" w:sz="18" w:space="0" w:color="auto"/>
    </w:rPr>
  </w:style>
  <w:style w:type="paragraph" w:customStyle="1" w:styleId="ConfidentialUE">
    <w:name w:val="Confidential UE"/>
    <w:basedOn w:val="Normal"/>
    <w:pPr>
      <w:jc w:val="center"/>
    </w:pPr>
    <w:rPr>
      <w:b/>
      <w:caps/>
      <w:sz w:val="32"/>
      <w:bdr w:val="single" w:sz="18" w:space="0" w:color="auto"/>
    </w:rPr>
  </w:style>
  <w:style w:type="paragraph" w:customStyle="1" w:styleId="SecretUE">
    <w:name w:val="Secret UE"/>
    <w:basedOn w:val="Normal"/>
    <w:pPr>
      <w:jc w:val="center"/>
    </w:pPr>
    <w:rPr>
      <w:b/>
      <w:caps/>
      <w:color w:val="FF0000"/>
      <w:sz w:val="32"/>
      <w:bdr w:val="single" w:sz="18" w:space="0" w:color="FF0000"/>
    </w:rPr>
  </w:style>
  <w:style w:type="paragraph" w:customStyle="1" w:styleId="TrsSecretUE">
    <w:name w:val="Très Secret UE"/>
    <w:basedOn w:val="Normal"/>
    <w:pPr>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Pagedecouverture">
    <w:name w:val="Page de couverture"/>
    <w:next w:val="Body"/>
    <w:pPr>
      <w:pBdr>
        <w:top w:val="nil"/>
        <w:left w:val="nil"/>
        <w:bottom w:val="nil"/>
        <w:right w:val="nil"/>
        <w:between w:val="nil"/>
        <w:bar w:val="nil"/>
      </w:pBdr>
      <w:jc w:val="both"/>
    </w:pPr>
    <w:rPr>
      <w:rFonts w:eastAsia="Arial Unicode MS" w:cs="Arial Unicode MS"/>
      <w:color w:val="000000"/>
      <w:sz w:val="24"/>
      <w:szCs w:val="24"/>
      <w:u w:color="000000"/>
      <w:bdr w:val="nil"/>
    </w:rPr>
  </w:style>
  <w:style w:type="paragraph" w:customStyle="1" w:styleId="Body">
    <w:name w:val="Body"/>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u w:val="single" w:color="0000FF"/>
    </w:rPr>
  </w:style>
  <w:style w:type="character" w:customStyle="1" w:styleId="Hyperlink1">
    <w:name w:val="Hyperlink.1"/>
    <w:basedOn w:val="Link"/>
    <w:rPr>
      <w:rFonts w:ascii="Times New Roman" w:eastAsia="Times New Roman" w:hAnsi="Times New Roman" w:cs="Times New Roman"/>
      <w:color w:val="0000FF"/>
      <w:sz w:val="20"/>
      <w:szCs w:val="20"/>
      <w:u w:val="single" w:color="0000FF"/>
    </w:rPr>
  </w:style>
  <w:style w:type="character" w:customStyle="1" w:styleId="Hyperlink2">
    <w:name w:val="Hyperlink.2"/>
    <w:basedOn w:val="Link"/>
    <w:rPr>
      <w:rFonts w:ascii="Times New Roman" w:eastAsia="Times New Roman" w:hAnsi="Times New Roman" w:cs="Times New Roman"/>
      <w:color w:val="0000FF"/>
      <w:u w:val="single" w:color="0000FF"/>
      <w:lang w:val="ro-RO"/>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rPr>
  </w:style>
  <w:style w:type="character" w:customStyle="1" w:styleId="CommentTextChar">
    <w:name w:val="Comment Text Char"/>
    <w:basedOn w:val="DefaultParagraphFont"/>
    <w:uiPriority w:val="99"/>
    <w:semiHidden/>
    <w:rPr>
      <w:lang w:val="ro-RO" w:eastAsia="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1">
    <w:name w:val="Comment Text Char1"/>
    <w:basedOn w:val="DefaultParagraphFont"/>
    <w:link w:val="CommentText"/>
    <w:uiPriority w:val="99"/>
    <w:semiHidden/>
    <w:rPr>
      <w:lang w:eastAsia="ro-RO"/>
    </w:rPr>
  </w:style>
  <w:style w:type="character" w:customStyle="1" w:styleId="CommentSubjectChar">
    <w:name w:val="Comment Subject Char"/>
    <w:basedOn w:val="CommentTextChar1"/>
    <w:link w:val="CommentSubject"/>
    <w:uiPriority w:val="99"/>
    <w:semiHidden/>
    <w:rPr>
      <w:rFonts w:eastAsia="Arial Unicode MS"/>
      <w:b/>
      <w:bCs/>
      <w:bdr w:val="nil"/>
      <w:lang w:val="ro-RO" w:eastAsia="ro-RO"/>
    </w:rPr>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rPr>
      <w:lang w:eastAsia="ro-RO"/>
    </w:rPr>
  </w:style>
  <w:style w:type="paragraph" w:styleId="Revision">
    <w:name w:val="Revision"/>
    <w:hidden/>
    <w:uiPriority w:val="99"/>
    <w:semiHidden/>
    <w:rPr>
      <w:rFonts w:eastAsia="Arial Unicode MS"/>
      <w:sz w:val="24"/>
      <w:szCs w:val="24"/>
      <w:bdr w:val="nil"/>
    </w:rPr>
  </w:style>
  <w:style w:type="paragraph" w:styleId="ListParagraph">
    <w:name w:val="List Paragraph"/>
    <w:basedOn w:val="Normal"/>
    <w:uiPriority w:val="34"/>
    <w:qFormat/>
    <w:pPr>
      <w:ind w:left="720"/>
      <w:contextualSpacing/>
    </w:p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Heading1Char">
    <w:name w:val="Heading 1 Char"/>
    <w:basedOn w:val="DefaultParagraphFont"/>
    <w:link w:val="Heading1"/>
    <w:rPr>
      <w:rFonts w:eastAsia="Arial Unicode MS"/>
      <w:b/>
      <w:smallCaps/>
      <w:sz w:val="24"/>
      <w:szCs w:val="24"/>
      <w:bdr w:val="nil"/>
      <w:lang w:val="ro-RO" w:eastAsia="ro-RO"/>
    </w:rPr>
  </w:style>
  <w:style w:type="character" w:customStyle="1" w:styleId="FooterCoverPageChar">
    <w:name w:val="Footer Cover Page Char"/>
    <w:basedOn w:val="Heading1Char"/>
    <w:link w:val="FooterCoverPage"/>
    <w:rPr>
      <w:rFonts w:eastAsia="Arial Unicode MS"/>
      <w:b w:val="0"/>
      <w:smallCaps w:val="0"/>
      <w:sz w:val="24"/>
      <w:szCs w:val="24"/>
      <w:bdr w:val="nil"/>
      <w:lang w:val="ro-RO" w:eastAsia="ro-RO"/>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1Char"/>
    <w:link w:val="HeaderCoverPage"/>
    <w:rPr>
      <w:rFonts w:eastAsia="Arial Unicode MS"/>
      <w:b w:val="0"/>
      <w:smallCaps w:val="0"/>
      <w:sz w:val="24"/>
      <w:szCs w:val="24"/>
      <w:bdr w:val="nil"/>
      <w:lang w:val="ro-RO" w:eastAsia="ro-RO"/>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1">
    <w:name w:val="st1"/>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pPr>
      <w:pBdr>
        <w:top w:val="nil"/>
        <w:left w:val="nil"/>
        <w:bottom w:val="nil"/>
        <w:right w:val="nil"/>
        <w:between w:val="nil"/>
        <w:bar w:val="nil"/>
      </w:pBdr>
    </w:pPr>
    <w:rPr>
      <w:rFonts w:eastAsia="Arial Unicode MS"/>
      <w:sz w:val="24"/>
      <w:szCs w:val="24"/>
      <w:bdr w:val="nil"/>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1"/>
    <w:uiPriority w:val="99"/>
    <w:semiHidden/>
    <w:rPr>
      <w:sz w:val="20"/>
    </w:rPr>
  </w:style>
  <w:style w:type="paragraph" w:styleId="Date">
    <w:name w:val="Date"/>
    <w:basedOn w:val="Normal"/>
    <w:next w:val="References"/>
    <w:pPr>
      <w:ind w:left="5103" w:right="-567"/>
    </w:pPr>
  </w:style>
  <w:style w:type="paragraph" w:customStyle="1" w:styleId="References">
    <w:name w:val="References"/>
    <w:basedOn w:val="Normal"/>
    <w:next w:val="AddressTR"/>
    <w:pPr>
      <w:ind w:left="5103"/>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pPr>
  </w:style>
  <w:style w:type="paragraph" w:customStyle="1" w:styleId="Enclosures">
    <w:name w:val="Enclosures"/>
    <w:basedOn w:val="Normal"/>
    <w:pPr>
      <w:keepNext/>
      <w:keepLines/>
      <w:tabs>
        <w:tab w:val="left" w:pos="5642"/>
      </w:tabs>
      <w:spacing w:before="480"/>
      <w:ind w:left="1191" w:hanging="1191"/>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pPr>
  </w:style>
  <w:style w:type="paragraph" w:styleId="EnvelopeReturn">
    <w:name w:val="envelope return"/>
    <w:basedOn w:val="Normal"/>
    <w:rPr>
      <w:sz w:val="20"/>
    </w:rPr>
  </w:style>
  <w:style w:type="paragraph" w:styleId="Footer">
    <w:name w:val="footer"/>
    <w:basedOn w:val="Normal"/>
    <w:link w:val="FooterChar"/>
    <w:uiPriority w:val="99"/>
    <w:pPr>
      <w:ind w:right="-567"/>
    </w:pPr>
    <w:rPr>
      <w:rFonts w:ascii="Arial" w:hAnsi="Arial"/>
      <w:sz w:val="16"/>
    </w:rPr>
  </w:style>
  <w:style w:type="paragraph" w:styleId="FootnoteText">
    <w:name w:val="footnote text"/>
    <w:basedOn w:val="Normal"/>
    <w:link w:val="FootnoteTextChar"/>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pPr>
    <w:rPr>
      <w:b/>
    </w:rPr>
  </w:style>
  <w:style w:type="paragraph" w:customStyle="1" w:styleId="NoteList">
    <w:name w:val="NoteList"/>
    <w:basedOn w:val="Normal"/>
    <w:next w:val="Subject"/>
    <w:pPr>
      <w:tabs>
        <w:tab w:val="left" w:pos="5823"/>
      </w:tabs>
      <w:spacing w:before="720" w:after="720"/>
      <w:ind w:left="5104" w:hanging="3119"/>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pPr>
  </w:style>
  <w:style w:type="paragraph" w:customStyle="1" w:styleId="Designator">
    <w:name w:val="Designator"/>
    <w:basedOn w:val="Normal"/>
    <w:pPr>
      <w:jc w:val="center"/>
    </w:pPr>
    <w:rPr>
      <w:b/>
      <w:caps/>
      <w:sz w:val="32"/>
    </w:rPr>
  </w:style>
  <w:style w:type="paragraph" w:customStyle="1" w:styleId="Releasable">
    <w:name w:val="Releasable"/>
    <w:basedOn w:val="Normal"/>
    <w:qFormat/>
    <w:pPr>
      <w:jc w:val="center"/>
    </w:pPr>
    <w:rPr>
      <w:b/>
      <w:caps/>
      <w:sz w:val="32"/>
    </w:rPr>
  </w:style>
  <w:style w:type="paragraph" w:customStyle="1" w:styleId="RUE">
    <w:name w:val="RUE"/>
    <w:basedOn w:val="Normal"/>
    <w:pPr>
      <w:jc w:val="center"/>
    </w:pPr>
    <w:rPr>
      <w:b/>
      <w:caps/>
      <w:sz w:val="32"/>
      <w:bdr w:val="single" w:sz="18" w:space="0" w:color="auto"/>
    </w:rPr>
  </w:style>
  <w:style w:type="paragraph" w:customStyle="1" w:styleId="ConfidentialUE">
    <w:name w:val="Confidential UE"/>
    <w:basedOn w:val="Normal"/>
    <w:pPr>
      <w:jc w:val="center"/>
    </w:pPr>
    <w:rPr>
      <w:b/>
      <w:caps/>
      <w:sz w:val="32"/>
      <w:bdr w:val="single" w:sz="18" w:space="0" w:color="auto"/>
    </w:rPr>
  </w:style>
  <w:style w:type="paragraph" w:customStyle="1" w:styleId="SecretUE">
    <w:name w:val="Secret UE"/>
    <w:basedOn w:val="Normal"/>
    <w:pPr>
      <w:jc w:val="center"/>
    </w:pPr>
    <w:rPr>
      <w:b/>
      <w:caps/>
      <w:color w:val="FF0000"/>
      <w:sz w:val="32"/>
      <w:bdr w:val="single" w:sz="18" w:space="0" w:color="FF0000"/>
    </w:rPr>
  </w:style>
  <w:style w:type="paragraph" w:customStyle="1" w:styleId="TrsSecretUE">
    <w:name w:val="Très Secret UE"/>
    <w:basedOn w:val="Normal"/>
    <w:pPr>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Pagedecouverture">
    <w:name w:val="Page de couverture"/>
    <w:next w:val="Body"/>
    <w:pPr>
      <w:pBdr>
        <w:top w:val="nil"/>
        <w:left w:val="nil"/>
        <w:bottom w:val="nil"/>
        <w:right w:val="nil"/>
        <w:between w:val="nil"/>
        <w:bar w:val="nil"/>
      </w:pBdr>
      <w:jc w:val="both"/>
    </w:pPr>
    <w:rPr>
      <w:rFonts w:eastAsia="Arial Unicode MS" w:cs="Arial Unicode MS"/>
      <w:color w:val="000000"/>
      <w:sz w:val="24"/>
      <w:szCs w:val="24"/>
      <w:u w:color="000000"/>
      <w:bdr w:val="nil"/>
    </w:rPr>
  </w:style>
  <w:style w:type="paragraph" w:customStyle="1" w:styleId="Body">
    <w:name w:val="Body"/>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u w:val="single" w:color="0000FF"/>
    </w:rPr>
  </w:style>
  <w:style w:type="character" w:customStyle="1" w:styleId="Hyperlink1">
    <w:name w:val="Hyperlink.1"/>
    <w:basedOn w:val="Link"/>
    <w:rPr>
      <w:rFonts w:ascii="Times New Roman" w:eastAsia="Times New Roman" w:hAnsi="Times New Roman" w:cs="Times New Roman"/>
      <w:color w:val="0000FF"/>
      <w:sz w:val="20"/>
      <w:szCs w:val="20"/>
      <w:u w:val="single" w:color="0000FF"/>
    </w:rPr>
  </w:style>
  <w:style w:type="character" w:customStyle="1" w:styleId="Hyperlink2">
    <w:name w:val="Hyperlink.2"/>
    <w:basedOn w:val="Link"/>
    <w:rPr>
      <w:rFonts w:ascii="Times New Roman" w:eastAsia="Times New Roman" w:hAnsi="Times New Roman" w:cs="Times New Roman"/>
      <w:color w:val="0000FF"/>
      <w:u w:val="single" w:color="0000FF"/>
      <w:lang w:val="ro-RO"/>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rPr>
  </w:style>
  <w:style w:type="character" w:customStyle="1" w:styleId="CommentTextChar">
    <w:name w:val="Comment Text Char"/>
    <w:basedOn w:val="DefaultParagraphFont"/>
    <w:uiPriority w:val="99"/>
    <w:semiHidden/>
    <w:rPr>
      <w:lang w:val="ro-RO" w:eastAsia="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1">
    <w:name w:val="Comment Text Char1"/>
    <w:basedOn w:val="DefaultParagraphFont"/>
    <w:link w:val="CommentText"/>
    <w:uiPriority w:val="99"/>
    <w:semiHidden/>
    <w:rPr>
      <w:lang w:eastAsia="ro-RO"/>
    </w:rPr>
  </w:style>
  <w:style w:type="character" w:customStyle="1" w:styleId="CommentSubjectChar">
    <w:name w:val="Comment Subject Char"/>
    <w:basedOn w:val="CommentTextChar1"/>
    <w:link w:val="CommentSubject"/>
    <w:uiPriority w:val="99"/>
    <w:semiHidden/>
    <w:rPr>
      <w:rFonts w:eastAsia="Arial Unicode MS"/>
      <w:b/>
      <w:bCs/>
      <w:bdr w:val="nil"/>
      <w:lang w:val="ro-RO" w:eastAsia="ro-RO"/>
    </w:rPr>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rPr>
      <w:lang w:eastAsia="ro-RO"/>
    </w:rPr>
  </w:style>
  <w:style w:type="paragraph" w:styleId="Revision">
    <w:name w:val="Revision"/>
    <w:hidden/>
    <w:uiPriority w:val="99"/>
    <w:semiHidden/>
    <w:rPr>
      <w:rFonts w:eastAsia="Arial Unicode MS"/>
      <w:sz w:val="24"/>
      <w:szCs w:val="24"/>
      <w:bdr w:val="nil"/>
    </w:rPr>
  </w:style>
  <w:style w:type="paragraph" w:styleId="ListParagraph">
    <w:name w:val="List Paragraph"/>
    <w:basedOn w:val="Normal"/>
    <w:uiPriority w:val="34"/>
    <w:qFormat/>
    <w:pPr>
      <w:ind w:left="720"/>
      <w:contextualSpacing/>
    </w:p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Heading1Char">
    <w:name w:val="Heading 1 Char"/>
    <w:basedOn w:val="DefaultParagraphFont"/>
    <w:link w:val="Heading1"/>
    <w:rPr>
      <w:rFonts w:eastAsia="Arial Unicode MS"/>
      <w:b/>
      <w:smallCaps/>
      <w:sz w:val="24"/>
      <w:szCs w:val="24"/>
      <w:bdr w:val="nil"/>
      <w:lang w:val="ro-RO" w:eastAsia="ro-RO"/>
    </w:rPr>
  </w:style>
  <w:style w:type="character" w:customStyle="1" w:styleId="FooterCoverPageChar">
    <w:name w:val="Footer Cover Page Char"/>
    <w:basedOn w:val="Heading1Char"/>
    <w:link w:val="FooterCoverPage"/>
    <w:rPr>
      <w:rFonts w:eastAsia="Arial Unicode MS"/>
      <w:b w:val="0"/>
      <w:smallCaps w:val="0"/>
      <w:sz w:val="24"/>
      <w:szCs w:val="24"/>
      <w:bdr w:val="nil"/>
      <w:lang w:val="ro-RO" w:eastAsia="ro-RO"/>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1Char"/>
    <w:link w:val="HeaderCoverPage"/>
    <w:rPr>
      <w:rFonts w:eastAsia="Arial Unicode MS"/>
      <w:b w:val="0"/>
      <w:smallCaps w:val="0"/>
      <w:sz w:val="24"/>
      <w:szCs w:val="24"/>
      <w:bdr w:val="nil"/>
      <w:lang w:val="ro-RO" w:eastAsia="ro-RO"/>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1">
    <w:name w:val="st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731080">
      <w:bodyDiv w:val="1"/>
      <w:marLeft w:val="0"/>
      <w:marRight w:val="0"/>
      <w:marTop w:val="0"/>
      <w:marBottom w:val="0"/>
      <w:divBdr>
        <w:top w:val="none" w:sz="0" w:space="0" w:color="auto"/>
        <w:left w:val="none" w:sz="0" w:space="0" w:color="auto"/>
        <w:bottom w:val="none" w:sz="0" w:space="0" w:color="auto"/>
        <w:right w:val="none" w:sz="0" w:space="0" w:color="auto"/>
      </w:divBdr>
    </w:div>
    <w:div w:id="425226944">
      <w:bodyDiv w:val="1"/>
      <w:marLeft w:val="0"/>
      <w:marRight w:val="0"/>
      <w:marTop w:val="0"/>
      <w:marBottom w:val="0"/>
      <w:divBdr>
        <w:top w:val="none" w:sz="0" w:space="0" w:color="auto"/>
        <w:left w:val="none" w:sz="0" w:space="0" w:color="auto"/>
        <w:bottom w:val="none" w:sz="0" w:space="0" w:color="auto"/>
        <w:right w:val="none" w:sz="0" w:space="0" w:color="auto"/>
      </w:divBdr>
    </w:div>
    <w:div w:id="1123185155">
      <w:bodyDiv w:val="1"/>
      <w:marLeft w:val="0"/>
      <w:marRight w:val="0"/>
      <w:marTop w:val="0"/>
      <w:marBottom w:val="0"/>
      <w:divBdr>
        <w:top w:val="none" w:sz="0" w:space="0" w:color="auto"/>
        <w:left w:val="none" w:sz="0" w:space="0" w:color="auto"/>
        <w:bottom w:val="none" w:sz="0" w:space="0" w:color="auto"/>
        <w:right w:val="none" w:sz="0" w:space="0" w:color="auto"/>
      </w:divBdr>
    </w:div>
    <w:div w:id="1196388249">
      <w:bodyDiv w:val="1"/>
      <w:marLeft w:val="0"/>
      <w:marRight w:val="0"/>
      <w:marTop w:val="0"/>
      <w:marBottom w:val="0"/>
      <w:divBdr>
        <w:top w:val="none" w:sz="0" w:space="0" w:color="auto"/>
        <w:left w:val="none" w:sz="0" w:space="0" w:color="auto"/>
        <w:bottom w:val="none" w:sz="0" w:space="0" w:color="auto"/>
        <w:right w:val="none" w:sz="0" w:space="0" w:color="auto"/>
      </w:divBdr>
    </w:div>
    <w:div w:id="1288122970">
      <w:bodyDiv w:val="1"/>
      <w:marLeft w:val="0"/>
      <w:marRight w:val="0"/>
      <w:marTop w:val="0"/>
      <w:marBottom w:val="0"/>
      <w:divBdr>
        <w:top w:val="none" w:sz="0" w:space="0" w:color="auto"/>
        <w:left w:val="none" w:sz="0" w:space="0" w:color="auto"/>
        <w:bottom w:val="none" w:sz="0" w:space="0" w:color="auto"/>
        <w:right w:val="none" w:sz="0" w:space="0" w:color="auto"/>
      </w:divBdr>
    </w:div>
    <w:div w:id="1979919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ol.europa.eu/content/global-action-against-dark-markets-tor-network" TargetMode="External"/><Relationship Id="rId13" Type="http://schemas.openxmlformats.org/officeDocument/2006/relationships/hyperlink" Target="https://www.cepol.europa.eu/who-we-are/european-police-college/about-us" TargetMode="External"/><Relationship Id="rId18" Type="http://schemas.openxmlformats.org/officeDocument/2006/relationships/hyperlink" Target="https://en.wikipedia.org/wiki/Regional_organization" TargetMode="External"/><Relationship Id="rId3" Type="http://schemas.openxmlformats.org/officeDocument/2006/relationships/hyperlink" Target="http://europa.eu/rapid/press-release_IP-15-6110_en.htm" TargetMode="External"/><Relationship Id="rId21" Type="http://schemas.openxmlformats.org/officeDocument/2006/relationships/hyperlink" Target="https://en.wikipedia.org/wiki/Horn_of_Africa" TargetMode="External"/><Relationship Id="rId7" Type="http://schemas.openxmlformats.org/officeDocument/2006/relationships/hyperlink" Target="http://ec.europa.eu/transparency/regexpert/index.cfm?do=groupDetail.groupDetail&amp;groupID=3245" TargetMode="External"/><Relationship Id="rId12" Type="http://schemas.openxmlformats.org/officeDocument/2006/relationships/hyperlink" Target="http://www.smallarmsstandards.org/" TargetMode="External"/><Relationship Id="rId17" Type="http://schemas.openxmlformats.org/officeDocument/2006/relationships/hyperlink" Target="http://www.un.org/disarmament/content" TargetMode="External"/><Relationship Id="rId2" Type="http://schemas.openxmlformats.org/officeDocument/2006/relationships/hyperlink" Target="http://www.consilium.europa.eu/ro/press/press-releases/2015/10/08-jha-fighting-trafficking-firearms/" TargetMode="External"/><Relationship Id="rId16" Type="http://schemas.openxmlformats.org/officeDocument/2006/relationships/hyperlink" Target="http://www.seesac.org/news.php?id=495" TargetMode="External"/><Relationship Id="rId20" Type="http://schemas.openxmlformats.org/officeDocument/2006/relationships/hyperlink" Target="https://en.wikipedia.org/wiki/North_Africa" TargetMode="External"/><Relationship Id="rId1" Type="http://schemas.openxmlformats.org/officeDocument/2006/relationships/hyperlink" Target="http://ec.europa.eu/dgs/home-affairs/e-library/documents/basic-documents/docs/eu_agenda_on_security_en.pdf" TargetMode="External"/><Relationship Id="rId6" Type="http://schemas.openxmlformats.org/officeDocument/2006/relationships/hyperlink" Target="http://ec.europa.eu/research/fp7/index_en.cfm" TargetMode="External"/><Relationship Id="rId11" Type="http://schemas.openxmlformats.org/officeDocument/2006/relationships/hyperlink" Target="http://www.consilium.europa.eu/uedocs/cms_data/docs/pressdata/en/jha/114017.pdf" TargetMode="External"/><Relationship Id="rId24" Type="http://schemas.openxmlformats.org/officeDocument/2006/relationships/hyperlink" Target="http://www.eeas.europa.eu/csdp/about-csdp/european-security-strategy/" TargetMode="External"/><Relationship Id="rId5" Type="http://schemas.openxmlformats.org/officeDocument/2006/relationships/hyperlink" Target="http://ec.europa.eu/programmes/horizon2020/" TargetMode="External"/><Relationship Id="rId15" Type="http://schemas.openxmlformats.org/officeDocument/2006/relationships/hyperlink" Target="http://www.conflictarm.com/itrace/" TargetMode="External"/><Relationship Id="rId23" Type="http://schemas.openxmlformats.org/officeDocument/2006/relationships/hyperlink" Target="http://eeas.europa.eu/non-proliferation-and-disarmament/conventional_weapons/salw/index_en.htm" TargetMode="External"/><Relationship Id="rId10" Type="http://schemas.openxmlformats.org/officeDocument/2006/relationships/hyperlink" Target="http://eur-lex.europa.eu/legal-content/RO/TXT/?uri=celex:52015DC0192" TargetMode="External"/><Relationship Id="rId19" Type="http://schemas.openxmlformats.org/officeDocument/2006/relationships/hyperlink" Target="https://en.wikipedia.org/wiki/Arab_world" TargetMode="External"/><Relationship Id="rId4" Type="http://schemas.openxmlformats.org/officeDocument/2006/relationships/hyperlink" Target="http://www.consilium.europa.eu/ro/documents-publications/publications/2015/eu-policy-cycle-tackle-organized-crime/" TargetMode="External"/><Relationship Id="rId9" Type="http://schemas.openxmlformats.org/officeDocument/2006/relationships/hyperlink" Target="https://www.europol.europa.eu/content/cybercriminal-darkode-forum-taken-down-through-global-action" TargetMode="External"/><Relationship Id="rId14" Type="http://schemas.openxmlformats.org/officeDocument/2006/relationships/hyperlink" Target="http://www.interpol.int/Crime-areas/Firearms/INTERPOL-Illicit-Arms-Records-and-tracing-Management-System-iARMS" TargetMode="External"/><Relationship Id="rId22" Type="http://schemas.openxmlformats.org/officeDocument/2006/relationships/hyperlink" Target="https://en.wikipedia.org/wiki/Arab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C792D-934A-4037-8DC8-2963D9095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5704</Words>
  <Characters>33257</Characters>
  <Application>Microsoft Office Word</Application>
  <DocSecurity>0</DocSecurity>
  <PresentationFormat>Microsoft Word 14.0</PresentationFormat>
  <Lines>511</Lines>
  <Paragraphs>157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38804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2015-11-30T11:18:00Z</dcterms:created>
  <dcterms:modified xsi:type="dcterms:W3CDTF">2015-12-22T08:38:00Z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