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C4293ABEB19470286C0A9A66013DC41" style="width:450.8pt;height:365.6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noProof/>
        </w:rPr>
      </w:pPr>
      <w:r>
        <w:rPr>
          <w:noProof/>
          <w:color w:val="000000"/>
          <w:u w:color="000000"/>
          <w:bdr w:val="nil"/>
        </w:rPr>
        <w:t>•</w:t>
      </w:r>
      <w:r>
        <w:rPr>
          <w:noProof/>
        </w:rPr>
        <w:tab/>
        <w:t>Motivele și obiectivele propunerii</w:t>
      </w:r>
    </w:p>
    <w:p>
      <w:pPr>
        <w:autoSpaceDE w:val="0"/>
        <w:rPr>
          <w:noProof/>
          <w:spacing w:val="-3"/>
        </w:rPr>
      </w:pPr>
      <w:r>
        <w:rPr>
          <w:noProof/>
          <w:spacing w:val="-3"/>
        </w:rPr>
        <w:t xml:space="preserve">Crearea unui mediu instituțional și de reglementare solid și existența unei economii care să funcționeze bine sunt elemente esențiale pentru realizarea de progrese în materie de competitivitate, încurajarea investițiilor, promovarea creării de locuri de muncă, creșterea nivelului de trai și pentru înregistrarea unei creșteri durabile în toate statele membre ale Uniunii. Multe economii din Uniune au făcut și continuă să facă obiectul unor procese de ajustare menite să corecteze dezechilibrele macroeconomice acumulate în trecut și multe dintre ele se confruntă cu provocarea reprezentată de potențialul redus de creștere. Această situație este adesea rezultatul unor reforme structurale efectuate cu întârziere sau insuficiente în economiile respective. Uniunea a identificat punerea în aplicare a reformelor structurale printre prioritățile sale de politică prin care urmărește să înscrie din nou redresarea pe o traiectorie sustenabilă, să deblocheze potențialul de creștere în vederea consolidării capacității de ajustare și să sprijine procesul de convergență. </w:t>
      </w:r>
    </w:p>
    <w:p>
      <w:pPr>
        <w:autoSpaceDE w:val="0"/>
        <w:rPr>
          <w:noProof/>
          <w:spacing w:val="-3"/>
        </w:rPr>
      </w:pPr>
      <w:r>
        <w:rPr>
          <w:noProof/>
          <w:spacing w:val="-3"/>
        </w:rPr>
        <w:t>Reformele trebuie să fie bine concepute, să fie legiferate și să fie puse în aplicare în mod eficace. Pentru ca reformele să dea rezultate nu este suficient să se adopte legislația necesară, ci trebuie ca aceste reforme să fie puse efectiv în aplicare, ceea ce presupune abordarea problemelor structurale ale administrațiilor publice (de exemplu competențele, mobilitatea, stimulentele, modificări ale proceselor de lucru etc.), precum și a provocărilor din domeniile economic și societal. Este posibil ca beneficiile reformelor să nu se materializeze imediat, motiv pentru care este crucial ca acestea să fie puse în aplicare din timp și eficient, indiferent dacă este vorba de economii afectate de criză sau de economii care sunt slabe din punct de vedere structural.</w:t>
      </w:r>
    </w:p>
    <w:p>
      <w:pPr>
        <w:rPr>
          <w:noProof/>
          <w:szCs w:val="24"/>
        </w:rPr>
      </w:pPr>
      <w:r>
        <w:rPr>
          <w:noProof/>
        </w:rPr>
        <w:t>Furnizarea de asistență tehnică (AT) a fost esențială în sprijinirea procesului de ajustare economică din Cipru și Grecia (prin Grupul de sprijin pentru Cipru – SGCY și Grupul operativ pentru Grecia – TFGR). Experiența dobândită în furnizarea de asistență tehnică Ciprului și Greciei în domenii care acoperă aproape întregul spectru de domenii ale politicilor publice oferă lecții utile pentru viitor în ceea ce privește posibila acordare de sprijin tehnic pentru toate statele membre</w:t>
      </w:r>
      <w:r>
        <w:rPr>
          <w:rStyle w:val="FootnoteReference"/>
          <w:noProof/>
        </w:rPr>
        <w:footnoteReference w:id="2"/>
      </w:r>
      <w:r>
        <w:rPr>
          <w:noProof/>
        </w:rPr>
        <w:t>.</w:t>
      </w:r>
    </w:p>
    <w:p>
      <w:pPr>
        <w:autoSpaceDE w:val="0"/>
        <w:rPr>
          <w:noProof/>
        </w:rPr>
      </w:pPr>
      <w:r>
        <w:rPr>
          <w:noProof/>
        </w:rPr>
        <w:t xml:space="preserve">În acest context, se dorește extinderea – sub auspiciile Serviciului de sprijin pentru reforme structurale (SSRS) – a sprijinului tehnic la toate statele membre care îl solicită. Într-adevăr, statele membre pot beneficia de sprijin pentru abordarea provocărilor cu care se confruntă în conceperea și punerea în aplicare a reformelor instituționale, structurale și administrative. Acest lucru poate fi cauzat de factori precum capacitatea administrativă și instituțională limitată și aplicarea și implementarea inadecvată a legislației Uniunii. </w:t>
      </w:r>
    </w:p>
    <w:p>
      <w:pPr>
        <w:autoSpaceDE w:val="0"/>
        <w:rPr>
          <w:noProof/>
        </w:rPr>
      </w:pPr>
      <w:r>
        <w:rPr>
          <w:noProof/>
        </w:rPr>
        <w:t>În plus, îmbunătățirea punerii în aplicare a acquis-ul Uniunii reprezintă una dintre prioritățile Comisiei</w:t>
      </w:r>
      <w:r>
        <w:rPr>
          <w:rStyle w:val="FootnoteReference"/>
          <w:noProof/>
        </w:rPr>
        <w:footnoteReference w:id="3"/>
      </w:r>
      <w:r>
        <w:rPr>
          <w:noProof/>
        </w:rPr>
        <w:t xml:space="preserve">. În această privință, Comisia a precizat că trebuie să „coopereze cu statele membre </w:t>
      </w:r>
      <w:r>
        <w:rPr>
          <w:noProof/>
        </w:rPr>
        <w:lastRenderedPageBreak/>
        <w:t xml:space="preserve">pentru a examina cele mai bune modalități de a asigura respectarea legislației UE la nivel național”. </w:t>
      </w:r>
    </w:p>
    <w:p>
      <w:pPr>
        <w:autoSpaceDE w:val="0"/>
        <w:rPr>
          <w:noProof/>
        </w:rPr>
      </w:pPr>
      <w:r>
        <w:rPr>
          <w:noProof/>
        </w:rPr>
        <w:t>Este necesar să se coopereze cu statele membre și în ceea ce privește deficiențele identificate în materie de punere în aplicare a reformelor recomandate în recomandările specifice fiecărei țări (denumite și „RST”) în contextul semestrului european.</w:t>
      </w:r>
    </w:p>
    <w:p>
      <w:pPr>
        <w:autoSpaceDE w:val="0"/>
        <w:rPr>
          <w:noProof/>
        </w:rPr>
      </w:pPr>
      <w:r>
        <w:rPr>
          <w:noProof/>
        </w:rPr>
        <w:t>În acest context, este necesar să se instituie un program de sprijin pentru reforme structurale, cu scopul de a consolida capacitatea globală a statelor membre de a pregăti și pune în aplicare reforme instituționale, structurale și administrative care să promoveze creșterea, inclusiv prin acordarea de asistență pentru utilizarea eficientă și eficace a fondurilor Uniunii</w:t>
      </w:r>
      <w:r>
        <w:rPr>
          <w:rStyle w:val="FootnoteReference"/>
          <w:noProof/>
        </w:rPr>
        <w:footnoteReference w:id="4"/>
      </w:r>
      <w:r>
        <w:rPr>
          <w:noProof/>
        </w:rPr>
        <w:t>, în măsura în care statele membre respective solicită sprijin din partea Uniunii în acest scop.</w:t>
      </w:r>
    </w:p>
    <w:p>
      <w:pPr>
        <w:autoSpaceDE w:val="0"/>
        <w:rPr>
          <w:noProof/>
        </w:rPr>
      </w:pPr>
      <w:r>
        <w:rPr>
          <w:noProof/>
        </w:rPr>
        <w:t xml:space="preserve">Sprijinul acordat în cadrul acestui program va fi furnizat de către Comisie la cererea unui stat membru și va fi disponibil pentru a susține (i) punerea în aplicare a reformelor în contextul proceselor de guvernanță economică, în special al recomandărilor specifice fiecărei țări emise în cadrul semestrului european și/sau al altor acțiuni legate de punerea în aplicare a dreptului Uniunii, (ii) reformele aferente punerii în aplicare a programelor de ajustare economică pentru statele membre care primesc asistență financiară din partea Uniunii și (iii) reformele pe care statele membre le întreprind din proprie inițiativă pentru investiții durabile, creștere economică și crearea de locuri de muncă. </w:t>
      </w:r>
    </w:p>
    <w:p>
      <w:pPr>
        <w:autoSpaceDE w:val="0"/>
        <w:rPr>
          <w:noProof/>
        </w:rPr>
      </w:pPr>
      <w:r>
        <w:rPr>
          <w:noProof/>
        </w:rPr>
        <w:t>Sprijinul pentru reforme - inclusiv prin acordarea de asistență pentru utilizarea eficientă și eficace a fondurilor Uniunii [și anume, fondurile structurale și de investiții europene (fondurile ESI), astfel cum sunt definite în Regulamentul privind dispozițiile comune</w:t>
      </w:r>
      <w:r>
        <w:rPr>
          <w:rStyle w:val="FootnoteReference"/>
          <w:noProof/>
        </w:rPr>
        <w:footnoteReference w:id="5"/>
      </w:r>
      <w:r>
        <w:rPr>
          <w:noProof/>
        </w:rPr>
        <w:t>, Fondul de ajutor european destinat celor mai defavorizate persoane – FEAD</w:t>
      </w:r>
      <w:r>
        <w:rPr>
          <w:rStyle w:val="FootnoteReference"/>
          <w:noProof/>
        </w:rPr>
        <w:footnoteReference w:id="6"/>
      </w:r>
      <w:r>
        <w:rPr>
          <w:noProof/>
        </w:rPr>
        <w:t>, precum și fondurile legate de azil, migrație și control al frontierelor</w:t>
      </w:r>
      <w:r>
        <w:rPr>
          <w:rStyle w:val="FootnoteReference"/>
          <w:noProof/>
        </w:rPr>
        <w:footnoteReference w:id="7"/>
      </w:r>
      <w:r>
        <w:rPr>
          <w:noProof/>
        </w:rPr>
        <w:t xml:space="preserve">] – va fi furnizat pentru anumite domenii de politică, în special pentru gestionarea finanțelor publice, procedura bugetară, gestionarea datoriilor și administrarea veniturilor, reforma instituțională și funcționarea eficientă și orientată spre servicii a administrației publice, respectarea statului de drept, reforma sistemului judiciar și consolidarea luptei împotriva fraudei, a corupției și a spălării banilor, mediul de afaceri, dezvoltarea sectorului privat, accesul la finanțare, investițiile, politicile </w:t>
      </w:r>
      <w:r>
        <w:rPr>
          <w:noProof/>
        </w:rPr>
        <w:lastRenderedPageBreak/>
        <w:t xml:space="preserve">privind sectorul financiar, procesele de privatizare, comerțul și investițiile directe străine, concurența, achizițiile publice, dezvoltarea sectorială durabilă și sprijinul pentru inovare, educație și formare, politicile privind piața forței de muncă, incluziunea socială, sistemele de securitate socială și de bunăstare socială, sistemele de sănătate publică și de asistență medicală, politicile din domeniul azilului, migrației și frontierelor, precum și politicile privind sectorul agriculturii și dezvoltarea durabilă a zonelor rurale. </w:t>
      </w:r>
    </w:p>
    <w:p>
      <w:pPr>
        <w:autoSpaceDE w:val="0"/>
        <w:rPr>
          <w:noProof/>
        </w:rPr>
      </w:pPr>
    </w:p>
    <w:p>
      <w:pPr>
        <w:pStyle w:val="ManualHeading2"/>
        <w:rPr>
          <w:rFonts w:eastAsia="Arial Unicode MS"/>
          <w:noProof/>
          <w:color w:val="000000"/>
          <w:u w:color="000000"/>
          <w:bdr w:val="nil"/>
        </w:rPr>
      </w:pPr>
      <w:r>
        <w:rPr>
          <w:noProof/>
          <w:color w:val="000000"/>
          <w:u w:color="000000"/>
          <w:bdr w:val="nil"/>
        </w:rPr>
        <w:t>•</w:t>
      </w:r>
      <w:r>
        <w:rPr>
          <w:noProof/>
        </w:rPr>
        <w:tab/>
        <w:t>Coerența cu dispozițiile de politică existente în domeniul de politică în cauză</w:t>
      </w:r>
    </w:p>
    <w:p>
      <w:pPr>
        <w:tabs>
          <w:tab w:val="left" w:pos="0"/>
        </w:tabs>
        <w:autoSpaceDE w:val="0"/>
        <w:rPr>
          <w:noProof/>
        </w:rPr>
      </w:pPr>
      <w:r>
        <w:rPr>
          <w:noProof/>
        </w:rPr>
        <w:t xml:space="preserve">Programul ar completa resursele existente în materie de consolidare a capacității, asistența tehnică disponibilă în cadrul altor programe de finanțare ale Uniunii în contextul cadrului financiar multianual și asistența tehnică și alte acțiuni finanțate din fonduri ale Uniunii. </w:t>
      </w:r>
    </w:p>
    <w:p>
      <w:pPr>
        <w:tabs>
          <w:tab w:val="left" w:pos="0"/>
        </w:tabs>
        <w:autoSpaceDE w:val="0"/>
        <w:rPr>
          <w:noProof/>
        </w:rPr>
      </w:pPr>
      <w:r>
        <w:rPr>
          <w:noProof/>
        </w:rPr>
        <w:t>Într-adevăr, mai multe programe ale Uniunii prevăd posibilitatea de a oferi asistență tehnică statelor membre în punerea în aplicare a anumitor acțiuni de politică publică în domenii specifice. În funcție de obiectivul specific și de domeniu, acestea sunt concepute astfel încât să promoveze crearea unor condiții favorabile pentru creșterea economică și pentru protecția și îmbunătățirea socială și a mediului. Sprijinul acordat în cadrul acestor programe este caracterizat prin faptul că se axează pe anumite teme și contribuie la îndeplinirea obiectivelor specifice ale programelor respective.</w:t>
      </w:r>
    </w:p>
    <w:p>
      <w:pPr>
        <w:autoSpaceDE w:val="0"/>
        <w:rPr>
          <w:noProof/>
        </w:rPr>
      </w:pPr>
      <w:r>
        <w:rPr>
          <w:noProof/>
        </w:rPr>
        <w:t xml:space="preserve">Programul propus intenționează să aducă valoare adăugată și să completeze rezultatele bune ale măsurilor de sprijin existente deja prin faptul că pune accentul pe aspectele asistenței care sunt legate mai strâns de oferirea de consiliere și de expertiză pe teren, și anume prin oferirea de asistență (atunci când este posibil, prin intermediul experților detașați în statele respective) autorităților naționale ale statelor membre solicitante pe parcursul întregului proces de reformă sau în anumite etape ori în diferite faze ale acestui proces. Acesta s-ar baza pe cele mai urgente nevoi ale țării, convenite de Comisie și statul membru în cauză. </w:t>
      </w:r>
    </w:p>
    <w:p>
      <w:pPr>
        <w:autoSpaceDE w:val="0"/>
        <w:rPr>
          <w:noProof/>
        </w:rPr>
      </w:pPr>
      <w:r>
        <w:rPr>
          <w:noProof/>
        </w:rPr>
        <w:t>În acest fel, eficiența sprijinului acordat de Uniune ar spori dacă ar putea beneficia de o abordare cuprinzătoare, care să înglobeze un spectru mai larg de politici ale Uniunii coordonate cu ajutorul unei platforme unice, și care să ofere pe teren, la cerere, asistență tehnică personalizată din partea Comisiei și a experților naționali. Acest sprijin complementar ar avea următoarele caracteristici distincte: a) capacitatea de a oferi asistență tehnică și financiară pe o platformă unică tuturor statelor membre pentru realizarea de reforme ample ale politicii publice și b) posibilitatea de a mobiliza prezența fizică pe teren în mod stabil, ori de câte ori este necesar, cu acordul statului membru în cauză.</w:t>
      </w:r>
    </w:p>
    <w:p>
      <w:pPr>
        <w:autoSpaceDE w:val="0"/>
        <w:rPr>
          <w:noProof/>
        </w:rPr>
      </w:pPr>
      <w:r>
        <w:rPr>
          <w:noProof/>
        </w:rPr>
        <w:t xml:space="preserve">Această procedură corespunde practicii anumitor organizații internaționale, cum ar fi instituțiile financiare internaționale, care au integrat de mulți ani o capacitate de acordare de asistență tehnică țărilor beneficiare în contextul activităților lor de creditare și de altă natură. </w:t>
      </w:r>
    </w:p>
    <w:p>
      <w:pPr>
        <w:rPr>
          <w:noProof/>
        </w:rPr>
      </w:pPr>
      <w:r>
        <w:rPr>
          <w:noProof/>
        </w:rPr>
        <w:t xml:space="preserve">Programul propus va introduce o dimensiune orizontală mai puternică în ceea ce privește asistența tehnică. Sprijinul acordat în cadrul programului ar fi transversal din punctul de vedere al domeniilor specifice vizate, axându-se însă pe cele mai urgente nevoi în materie de reformă ale țării în cauză, astfel cum au fost identificate în procesul de supraveghere macroeconomică sau astfel cum decurg din lacunele existente în ceea ce privește punerea în aplicare a acquis-ului Uniunii. Programul ar aduce o valoare adăugată sprijinului oferit de diversele programe sectoriale ale Uniunii și acțiunilor desfășurate cu fonduri ale Uniunii, deoarece ar oferi o perspectivă la nivel macro specifică fiecărei țări, sprijinind, în același timp, cele mai importante reforme structurale în statele membre, în conformitate cu obiectivele </w:t>
      </w:r>
      <w:r>
        <w:rPr>
          <w:noProof/>
        </w:rPr>
        <w:lastRenderedPageBreak/>
        <w:t>strategice esențiale ale Uniunii. În special, valoarea adăugată a acțiunilor din cadrul programului referitoare la alte instrumente ale Uniunii va fi asigurată prin faptul că decizia de a furniza sprijin unui stat membru solicitant va ține seama în mod corespunzător de acțiunile și măsurile existente finanțate din fonduri ale Uniunii sau de alte programe ale Uniunii din statul membru în cauză.</w:t>
      </w:r>
    </w:p>
    <w:p>
      <w:pPr>
        <w:rPr>
          <w:noProof/>
        </w:rPr>
      </w:pPr>
      <w:r>
        <w:rPr>
          <w:noProof/>
        </w:rPr>
        <w:t>Comisia și statele membre beneficiare, în limitele responsabilităților lor, încurajează sinergiile și asigură o coordonare eficace între program și alte programe și instrumente ale Uniunii, în special cu măsurile finanțate din fondurile Uniunii. Comisia și statele membre beneficiare iau măsurile necesare pentru a asigura consecvența și pentru a evita suprapunerea, în etapele de programare și de implementare, a acțiunilor sprijinite prin acest program și a măsurilor întreprinse în cadrul altor programe ale Uniunii.</w:t>
      </w:r>
    </w:p>
    <w:p>
      <w:pPr>
        <w:rPr>
          <w:noProof/>
        </w:rPr>
      </w:pPr>
      <w:r>
        <w:rPr>
          <w:noProof/>
        </w:rPr>
        <w:t xml:space="preserve">În special, Comisia va consolida coordonarea în cadrul acordurilor de lucru interne prin crearea unui mecanism de coordonare alcătuit din reprezentanți ai serviciilor celor mai vizate, astfel încât să se asigure că sprijinul acordat în cadrul programelor Uniunii și din fondurile acesteia este consecvent și evită duplicarea eforturilor. </w:t>
      </w:r>
    </w:p>
    <w:p>
      <w:pPr>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Coerența cu alte politici ale Uniunii</w:t>
      </w:r>
    </w:p>
    <w:p>
      <w:pPr>
        <w:autoSpaceDE w:val="0"/>
        <w:rPr>
          <w:noProof/>
        </w:rPr>
      </w:pPr>
      <w:r>
        <w:rPr>
          <w:noProof/>
        </w:rPr>
        <w:t>Strategia Europa 2020</w:t>
      </w:r>
      <w:r>
        <w:rPr>
          <w:rStyle w:val="FootnoteReference"/>
          <w:noProof/>
        </w:rPr>
        <w:footnoteReference w:id="8"/>
      </w:r>
      <w:r>
        <w:rPr>
          <w:noProof/>
        </w:rPr>
        <w:t xml:space="preserve"> vizează crearea condițiilor pentru o creștere inteligentă, durabilă și favorabilă incluziunii în toate statele membre. Creșterea economică este esențială pentru reducerea șomajului, îmbunătățirea coeziunii sociale și creșterea nivelului de trai. Uniunea a identificat punerea în aplicare a unor reforme structurale printre prioritățile sale de politică prin care urmărește să înscrie din nou redresarea pe o traiectorie sustenabilă, să deblocheze potențialul de creștere în vederea consolidării capacității de ajustare și să sprijine procesul de convergență.</w:t>
      </w:r>
    </w:p>
    <w:p>
      <w:pPr>
        <w:autoSpaceDE w:val="0"/>
        <w:rPr>
          <w:noProof/>
        </w:rPr>
      </w:pPr>
      <w:r>
        <w:rPr>
          <w:noProof/>
        </w:rPr>
        <w:t xml:space="preserve">Procesul de reformă este complex și adesea costisitor, necesită expertiză în mai multe domenii simultan și poate avea un impact transfrontalier. Sprijinul din partea Uniunii ar contribui la consolidarea capacității de a efectua reforme profunde de promovare a creșterii economice în statele membre, care să aibă un impact la nivelul întregii Uniuni. </w:t>
      </w:r>
    </w:p>
    <w:p>
      <w:pPr>
        <w:autoSpaceDE w:val="0"/>
        <w:rPr>
          <w:noProof/>
        </w:rPr>
      </w:pPr>
      <w:r>
        <w:rPr>
          <w:noProof/>
        </w:rPr>
        <w:t>Programul, care trebuie implementat în strânsă cooperare cu autoritățile naționale în cauză, ar contribui în mod activ, în aceste state membre, la consolidarea capacității administrative de reformare a instituțiilor, a administrației și a sectoarelor economice și sociale, în vederea obținerii unor structuri simplificate, eficiente și moderne în slujba cetățenilor și a societăților.</w:t>
      </w:r>
    </w:p>
    <w:p>
      <w:pPr>
        <w:autoSpaceDE w:val="0"/>
        <w:spacing w:after="0"/>
        <w:rPr>
          <w:noProof/>
        </w:rPr>
      </w:pPr>
      <w:r>
        <w:rPr>
          <w:noProof/>
        </w:rPr>
        <w:t>În fine, programul ar permite furnizarea unui sprijin tehnic vital pentru punerea în aplicare cu succes a unor noi elemente importante ale pieței unice (inclusiv a părții digitale a acesteia). De exemplu, Planul de acțiune privind uniunea piețelor de capital (CMU)</w:t>
      </w:r>
      <w:r>
        <w:rPr>
          <w:rStyle w:val="FootnoteReference"/>
          <w:noProof/>
        </w:rPr>
        <w:footnoteReference w:id="9"/>
      </w:r>
      <w:r>
        <w:rPr>
          <w:noProof/>
        </w:rPr>
        <w:t xml:space="preserve"> prevede acordarea de sprijin tehnic pentru dezvoltarea pieței de capital. Programul ar oferi cadrul și fondurile necesare pentru un astfel de sprijin.</w:t>
      </w:r>
    </w:p>
    <w:p>
      <w:pPr>
        <w:pStyle w:val="ManualHeading1"/>
        <w:rPr>
          <w:noProof/>
        </w:rPr>
      </w:pPr>
      <w:r>
        <w:rPr>
          <w:noProof/>
        </w:rPr>
        <w:lastRenderedPageBreak/>
        <w:t>2.</w:t>
      </w:r>
      <w:r>
        <w:rPr>
          <w:noProof/>
        </w:rPr>
        <w:tab/>
        <w:t>TEMEIUL JURIDIC, SUBSIDIARITATEA ȘI PROPORȚIONALITATEA</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Temeiul juridic</w:t>
      </w:r>
    </w:p>
    <w:p>
      <w:pPr>
        <w:rPr>
          <w:noProof/>
        </w:rPr>
      </w:pPr>
      <w:r>
        <w:rPr>
          <w:noProof/>
        </w:rPr>
        <w:t>Propunerea se bazează pe articolul 175 al treilea paragraf și pe articolul 197 alineatul (2) din Tratatul privind funcționarea Uniunii Europene (TFUE).</w:t>
      </w:r>
    </w:p>
    <w:p>
      <w:pPr>
        <w:rPr>
          <w:noProof/>
        </w:rPr>
      </w:pPr>
      <w:r>
        <w:rPr>
          <w:noProof/>
        </w:rPr>
        <w:t>Articolul 175 al treilea paragraf din TFUE prevede că, în cazul în care se dovedesc necesare acțiuni specifice, în afara fondurilor, și fără a aduce atingere măsurilor hotărâte în cadrul altor politici ale Uniunii, Parlamentul European și Consiliul pot adopta astfel de acțiuni, hotărând în conformitate cu procedura legislativă ordinară și după consultarea Comitetului Economic și Social European și a Comitetului Regiunilor.</w:t>
      </w:r>
    </w:p>
    <w:p>
      <w:pPr>
        <w:tabs>
          <w:tab w:val="left" w:pos="0"/>
        </w:tabs>
        <w:rPr>
          <w:noProof/>
        </w:rPr>
      </w:pPr>
      <w:r>
        <w:rPr>
          <w:noProof/>
        </w:rPr>
        <w:t xml:space="preserve">Articolul 197 alineatul (2) din TFUE prevede că Uniunea poate sprijini eforturile statelor membre de îmbunătățire a capacității lor administrative de punere în aplicare a dreptului Uniunii. Această acțiune poate consta, în special, în facilitarea schimburilor de informații, precum și în sprijinirea programelor de formare. Niciun stat membru nu este obligat să recurgă la acest sprijin. Parlamentul European și Consiliul, hotărând prin regulamente în conformitate cu procedura legislativă ordinară, stabilesc măsurile necesare în acest scop, cu excepția oricărei armonizări a actelor cu putere de lege și a normelor administrative ale statelor membre. </w:t>
      </w:r>
    </w:p>
    <w:p>
      <w:pPr>
        <w:rPr>
          <w:noProof/>
        </w:rPr>
      </w:pPr>
      <w:r>
        <w:rPr>
          <w:noProof/>
        </w:rPr>
        <w:t>Coroborarea articolului 175 al treilea paragraf cu articolul 197 alineatul (2) permite recurgerea la o abordare cuprinzătoare în ceea ce privește crearea unui program al Uniunii care să sprijine capacitatea și eforturile autorităților naționale ale statelor membre de a efectua și pune în aplicare reforme de promovare a creșterii (reforme instituționale, care să includă aspecte legate de guvernanță, structurale și/sau administrative) pentru a promova dezvoltarea durabilă și inovarea și, în acest context, pentru a utiliza mai eficient și mai eficace fondurile Uniunii.</w:t>
      </w:r>
    </w:p>
    <w:p>
      <w:pPr>
        <w:rPr>
          <w:noProof/>
        </w:rPr>
      </w:pPr>
      <w:r>
        <w:rPr>
          <w:noProof/>
        </w:rPr>
        <w:t>În același timp, conform articolului 121, coordonarea politicilor economice ale statelor membre constituie o preocupare comună.</w:t>
      </w:r>
    </w:p>
    <w:p>
      <w:pPr>
        <w:rPr>
          <w:noProof/>
        </w:rPr>
      </w:pPr>
      <w:r>
        <w:rPr>
          <w:noProof/>
        </w:rPr>
        <w:t xml:space="preserve">Având în vedere articolele 175 și 197, prezentul program poate contribui în mod decisiv la: i) consolidarea capacității administrative a statelor membre de a pune în aplicare în mod eficace dreptul Uniunii prin intermediul cooperării administrative dintre autoritățile naționale ale statelor membre și ii) consolidarea coeziunii economice, sociale și teritoriale în cadrul Uniunii, în afara acțiunilor întreprinse din fondurile ESI; această acțiune coordonată ar contribui, în ultimă instanță, la iii) realizarea unei mai bune coordonări a politicilor economice ale statelor membre. </w:t>
      </w:r>
    </w:p>
    <w:p>
      <w:pPr>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 xml:space="preserve">Subsidiaritatea (aplicabilă competenței neexclusive) </w:t>
      </w:r>
    </w:p>
    <w:p>
      <w:pPr>
        <w:rPr>
          <w:noProof/>
        </w:rPr>
      </w:pPr>
      <w:r>
        <w:rPr>
          <w:noProof/>
        </w:rPr>
        <w:t xml:space="preserve">Finanțarea din programul preconizat a activităților propuse respectă principiile valorii adăugate europene și subsidiarității. Finanțarea din bugetul Uniunii se axează asupra activităților ale căror obiective nu pot fi îndeplinite suficient numai de către statele membre („testul necesității”) și în cazul cărora intervenția Uniunii poate aduce o valoare adăugată suplimentară în comparație cu acțiunile întreprinse exclusiv de către statele membre. </w:t>
      </w:r>
    </w:p>
    <w:p>
      <w:pPr>
        <w:rPr>
          <w:noProof/>
        </w:rPr>
      </w:pPr>
      <w:r>
        <w:rPr>
          <w:noProof/>
        </w:rPr>
        <w:t xml:space="preserve">Uniunea este mai în măsură decât statele membre să identifice, să mobilizeze și să coordoneze cea mai bună expertiză disponibilă (indiferent dacă provine din cadrul serviciilor instituțiilor europene și din alte țări sau din cadrul organizațiilor internaționale), să încurajeze schimbul de bune practici (precum și să asigure o diseminare consecventă a acestora în întreaga Uniune) în </w:t>
      </w:r>
      <w:r>
        <w:rPr>
          <w:noProof/>
        </w:rPr>
        <w:lastRenderedPageBreak/>
        <w:t>sprijinul punerii în aplicare a unor reforme de promovare a creșterii economice cu obiective clar definite în statele membre.</w:t>
      </w:r>
    </w:p>
    <w:p>
      <w:pPr>
        <w:rPr>
          <w:noProof/>
        </w:rPr>
      </w:pPr>
      <w:r>
        <w:rPr>
          <w:noProof/>
        </w:rPr>
        <w:t xml:space="preserve">În plus, mobilizarea expertizei de către Uniune ar fi, de asemenea, mai eficace, întrucât ar crea economii de gamă și de scară prin instituirea unei platforme la nivelul întregii Uniunii prin care să se ofere și să se facă schimb de bune practici. </w:t>
      </w:r>
    </w:p>
    <w:p>
      <w:pPr>
        <w:rPr>
          <w:noProof/>
        </w:rPr>
      </w:pPr>
      <w:r>
        <w:rPr>
          <w:noProof/>
        </w:rPr>
        <w:t xml:space="preserve">În acest sens, acțiunile care trebuie puse în aplicare ar trebui să însoțească eforturile statelor membre și să fie complementare altor programe și politici de la nivel național, al Uniunii și internațional; acest lucru s-ar concretiza în principal prin oferirea de acțiuni de sprijin care ar însoți pe teren (atunci când este posibil, prin intermediul experților detașați în statele respective) eforturile de reformă ale autorităților naționale pe parcursul diverselor etape sau faze ale procesului de reformă, vizând în special intervențiile care nu fac încă obiectul unor măsuri de sprijin din cadrul altor programe ale Uniunii, nu sunt finanțate din fonduri ale Uniunii și nu fac obiectul unor inițiative naționale. </w:t>
      </w:r>
    </w:p>
    <w:p>
      <w:pPr>
        <w:rPr>
          <w:noProof/>
        </w:rPr>
      </w:pPr>
      <w:r>
        <w:rPr>
          <w:noProof/>
        </w:rPr>
        <w:t xml:space="preserve">În special, acțiunile din cadrul programului ar trebui să permită elaborarea și punerea în aplicare a unor soluții care să abordeze provocările de la nivel național, dar care să poată avea totodată impact la nivel transfrontalier și la nivelul Uniunii, să contribuie la schimbul de bune practici și la constituirea unei rețele de expertiză disponibile. În cele din urmă, acțiunile din cadrul programului ar contribui la promovarea în continuare a încrederii reciproce între statele membre beneficiare și Comisie. </w:t>
      </w:r>
    </w:p>
    <w:p>
      <w:pPr>
        <w:rPr>
          <w:noProof/>
        </w:rPr>
      </w:pPr>
      <w:r>
        <w:rPr>
          <w:noProof/>
        </w:rPr>
        <w:t>Programul propus este cel mai adecvat mijloc de sprijinire pe teren a acelor state membre care pun în aplicare reforme ce vizează promovarea creșterii economice, dat fiind că Uniunea este mai în măsură decât statele membre să identifice, să mobilizeze și să coordoneze cea mai bună expertiză disponibilă și să pună la dispoziție o abordare coordonată în ceea ce privește sprijinul tehnic în statele membre care solicită asistență.</w:t>
      </w:r>
    </w:p>
    <w:p>
      <w:pPr>
        <w:pStyle w:val="ManualHeading2"/>
        <w:rPr>
          <w:rFonts w:eastAsia="Arial Unicode MS"/>
          <w:noProof/>
          <w:color w:val="000000"/>
          <w:u w:color="000000"/>
          <w:bdr w:val="nil"/>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Proporționalitatea</w:t>
      </w:r>
    </w:p>
    <w:p>
      <w:pPr>
        <w:rPr>
          <w:noProof/>
        </w:rPr>
      </w:pPr>
      <w:r>
        <w:rPr>
          <w:noProof/>
        </w:rPr>
        <w:t xml:space="preserve">Propunerea respectă principiul proporționalității deoarece nu depășește ceea ce este necesar pentru realizarea la nivel european a obiectivului specificat și ceea ce este necesar pentru îndeplinirea acestuia. Asistența care urmează să fie acordată statului membru trebuie să aibă la bază o cerere de sprijin din partea statului membru în cauză. Sfera de aplicare a sprijinului ar urma să fie convenită între Comisie și statul membru în cauză. </w:t>
      </w:r>
    </w:p>
    <w:p>
      <w:pPr>
        <w:rPr>
          <w:noProof/>
        </w:rPr>
      </w:pPr>
    </w:p>
    <w:p>
      <w:pPr>
        <w:pStyle w:val="ManualHeading1"/>
        <w:rPr>
          <w:noProof/>
        </w:rPr>
      </w:pPr>
      <w:r>
        <w:rPr>
          <w:noProof/>
        </w:rPr>
        <w:t>3.</w:t>
      </w:r>
      <w:r>
        <w:rPr>
          <w:noProof/>
        </w:rPr>
        <w:tab/>
        <w:t xml:space="preserve">REZULTATELE EVALUĂRII ACTIVITĂȚII TFGR ȘI ALE EVALUǍRII </w:t>
      </w:r>
      <w:r>
        <w:rPr>
          <w:i/>
          <w:noProof/>
        </w:rPr>
        <w:t>EX ANTE</w:t>
      </w:r>
      <w:r>
        <w:rPr>
          <w:noProof/>
        </w:rPr>
        <w:t xml:space="preserve"> A PROGRAMULUI PROPUS</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Evaluarea Grupului operativ pentru Grecia (TFGR)</w:t>
      </w:r>
    </w:p>
    <w:p>
      <w:pPr>
        <w:rPr>
          <w:noProof/>
        </w:rPr>
      </w:pPr>
      <w:r>
        <w:rPr>
          <w:noProof/>
        </w:rPr>
        <w:t>Asistența tehnică oferită Greciei de serviciile Comisiei (coordonată de „Grupul operativ pentru Grecia”) în vederea sprijinirii punerii în aplicare a programului de ajustare economică a fost evaluată în iulie 2014 de către un consultant independent</w:t>
      </w:r>
      <w:r>
        <w:rPr>
          <w:rStyle w:val="FootnoteReference"/>
          <w:noProof/>
        </w:rPr>
        <w:footnoteReference w:id="10"/>
      </w:r>
      <w:r>
        <w:rPr>
          <w:noProof/>
        </w:rPr>
        <w:t xml:space="preserve">. Această evaluare a analizat </w:t>
      </w:r>
      <w:r>
        <w:rPr>
          <w:noProof/>
        </w:rPr>
        <w:lastRenderedPageBreak/>
        <w:t>asistența tehnică acordată autorităților naționale în două domenii-cheie, și anume reforma administrației fiscale și reforma administrației centrale, pe baza a peste patruzeci de interviuri efectuate cu principalii furnizori și beneficiari de asistență tehnică, inclusiv cu lideri politici, cadre superioare de conducere, cadre medii de conducere și funcționari din Grecia și alte state membre și organizații internaționale implicate.</w:t>
      </w:r>
    </w:p>
    <w:p>
      <w:pPr>
        <w:rPr>
          <w:noProof/>
        </w:rPr>
      </w:pPr>
      <w:r>
        <w:rPr>
          <w:noProof/>
        </w:rPr>
        <w:t xml:space="preserve">În general, această evaluare a concluzionat că asistența tehnică acordată și coordonată de TFGR a contribuit la punerea în aplicare a programului de reformă în Grecia în domenii precum administrația fiscală și administrația centrală în perioada 2011-2013. Această concluzie s-a bazat pe o evaluare a eficacității, eficienței, relevanței și sustenabilității asistenței acordate și a fost în mare parte confirmată de răspunsurile majorității părților interesate implicate, care au indicat că, dacă TFGR nu ar fi acordat asistență tehnică, reformele întreprinse nu s-ar fi materializat. </w:t>
      </w:r>
    </w:p>
    <w:p>
      <w:pPr>
        <w:rPr>
          <w:noProof/>
        </w:rPr>
      </w:pPr>
      <w:r>
        <w:rPr>
          <w:noProof/>
        </w:rPr>
        <w:t>În ceea ce privește acordarea de sprijin tehnic în viitor, raportul prevede următoarele: „</w:t>
      </w:r>
      <w:r>
        <w:rPr>
          <w:i/>
          <w:noProof/>
        </w:rPr>
        <w:t>Asistența tehnică nu ar trebui acordată numai atunci când o țară din UE se confruntă cu o situație de criză, ci ar trebui să reprezinte o activitate normală în cadrul UE</w:t>
      </w:r>
      <w:r>
        <w:rPr>
          <w:noProof/>
        </w:rPr>
        <w:t xml:space="preserve">. </w:t>
      </w:r>
      <w:r>
        <w:rPr>
          <w:i/>
          <w:noProof/>
        </w:rPr>
        <w:t>Comisia Europeană poate colabora cu statele membre pentru a institui o structură permanentă, care să beneficieze de un buget special, pentru a permite cooperarea și schimbul de experiență între statele membre și pentru a coordona acordarea de asistență tehnică tuturor statelor membre, astfel încât să se permită schimbul de cele mai bune practici și adoptarea acestora. Schimbul de cele mai bune practici, nu numai la nivel de idei, ci și de punere în aplicare a acestora, a fost evidențiat în feedbackul primit ca fiind o chestiune importantă</w:t>
      </w:r>
      <w:r>
        <w:rPr>
          <w:noProof/>
        </w:rPr>
        <w:t>.”</w:t>
      </w:r>
    </w:p>
    <w:p>
      <w:pPr>
        <w:autoSpaceDE w:val="0"/>
        <w:spacing w:before="0" w:after="0"/>
        <w:rPr>
          <w:noProof/>
        </w:rPr>
      </w:pPr>
      <w:r>
        <w:rPr>
          <w:noProof/>
        </w:rPr>
        <w:t>În acest context, programul propus ar permite consolidarea acordării de sprijin tehnic, obiectivul acestuia fiind de a-i permite Uniunii să coopereze în mod concret și să ofere sprijin tehnic pe teren pentru demersurile întreprinse de autoritățile naționale ale statelor membre în ceea ce privește conceperea și punerea în aplicare a unor reforme structurale de promovare a creșterii care să nu se limiteze la țările care beneficiază de asistență financiară din partea Uniunii și care fac obiectul unui program de ajustare economică.</w:t>
      </w:r>
    </w:p>
    <w:p>
      <w:pPr>
        <w:autoSpaceDE w:val="0"/>
        <w:spacing w:before="0" w:after="0"/>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 xml:space="preserve">Evaluarea </w:t>
      </w:r>
      <w:r>
        <w:rPr>
          <w:i/>
          <w:noProof/>
          <w:color w:val="000000"/>
          <w:u w:color="000000"/>
          <w:bdr w:val="nil"/>
        </w:rPr>
        <w:t>ex ante</w:t>
      </w:r>
      <w:r>
        <w:rPr>
          <w:noProof/>
          <w:color w:val="000000"/>
          <w:u w:color="000000"/>
          <w:bdr w:val="nil"/>
        </w:rPr>
        <w:t xml:space="preserve"> a Programului de sprijin pentru reforme structurale (PSRS)</w:t>
      </w:r>
    </w:p>
    <w:p>
      <w:pPr>
        <w:rPr>
          <w:noProof/>
        </w:rPr>
      </w:pPr>
      <w:r>
        <w:rPr>
          <w:noProof/>
        </w:rPr>
        <w:t xml:space="preserve">În al doilea semestru al anului 2015, serviciile Comisiei au efectuat o evaluare </w:t>
      </w:r>
      <w:r>
        <w:rPr>
          <w:i/>
          <w:noProof/>
        </w:rPr>
        <w:t>ex ante</w:t>
      </w:r>
      <w:r>
        <w:rPr>
          <w:noProof/>
        </w:rPr>
        <w:t xml:space="preserve"> a programului propus</w:t>
      </w:r>
      <w:r>
        <w:rPr>
          <w:rStyle w:val="FootnoteReference"/>
          <w:noProof/>
        </w:rPr>
        <w:footnoteReference w:id="11"/>
      </w:r>
      <w:r>
        <w:rPr>
          <w:noProof/>
        </w:rPr>
        <w:t xml:space="preserve">. </w:t>
      </w:r>
    </w:p>
    <w:p>
      <w:pPr>
        <w:spacing w:before="0" w:after="0"/>
        <w:rPr>
          <w:rFonts w:eastAsia="Calibri"/>
          <w:noProof/>
          <w:szCs w:val="24"/>
        </w:rPr>
      </w:pPr>
      <w:r>
        <w:rPr>
          <w:noProof/>
        </w:rPr>
        <w:t xml:space="preserve">Evaluarea </w:t>
      </w:r>
      <w:r>
        <w:rPr>
          <w:i/>
          <w:noProof/>
        </w:rPr>
        <w:t>ex ante</w:t>
      </w:r>
      <w:r>
        <w:rPr>
          <w:noProof/>
        </w:rPr>
        <w:t xml:space="preserve"> sprijină propunerea Comisiei de Regulament al Parlamentului European și al Consiliului de instituire, pentru perioada 2017-2020, a Programului de sprijin pentru reforme structurale (PSRS). Evaluarea </w:t>
      </w:r>
      <w:r>
        <w:rPr>
          <w:i/>
          <w:noProof/>
        </w:rPr>
        <w:t>ex ante</w:t>
      </w:r>
      <w:r>
        <w:rPr>
          <w:noProof/>
        </w:rPr>
        <w:t xml:space="preserve"> abordează cerințele prevăzute la articolul 30 alineatul (4) din Regulamentul (UE, Euratom) nr. 966/2012 (Regulamentul financiar privind execuția bugetului Uniunii).</w:t>
      </w:r>
    </w:p>
    <w:p>
      <w:pPr>
        <w:spacing w:before="0" w:after="0"/>
        <w:rPr>
          <w:rFonts w:eastAsia="Calibri"/>
          <w:noProof/>
          <w:szCs w:val="24"/>
        </w:rPr>
      </w:pPr>
    </w:p>
    <w:p>
      <w:pPr>
        <w:pStyle w:val="ManualHeading2"/>
        <w:rPr>
          <w:rFonts w:eastAsia="Arial Unicode MS"/>
          <w:noProof/>
          <w:color w:val="000000"/>
          <w:u w:color="000000"/>
          <w:bdr w:val="nil"/>
        </w:rPr>
      </w:pPr>
      <w:r>
        <w:rPr>
          <w:noProof/>
          <w:color w:val="000000"/>
          <w:u w:color="000000"/>
          <w:bdr w:val="nil"/>
        </w:rPr>
        <w:lastRenderedPageBreak/>
        <w:t>•</w:t>
      </w:r>
      <w:r>
        <w:rPr>
          <w:noProof/>
        </w:rPr>
        <w:tab/>
      </w:r>
      <w:r>
        <w:rPr>
          <w:noProof/>
          <w:color w:val="000000"/>
          <w:u w:color="000000"/>
          <w:bdr w:val="nil"/>
        </w:rPr>
        <w:t>Obținerea și utilizarea expertizei</w:t>
      </w:r>
    </w:p>
    <w:p>
      <w:pPr>
        <w:pBdr>
          <w:top w:val="nil"/>
          <w:left w:val="nil"/>
          <w:bottom w:val="nil"/>
          <w:right w:val="nil"/>
          <w:between w:val="nil"/>
          <w:bar w:val="nil"/>
        </w:pBdr>
        <w:spacing w:before="0" w:after="0"/>
        <w:rPr>
          <w:rFonts w:eastAsia="Arial Unicode MS"/>
          <w:noProof/>
        </w:rPr>
      </w:pPr>
      <w:r>
        <w:rPr>
          <w:noProof/>
        </w:rPr>
        <w:t>O evaluare a asistenței tehnice acordate de TFGR în domeniul reformei administrației fiscale și a administrației centrale a servit drept contribuție, din partea expertizei externe, la sprijinirea prezentei propuneri. De asemenea, s-a luat în considerare feedbackul primit de la statele membre implicate în acordarea de asistență tehnică Greciei și Ciprului în trecut.</w:t>
      </w:r>
    </w:p>
    <w:p>
      <w:pPr>
        <w:pBdr>
          <w:top w:val="nil"/>
          <w:left w:val="nil"/>
          <w:bottom w:val="nil"/>
          <w:right w:val="nil"/>
          <w:between w:val="nil"/>
          <w:bar w:val="nil"/>
        </w:pBdr>
        <w:spacing w:before="0" w:after="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Evaluarea opțiunilor de politică</w:t>
      </w:r>
    </w:p>
    <w:p>
      <w:pPr>
        <w:pBdr>
          <w:top w:val="nil"/>
          <w:left w:val="nil"/>
          <w:bottom w:val="nil"/>
          <w:right w:val="nil"/>
          <w:between w:val="nil"/>
          <w:bar w:val="nil"/>
        </w:pBdr>
        <w:spacing w:before="0" w:after="240"/>
        <w:rPr>
          <w:rFonts w:eastAsia="Arial Unicode MS"/>
          <w:noProof/>
        </w:rPr>
      </w:pPr>
      <w:r>
        <w:rPr>
          <w:noProof/>
        </w:rPr>
        <w:t>În evaluarea</w:t>
      </w:r>
      <w:r>
        <w:rPr>
          <w:i/>
          <w:noProof/>
        </w:rPr>
        <w:t xml:space="preserve"> ex ante</w:t>
      </w:r>
      <w:r>
        <w:rPr>
          <w:noProof/>
        </w:rPr>
        <w:t xml:space="preserve"> care însoțește prezenta propunere, Comisia a examinat două opțiuni de politică: o opțiune de referință, care nu prevede nicio schimbare a situației actuale, și o a doua opțiune, care prevede introducerea unui program de special de finanțare. </w:t>
      </w:r>
    </w:p>
    <w:p>
      <w:pPr>
        <w:pBdr>
          <w:top w:val="nil"/>
          <w:left w:val="nil"/>
          <w:bottom w:val="nil"/>
          <w:right w:val="nil"/>
          <w:between w:val="nil"/>
          <w:bar w:val="nil"/>
        </w:pBdr>
        <w:spacing w:before="0" w:after="240"/>
        <w:rPr>
          <w:noProof/>
          <w:szCs w:val="24"/>
        </w:rPr>
      </w:pPr>
      <w:r>
        <w:rPr>
          <w:noProof/>
        </w:rPr>
        <w:t xml:space="preserve">În conformitate cu opțiunea de referință, sprijinul tehnic s-ar acorda în continuare: a) printr-o serie de programe de finanțare ale Uniunii (deschise tuturor statelor membre) în temeiul cadrului financiar multianual pentru domenii de politică specifice; și b) prin sprijinul tehnic „extins” (și anume, sprijin adaptat la nevoile țării, care acoperă mai multe domenii de politici publice și care este acordat în mod cuprinzător și pe baza unei viziuni generale la nivel de țară) legat de punerea în aplicare a reformelor în cadrul unui program de ajustare economică pentru statele membre care beneficiază de asistență financiară din partea Uniunii (în prezent, Grecia și Cipru). </w:t>
      </w:r>
    </w:p>
    <w:p>
      <w:pPr>
        <w:pBdr>
          <w:top w:val="nil"/>
          <w:left w:val="nil"/>
          <w:bottom w:val="nil"/>
          <w:right w:val="nil"/>
          <w:between w:val="nil"/>
          <w:bar w:val="nil"/>
        </w:pBdr>
        <w:spacing w:before="0" w:after="240"/>
        <w:rPr>
          <w:noProof/>
        </w:rPr>
      </w:pPr>
      <w:r>
        <w:rPr>
          <w:noProof/>
        </w:rPr>
        <w:t>Acest sprijin ar urma să fie acordat statelor membre care se confruntă cu dificultăți financiare în conformitate cu obiectivele programului relevant al Uniunii și – în ceea ce privește sprijinul tehnic „extins” – în conformitate cu obiectivele dispoziției specifice din Regulamentul (UE) nr. 1303/2013</w:t>
      </w:r>
      <w:r>
        <w:rPr>
          <w:rStyle w:val="FootnoteReference"/>
          <w:noProof/>
        </w:rPr>
        <w:footnoteReference w:id="12"/>
      </w:r>
      <w:r>
        <w:rPr>
          <w:noProof/>
        </w:rPr>
        <w:t>.</w:t>
      </w:r>
    </w:p>
    <w:p>
      <w:pPr>
        <w:pBdr>
          <w:top w:val="nil"/>
          <w:left w:val="nil"/>
          <w:bottom w:val="nil"/>
          <w:right w:val="nil"/>
          <w:between w:val="nil"/>
          <w:bar w:val="nil"/>
        </w:pBdr>
        <w:spacing w:before="0" w:after="240"/>
        <w:rPr>
          <w:noProof/>
          <w:szCs w:val="24"/>
        </w:rPr>
      </w:pPr>
      <w:r>
        <w:rPr>
          <w:noProof/>
        </w:rPr>
        <w:t xml:space="preserve">Conform celei de a doua opțiuni strategice, se introduce un program special de finanțare, Programul de sprijin pentru reforme structurale, și se acordă statelor membre sprijin tehnic la cerere (toate statele membre pot beneficia de asistență), cu scopul de a sprijini punerea în aplicare a unor reforme de promovare a creșterii economice în contextul proceselor de guvernanță economică, mai ales al reformelor întreprinse ca urmare a recomandărilor specifice fiecărei țări, în contextul acțiunilor legate de punerea în aplicare a dreptului Uniunii, precum și pentru a ajuta statele membre să pună în aplicare reformele pe care le întreprind din proprie inițiativă, în special pentru investiții durabile, creștere economică și crearea de locuri de muncă. Programul ar permite, de asemenea, continuarea acordării de asistență statelor membre care beneficiază de asistență financiară din partea Uniunii în cadrul unui program de ajustare economică. </w:t>
      </w:r>
    </w:p>
    <w:p>
      <w:pPr>
        <w:pBdr>
          <w:top w:val="nil"/>
          <w:left w:val="nil"/>
          <w:bottom w:val="nil"/>
          <w:right w:val="nil"/>
          <w:between w:val="nil"/>
          <w:bar w:val="nil"/>
        </w:pBdr>
        <w:spacing w:before="0" w:after="0"/>
        <w:rPr>
          <w:rFonts w:eastAsia="Arial Unicode MS"/>
          <w:noProof/>
        </w:rPr>
      </w:pPr>
      <w:r>
        <w:rPr>
          <w:noProof/>
        </w:rPr>
        <w:t xml:space="preserve">Pe baza evaluării </w:t>
      </w:r>
      <w:r>
        <w:rPr>
          <w:i/>
          <w:noProof/>
        </w:rPr>
        <w:t>ex ante</w:t>
      </w:r>
      <w:r>
        <w:rPr>
          <w:noProof/>
        </w:rPr>
        <w:t>, opțiunea de politică preferată este al doilea scenariu deoarece permite acordarea de sprijin în mod organizat și sistematic tuturor statelor membre.</w:t>
      </w:r>
    </w:p>
    <w:p>
      <w:pPr>
        <w:pBdr>
          <w:top w:val="nil"/>
          <w:left w:val="nil"/>
          <w:bottom w:val="nil"/>
          <w:right w:val="nil"/>
          <w:between w:val="nil"/>
          <w:bar w:val="nil"/>
        </w:pBdr>
        <w:spacing w:before="0" w:after="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Adecvarea reglementării și simplificarea</w:t>
      </w:r>
    </w:p>
    <w:p>
      <w:pPr>
        <w:pBdr>
          <w:top w:val="nil"/>
          <w:left w:val="nil"/>
          <w:bottom w:val="nil"/>
          <w:right w:val="nil"/>
          <w:between w:val="nil"/>
          <w:bar w:val="nil"/>
        </w:pBdr>
        <w:spacing w:before="0" w:after="0"/>
        <w:rPr>
          <w:noProof/>
        </w:rPr>
      </w:pPr>
      <w:r>
        <w:rPr>
          <w:noProof/>
        </w:rPr>
        <w:t>Propunerea nu este legată de exercițiul de reglementare adecvată și de simplificare și nu presupune niciun cost de asigurare a conformității pentru IMM-uri sau oricare alte părți interesate.</w:t>
      </w:r>
    </w:p>
    <w:p>
      <w:pPr>
        <w:pBdr>
          <w:top w:val="nil"/>
          <w:left w:val="nil"/>
          <w:bottom w:val="nil"/>
          <w:right w:val="nil"/>
          <w:between w:val="nil"/>
          <w:bar w:val="nil"/>
        </w:pBdr>
        <w:spacing w:before="0" w:after="0"/>
        <w:rPr>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Drepturile fundamentale</w:t>
      </w:r>
    </w:p>
    <w:p>
      <w:pPr>
        <w:pBdr>
          <w:top w:val="nil"/>
          <w:left w:val="nil"/>
          <w:bottom w:val="nil"/>
          <w:right w:val="nil"/>
          <w:between w:val="nil"/>
          <w:bar w:val="nil"/>
        </w:pBdr>
        <w:rPr>
          <w:rFonts w:eastAsia="Arial Unicode MS"/>
          <w:noProof/>
        </w:rPr>
      </w:pPr>
      <w:r>
        <w:rPr>
          <w:noProof/>
        </w:rPr>
        <w:t xml:space="preserve">Propunerea ar putea avea un efect pozitiv asupra menținerii și promovării drepturilor fundamentale ale Uniunii în ipoteza în care statele membre ar solicita și ar primi asistență tehnică în domenii conexe acestora. De exemplu, asistența tehnică în domenii precum migrația, piața forței de muncă și securitatea socială, asistența medicală, educația, mediul, proprietatea, administrația publică și sistemul de justiție pot promova drepturi fundamentale ale Uniunii precum demnitatea, libertatea, egalitatea, solidaritatea, drepturile cetățenilor și justiția. </w:t>
      </w:r>
    </w:p>
    <w:p>
      <w:pPr>
        <w:pBdr>
          <w:top w:val="nil"/>
          <w:left w:val="nil"/>
          <w:bottom w:val="nil"/>
          <w:right w:val="nil"/>
          <w:between w:val="nil"/>
          <w:bar w:val="nil"/>
        </w:pBdr>
        <w:rPr>
          <w:rFonts w:eastAsia="Arial Unicode MS"/>
          <w:noProof/>
        </w:rPr>
      </w:pPr>
    </w:p>
    <w:p>
      <w:pPr>
        <w:pStyle w:val="ManualHeading1"/>
        <w:rPr>
          <w:noProof/>
        </w:rPr>
      </w:pPr>
      <w:r>
        <w:rPr>
          <w:noProof/>
        </w:rPr>
        <w:t>4.</w:t>
      </w:r>
      <w:r>
        <w:rPr>
          <w:noProof/>
        </w:rPr>
        <w:tab/>
        <w:t>IMPLICAȚIILE BUGETARE</w:t>
      </w:r>
    </w:p>
    <w:p>
      <w:pPr>
        <w:rPr>
          <w:noProof/>
        </w:rPr>
      </w:pPr>
      <w:r>
        <w:rPr>
          <w:noProof/>
        </w:rPr>
        <w:t>Pachetul financiar pentru punerea în aplicare a PSRS în perioada cuprinsă între 1 ianuarie 2017 și 31 decembrie 2020 este de 142 800 000 EUR (în prețuri curente) pentru o perioadă de 4 ani. Fișa financiară legislativă oferă explicațiile corespunzătoare.</w:t>
      </w:r>
    </w:p>
    <w:p>
      <w:pPr>
        <w:rPr>
          <w:noProof/>
        </w:rPr>
      </w:pPr>
    </w:p>
    <w:p>
      <w:pPr>
        <w:pStyle w:val="ManualHeading1"/>
        <w:rPr>
          <w:noProof/>
        </w:rPr>
      </w:pPr>
      <w:r>
        <w:rPr>
          <w:noProof/>
        </w:rPr>
        <w:t>5.</w:t>
      </w:r>
      <w:r>
        <w:rPr>
          <w:noProof/>
        </w:rPr>
        <w:tab/>
        <w:t>ALTE ELEMENTE</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Planurile de punere în aplicare și modalitățile de monitorizare, evaluare și raportare</w:t>
      </w:r>
    </w:p>
    <w:p>
      <w:pPr>
        <w:rPr>
          <w:rFonts w:eastAsia="Calibri"/>
          <w:noProof/>
        </w:rPr>
      </w:pPr>
      <w:r>
        <w:rPr>
          <w:noProof/>
        </w:rPr>
        <w:t>Realizarea obiectivelor specifice ale programului va fi monitorizată și evaluată pe baza unei serii de indicatori legați de activitățile de sprijin tehnic</w:t>
      </w:r>
      <w:r>
        <w:rPr>
          <w:rStyle w:val="FootnoteReference"/>
          <w:noProof/>
        </w:rPr>
        <w:footnoteReference w:id="13"/>
      </w:r>
      <w:r>
        <w:rPr>
          <w:noProof/>
        </w:rPr>
        <w:t>. Printre aceștia se vor număra: numărul și tipul autorităților naționale care au beneficiat de sprijin, numărul și tipul furnizorilor de sprijin, numărul și tipul acțiunilor eligibile întreprinse (cum ar fi punerea la dispoziție de experți, acțiuni de formare, seminare etc.), numărul inițiativelor de politică (de exemplu, planuri de acțiune, foi de parcurs, orientări, recomandări, legislație recomandată sau adoptată). Aceste informații cantitative vor fi strânse cu privire la RST-uri, la acțiunile legate de punerea în aplicare a dreptului Uniunii, la programele de ajustare economică sau la reformele întreprinse de un stat membru din proprie inițiativă. Indicatorii privind rezultatele preconizate vor rezulta din măsurile relevante adoptate de statele membre beneficiare ca urmare a acțiunilor de sprijin prevăzute în cadrul programului; aceste informații vor fi, de asemenea, defalcate ca informații aferente RST, acțiunilor legate de punerea în aplicare a dreptului Uniunii, programelor de ajustare economică sau reformelor întreprinse de statele membre din proprie inițiativă. În plus, feedbackul privind impactul și/sau rezultatele sprijinului pentru fiecare domeniu de politică și stat membru în cauză primit de la autoritățile naționale care beneficiază de sprijin, precum și de la alți furnizori de sprijin va servi drept indicator calitativ al rezultatelor preconizate. În plus, un alt indicator-cheie va fi evoluția opiniilor părților interesate în ceea ce privește contribuția programului la realizarea reformelor. La efectuarea evaluării, vor fi, de asemenea, utilizate date cantitative sau empirice corespunzătoare, în măsura în care sunt disponibile.</w:t>
      </w:r>
    </w:p>
    <w:p>
      <w:pPr>
        <w:spacing w:before="0" w:after="0"/>
        <w:rPr>
          <w:rFonts w:eastAsia="Calibri"/>
          <w:noProof/>
        </w:rPr>
      </w:pPr>
      <w:r>
        <w:rPr>
          <w:noProof/>
        </w:rPr>
        <w:lastRenderedPageBreak/>
        <w:t>Indicatorii de mai sus ar putea fi utilizați conform datelor și informațiilor disponibile și ar putea fi ajustați de către Comisie pe parcursul programului, dacă este cazul, pe baza competenței delegate ce urmează să fie conferită Comisiei.</w:t>
      </w:r>
    </w:p>
    <w:p>
      <w:pPr>
        <w:spacing w:before="0" w:after="0"/>
        <w:rPr>
          <w:rFonts w:eastAsia="Calibri"/>
          <w:noProof/>
        </w:rPr>
      </w:pP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Explicație detaliată a dispozițiilor specifice ale propunerii</w:t>
      </w:r>
    </w:p>
    <w:p>
      <w:pPr>
        <w:autoSpaceDE w:val="0"/>
        <w:rPr>
          <w:rFonts w:eastAsia="Calibri"/>
          <w:noProof/>
        </w:rPr>
      </w:pPr>
      <w:r>
        <w:rPr>
          <w:noProof/>
        </w:rPr>
        <w:t>Obiectivul general al programului este de a contribui la reformele realizate în statele membre prin oferirea de sprijin autorităților naționale pentru măsurile ce vizează reformarea instituțiilor, a guvernanței, a administrației și a sectorului economic și social ca răspuns la provocările de ordin economic și social, în vederea consolidării competitivității, creșterii economice, ocupării forței de muncă și investițiilor, în special în contextul proceselor de guvernanță economică, inclusiv prin acordarea de asistență pentru utilizarea eficientă și eficace a fondurilor Uniunii (articolul 4).</w:t>
      </w:r>
    </w:p>
    <w:p>
      <w:pPr>
        <w:autoSpaceDE w:val="0"/>
        <w:rPr>
          <w:noProof/>
        </w:rPr>
      </w:pPr>
      <w:r>
        <w:rPr>
          <w:noProof/>
        </w:rPr>
        <w:t xml:space="preserve">Obiectivele specifice ale programului vor fi de a sprijini inițiativele autorităților naționale de a-și concepe reformele în funcție de priorități, de a îmbunătăți capacitatea acestora de a formula, dezvolta și pune în aplicare politici și strategii de reformă și de a asigura în continuare o abordare integrată, garantând consecvența între obiectivele și mijloacele din diferite sectoare, de a le sprijini eforturile de a defini și pune în aplicare metodologii și procese adecvate și de a le ajuta să îmbunătățească eficiența și eficacitatea gestionării resurselor umane. Sprijinul menționat mai sus va viza domenii de politică specifice, ca de exemplu gestionarea finanțelor publice, procedura bugetară, gestionarea datoriilor și administrarea veniturilor, reforma instituțională și funcționarea eficientă și orientată spre servicii a administrației publice, respectarea statului de drept, reforma sistemului de justiție și consolidarea luptei împotriva fraudei, a corupției și a spălării banilor, mediul de afaceri, dezvoltarea sectorului privat, accesul la finanțare, investițiile, politicile privind sectorul financiar, procesele de privatizare, comerțul și investițiile directe străine, concurența, achizițiile publice, dezvoltarea sectorială durabilă și sprijinul pentru inovare, educația și formarea, politicile privind piața forței de muncă, incluziunea socială, sistemele de securitate socială și de bunăstare socială, sistemele de sănătate publică și de asistență medicală, politicile din domeniul azilului, migrației și frontierelor, precum și politicile din sectorul agriculturii și cele privind dezvoltarea durabilă a zonelor rurale (articolul 5). </w:t>
      </w:r>
    </w:p>
    <w:p>
      <w:pPr>
        <w:autoSpaceDE w:val="0"/>
        <w:rPr>
          <w:noProof/>
        </w:rPr>
      </w:pPr>
      <w:r>
        <w:rPr>
          <w:noProof/>
        </w:rPr>
        <w:t>Tipurile de acțiuni finanțate în cadrul programului vor include, printre altele, seminare, conferințe și ateliere, vizite de lucru, studii, cercetări, analize și sondaje, evaluări și studii de impact, elaborarea, punerea în aplicare și evaluarea proiectelor, consolidarea capacității IT, expertiza legată de consilierea în materie de politici, schimbările în materie de politici, reformele legislative, instituționale, structurale și/sau administrative și punerea la dispoziție de experți (rezidenți), organizarea sprijinului operațional pe teren în domenii precum azilul, migrația și controlul frontierelor (articolul 6). Aceste acțiuni pot viza etape diferite ale procesului de reformă.</w:t>
      </w:r>
    </w:p>
    <w:p>
      <w:pPr>
        <w:autoSpaceDE w:val="0"/>
        <w:rPr>
          <w:noProof/>
        </w:rPr>
      </w:pPr>
      <w:r>
        <w:rPr>
          <w:noProof/>
        </w:rPr>
        <w:t>Comisia și statele membre în cauză vor asigura consecvența, complementaritatea și sinergia dintre acțiunile puse în aplicare în cadrul programului și cele implementate în cadrul altor instrumente ale Uniunii în statul membru vizat, în special măsurile finanțate din fondurile Uniunii (articolul 13); se va evita dubla finanțare a acelorași cheltuieli (articolul 11).</w:t>
      </w:r>
    </w:p>
    <w:p>
      <w:pPr>
        <w:autoSpaceDE w:val="0"/>
        <w:rPr>
          <w:noProof/>
        </w:rPr>
      </w:pPr>
      <w:r>
        <w:rPr>
          <w:noProof/>
        </w:rPr>
        <w:t xml:space="preserve">Statul membru care dorește să beneficieze de un astfel de sprijin prezintă o cerere de sprijin în cadrul acestui program. Această cerere poate fi prezentată în cadrul dialogului semestrului european și, în orice caz, până la data de 31 octombrie a anului calendaristic în cauză. Cererea de sprijin poate viza trei circumstanțe: (a) punerea în aplicare a reformelor în contextul </w:t>
      </w:r>
      <w:r>
        <w:rPr>
          <w:noProof/>
        </w:rPr>
        <w:lastRenderedPageBreak/>
        <w:t>proceselor de guvernanță economică, în special al recomandărilor specifice fiecărei țări relevante emise în cadrul semestrului european, sau punerea în aplicare a altor acțiuni legate de dreptul Uniunii, (b) punerea în aplicare a reformelor aferente programelor de ajustare economică pentru statele membre care primesc asistență financiară din partea Uniunii în cadrul instrumentelor existente și (c) punerea în aplicare a reformelor pe care statele membre le întreprind din proprie inițiativă în special pentru investiții durabile, creștere economică și crearea de locuri de muncă.</w:t>
      </w:r>
    </w:p>
    <w:p>
      <w:pPr>
        <w:autoSpaceDE w:val="0"/>
        <w:rPr>
          <w:noProof/>
        </w:rPr>
      </w:pPr>
      <w:r>
        <w:rPr>
          <w:noProof/>
        </w:rPr>
        <w:t>Ținând seama de principiile transparenței, egalității de tratament și bunei gestiuni financiare, Comisia va analiza cererea de sprijin prezentată de statul membru în cauză pe baza gradului de urgență, a amplorii și a profunzimii problemelor identificate, a nevoilor de sprijin pentru fiecare domeniu de politică, a analizei indicatorilor socioeconomici și a capacității administrative generale a statului membru. Pe această bază și ținând cont de acțiunile și măsurile existente finanțate din fonduri ale Uniunii sau în cadrul altor programe ale Uniunii, Comisia, în strânsă cooperare cu statul membru în cauză, va identifica domeniile prioritare și sfera de aplicare a sprijinului care urmează să fie furnizat, precum și contribuția financiară globală.</w:t>
      </w:r>
    </w:p>
    <w:p>
      <w:pPr>
        <w:autoSpaceDE w:val="0"/>
        <w:rPr>
          <w:noProof/>
        </w:rPr>
      </w:pPr>
      <w:r>
        <w:rPr>
          <w:noProof/>
        </w:rPr>
        <w:t xml:space="preserve">La punerea în aplicare a prezentului regulament, Comisia va elabora programe de lucru multianuale care vor stabili obiectivele de politică urmărite prin sprijinul avut în vedere și rezultatele preconizate, precum și prioritățile în materie de finanțare în domeniile de politică relevante. Programele de lucru multianuale vor fi detaliate suplimentar în programele de lucru anuale de punere în aplicare, prin intermediul deciziilor de punere în aplicare (articolul 12). </w:t>
      </w:r>
    </w:p>
    <w:p>
      <w:pPr>
        <w:autoSpaceDE w:val="0"/>
        <w:rPr>
          <w:noProof/>
        </w:rPr>
      </w:pPr>
      <w:r>
        <w:rPr>
          <w:noProof/>
        </w:rPr>
        <w:t xml:space="preserve">Pachetul financiar destinat punerii în aplicare a programului este de până la 142 800 000 EUR în prețuri curente (articolul 9). Această sumă va fi dedusă din resursele alocate asistenței tehnice acordate la inițiativa Comisiei în temeiul Regulamentului (UE) nr. 1303/2013 și al Regulamentului (UE) nr. 1305/2013 și alocată în mod corespunzător pentru utilizare în domeniul de aplicare al programului și în conformitate cu obiectivul acestuia. În acest scop, se propune modificarea articolului 91 alineatul (3) din Regulamentul (UE) nr. 1303/2013 și a articolului 51 alineatul (1) din Regulamentul (UE) nr. 1305/2013 (articolele 17 și 18). </w:t>
      </w:r>
    </w:p>
    <w:p>
      <w:pPr>
        <w:autoSpaceDE w:val="0"/>
        <w:rPr>
          <w:noProof/>
        </w:rPr>
        <w:sectPr>
          <w:footerReference w:type="default" r:id="rId11"/>
          <w:footerReference w:type="first" r:id="rId12"/>
          <w:pgSz w:w="11907" w:h="16840" w:code="9"/>
          <w:pgMar w:top="1134" w:right="1418" w:bottom="1134" w:left="1418" w:header="709" w:footer="709" w:gutter="0"/>
          <w:cols w:space="708"/>
          <w:docGrid w:linePitch="360"/>
        </w:sectPr>
      </w:pPr>
      <w:r>
        <w:rPr>
          <w:noProof/>
        </w:rPr>
        <w:t>În plus, programul poate beneficia de resurse financiare suplimentare și prin intermediul alocărilor voluntare din resursele financiare acordate asistenței tehnice la inițiativa statelor membre. În acest sens, se propune modificarea articolului 25 din Regulamentul (UE) nr. 1303/2013, pentru a le permite tuturor statelor membre (nu numai celor care se confruntă cu dificultăți financiare temporare, cum este cazul în prezent) să contribuie la pachetul financiar al programului, transferând o parte din resursele alocate asistenței tehnice acordate la inițiativa statului membru disponibile în temeiul articolului 59 din Regulamentul (UE) nr. 1303/2013 (articolul 17). Aceste resurse financiare suplimentare pot fi folosite pentru a sprijini acțiuni care să contribuie la realizarea strategiei Uniunii pentru o creștere inteligentă, durabilă și favorabilă incluziunii exclusiv în statele membre beneficiare (articolul 10).</w:t>
      </w:r>
      <w:r>
        <w:rPr>
          <w:noProof/>
        </w:rPr>
        <w:tab/>
      </w:r>
    </w:p>
    <w:p>
      <w:pPr>
        <w:pStyle w:val="Rfrenceinterinstitutionnelle"/>
        <w:rPr>
          <w:noProof/>
        </w:rPr>
      </w:pPr>
      <w:r>
        <w:rPr>
          <w:noProof/>
        </w:rPr>
        <w:lastRenderedPageBreak/>
        <w:t>2015/0263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 xml:space="preserve">de instituire a Programului de sprijin pentru reforme structurale pentru perioada 2017­2020 și de modificare a Regulamentelor (UE) nr. 1303/2013 și (UE) nr. 1305/2013 </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175 al treilea paragraf și articolul 197 alineatul (2),</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p>
    <w:p>
      <w:pPr>
        <w:rPr>
          <w:noProof/>
        </w:rPr>
      </w:pPr>
      <w:r>
        <w:rPr>
          <w:noProof/>
        </w:rPr>
        <w:t>având în vedere avizul Comitetului Regiunilor,</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În conformitate cu articolul 9 din Tratatul privind funcționarea Uniunii Europene, la definirea și punerea în aplicare a politicilor și activităților sale, Uniunea ține seama de cerințele privind promovarea unui nivel ridicat al ocupării forței de muncă, garantarea unei protecții sociale corespunzătoare, combaterea excluziunii sociale, precum și de cerințele privind un nivel ridicat de educație, de formare profesională și de protecție a sănătății umane. În plus, astfel cum se prevede la articolul 11 din Tratatul privind funcționarea Uniunii Europene, cerințele de protecție a mediului trebuie integrate în politicile Uniunii, în vederea promovării dezvoltării durabile.</w:t>
      </w:r>
    </w:p>
    <w:p>
      <w:pPr>
        <w:pStyle w:val="ManualConsidrant"/>
        <w:rPr>
          <w:noProof/>
        </w:rPr>
      </w:pPr>
      <w:r>
        <w:t>(2)</w:t>
      </w:r>
      <w:r>
        <w:tab/>
      </w:r>
      <w:r>
        <w:rPr>
          <w:noProof/>
        </w:rPr>
        <w:t xml:space="preserve">Articolele 120 și 121 din Tratatul privind funcționarea Uniunii Europene prevăd că statele membre își conduc politicile economice în așa fel încât să contribuie la realizarea obiectivelor Uniunii și în contextul orientărilor generale formulate de Consiliu. Prin urmare, coordonarea politicilor economice ale statelor membre constituie o chestiune de interes comun. </w:t>
      </w:r>
    </w:p>
    <w:p>
      <w:pPr>
        <w:pStyle w:val="ManualConsidrant"/>
        <w:rPr>
          <w:noProof/>
        </w:rPr>
      </w:pPr>
      <w:r>
        <w:t>(3)</w:t>
      </w:r>
      <w:r>
        <w:tab/>
      </w:r>
      <w:r>
        <w:rPr>
          <w:noProof/>
        </w:rPr>
        <w:t xml:space="preserve">O serie de state membre au făcut și continuă să facă obiectul unor procese de ajustare menite să corecteze dezechilibrele macroeconomice acumulate în trecut și multe dintre ele se confruntă cu provocarea reprezentată de potențialul redus de creștere. Uniunea a identificat punerea în aplicare a reformelor structurale printre prioritățile sale de politică prin care urmărește să înscrie din nou redresarea pe o traiectorie sustenabilă, să deblocheze potențialul de creștere în vederea consolidării capacității de ajustare și să sprijine procesul de convergență. </w:t>
      </w:r>
    </w:p>
    <w:p>
      <w:pPr>
        <w:pStyle w:val="ManualConsidrant"/>
        <w:rPr>
          <w:noProof/>
        </w:rPr>
      </w:pPr>
      <w:r>
        <w:t>(4)</w:t>
      </w:r>
      <w:r>
        <w:tab/>
      </w:r>
      <w:r>
        <w:rPr>
          <w:noProof/>
        </w:rPr>
        <w:t xml:space="preserve">Prin însăși natura lor, reformele sunt procese complexe care necesită o gamă completă de cunoștințe și competențe extrem de specializate. Abordarea reformelor structurale în diverse domenii de politici publice reprezintă o provocare, întrucât adesea beneficiile acestora nu se materializează imediat. Din acest motiv, este crucial ca </w:t>
      </w:r>
      <w:r>
        <w:rPr>
          <w:noProof/>
        </w:rPr>
        <w:lastRenderedPageBreak/>
        <w:t xml:space="preserve">acestea să fie concepute și puse în aplicare din timp și eficient, indiferent dacă este vorba de economii afectate de criză sau de economii care sunt slabe din punct de vedere structural. În acest context, furnizarea de sprijin din partea Uniunii sub formă de asistență tehnică a fost crucială pentru sprijinirea procesului de ajustare economică din Grecia și Cipru în ultimii ani. </w:t>
      </w:r>
    </w:p>
    <w:p>
      <w:pPr>
        <w:pStyle w:val="ManualConsidrant"/>
        <w:rPr>
          <w:noProof/>
        </w:rPr>
      </w:pPr>
      <w:r>
        <w:t>(5)</w:t>
      </w:r>
      <w:r>
        <w:tab/>
      </w:r>
      <w:r>
        <w:rPr>
          <w:noProof/>
        </w:rPr>
        <w:t>Statele membre pot beneficia de sprijin pentru abordarea provocărilor cu care se confruntă în conceperea și punerea în aplicare a reformelor structurale. Aceste provocări pot depinde de diverși factori, inclusiv de o capacitate instituțională și administrativă limitată sau de aplicarea și punerea în aplicare necorespunzătoare a legislației Uniunii.</w:t>
      </w:r>
    </w:p>
    <w:p>
      <w:pPr>
        <w:pStyle w:val="ManualConsidrant"/>
        <w:rPr>
          <w:noProof/>
          <w:shd w:val="clear" w:color="auto" w:fill="FFFF00"/>
        </w:rPr>
      </w:pPr>
      <w:r>
        <w:t>(6)</w:t>
      </w:r>
      <w:r>
        <w:tab/>
      </w:r>
      <w:r>
        <w:rPr>
          <w:noProof/>
        </w:rPr>
        <w:t xml:space="preserve">Uniunea are o experiență îndelungată în furnizarea de sprijin specific administrațiilor naționale și altor autorități ale statelor membre în ceea ce privește consolidarea capacităților și acțiuni similare în anumite sectoare (de exemplu, fiscalitate, vamă, sprijinul pentru întreprinderile mici și mijlocii), precum și în ceea ce privește punerea în aplicare a politicii de coeziune. Experiența dobândită de Uniune în sprijinirea autorităților naționale care se ocupă cu realizarea de reforme ar trebui valorificată pentru a spori capacitatea Uniunii de a acorda asistență statelor membre. Este cu adevărat necesară întreprinderea de acțiuni cuprinzătoare și integrate, pentru a furniza sprijin statelor membre care întreprind reforme de promovare a creșterii economice și care solicită asistență din partea Uniunii în acest sens. </w:t>
      </w:r>
    </w:p>
    <w:p>
      <w:pPr>
        <w:pStyle w:val="ManualConsidrant"/>
        <w:rPr>
          <w:noProof/>
        </w:rPr>
      </w:pPr>
      <w:r>
        <w:t>(7)</w:t>
      </w:r>
      <w:r>
        <w:tab/>
      </w:r>
      <w:r>
        <w:rPr>
          <w:noProof/>
        </w:rPr>
        <w:t xml:space="preserve">În acest context, este necesar să se instituie un program de sprijin pentru reforme structurale („programul”), cu scopul de a consolida capacitatea statelor membre de a pregăti și pune în aplicare reforme administrative și structurale care să promoveze creșterea, inclusiv prin acordarea de asistență pentru utilizarea eficientă și eficace a fondurilor Uniunii. Obiectivul programului este de a contribui la realizarea obiectivelor comune care permit redresarea economică, crearea de locuri de muncă, promovarea competitivității Europei și stimularea investițiilor în economia reală. </w:t>
      </w:r>
    </w:p>
    <w:p>
      <w:pPr>
        <w:pStyle w:val="ManualConsidrant"/>
        <w:rPr>
          <w:noProof/>
        </w:rPr>
      </w:pPr>
      <w:r>
        <w:t>(8)</w:t>
      </w:r>
      <w:r>
        <w:tab/>
      </w:r>
      <w:r>
        <w:rPr>
          <w:noProof/>
        </w:rPr>
        <w:t xml:space="preserve">Sprijinul acordat în cadrul programului ar trebui să fie furnizat de către Comisie la cererea unui stat membru, în domenii precum bugetul și fiscalitatea, funcția publică, reformele instituționale și administrative, sistemul de justiție, combaterea fraudei, corupției și spălării banilor, mediul de afaceri, dezvoltarea sectorului privat, investițiile, concurența, achizițiile publice, procesele de privatizare, accesul la finanțare, investițiile, comerțul, dezvoltarea durabilă, inovarea, educația și formarea, politicile în materie de ocupare a forței de muncă, sănătatea publică, azilul, politicile privind migrația, agricultura și dezvoltarea rurală și politicile din sectorul financiar. </w:t>
      </w:r>
    </w:p>
    <w:p>
      <w:pPr>
        <w:pStyle w:val="ManualConsidrant"/>
        <w:rPr>
          <w:noProof/>
        </w:rPr>
      </w:pPr>
      <w:r>
        <w:t>(9)</w:t>
      </w:r>
      <w:r>
        <w:tab/>
      </w:r>
      <w:r>
        <w:rPr>
          <w:noProof/>
        </w:rPr>
        <w:t xml:space="preserve">Statele membre ar trebui să aibă posibilitatea de a solicita sprijin din partea Comisiei în cadrul acestui program în ceea ce privește punerea în aplicare a reformelor în contextul proceselor de guvernanță economică, în special al recomandărilor specifice fiecărei țări emise în contextul semestrului european, acțiunile legate de punerea în aplicare a dreptului Uniunii, precum și în ceea ce privește punerea în aplicare a programelor de ajustare economică. Acestea ar trebui să fie, de asemenea, în măsură să solicite sprijin în ceea ce privește reformele întreprinse din proprie inițiativă pentru investiții durabile, creștere economică și crearea de locuri de muncă. </w:t>
      </w:r>
    </w:p>
    <w:p>
      <w:pPr>
        <w:pStyle w:val="ManualConsidrant"/>
        <w:rPr>
          <w:noProof/>
        </w:rPr>
      </w:pPr>
      <w:r>
        <w:t>(10)</w:t>
      </w:r>
      <w:r>
        <w:tab/>
      </w:r>
      <w:r>
        <w:rPr>
          <w:noProof/>
        </w:rPr>
        <w:t xml:space="preserve">În urma unui dialog cu statul membru solicitant, inclusiv în contextul semestrului european, Comisia ar trebui să analizeze cererea ținând seama de principiile transparenței, egalității de tratament și bunei gestiuni financiare și să stabilească </w:t>
      </w:r>
      <w:r>
        <w:rPr>
          <w:noProof/>
        </w:rPr>
        <w:lastRenderedPageBreak/>
        <w:t xml:space="preserve">sprijinul care urmează a fi furnizat pe baza gradului de urgență, a amplorii și a profunzimii problemelor identificate, a nevoilor de sprijin pentru domeniile de politică avute în vedere, a analizei indicatorilor socioeconomici și a capacității administrative generale a statului membru în cauză. În plus, în strânsă cooperare cu statul membru respectiv, Comisia ar trebui să identifice domeniile prioritare, sfera de aplicare a măsurilor de sprijin care urmează să fie oferite și contribuția financiară globală la un astfel de sprijin, ținând cont de acțiunile și măsurile existente finanțate din fonduri ale Uniunii sau în cadrul altor programe ale Uniunii. </w:t>
      </w:r>
    </w:p>
    <w:p>
      <w:pPr>
        <w:pStyle w:val="ManualConsidrant"/>
        <w:rPr>
          <w:noProof/>
        </w:rPr>
      </w:pPr>
      <w:r>
        <w:t>(11)</w:t>
      </w:r>
      <w:r>
        <w:tab/>
      </w:r>
      <w:r>
        <w:rPr>
          <w:noProof/>
        </w:rPr>
        <w:t>Comunicările Comisiei „Revizuirea bugetului UE”</w:t>
      </w:r>
      <w:r>
        <w:rPr>
          <w:rStyle w:val="FootnoteReference"/>
          <w:noProof/>
        </w:rPr>
        <w:footnoteReference w:id="14"/>
      </w:r>
      <w:r>
        <w:rPr>
          <w:noProof/>
        </w:rPr>
        <w:t xml:space="preserve"> și „Un buget pentru Europa 2020”</w:t>
      </w:r>
      <w:r>
        <w:rPr>
          <w:rStyle w:val="FootnoteReference"/>
          <w:noProof/>
        </w:rPr>
        <w:footnoteReference w:id="15"/>
      </w:r>
      <w:r>
        <w:rPr>
          <w:noProof/>
        </w:rPr>
        <w:t xml:space="preserve"> subliniază importanța axării finanțării pe activitățile care au o valoare adăugată europeană clară, și anume asupra acelor activități în care intervenția Uniunii poate aduce o valoare adăugată suplimentară în comparație cu acțiunile întreprinse exclusiv de statele membre. În acest context, acțiunile de sprijin întreprinse în cadrul programului ar trebui să asigure complementaritatea și sinergia cu alte programe și politici existente la nivel național, al Uniunii și internațional. Acțiunile întreprinse în cadrul programului ar trebui să permită elaborarea și punerea în practică a unor soluții la provocările naționale cu impact asupra provocărilor transfrontaliere sau de la nivelul Uniunii și să asigure punerea în aplicare consecventă și coerentă a dreptului Uniunii. În plus, acestea ar trebui să contribuie la o mai mare consolidare a încrederii și la promovarea cooperării cu Comisia și între statele membre. În plus, Uniunea este mai în măsură decât statele membre să pună la dispoziție o platformă prin care să se ofere și să se facă schimb de bune practici între statele membre, precum și să mobilizeze expertiză.</w:t>
      </w:r>
    </w:p>
    <w:p>
      <w:pPr>
        <w:pStyle w:val="ManualConsidrant"/>
        <w:rPr>
          <w:noProof/>
        </w:rPr>
      </w:pPr>
      <w:r>
        <w:t>(12)</w:t>
      </w:r>
      <w:r>
        <w:tab/>
      </w:r>
      <w:r>
        <w:rPr>
          <w:noProof/>
        </w:rPr>
        <w:t>Este necesar să se stabilească un pachet financiar pentru program care să acopere o perioadă de patru ani, pentru a alinia durata acestuia cu cea a cadrului financiar multianual, prevăzut în Regulamentul (UE, Euratom) nr. 1311/2013 al Consiliului</w:t>
      </w:r>
      <w:r>
        <w:rPr>
          <w:rStyle w:val="FootnoteReference"/>
          <w:noProof/>
        </w:rPr>
        <w:footnoteReference w:id="16"/>
      </w:r>
      <w:r>
        <w:rPr>
          <w:noProof/>
        </w:rPr>
        <w:t>.</w:t>
      </w:r>
    </w:p>
    <w:p>
      <w:pPr>
        <w:pStyle w:val="ManualConsidrant"/>
        <w:rPr>
          <w:noProof/>
        </w:rPr>
      </w:pPr>
      <w:r>
        <w:t>(13)</w:t>
      </w:r>
      <w:r>
        <w:tab/>
      </w:r>
      <w:r>
        <w:rPr>
          <w:noProof/>
        </w:rPr>
        <w:t>Pachetul financiar al programului ar trebui să constea în resurse financiare deduse din sumele alocate pentru asistența tehnică acordată la inițiativa Comisiei în temeiul Regulamentului (UE) nr. 1303/2013 al Parlamentului European și al Consiliului</w:t>
      </w:r>
      <w:r>
        <w:rPr>
          <w:rStyle w:val="FootnoteReference"/>
          <w:noProof/>
        </w:rPr>
        <w:footnoteReference w:id="17"/>
      </w:r>
      <w:r>
        <w:rPr>
          <w:noProof/>
        </w:rPr>
        <w:t xml:space="preserve"> și al Regulamentului (UE) nr. 1305/2013 al Parlamentului European și al Consiliului</w:t>
      </w:r>
      <w:r>
        <w:rPr>
          <w:rStyle w:val="FootnoteReference"/>
          <w:noProof/>
        </w:rPr>
        <w:footnoteReference w:id="18"/>
      </w:r>
      <w:r>
        <w:rPr>
          <w:noProof/>
        </w:rPr>
        <w:t xml:space="preserve">. Pentru a se permite efectuarea unei astfel de deduceri, este necesară modificarea regulamentelor menționate anterior. </w:t>
      </w:r>
    </w:p>
    <w:p>
      <w:pPr>
        <w:pStyle w:val="ManualConsidrant"/>
        <w:rPr>
          <w:noProof/>
        </w:rPr>
      </w:pPr>
      <w:r>
        <w:lastRenderedPageBreak/>
        <w:t>(14)</w:t>
      </w:r>
      <w:r>
        <w:tab/>
      </w:r>
      <w:r>
        <w:rPr>
          <w:noProof/>
        </w:rPr>
        <w:t xml:space="preserve">Statele membre care solicită sprijin ar trebui să poată contribui la pachetul financiar al acestui program cu fonduri suplimentare. În prezent, </w:t>
      </w:r>
      <w:r>
        <w:rPr>
          <w:rStyle w:val="Strong"/>
          <w:b w:val="0"/>
          <w:noProof/>
        </w:rPr>
        <w:t>Regulamentul (UE) nr. 1303/2013</w:t>
      </w:r>
      <w:r>
        <w:rPr>
          <w:noProof/>
        </w:rPr>
        <w:t xml:space="preserve"> limitează posibilitatea transferării de resurse dedicate asistenței tehnice acordate la inițiativa unui stat membru la acele state membre care se confruntă cu dificultăți bugetare temporare. Prin urmare, </w:t>
      </w:r>
      <w:r>
        <w:rPr>
          <w:rStyle w:val="Strong"/>
          <w:b w:val="0"/>
          <w:noProof/>
        </w:rPr>
        <w:t>Regulamentul (UE) nr. 1303/2013</w:t>
      </w:r>
      <w:r>
        <w:rPr>
          <w:noProof/>
        </w:rPr>
        <w:t xml:space="preserve"> ar trebui modificat pentru a permite tuturor statelor membre să participe financiar la program. Resursele transferate către bugetul Uniunii ar trebui utilizate pentru sprijinirea acțiunilor care contribuie la o creștere inteligentă, durabilă și favorabilă incluziunii sau la realizarea unor obiective pentru care se poate acorda finanțare din fondurile Uniunii în statele membre în cauză.</w:t>
      </w:r>
    </w:p>
    <w:p>
      <w:pPr>
        <w:pStyle w:val="ManualConsidrant"/>
        <w:rPr>
          <w:noProof/>
        </w:rPr>
      </w:pPr>
      <w:r>
        <w:t>(15)</w:t>
      </w:r>
      <w:r>
        <w:tab/>
      </w:r>
      <w:r>
        <w:rPr>
          <w:noProof/>
        </w:rPr>
        <w:t>Prezentul regulament ar trebui pus în aplicare în conformitate cu Regulamentul (UE, Euratom) nr. 966/2012 al Parlamentului European și al Consiliului</w:t>
      </w:r>
      <w:r>
        <w:rPr>
          <w:rStyle w:val="FootnoteReference"/>
          <w:noProof/>
        </w:rPr>
        <w:footnoteReference w:id="19"/>
      </w:r>
      <w:r>
        <w:rPr>
          <w:noProof/>
        </w:rPr>
        <w:t xml:space="preserve"> privind normele financiare aplicabile bugetului anual al Uniunii Europene. Comisia ar trebui să adopte programele de lucru multianuale care să stabilească obiectivele de politică urmărite, rezultatele preconizate ale sprijinului și prioritățile în materie de finanțare în domeniile de politică respective. Aceste elemente ar trebui precizate mai în detaliu în programe de lucru anuale adoptate prin acte de punere în aplicare. </w:t>
      </w:r>
    </w:p>
    <w:p>
      <w:pPr>
        <w:pStyle w:val="ManualConsidrant"/>
        <w:rPr>
          <w:noProof/>
        </w:rPr>
      </w:pPr>
      <w:r>
        <w:t>(16)</w:t>
      </w:r>
      <w:r>
        <w:tab/>
      </w:r>
      <w:r>
        <w:rPr>
          <w:noProof/>
        </w:rPr>
        <w:t>Având în vedere importanța susținerii eforturilor statelor membre în ceea ce privește continuarea și punerea în aplicare a unor reforme structurale, instituționale și administrative, este necesar să se permită o rată de cofinanțare de 100 % din costurile eligibile în vederea atingerii obiectivelor programului, asigurându-se totodată respectarea principiilor cofinanțării și neobținerii de profit.</w:t>
      </w:r>
    </w:p>
    <w:p>
      <w:pPr>
        <w:pStyle w:val="ManualConsidrant"/>
        <w:rPr>
          <w:noProof/>
        </w:rPr>
      </w:pPr>
      <w:r>
        <w:t>(17)</w:t>
      </w:r>
      <w:r>
        <w:tab/>
      </w:r>
      <w:r>
        <w:rPr>
          <w:noProof/>
        </w:rPr>
        <w:t>Dacă apar motive neprevăzute și justificate în mod corespunzător care au un caracter urgent și necesită un răspuns imediat, cum ar fi o perturbare gravă a economiei sau circumstanțe importante care afectează grav condițiile economice sau sociale dintr-un stat membru și care depășesc posibilitatea statului membru de a controla situația, la cererea unui stat membru, Comisia ar trebui să fie în măsură să adopte măsuri speciale pentru o parte limitată din programul de lucru anual, în conformitate cu obiectivele și acțiunile eligibile în cadrul programului, pentru a sprijini autoritățile naționale în vederea soluționării problemelor urgente.</w:t>
      </w:r>
    </w:p>
    <w:p>
      <w:pPr>
        <w:pStyle w:val="ManualConsidrant"/>
        <w:rPr>
          <w:noProof/>
        </w:rPr>
      </w:pPr>
      <w:r>
        <w:t>(18)</w:t>
      </w:r>
      <w:r>
        <w:tab/>
      </w:r>
      <w:r>
        <w:rPr>
          <w:noProof/>
        </w:rPr>
        <w:t xml:space="preserve">Pentru a asigura o alocare eficientă și coerentă a fondurilor din bugetul Uniunii și respectarea principiului bunei gestiuni financiare, acțiunile întreprinse în cadrul programului ar trebui să se adauge la programele Uniunii aflate în curs și să le completeze, evitându-se, în același timp, dubla finanțare a acelorași cheltuieli. În special, Comisia și statul membru în cauză, în conformitate cu responsabilitățile ce le revin, ar trebui să asigure o coordonare eficace la nivelul Uniunii și la nivelul statului membru, în toate etapele procesului, în vederea asigurării coerenței, complementarității și sinergiei între sursele de finanțare ale acțiunilor întreprinse în statul membru în cauză care au legături strânse cu acest program, în special cu măsurile finanțate în prezent din fondurile Uniunii în statele membre. </w:t>
      </w:r>
    </w:p>
    <w:p>
      <w:pPr>
        <w:pStyle w:val="ManualConsidrant"/>
        <w:rPr>
          <w:noProof/>
        </w:rPr>
      </w:pPr>
      <w:r>
        <w:t>(19)</w:t>
      </w:r>
      <w:r>
        <w:tab/>
      </w:r>
      <w:r>
        <w:rPr>
          <w:noProof/>
        </w:rPr>
        <w:t xml:space="preserve">Interesele financiare ale Uniunii ar trebui protejate prin măsuri proporționale adoptate de-a lungul întregului ciclu de cheltuire a fondurilor, inclusiv prin prevenirea, </w:t>
      </w:r>
      <w:r>
        <w:rPr>
          <w:noProof/>
        </w:rPr>
        <w:lastRenderedPageBreak/>
        <w:t>depistarea și investigarea neregulilor, prin recuperarea fondurilor pierdute, plătite în mod necuvenit sau incorect utilizate și, după caz, prin aplicarea de sancțiuni.</w:t>
      </w:r>
    </w:p>
    <w:p>
      <w:pPr>
        <w:pStyle w:val="ManualConsidrant"/>
        <w:rPr>
          <w:noProof/>
        </w:rPr>
      </w:pPr>
      <w:r>
        <w:t>(20)</w:t>
      </w:r>
      <w:r>
        <w:tab/>
      </w:r>
      <w:r>
        <w:rPr>
          <w:noProof/>
        </w:rPr>
        <w:t>Pentru a se facilita evaluarea programului, ar trebui instituit încă de la început un cadru adecvat pentru monitorizarea rezultatelor obținute de program. Ar trebui efectuată o evaluare intermediară referitoare la realizarea obiectivelor programului, eficiența acestuia și valoarea sa adăugată la nivel european. În plus, ar trebui efectuată o evaluare finală care să analizeze impactul pe termen lung și efectele în materie de sustenabilitate ale programului. Aceste evaluări ar trebui să se bazeze pe indicatori care să măsoare efectele programului.</w:t>
      </w:r>
    </w:p>
    <w:p>
      <w:pPr>
        <w:pStyle w:val="ManualConsidrant"/>
        <w:rPr>
          <w:noProof/>
        </w:rPr>
      </w:pPr>
      <w:r>
        <w:t>(21)</w:t>
      </w:r>
      <w:r>
        <w:tab/>
      </w:r>
      <w:r>
        <w:rPr>
          <w:noProof/>
        </w:rPr>
        <w:t>Ținându-se cont de experiența acumulată în timpul punerii în aplicare a programului, pentru adaptarea listei indicatorilor care măsoară realizarea obiectivelor programului, ar trebui să îi fie delegată Comisiei competența de a adopta acte delegate în conformitate cu articolul 290 din Tratatul privind funcționarea Uniunii Europene în ceea ce privește modificarea listei. Este deosebit de important ca, în timpul lucrărilor pregătitoare, Comisia să organizeze consultări adecvate, inclusiv la nivel de experți. La pregătirea și elaborarea actelor delegate, Comisia ar trebui să asigure transmiterea simultană, în timp util și adecvată a documentelor relevante Parlamentului European și Consiliului.</w:t>
      </w:r>
    </w:p>
    <w:p>
      <w:pPr>
        <w:pStyle w:val="ManualConsidrant"/>
        <w:rPr>
          <w:noProof/>
        </w:rPr>
      </w:pPr>
      <w:r>
        <w:t>(22)</w:t>
      </w:r>
      <w:r>
        <w:tab/>
      </w:r>
      <w:r>
        <w:rPr>
          <w:noProof/>
        </w:rPr>
        <w:t xml:space="preserve">Ar trebui conferite competențe de executare Comisiei în vederea asigurării unor condiții uniforme pentru punerea în aplicare a prezentului regulament în ceea ce privește adoptarea programelor de lucru multianuale și anuale. </w:t>
      </w:r>
    </w:p>
    <w:p>
      <w:pPr>
        <w:pStyle w:val="ManualConsidrant"/>
        <w:rPr>
          <w:noProof/>
        </w:rPr>
      </w:pPr>
      <w:r>
        <w:t>(23)</w:t>
      </w:r>
      <w:r>
        <w:tab/>
      </w:r>
      <w:r>
        <w:rPr>
          <w:noProof/>
        </w:rPr>
        <w:t>Întrucât obiectivul prezentului regulament, și anume de a contribui la reformele instituționale, administrative și structurale din statele membre prin acordarea de sprijin autorităților naționale pentru măsurile ce vizează reforma instituțiilor, guvernanței, administrației, sectoarelor economice și sociale, inclusiv prin asistență pentru utilizarea eficientă și eficace a fondurilor Uniunii, nu poate fi realizat în mod satisfăcător doar de către statele membre, ci poate fi realizat mai bine, prin amploarea și efectele sale, la nivelul Uniunii, aceasta poate adopta măsuri, în conformitate cu principiul subsidiarității, astfel cum este prevăzut la articolul 5 din Tratatul privind Uniunea Europeană. În conformitate cu principiul proporționalității, astfel cum este prevăzut la articolul menționat anterior, prezentul regulament nu depășește ceea ce este necesar pentru atingerea respectivului obiectiv, întrucât sfera de aplicare a sprijinului ar fi convenită cu statul membru în cauză.</w:t>
      </w:r>
    </w:p>
    <w:p>
      <w:pPr>
        <w:pStyle w:val="ManualConsidrant"/>
        <w:rPr>
          <w:noProof/>
        </w:rPr>
      </w:pPr>
      <w:r>
        <w:t>(24)</w:t>
      </w:r>
      <w:r>
        <w:tab/>
      </w:r>
      <w:r>
        <w:rPr>
          <w:noProof/>
        </w:rPr>
        <w:t xml:space="preserve">Pentru a permite aplicarea promptă a măsurilor prevăzute în prezentul regulament, acesta ar trebui să intre în vigoare în ziua următoare datei publicării în </w:t>
      </w:r>
      <w:r>
        <w:rPr>
          <w:i/>
          <w:noProof/>
        </w:rPr>
        <w:t>Jurnalul Oficial al Uniunii Europene</w:t>
      </w:r>
      <w:r>
        <w:rPr>
          <w:noProof/>
        </w:rPr>
        <w:t>,</w:t>
      </w:r>
    </w:p>
    <w:p>
      <w:pPr>
        <w:rPr>
          <w:noProof/>
        </w:rPr>
      </w:pPr>
    </w:p>
    <w:p>
      <w:pPr>
        <w:pStyle w:val="Formuledadoption"/>
        <w:rPr>
          <w:noProof/>
        </w:rPr>
      </w:pPr>
      <w:r>
        <w:rPr>
          <w:noProof/>
        </w:rPr>
        <w:t>ADOPTĂ PREZENTUL REGULAMENT:</w:t>
      </w:r>
    </w:p>
    <w:p>
      <w:pPr>
        <w:pStyle w:val="Titrearticle"/>
        <w:rPr>
          <w:noProof/>
        </w:rPr>
      </w:pPr>
      <w:r>
        <w:rPr>
          <w:noProof/>
        </w:rPr>
        <w:t>Articolul 1</w:t>
      </w:r>
      <w:r>
        <w:rPr>
          <w:noProof/>
        </w:rPr>
        <w:br/>
        <w:t>Instituirea și durata programului</w:t>
      </w:r>
    </w:p>
    <w:p>
      <w:pPr>
        <w:rPr>
          <w:noProof/>
        </w:rPr>
      </w:pPr>
      <w:r>
        <w:rPr>
          <w:noProof/>
        </w:rPr>
        <w:t>Prezentul regulament instituie Programul de sprijin pentru reforme structurale, denumit în continuare „programul”, pentru perioada cuprinsă între 1 ianuarie 2017 și 31 decembrie 2020.</w:t>
      </w:r>
    </w:p>
    <w:p>
      <w:pPr>
        <w:pStyle w:val="Titrearticle"/>
        <w:spacing w:before="240"/>
        <w:rPr>
          <w:noProof/>
        </w:rPr>
      </w:pPr>
      <w:r>
        <w:rPr>
          <w:noProof/>
        </w:rPr>
        <w:lastRenderedPageBreak/>
        <w:t>Articolul 2</w:t>
      </w:r>
      <w:r>
        <w:rPr>
          <w:noProof/>
        </w:rPr>
        <w:br/>
        <w:t>Definiții</w:t>
      </w:r>
    </w:p>
    <w:p>
      <w:pPr>
        <w:rPr>
          <w:noProof/>
        </w:rPr>
      </w:pPr>
      <w:r>
        <w:rPr>
          <w:noProof/>
        </w:rPr>
        <w:t>În sensul prezentului regulament, se aplică următoarele definiții:</w:t>
      </w:r>
    </w:p>
    <w:p>
      <w:pPr>
        <w:pStyle w:val="ManualNumPar1"/>
        <w:rPr>
          <w:noProof/>
        </w:rPr>
      </w:pPr>
      <w:r>
        <w:rPr>
          <w:noProof/>
        </w:rPr>
        <w:t>1.</w:t>
      </w:r>
      <w:r>
        <w:rPr>
          <w:noProof/>
        </w:rPr>
        <w:tab/>
        <w:t>„Stat membru beneficiar” înseamnă un stat membru care primește sprijin din partea Uniunii în cadrul acestui program;</w:t>
      </w:r>
    </w:p>
    <w:p>
      <w:pPr>
        <w:pStyle w:val="ManualNumPar1"/>
        <w:rPr>
          <w:noProof/>
        </w:rPr>
      </w:pPr>
      <w:r>
        <w:rPr>
          <w:noProof/>
        </w:rPr>
        <w:t>2.</w:t>
      </w:r>
      <w:r>
        <w:rPr>
          <w:noProof/>
        </w:rPr>
        <w:tab/>
        <w:t>„Fondurile Uniunii” înseamnă fondurile structurale și de investiții europene la care se face referire la articolul 1 din Regulamentul (UE) nr. 1303/2013, Fondul de ajutor european destinat celor mai defavorizate persoane, instituit prin Regulamentul (UE) nr. 223/2014 al Parlamentului European și al Consiliului</w:t>
      </w:r>
      <w:r>
        <w:rPr>
          <w:rStyle w:val="FootnoteReference"/>
          <w:noProof/>
        </w:rPr>
        <w:footnoteReference w:id="20"/>
      </w:r>
      <w:r>
        <w:rPr>
          <w:noProof/>
        </w:rPr>
        <w:t>, Fondul pentru azil, migrație și integrare, instituit prin Regulamentul (UE) nr. 516/2014 al Parlamentului European și al Consiliului</w:t>
      </w:r>
      <w:r>
        <w:rPr>
          <w:rStyle w:val="FootnoteReference"/>
          <w:noProof/>
        </w:rPr>
        <w:footnoteReference w:id="21"/>
      </w:r>
      <w:r>
        <w:rPr>
          <w:noProof/>
        </w:rPr>
        <w:t>, Instrumentul de sprijin financiar pentru cooperarea polițienească, prevenirea și combaterea criminalității și gestionarea crizelor, instituit în cadrul Fondului pentru securitate internă prin Regulamentul (UE) nr. 513/2014 al Parlamentului European și al Consiliului</w:t>
      </w:r>
      <w:r>
        <w:rPr>
          <w:rStyle w:val="FootnoteReference"/>
          <w:noProof/>
        </w:rPr>
        <w:footnoteReference w:id="22"/>
      </w:r>
      <w:r>
        <w:rPr>
          <w:noProof/>
        </w:rPr>
        <w:t xml:space="preserve"> și instrumentul de sprijin financiar pentru frontiere externe și vize instituit în cadrul Fondului pentru securitate internă prin Regulamentul (UE) nr. 515/2014 al Parlamentului European și al Consiliului</w:t>
      </w:r>
      <w:r>
        <w:rPr>
          <w:rStyle w:val="FootnoteReference"/>
          <w:noProof/>
        </w:rPr>
        <w:footnoteReference w:id="23"/>
      </w:r>
      <w:r>
        <w:rPr>
          <w:noProof/>
        </w:rPr>
        <w:t>.</w:t>
      </w:r>
    </w:p>
    <w:p>
      <w:pPr>
        <w:pStyle w:val="Titrearticle"/>
        <w:rPr>
          <w:noProof/>
        </w:rPr>
      </w:pPr>
      <w:r>
        <w:rPr>
          <w:noProof/>
        </w:rPr>
        <w:t>Articolul 3</w:t>
      </w:r>
      <w:r>
        <w:rPr>
          <w:noProof/>
        </w:rPr>
        <w:br/>
        <w:t>Valoarea adăugată europeană</w:t>
      </w:r>
    </w:p>
    <w:p>
      <w:pPr>
        <w:pStyle w:val="ManualNumPar1"/>
        <w:rPr>
          <w:noProof/>
        </w:rPr>
      </w:pPr>
      <w:r>
        <w:rPr>
          <w:noProof/>
        </w:rPr>
        <w:t>1.</w:t>
      </w:r>
      <w:r>
        <w:rPr>
          <w:noProof/>
        </w:rPr>
        <w:tab/>
        <w:t>Programul finanțează acțiuni cu valoare adăugată europeană. În acest sens, Comisia se asigură că există probabilitatea ca acțiunile alese pentru a primi finanțare să producă rezultate cu valoare adăugată europeană și monitorizează obținerea efectivă a valorii adăugate europene.</w:t>
      </w:r>
    </w:p>
    <w:p>
      <w:pPr>
        <w:pStyle w:val="ManualNumPar1"/>
        <w:rPr>
          <w:noProof/>
          <w:szCs w:val="24"/>
        </w:rPr>
      </w:pPr>
      <w:r>
        <w:rPr>
          <w:noProof/>
        </w:rPr>
        <w:t>2.</w:t>
      </w:r>
      <w:r>
        <w:rPr>
          <w:noProof/>
        </w:rPr>
        <w:tab/>
        <w:t>Acțiunile și activitățile programului asigură existența valorii adăugate europene în special prin:</w:t>
      </w:r>
    </w:p>
    <w:p>
      <w:pPr>
        <w:pStyle w:val="Point1letter"/>
        <w:numPr>
          <w:ilvl w:val="3"/>
          <w:numId w:val="31"/>
        </w:numPr>
        <w:rPr>
          <w:noProof/>
        </w:rPr>
      </w:pPr>
      <w:r>
        <w:rPr>
          <w:noProof/>
        </w:rPr>
        <w:t>elaborarea și punerea în practică a unor soluții care abordează provocările naționale cu impact asupra provocărilor transfrontaliere sau de la nivelul Uniunii;</w:t>
      </w:r>
    </w:p>
    <w:p>
      <w:pPr>
        <w:pStyle w:val="Point1letter"/>
        <w:rPr>
          <w:noProof/>
        </w:rPr>
      </w:pPr>
      <w:r>
        <w:rPr>
          <w:noProof/>
        </w:rPr>
        <w:t>complementaritatea și sinergia lor cu alte programe ale Uniunii și cu politici existente la nivel național, al Uniunii și internațional;</w:t>
      </w:r>
    </w:p>
    <w:p>
      <w:pPr>
        <w:pStyle w:val="Point1letter"/>
        <w:rPr>
          <w:noProof/>
        </w:rPr>
      </w:pPr>
      <w:r>
        <w:rPr>
          <w:noProof/>
        </w:rPr>
        <w:t>contribuția acestora la punerea în aplicare consecventă și coerentă a dreptului Uniunii;</w:t>
      </w:r>
    </w:p>
    <w:p>
      <w:pPr>
        <w:pStyle w:val="Point1letter"/>
        <w:rPr>
          <w:noProof/>
        </w:rPr>
      </w:pPr>
      <w:r>
        <w:rPr>
          <w:noProof/>
        </w:rPr>
        <w:t xml:space="preserve">contribuția acestora la schimbul de bune practici și la crearea unei platforme și a unei rețele de expertiză la nivelul întregii Uniunii; </w:t>
      </w:r>
    </w:p>
    <w:p>
      <w:pPr>
        <w:pStyle w:val="Point1letter"/>
        <w:rPr>
          <w:noProof/>
        </w:rPr>
      </w:pPr>
      <w:r>
        <w:rPr>
          <w:noProof/>
        </w:rPr>
        <w:t>promovarea încrederii reciproce între statele membre beneficiare și Comisie și cooperarea între statele membre.</w:t>
      </w:r>
    </w:p>
    <w:p>
      <w:pPr>
        <w:pStyle w:val="Titrearticle"/>
        <w:rPr>
          <w:noProof/>
        </w:rPr>
      </w:pPr>
      <w:r>
        <w:rPr>
          <w:noProof/>
        </w:rPr>
        <w:t>Articolul 4</w:t>
      </w:r>
      <w:r>
        <w:rPr>
          <w:noProof/>
        </w:rPr>
        <w:br/>
        <w:t xml:space="preserve">Obiectivul general </w:t>
      </w:r>
    </w:p>
    <w:p>
      <w:pPr>
        <w:rPr>
          <w:noProof/>
        </w:rPr>
      </w:pPr>
      <w:r>
        <w:rPr>
          <w:noProof/>
        </w:rPr>
        <w:t>Obiectivul general al programului este de a contribui la realizarea de reforme instituționale, administrative și structurale în statele membre prin acordarea de sprijin autorităților naționale pentru măsurile ce vizează reformarea instituțiilor, a guvernanței, a administrației și a sectorului economic și social ca răspuns la provocările de ordin economic și social, în vederea consolidării competitivității, a creșterii economice, a ocupării forței de muncă și a investițiilor, în special în contextul proceselor de guvernanță economică, inclusiv prin acordarea de asistență pentru utilizarea eficientă și eficace a fondurilor Uniunii.</w:t>
      </w:r>
    </w:p>
    <w:p>
      <w:pPr>
        <w:pStyle w:val="Titrearticle"/>
        <w:rPr>
          <w:noProof/>
        </w:rPr>
      </w:pPr>
      <w:r>
        <w:rPr>
          <w:noProof/>
        </w:rPr>
        <w:t>Articolul 5</w:t>
      </w:r>
      <w:r>
        <w:rPr>
          <w:noProof/>
        </w:rPr>
        <w:br/>
        <w:t xml:space="preserve">Obiectivele specifice și sfera de aplicare a programului </w:t>
      </w:r>
    </w:p>
    <w:p>
      <w:pPr>
        <w:pStyle w:val="ManualNumPar1"/>
        <w:rPr>
          <w:noProof/>
        </w:rPr>
      </w:pPr>
      <w:r>
        <w:rPr>
          <w:noProof/>
        </w:rPr>
        <w:t>1.</w:t>
      </w:r>
      <w:r>
        <w:rPr>
          <w:noProof/>
        </w:rPr>
        <w:tab/>
        <w:t xml:space="preserve">În vederea îndeplinirii obiectivului general prevăzut la articolul 4, obiectivele specifice ale programului sunt: </w:t>
      </w:r>
    </w:p>
    <w:p>
      <w:pPr>
        <w:pStyle w:val="Point1letter"/>
        <w:numPr>
          <w:ilvl w:val="3"/>
          <w:numId w:val="33"/>
        </w:numPr>
        <w:rPr>
          <w:noProof/>
        </w:rPr>
      </w:pPr>
      <w:r>
        <w:rPr>
          <w:noProof/>
        </w:rPr>
        <w:t xml:space="preserve">sprijinirea inițiativelor autorităților naționale de a-și concepe reformele în funcție de priorități, luând în considerare condițiile inițiale și impacturile socioeconomice preconizate; </w:t>
      </w:r>
    </w:p>
    <w:p>
      <w:pPr>
        <w:pStyle w:val="Point1letter"/>
        <w:rPr>
          <w:noProof/>
        </w:rPr>
      </w:pPr>
      <w:r>
        <w:rPr>
          <w:noProof/>
        </w:rPr>
        <w:t>sprijinirea autorităților naționale în privința îmbunătățirii capacității lor de a formula, dezvolta și pune în aplicare politici și strategii de reformă și de a avea o abordare integrată, care să asigure consecvența între obiectivele și mijloacele din diferite sectoare;</w:t>
      </w:r>
    </w:p>
    <w:p>
      <w:pPr>
        <w:pStyle w:val="Point1letter"/>
        <w:rPr>
          <w:noProof/>
        </w:rPr>
      </w:pPr>
      <w:r>
        <w:rPr>
          <w:noProof/>
        </w:rPr>
        <w:t>sprijinirea eforturilor autorităților naționale de a defini și pune în aplicare procese și metodologii corespunzătoare prin luarea în considerare a bunelor practici și a lecțiilor învățate de alte țări în abordarea unor situații similare;</w:t>
      </w:r>
    </w:p>
    <w:p>
      <w:pPr>
        <w:pStyle w:val="Point1letter"/>
        <w:rPr>
          <w:noProof/>
        </w:rPr>
      </w:pPr>
      <w:r>
        <w:rPr>
          <w:noProof/>
        </w:rPr>
        <w:t>sprijinirea eforturilor autorităților de îmbunătățire a eficienței și eficacității gestionării resurselor umane, atunci când este cazul, prin definirea unor responsabilități clare și îmbunătățirea cunoștințelor și competențelor profesionale.</w:t>
      </w:r>
    </w:p>
    <w:p>
      <w:pPr>
        <w:pStyle w:val="ManualNumPar1"/>
        <w:ind w:hanging="130"/>
        <w:rPr>
          <w:noProof/>
        </w:rPr>
      </w:pPr>
      <w:r>
        <w:rPr>
          <w:noProof/>
        </w:rPr>
        <w:t>Aceste obiective sunt urmărite în strânsă cooperare cu statele membre beneficiare.</w:t>
      </w:r>
    </w:p>
    <w:p>
      <w:pPr>
        <w:ind w:left="720" w:hanging="720"/>
        <w:rPr>
          <w:noProof/>
        </w:rPr>
      </w:pPr>
      <w:r>
        <w:rPr>
          <w:noProof/>
        </w:rPr>
        <w:t>2.</w:t>
      </w:r>
      <w:r>
        <w:rPr>
          <w:noProof/>
        </w:rPr>
        <w:tab/>
        <w:t xml:space="preserve">Obiectivele specifice prevăzute la alineatul (1) se referă la domenii de politică legate de competitivitate, creștere, locuri de muncă și investiții, în special la: </w:t>
      </w:r>
    </w:p>
    <w:p>
      <w:pPr>
        <w:pStyle w:val="Point1letter"/>
        <w:numPr>
          <w:ilvl w:val="3"/>
          <w:numId w:val="32"/>
        </w:numPr>
        <w:rPr>
          <w:noProof/>
        </w:rPr>
      </w:pPr>
      <w:r>
        <w:rPr>
          <w:noProof/>
        </w:rPr>
        <w:t>gestionarea finanțelor publice, procedura bugetară, gestionarea datoriilor și administrarea veniturilor;</w:t>
      </w:r>
    </w:p>
    <w:p>
      <w:pPr>
        <w:pStyle w:val="Point1letter"/>
        <w:rPr>
          <w:noProof/>
        </w:rPr>
      </w:pPr>
      <w:r>
        <w:rPr>
          <w:noProof/>
        </w:rPr>
        <w:t>reforma instituțională și funcționarea eficientă și orientată spre servicii a administrației publice, respectarea statului de drept, reforma sistemului de justiție și consolidarea luptei împotriva fraudei, a corupției și a spălării banilor;</w:t>
      </w:r>
    </w:p>
    <w:p>
      <w:pPr>
        <w:pStyle w:val="Point1letter"/>
        <w:rPr>
          <w:noProof/>
        </w:rPr>
      </w:pPr>
      <w:r>
        <w:rPr>
          <w:noProof/>
        </w:rPr>
        <w:t>mediul de afaceri, dezvoltarea sectorului privat, investițiile, procesele de privatizare, comerțul și investițiile directe străine, concurența și achizițiile publice, dezvoltarea sectorială durabilă și sprijinul pentru inovare;</w:t>
      </w:r>
    </w:p>
    <w:p>
      <w:pPr>
        <w:pStyle w:val="Point1letter"/>
        <w:rPr>
          <w:noProof/>
        </w:rPr>
      </w:pPr>
      <w:r>
        <w:rPr>
          <w:noProof/>
        </w:rPr>
        <w:t>educația și formarea, politicile privind piața forței de muncă, incluziunea socială, sistemele de securitate socială și de bunăstare socială, sistemele de sănătate publică și de asistență medicală, politicile din domeniul azilului, migrației și frontierelor;</w:t>
      </w:r>
    </w:p>
    <w:p>
      <w:pPr>
        <w:pStyle w:val="Point1letter"/>
        <w:rPr>
          <w:noProof/>
        </w:rPr>
      </w:pPr>
      <w:r>
        <w:rPr>
          <w:noProof/>
        </w:rPr>
        <w:t>politicile privind sectorul agriculturii și dezvoltarea durabilă a zonelor rurale;</w:t>
      </w:r>
    </w:p>
    <w:p>
      <w:pPr>
        <w:pStyle w:val="Point1letter"/>
        <w:rPr>
          <w:noProof/>
        </w:rPr>
      </w:pPr>
      <w:r>
        <w:rPr>
          <w:noProof/>
        </w:rPr>
        <w:t>politicile privind sectorul financiar și accesul la finanțare.</w:t>
      </w:r>
    </w:p>
    <w:p>
      <w:pPr>
        <w:pStyle w:val="Titrearticle"/>
        <w:spacing w:before="120"/>
        <w:rPr>
          <w:noProof/>
        </w:rPr>
      </w:pPr>
    </w:p>
    <w:p>
      <w:pPr>
        <w:pStyle w:val="Titrearticle"/>
        <w:spacing w:before="120"/>
        <w:rPr>
          <w:noProof/>
        </w:rPr>
      </w:pPr>
      <w:r>
        <w:rPr>
          <w:noProof/>
        </w:rPr>
        <w:t>Articolul 6</w:t>
      </w:r>
      <w:r>
        <w:rPr>
          <w:noProof/>
        </w:rPr>
        <w:br/>
        <w:t>Acțiuni eligibile</w:t>
      </w:r>
    </w:p>
    <w:p>
      <w:pPr>
        <w:rPr>
          <w:noProof/>
        </w:rPr>
      </w:pPr>
      <w:r>
        <w:rPr>
          <w:noProof/>
        </w:rPr>
        <w:t>În vederea realizării obiectivelor prevăzute la articolele 4 și 5, programul poate finanța în special următoarele tipuri de acțiuni:</w:t>
      </w:r>
    </w:p>
    <w:p>
      <w:pPr>
        <w:pStyle w:val="Point0letter"/>
        <w:numPr>
          <w:ilvl w:val="1"/>
          <w:numId w:val="34"/>
        </w:numPr>
        <w:rPr>
          <w:noProof/>
        </w:rPr>
      </w:pPr>
      <w:r>
        <w:rPr>
          <w:noProof/>
        </w:rPr>
        <w:t>expertiza legată de consilierea în materie de politici, schimbările în materie de politici, reformele legislative, instituționale, structurale și administrative;</w:t>
      </w:r>
    </w:p>
    <w:p>
      <w:pPr>
        <w:pStyle w:val="Point0letter"/>
        <w:rPr>
          <w:noProof/>
        </w:rPr>
      </w:pPr>
      <w:r>
        <w:rPr>
          <w:noProof/>
        </w:rPr>
        <w:t>punerea la dispoziție a unui expert (a unor experți) (inclusiv a unor experți rezidenți), pentru o perioadă scurtă sau lungă, care să îndeplinească sarcini în anumite domenii sau care să desfășoare activități operaționale, beneficiind, atunci când este necesar, de sprijin în materie de interpretare, traducere și cooperare și de asistență administrativă, de infrastructură și echipamente;</w:t>
      </w:r>
    </w:p>
    <w:p>
      <w:pPr>
        <w:pStyle w:val="Point0letter"/>
        <w:rPr>
          <w:noProof/>
        </w:rPr>
      </w:pPr>
      <w:r>
        <w:rPr>
          <w:noProof/>
        </w:rPr>
        <w:t xml:space="preserve">acțiuni de consolidare a capacității instituționale, administrative sau sectoriale și acțiuni de sprijin conexe, în special: </w:t>
      </w:r>
    </w:p>
    <w:p>
      <w:pPr>
        <w:pStyle w:val="Point1"/>
        <w:rPr>
          <w:noProof/>
        </w:rPr>
      </w:pPr>
      <w:r>
        <w:rPr>
          <w:noProof/>
        </w:rPr>
        <w:t>(i)</w:t>
      </w:r>
      <w:r>
        <w:rPr>
          <w:noProof/>
        </w:rPr>
        <w:tab/>
        <w:t>seminare, conferințe și ateliere;</w:t>
      </w:r>
    </w:p>
    <w:p>
      <w:pPr>
        <w:pStyle w:val="Point1"/>
        <w:rPr>
          <w:noProof/>
        </w:rPr>
      </w:pPr>
      <w:r>
        <w:rPr>
          <w:noProof/>
        </w:rPr>
        <w:t>(ii)</w:t>
      </w:r>
      <w:r>
        <w:rPr>
          <w:noProof/>
        </w:rPr>
        <w:tab/>
        <w:t>vizite de lucru în statele membre relevante sau într-o țară terță pentru a le permite funcționarilor să dobândească expertiză sau cunoștințe privind chestiunile relevante sau să și le îmbunătățească;</w:t>
      </w:r>
    </w:p>
    <w:p>
      <w:pPr>
        <w:pStyle w:val="Point1"/>
        <w:rPr>
          <w:noProof/>
        </w:rPr>
      </w:pPr>
      <w:r>
        <w:rPr>
          <w:noProof/>
        </w:rPr>
        <w:t>(iii)</w:t>
      </w:r>
      <w:r>
        <w:rPr>
          <w:noProof/>
        </w:rPr>
        <w:tab/>
        <w:t xml:space="preserve">acțiuni de formare și crearea de module de formare online sau de alt tip care să sprijine dobândirea competențelor și cunoștințelor profesionale necesare în domeniul reformelor relevante; </w:t>
      </w:r>
    </w:p>
    <w:p>
      <w:pPr>
        <w:pStyle w:val="Point0letter"/>
        <w:rPr>
          <w:noProof/>
        </w:rPr>
      </w:pPr>
      <w:r>
        <w:rPr>
          <w:noProof/>
        </w:rPr>
        <w:t xml:space="preserve">colectarea de date și statistici; elaborarea de metodologii comune și, dacă este cazul, de indicatori sau de obiective de referință; </w:t>
      </w:r>
    </w:p>
    <w:p>
      <w:pPr>
        <w:pStyle w:val="Point0letter"/>
        <w:rPr>
          <w:noProof/>
        </w:rPr>
      </w:pPr>
      <w:r>
        <w:rPr>
          <w:noProof/>
        </w:rPr>
        <w:t>organizarea de sprijin operațional local în domenii precum azilul, migrația și controlul frontierelor;</w:t>
      </w:r>
    </w:p>
    <w:p>
      <w:pPr>
        <w:pStyle w:val="Point0letter"/>
        <w:rPr>
          <w:noProof/>
        </w:rPr>
      </w:pPr>
      <w:r>
        <w:rPr>
          <w:noProof/>
        </w:rPr>
        <w:t>consolidarea capacităților informatice: dezvoltarea, întreținerea, utilizarea și controlul calității infrastructurii informatice și a aplicațiilor necesare pentru punerea în aplicare a reformelor relevante;</w:t>
      </w:r>
    </w:p>
    <w:p>
      <w:pPr>
        <w:pStyle w:val="Point0letter"/>
        <w:rPr>
          <w:noProof/>
        </w:rPr>
      </w:pPr>
      <w:r>
        <w:rPr>
          <w:noProof/>
        </w:rPr>
        <w:t>studii, cercetări, analize și sondaje; evaluări și studii de impact; elaborarea și publicarea de ghiduri, de rapoarte și de materiale educaționale;</w:t>
      </w:r>
    </w:p>
    <w:p>
      <w:pPr>
        <w:pStyle w:val="Point0letter"/>
        <w:rPr>
          <w:noProof/>
        </w:rPr>
      </w:pPr>
      <w:r>
        <w:rPr>
          <w:noProof/>
        </w:rPr>
        <w:t>proiecte de comunicare: învățare, cooperare, creșterea gradului de sensibilizare, activități de diseminare și schimb de bune practici; organizarea de campanii de sensibilizare și de informare, de campanii media și de evenimente, inclusiv comunicare instituțională;</w:t>
      </w:r>
    </w:p>
    <w:p>
      <w:pPr>
        <w:pStyle w:val="Point0letter"/>
        <w:rPr>
          <w:noProof/>
        </w:rPr>
      </w:pPr>
      <w:r>
        <w:rPr>
          <w:noProof/>
        </w:rPr>
        <w:t>elaborarea și publicarea de materiale pentru diseminarea de informații, precum și pentru diseminarea rezultatelor programului: dezvoltarea, utilizarea și întreținerea de sisteme și instrumente bazate pe tehnologiile informației și comunicațiilor;</w:t>
      </w:r>
    </w:p>
    <w:p>
      <w:pPr>
        <w:pStyle w:val="Point0letter"/>
        <w:rPr>
          <w:noProof/>
        </w:rPr>
      </w:pPr>
      <w:r>
        <w:rPr>
          <w:noProof/>
        </w:rPr>
        <w:t>orice altă activitate ce sprijină obiectivele generale și specifice prevăzute la articolele 4 și 5.</w:t>
      </w:r>
    </w:p>
    <w:p>
      <w:pPr>
        <w:pStyle w:val="Titrearticle"/>
        <w:rPr>
          <w:noProof/>
        </w:rPr>
      </w:pPr>
      <w:r>
        <w:rPr>
          <w:noProof/>
        </w:rPr>
        <w:t>Articolul 7</w:t>
      </w:r>
      <w:r>
        <w:rPr>
          <w:noProof/>
        </w:rPr>
        <w:br/>
        <w:t xml:space="preserve">Cererea de sprijin </w:t>
      </w:r>
    </w:p>
    <w:p>
      <w:pPr>
        <w:pStyle w:val="ManualNumPar1"/>
        <w:rPr>
          <w:noProof/>
        </w:rPr>
      </w:pPr>
      <w:r>
        <w:rPr>
          <w:noProof/>
        </w:rPr>
        <w:t>1.</w:t>
      </w:r>
      <w:r>
        <w:rPr>
          <w:noProof/>
        </w:rPr>
        <w:tab/>
        <w:t>Statele membre care doresc să primească sprijin în cadrul programului prezintă Comisiei o cerere de sprijin în care identifică domeniile de politică și prioritățile privind sprijinul care intră în sfera de aplicare a programului, astfel cum se prevede la articolul 5 alineatul (2). Această cerere se prezintă până cel târziu la data de 31 octombrie a fiecărui an calendaristic.</w:t>
      </w:r>
    </w:p>
    <w:p>
      <w:pPr>
        <w:pStyle w:val="ManualNumPar1"/>
        <w:rPr>
          <w:noProof/>
        </w:rPr>
      </w:pPr>
      <w:r>
        <w:rPr>
          <w:noProof/>
        </w:rPr>
        <w:t>2.</w:t>
      </w:r>
      <w:r>
        <w:rPr>
          <w:noProof/>
        </w:rPr>
        <w:tab/>
        <w:t xml:space="preserve">Ținând seama de principiile transparenței, egalității de tratament și bunei gestiuni financiare, în urma unui dialog cu statul membru în cauză, inclusiv în contextul semestrului european, Comisia analizează cererea de sprijin menționată la alineatul (1) pe baza gradului de urgență, a amplorii și a profunzimii problemelor identificate, a nevoilor de sprijin în domeniile de politică respective, a analizei indicatorilor socioeconomici și a capacității administrative generale a statului membru în cauză. Ținând cont de acțiunile și măsurile existente finanțate din fonduri ale Uniunii sau în cadrul altor programe ale Uniunii, Comisia, în strânsă cooperare cu statul membru în cauză, identifică domeniile prioritare ale sprijinului, sfera de aplicare a măsurilor de sprijin care urmează să fie furnizate și contribuția financiară globală a sprijinului respectiv. </w:t>
      </w:r>
    </w:p>
    <w:p>
      <w:pPr>
        <w:pStyle w:val="ManualNumPar1"/>
        <w:spacing w:after="200" w:line="276" w:lineRule="auto"/>
        <w:rPr>
          <w:noProof/>
        </w:rPr>
      </w:pPr>
      <w:r>
        <w:rPr>
          <w:noProof/>
        </w:rPr>
        <w:t>3.</w:t>
      </w:r>
      <w:r>
        <w:rPr>
          <w:noProof/>
        </w:rPr>
        <w:tab/>
        <w:t>Cererea de sprijin poate viza următoarele elemente:</w:t>
      </w:r>
    </w:p>
    <w:p>
      <w:pPr>
        <w:pStyle w:val="Point1letter"/>
        <w:rPr>
          <w:noProof/>
        </w:rPr>
      </w:pPr>
      <w:r>
        <w:rPr>
          <w:noProof/>
        </w:rPr>
        <w:t>punerea în aplicare a unor reforme în contextul proceselor de guvernanță economică, în special al recomandărilor specifice fiecărei țări relevante emise în contextul semestrului european sau al acțiunilor relevante legate de punerea în aplicare a dreptului Uniunii;</w:t>
      </w:r>
    </w:p>
    <w:p>
      <w:pPr>
        <w:pStyle w:val="Point1letter"/>
        <w:rPr>
          <w:noProof/>
        </w:rPr>
      </w:pPr>
      <w:r>
        <w:rPr>
          <w:noProof/>
        </w:rPr>
        <w:t>punerea în aplicare a programelor de ajustare economică, în cazul statelor membre care primesc asistență financiară din partea Uniunii în temeiul instrumentelor existente, în special în conformitate cu Regulamentul (UE) nr. 472/2013 al Parlamentului European și al Consiliului</w:t>
      </w:r>
      <w:r>
        <w:rPr>
          <w:rStyle w:val="FootnoteReference"/>
          <w:noProof/>
        </w:rPr>
        <w:footnoteReference w:id="24"/>
      </w:r>
      <w:r>
        <w:rPr>
          <w:noProof/>
        </w:rPr>
        <w:t xml:space="preserve"> în ceea ce privește statele membre din zona euro și cu Regulamentul (CE) nr. 332/2002 al Consiliului</w:t>
      </w:r>
      <w:r>
        <w:rPr>
          <w:rStyle w:val="FootnoteReference"/>
          <w:noProof/>
        </w:rPr>
        <w:footnoteReference w:id="25"/>
      </w:r>
      <w:r>
        <w:rPr>
          <w:noProof/>
        </w:rPr>
        <w:t xml:space="preserve"> în ceea ce privește statele membre din afara zonei euro;</w:t>
      </w:r>
    </w:p>
    <w:p>
      <w:pPr>
        <w:pStyle w:val="Point1letter"/>
        <w:rPr>
          <w:noProof/>
        </w:rPr>
      </w:pPr>
      <w:r>
        <w:rPr>
          <w:noProof/>
        </w:rPr>
        <w:t xml:space="preserve">punerea în aplicare de reforme întreprinse de către statele membre din proprie inițiativă, în special pentru investiții durabile, creștere economică și crearea de locuri de muncă. </w:t>
      </w:r>
    </w:p>
    <w:p>
      <w:pPr>
        <w:pStyle w:val="Titrearticle"/>
        <w:rPr>
          <w:noProof/>
        </w:rPr>
      </w:pPr>
      <w:r>
        <w:rPr>
          <w:noProof/>
        </w:rPr>
        <w:t>Articolul 8</w:t>
      </w:r>
      <w:r>
        <w:rPr>
          <w:noProof/>
        </w:rPr>
        <w:br/>
        <w:t xml:space="preserve">Organizarea sprijinului </w:t>
      </w:r>
    </w:p>
    <w:p>
      <w:pPr>
        <w:pStyle w:val="ManualNumPar1"/>
        <w:rPr>
          <w:noProof/>
        </w:rPr>
      </w:pPr>
      <w:r>
        <w:rPr>
          <w:noProof/>
        </w:rPr>
        <w:t>1.</w:t>
      </w:r>
      <w:r>
        <w:rPr>
          <w:noProof/>
        </w:rPr>
        <w:tab/>
        <w:t xml:space="preserve">Comisia poate defini sprijinul preconizat pentru statele membre beneficiare în cooperare cu alte state membre sau cu organizații internaționale. </w:t>
      </w:r>
    </w:p>
    <w:p>
      <w:pPr>
        <w:pStyle w:val="ManualNumPar1"/>
        <w:rPr>
          <w:noProof/>
        </w:rPr>
      </w:pPr>
      <w:r>
        <w:rPr>
          <w:noProof/>
        </w:rPr>
        <w:t>2.</w:t>
      </w:r>
      <w:r>
        <w:rPr>
          <w:noProof/>
        </w:rPr>
        <w:tab/>
        <w:t>Statul membru beneficiar, în coordonare cu Comisia, poate intra în parteneriat cu unul sau mai multe alte state membre, care acționează în calitate de parteneri de reformă în ceea ce privește domenii specifice ale reformei. Un partener de reformă, în coordonare cu Comisia, contribuie la formularea strategiei, la reformarea foilor de parcurs, la conceperea asistenței de înaltă calitate și la supravegherea punerii în aplicare a strategiei și a proiectelor.</w:t>
      </w:r>
    </w:p>
    <w:p>
      <w:pPr>
        <w:pStyle w:val="Titrearticle"/>
        <w:rPr>
          <w:noProof/>
        </w:rPr>
      </w:pPr>
      <w:r>
        <w:rPr>
          <w:noProof/>
        </w:rPr>
        <w:t>Articolul 9</w:t>
      </w:r>
      <w:r>
        <w:rPr>
          <w:noProof/>
        </w:rPr>
        <w:br/>
        <w:t>Pachetul financiar</w:t>
      </w:r>
    </w:p>
    <w:p>
      <w:pPr>
        <w:pStyle w:val="ManualNumPar1"/>
        <w:rPr>
          <w:noProof/>
        </w:rPr>
      </w:pPr>
      <w:r>
        <w:rPr>
          <w:noProof/>
        </w:rPr>
        <w:t>1.</w:t>
      </w:r>
      <w:r>
        <w:rPr>
          <w:noProof/>
        </w:rPr>
        <w:tab/>
        <w:t>Pachetul financiar pentru punerea în aplicare a programului este de până la 142 800 000 EUR.</w:t>
      </w:r>
    </w:p>
    <w:p>
      <w:pPr>
        <w:pStyle w:val="ManualNumPar1"/>
        <w:rPr>
          <w:noProof/>
        </w:rPr>
      </w:pPr>
      <w:r>
        <w:rPr>
          <w:noProof/>
        </w:rPr>
        <w:t>2.</w:t>
      </w:r>
      <w:r>
        <w:rPr>
          <w:noProof/>
        </w:rPr>
        <w:tab/>
        <w:t xml:space="preserve">Alocația financiară pentru program poate acoperi, de asemenea, cheltuielile legate de activitățile de pregătire, monitorizare, control, audit și evaluare care sunt necesare pentru gestionarea programului și îndeplinirea obiectivelor acestuia, în special cele legate de studii, reuniunile experților, acțiunile de informare și comunicare, inclusiv comunicarea instituțională a priorităților politice ale Uniunii, în măsura în care acestea sunt legate de obiectivele generale ale prezentului regulament, cheltuielile legate de rețelele informatice care se concentrează pe prelucrarea și schimbul de informații, împreună cu toate celelalte cheltuieli de asistență tehnică și administrativă suportate de Comisie pentru gestionarea programului. </w:t>
      </w:r>
    </w:p>
    <w:p>
      <w:pPr>
        <w:pStyle w:val="ManualNumPar1"/>
        <w:rPr>
          <w:noProof/>
        </w:rPr>
      </w:pPr>
      <w:r>
        <w:rPr>
          <w:noProof/>
        </w:rPr>
        <w:t>3.</w:t>
      </w:r>
      <w:r>
        <w:rPr>
          <w:noProof/>
        </w:rPr>
        <w:tab/>
        <w:t>Autoritatea bugetară autorizează creditele anuale disponibile în limitele cadrului financiar multianual instituit prin Regulamentul (UE, Euratom) nr. 1311/2013.</w:t>
      </w:r>
    </w:p>
    <w:p>
      <w:pPr>
        <w:pStyle w:val="Titrearticle"/>
        <w:rPr>
          <w:noProof/>
        </w:rPr>
      </w:pPr>
      <w:r>
        <w:rPr>
          <w:noProof/>
        </w:rPr>
        <w:t>Articolul 10</w:t>
      </w:r>
      <w:r>
        <w:rPr>
          <w:noProof/>
        </w:rPr>
        <w:br/>
        <w:t>Alte contribuții financiare la bugetul programului</w:t>
      </w:r>
    </w:p>
    <w:p>
      <w:pPr>
        <w:pStyle w:val="ManualNumPar1"/>
        <w:rPr>
          <w:noProof/>
        </w:rPr>
      </w:pPr>
      <w:r>
        <w:rPr>
          <w:noProof/>
        </w:rPr>
        <w:t>1.</w:t>
      </w:r>
      <w:r>
        <w:rPr>
          <w:noProof/>
        </w:rPr>
        <w:tab/>
        <w:t>Pe lângă pachetul financiar prevăzut la articolul 9, programul poate fi finanțat prin contribuții suplimentare din partea statelor membre.</w:t>
      </w:r>
    </w:p>
    <w:p>
      <w:pPr>
        <w:pStyle w:val="ManualNumPar1"/>
        <w:ind w:left="855" w:hanging="855"/>
        <w:rPr>
          <w:noProof/>
        </w:rPr>
      </w:pPr>
      <w:r>
        <w:rPr>
          <w:noProof/>
        </w:rPr>
        <w:t>2.</w:t>
      </w:r>
      <w:r>
        <w:rPr>
          <w:noProof/>
        </w:rPr>
        <w:tab/>
        <w:t xml:space="preserve">Contribuțiile suplimentare menționate la alineatul (1) pot consta în contribuții din resursele puse la dispoziție pentru asistență tehnică la inițiativa statelor membre în temeiul articolului 59 din Regulamentul (UE) nr. 1303/2013 și transferate în temeiul articolului 25 din regulamentul menționat. </w:t>
      </w:r>
    </w:p>
    <w:p>
      <w:pPr>
        <w:pStyle w:val="ManualNumPar1"/>
        <w:rPr>
          <w:noProof/>
        </w:rPr>
      </w:pPr>
      <w:r>
        <w:rPr>
          <w:noProof/>
        </w:rPr>
        <w:t>3.</w:t>
      </w:r>
      <w:r>
        <w:rPr>
          <w:noProof/>
        </w:rPr>
        <w:tab/>
        <w:t>Aceste contribuții suplimentare la care se face referire la alineatul (1) sunt utilizate pentru sprijinirea acțiunilor care contribuie la realizarea strategiei Uniunii pentru o creștere inteligentă, durabilă și favorabilă incluziunii. O contribuție efectuată de un stat membru beneficiar în conformitate cu alineatul (2) se utilizează exclusiv în statul membru respectiv.</w:t>
      </w:r>
    </w:p>
    <w:p>
      <w:pPr>
        <w:pStyle w:val="Titrearticle"/>
        <w:rPr>
          <w:noProof/>
        </w:rPr>
      </w:pPr>
      <w:r>
        <w:rPr>
          <w:noProof/>
        </w:rPr>
        <w:t>Articolul 11</w:t>
      </w:r>
      <w:r>
        <w:rPr>
          <w:noProof/>
        </w:rPr>
        <w:br/>
        <w:t>Excluderea dublei finanțări</w:t>
      </w:r>
    </w:p>
    <w:p>
      <w:pPr>
        <w:rPr>
          <w:noProof/>
        </w:rPr>
      </w:pPr>
      <w:r>
        <w:rPr>
          <w:noProof/>
        </w:rPr>
        <w:t>Acțiunile finanțate în temeiul prezentului regulament pot beneficia de sprijin din alte programe, instrumente sau fonduri ale Uniunii în cadrul bugetului Uniunii, cu condiția ca sprijinul să nu acopere aceleași costuri.</w:t>
      </w:r>
    </w:p>
    <w:p>
      <w:pPr>
        <w:pStyle w:val="Titrearticle"/>
        <w:rPr>
          <w:noProof/>
        </w:rPr>
      </w:pPr>
      <w:r>
        <w:rPr>
          <w:noProof/>
        </w:rPr>
        <w:t>Articolul 12</w:t>
      </w:r>
      <w:r>
        <w:rPr>
          <w:noProof/>
        </w:rPr>
        <w:br/>
        <w:t>Punerea în aplicare a programului</w:t>
      </w:r>
    </w:p>
    <w:p>
      <w:pPr>
        <w:pStyle w:val="ManualNumPar1"/>
        <w:rPr>
          <w:noProof/>
        </w:rPr>
      </w:pPr>
      <w:r>
        <w:rPr>
          <w:noProof/>
        </w:rPr>
        <w:t>1.</w:t>
      </w:r>
      <w:r>
        <w:rPr>
          <w:noProof/>
        </w:rPr>
        <w:tab/>
        <w:t xml:space="preserve">Comisia pune în aplicare programul în conformitate cu Regulamentul (UE, Euratom) nr. 966/2012. </w:t>
      </w:r>
    </w:p>
    <w:p>
      <w:pPr>
        <w:pStyle w:val="ManualNumPar1"/>
        <w:rPr>
          <w:noProof/>
        </w:rPr>
      </w:pPr>
      <w:r>
        <w:rPr>
          <w:noProof/>
        </w:rPr>
        <w:t>2.</w:t>
      </w:r>
      <w:r>
        <w:rPr>
          <w:noProof/>
        </w:rPr>
        <w:tab/>
        <w:t>Măsurile din cadrul programului pot fi puse în aplicare fie direct de către Comisie, fie indirect, de către alte entități și persoane decât statele membre, în conformitate cu articolul 60 din Regulamentul (UE, Euratom) nr. 966/2012. În special, sprijinul financiar oferit de Uniune pentru acțiunile prevăzute la articolul 6 din prezentul regulament se acordă sub formă de:</w:t>
      </w:r>
    </w:p>
    <w:p>
      <w:pPr>
        <w:pStyle w:val="Point1letter"/>
        <w:numPr>
          <w:ilvl w:val="3"/>
          <w:numId w:val="31"/>
        </w:numPr>
        <w:rPr>
          <w:noProof/>
        </w:rPr>
      </w:pPr>
      <w:r>
        <w:rPr>
          <w:noProof/>
        </w:rPr>
        <w:t>granturi (inclusiv granturi pentru autoritățile naționale ale statelor membre);</w:t>
      </w:r>
    </w:p>
    <w:p>
      <w:pPr>
        <w:pStyle w:val="Point1letter"/>
        <w:numPr>
          <w:ilvl w:val="3"/>
          <w:numId w:val="31"/>
        </w:numPr>
        <w:rPr>
          <w:noProof/>
        </w:rPr>
      </w:pPr>
      <w:r>
        <w:rPr>
          <w:noProof/>
        </w:rPr>
        <w:t>contracte de achiziții publice;</w:t>
      </w:r>
    </w:p>
    <w:p>
      <w:pPr>
        <w:pStyle w:val="Point1letter"/>
        <w:numPr>
          <w:ilvl w:val="3"/>
          <w:numId w:val="31"/>
        </w:numPr>
        <w:rPr>
          <w:noProof/>
        </w:rPr>
      </w:pPr>
      <w:r>
        <w:rPr>
          <w:noProof/>
        </w:rPr>
        <w:t>rambursarea cheltuielilor suportate de experții externi;</w:t>
      </w:r>
    </w:p>
    <w:p>
      <w:pPr>
        <w:pStyle w:val="Point1letter"/>
        <w:numPr>
          <w:ilvl w:val="3"/>
          <w:numId w:val="31"/>
        </w:numPr>
        <w:rPr>
          <w:noProof/>
        </w:rPr>
      </w:pPr>
      <w:r>
        <w:rPr>
          <w:noProof/>
        </w:rPr>
        <w:t>contribuții la fondurile fiduciare;</w:t>
      </w:r>
    </w:p>
    <w:p>
      <w:pPr>
        <w:pStyle w:val="Point1letter"/>
        <w:numPr>
          <w:ilvl w:val="3"/>
          <w:numId w:val="31"/>
        </w:numPr>
        <w:rPr>
          <w:noProof/>
        </w:rPr>
      </w:pPr>
      <w:r>
        <w:rPr>
          <w:noProof/>
        </w:rPr>
        <w:t>acțiuni desfășurate în cadrul gestiunii indirecte.</w:t>
      </w:r>
    </w:p>
    <w:p>
      <w:pPr>
        <w:pStyle w:val="ManualNumPar1"/>
        <w:rPr>
          <w:noProof/>
        </w:rPr>
      </w:pPr>
      <w:r>
        <w:rPr>
          <w:noProof/>
        </w:rPr>
        <w:t>3.</w:t>
      </w:r>
      <w:r>
        <w:rPr>
          <w:noProof/>
        </w:rPr>
        <w:tab/>
        <w:t>Se pot acorda granturi autorităților naționale ale statelor membre, Grupului Băncii Europene de Investiții (BEI), organizațiilor internaționale, organismelor publice și/sau private și entităților stabilite legal în:</w:t>
      </w:r>
    </w:p>
    <w:p>
      <w:pPr>
        <w:pStyle w:val="Point1letter"/>
        <w:numPr>
          <w:ilvl w:val="3"/>
          <w:numId w:val="35"/>
        </w:numPr>
        <w:rPr>
          <w:noProof/>
        </w:rPr>
      </w:pPr>
      <w:r>
        <w:rPr>
          <w:noProof/>
        </w:rPr>
        <w:t>state membre;</w:t>
      </w:r>
    </w:p>
    <w:p>
      <w:pPr>
        <w:pStyle w:val="Point1letter"/>
        <w:numPr>
          <w:ilvl w:val="3"/>
          <w:numId w:val="31"/>
        </w:numPr>
        <w:rPr>
          <w:noProof/>
        </w:rPr>
      </w:pPr>
      <w:r>
        <w:rPr>
          <w:noProof/>
        </w:rPr>
        <w:t>țări membre ale Asociației Europene a Liberului Schimb care fac parte din Spațiul Economic European (SEE), în conformitate cu condițiile stabilite în Acordul privind SEE.</w:t>
      </w:r>
    </w:p>
    <w:p>
      <w:pPr>
        <w:pStyle w:val="ManualNumPar1"/>
        <w:ind w:firstLine="0"/>
        <w:rPr>
          <w:noProof/>
        </w:rPr>
      </w:pPr>
      <w:r>
        <w:rPr>
          <w:noProof/>
        </w:rPr>
        <w:t>Rata de cofinanțare pentru granturi este de până la 100 % din costurile eligibile, fără a se aduce atingere principiilor cofinanțării și neobținerii de profit.</w:t>
      </w:r>
    </w:p>
    <w:p>
      <w:pPr>
        <w:pStyle w:val="ManualNumPar1"/>
        <w:rPr>
          <w:noProof/>
        </w:rPr>
      </w:pPr>
      <w:r>
        <w:rPr>
          <w:noProof/>
        </w:rPr>
        <w:t>4.</w:t>
      </w:r>
      <w:r>
        <w:rPr>
          <w:noProof/>
        </w:rPr>
        <w:tab/>
        <w:t>Sprijinul poate fi acordat, de asemenea, de experți individuali care pot fi invitați să participe la anumite activități organizate în cadrul programului ori de câte ori acest lucru este necesar pentru atingerea obiectivelor specifice prevăzute la articolul 5.</w:t>
      </w:r>
    </w:p>
    <w:p>
      <w:pPr>
        <w:pStyle w:val="ManualNumPar1"/>
        <w:rPr>
          <w:noProof/>
        </w:rPr>
      </w:pPr>
      <w:r>
        <w:rPr>
          <w:noProof/>
        </w:rPr>
        <w:t>5.</w:t>
      </w:r>
      <w:r>
        <w:rPr>
          <w:noProof/>
        </w:rPr>
        <w:tab/>
        <w:t xml:space="preserve">În vederea punerii în aplicare a programului, Comisia adoptă, prin intermediul actelor de punere în aplicare, programe de lucru multianuale. Programele de lucru multianuale stabilesc obiectivele de politică urmărite prin sprijinul preconizat și rezultatele așteptate, precum și prioritățile de finanțare în domeniile de politică relevante. Programele de lucru multianuale sunt detaliate suplimentar în programe de lucru anuale, adoptate prin intermediul unor acte de punere în aplicare, care identifică măsurile necesare pentru punerea lor în aplicare, precum și toate elementele prevăzute în Regulamentul (UE, Euratom) nr. 966/2012. </w:t>
      </w:r>
    </w:p>
    <w:p>
      <w:pPr>
        <w:pStyle w:val="ManualNumPar1"/>
        <w:rPr>
          <w:noProof/>
        </w:rPr>
      </w:pPr>
      <w:r>
        <w:rPr>
          <w:noProof/>
        </w:rPr>
        <w:t>6.</w:t>
      </w:r>
      <w:r>
        <w:rPr>
          <w:noProof/>
        </w:rPr>
        <w:tab/>
        <w:t xml:space="preserve">Pentru a asigura disponibilitatea în timp util a resurselor, în programul de lucru anual se poate indica faptul că, dacă apar motive neprevăzute și justificate în mod corespunzător care au un caracter urgent și necesită un răspuns imediat, cum ar fi o perturbare gravă a economiei sau circumstanțe importante care afectează grav condițiile economice sau sociale dintr-un stat membru și care depășesc posibilitatea statului membru de a controla situația, Comisia poate adopta, la cererea unui stat membru, măsuri speciale în conformitate cu obiectivele și acțiunile definite în prezentul regulament pentru a sprijini autoritățile naționale în vederea soluționării problemelor urgente. Aceste măsuri speciale pot reprezenta doar o parte limitată din programul anual de lucru și nu fac obiectul condițiilor prevăzute la articolul 7. </w:t>
      </w:r>
    </w:p>
    <w:p>
      <w:pPr>
        <w:pStyle w:val="Titrearticle"/>
        <w:rPr>
          <w:noProof/>
        </w:rPr>
      </w:pPr>
      <w:r>
        <w:rPr>
          <w:noProof/>
        </w:rPr>
        <w:t>Articolul 13</w:t>
      </w:r>
      <w:r>
        <w:rPr>
          <w:noProof/>
        </w:rPr>
        <w:br/>
        <w:t>Coordonare și complementaritate</w:t>
      </w:r>
    </w:p>
    <w:p>
      <w:pPr>
        <w:pStyle w:val="ManualNumPar1"/>
        <w:ind w:left="0" w:firstLine="0"/>
        <w:rPr>
          <w:noProof/>
        </w:rPr>
      </w:pPr>
      <w:r>
        <w:rPr>
          <w:noProof/>
        </w:rPr>
        <w:t xml:space="preserve">Comisia și statele membre beneficiare, în limitele responsabilităților lor, încurajează sinergiile și asigură o coordonare eficace între acest program și alte programe și instrumente ale Uniunii, în special cu măsurile finanțate din fondurile Uniunii. În acest scop, acestea: </w:t>
      </w:r>
    </w:p>
    <w:p>
      <w:pPr>
        <w:pStyle w:val="Point0"/>
        <w:rPr>
          <w:noProof/>
        </w:rPr>
      </w:pPr>
      <w:r>
        <w:rPr>
          <w:noProof/>
        </w:rPr>
        <w:t>(a)</w:t>
      </w:r>
      <w:r>
        <w:rPr>
          <w:noProof/>
        </w:rPr>
        <w:tab/>
        <w:t>asigură complementaritatea și sinergia dintre diferitele instrumente de la nivelul Uniunii și de la nivel național, în special în ceea ce privește măsurile finanțate din fondurile Uniunii, atât în faza de planificare, cât și în timpul punerii în aplicare;</w:t>
      </w:r>
    </w:p>
    <w:p>
      <w:pPr>
        <w:pStyle w:val="Point0"/>
        <w:rPr>
          <w:noProof/>
        </w:rPr>
      </w:pPr>
      <w:r>
        <w:rPr>
          <w:noProof/>
        </w:rPr>
        <w:t>(b)</w:t>
      </w:r>
      <w:r>
        <w:rPr>
          <w:noProof/>
        </w:rPr>
        <w:tab/>
        <w:t>optimizează mecanismele de coordonare pentru a se evita dublarea eforturilor;</w:t>
      </w:r>
    </w:p>
    <w:p>
      <w:pPr>
        <w:pStyle w:val="Point0"/>
        <w:rPr>
          <w:noProof/>
        </w:rPr>
      </w:pPr>
      <w:r>
        <w:rPr>
          <w:noProof/>
        </w:rPr>
        <w:t>(c)</w:t>
      </w:r>
      <w:r>
        <w:rPr>
          <w:noProof/>
        </w:rPr>
        <w:tab/>
        <w:t>asigură o cooperare strânsă între autoritățile responsabile de implementare la nivelul Uniunii și cele de la nivel național pentru a întreprinde acțiuni de sprijin coerente și raționalizate.</w:t>
      </w:r>
    </w:p>
    <w:p>
      <w:pPr>
        <w:pStyle w:val="ManualNumPar1"/>
        <w:ind w:left="0" w:firstLine="0"/>
        <w:rPr>
          <w:noProof/>
        </w:rPr>
      </w:pPr>
      <w:r>
        <w:rPr>
          <w:noProof/>
        </w:rPr>
        <w:t>Programele de lucru anuale multianuale și anuale relevante pot servi drept cadru de coordonare atunci când se are în vedere acordarea de sprijin în oricare dintre domeniile menționate la articolul 5 alineatul (2).</w:t>
      </w:r>
    </w:p>
    <w:p>
      <w:pPr>
        <w:pStyle w:val="Titrearticle"/>
        <w:spacing w:before="240"/>
        <w:rPr>
          <w:noProof/>
        </w:rPr>
      </w:pPr>
      <w:r>
        <w:rPr>
          <w:noProof/>
        </w:rPr>
        <w:t>Articolul 14</w:t>
      </w:r>
      <w:r>
        <w:rPr>
          <w:noProof/>
        </w:rPr>
        <w:br/>
        <w:t xml:space="preserve">Protecția intereselor financiare ale Uniunii </w:t>
      </w:r>
    </w:p>
    <w:p>
      <w:pPr>
        <w:pStyle w:val="ManualNumPar1"/>
        <w:rPr>
          <w:noProof/>
        </w:rPr>
      </w:pPr>
      <w:r>
        <w:rPr>
          <w:noProof/>
        </w:rPr>
        <w:t>1.</w:t>
      </w:r>
      <w:r>
        <w:rPr>
          <w:noProof/>
        </w:rPr>
        <w:tab/>
        <w:t>La punerea în aplicare a acțiunilor finanțate în temeiul prezentului regulament, Comisia ia măsurile corespunzătoare pentru a se asigura protejarea intereselor financiare ale Uniunii prin aplicarea de măsuri preventive împotriva fraudei, corupției și a oricăror alte activități ilegale, prin controale eficace, și, în cazul în care se constată nereguli, prin recuperarea sumelor plătite în mod necuvenit, precum și prin sancțiuni eficace, proporționale și disuasive, dacă este necesar.</w:t>
      </w:r>
    </w:p>
    <w:p>
      <w:pPr>
        <w:pStyle w:val="ManualNumPar1"/>
        <w:rPr>
          <w:noProof/>
        </w:rPr>
      </w:pPr>
      <w:r>
        <w:rPr>
          <w:noProof/>
        </w:rPr>
        <w:t>2.</w:t>
      </w:r>
      <w:r>
        <w:rPr>
          <w:noProof/>
        </w:rPr>
        <w:tab/>
        <w:t xml:space="preserve">Comisia sau reprezentanții săi și Curtea de Conturi au competența de a efectua audituri, pe bază de documente și la fața locului, în cazul tuturor beneficiarilor, contractanților și subcontractanților care au primit finanțare din partea Uniunii în cadrul programului. </w:t>
      </w:r>
    </w:p>
    <w:p>
      <w:pPr>
        <w:pStyle w:val="Text1"/>
        <w:rPr>
          <w:noProof/>
        </w:rPr>
      </w:pPr>
      <w:r>
        <w:rPr>
          <w:noProof/>
        </w:rPr>
        <w:t>Oficiul European de Luptă Antifraudă (OLAF) poate efectua controale și inspecții la fața locului la operatorii economici care beneficiază direct sau indirect de o astfel de finanțare, în conformitate cu procedurile prevăzute în Regulamentul (Euratom, CE) nr. 2185/96 al Consiliului</w:t>
      </w:r>
      <w:r>
        <w:rPr>
          <w:rStyle w:val="FootnoteReference"/>
          <w:noProof/>
        </w:rPr>
        <w:footnoteReference w:id="26"/>
      </w:r>
      <w:r>
        <w:rPr>
          <w:noProof/>
        </w:rPr>
        <w:t>, pentru a stabili dacă, în legătură cu un acord de grant, cu o decizie de acordare a unui grant sau cu un contract privind acordarea de finanțare din partea Uniunii, au existat acte de fraudă ori de corupție sau orice altă activitate ilegală care afectează interesele financiare ale Uniunii.</w:t>
      </w:r>
    </w:p>
    <w:p>
      <w:pPr>
        <w:pStyle w:val="Text1"/>
        <w:rPr>
          <w:noProof/>
        </w:rPr>
      </w:pPr>
      <w:r>
        <w:rPr>
          <w:noProof/>
        </w:rPr>
        <w:t>Fără a aduce atingere primelor două paragrafe, acordurile de cooperare cu organizații internaționale, acordurile și deciziile de acordare a granturilor și contractele rezultate din punerea în aplicare a prezentului regulament împuternicesc în mod expres Comisia, Curtea de Conturi și OLAF să efectueze astfel de audituri, controale și inspecții la fața locului.</w:t>
      </w:r>
    </w:p>
    <w:p>
      <w:pPr>
        <w:pStyle w:val="Titrearticle"/>
        <w:spacing w:before="240"/>
        <w:rPr>
          <w:noProof/>
        </w:rPr>
      </w:pPr>
      <w:r>
        <w:rPr>
          <w:noProof/>
        </w:rPr>
        <w:t>Articolul 15</w:t>
      </w:r>
      <w:r>
        <w:rPr>
          <w:noProof/>
        </w:rPr>
        <w:br/>
        <w:t>Monitorizare și evaluare</w:t>
      </w:r>
    </w:p>
    <w:p>
      <w:pPr>
        <w:pStyle w:val="ManualNumPar1"/>
        <w:rPr>
          <w:noProof/>
        </w:rPr>
      </w:pPr>
      <w:r>
        <w:rPr>
          <w:noProof/>
        </w:rPr>
        <w:t>1.</w:t>
      </w:r>
      <w:r>
        <w:rPr>
          <w:noProof/>
        </w:rPr>
        <w:tab/>
        <w:t>Comisia monitorizează implementarea acțiunilor finanțate prin program și măsoară gradul de realizare a obiectivelor specifice menționate la articolul 5 alineatul (1), în conformitate cu indicatorii prevăzuți în anexă.</w:t>
      </w:r>
    </w:p>
    <w:p>
      <w:pPr>
        <w:pStyle w:val="Point1"/>
        <w:ind w:left="850" w:firstLine="0"/>
        <w:rPr>
          <w:noProof/>
        </w:rPr>
      </w:pPr>
      <w:r>
        <w:rPr>
          <w:noProof/>
        </w:rPr>
        <w:t>Comisia este împuternicită să adopte acte delegate în conformitate cu articolul 16 cu privire la modificări aduse listei de indicatori prevăzute în anexă.</w:t>
      </w:r>
    </w:p>
    <w:p>
      <w:pPr>
        <w:pStyle w:val="ManualNumPar1"/>
        <w:rPr>
          <w:noProof/>
        </w:rPr>
      </w:pPr>
      <w:r>
        <w:rPr>
          <w:noProof/>
        </w:rPr>
        <w:t>2.</w:t>
      </w:r>
      <w:r>
        <w:rPr>
          <w:noProof/>
        </w:rPr>
        <w:tab/>
        <w:t xml:space="preserve">Până cel târziu la jumătatea anului 2019, Comisia prezintă Parlamentului European și Consiliului un raport de evaluare intermediară, iar până la sfârșitul lunii decembrie 2021, un raport de evaluare </w:t>
      </w:r>
      <w:r>
        <w:rPr>
          <w:i/>
          <w:noProof/>
        </w:rPr>
        <w:t>ex post</w:t>
      </w:r>
      <w:r>
        <w:rPr>
          <w:noProof/>
        </w:rPr>
        <w:t xml:space="preserve">. </w:t>
      </w:r>
    </w:p>
    <w:p>
      <w:pPr>
        <w:pStyle w:val="ManualNumPar1"/>
        <w:rPr>
          <w:noProof/>
        </w:rPr>
      </w:pPr>
      <w:r>
        <w:rPr>
          <w:noProof/>
        </w:rPr>
        <w:t>3.</w:t>
      </w:r>
      <w:r>
        <w:rPr>
          <w:noProof/>
        </w:rPr>
        <w:tab/>
        <w:t xml:space="preserve">Raportul de evaluare intermediar cuprinde informații privind îndeplinirea obiectivelor prevăzute în program, eficiența folosirii resurselor și valoarea adăugată europeană a programului, precum și o analiză a necesității adaptării sau prelungirii după 2020 a finanțării în domeniile care fac obiectul programului. De asemenea, raportul evaluează dacă toate obiectivele și acțiunile sunt în continuare relevante. Raportul de evaluare </w:t>
      </w:r>
      <w:r>
        <w:rPr>
          <w:i/>
          <w:noProof/>
        </w:rPr>
        <w:t>ex post</w:t>
      </w:r>
      <w:r>
        <w:rPr>
          <w:noProof/>
        </w:rPr>
        <w:t xml:space="preserve"> include informații privind impactul pe termen mai lung al programului. </w:t>
      </w:r>
    </w:p>
    <w:p>
      <w:pPr>
        <w:pStyle w:val="Titrearticle"/>
        <w:spacing w:before="240"/>
        <w:rPr>
          <w:noProof/>
        </w:rPr>
      </w:pPr>
      <w:r>
        <w:rPr>
          <w:noProof/>
        </w:rPr>
        <w:t>Articolul 16</w:t>
      </w:r>
      <w:r>
        <w:rPr>
          <w:noProof/>
        </w:rPr>
        <w:br/>
        <w:t xml:space="preserve">Exercitarea delegării de competențe </w:t>
      </w:r>
    </w:p>
    <w:p>
      <w:pPr>
        <w:pStyle w:val="ManualNumPar1"/>
        <w:spacing w:before="60" w:after="60"/>
        <w:rPr>
          <w:noProof/>
        </w:rPr>
      </w:pPr>
      <w:r>
        <w:rPr>
          <w:noProof/>
        </w:rPr>
        <w:t xml:space="preserve">1. </w:t>
      </w:r>
      <w:r>
        <w:rPr>
          <w:noProof/>
        </w:rPr>
        <w:tab/>
        <w:t xml:space="preserve">Se conferă Comisiei competența de a adopta acte delegate sub rezerva condițiilor prevăzute la prezentul articol. </w:t>
      </w:r>
    </w:p>
    <w:p>
      <w:pPr>
        <w:pStyle w:val="ManualNumPar1"/>
        <w:spacing w:before="60" w:after="60"/>
        <w:rPr>
          <w:noProof/>
        </w:rPr>
      </w:pPr>
      <w:r>
        <w:rPr>
          <w:noProof/>
        </w:rPr>
        <w:t>2.</w:t>
      </w:r>
      <w:r>
        <w:rPr>
          <w:noProof/>
        </w:rPr>
        <w:tab/>
        <w:t xml:space="preserve">Competența de a adopta acte delegate menționată la articolul 15 alineatul (1) al doilea paragraf se conferă Comisiei pe o perioadă de patru ani de la 1 ianuarie 2017. </w:t>
      </w:r>
    </w:p>
    <w:p>
      <w:pPr>
        <w:pStyle w:val="ManualNumPar1"/>
        <w:spacing w:before="60" w:after="60"/>
        <w:rPr>
          <w:noProof/>
        </w:rPr>
      </w:pPr>
      <w:r>
        <w:rPr>
          <w:noProof/>
        </w:rPr>
        <w:t xml:space="preserve">3. </w:t>
      </w:r>
      <w:r>
        <w:rPr>
          <w:noProof/>
        </w:rPr>
        <w:tab/>
        <w:t xml:space="preserve">Delegarea de competențe menționată la articolul 15 alineatul (1) al doilea paragraf poate fi revocată în orice moment de Parlamentul European sau de Consiliu. O decizie de revocare pune capăt delegării de competențe specificate în decizia respectivă. Decizia produce efecte din ziua următoare datei publicării sale în </w:t>
      </w:r>
      <w:r>
        <w:rPr>
          <w:i/>
          <w:noProof/>
        </w:rPr>
        <w:t>Jurnalul Oficial al Uniunii Europene</w:t>
      </w:r>
      <w:r>
        <w:rPr>
          <w:noProof/>
        </w:rPr>
        <w:t xml:space="preserve"> sau de la o dată ulterioară menționată în decizie. Aceasta nu aduce atingere valabilității actelor delegate care sunt deja în vigoare. </w:t>
      </w:r>
    </w:p>
    <w:p>
      <w:pPr>
        <w:pStyle w:val="ManualNumPar1"/>
        <w:spacing w:before="60" w:after="60"/>
        <w:rPr>
          <w:noProof/>
        </w:rPr>
      </w:pPr>
      <w:r>
        <w:rPr>
          <w:noProof/>
        </w:rPr>
        <w:t xml:space="preserve">4. </w:t>
      </w:r>
      <w:r>
        <w:rPr>
          <w:noProof/>
        </w:rPr>
        <w:tab/>
        <w:t xml:space="preserve">De îndată ce adoptă un act delegat, Comisia îl notifică simultan Parlamentului European și Consiliului. </w:t>
      </w:r>
    </w:p>
    <w:p>
      <w:pPr>
        <w:pStyle w:val="ManualNumPar1"/>
        <w:rPr>
          <w:noProof/>
        </w:rPr>
      </w:pPr>
      <w:r>
        <w:rPr>
          <w:noProof/>
        </w:rPr>
        <w:t xml:space="preserve">5. </w:t>
      </w:r>
      <w:r>
        <w:rPr>
          <w:noProof/>
        </w:rPr>
        <w:tab/>
        <w:t>Un act delegat adoptat în temeiul articolului 15 alineatul (1) al doilea paragraf intră în vigoare doar dacă Parlamentul European sau Consiliul nu a formulat nicio obiecție în termen de două luni de la notificarea actului către Parlamentul European și Consiliu sau dacă, înainte de expirarea acestui termen, atât Parlamentul European, cât și Consiliul au informat Comisia că nu au obiecții. Respectivul termen se prelungește cu două luni la inițiativa Parlamentului European sau a Consiliului.</w:t>
      </w:r>
    </w:p>
    <w:p>
      <w:pPr>
        <w:pStyle w:val="Titrearticle"/>
        <w:spacing w:before="240"/>
        <w:rPr>
          <w:noProof/>
        </w:rPr>
      </w:pPr>
      <w:r>
        <w:rPr>
          <w:noProof/>
        </w:rPr>
        <w:t>Articolul 17</w:t>
      </w:r>
      <w:r>
        <w:rPr>
          <w:noProof/>
        </w:rPr>
        <w:br/>
        <w:t>Modificări ale Regulamentului (UE) nr. 1303/2013</w:t>
      </w:r>
    </w:p>
    <w:p>
      <w:pPr>
        <w:rPr>
          <w:noProof/>
        </w:rPr>
      </w:pPr>
      <w:r>
        <w:rPr>
          <w:noProof/>
        </w:rPr>
        <w:t xml:space="preserve">Regulamentul (UE) nr. 1303/2013 se modifică după cum urmează: </w:t>
      </w:r>
    </w:p>
    <w:p>
      <w:pPr>
        <w:rPr>
          <w:noProof/>
        </w:rPr>
      </w:pPr>
      <w:r>
        <w:rPr>
          <w:noProof/>
        </w:rPr>
        <w:t>1.</w:t>
      </w:r>
      <w:r>
        <w:rPr>
          <w:noProof/>
        </w:rPr>
        <w:tab/>
        <w:t>Articolul 25 se modifică după cum urmează:</w:t>
      </w:r>
    </w:p>
    <w:p>
      <w:pPr>
        <w:ind w:firstLine="720"/>
        <w:rPr>
          <w:noProof/>
        </w:rPr>
      </w:pPr>
      <w:r>
        <w:rPr>
          <w:noProof/>
        </w:rPr>
        <w:t>(a) titlul se înlocuiește cu următorul text:</w:t>
      </w:r>
    </w:p>
    <w:p>
      <w:pPr>
        <w:ind w:firstLine="720"/>
        <w:rPr>
          <w:noProof/>
        </w:rPr>
      </w:pPr>
      <w:r>
        <w:rPr>
          <w:noProof/>
        </w:rPr>
        <w:t>„Gestionarea asistenței tehnice pentru statele membre”;</w:t>
      </w:r>
    </w:p>
    <w:p>
      <w:pPr>
        <w:ind w:firstLine="720"/>
        <w:rPr>
          <w:noProof/>
        </w:rPr>
      </w:pPr>
      <w:r>
        <w:rPr>
          <w:noProof/>
        </w:rPr>
        <w:t>(b) alineatul (1) se înlocuiește cu următorul text:</w:t>
      </w:r>
    </w:p>
    <w:p>
      <w:pPr>
        <w:pStyle w:val="ti-art"/>
        <w:ind w:left="720"/>
        <w:jc w:val="both"/>
        <w:rPr>
          <w:noProof/>
        </w:rPr>
      </w:pPr>
      <w:r>
        <w:rPr>
          <w:noProof/>
        </w:rPr>
        <w:t>„1. La solicitarea unui stat membru în temeiul articolului 10 din Regulamentul (UE) 2015/XXX al Parlamentului European și al Consiliului(*), o parte din resursele prevăzute la articolul 59 din prezentul regulament și programate în conformitate cu normele specifice fondurilor pot fi transferate, cu acordul Comisiei, către asistența tehnică acordată la inițiativa Comisiei pentru implementarea măsurilor referitoare la statul membru în cauză în conformitate cu articolul 58 alineatul (1) al treilea paragraf litera (l) din prezentul regulament prin gestiune directă sau indirectă.”</w:t>
      </w:r>
    </w:p>
    <w:p>
      <w:pPr>
        <w:pStyle w:val="ti-art"/>
        <w:ind w:left="720"/>
        <w:jc w:val="both"/>
        <w:rPr>
          <w:noProof/>
        </w:rPr>
      </w:pPr>
      <w:r>
        <w:rPr>
          <w:noProof/>
        </w:rPr>
        <w:t>(*) JO […]</w:t>
      </w:r>
    </w:p>
    <w:p>
      <w:pPr>
        <w:ind w:firstLine="720"/>
        <w:rPr>
          <w:noProof/>
        </w:rPr>
      </w:pPr>
      <w:r>
        <w:rPr>
          <w:noProof/>
        </w:rPr>
        <w:t>(c) la alineatul (3), primul paragraf se înlocuiește cu următorul text:</w:t>
      </w:r>
    </w:p>
    <w:p>
      <w:pPr>
        <w:pStyle w:val="Normal1"/>
        <w:ind w:left="720"/>
        <w:jc w:val="both"/>
        <w:rPr>
          <w:noProof/>
        </w:rPr>
      </w:pPr>
      <w:r>
        <w:rPr>
          <w:noProof/>
        </w:rPr>
        <w:t>„Un stat membru solicită transferul menționat la alineatul (1) pentru un anumit an calendaristic până la data de 31 ianuarie a anului în care urmează să se efectueze un transfer. Cererea este însoțită de o propunere de modificare a programului sau a programelor din care se va efectua transferul respectiv. Se aduc modificări corespunzătoare acordului de parteneriat, în conformitate cu articolul 30 alineatul (2), care prevăd suma totală transferată Comisiei în fiecare an.”;</w:t>
      </w:r>
    </w:p>
    <w:p>
      <w:pPr>
        <w:ind w:firstLine="720"/>
        <w:rPr>
          <w:noProof/>
        </w:rPr>
      </w:pPr>
      <w:r>
        <w:rPr>
          <w:noProof/>
        </w:rPr>
        <w:t>(d) se introduce următorul alineat (4):</w:t>
      </w:r>
    </w:p>
    <w:p>
      <w:pPr>
        <w:ind w:left="720"/>
        <w:rPr>
          <w:noProof/>
        </w:rPr>
      </w:pPr>
      <w:r>
        <w:rPr>
          <w:noProof/>
        </w:rPr>
        <w:t>„4. Resursele transferate de către un stat membru în conformitate cu alineatul (1) se supun regulii dezangajării prevăzute la articolul 136”;</w:t>
      </w:r>
    </w:p>
    <w:p>
      <w:pPr>
        <w:rPr>
          <w:noProof/>
        </w:rPr>
      </w:pPr>
      <w:r>
        <w:rPr>
          <w:noProof/>
        </w:rPr>
        <w:t>2.</w:t>
      </w:r>
      <w:r>
        <w:rPr>
          <w:noProof/>
        </w:rPr>
        <w:tab/>
        <w:t>La articolul 58 alineatul (1) al treilea paragraf, litera (l) se înlocuiește cu următorul text:</w:t>
      </w:r>
    </w:p>
    <w:p>
      <w:pPr>
        <w:pStyle w:val="Text1"/>
        <w:ind w:left="720"/>
        <w:rPr>
          <w:noProof/>
        </w:rPr>
      </w:pPr>
      <w:r>
        <w:rPr>
          <w:noProof/>
        </w:rPr>
        <w:t>„(l)</w:t>
      </w:r>
      <w:r>
        <w:rPr>
          <w:noProof/>
        </w:rPr>
        <w:tab/>
        <w:t>acțiuni finanțate în temeiul Regulamentului (UE) 2015/XXX menite să contribuie la realizarea strategiei Uniunii pentru o creștere inteligentă, durabilă și favorabilă incluziunii.”;</w:t>
      </w:r>
    </w:p>
    <w:p>
      <w:pPr>
        <w:rPr>
          <w:noProof/>
        </w:rPr>
      </w:pPr>
      <w:r>
        <w:rPr>
          <w:noProof/>
        </w:rPr>
        <w:t>3.</w:t>
      </w:r>
      <w:r>
        <w:rPr>
          <w:noProof/>
        </w:rPr>
        <w:tab/>
        <w:t>La articolul 91, alineatul (3) se înlocuiește cu următorul text:</w:t>
      </w:r>
    </w:p>
    <w:p>
      <w:pPr>
        <w:autoSpaceDE w:val="0"/>
        <w:autoSpaceDN w:val="0"/>
        <w:adjustRightInd w:val="0"/>
        <w:spacing w:after="0"/>
        <w:ind w:left="720"/>
        <w:rPr>
          <w:noProof/>
        </w:rPr>
      </w:pPr>
      <w:r>
        <w:rPr>
          <w:noProof/>
        </w:rPr>
        <w:t>„3. După ce se deduc sprijinul acordat MIE menționat la articolul 92 alineatul (6) și ajutorul pentru persoanele cele mai defavorizate menționat la articolul 92 alineatul (7), se alocă pentru asistența tehnică acordată la inițiativa Comisiei 0,35 % din resursele globale, din care maximum 112 233 000 EUR se alocă pentru Programul de sprijin pentru reforme structurale în vederea utilizării în cadrul domeniului de aplicare și al scopului programului.”.</w:t>
      </w:r>
    </w:p>
    <w:p>
      <w:pPr>
        <w:autoSpaceDE w:val="0"/>
        <w:autoSpaceDN w:val="0"/>
        <w:adjustRightInd w:val="0"/>
        <w:spacing w:after="0"/>
        <w:rPr>
          <w:noProof/>
        </w:rPr>
      </w:pPr>
    </w:p>
    <w:p>
      <w:pPr>
        <w:pStyle w:val="Titrearticle"/>
        <w:spacing w:before="120"/>
        <w:rPr>
          <w:noProof/>
        </w:rPr>
      </w:pPr>
      <w:r>
        <w:rPr>
          <w:noProof/>
        </w:rPr>
        <w:t>Articolul 18</w:t>
      </w:r>
      <w:r>
        <w:rPr>
          <w:noProof/>
        </w:rPr>
        <w:br/>
        <w:t>Modificare a Regulamentului (UE) nr. 1305/2013</w:t>
      </w:r>
    </w:p>
    <w:p>
      <w:pPr>
        <w:rPr>
          <w:noProof/>
        </w:rPr>
      </w:pPr>
      <w:r>
        <w:rPr>
          <w:noProof/>
        </w:rPr>
        <w:t xml:space="preserve">La articolul 51 alineatul (1) din Regulamentul (UE) nr. 1305/2013, primul paragraf se înlocuiește cu următorul text: </w:t>
      </w:r>
    </w:p>
    <w:p>
      <w:pPr>
        <w:autoSpaceDE w:val="0"/>
        <w:autoSpaceDN w:val="0"/>
        <w:adjustRightInd w:val="0"/>
        <w:spacing w:after="0"/>
        <w:rPr>
          <w:noProof/>
        </w:rPr>
      </w:pPr>
      <w:r>
        <w:rPr>
          <w:noProof/>
        </w:rPr>
        <w:t>„În conformitate cu articolul 6 din Regulamentul (UE) nr. 1306/2013, FEADR poate utiliza până la 0,25 % din alocarea sa anuală pentru finanțarea sarcinilor menționate la articolul 58 din Regulamentul (UE) nr. 1303/2013, inclusiv a costurilor aferente creării și funcționării rețelei europene pentru dezvoltare rurală menționate la articolul 52 din prezentul regulament și ale rețelei PEI menționate la articolul 53 din prezentul regulament, la inițiativa Comisiei și/sau în numele acesteia, din care maximum 30 567 000 EUR se alocă pentru Programul de sprijin pentru reforme structurale în vederea utilizării în cadrul domeniului de aplicare și al scopului programului.”</w:t>
      </w:r>
    </w:p>
    <w:p>
      <w:pPr>
        <w:pStyle w:val="Titrearticle"/>
        <w:spacing w:before="240"/>
        <w:rPr>
          <w:noProof/>
        </w:rPr>
      </w:pPr>
      <w:r>
        <w:rPr>
          <w:noProof/>
        </w:rPr>
        <w:t>Articolul 19</w:t>
      </w:r>
      <w:r>
        <w:rPr>
          <w:noProof/>
        </w:rPr>
        <w:br/>
        <w:t>Intrarea în vigoare</w:t>
      </w:r>
    </w:p>
    <w:p>
      <w:pPr>
        <w:rPr>
          <w:noProof/>
        </w:rPr>
      </w:pPr>
      <w:r>
        <w:rPr>
          <w:noProof/>
        </w:rPr>
        <w:t>Prezentul regulament intră în vigoare în ziua următoare datei publicării în</w:t>
      </w:r>
      <w:r>
        <w:rPr>
          <w:i/>
          <w:noProof/>
        </w:rPr>
        <w:t xml:space="preserve"> Jurnalul Oficial al Uniunii Europene</w:t>
      </w:r>
      <w:r>
        <w:rPr>
          <w:noProof/>
        </w:rPr>
        <w:t>.</w:t>
      </w:r>
    </w:p>
    <w:p>
      <w:pPr>
        <w:pStyle w:val="Fait"/>
        <w:rPr>
          <w:noProof/>
        </w:rPr>
      </w:pPr>
      <w:r>
        <w:rPr>
          <w:noProof/>
        </w:rPr>
        <w:t>Adoptat la Bruxelles,</w:t>
      </w:r>
    </w:p>
    <w:p>
      <w:pPr>
        <w:pStyle w:val="Institutionquisigne"/>
        <w:rPr>
          <w:noProof/>
        </w:rPr>
      </w:pPr>
      <w:r>
        <w:rPr>
          <w:noProof/>
        </w:rPr>
        <w:t>Pentru Parlamentul European,</w:t>
      </w:r>
      <w:r>
        <w:rPr>
          <w:noProof/>
        </w:rPr>
        <w:tab/>
      </w:r>
      <w:r>
        <w:rPr>
          <w:noProof/>
        </w:rPr>
        <w:tab/>
      </w:r>
      <w:r>
        <w:rPr>
          <w:noProof/>
        </w:rPr>
        <w:tab/>
        <w:t>Pentru Consiliu,</w:t>
      </w:r>
    </w:p>
    <w:p>
      <w:pPr>
        <w:pStyle w:val="Personnequisigne"/>
        <w:rPr>
          <w:noProof/>
        </w:rPr>
      </w:pPr>
      <w:r>
        <w:rPr>
          <w:noProof/>
        </w:rPr>
        <w:t>Președintele</w:t>
      </w:r>
      <w:r>
        <w:rPr>
          <w:noProof/>
        </w:rPr>
        <w:tab/>
      </w:r>
      <w:r>
        <w:rPr>
          <w:noProof/>
        </w:rPr>
        <w:tab/>
      </w:r>
      <w:r>
        <w:rPr>
          <w:noProof/>
        </w:rPr>
        <w:tab/>
        <w:t>Președintele</w:t>
      </w:r>
    </w:p>
    <w:p>
      <w:pPr>
        <w:spacing w:before="0" w:after="0" w:line="276" w:lineRule="auto"/>
        <w:jc w:val="left"/>
        <w:rPr>
          <w:i/>
          <w:noProof/>
        </w:rPr>
        <w:sectPr>
          <w:pgSz w:w="11907" w:h="16840"/>
          <w:pgMar w:top="1134" w:right="1418" w:bottom="1134" w:left="1418" w:header="709" w:footer="709" w:gutter="0"/>
          <w:cols w:space="720"/>
          <w:docGrid w:linePitch="326"/>
        </w:sectPr>
      </w:pPr>
    </w:p>
    <w:p>
      <w:pPr>
        <w:pStyle w:val="Fichefinanciretitre"/>
        <w:rPr>
          <w:noProof/>
        </w:rPr>
      </w:pPr>
      <w:r>
        <w:rPr>
          <w:noProof/>
        </w:rPr>
        <w:t>FIȘĂ FINANCIARĂ LEGISLATIVĂ</w:t>
      </w:r>
    </w:p>
    <w:p>
      <w:pPr>
        <w:pStyle w:val="ManualHeading1"/>
        <w:rPr>
          <w:noProof/>
        </w:rPr>
      </w:pPr>
      <w:r>
        <w:t>1.</w:t>
      </w:r>
      <w:r>
        <w:tab/>
      </w:r>
      <w:r>
        <w:rPr>
          <w:noProof/>
        </w:rPr>
        <w:t xml:space="preserve">CADRUL PROPUNERII/INIȚIATIVEI </w:t>
      </w:r>
    </w:p>
    <w:p>
      <w:pPr>
        <w:pStyle w:val="ManualHeading2"/>
        <w:rPr>
          <w:noProof/>
        </w:rPr>
      </w:pPr>
      <w:r>
        <w:t>1.1.</w:t>
      </w:r>
      <w:r>
        <w:tab/>
      </w:r>
      <w:r>
        <w:rPr>
          <w:noProof/>
        </w:rPr>
        <w:t xml:space="preserve">Denumirea propunerii/inițiativei </w:t>
      </w:r>
    </w:p>
    <w:p>
      <w:pPr>
        <w:pStyle w:val="Text1"/>
        <w:pBdr>
          <w:top w:val="single" w:sz="4" w:space="1" w:color="auto"/>
          <w:left w:val="single" w:sz="4" w:space="4" w:color="auto"/>
          <w:bottom w:val="single" w:sz="4" w:space="1" w:color="auto"/>
          <w:right w:val="single" w:sz="4" w:space="4" w:color="auto"/>
        </w:pBdr>
        <w:rPr>
          <w:noProof/>
        </w:rPr>
      </w:pPr>
      <w:r>
        <w:rPr>
          <w:noProof/>
        </w:rPr>
        <w:t>Propunere de Regulament al Parlamentului European și a Consiliului de instituire a Programului de sprijin pentru reforme structurale (PSRS) pentru perioada 2017-2020</w:t>
      </w:r>
    </w:p>
    <w:p>
      <w:pPr>
        <w:pStyle w:val="ManualHeading2"/>
        <w:rPr>
          <w:noProof/>
          <w:szCs w:val="24"/>
        </w:rPr>
      </w:pPr>
      <w:r>
        <w:t>1.2.</w:t>
      </w:r>
      <w:r>
        <w:tab/>
      </w:r>
      <w:r>
        <w:rPr>
          <w:noProof/>
        </w:rPr>
        <w:t>Domeniul (domeniile) de politică în cauză în structura ABM/ABB</w:t>
      </w:r>
      <w:r>
        <w:rPr>
          <w:rStyle w:val="FootnoteReference"/>
          <w:noProof/>
        </w:rPr>
        <w:footnoteReference w:id="27"/>
      </w:r>
    </w:p>
    <w:p>
      <w:pPr>
        <w:pStyle w:val="Text1"/>
        <w:pBdr>
          <w:top w:val="single" w:sz="4" w:space="1" w:color="auto"/>
          <w:left w:val="single" w:sz="4" w:space="4" w:color="auto"/>
          <w:bottom w:val="single" w:sz="4" w:space="1" w:color="auto"/>
          <w:right w:val="single" w:sz="4" w:space="4" w:color="auto"/>
        </w:pBdr>
        <w:jc w:val="left"/>
        <w:rPr>
          <w:noProof/>
        </w:rPr>
      </w:pPr>
      <w:r>
        <w:rPr>
          <w:noProof/>
        </w:rPr>
        <w:t xml:space="preserve">Domeniul de politică: </w:t>
      </w:r>
      <w:r>
        <w:rPr>
          <w:caps/>
          <w:noProof/>
        </w:rPr>
        <w:t>Coordonarea politicilor Comisiei și consultanță juridică</w:t>
      </w:r>
    </w:p>
    <w:p>
      <w:pPr>
        <w:pStyle w:val="Text1"/>
        <w:pBdr>
          <w:top w:val="single" w:sz="4" w:space="1" w:color="auto"/>
          <w:left w:val="single" w:sz="4" w:space="4" w:color="auto"/>
          <w:bottom w:val="single" w:sz="4" w:space="1" w:color="auto"/>
          <w:right w:val="single" w:sz="4" w:space="4" w:color="auto"/>
        </w:pBdr>
        <w:jc w:val="left"/>
        <w:rPr>
          <w:noProof/>
        </w:rPr>
      </w:pPr>
      <w:r>
        <w:rPr>
          <w:noProof/>
        </w:rPr>
        <w:t>Activitatea ABB: Programul de sprijin pentru reforme structurale</w:t>
      </w:r>
    </w:p>
    <w:p>
      <w:pPr>
        <w:pStyle w:val="Text1"/>
        <w:pBdr>
          <w:top w:val="single" w:sz="4" w:space="1" w:color="auto"/>
          <w:left w:val="single" w:sz="4" w:space="4" w:color="auto"/>
          <w:bottom w:val="single" w:sz="4" w:space="1" w:color="auto"/>
          <w:right w:val="single" w:sz="4" w:space="4" w:color="auto"/>
        </w:pBdr>
        <w:jc w:val="left"/>
        <w:rPr>
          <w:noProof/>
        </w:rPr>
      </w:pPr>
      <w:r>
        <w:rPr>
          <w:noProof/>
        </w:rPr>
        <w:t>Pentru un calcul detaliat pentru activitatea de ABB, a se consulta secțiunea 3.2</w:t>
      </w:r>
    </w:p>
    <w:p>
      <w:pPr>
        <w:pStyle w:val="Text1"/>
        <w:pBdr>
          <w:top w:val="single" w:sz="4" w:space="1" w:color="auto"/>
          <w:left w:val="single" w:sz="4" w:space="4" w:color="auto"/>
          <w:bottom w:val="single" w:sz="4" w:space="1" w:color="auto"/>
          <w:right w:val="single" w:sz="4" w:space="4" w:color="auto"/>
        </w:pBdr>
        <w:jc w:val="left"/>
        <w:rPr>
          <w:noProof/>
        </w:rPr>
      </w:pPr>
      <w:r>
        <w:rPr>
          <w:noProof/>
        </w:rPr>
        <w:t>Domeniul de politică: ocuparea forței de muncă, afaceri sociale și incluziune</w:t>
      </w:r>
    </w:p>
    <w:p>
      <w:pPr>
        <w:pStyle w:val="Text1"/>
        <w:pBdr>
          <w:top w:val="single" w:sz="4" w:space="1" w:color="auto"/>
          <w:left w:val="single" w:sz="4" w:space="4" w:color="auto"/>
          <w:bottom w:val="single" w:sz="4" w:space="1" w:color="auto"/>
          <w:right w:val="single" w:sz="4" w:space="4" w:color="auto"/>
        </w:pBdr>
        <w:jc w:val="left"/>
        <w:rPr>
          <w:noProof/>
        </w:rPr>
      </w:pPr>
      <w:r>
        <w:rPr>
          <w:noProof/>
        </w:rPr>
        <w:t>Domeniul de politică: politica regională și urbană</w:t>
      </w:r>
    </w:p>
    <w:p>
      <w:pPr>
        <w:pStyle w:val="Text1"/>
        <w:pBdr>
          <w:top w:val="single" w:sz="4" w:space="1" w:color="auto"/>
          <w:left w:val="single" w:sz="4" w:space="4" w:color="auto"/>
          <w:bottom w:val="single" w:sz="4" w:space="1" w:color="auto"/>
          <w:right w:val="single" w:sz="4" w:space="4" w:color="auto"/>
        </w:pBdr>
      </w:pPr>
      <w:r>
        <w:rPr>
          <w:noProof/>
        </w:rPr>
        <w:t>Domeniul de politică: agricultură și dezvoltare rurală</w:t>
      </w:r>
    </w:p>
    <w:p>
      <w:pPr>
        <w:pStyle w:val="Text1"/>
        <w:pBdr>
          <w:top w:val="single" w:sz="4" w:space="1" w:color="auto"/>
          <w:left w:val="single" w:sz="4" w:space="4" w:color="auto"/>
          <w:bottom w:val="single" w:sz="4" w:space="1" w:color="auto"/>
          <w:right w:val="single" w:sz="4" w:space="4" w:color="auto"/>
        </w:pBdr>
        <w:rPr>
          <w:noProof/>
        </w:rPr>
      </w:pPr>
      <w:r>
        <w:rPr>
          <w:noProof/>
        </w:rPr>
        <w:t>Domeniul de politică: migrație și azil</w:t>
      </w:r>
    </w:p>
    <w:p>
      <w:pPr>
        <w:pStyle w:val="ManualHeading2"/>
        <w:rPr>
          <w:bCs/>
          <w:noProof/>
          <w:szCs w:val="24"/>
        </w:rPr>
      </w:pPr>
      <w:r>
        <w:t>1.3.</w:t>
      </w:r>
      <w:r>
        <w:tab/>
      </w:r>
      <w:r>
        <w:rPr>
          <w:noProof/>
        </w:rPr>
        <w:t xml:space="preserve">Tipul propunerii/inițiativei </w:t>
      </w:r>
    </w:p>
    <w:p>
      <w:pPr>
        <w:pStyle w:val="Text1"/>
        <w:rPr>
          <w:b/>
          <w:noProof/>
          <w:sz w:val="22"/>
        </w:rPr>
      </w:pPr>
      <w:r>
        <w:rPr>
          <w:noProof/>
          <w:sz w:val="22"/>
        </w:rPr>
        <w:sym w:font="Wingdings" w:char="F0A8"/>
      </w:r>
      <w:r>
        <w:rPr>
          <w:noProof/>
        </w:rPr>
        <w:t xml:space="preserve">Propunerea/inițiativa se referă la </w:t>
      </w:r>
      <w:r>
        <w:rPr>
          <w:b/>
          <w:noProof/>
        </w:rPr>
        <w:t>o acțiune nouă</w:t>
      </w:r>
    </w:p>
    <w:p>
      <w:pPr>
        <w:pStyle w:val="Text1"/>
        <w:rPr>
          <w:b/>
          <w:noProof/>
        </w:rPr>
      </w:pPr>
      <w:r>
        <w:rPr>
          <w:noProof/>
          <w:sz w:val="22"/>
        </w:rPr>
        <w:sym w:font="Wingdings" w:char="F078"/>
      </w:r>
      <w:r>
        <w:rPr>
          <w:noProof/>
        </w:rPr>
        <w:t xml:space="preserve">Propunerea/inițiativa se referă la </w:t>
      </w:r>
      <w:r>
        <w:rPr>
          <w:b/>
          <w:noProof/>
        </w:rPr>
        <w:t>o acțiune nouă ca urmare a unui proiect-pilot/a unei acțiuni pregătitoare</w:t>
      </w:r>
      <w:r>
        <w:rPr>
          <w:rStyle w:val="FootnoteReference"/>
          <w:b/>
          <w:noProof/>
        </w:rPr>
        <w:footnoteReference w:id="28"/>
      </w:r>
      <w:r>
        <w:rPr>
          <w:rStyle w:val="FootnoteReference"/>
          <w:b/>
          <w:noProof/>
        </w:rPr>
        <w:footnoteReference w:id="29"/>
      </w:r>
    </w:p>
    <w:p>
      <w:pPr>
        <w:pStyle w:val="Text1"/>
        <w:rPr>
          <w:noProof/>
          <w:sz w:val="22"/>
        </w:rPr>
      </w:pPr>
      <w:r>
        <w:rPr>
          <w:noProof/>
          <w:sz w:val="22"/>
        </w:rPr>
        <w:sym w:font="Wingdings" w:char="F0A8"/>
      </w:r>
      <w:r>
        <w:rPr>
          <w:noProof/>
        </w:rPr>
        <w:t xml:space="preserve">Propunerea/inițiativa se referă la </w:t>
      </w:r>
      <w:r>
        <w:rPr>
          <w:b/>
          <w:noProof/>
        </w:rPr>
        <w:t>prelungirea unei acțiuni existente</w:t>
      </w:r>
    </w:p>
    <w:p>
      <w:pPr>
        <w:pStyle w:val="Text1"/>
        <w:rPr>
          <w:noProof/>
        </w:rPr>
      </w:pPr>
      <w:r>
        <w:rPr>
          <w:noProof/>
          <w:sz w:val="22"/>
        </w:rPr>
        <w:sym w:font="Wingdings" w:char="F0A8"/>
      </w:r>
      <w:r>
        <w:rPr>
          <w:noProof/>
        </w:rPr>
        <w:t xml:space="preserve">Propunerea/inițiativa se referă la </w:t>
      </w:r>
      <w:r>
        <w:rPr>
          <w:b/>
          <w:noProof/>
        </w:rPr>
        <w:t>o acțiune reorientată către o acțiune nouă</w:t>
      </w:r>
    </w:p>
    <w:p>
      <w:pPr>
        <w:pStyle w:val="ManualHeading2"/>
        <w:rPr>
          <w:bCs/>
          <w:noProof/>
          <w:szCs w:val="24"/>
        </w:rPr>
      </w:pPr>
      <w:r>
        <w:t>1.4.</w:t>
      </w:r>
      <w:r>
        <w:tab/>
      </w:r>
      <w:r>
        <w:rPr>
          <w:noProof/>
        </w:rPr>
        <w:t>Obiectiv(e)</w:t>
      </w:r>
    </w:p>
    <w:p>
      <w:pPr>
        <w:pStyle w:val="ManualHeading3"/>
        <w:rPr>
          <w:noProof/>
        </w:rPr>
      </w:pPr>
      <w:r>
        <w:t>1.4.1.</w:t>
      </w:r>
      <w:r>
        <w:tab/>
      </w:r>
      <w:r>
        <w:rPr>
          <w:noProof/>
        </w:rPr>
        <w:t xml:space="preserve">Obiectiv(e) strategic(e) multianual(e) al(e) Comisiei vizat(e) de propunere/inițiativă </w:t>
      </w:r>
    </w:p>
    <w:p>
      <w:pPr>
        <w:pStyle w:val="Text1"/>
        <w:pBdr>
          <w:top w:val="single" w:sz="4" w:space="1" w:color="auto"/>
          <w:left w:val="single" w:sz="4" w:space="4" w:color="auto"/>
          <w:bottom w:val="single" w:sz="4" w:space="1" w:color="auto"/>
          <w:right w:val="single" w:sz="4" w:space="4" w:color="auto"/>
        </w:pBdr>
        <w:rPr>
          <w:noProof/>
        </w:rPr>
      </w:pPr>
      <w:r>
        <w:rPr>
          <w:noProof/>
        </w:rPr>
        <w:t>Obiectivul general al programului este de a contribui la reformele instituționale, administrative și structurale realizate în statele membre, oferind sprijin autorităților naționale pentru măsuri care vizează reformarea instituțiilor, guvernanței, administrației și a sectoarelor economice și sociale ca răspuns la provocările de ordin economic și social, în vederea consolidării competitivității, a creșterii economice, a ocupării forței de muncă și a investițiilor, în special în contextul proceselor de guvernanță economică, inclusiv prin acordarea de asistență pentru utilizarea eficientă și eficace a fondurilor Uniunii.</w:t>
      </w:r>
    </w:p>
    <w:p>
      <w:pPr>
        <w:pStyle w:val="Text1"/>
        <w:pBdr>
          <w:top w:val="single" w:sz="4" w:space="1" w:color="auto"/>
          <w:left w:val="single" w:sz="4" w:space="4" w:color="auto"/>
          <w:bottom w:val="single" w:sz="4" w:space="1" w:color="auto"/>
          <w:right w:val="single" w:sz="4" w:space="4" w:color="auto"/>
        </w:pBdr>
        <w:rPr>
          <w:noProof/>
          <w:szCs w:val="24"/>
          <w:u w:val="single"/>
        </w:rPr>
      </w:pPr>
      <w:r>
        <w:rPr>
          <w:noProof/>
          <w:u w:val="single"/>
        </w:rPr>
        <w:t xml:space="preserve">Obiectiv(e) specific(e) și activitatea (activitățile) ABM/ABB în cauză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Programul are următoarele obiective specifice: </w:t>
      </w:r>
    </w:p>
    <w:p>
      <w:pPr>
        <w:pStyle w:val="Text1"/>
        <w:pBdr>
          <w:top w:val="single" w:sz="4" w:space="1" w:color="auto"/>
          <w:left w:val="single" w:sz="4" w:space="4" w:color="auto"/>
          <w:bottom w:val="single" w:sz="4" w:space="1" w:color="auto"/>
          <w:right w:val="single" w:sz="4" w:space="4" w:color="auto"/>
        </w:pBdr>
        <w:rPr>
          <w:noProof/>
        </w:rPr>
      </w:pPr>
      <w:r>
        <w:rPr>
          <w:noProof/>
        </w:rPr>
        <w:t>Obiectivul specific nr. 1</w:t>
      </w:r>
    </w:p>
    <w:p>
      <w:pPr>
        <w:pStyle w:val="Text1"/>
        <w:pBdr>
          <w:top w:val="single" w:sz="4" w:space="1" w:color="auto"/>
          <w:left w:val="single" w:sz="4" w:space="4" w:color="auto"/>
          <w:bottom w:val="single" w:sz="4" w:space="1" w:color="auto"/>
          <w:right w:val="single" w:sz="4" w:space="4" w:color="auto"/>
        </w:pBdr>
        <w:rPr>
          <w:noProof/>
        </w:rPr>
      </w:pPr>
      <w:r>
        <w:rPr>
          <w:noProof/>
        </w:rPr>
        <w:t xml:space="preserve">Sprijinirea inițiativelor autorităților naționale de a-și concepe reformele în funcție de priorități, luând în considerare condițiile inițiale și impacturile socioeconomice preconizate </w:t>
      </w:r>
    </w:p>
    <w:p>
      <w:pPr>
        <w:pStyle w:val="Text1"/>
        <w:pBdr>
          <w:top w:val="single" w:sz="4" w:space="1" w:color="auto"/>
          <w:left w:val="single" w:sz="4" w:space="4" w:color="auto"/>
          <w:bottom w:val="single" w:sz="4" w:space="1" w:color="auto"/>
          <w:right w:val="single" w:sz="4" w:space="4" w:color="auto"/>
        </w:pBdr>
        <w:rPr>
          <w:noProof/>
        </w:rPr>
      </w:pPr>
      <w:r>
        <w:rPr>
          <w:noProof/>
        </w:rPr>
        <w:t>Obiectivul specific nr. 2</w:t>
      </w:r>
    </w:p>
    <w:p>
      <w:pPr>
        <w:pStyle w:val="Text1"/>
        <w:pBdr>
          <w:top w:val="single" w:sz="4" w:space="1" w:color="auto"/>
          <w:left w:val="single" w:sz="4" w:space="4" w:color="auto"/>
          <w:bottom w:val="single" w:sz="4" w:space="1" w:color="auto"/>
          <w:right w:val="single" w:sz="4" w:space="4" w:color="auto"/>
        </w:pBdr>
        <w:rPr>
          <w:noProof/>
          <w:spacing w:val="-3"/>
        </w:rPr>
      </w:pPr>
      <w:r>
        <w:rPr>
          <w:noProof/>
          <w:spacing w:val="-3"/>
        </w:rPr>
        <w:t>Sprijinirea autorităților naționale în privința îmbunătățirii capacității lor de a formula, dezvolta și pune în aplicare politici și strategii de reformă și de a avea o abordare integrată, care să asigure consecvența între obiectivele și mijloacele din diferite sectoare</w:t>
      </w:r>
    </w:p>
    <w:p>
      <w:pPr>
        <w:pStyle w:val="Text1"/>
        <w:pBdr>
          <w:top w:val="single" w:sz="4" w:space="1" w:color="auto"/>
          <w:left w:val="single" w:sz="4" w:space="4" w:color="auto"/>
          <w:bottom w:val="single" w:sz="4" w:space="1" w:color="auto"/>
          <w:right w:val="single" w:sz="4" w:space="4" w:color="auto"/>
        </w:pBdr>
        <w:rPr>
          <w:noProof/>
        </w:rPr>
      </w:pPr>
      <w:r>
        <w:rPr>
          <w:noProof/>
        </w:rPr>
        <w:t>Obiectivul specific nr. 3</w:t>
      </w:r>
    </w:p>
    <w:p>
      <w:pPr>
        <w:pStyle w:val="Text1"/>
        <w:pBdr>
          <w:top w:val="single" w:sz="4" w:space="1" w:color="auto"/>
          <w:left w:val="single" w:sz="4" w:space="4" w:color="auto"/>
          <w:bottom w:val="single" w:sz="4" w:space="1" w:color="auto"/>
          <w:right w:val="single" w:sz="4" w:space="4" w:color="auto"/>
        </w:pBdr>
        <w:rPr>
          <w:noProof/>
        </w:rPr>
      </w:pPr>
      <w:r>
        <w:rPr>
          <w:noProof/>
        </w:rPr>
        <w:t>Sprijinirea eforturilor depuse de autoritățile naționale pentru a defini și a pune în aplicare proceduri și metodologii adecvate, ținându-se seama de bunele practici și de lecțiile învățate de alte țări în abordarea unor situații similare</w:t>
      </w:r>
    </w:p>
    <w:p>
      <w:pPr>
        <w:pStyle w:val="Text1"/>
        <w:pBdr>
          <w:top w:val="single" w:sz="4" w:space="1" w:color="auto"/>
          <w:left w:val="single" w:sz="4" w:space="4" w:color="auto"/>
          <w:bottom w:val="single" w:sz="4" w:space="1" w:color="auto"/>
          <w:right w:val="single" w:sz="4" w:space="4" w:color="auto"/>
        </w:pBdr>
        <w:rPr>
          <w:noProof/>
        </w:rPr>
      </w:pPr>
      <w:r>
        <w:rPr>
          <w:noProof/>
        </w:rPr>
        <w:t>Obiectivul specific nr. 4</w:t>
      </w:r>
    </w:p>
    <w:p>
      <w:pPr>
        <w:pStyle w:val="Text1"/>
        <w:pBdr>
          <w:top w:val="single" w:sz="4" w:space="1" w:color="auto"/>
          <w:left w:val="single" w:sz="4" w:space="4" w:color="auto"/>
          <w:bottom w:val="single" w:sz="4" w:space="1" w:color="auto"/>
          <w:right w:val="single" w:sz="4" w:space="4" w:color="auto"/>
        </w:pBdr>
        <w:rPr>
          <w:noProof/>
        </w:rPr>
      </w:pPr>
      <w:r>
        <w:rPr>
          <w:noProof/>
        </w:rPr>
        <w:t xml:space="preserve">Sprijinirea eforturilor autorităților de îmbunătățire a eficienței și eficacității gestionării resurselor umane, atunci când este cazul, prin definirea unor responsabilități clare și îmbunătățirea cunoștințelor și competențelor profesionale </w:t>
      </w:r>
    </w:p>
    <w:p>
      <w:pPr>
        <w:pStyle w:val="Text1"/>
        <w:pBdr>
          <w:top w:val="single" w:sz="4" w:space="1" w:color="auto"/>
          <w:left w:val="single" w:sz="4" w:space="4" w:color="auto"/>
          <w:bottom w:val="single" w:sz="4" w:space="1" w:color="auto"/>
          <w:right w:val="single" w:sz="4" w:space="4" w:color="auto"/>
        </w:pBdr>
        <w:rPr>
          <w:noProof/>
        </w:rPr>
      </w:pPr>
      <w:r>
        <w:rPr>
          <w:noProof/>
        </w:rPr>
        <w:t>Aceste obiective sunt urmărite în strânsă cooperare cu statele membre beneficiare.</w:t>
      </w:r>
    </w:p>
    <w:p>
      <w:pPr>
        <w:pStyle w:val="Text1"/>
        <w:pBdr>
          <w:top w:val="single" w:sz="4" w:space="1" w:color="auto"/>
          <w:left w:val="single" w:sz="4" w:space="4" w:color="auto"/>
          <w:bottom w:val="single" w:sz="4" w:space="1" w:color="auto"/>
          <w:right w:val="single" w:sz="4" w:space="4" w:color="auto"/>
        </w:pBdr>
        <w:rPr>
          <w:noProof/>
          <w:spacing w:val="-2"/>
        </w:rPr>
      </w:pPr>
      <w:r>
        <w:rPr>
          <w:noProof/>
          <w:spacing w:val="-2"/>
        </w:rPr>
        <w:t>Sprijinul pentru reforme - inclusiv prin acordarea de asistență pentru utilizarea eficientă și eficace a fondurilor Uniunii [și anume, fondurile structurale și de investiții europene (fondurile ESI), astfel cum sunt definite în Regulamentul privind dispozițiile comune, Fondul de ajutor european destinat celor mai defavorizate persoane – FEAD, precum și fondurile legate de azil, migrație și control al frontierelor] – va fi furnizat pentru anumite domenii de politică, în special pentru gestionarea finanțelor publice, procedura bugetară, gestionarea datoriilor și administrarea veniturilor, reforma instituțională și funcționarea eficientă și orientată spre servicii a administrației publice, respectarea statului de drept, reforma sistemului judiciar și consolidarea luptei împotriva fraudei, a corupției și a spălării banilor, mediul de afaceri, dezvoltarea sectorului privat, accesul la finanțare, investițiile, politicile privind sectorul financiar, procesele de privatizare, comerțul și investițiile directe străine, concurența, achizițiile publice, dezvoltarea sectorială durabilă și sprijinul pentru inovare, educație și formare, politicile privind piața forței de muncă, incluziunea socială, sistemele de securitate socială și de bunăstare socială, sistemele de sănătate publică și de asistență medicală, politicile din domeniul azilului, migrației și frontierelor, precum și politicile privind sectorul agriculturii și dezvoltarea durabilă a zonelor rurale.</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Activitatea (activitățile) ABM/ABB în cauză</w:t>
      </w:r>
    </w:p>
    <w:p>
      <w:pPr>
        <w:pStyle w:val="Text1"/>
        <w:pBdr>
          <w:top w:val="single" w:sz="4" w:space="1" w:color="auto"/>
          <w:left w:val="single" w:sz="4" w:space="4" w:color="auto"/>
          <w:bottom w:val="single" w:sz="4" w:space="1" w:color="auto"/>
          <w:right w:val="single" w:sz="4" w:space="4" w:color="auto"/>
        </w:pBdr>
        <w:rPr>
          <w:noProof/>
        </w:rPr>
      </w:pPr>
      <w:r>
        <w:rPr>
          <w:noProof/>
        </w:rPr>
        <w:t>REGIO, EMPL, MARE, AGRI, TAXUD, JUST, HOME, GROW, MARKT, RTD, CNECT, COMP.</w:t>
      </w:r>
    </w:p>
    <w:p>
      <w:pPr>
        <w:pStyle w:val="Text1"/>
        <w:rPr>
          <w:noProof/>
        </w:rPr>
      </w:pPr>
    </w:p>
    <w:p>
      <w:pPr>
        <w:spacing w:before="0" w:after="200" w:line="276" w:lineRule="auto"/>
        <w:jc w:val="left"/>
        <w:rPr>
          <w:rFonts w:eastAsiaTheme="majorEastAsia"/>
          <w:bCs/>
          <w:i/>
          <w:noProof/>
        </w:rPr>
      </w:pPr>
      <w:r>
        <w:rPr>
          <w:noProof/>
        </w:rPr>
        <w:br w:type="page"/>
      </w:r>
    </w:p>
    <w:p>
      <w:pPr>
        <w:pStyle w:val="ManualHeading3"/>
        <w:rPr>
          <w:bCs/>
          <w:noProof/>
          <w:szCs w:val="24"/>
        </w:rPr>
      </w:pPr>
      <w:r>
        <w:t>1.4.2.</w:t>
      </w:r>
      <w:r>
        <w:tab/>
      </w:r>
      <w:r>
        <w:rPr>
          <w:noProof/>
        </w:rPr>
        <w:t>Rezultatul (rezultatele) și impactul preconizate</w:t>
      </w:r>
    </w:p>
    <w:p>
      <w:pPr>
        <w:pStyle w:val="Text1"/>
        <w:rPr>
          <w:i/>
          <w:noProof/>
          <w:sz w:val="20"/>
        </w:rPr>
      </w:pPr>
      <w:r>
        <w:rPr>
          <w:i/>
          <w:noProof/>
          <w:sz w:val="20"/>
        </w:rPr>
        <w:t>A se preciza efectele pe care propunerea/inițiativa ar trebui să le aibă asupra beneficiarilor vizați/ grupurilor vizate.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Consolidarea capacității administrative a statelor membre de reformare a instituțiilor, a administrației, a sectorului economic și social, inclusiv prin utilizarea eficientă și eficace a fondurilor Uniunii, în vederea asigurării unor structuri simplificate, eficiente și moderne în slujba cetățenilor și a întreprinderilor: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îmbunătățirea capacității autorităților naționale ale statelor membre de a identifica și aborda deficiențele economice și structurale;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consolidarea competențelor și a capacității autorităților naționale ale statelor membre de a dezvolta, elabora și pune în aplicare politici de reformă în funcție de priorități;</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consolidarea capacității autorităților naționale ale statelor membre de a urma o abordare integrată a reformelor din diferitele domenii de politică, asigurându-se, în același timp, coerența între obiective și mijloace;</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consolidarea capacității autorităților naționale ale statelor membre de a defini, la nivel național, procese și metodologii pentru a sprijini elaborarea, gestionarea și punerea în aplicare a reformelor ca urmare a schimbului de bune practici și a lecțiilor învățate de alte țări;</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consolidarea eficienței și a eficacității gestionării resurselor umane de către autoritățile naționale ale statelor membre prin îmbunătățirea cunoștințelor și a aptitudinilor profesionale și a capacității de adaptare la procesele aferente managementului schimbării;</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îmbunătățirea canalelor de comunicare stabilite cu Comisia, cu statele membre și cu organizațiile internaționale pentru o mai bună comunicare și coordonare a eforturilor de reformă; și</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consolidarea capacității autorităților naționale ale statelor membre de a asigura progresul reformelor recomandate în cadrul ciclului semestrului european, al programelor de ajustare economică, al reformelor întreprinse de un stat membru din proprie inițiativă, precum și a capacității de a asigura punerea în aplicare consecventă și coerentă a dreptului Uniunii.</w:t>
      </w:r>
    </w:p>
    <w:p>
      <w:pPr>
        <w:pStyle w:val="Text1"/>
        <w:pBdr>
          <w:top w:val="single" w:sz="4" w:space="1" w:color="auto"/>
          <w:left w:val="single" w:sz="4" w:space="4" w:color="auto"/>
          <w:bottom w:val="single" w:sz="4" w:space="1" w:color="auto"/>
          <w:right w:val="single" w:sz="4" w:space="4" w:color="auto"/>
        </w:pBdr>
        <w:rPr>
          <w:noProof/>
        </w:rPr>
      </w:pPr>
      <w:r>
        <w:rPr>
          <w:noProof/>
        </w:rPr>
        <w:t>Rezultatele scontate depind, într-o foarte mare măsură, de țară și de proiect, iar realizarea acestora va varia în funcție de diferitele domenii de politică și de amploarea și intensitatea sprijinului acordat. În plus, acestea ar trebui să se bazeze pe măsurile puse în aplicare în fiecare domeniu de politică și în fiecare stat membru beneficiar ca urmare a acțiunilor de sprijin prevăzute în cadrul programului.</w:t>
      </w:r>
    </w:p>
    <w:p>
      <w:pPr>
        <w:pStyle w:val="ManualHeading3"/>
        <w:rPr>
          <w:bCs/>
          <w:noProof/>
          <w:szCs w:val="24"/>
        </w:rPr>
      </w:pPr>
      <w:r>
        <w:t>1.4.3.</w:t>
      </w:r>
      <w:r>
        <w:tab/>
      </w:r>
      <w:r>
        <w:rPr>
          <w:noProof/>
        </w:rPr>
        <w:t xml:space="preserve">Indicatori de rezultat și de impact </w:t>
      </w:r>
    </w:p>
    <w:p>
      <w:pPr>
        <w:pStyle w:val="Text1"/>
        <w:rPr>
          <w:i/>
          <w:noProof/>
          <w:sz w:val="20"/>
        </w:rPr>
      </w:pPr>
      <w:r>
        <w:rPr>
          <w:i/>
          <w:noProof/>
          <w:sz w:val="20"/>
        </w:rPr>
        <w:t>A se preciza indicatorii care permit monitorizarea punerii în aplicare a propunerii/inițiativei.</w:t>
      </w:r>
    </w:p>
    <w:p>
      <w:pPr>
        <w:pStyle w:val="Text1"/>
        <w:pBdr>
          <w:top w:val="single" w:sz="4" w:space="1" w:color="auto"/>
          <w:left w:val="single" w:sz="4" w:space="4" w:color="auto"/>
          <w:bottom w:val="single" w:sz="4" w:space="1" w:color="auto"/>
          <w:right w:val="single" w:sz="4" w:space="4" w:color="auto"/>
        </w:pBdr>
        <w:rPr>
          <w:noProof/>
        </w:rPr>
      </w:pPr>
      <w:r>
        <w:rPr>
          <w:noProof/>
        </w:rPr>
        <w:t>Realizarea acestor obiective specifice se va măsura pe baza indicatorilor următori, care vor fi utilizați în funcție de datele și informațiile disponibile (inclusiv de date cantitative sau empirice corespunzătoare) și pe care Comisia îi poate adapta în cursul programului, dacă este cazul, în temeiul articolului 15 din regulament:</w:t>
      </w:r>
    </w:p>
    <w:p>
      <w:pPr>
        <w:pStyle w:val="Text1"/>
        <w:pBdr>
          <w:top w:val="single" w:sz="4" w:space="1" w:color="auto"/>
          <w:left w:val="single" w:sz="4" w:space="4" w:color="auto"/>
          <w:bottom w:val="single" w:sz="4" w:space="1" w:color="auto"/>
          <w:right w:val="single" w:sz="4" w:space="4" w:color="auto"/>
        </w:pBdr>
        <w:rPr>
          <w:noProof/>
        </w:rPr>
      </w:pPr>
      <w:r>
        <w:rPr>
          <w:noProof/>
        </w:rPr>
        <w:t>(a)</w:t>
      </w:r>
      <w:r>
        <w:rPr>
          <w:noProof/>
        </w:rPr>
        <w:tab/>
        <w:t>numărul și tipul autorităților naționale, al serviciilor administrative și al altor entități publice, precum ministerele naționale sau autoritățile de reglementare, pentru fiecare stat membru beneficiar pentru care s-a acordat sprijin în cadrul programului;</w:t>
      </w:r>
    </w:p>
    <w:p>
      <w:pPr>
        <w:pStyle w:val="Text1"/>
        <w:pBdr>
          <w:top w:val="single" w:sz="4" w:space="1" w:color="auto"/>
          <w:left w:val="single" w:sz="4" w:space="4" w:color="auto"/>
          <w:bottom w:val="single" w:sz="4" w:space="1" w:color="auto"/>
          <w:right w:val="single" w:sz="4" w:space="4" w:color="auto"/>
        </w:pBdr>
        <w:rPr>
          <w:noProof/>
        </w:rPr>
      </w:pPr>
      <w:r>
        <w:rPr>
          <w:noProof/>
        </w:rPr>
        <w:t>(b)</w:t>
      </w:r>
      <w:r>
        <w:rPr>
          <w:noProof/>
        </w:rPr>
        <w:tab/>
        <w:t xml:space="preserve">numărul și tipul furnizorilor de sprijin, precum organisme guvernamentale, organisme de drept public, organisme de drept privat cu misiune de serviciu public și organizații internaționale, pentru fiecare obiectiv specific, domeniu de politică și stat membru beneficiar; </w:t>
      </w:r>
    </w:p>
    <w:p>
      <w:pPr>
        <w:pStyle w:val="Text1"/>
        <w:pBdr>
          <w:top w:val="single" w:sz="4" w:space="1" w:color="auto"/>
          <w:left w:val="single" w:sz="4" w:space="4" w:color="auto"/>
          <w:bottom w:val="single" w:sz="4" w:space="1" w:color="auto"/>
          <w:right w:val="single" w:sz="4" w:space="4" w:color="auto"/>
        </w:pBdr>
        <w:rPr>
          <w:noProof/>
        </w:rPr>
      </w:pPr>
      <w:r>
        <w:rPr>
          <w:noProof/>
        </w:rPr>
        <w:t>(c)</w:t>
      </w:r>
      <w:r>
        <w:rPr>
          <w:noProof/>
        </w:rPr>
        <w:tab/>
        <w:t>numărul și tipul de acțiuni eligibile întreprinse în temeiul articolului 6, cum ar fi punerea la dispoziție de experți, acțiuni de formare, seminare etc., defalcate pe:</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recomandări specifice fiecărei țări sau acțiuni relevante legate de punerea în aplicare a dreptului Uniunii, de programele de ajustare economică și de reformele întreprinse de un stat membru din proprie inițiativă;</w:t>
      </w:r>
    </w:p>
    <w:p>
      <w:pPr>
        <w:pStyle w:val="Text1"/>
        <w:pBdr>
          <w:top w:val="single" w:sz="4" w:space="1" w:color="auto"/>
          <w:left w:val="single" w:sz="4" w:space="4" w:color="auto"/>
          <w:bottom w:val="single" w:sz="4" w:space="1" w:color="auto"/>
          <w:right w:val="single" w:sz="4" w:space="4" w:color="auto"/>
        </w:pBdr>
        <w:rPr>
          <w:noProof/>
        </w:rPr>
      </w:pPr>
      <w:r>
        <w:rPr>
          <w:noProof/>
        </w:rPr>
        <w:t>ii.</w:t>
      </w:r>
      <w:r>
        <w:rPr>
          <w:noProof/>
        </w:rPr>
        <w:tab/>
        <w:t>obiectiv specific, domeniu de politică și stat membru beneficiar;</w:t>
      </w:r>
    </w:p>
    <w:p>
      <w:pPr>
        <w:pStyle w:val="Text1"/>
        <w:pBdr>
          <w:top w:val="single" w:sz="4" w:space="1" w:color="auto"/>
          <w:left w:val="single" w:sz="4" w:space="4" w:color="auto"/>
          <w:bottom w:val="single" w:sz="4" w:space="1" w:color="auto"/>
          <w:right w:val="single" w:sz="4" w:space="4" w:color="auto"/>
        </w:pBdr>
        <w:rPr>
          <w:noProof/>
        </w:rPr>
      </w:pPr>
      <w:r>
        <w:rPr>
          <w:noProof/>
        </w:rPr>
        <w:t>iii.</w:t>
      </w:r>
      <w:r>
        <w:rPr>
          <w:noProof/>
        </w:rPr>
        <w:tab/>
        <w:t xml:space="preserve">furnizori de sprijin, precum organisme guvernamentale, organisme de drept public și organisme de drept privat cu misiune de serviciu public, organizații internaționale; </w:t>
      </w:r>
    </w:p>
    <w:p>
      <w:pPr>
        <w:pStyle w:val="Text1"/>
        <w:pBdr>
          <w:top w:val="single" w:sz="4" w:space="1" w:color="auto"/>
          <w:left w:val="single" w:sz="4" w:space="4" w:color="auto"/>
          <w:bottom w:val="single" w:sz="4" w:space="1" w:color="auto"/>
          <w:right w:val="single" w:sz="4" w:space="4" w:color="auto"/>
        </w:pBdr>
        <w:rPr>
          <w:noProof/>
        </w:rPr>
      </w:pPr>
      <w:r>
        <w:rPr>
          <w:noProof/>
        </w:rPr>
        <w:t>iv.</w:t>
      </w:r>
      <w:r>
        <w:rPr>
          <w:noProof/>
        </w:rPr>
        <w:tab/>
        <w:t>beneficiari ai sprijinului în cadrul statului membru beneficiar, cum ar fi autoritățile naționale.</w:t>
      </w:r>
    </w:p>
    <w:p>
      <w:pPr>
        <w:pStyle w:val="Text1"/>
        <w:pBdr>
          <w:top w:val="single" w:sz="4" w:space="1" w:color="auto"/>
          <w:left w:val="single" w:sz="4" w:space="4" w:color="auto"/>
          <w:bottom w:val="single" w:sz="4" w:space="1" w:color="auto"/>
          <w:right w:val="single" w:sz="4" w:space="4" w:color="auto"/>
        </w:pBdr>
        <w:rPr>
          <w:noProof/>
        </w:rPr>
      </w:pPr>
      <w:r>
        <w:rPr>
          <w:noProof/>
        </w:rPr>
        <w:t>(d)</w:t>
      </w:r>
      <w:r>
        <w:rPr>
          <w:noProof/>
        </w:rPr>
        <w:tab/>
        <w:t xml:space="preserve">numărul și tipul măsurilor de politică și juridice, cum ar fi memorandumurile de înțelegere politice sau scrisorile de intenție, acordurile și contractele încheiate între Comisie, partenerii de reformă (după caz) și furnizorii de sprijin pentru activități în cadrul programului, pentru fiecare obiectiv specific, domeniu de politică și stat membru beneficiar; </w:t>
      </w:r>
    </w:p>
    <w:p>
      <w:pPr>
        <w:pStyle w:val="Text1"/>
        <w:pBdr>
          <w:top w:val="single" w:sz="4" w:space="1" w:color="auto"/>
          <w:left w:val="single" w:sz="4" w:space="4" w:color="auto"/>
          <w:bottom w:val="single" w:sz="4" w:space="1" w:color="auto"/>
          <w:right w:val="single" w:sz="4" w:space="4" w:color="auto"/>
        </w:pBdr>
        <w:rPr>
          <w:noProof/>
        </w:rPr>
      </w:pPr>
      <w:r>
        <w:rPr>
          <w:noProof/>
        </w:rPr>
        <w:t>(e)</w:t>
      </w:r>
      <w:r>
        <w:rPr>
          <w:noProof/>
        </w:rPr>
        <w:tab/>
        <w:t xml:space="preserve">numărul de inițiative de politică (de exemplu, planuri de acțiune, foi de parcurs, orientări, recomandări, legislație recomandată) adoptate pentru fiecare obiectiv, domeniu de politică și stat membru beneficiar în urma activităților relevante sprijinite de program; </w:t>
      </w:r>
    </w:p>
    <w:p>
      <w:pPr>
        <w:pStyle w:val="Text1"/>
        <w:pBdr>
          <w:top w:val="single" w:sz="4" w:space="1" w:color="auto"/>
          <w:left w:val="single" w:sz="4" w:space="4" w:color="auto"/>
          <w:bottom w:val="single" w:sz="4" w:space="1" w:color="auto"/>
          <w:right w:val="single" w:sz="4" w:space="4" w:color="auto"/>
        </w:pBdr>
        <w:rPr>
          <w:noProof/>
        </w:rPr>
      </w:pPr>
      <w:r>
        <w:rPr>
          <w:noProof/>
        </w:rPr>
        <w:t>(f)</w:t>
      </w:r>
      <w:r>
        <w:rPr>
          <w:noProof/>
        </w:rPr>
        <w:tab/>
        <w:t>numărul măsurilor puse în aplicare pentru fiecare domeniu de politică și stat membru beneficiar ca urmare a unor acțiuni de sprijin acordat în temeiul programului, defalcate pe: recomandările specifice fiecărei țări sau acțiunile relevante legate de punerea în aplicare a dreptului Uniunii, de programele de ajustare economică și de reformele întreprinse de un stat membru din proprie inițiativă;</w:t>
      </w:r>
    </w:p>
    <w:p>
      <w:pPr>
        <w:pStyle w:val="Text1"/>
        <w:pBdr>
          <w:top w:val="single" w:sz="4" w:space="1" w:color="auto"/>
          <w:left w:val="single" w:sz="4" w:space="4" w:color="auto"/>
          <w:bottom w:val="single" w:sz="4" w:space="1" w:color="auto"/>
          <w:right w:val="single" w:sz="4" w:space="4" w:color="auto"/>
        </w:pBdr>
        <w:rPr>
          <w:noProof/>
        </w:rPr>
      </w:pPr>
      <w:r>
        <w:rPr>
          <w:noProof/>
        </w:rPr>
        <w:t>(g)</w:t>
      </w:r>
      <w:r>
        <w:rPr>
          <w:noProof/>
        </w:rPr>
        <w:tab/>
        <w:t>feedbackul primit din partea autorităților naționale, a serviciilor administrative și a altor entități publice care au beneficiat de sprijin în cadrul programului, precum și (dacă este disponibil) din partea altor părți interesate/participanți cu privire la rezultatele și/sau impactul acțiunilor întreprinse în cadrul programului, pentru fiecare obiectiv specific, domeniu de politică și stat membru beneficiar, informații sprijinite prin date cantitative sau empirice, în cazul în care acestea sunt disponibile;</w:t>
      </w:r>
    </w:p>
    <w:p>
      <w:pPr>
        <w:pStyle w:val="Text1"/>
        <w:pBdr>
          <w:top w:val="single" w:sz="4" w:space="1" w:color="auto"/>
          <w:left w:val="single" w:sz="4" w:space="4" w:color="auto"/>
          <w:bottom w:val="single" w:sz="4" w:space="1" w:color="auto"/>
          <w:right w:val="single" w:sz="4" w:space="4" w:color="auto"/>
        </w:pBdr>
        <w:rPr>
          <w:noProof/>
        </w:rPr>
      </w:pPr>
      <w:r>
        <w:rPr>
          <w:noProof/>
        </w:rPr>
        <w:t>(h)</w:t>
      </w:r>
      <w:r>
        <w:rPr>
          <w:noProof/>
        </w:rPr>
        <w:tab/>
        <w:t>feedbackul primit din partea furnizorilor de sprijin cu privire la rezultatele și/sau impactul sprijinului pe care l-au oferit în cadrul programului pentru obiectivul specific și domeniul de politică în care au fost activi, pentru fiecare stat membru beneficiar, informații sprijinite prin date cantitative sau empirice, în cazul în care acestea sunt disponibile;</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evoluția opiniilor părților interesate în ceea ce privește contribuția programului la realizarea reformelor pentru fiecare obiectiv specific, domeniu de politică și stat membru beneficiar, la care se adaugă date cantitative sau empirice, în cazul în care acestea sunt disponibile.</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t>1.5.</w:t>
      </w:r>
      <w:r>
        <w:tab/>
      </w:r>
      <w:r>
        <w:rPr>
          <w:noProof/>
        </w:rPr>
        <w:t xml:space="preserve">Motivele propunerii/inițiativei </w:t>
      </w:r>
    </w:p>
    <w:p>
      <w:pPr>
        <w:pStyle w:val="ManualHeading3"/>
        <w:rPr>
          <w:noProof/>
        </w:rPr>
      </w:pPr>
      <w:r>
        <w:t>1.5.1.</w:t>
      </w:r>
      <w:r>
        <w:tab/>
      </w:r>
      <w:r>
        <w:rPr>
          <w:noProof/>
        </w:rPr>
        <w:t xml:space="preserve">Cerință (cerințe) de îndeplinit pe termen scurt sau lung </w:t>
      </w:r>
    </w:p>
    <w:p>
      <w:pPr>
        <w:pStyle w:val="Text1"/>
        <w:pBdr>
          <w:top w:val="single" w:sz="4" w:space="1" w:color="auto"/>
          <w:left w:val="single" w:sz="4" w:space="4" w:color="auto"/>
          <w:bottom w:val="single" w:sz="4" w:space="1" w:color="auto"/>
          <w:right w:val="single" w:sz="4" w:space="4" w:color="auto"/>
        </w:pBdr>
        <w:rPr>
          <w:noProof/>
        </w:rPr>
      </w:pPr>
      <w:r>
        <w:rPr>
          <w:noProof/>
        </w:rPr>
        <w:t xml:space="preserve">Crearea unui mediu instituțional și de reglementare solid și existența unei economii care să funcționeze bine sunt elemente esențiale pentru realizarea de progrese în materie de competitivitate, încurajarea investițiilor, promovarea creării de locuri de muncă, creșterea nivelului de trai și pentru înregistrarea unei creșteri durabile în toate statele membre ale Uniunii. Multe economii din Uniune au făcut și continuă să facă obiectul unor procese de ajustare menite să corecteze dezechilibrele macroeconomice acumulate în trecut și multe dintre ele se confruntă cu provocarea reprezentată de potențialul redus de creștere. Această situație este adesea rezultatul unor reforme structurale efectuate cu întârziere sau insuficiente în economiile respective. Uniunea a identificat punerea în aplicare a reformelor structurale printre prioritățile sale de politică prin care urmărește să înscrie din nou redresarea pe o traiectorie sustenabilă, să deblocheze potențialul de creștere în vederea consolidării capacității de ajustare și să sprijine procesul de convergență. </w:t>
      </w:r>
    </w:p>
    <w:p>
      <w:pPr>
        <w:pStyle w:val="Text1"/>
        <w:pBdr>
          <w:top w:val="single" w:sz="4" w:space="1" w:color="auto"/>
          <w:left w:val="single" w:sz="4" w:space="4" w:color="auto"/>
          <w:bottom w:val="single" w:sz="4" w:space="1" w:color="auto"/>
          <w:right w:val="single" w:sz="4" w:space="4" w:color="auto"/>
        </w:pBdr>
        <w:rPr>
          <w:noProof/>
        </w:rPr>
      </w:pPr>
      <w:r>
        <w:rPr>
          <w:noProof/>
        </w:rPr>
        <w:t>Reformele trebuie să fie bine concepute, să fie legiferate și să fie puse în aplicare în mod eficace. Pentru ca reformele să dea rezultate nu este suficient să se adopte legislația necesară, ci trebuie ca aceste reforme să fie puse efectiv în aplicare, ceea ce presupune abordarea problemelor structurale ale administrațiilor publice (de exemplu competențele, mobilitatea, stimulentele, modificări ale proceselor de lucru etc.), precum și a provocărilor din domeniile economic și social. Este posibil ca beneficiile reformelor să nu se materializeze imediat, motiv pentru care este crucial ca acestea să fie puse în aplicare din timp și eficient, indiferent dacă este vorba de economii afectate de criză sau de economii care sunt slabe din punct de vedere structural.</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plus, îmbunătățirea punerii în aplicare a acquis-ul Uniunii reprezintă una dintre prioritățile Comisiei. În această privință, Comisia a precizat că trebuie să „coopereze cu statele membre pentru a examina cele mai bune modalități de a asigura respectarea legislației UE la nivel național”. </w:t>
      </w:r>
    </w:p>
    <w:p>
      <w:pPr>
        <w:pStyle w:val="Text1"/>
        <w:pBdr>
          <w:top w:val="single" w:sz="4" w:space="1" w:color="auto"/>
          <w:left w:val="single" w:sz="4" w:space="4" w:color="auto"/>
          <w:bottom w:val="single" w:sz="4" w:space="1" w:color="auto"/>
          <w:right w:val="single" w:sz="4" w:space="4" w:color="auto"/>
        </w:pBdr>
        <w:rPr>
          <w:noProof/>
        </w:rPr>
      </w:pPr>
      <w:r>
        <w:rPr>
          <w:noProof/>
        </w:rPr>
        <w:t>Sprijinul acordat în cadrul PSRS ar fi, prin urmare, disponibil tuturor celor 28 de state membre ale UE.</w:t>
      </w:r>
    </w:p>
    <w:p>
      <w:pPr>
        <w:pStyle w:val="ManualHeading3"/>
        <w:rPr>
          <w:noProof/>
        </w:rPr>
      </w:pPr>
      <w:r>
        <w:t>1.5.2.</w:t>
      </w:r>
      <w:r>
        <w:tab/>
      </w:r>
      <w:r>
        <w:rPr>
          <w:noProof/>
        </w:rPr>
        <w:t>Valoarea adăugată a implicării UE</w:t>
      </w:r>
    </w:p>
    <w:p>
      <w:pPr>
        <w:pStyle w:val="Text1"/>
        <w:pBdr>
          <w:top w:val="single" w:sz="4" w:space="1" w:color="auto"/>
          <w:left w:val="single" w:sz="4" w:space="4" w:color="auto"/>
          <w:bottom w:val="single" w:sz="4" w:space="1" w:color="auto"/>
          <w:right w:val="single" w:sz="4" w:space="4" w:color="auto"/>
        </w:pBdr>
        <w:rPr>
          <w:noProof/>
        </w:rPr>
      </w:pPr>
      <w:r>
        <w:rPr>
          <w:noProof/>
        </w:rPr>
        <w:t>Uniunea este mai în măsură decât statele membre să identifice, să mobilizeze și să coordoneze cea mai bună expertiză disponibilă (fie că provine din cadrul serviciilor instituțiilor europene și din alte țări, fie din cadrul organizațiilor internaționale) și să încurajeze schimbul de cele mai bune practici (precum și să asigure o diseminare consecventă a acestora în întreaga Uniune) în sprijinul punerii în aplicare unor reforme de promovare a creșterii economice cu obiective clar definite în statele membre.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plus, mobilizarea expertizei de către Uniune ar fi, de asemenea, mai eficace, întrucât ar crea economii de gamă și de scară prin instituirea unei platforme la nivelul întregii Uniunii prin care să se ofere și să se facă schimb de bune practici.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acest sens, acțiunile care trebuie puse în aplicare ar trebui să însoțească eforturile statelor membre și să fie complementare altor programe și politici de la nivel național, al Uniunii și internațional; acest lucru s-ar concretiza în special prin oferirea de acțiuni de sprijin care ar însoți pe teren (atunci când este posibil, prin intermediul experților detașați în statele respective) eforturile de reformă ale autorităților naționale pe parcursul diverselor etape sau faze ale procesului de reformă, vizând în special intervențiile care nu fac încă obiectul măsurilor de sprijin din cadrul altor programe ale Uniunii, nu sunt finanțate din fonduri ale Uniunii și nu fac obiectul unor inițiative naționale.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special, acțiunile din cadrul programului ar trebui să permită elaborarea și punerea în aplicare a unor soluții care să abordeze provocările de la nivel național, dar care să poată avea totodată impact la nivel transfrontalier și la nivelul Uniunii, să contribuie la schimbul de bune practici și la constituirea unei rețele de expertiză disponibile. În cele din urmă, acțiunile din cadrul programului ar contribui la promovarea în continuare a încrederii reciproce între statele membre beneficiare și Comisie.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Programul propus este cel mai adecvat mijloc de sprijinire pe teren a acelor state membre care pun în aplicare reforme ce vizează promovarea creșterii economice, dat fiind că Uniunea este mai în măsură decât statele membre să identifice, să mobilizeze și să coordoneze cea mai bună expertiză disponibilă și să pună la dispoziție o abordare coordonată în ceea ce privește sprijinul tehnic în statele membre care solicită asistență. </w:t>
      </w:r>
    </w:p>
    <w:p>
      <w:pPr>
        <w:pStyle w:val="Text1"/>
        <w:pBdr>
          <w:top w:val="single" w:sz="4" w:space="1" w:color="auto"/>
          <w:left w:val="single" w:sz="4" w:space="4" w:color="auto"/>
          <w:bottom w:val="single" w:sz="4" w:space="1" w:color="auto"/>
          <w:right w:val="single" w:sz="4" w:space="4" w:color="auto"/>
        </w:pBdr>
        <w:rPr>
          <w:noProof/>
        </w:rPr>
      </w:pPr>
      <w:r>
        <w:rPr>
          <w:noProof/>
        </w:rPr>
        <w:t>Valoarea adăugată europeană a introducerii PSRS este prezentată mai jos: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acțiunile din cadrul PSRS ar asigura complementaritatea și sinergia cu alte programe și politici de la nivel național, de la nivelul Uniunii și de la nivel internațional și ar contribui, de asemenea, la promovarea încrederii reciproce și la intensificarea cooperării între statele membre beneficiare și Comisie și la asigurarea unei puneri în aplicare consecvente și coerente a dreptului Uniunii. În plus, acțiunile din cadrul acestui program ar permite dezvoltarea și punerea în aplicare a unor soluții care ar aborda provocări existente la nivel național, dar ar avea și un impact pozitiv la nivel transfrontalier și/sau al Uniunii în ansamblul său. Această inițiativă va contribui la consolidarea coordonării politicilor economice și sectoriale ale statelor membre și la o mai bună punere în aplicare a dreptului Uniunii. În plus, programul va sprijini o abordare „colaborativă” în punerea în aplicare eficace a dreptului și a politicilor Uniunii de către statele membre și de către Uniune; acest lucru se datorează, printre altele, faptului că punerea în aplicare a unei politici sau reforme specifice într-o anumită țară poate beneficia de experiența similară a uneia sau a mai multor alte țări care au pus în aplicare politici sau reforme similare (și ar îmbogăți, la rândul său, experiența respectivă).</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 sprijinul acordat statelor membre va fi furnizat într-un mod coordonat în diferitele domenii de politică. Eforturile autorităților naționale de a-și consolida capacitatea de a formula, dezvolta și pune în aplicare politici și strategii de reformă ar fi continuate printr-o abordare integrată, care să asigure coerența între obiectivele și mijloacele din toate sectoarele. </w:t>
      </w:r>
    </w:p>
    <w:p>
      <w:pPr>
        <w:pStyle w:val="Text1"/>
        <w:pBdr>
          <w:top w:val="single" w:sz="4" w:space="1" w:color="auto"/>
          <w:left w:val="single" w:sz="4" w:space="4" w:color="auto"/>
          <w:bottom w:val="single" w:sz="4" w:space="1" w:color="auto"/>
          <w:right w:val="single" w:sz="4" w:space="4" w:color="auto"/>
        </w:pBdr>
        <w:rPr>
          <w:noProof/>
        </w:rPr>
      </w:pPr>
      <w:r>
        <w:rPr>
          <w:noProof/>
        </w:rPr>
        <w:t>În special, valoarea adăugată a acțiunilor din cadrul programului referitoare la alte instrumente ale Uniunii va fi asigurată prin faptul că decizia de a furniza sprijin unui stat membru solicitant va ține seama în mod corespunzător de acțiunile și măsurile existente finanțate din fonduri ale Uniunii sau de alte programe ale Uniunii în statul membru în cauză.</w:t>
      </w:r>
    </w:p>
    <w:p>
      <w:pPr>
        <w:pStyle w:val="Text1"/>
        <w:pBdr>
          <w:top w:val="single" w:sz="4" w:space="1" w:color="auto"/>
          <w:left w:val="single" w:sz="4" w:space="4" w:color="auto"/>
          <w:bottom w:val="single" w:sz="4" w:space="1" w:color="auto"/>
          <w:right w:val="single" w:sz="4" w:space="4" w:color="auto"/>
        </w:pBdr>
        <w:rPr>
          <w:noProof/>
        </w:rPr>
      </w:pPr>
      <w:r>
        <w:rPr>
          <w:noProof/>
        </w:rPr>
        <w:t xml:space="preserve">Pentru a permite o gestionare optimă a solicitărilor de asistență tehnică și pentru a asigura coerența și sinergia între acțiunile de asistență tehnică, PSRS urmează să aplice o abordare integrată similară cu cea adoptată în cazul Greciei și Ciprului, în cazul cărora asistența tehnică acordată diferitelor sectoare a fost coordonată de Comisie (prin intermediul TFGR și SGCY), iar, la nivel de stat membru, lucrările au fost coordonate de o anumită entitate (adică SGCO în Grecia și DGEPCD în Cipru) în cadrul administrațiilor naționale.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Sprijinul acordat statelor membre ar urma să fie consolidat prin utilizarea unei platforme pentru schimbul de bune practici între statele membre și organizațiile internaționale și adoptarea acestora. Uniunea este mai în măsură decât orice stat membru să identifice cele mai bune practici. S-ar asigura astfel o mai mare eficiență în ceea ce privește mobilizarea rapidă și schimbul de cele mai bune cunoștințe de specialitate prin intermediul unui grup de experți, care ar putea fi activat cu ușurință și, mai ales, rapid pentru a oferi sprijin la cererea unui stat membru.</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Programul ar permite realizarea de economii de scară și de gamă. Statele membre se confruntă adesea cu provocări similare și trebuie să găsească soluții la probleme practice similare legate de punerea în aplicare a reformelor. Acțiunea la nivelul Uniunii poate contribui la evitarea suprapunerii eforturilor, la promovarea cooperării între statele membre și la coordonarea cu organizațiile internaționale.</w:t>
      </w:r>
    </w:p>
    <w:p>
      <w:pPr>
        <w:pStyle w:val="ManualHeading3"/>
        <w:rPr>
          <w:bCs/>
          <w:noProof/>
          <w:szCs w:val="24"/>
        </w:rPr>
      </w:pPr>
      <w:r>
        <w:t>1.5.3.</w:t>
      </w:r>
      <w:r>
        <w:tab/>
      </w:r>
      <w:r>
        <w:rPr>
          <w:noProof/>
        </w:rPr>
        <w:t>Învățăminte desprinse din experiențe anterioare similare</w:t>
      </w:r>
    </w:p>
    <w:p>
      <w:pPr>
        <w:pStyle w:val="Text1"/>
        <w:pBdr>
          <w:top w:val="single" w:sz="4" w:space="1" w:color="auto"/>
          <w:left w:val="single" w:sz="4" w:space="4" w:color="auto"/>
          <w:bottom w:val="single" w:sz="4" w:space="0" w:color="auto"/>
          <w:right w:val="single" w:sz="4" w:space="4" w:color="auto"/>
        </w:pBdr>
        <w:rPr>
          <w:noProof/>
        </w:rPr>
      </w:pPr>
      <w:r>
        <w:rPr>
          <w:noProof/>
        </w:rPr>
        <w:t>Experiența dobândită în furnizarea de asistență tehnică Ciprului și Greciei în domenii care acoperă aproape întregul spectru de domenii ale politicilor publice oferă lecții utile pentru viitor în ceea ce privește posibila acordare de sprijin tehnic pentru toate statele membre. Furnizarea de asistență tehnică (AT) a fost esențială în sprijinirea procesului de ajustare economică din Cipru și Grecia (prin Grupul de sprijin pentru Cipru – SGCY și Grupul operativ pentru Grecia – TFGR).</w:t>
      </w:r>
    </w:p>
    <w:p>
      <w:pPr>
        <w:pStyle w:val="Text1"/>
        <w:pBdr>
          <w:top w:val="single" w:sz="4" w:space="1" w:color="auto"/>
          <w:left w:val="single" w:sz="4" w:space="4" w:color="auto"/>
          <w:bottom w:val="single" w:sz="4" w:space="0" w:color="auto"/>
          <w:right w:val="single" w:sz="4" w:space="4" w:color="auto"/>
        </w:pBdr>
        <w:rPr>
          <w:noProof/>
        </w:rPr>
      </w:pPr>
      <w:r>
        <w:rPr>
          <w:noProof/>
        </w:rPr>
        <w:t>Realizând valoarea adăugată a sprijinirii reformelor, Grecia și Cipru (cele două țări eligibile pentru a solicita asistență tehnică prin intermediul TFGR și SGCY) au solicitat și au primit sprijin tehnic pentru o gamă largă de domenii de politică, nu numai pentru cele care fac obiectul programelor lor de ajustare economică. În cadrul viitorului PSRS, acest tip de sprijin tehnic „extensiv” ar fi pus la dispoziția tuturor statelor membre, indiferent dacă au sau nu statutul de „țară participantă la program”.</w:t>
      </w:r>
    </w:p>
    <w:p>
      <w:pPr>
        <w:pStyle w:val="Text1"/>
        <w:pBdr>
          <w:top w:val="single" w:sz="4" w:space="1" w:color="auto"/>
          <w:left w:val="single" w:sz="4" w:space="4" w:color="auto"/>
          <w:bottom w:val="single" w:sz="4" w:space="0" w:color="auto"/>
          <w:right w:val="single" w:sz="4" w:space="4" w:color="auto"/>
        </w:pBdr>
        <w:rPr>
          <w:noProof/>
        </w:rPr>
      </w:pPr>
      <w:r>
        <w:rPr>
          <w:noProof/>
        </w:rPr>
        <w:t>Asistența tehnică oferită Greciei de către TFGR a făcut obiectul unei evaluări externe independente, în urma căreia a reieșit faptul că AT a contribuit la punerea în aplicare a programului de reformă în Grecia în domeniile care au făcut obiectul evaluării, respectiv reforma administrației fiscale și a administrației centrale, în perioada 2011­2013.</w:t>
      </w:r>
    </w:p>
    <w:p>
      <w:pPr>
        <w:pStyle w:val="Text1"/>
        <w:pBdr>
          <w:top w:val="single" w:sz="4" w:space="1" w:color="auto"/>
          <w:left w:val="single" w:sz="4" w:space="4" w:color="auto"/>
          <w:bottom w:val="single" w:sz="4" w:space="0" w:color="auto"/>
          <w:right w:val="single" w:sz="4" w:space="4" w:color="auto"/>
        </w:pBdr>
        <w:rPr>
          <w:noProof/>
        </w:rPr>
      </w:pPr>
      <w:r>
        <w:rPr>
          <w:noProof/>
        </w:rPr>
        <w:t xml:space="preserve">În acest context, se dorește extinderea – sub auspiciile Serviciului de sprijin pentru reforme structurale (SSRS) – a sprijinului tehnic la toate statele membre. Într-adevăr, pot exista provocări în statele membre în ceea ce privește elaborarea și punerea în aplicare a reformelor structurale și administrative. Acest lucru poate fi cauzat de factori precum capacitatea administrativă și instituțională limitată și aplicarea și implementarea inadecvată a legislației Uniunii. </w:t>
      </w:r>
    </w:p>
    <w:p>
      <w:pPr>
        <w:pStyle w:val="Text1"/>
        <w:pBdr>
          <w:top w:val="single" w:sz="4" w:space="1" w:color="auto"/>
          <w:left w:val="single" w:sz="4" w:space="4" w:color="auto"/>
          <w:bottom w:val="single" w:sz="4" w:space="0" w:color="auto"/>
          <w:right w:val="single" w:sz="4" w:space="4" w:color="auto"/>
        </w:pBdr>
        <w:rPr>
          <w:noProof/>
        </w:rPr>
      </w:pPr>
      <w:r>
        <w:rPr>
          <w:noProof/>
        </w:rPr>
        <w:t xml:space="preserve">Având în vedere această experiență, Programul de sprijin pentru reforme structurale (PSRS) propus vizează o extindere a asistenței tehnice, astfel încât de aceasta să poată beneficia, la cerere, toate statele membre. Mai precis, Comisia ar oferi - la cerere - sprijin tehnic. </w:t>
      </w:r>
    </w:p>
    <w:p>
      <w:pPr>
        <w:pStyle w:val="ManualHeading3"/>
        <w:rPr>
          <w:bCs/>
          <w:noProof/>
          <w:szCs w:val="24"/>
        </w:rPr>
      </w:pPr>
      <w:r>
        <w:t>1.5.4.</w:t>
      </w:r>
      <w:r>
        <w:tab/>
      </w:r>
      <w:r>
        <w:rPr>
          <w:noProof/>
        </w:rPr>
        <w:t>Compatibilitatea și posibila sinergie cu alte instrumente corespunzătoare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Programul ar completa resursele existente în materie de consolidare a capacității, asistența tehnică disponibilă în cadrul altor programe de finanțare ale Uniunii în contextul cadrului financiar multianual și asistența tehnică și alte acțiuni finanțate din fonduri ale Uniunii.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Programul ar adăuga valoare sprijinului oferit de diversele programe sectoriale ale Uniunii și acțiunilor desfășurate cu fonduri ale Uniunii, deoarece ar oferi o perspectivă la nivel macro specifică fiecărei țări, sprijinind, în același timp, cele mai importante reforme structurale în statele membre, în conformitate cu obiectivele strategice esențiale ale Uniunii. </w:t>
      </w:r>
    </w:p>
    <w:p>
      <w:pPr>
        <w:pStyle w:val="Text1"/>
        <w:pBdr>
          <w:top w:val="single" w:sz="4" w:space="1" w:color="auto"/>
          <w:left w:val="single" w:sz="4" w:space="4" w:color="auto"/>
          <w:bottom w:val="single" w:sz="4" w:space="1" w:color="auto"/>
          <w:right w:val="single" w:sz="4" w:space="4" w:color="auto"/>
        </w:pBdr>
        <w:rPr>
          <w:noProof/>
        </w:rPr>
      </w:pPr>
      <w:r>
        <w:rPr>
          <w:noProof/>
        </w:rPr>
        <w:t>În plus, Comisia ar asigura coordonarea necesară în cadrul acordurilor de lucru interne, în special în cursul procesului care conduce la adoptarea programului (programelor) de lucru. Serviciile vizate vor colabora pentru a se asigura că acțiunile propuse care urmează să fie puse în aplicare în cadrul programului (programelor) de lucru al(e) PSRS sunt cu adevărat complementare și nu se suprapun cu cele ale altor programe ale Uniunii și fonduri (inclusiv fonduri ale Uniunii, în special fondurile structurale și de investiții europene). În acest sens, după cum s-a menționat anterior, decizia de a furniza sprijin unui stat membru ar lua în considerare, printre altele, acțiunile și măsurile existente finanțate din fonduri ale Uniunii sau prin alte programe ale Uniunii.</w:t>
      </w:r>
    </w:p>
    <w:p>
      <w:pPr>
        <w:pStyle w:val="Text1"/>
        <w:pBdr>
          <w:top w:val="single" w:sz="4" w:space="1" w:color="auto"/>
          <w:left w:val="single" w:sz="4" w:space="4" w:color="auto"/>
          <w:bottom w:val="single" w:sz="4" w:space="1" w:color="auto"/>
          <w:right w:val="single" w:sz="4" w:space="4" w:color="auto"/>
        </w:pBdr>
        <w:rPr>
          <w:noProof/>
        </w:rPr>
      </w:pPr>
      <w:r>
        <w:rPr>
          <w:noProof/>
        </w:rPr>
        <w:t>Într-adevăr, mai multe programe ale Uniunii prevăd posibilitatea de a oferi asistență tehnică statelor membre în punerea în aplicare a anumitor acțiuni de politică publică în domenii specifice. În funcție de obiectivul specific și de domeniu, acestea sunt concepute astfel încât să promoveze crearea unor condiții favorabile pentru creșterea economică și pentru protecția și îmbunătățirea socială și a mediului. Sprijinul acordat în cadrul acestor programe este caracterizat prin faptul că se axează pe anumite teme și contribuie la îndeplinirea obiectivelor specifice ale programelor respective.</w:t>
      </w:r>
    </w:p>
    <w:p>
      <w:pPr>
        <w:pStyle w:val="Text1"/>
        <w:pBdr>
          <w:top w:val="single" w:sz="4" w:space="1" w:color="auto"/>
          <w:left w:val="single" w:sz="4" w:space="4" w:color="auto"/>
          <w:bottom w:val="single" w:sz="4" w:space="1" w:color="auto"/>
          <w:right w:val="single" w:sz="4" w:space="4" w:color="auto"/>
        </w:pBdr>
        <w:rPr>
          <w:noProof/>
        </w:rPr>
      </w:pPr>
      <w:r>
        <w:rPr>
          <w:noProof/>
        </w:rPr>
        <w:t>Strategia Europa 2020 vizează crearea condițiilor pentru o creștere inteligentă, durabilă și favorabilă incluziunii în toate statele membre. Creșterea economică este esențială pentru reducerea șomajului, îmbunătățirea coeziunii sociale și creșterea nivelului de trai. Uniunea a identificat punerea în aplicare a unor reforme structurale printre prioritățile sale de politică prin care urmărește să înscrie din nou redresarea pe o traiectorie sustenabilă, să deblocheze potențialul de creștere în vederea consolidării capacității de ajustare și să sprijine procesul de convergență.</w:t>
      </w:r>
    </w:p>
    <w:p>
      <w:pPr>
        <w:pStyle w:val="Text1"/>
        <w:pBdr>
          <w:top w:val="single" w:sz="4" w:space="1" w:color="auto"/>
          <w:left w:val="single" w:sz="4" w:space="4" w:color="auto"/>
          <w:bottom w:val="single" w:sz="4" w:space="1" w:color="auto"/>
          <w:right w:val="single" w:sz="4" w:space="4" w:color="auto"/>
        </w:pBdr>
        <w:rPr>
          <w:noProof/>
        </w:rPr>
      </w:pPr>
      <w:r>
        <w:rPr>
          <w:noProof/>
        </w:rPr>
        <w:t>Procesul de reformă este complex și adesea costisitor, necesită expertiză în mai multe domenii simultan și poate avea un impact transfrontalier. Sprijinul din partea Uniunii ar contribui la consolidarea capacității de a efectua reforme profunde de promovare a creșterii economice în statele membre, care să aibă un impact la nivelul întregii Uniuni.</w:t>
      </w:r>
    </w:p>
    <w:p>
      <w:pPr>
        <w:pStyle w:val="Text1"/>
        <w:pBdr>
          <w:top w:val="single" w:sz="4" w:space="1" w:color="auto"/>
          <w:left w:val="single" w:sz="4" w:space="4" w:color="auto"/>
          <w:bottom w:val="single" w:sz="4" w:space="1" w:color="auto"/>
          <w:right w:val="single" w:sz="4" w:space="4" w:color="auto"/>
        </w:pBdr>
        <w:rPr>
          <w:noProof/>
        </w:rPr>
      </w:pPr>
      <w:r>
        <w:rPr>
          <w:noProof/>
        </w:rPr>
        <w:t>Programul, care trebuie implementat în strânsă cooperare cu autoritățile naționale în cauză, ar contribui în mod activ, în aceste state membre, la consolidarea capacității administrative de reformare a instituțiilor, a administrației și a sectoarelor economice și sociale, în vederea obținerii unor structuri simplificate, eficiente și moderne în slujba cetățenilor și a companiilor.</w:t>
      </w:r>
    </w:p>
    <w:p>
      <w:pPr>
        <w:pStyle w:val="Text1"/>
        <w:pBdr>
          <w:top w:val="single" w:sz="4" w:space="1" w:color="auto"/>
          <w:left w:val="single" w:sz="4" w:space="4" w:color="auto"/>
          <w:bottom w:val="single" w:sz="4" w:space="1" w:color="auto"/>
          <w:right w:val="single" w:sz="4" w:space="4" w:color="auto"/>
        </w:pBdr>
        <w:rPr>
          <w:noProof/>
        </w:rPr>
      </w:pPr>
      <w:r>
        <w:rPr>
          <w:noProof/>
        </w:rPr>
        <w:t>În fine, programul ar permite furnizarea unui sprijin tehnic vital pentru punerea în aplicare cu succes a unor noi elemente importante ale pieței unice (inclusiv a părții digitale a acesteia). De exemplu, Planul de acțiune privind uniunea piețelor de capital (CMU) prevede acordarea de sprijin tehnic pentru dezvoltarea pieței de capital. Programul ar oferi cadrul și fondurile necesare pentru un astfel de sprijin.</w:t>
      </w:r>
    </w:p>
    <w:p>
      <w:pPr>
        <w:pStyle w:val="Text1"/>
        <w:pBdr>
          <w:top w:val="single" w:sz="4" w:space="1" w:color="auto"/>
          <w:left w:val="single" w:sz="4" w:space="4" w:color="auto"/>
          <w:bottom w:val="single" w:sz="4" w:space="1" w:color="auto"/>
          <w:right w:val="single" w:sz="4" w:space="4" w:color="auto"/>
        </w:pBdr>
        <w:rPr>
          <w:noProof/>
        </w:rPr>
      </w:pPr>
      <w:r>
        <w:rPr>
          <w:noProof/>
        </w:rPr>
        <w:t>Proporționalitatea</w:t>
      </w:r>
    </w:p>
    <w:p>
      <w:pPr>
        <w:pStyle w:val="Text1"/>
        <w:pBdr>
          <w:top w:val="single" w:sz="4" w:space="1" w:color="auto"/>
          <w:left w:val="single" w:sz="4" w:space="4" w:color="auto"/>
          <w:bottom w:val="single" w:sz="4" w:space="1" w:color="auto"/>
          <w:right w:val="single" w:sz="4" w:space="4" w:color="auto"/>
        </w:pBdr>
        <w:rPr>
          <w:noProof/>
        </w:rPr>
      </w:pPr>
      <w:r>
        <w:rPr>
          <w:noProof/>
        </w:rPr>
        <w:t>Propunerea respectă principiul proporționalității deoarece nu depășește nivelul minim necesar pentru realizarea la nivel european a obiectivului specificat și ceea ce este necesar pentru îndeplinirea acestuia. Acest lucru este confirmat de faptul că, în primul rând, asistența care urmează să fie furnizată autorităților naționale ale unui stat membru (inclusiv autorităților naționale ale acestuia) trebuie să se bazeze pe o cerere de sprijin formulată de statul membru respectiv și, în al doilea rând, de faptul că sfera de aplicare a sprijinului ar fi convenită de Comisie și statul membru în cauză.</w:t>
      </w:r>
    </w:p>
    <w:p>
      <w:pPr>
        <w:pStyle w:val="ManualHeading2"/>
        <w:rPr>
          <w:bCs/>
          <w:noProof/>
          <w:szCs w:val="24"/>
        </w:rPr>
      </w:pPr>
      <w:r>
        <w:t>1.6.</w:t>
      </w:r>
      <w:r>
        <w:tab/>
      </w:r>
      <w:r>
        <w:rPr>
          <w:noProof/>
        </w:rPr>
        <w:t xml:space="preserve">Durata și impactul financiar </w:t>
      </w:r>
    </w:p>
    <w:p>
      <w:pPr>
        <w:pStyle w:val="Text1"/>
        <w:rPr>
          <w:noProof/>
        </w:rPr>
      </w:pPr>
      <w:r>
        <w:rPr>
          <w:noProof/>
        </w:rPr>
        <w:sym w:font="Wingdings" w:char="F078"/>
      </w:r>
      <w:r>
        <w:rPr>
          <w:noProof/>
        </w:rPr>
        <w:t xml:space="preserve"> Propunere/inițiativă pe </w:t>
      </w:r>
      <w:r>
        <w:rPr>
          <w:b/>
          <w:noProof/>
        </w:rPr>
        <w:t xml:space="preserve">durată determinată </w:t>
      </w:r>
    </w:p>
    <w:p>
      <w:pPr>
        <w:pStyle w:val="ListDash2"/>
        <w:ind w:left="1134"/>
        <w:rPr>
          <w:noProof/>
        </w:rPr>
      </w:pPr>
      <w:r>
        <w:rPr>
          <w:noProof/>
        </w:rPr>
        <w:sym w:font="Wingdings" w:char="F078"/>
      </w:r>
      <w:r>
        <w:rPr>
          <w:noProof/>
        </w:rPr>
        <w:t xml:space="preserve"> Propunere/inițiativă în vigoare de la 1.1.2017 până la 31.12.2020</w:t>
      </w:r>
    </w:p>
    <w:p>
      <w:pPr>
        <w:pStyle w:val="ListDash2"/>
        <w:ind w:left="1134"/>
        <w:rPr>
          <w:noProof/>
        </w:rPr>
      </w:pPr>
      <w:r>
        <w:rPr>
          <w:noProof/>
        </w:rPr>
        <w:sym w:font="Wingdings" w:char="F078"/>
      </w:r>
      <w:r>
        <w:rPr>
          <w:noProof/>
        </w:rPr>
        <w:t xml:space="preserve"> Impact financiar de la 1.1.2017 până la 31.12.2020 și ulterior</w:t>
      </w:r>
    </w:p>
    <w:p>
      <w:pPr>
        <w:pStyle w:val="Text1"/>
        <w:rPr>
          <w:noProof/>
        </w:rPr>
      </w:pPr>
      <w:r>
        <w:rPr>
          <w:noProof/>
        </w:rPr>
        <w:sym w:font="Wingdings" w:char="F0A8"/>
      </w:r>
      <w:r>
        <w:rPr>
          <w:noProof/>
        </w:rPr>
        <w:t xml:space="preserve"> Propunere/inițiativă pe </w:t>
      </w:r>
      <w:r>
        <w:rPr>
          <w:b/>
          <w:noProof/>
        </w:rPr>
        <w:t>durată nedeterminată</w:t>
      </w:r>
    </w:p>
    <w:p>
      <w:pPr>
        <w:pStyle w:val="ListDash1"/>
        <w:ind w:left="1134"/>
        <w:rPr>
          <w:noProof/>
        </w:rPr>
      </w:pPr>
      <w:r>
        <w:rPr>
          <w:noProof/>
        </w:rPr>
        <w:t>punere în aplicare cu o perioadă de creștere în intensitate din AAAA până în AAAA,</w:t>
      </w:r>
    </w:p>
    <w:p>
      <w:pPr>
        <w:pStyle w:val="ListDash1"/>
        <w:ind w:left="1134"/>
        <w:rPr>
          <w:noProof/>
        </w:rPr>
      </w:pPr>
      <w:r>
        <w:rPr>
          <w:noProof/>
        </w:rPr>
        <w:t>urmată de o perioadă de funcționare în regim de croazieră.</w:t>
      </w:r>
    </w:p>
    <w:p>
      <w:pPr>
        <w:pStyle w:val="ManualHeading2"/>
        <w:rPr>
          <w:bCs/>
          <w:noProof/>
          <w:szCs w:val="24"/>
        </w:rPr>
      </w:pPr>
      <w:r>
        <w:t>1.7.</w:t>
      </w:r>
      <w:r>
        <w:tab/>
      </w:r>
      <w:r>
        <w:rPr>
          <w:noProof/>
        </w:rPr>
        <w:t>Modul (modurile) de gestiune preconizat(e)</w:t>
      </w:r>
      <w:r>
        <w:rPr>
          <w:rStyle w:val="FootnoteReference"/>
          <w:noProof/>
        </w:rPr>
        <w:footnoteReference w:id="30"/>
      </w:r>
    </w:p>
    <w:p>
      <w:pPr>
        <w:pStyle w:val="Text1"/>
        <w:rPr>
          <w:noProof/>
        </w:rPr>
      </w:pPr>
      <w:r>
        <w:rPr>
          <w:noProof/>
        </w:rPr>
        <w:sym w:font="Wingdings" w:char="F078"/>
      </w:r>
      <w:r>
        <w:rPr>
          <w:noProof/>
        </w:rPr>
        <w:t xml:space="preserve"> </w:t>
      </w:r>
      <w:r>
        <w:rPr>
          <w:b/>
          <w:noProof/>
        </w:rPr>
        <w:t xml:space="preserve">Gestiune directă </w:t>
      </w:r>
      <w:r>
        <w:rPr>
          <w:noProof/>
        </w:rPr>
        <w:t>asigurată de către Comisie</w:t>
      </w:r>
    </w:p>
    <w:p>
      <w:pPr>
        <w:pStyle w:val="ListDash2"/>
        <w:ind w:left="1134"/>
        <w:rPr>
          <w:rFonts w:cs="EUAlbertina"/>
          <w:noProof/>
        </w:rPr>
      </w:pPr>
      <w:r>
        <w:rPr>
          <w:noProof/>
        </w:rPr>
        <w:sym w:font="Wingdings" w:char="F078"/>
      </w:r>
      <w:r>
        <w:rPr>
          <w:noProof/>
        </w:rPr>
        <w:t xml:space="preserve"> prin intermediul serviciilor sale, inclusiv al personalului din delegațiile Uniunii; </w:t>
      </w:r>
    </w:p>
    <w:p>
      <w:pPr>
        <w:pStyle w:val="ListDash2"/>
        <w:ind w:left="1134"/>
        <w:rPr>
          <w:noProof/>
        </w:rPr>
      </w:pPr>
      <w:r>
        <w:rPr>
          <w:noProof/>
        </w:rPr>
        <w:sym w:font="Wingdings" w:char="F0A8"/>
      </w:r>
      <w:r>
        <w:rPr>
          <w:noProof/>
        </w:rPr>
        <w:t xml:space="preserve"> prin intermediul agențiilor executive; </w:t>
      </w:r>
    </w:p>
    <w:p>
      <w:pPr>
        <w:pStyle w:val="Text1"/>
        <w:rPr>
          <w:noProof/>
        </w:rPr>
      </w:pPr>
      <w:r>
        <w:rPr>
          <w:noProof/>
        </w:rPr>
        <w:sym w:font="Wingdings" w:char="F0A8"/>
      </w:r>
      <w:r>
        <w:rPr>
          <w:noProof/>
        </w:rPr>
        <w:t xml:space="preserve"> </w:t>
      </w:r>
      <w:r>
        <w:rPr>
          <w:b/>
          <w:noProof/>
        </w:rPr>
        <w:t xml:space="preserve">Gestiune partajată </w:t>
      </w:r>
      <w:r>
        <w:rPr>
          <w:noProof/>
        </w:rPr>
        <w:t xml:space="preserve">cu statele membre </w:t>
      </w:r>
    </w:p>
    <w:p>
      <w:pPr>
        <w:pStyle w:val="Text1"/>
        <w:rPr>
          <w:noProof/>
        </w:rPr>
      </w:pPr>
      <w:r>
        <w:rPr>
          <w:noProof/>
        </w:rPr>
        <w:sym w:font="Wingdings" w:char="F078"/>
      </w:r>
      <w:r>
        <w:rPr>
          <w:noProof/>
        </w:rPr>
        <w:t xml:space="preserve"> </w:t>
      </w:r>
      <w:r>
        <w:rPr>
          <w:b/>
          <w:noProof/>
        </w:rPr>
        <w:t>Gestiune indirectă</w:t>
      </w:r>
      <w:r>
        <w:rPr>
          <w:noProof/>
        </w:rPr>
        <w:t>, cu delegarea sarcinilor de execuție bugetară:</w:t>
      </w:r>
    </w:p>
    <w:p>
      <w:pPr>
        <w:pStyle w:val="ListDash2"/>
        <w:ind w:left="1134"/>
        <w:rPr>
          <w:noProof/>
        </w:rPr>
      </w:pPr>
      <w:r>
        <w:rPr>
          <w:noProof/>
        </w:rPr>
        <w:sym w:font="Wingdings" w:char="F0A8"/>
      </w:r>
      <w:r>
        <w:rPr>
          <w:noProof/>
        </w:rPr>
        <w:t xml:space="preserve"> țărilor terțe sau organismelor pe care le-au delegat acestea;</w:t>
      </w:r>
    </w:p>
    <w:p>
      <w:pPr>
        <w:pStyle w:val="ListDash2"/>
        <w:ind w:left="1134"/>
        <w:rPr>
          <w:noProof/>
        </w:rPr>
      </w:pPr>
      <w:r>
        <w:rPr>
          <w:noProof/>
        </w:rPr>
        <w:sym w:font="Wingdings" w:char="F078"/>
      </w:r>
      <w:r>
        <w:rPr>
          <w:noProof/>
        </w:rPr>
        <w:t xml:space="preserve"> organizațiilor internaționale și agențiilor acestora (a se preciza);</w:t>
      </w:r>
    </w:p>
    <w:p>
      <w:pPr>
        <w:pStyle w:val="ListDash2"/>
        <w:ind w:left="1134"/>
        <w:rPr>
          <w:noProof/>
        </w:rPr>
      </w:pPr>
      <w:r>
        <w:rPr>
          <w:noProof/>
        </w:rPr>
        <w:sym w:font="Wingdings" w:char="F078"/>
      </w:r>
      <w:r>
        <w:rPr>
          <w:noProof/>
        </w:rPr>
        <w:t xml:space="preserve"> BEI și Fondului european de investiții;</w:t>
      </w:r>
    </w:p>
    <w:p>
      <w:pPr>
        <w:pStyle w:val="ListDash2"/>
        <w:ind w:left="1134"/>
        <w:rPr>
          <w:noProof/>
        </w:rPr>
      </w:pPr>
      <w:r>
        <w:rPr>
          <w:noProof/>
        </w:rPr>
        <w:sym w:font="Wingdings" w:char="F0A8"/>
      </w:r>
      <w:r>
        <w:rPr>
          <w:noProof/>
        </w:rPr>
        <w:t xml:space="preserve"> organismelor menționate la articolele 208 și 209 din Regulamentul financiar;</w:t>
      </w:r>
    </w:p>
    <w:p>
      <w:pPr>
        <w:pStyle w:val="ListDash2"/>
        <w:ind w:left="1134"/>
        <w:rPr>
          <w:noProof/>
        </w:rPr>
      </w:pPr>
      <w:r>
        <w:rPr>
          <w:noProof/>
        </w:rPr>
        <w:sym w:font="Wingdings" w:char="F078"/>
      </w:r>
      <w:r>
        <w:rPr>
          <w:noProof/>
        </w:rPr>
        <w:t xml:space="preserve"> organismelor de drept public;</w:t>
      </w:r>
    </w:p>
    <w:p>
      <w:pPr>
        <w:pStyle w:val="ListDash2"/>
        <w:ind w:left="1134"/>
        <w:rPr>
          <w:noProof/>
        </w:rPr>
      </w:pPr>
      <w:r>
        <w:rPr>
          <w:noProof/>
        </w:rPr>
        <w:sym w:font="Wingdings" w:char="F078"/>
      </w:r>
      <w:r>
        <w:rPr>
          <w:noProof/>
        </w:rPr>
        <w:t xml:space="preserve"> organismelor de drept privat cu misiune de serviciu public, cu condiția să prezinte garanții financiare adecvate;</w:t>
      </w:r>
    </w:p>
    <w:p>
      <w:pPr>
        <w:pStyle w:val="ListDash2"/>
        <w:ind w:left="1134"/>
        <w:rPr>
          <w:noProof/>
        </w:rPr>
      </w:pPr>
      <w:r>
        <w:rPr>
          <w:noProof/>
        </w:rPr>
        <w:sym w:font="Wingdings" w:char="F078"/>
      </w:r>
      <w:r>
        <w:rPr>
          <w:noProof/>
        </w:rPr>
        <w:t xml:space="preserve"> organismelor de drept privat dintr-un stat membru care sunt responsabile cu punerea în aplicare a unui parteneriat public-privat și care prezintă garanții financiare adecvate;</w:t>
      </w:r>
    </w:p>
    <w:p>
      <w:pPr>
        <w:pStyle w:val="ListDash2"/>
        <w:ind w:left="1134"/>
        <w:rPr>
          <w:noProof/>
        </w:rPr>
      </w:pPr>
      <w:r>
        <w:rPr>
          <w:noProof/>
        </w:rPr>
        <w:sym w:font="Wingdings" w:char="F0A8"/>
      </w:r>
      <w:r>
        <w:rPr>
          <w:noProof/>
        </w:rPr>
        <w:t xml:space="preserve"> persoanelor cărora li se încredințează executarea unor acțiuni specifice în cadrul PESC, în temeiul titlului V din TUE, identificate în actul de bază relevant.</w:t>
      </w:r>
    </w:p>
    <w:p>
      <w:pPr>
        <w:pStyle w:val="ListDash2"/>
        <w:ind w:left="1134"/>
        <w:rPr>
          <w:i/>
          <w:noProof/>
          <w:sz w:val="18"/>
          <w:u w:val="single"/>
        </w:rPr>
      </w:pPr>
      <w:r>
        <w:rPr>
          <w:i/>
          <w:noProof/>
          <w:sz w:val="18"/>
        </w:rPr>
        <w:t>Dacă se indică mai multe moduri de gestiune, a se furniza detalii suplimentare în secțiunea „Observații“.</w:t>
      </w:r>
    </w:p>
    <w:p>
      <w:pPr>
        <w:pStyle w:val="ManualHeading1"/>
        <w:rPr>
          <w:bCs/>
          <w:noProof/>
          <w:szCs w:val="24"/>
        </w:rPr>
      </w:pPr>
      <w:r>
        <w:t>2.</w:t>
      </w:r>
      <w:r>
        <w:tab/>
      </w:r>
      <w:r>
        <w:rPr>
          <w:noProof/>
        </w:rPr>
        <w:t xml:space="preserve">MĂSURI DE GESTIONARE </w:t>
      </w:r>
    </w:p>
    <w:p>
      <w:pPr>
        <w:pStyle w:val="ManualHeading2"/>
        <w:rPr>
          <w:noProof/>
        </w:rPr>
      </w:pPr>
      <w:r>
        <w:t>2.1.</w:t>
      </w:r>
      <w:r>
        <w:tab/>
      </w:r>
      <w:r>
        <w:rPr>
          <w:noProof/>
        </w:rPr>
        <w:t xml:space="preserve">Dispoziții în materie de monitorizare și de raportare </w:t>
      </w:r>
    </w:p>
    <w:p>
      <w:pPr>
        <w:pStyle w:val="Text1"/>
        <w:rPr>
          <w:i/>
          <w:noProof/>
          <w:sz w:val="20"/>
          <w:u w:val="single"/>
        </w:rPr>
      </w:pPr>
      <w:r>
        <w:rPr>
          <w:i/>
          <w:noProof/>
          <w:sz w:val="20"/>
        </w:rPr>
        <w:t>A se preciza frecvența și condițiile aferente acestor dispoziții.</w:t>
      </w:r>
    </w:p>
    <w:p>
      <w:pPr>
        <w:pStyle w:val="Text1"/>
        <w:pBdr>
          <w:top w:val="single" w:sz="4" w:space="1" w:color="auto"/>
          <w:left w:val="single" w:sz="4" w:space="4" w:color="auto"/>
          <w:bottom w:val="single" w:sz="4" w:space="1" w:color="auto"/>
          <w:right w:val="single" w:sz="4" w:space="4" w:color="auto"/>
        </w:pBdr>
        <w:rPr>
          <w:noProof/>
        </w:rPr>
      </w:pPr>
      <w:r>
        <w:rPr>
          <w:noProof/>
        </w:rPr>
        <w:t>Propunerea include obligații de monitorizare și de evaluare. Realizarea obiectivelor specifice va fi monitorizată pe baza indicatorilor prevăzuți în propunere.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Până cel târziu la jumătatea anului 2019, Comisia va prezenta Parlamentului European și Consiliului un raport de evaluare intermediară, iar până la sfârșitul lunii decembrie 2021, un raport de evaluare </w:t>
      </w:r>
      <w:r>
        <w:rPr>
          <w:i/>
          <w:noProof/>
        </w:rPr>
        <w:t>ex post</w:t>
      </w:r>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Raportul de evaluare intermediară va examina îndeplinirea obiectivelor prevăzute în program, eficiența folosirii resurselor, valoarea adăugată europeană a programului și necesitatea adaptării sau prelungirii după 2020 a finanțării în domeniile care fac obiectul programului. De asemenea, raportul va analiza dacă toate obiectivele și acțiunile sunt în continuare relevante. Raportul de evaluare </w:t>
      </w:r>
      <w:r>
        <w:rPr>
          <w:i/>
          <w:noProof/>
        </w:rPr>
        <w:t>ex post</w:t>
      </w:r>
      <w:r>
        <w:rPr>
          <w:noProof/>
        </w:rPr>
        <w:t xml:space="preserve"> include informații privind impactul pe termen mai lung al programului.</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r>
        <w:t>2.2.</w:t>
      </w:r>
      <w:r>
        <w:tab/>
      </w:r>
      <w:r>
        <w:rPr>
          <w:noProof/>
        </w:rPr>
        <w:t xml:space="preserve">Sistemul de gestiune și de control </w:t>
      </w:r>
    </w:p>
    <w:p>
      <w:pPr>
        <w:pStyle w:val="ManualHeading3"/>
        <w:rPr>
          <w:noProof/>
        </w:rPr>
      </w:pPr>
      <w:r>
        <w:t>2.2.1.</w:t>
      </w:r>
      <w:r>
        <w:tab/>
      </w:r>
      <w:r>
        <w:rPr>
          <w:noProof/>
        </w:rPr>
        <w:t xml:space="preserve">Riscul (riscurile) identificat(e) </w:t>
      </w:r>
    </w:p>
    <w:p>
      <w:pPr>
        <w:pStyle w:val="Text1"/>
        <w:pBdr>
          <w:top w:val="single" w:sz="4" w:space="1" w:color="auto"/>
          <w:left w:val="single" w:sz="4" w:space="4" w:color="auto"/>
          <w:bottom w:val="single" w:sz="4" w:space="1" w:color="auto"/>
          <w:right w:val="single" w:sz="4" w:space="4" w:color="auto"/>
        </w:pBdr>
        <w:rPr>
          <w:noProof/>
        </w:rPr>
      </w:pPr>
      <w:r>
        <w:rPr>
          <w:noProof/>
        </w:rPr>
        <w:t>Programul poate fi implementat fie direct de către Comisie, fie indirect, de către alte entități și persoane decât statele membre, în conformitate cu articolul 60 din Regulamentul financiar. În special, Uniunea acordă, pentru activități, sprijin financiar sub formă de:</w:t>
      </w:r>
    </w:p>
    <w:p>
      <w:pPr>
        <w:pStyle w:val="Text1"/>
        <w:pBdr>
          <w:top w:val="single" w:sz="4" w:space="1" w:color="auto"/>
          <w:left w:val="single" w:sz="4" w:space="4" w:color="auto"/>
          <w:bottom w:val="single" w:sz="4" w:space="1" w:color="auto"/>
          <w:right w:val="single" w:sz="4" w:space="4" w:color="auto"/>
        </w:pBdr>
        <w:rPr>
          <w:noProof/>
        </w:rPr>
      </w:pPr>
      <w:r>
        <w:rPr>
          <w:noProof/>
        </w:rPr>
        <w:t>i.</w:t>
      </w:r>
      <w:r>
        <w:rPr>
          <w:noProof/>
        </w:rPr>
        <w:tab/>
        <w:t>granturi (inclusiv pentru autoritățile naționale ale statelor membre)</w:t>
      </w:r>
    </w:p>
    <w:p>
      <w:pPr>
        <w:pStyle w:val="Text1"/>
        <w:pBdr>
          <w:top w:val="single" w:sz="4" w:space="1" w:color="auto"/>
          <w:left w:val="single" w:sz="4" w:space="4" w:color="auto"/>
          <w:bottom w:val="single" w:sz="4" w:space="1" w:color="auto"/>
          <w:right w:val="single" w:sz="4" w:space="4" w:color="auto"/>
        </w:pBdr>
        <w:rPr>
          <w:noProof/>
        </w:rPr>
      </w:pPr>
      <w:r>
        <w:rPr>
          <w:noProof/>
        </w:rPr>
        <w:t>ii.</w:t>
      </w:r>
      <w:r>
        <w:rPr>
          <w:noProof/>
        </w:rPr>
        <w:tab/>
        <w:t>contracte de achiziții publice</w:t>
      </w:r>
    </w:p>
    <w:p>
      <w:pPr>
        <w:pStyle w:val="Text1"/>
        <w:pBdr>
          <w:top w:val="single" w:sz="4" w:space="1" w:color="auto"/>
          <w:left w:val="single" w:sz="4" w:space="4" w:color="auto"/>
          <w:bottom w:val="single" w:sz="4" w:space="1" w:color="auto"/>
          <w:right w:val="single" w:sz="4" w:space="4" w:color="auto"/>
        </w:pBdr>
        <w:rPr>
          <w:noProof/>
        </w:rPr>
      </w:pPr>
      <w:r>
        <w:rPr>
          <w:noProof/>
        </w:rPr>
        <w:t>iii.</w:t>
      </w:r>
      <w:r>
        <w:rPr>
          <w:noProof/>
        </w:rPr>
        <w:tab/>
        <w:t>rambursarea cheltuielilor suportate de experții externi</w:t>
      </w:r>
    </w:p>
    <w:p>
      <w:pPr>
        <w:pStyle w:val="Text1"/>
        <w:pBdr>
          <w:top w:val="single" w:sz="4" w:space="1" w:color="auto"/>
          <w:left w:val="single" w:sz="4" w:space="4" w:color="auto"/>
          <w:bottom w:val="single" w:sz="4" w:space="1" w:color="auto"/>
          <w:right w:val="single" w:sz="4" w:space="4" w:color="auto"/>
        </w:pBdr>
        <w:rPr>
          <w:noProof/>
        </w:rPr>
      </w:pPr>
      <w:r>
        <w:rPr>
          <w:noProof/>
        </w:rPr>
        <w:t>iv.</w:t>
      </w:r>
      <w:r>
        <w:rPr>
          <w:noProof/>
        </w:rPr>
        <w:tab/>
        <w:t>contribuții la fondurile fiduciare</w:t>
      </w:r>
    </w:p>
    <w:p>
      <w:pPr>
        <w:pStyle w:val="Text1"/>
        <w:pBdr>
          <w:top w:val="single" w:sz="4" w:space="1" w:color="auto"/>
          <w:left w:val="single" w:sz="4" w:space="4" w:color="auto"/>
          <w:bottom w:val="single" w:sz="4" w:space="1" w:color="auto"/>
          <w:right w:val="single" w:sz="4" w:space="4" w:color="auto"/>
        </w:pBdr>
        <w:rPr>
          <w:noProof/>
        </w:rPr>
      </w:pPr>
      <w:r>
        <w:rPr>
          <w:noProof/>
        </w:rPr>
        <w:t>v.</w:t>
      </w:r>
      <w:r>
        <w:rPr>
          <w:noProof/>
        </w:rPr>
        <w:tab/>
        <w:t xml:space="preserve">acțiuni desfășurate în cadrul gestiunii indirecte. </w:t>
      </w:r>
    </w:p>
    <w:p>
      <w:pPr>
        <w:pStyle w:val="Text1"/>
        <w:pBdr>
          <w:top w:val="single" w:sz="4" w:space="1" w:color="auto"/>
          <w:left w:val="single" w:sz="4" w:space="4" w:color="auto"/>
          <w:bottom w:val="single" w:sz="4" w:space="1" w:color="auto"/>
          <w:right w:val="single" w:sz="4" w:space="4" w:color="auto"/>
        </w:pBdr>
        <w:rPr>
          <w:noProof/>
        </w:rPr>
      </w:pPr>
      <w:r>
        <w:rPr>
          <w:noProof/>
        </w:rPr>
        <w:t>Rata de cofinanțare pentru granturi este de până la 100 % din costurile eligibile, fără a se aduce atingere principiilor cofinanțării și neobținerii de profit.</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Principalele riscuri identificate de către Curtea de Conturi Europeană și auditurile </w:t>
      </w:r>
      <w:r>
        <w:rPr>
          <w:i/>
          <w:noProof/>
        </w:rPr>
        <w:t>ex post</w:t>
      </w:r>
      <w:r>
        <w:rPr>
          <w:noProof/>
        </w:rPr>
        <w:t xml:space="preserve"> efectuate de către Comisie pentru programe cu măsuri similare de punere în aplicare sunt următoarele:</w:t>
      </w:r>
    </w:p>
    <w:p>
      <w:pPr>
        <w:pStyle w:val="Text1"/>
        <w:pBdr>
          <w:top w:val="single" w:sz="4" w:space="1" w:color="auto"/>
          <w:left w:val="single" w:sz="4" w:space="4" w:color="auto"/>
          <w:bottom w:val="single" w:sz="4" w:space="1" w:color="auto"/>
          <w:right w:val="single" w:sz="4" w:space="4" w:color="auto"/>
        </w:pBdr>
        <w:rPr>
          <w:noProof/>
        </w:rPr>
      </w:pPr>
      <w:r>
        <w:rPr>
          <w:noProof/>
        </w:rPr>
        <w:t>- risc de calitate slabă a proiectelor selectate și de implementare tehnică slabă a proiectului, impactul programelor fiind astfel redus ca urmare a unor proceduri de selecție necorespunzătoare, a lipsei de expertiză sau a monitorizării insuficiente.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 risc de utilizare ineficace sau neeconomică a fondurilor acordate: </w:t>
      </w:r>
    </w:p>
    <w:p>
      <w:pPr>
        <w:pStyle w:val="Text1"/>
        <w:pBdr>
          <w:top w:val="single" w:sz="4" w:space="1" w:color="auto"/>
          <w:left w:val="single" w:sz="4" w:space="4" w:color="auto"/>
          <w:bottom w:val="single" w:sz="4" w:space="1" w:color="auto"/>
          <w:right w:val="single" w:sz="4" w:space="4" w:color="auto"/>
        </w:pBdr>
        <w:rPr>
          <w:noProof/>
        </w:rPr>
      </w:pPr>
      <w:r>
        <w:rPr>
          <w:noProof/>
        </w:rPr>
        <w:tab/>
        <w:t xml:space="preserve">* în cazul granturilor, punerea în aplicare a normelor de eligibilitate ar putea conduce la riscul declarării incorecte a costurilor; </w:t>
      </w:r>
    </w:p>
    <w:p>
      <w:pPr>
        <w:pStyle w:val="Text1"/>
        <w:pBdr>
          <w:top w:val="single" w:sz="4" w:space="1" w:color="auto"/>
          <w:left w:val="single" w:sz="4" w:space="4" w:color="auto"/>
          <w:bottom w:val="single" w:sz="4" w:space="1" w:color="auto"/>
          <w:right w:val="single" w:sz="4" w:space="4" w:color="auto"/>
        </w:pBdr>
        <w:rPr>
          <w:noProof/>
        </w:rPr>
      </w:pPr>
      <w:r>
        <w:rPr>
          <w:noProof/>
        </w:rPr>
        <w:tab/>
        <w:t>* în cazul achizițiilor publice, erorile nedetectate sau impreciziile necorectate în oferte sau în caietul de sarcini ar putea conduce la o executare necorespunzătoare a contractului;</w:t>
      </w:r>
    </w:p>
    <w:p>
      <w:pPr>
        <w:pStyle w:val="Text1"/>
        <w:pBdr>
          <w:top w:val="single" w:sz="4" w:space="1" w:color="auto"/>
          <w:left w:val="single" w:sz="4" w:space="4" w:color="auto"/>
          <w:bottom w:val="single" w:sz="4" w:space="1" w:color="auto"/>
          <w:right w:val="single" w:sz="4" w:space="4" w:color="auto"/>
        </w:pBdr>
        <w:rPr>
          <w:noProof/>
        </w:rPr>
      </w:pPr>
      <w:r>
        <w:rPr>
          <w:noProof/>
        </w:rPr>
        <w:tab/>
        <w:t>* riscuri referitoare la eligibilitate [a intermediarilor financiari internaționali (IFI) și a beneficiarilor finali], la respectarea condițiilor contractuale (transpunerea cerințelor Comisiei în documentația contractuală), la respectarea procedurilor (nerespectarea procedurilor stabilite de Comisie) și la realizare (neatingerea țintelor/obiectivelor predefinite).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Cu toate acestea, acordurile-cadru cu organizațiile internaționale aflate în vigoare și cu agențiile din statul membru evaluate în ceea ce privește cei 7 piloni vor asigura un cadru juridic stabil, care include un sistem de monitorizare și evaluare x-ante și </w:t>
      </w:r>
      <w:r>
        <w:rPr>
          <w:i/>
          <w:noProof/>
        </w:rPr>
        <w:t>ex post</w:t>
      </w:r>
      <w:r>
        <w:rPr>
          <w:noProof/>
        </w:rPr>
        <w:t xml:space="preserve"> în conformitate cu obligațiile prevăzute de Regulamentul financiar și de normele de punere în aplicare.</w:t>
      </w:r>
    </w:p>
    <w:p>
      <w:pPr>
        <w:pStyle w:val="Text1"/>
        <w:pBdr>
          <w:top w:val="single" w:sz="4" w:space="1" w:color="auto"/>
          <w:left w:val="single" w:sz="4" w:space="4" w:color="auto"/>
          <w:bottom w:val="single" w:sz="4" w:space="1" w:color="auto"/>
          <w:right w:val="single" w:sz="4" w:space="4" w:color="auto"/>
        </w:pBdr>
        <w:rPr>
          <w:noProof/>
        </w:rPr>
      </w:pPr>
      <w:r>
        <w:rPr>
          <w:noProof/>
        </w:rPr>
        <w:t>- risc privind reputația Comisiei, în cazul în care se descoperă acte de fraudă sau activități infracționale;</w:t>
      </w:r>
    </w:p>
    <w:p>
      <w:pPr>
        <w:pStyle w:val="ManualHeading3"/>
        <w:rPr>
          <w:bCs/>
          <w:noProof/>
          <w:szCs w:val="24"/>
        </w:rPr>
      </w:pPr>
      <w:r>
        <w:t>2.2.2.</w:t>
      </w:r>
      <w:r>
        <w:tab/>
      </w:r>
      <w:r>
        <w:rPr>
          <w:noProof/>
        </w:rPr>
        <w:t>Informații privind sistemul de control intern instituit</w:t>
      </w:r>
    </w:p>
    <w:p>
      <w:pPr>
        <w:pStyle w:val="Text1"/>
        <w:pBdr>
          <w:top w:val="single" w:sz="4" w:space="1" w:color="auto"/>
          <w:left w:val="single" w:sz="4" w:space="4" w:color="auto"/>
          <w:bottom w:val="single" w:sz="4" w:space="1" w:color="auto"/>
          <w:right w:val="single" w:sz="4" w:space="4" w:color="auto"/>
        </w:pBdr>
        <w:rPr>
          <w:noProof/>
        </w:rPr>
      </w:pPr>
      <w:r>
        <w:rPr>
          <w:noProof/>
        </w:rPr>
        <w:t xml:space="preserve">Sistemul de control avut în vedere pentru viitorul program va fi compus din diferite elemente: supravegherea operațiunilor de către serviciul de gestionare operațională, controlul </w:t>
      </w:r>
      <w:r>
        <w:rPr>
          <w:i/>
          <w:noProof/>
        </w:rPr>
        <w:t>ex ante</w:t>
      </w:r>
      <w:r>
        <w:rPr>
          <w:noProof/>
        </w:rPr>
        <w:t xml:space="preserve"> (verificarea financiară) realizat de către un serviciu bugetar și de control central, controalele </w:t>
      </w:r>
      <w:r>
        <w:rPr>
          <w:i/>
          <w:noProof/>
        </w:rPr>
        <w:t>ex post</w:t>
      </w:r>
      <w:r>
        <w:rPr>
          <w:noProof/>
        </w:rPr>
        <w:t xml:space="preserve"> și/sau auditurile pentru granturi.</w:t>
      </w:r>
    </w:p>
    <w:p>
      <w:pPr>
        <w:pStyle w:val="Text1"/>
        <w:pBdr>
          <w:top w:val="single" w:sz="4" w:space="1" w:color="auto"/>
          <w:left w:val="single" w:sz="4" w:space="4" w:color="auto"/>
          <w:bottom w:val="single" w:sz="4" w:space="1" w:color="auto"/>
          <w:right w:val="single" w:sz="4" w:space="4" w:color="auto"/>
        </w:pBdr>
        <w:rPr>
          <w:noProof/>
        </w:rPr>
      </w:pPr>
      <w:r>
        <w:rPr>
          <w:noProof/>
        </w:rPr>
        <w:t xml:space="preserve">Toate tranzacțiile ar putea face obiectul unei verificări </w:t>
      </w:r>
      <w:r>
        <w:rPr>
          <w:i/>
          <w:noProof/>
        </w:rPr>
        <w:t>ex ante</w:t>
      </w:r>
      <w:r>
        <w:rPr>
          <w:noProof/>
        </w:rPr>
        <w:t xml:space="preserve"> efectuate de către serviciul de gestionare a programului și al unei verificări financiare efectuate de către serviciul bugetar și de control (cu excepția prefinanțărilor cu risc scăzut).</w:t>
      </w:r>
    </w:p>
    <w:p>
      <w:pPr>
        <w:pStyle w:val="Text1"/>
        <w:pBdr>
          <w:top w:val="single" w:sz="4" w:space="1" w:color="auto"/>
          <w:left w:val="single" w:sz="4" w:space="4" w:color="auto"/>
          <w:bottom w:val="single" w:sz="4" w:space="1" w:color="auto"/>
          <w:right w:val="single" w:sz="4" w:space="4" w:color="auto"/>
        </w:pBdr>
        <w:rPr>
          <w:noProof/>
        </w:rPr>
      </w:pPr>
      <w:r>
        <w:rPr>
          <w:noProof/>
        </w:rPr>
        <w:t>În ceea ce privește granturile, rapoartele financiare vor fi verificate în detaliu, împreună cu rapoartele de punere în aplicare; se vor evalua atât rezultatele financiare, cât și cele operaționale: informații suplimentare și documente justificative vor fi solicitate în cazul în care se consideră necesar acest lucru, în funcție de evaluarea riscului. Toate procedurile deschise și restricționate privind achizițiile publice și toate procedurile negociate care depășesc suma de 60 000 EUR vor face obiectul unor controale interne privind achizițiile publice înainte de adoptarea deciziei de acordare a finanțării.</w:t>
      </w:r>
    </w:p>
    <w:p>
      <w:pPr>
        <w:pStyle w:val="Text1"/>
        <w:pBdr>
          <w:top w:val="single" w:sz="4" w:space="1" w:color="auto"/>
          <w:left w:val="single" w:sz="4" w:space="4" w:color="auto"/>
          <w:bottom w:val="single" w:sz="4" w:space="1" w:color="auto"/>
          <w:right w:val="single" w:sz="4" w:space="4" w:color="auto"/>
        </w:pBdr>
        <w:rPr>
          <w:noProof/>
        </w:rPr>
      </w:pPr>
      <w:r>
        <w:rPr>
          <w:noProof/>
        </w:rPr>
        <w:t xml:space="preserve">În cadrul controlului </w:t>
      </w:r>
      <w:r>
        <w:rPr>
          <w:i/>
          <w:noProof/>
        </w:rPr>
        <w:t>ex post</w:t>
      </w:r>
      <w:r>
        <w:rPr>
          <w:noProof/>
        </w:rPr>
        <w:t xml:space="preserve"> se va aplica o „strategie de detectare” care vizează detectarea unui număr maxim de anomalii în vederea recuperării plăților necuvenite. Pe baza acestei strategii, auditurile se vor efectua pe un eșantion de proiecte selectate aproape exclusiv pe baza unei analize a riscurilor.</w:t>
      </w:r>
    </w:p>
    <w:p>
      <w:pPr>
        <w:pStyle w:val="ManualHeading3"/>
        <w:rPr>
          <w:noProof/>
        </w:rPr>
      </w:pPr>
      <w:r>
        <w:t>2.2.3.</w:t>
      </w:r>
      <w:r>
        <w:tab/>
      </w:r>
      <w:r>
        <w:rPr>
          <w:noProof/>
        </w:rPr>
        <w:t xml:space="preserve">Estimarea costurilor și a beneficiilor controalelor și evaluarea nivelului estimat al riscului de eroare </w:t>
      </w:r>
    </w:p>
    <w:p>
      <w:pPr>
        <w:pStyle w:val="Text1"/>
        <w:pBdr>
          <w:top w:val="single" w:sz="4" w:space="1" w:color="auto"/>
          <w:left w:val="single" w:sz="4" w:space="4" w:color="auto"/>
          <w:bottom w:val="single" w:sz="4" w:space="0" w:color="auto"/>
          <w:right w:val="single" w:sz="4" w:space="4" w:color="auto"/>
        </w:pBdr>
        <w:rPr>
          <w:noProof/>
        </w:rPr>
      </w:pPr>
      <w:r>
        <w:rPr>
          <w:noProof/>
        </w:rPr>
        <w:t xml:space="preserve">Aproximativ 70 % din întreg personalul implicat în gestionarea programelor va exercita funcții de control în sens larg (de la selecția beneficiarilor/contractanților la punerea în aplicare a rezultatelor auditului). În plus, unele audituri externe ar putea fi finanțate din creditele pentru sprijin administrativ. </w:t>
      </w:r>
    </w:p>
    <w:p>
      <w:pPr>
        <w:pStyle w:val="Text1"/>
        <w:pBdr>
          <w:top w:val="single" w:sz="4" w:space="1" w:color="auto"/>
          <w:left w:val="single" w:sz="4" w:space="4" w:color="auto"/>
          <w:bottom w:val="single" w:sz="4" w:space="0" w:color="auto"/>
          <w:right w:val="single" w:sz="4" w:space="4" w:color="auto"/>
        </w:pBdr>
        <w:rPr>
          <w:noProof/>
        </w:rPr>
      </w:pPr>
      <w:r>
        <w:rPr>
          <w:noProof/>
        </w:rPr>
        <w:t>Se va reduce numărul de proceduri și se vor armoniza normele și procedurile, reducându-se astfel riscul de eroare. În plus, instrumentele de simplificare puse la dispoziție în cadrul noului Regulament financiar vor oferi un cadru mai stabil pentru punerea în aplicare a diferitelor acțiuni.</w:t>
      </w:r>
    </w:p>
    <w:p>
      <w:pPr>
        <w:pStyle w:val="ManualHeading2"/>
        <w:rPr>
          <w:bCs/>
          <w:noProof/>
          <w:szCs w:val="24"/>
        </w:rPr>
      </w:pPr>
      <w:r>
        <w:t>2.3.</w:t>
      </w:r>
      <w:r>
        <w:tab/>
      </w:r>
      <w:r>
        <w:rPr>
          <w:noProof/>
        </w:rPr>
        <w:t xml:space="preserve">Măsuri de prevenire a fraudelor și a neregulilor </w:t>
      </w:r>
    </w:p>
    <w:p>
      <w:pPr>
        <w:pStyle w:val="Text1"/>
        <w:rPr>
          <w:i/>
          <w:noProof/>
          <w:sz w:val="20"/>
        </w:rPr>
      </w:pPr>
      <w:r>
        <w:rPr>
          <w:i/>
          <w:noProof/>
          <w:sz w:val="20"/>
        </w:rPr>
        <w:t>A se preciza măsurile de prevenire și de protecție existente sau preconizate.</w:t>
      </w:r>
    </w:p>
    <w:p>
      <w:pPr>
        <w:pStyle w:val="Text1"/>
        <w:pBdr>
          <w:top w:val="single" w:sz="4" w:space="1" w:color="auto"/>
          <w:left w:val="single" w:sz="4" w:space="4" w:color="auto"/>
          <w:bottom w:val="single" w:sz="4" w:space="1" w:color="auto"/>
          <w:right w:val="single" w:sz="4" w:space="4" w:color="auto"/>
        </w:pBdr>
        <w:rPr>
          <w:noProof/>
        </w:rPr>
      </w:pPr>
      <w:r>
        <w:rPr>
          <w:noProof/>
        </w:rPr>
        <w:t>Se vor institui diferite măsuri în cadrul programului în vederea prevenirii fraudelor și neregulilor; la articolul 14 din propunere se introduce o dispoziție privind protejarea intereselor financiare ale Uniunii Europene.</w:t>
      </w:r>
    </w:p>
    <w:p>
      <w:pPr>
        <w:pStyle w:val="Text1"/>
        <w:pBdr>
          <w:top w:val="single" w:sz="4" w:space="1" w:color="auto"/>
          <w:left w:val="single" w:sz="4" w:space="4" w:color="auto"/>
          <w:bottom w:val="single" w:sz="4" w:space="1" w:color="auto"/>
          <w:right w:val="single" w:sz="4" w:space="4" w:color="auto"/>
        </w:pBdr>
        <w:rPr>
          <w:noProof/>
        </w:rPr>
      </w:pPr>
      <w:r>
        <w:rPr>
          <w:noProof/>
        </w:rPr>
        <w:t>În conformitate cu strategia antifraudă a Comisiei, care reglementează întregul ciclu de cheltuieli, serviciul responsabil cu punerea în aplicarea va elabora un plan specific de acțiune antifraudă pentru aceste cheltuieli, ținând seama de proporționalitatea și de raportul dintre costuri și beneficii aferent măsurilor care urmează să fie puse în aplicare.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Această acțiune se va baza pe prevenire, pe efectuarea unor controale eficace și pe un răspuns adecvat în cazul în care se descoperă fraude sau nereguli, constând în recuperarea sumelor plătite în mod necuvenit și, dacă este cazul, în sancțiuni eficace, proporționale și disuasive.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Planul de acțiune antifraudă va descrie sistemul de verificări </w:t>
      </w:r>
      <w:r>
        <w:rPr>
          <w:i/>
          <w:noProof/>
        </w:rPr>
        <w:t>ex ante</w:t>
      </w:r>
      <w:r>
        <w:rPr>
          <w:noProof/>
        </w:rPr>
        <w:t xml:space="preserve"> și </w:t>
      </w:r>
      <w:r>
        <w:rPr>
          <w:i/>
          <w:noProof/>
        </w:rPr>
        <w:t>ex post</w:t>
      </w:r>
      <w:r>
        <w:rPr>
          <w:noProof/>
        </w:rPr>
        <w:t xml:space="preserve"> pe baza unui sistem de „stegulețe roșii” și va specifica procedurile pe care trebuie să le urmeze personalul în cazul în care se descoperă acte de fraudă sau nereguli. Acesta furnizează, de asemenea, informații privind acordurile de lucru cu OLAF.</w:t>
      </w:r>
    </w:p>
    <w:p>
      <w:pPr>
        <w:spacing w:before="0" w:after="0"/>
        <w:jc w:val="left"/>
        <w:rPr>
          <w:noProof/>
        </w:rPr>
        <w:sectPr>
          <w:pgSz w:w="11907" w:h="16840"/>
          <w:pgMar w:top="1134" w:right="1418" w:bottom="1134" w:left="1418" w:header="709" w:footer="709" w:gutter="0"/>
          <w:cols w:space="720"/>
          <w:docGrid w:linePitch="326"/>
        </w:sectPr>
      </w:pPr>
    </w:p>
    <w:p>
      <w:pPr>
        <w:pStyle w:val="ManualHeading1"/>
        <w:rPr>
          <w:bCs/>
          <w:noProof/>
          <w:szCs w:val="24"/>
        </w:rPr>
      </w:pPr>
      <w:r>
        <w:t>3.</w:t>
      </w:r>
      <w:r>
        <w:tab/>
      </w:r>
      <w:r>
        <w:rPr>
          <w:noProof/>
        </w:rPr>
        <w:t xml:space="preserve">IMPACTUL FINANCIAR ESTIMAT AL PROPUNERII/INIȚIATIVEI </w:t>
      </w:r>
    </w:p>
    <w:p>
      <w:pPr>
        <w:pStyle w:val="ManualHeading2"/>
        <w:rPr>
          <w:noProof/>
        </w:rPr>
      </w:pPr>
      <w:r>
        <w:t>3.1.</w:t>
      </w:r>
      <w:r>
        <w:tab/>
      </w:r>
      <w:r>
        <w:rPr>
          <w:noProof/>
        </w:rPr>
        <w:t xml:space="preserve">Rubrica (rubricile) din cadrul financiar multianual și linia (liniile) bugetară (bugetare) de cheltuieli afectată (afectate) </w:t>
      </w:r>
    </w:p>
    <w:p>
      <w:pPr>
        <w:pStyle w:val="ListBullet1"/>
        <w:ind w:left="1134"/>
        <w:rPr>
          <w:noProof/>
        </w:rPr>
      </w:pPr>
      <w:r>
        <w:rPr>
          <w:noProof/>
        </w:rPr>
        <w:t xml:space="preserve">Linii bugetare existente </w:t>
      </w:r>
    </w:p>
    <w:p>
      <w:pPr>
        <w:pStyle w:val="Text1"/>
        <w:rPr>
          <w:noProof/>
        </w:rPr>
      </w:pPr>
      <w:r>
        <w:rPr>
          <w:noProof/>
          <w:u w:val="single"/>
        </w:rPr>
        <w:t>În ordinea</w:t>
      </w:r>
      <w:r>
        <w:rPr>
          <w:noProof/>
        </w:rPr>
        <w:t xml:space="preserve"> rubricilor din cadrul financiar multianual și a liniilor bugetare.</w:t>
      </w:r>
    </w:p>
    <w:tbl>
      <w:tblPr>
        <w:tblW w:w="993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837"/>
        <w:gridCol w:w="1135"/>
        <w:gridCol w:w="1276"/>
        <w:gridCol w:w="1277"/>
        <w:gridCol w:w="993"/>
        <w:gridCol w:w="1277"/>
      </w:tblGrid>
      <w:tr>
        <w:tc>
          <w:tcPr>
            <w:tcW w:w="1135" w:type="dxa"/>
            <w:vMerge w:val="restart"/>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sz w:val="18"/>
              </w:rPr>
              <w:t>Rubrica din cadrul financiar multianual</w:t>
            </w:r>
          </w:p>
        </w:tc>
        <w:tc>
          <w:tcPr>
            <w:tcW w:w="2835"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sz w:val="20"/>
              </w:rPr>
              <w:t>Linia bugetară</w:t>
            </w: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rPr>
              <w:t>Tipul cheltuielilor</w:t>
            </w:r>
            <w:r>
              <w:rPr>
                <w:noProof/>
              </w:rPr>
              <w:br/>
            </w:r>
          </w:p>
        </w:tc>
        <w:tc>
          <w:tcPr>
            <w:tcW w:w="4819" w:type="dxa"/>
            <w:gridSpan w:val="4"/>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sz w:val="20"/>
              </w:rPr>
              <w:t xml:space="preserve">Contribuție </w:t>
            </w:r>
          </w:p>
        </w:tc>
      </w:tr>
      <w:tr>
        <w:tc>
          <w:tcPr>
            <w:tcW w:w="1135"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p>
        </w:tc>
        <w:tc>
          <w:tcPr>
            <w:tcW w:w="2835"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rPr>
            </w:pPr>
            <w:r>
              <w:rPr>
                <w:noProof/>
              </w:rPr>
              <w:t>Număr</w:t>
            </w:r>
            <w:r>
              <w:rPr>
                <w:noProof/>
              </w:rPr>
              <w:br/>
            </w:r>
            <w:r>
              <w:rPr>
                <w:noProof/>
                <w:sz w:val="20"/>
              </w:rPr>
              <w:t>[Rubrica………………………...……………]</w:t>
            </w: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spacing w:val="-2"/>
              </w:rPr>
              <w:t>Dif./Nedif</w:t>
            </w:r>
            <w:r>
              <w:rPr>
                <w:noProof/>
              </w:rPr>
              <w:t>.</w:t>
            </w:r>
            <w:r>
              <w:rPr>
                <w:rStyle w:val="FootnoteReference"/>
                <w:noProof/>
              </w:rPr>
              <w:footnoteReference w:id="31"/>
            </w:r>
          </w:p>
        </w:tc>
        <w:tc>
          <w:tcPr>
            <w:tcW w:w="1275"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rPr>
            </w:pPr>
            <w:r>
              <w:rPr>
                <w:noProof/>
                <w:sz w:val="18"/>
              </w:rPr>
              <w:t>Țări AELS</w:t>
            </w:r>
            <w:r>
              <w:rPr>
                <w:rStyle w:val="FootnoteReference"/>
                <w:noProof/>
                <w:sz w:val="18"/>
              </w:rPr>
              <w:footnoteReference w:id="32"/>
            </w:r>
          </w:p>
          <w:p>
            <w:pPr>
              <w:spacing w:before="0" w:after="0" w:line="276" w:lineRule="auto"/>
              <w:jc w:val="center"/>
              <w:rPr>
                <w:b/>
                <w:noProof/>
                <w:sz w:val="18"/>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rPr>
            </w:pPr>
            <w:r>
              <w:rPr>
                <w:noProof/>
                <w:sz w:val="18"/>
              </w:rPr>
              <w:t>Țări candidate</w:t>
            </w:r>
            <w:r>
              <w:rPr>
                <w:rStyle w:val="FootnoteReference"/>
                <w:noProof/>
                <w:sz w:val="18"/>
              </w:rPr>
              <w:footnoteReference w:id="33"/>
            </w:r>
          </w:p>
          <w:p>
            <w:pPr>
              <w:spacing w:before="0" w:after="0" w:line="276" w:lineRule="auto"/>
              <w:jc w:val="center"/>
              <w:rPr>
                <w:noProof/>
                <w:sz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terțe</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sz w:val="16"/>
              </w:rPr>
              <w:t xml:space="preserve">În sensul articolului 21 alineatul (2) litera (b) din Regulamentul financiar </w:t>
            </w:r>
          </w:p>
        </w:tc>
      </w:tr>
      <w:tr>
        <w:tc>
          <w:tcPr>
            <w:tcW w:w="1135"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color w:val="0000FF"/>
              </w:rPr>
            </w:pPr>
          </w:p>
        </w:tc>
        <w:tc>
          <w:tcPr>
            <w:tcW w:w="2835" w:type="dxa"/>
            <w:tcBorders>
              <w:top w:val="single" w:sz="4" w:space="0" w:color="auto"/>
              <w:left w:val="single" w:sz="4" w:space="0" w:color="auto"/>
              <w:bottom w:val="single" w:sz="4" w:space="0" w:color="auto"/>
              <w:right w:val="single" w:sz="4" w:space="0" w:color="auto"/>
            </w:tcBorders>
            <w:vAlign w:val="center"/>
          </w:tcPr>
          <w:p>
            <w:pPr>
              <w:spacing w:before="60" w:line="276" w:lineRule="auto"/>
              <w:rPr>
                <w:noProof/>
              </w:rPr>
            </w:pPr>
            <w:r>
              <w:rPr>
                <w:noProof/>
              </w:rPr>
              <w:t>XX.YY.YY.YY]</w:t>
            </w:r>
          </w:p>
          <w:p>
            <w:pPr>
              <w:spacing w:after="60" w:line="276" w:lineRule="auto"/>
              <w:rPr>
                <w:noProof/>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color w:val="0000FF"/>
              </w:rPr>
            </w:pPr>
            <w:r>
              <w:rPr>
                <w:noProof/>
              </w:rPr>
              <w:t>Dif./Nedif.</w:t>
            </w:r>
          </w:p>
        </w:tc>
        <w:tc>
          <w:tcPr>
            <w:tcW w:w="127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DA/NU</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DA/NU</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DA/NU</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DA/NU</w:t>
            </w:r>
          </w:p>
        </w:tc>
      </w:tr>
    </w:tbl>
    <w:p>
      <w:pPr>
        <w:pStyle w:val="ListBullet1"/>
        <w:ind w:left="1134"/>
        <w:rPr>
          <w:noProof/>
        </w:rPr>
      </w:pPr>
      <w:r>
        <w:rPr>
          <w:noProof/>
        </w:rPr>
        <w:t xml:space="preserve">Noile linii bugetare solicitate </w:t>
      </w:r>
    </w:p>
    <w:p>
      <w:pPr>
        <w:pStyle w:val="Text1"/>
        <w:rPr>
          <w:i/>
          <w:noProof/>
          <w:sz w:val="20"/>
        </w:rPr>
      </w:pPr>
      <w:r>
        <w:rPr>
          <w:i/>
          <w:noProof/>
          <w:u w:val="single"/>
        </w:rPr>
        <w:t>În ordinea</w:t>
      </w:r>
      <w:r>
        <w:rPr>
          <w:i/>
          <w:noProof/>
        </w:rPr>
        <w:t xml:space="preserve"> rubricilor din cadrul financiar multianual și a liniilor bugetare</w:t>
      </w:r>
    </w:p>
    <w:tbl>
      <w:tblPr>
        <w:tblW w:w="957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2540"/>
        <w:gridCol w:w="1134"/>
        <w:gridCol w:w="1274"/>
        <w:gridCol w:w="1275"/>
        <w:gridCol w:w="992"/>
        <w:gridCol w:w="1275"/>
      </w:tblGrid>
      <w:tr>
        <w:tc>
          <w:tcPr>
            <w:tcW w:w="1080" w:type="dxa"/>
            <w:vMerge w:val="restart"/>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sz w:val="18"/>
                <w:szCs w:val="18"/>
              </w:rPr>
            </w:pPr>
            <w:r>
              <w:rPr>
                <w:noProof/>
                <w:sz w:val="18"/>
              </w:rPr>
              <w:t>Rubrica din cadrul financiar multianual</w:t>
            </w:r>
          </w:p>
        </w:tc>
        <w:tc>
          <w:tcPr>
            <w:tcW w:w="2541"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sz w:val="20"/>
              </w:rPr>
              <w:t>Linia bugetară</w:t>
            </w: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rPr>
              <w:t>Tipul cheltuielilor</w:t>
            </w:r>
            <w:r>
              <w:rPr>
                <w:noProof/>
              </w:rPr>
              <w:br/>
            </w:r>
          </w:p>
        </w:tc>
        <w:tc>
          <w:tcPr>
            <w:tcW w:w="4819" w:type="dxa"/>
            <w:gridSpan w:val="4"/>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sz w:val="20"/>
              </w:rPr>
              <w:t xml:space="preserve">Contribuție </w:t>
            </w:r>
          </w:p>
        </w:tc>
      </w:tr>
      <w:tr>
        <w:tc>
          <w:tcPr>
            <w:tcW w:w="108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szCs w:val="18"/>
              </w:rPr>
            </w:pPr>
          </w:p>
        </w:tc>
        <w:tc>
          <w:tcPr>
            <w:tcW w:w="2541"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szCs w:val="20"/>
              </w:rPr>
            </w:pPr>
            <w:r>
              <w:rPr>
                <w:noProof/>
              </w:rPr>
              <w:t xml:space="preserve">1b </w:t>
            </w:r>
            <w:r>
              <w:rPr>
                <w:b/>
                <w:noProof/>
                <w:sz w:val="20"/>
                <w:szCs w:val="20"/>
              </w:rPr>
              <w:t>Coeziune economică, socială și teritorială/2 Creștere durabilă: Resurse naturale</w:t>
            </w:r>
          </w:p>
          <w:p>
            <w:pPr>
              <w:spacing w:line="276" w:lineRule="auto"/>
              <w:rPr>
                <w:noProof/>
                <w:sz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sz w:val="18"/>
              </w:rPr>
              <w:t>Dif./Nedif.</w:t>
            </w:r>
          </w:p>
        </w:tc>
        <w:tc>
          <w:tcPr>
            <w:tcW w:w="127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AELS</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candidate</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Țări terțe</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sz w:val="16"/>
              </w:rPr>
              <w:t xml:space="preserve">În sensul articolului 21 alineatul (2) litera (b) din Regulamentul financiar </w:t>
            </w:r>
          </w:p>
        </w:tc>
      </w:tr>
      <w:tr>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1.b</w:t>
            </w:r>
          </w:p>
        </w:tc>
        <w:tc>
          <w:tcPr>
            <w:tcW w:w="25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rPr>
            </w:pPr>
            <w:r>
              <w:rPr>
                <w:noProof/>
              </w:rPr>
              <w:t>13.01.04.04</w:t>
            </w:r>
          </w:p>
          <w:p>
            <w:pPr>
              <w:spacing w:after="60" w:line="276" w:lineRule="auto"/>
              <w:jc w:val="center"/>
              <w:rPr>
                <w:noProof/>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Nedif.</w:t>
            </w:r>
          </w:p>
        </w:tc>
        <w:tc>
          <w:tcPr>
            <w:tcW w:w="127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DA</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rPr>
              <w:t>NU</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rPr>
              <w:t>NU</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NU</w:t>
            </w:r>
          </w:p>
        </w:tc>
      </w:tr>
      <w:tr>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1.b</w:t>
            </w:r>
          </w:p>
        </w:tc>
        <w:tc>
          <w:tcPr>
            <w:tcW w:w="2541"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rPr>
            </w:pPr>
            <w:r>
              <w:rPr>
                <w:noProof/>
              </w:rPr>
              <w:t>13.08.01</w:t>
            </w:r>
          </w:p>
          <w:p>
            <w:pPr>
              <w:spacing w:before="60" w:line="276" w:lineRule="auto"/>
              <w:jc w:val="center"/>
              <w:rPr>
                <w:noProof/>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Dif.</w:t>
            </w:r>
          </w:p>
        </w:tc>
        <w:tc>
          <w:tcPr>
            <w:tcW w:w="127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DA</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NU</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NU</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NU</w:t>
            </w:r>
          </w:p>
        </w:tc>
      </w:tr>
      <w:tr>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2</w:t>
            </w:r>
          </w:p>
        </w:tc>
        <w:tc>
          <w:tcPr>
            <w:tcW w:w="254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13.08.02</w:t>
            </w: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Dif.</w:t>
            </w:r>
          </w:p>
        </w:tc>
        <w:tc>
          <w:tcPr>
            <w:tcW w:w="1275"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DA</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NU</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NU</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rPr>
              <w:t>NU</w:t>
            </w:r>
          </w:p>
        </w:tc>
      </w:tr>
    </w:tbl>
    <w:p>
      <w:pPr>
        <w:spacing w:before="0" w:after="0"/>
        <w:jc w:val="left"/>
        <w:rPr>
          <w:noProof/>
        </w:rPr>
        <w:sectPr>
          <w:pgSz w:w="11907" w:h="16840"/>
          <w:pgMar w:top="1134" w:right="1418" w:bottom="1134" w:left="1418" w:header="709" w:footer="709" w:gutter="0"/>
          <w:cols w:space="720"/>
          <w:docGrid w:linePitch="326"/>
        </w:sectPr>
      </w:pPr>
    </w:p>
    <w:p>
      <w:pPr>
        <w:pStyle w:val="ManualHeading2"/>
        <w:rPr>
          <w:bCs/>
          <w:noProof/>
          <w:szCs w:val="24"/>
        </w:rPr>
      </w:pPr>
      <w:r>
        <w:t>3.2.</w:t>
      </w:r>
      <w:r>
        <w:tab/>
      </w:r>
      <w:r>
        <w:rPr>
          <w:noProof/>
        </w:rPr>
        <w:t>Impactul estimat asupra cheltuielilor</w:t>
      </w:r>
    </w:p>
    <w:p>
      <w:pPr>
        <w:pStyle w:val="ManualHeading3"/>
        <w:rPr>
          <w:noProof/>
          <w:u w:val="single"/>
        </w:rPr>
      </w:pPr>
      <w:r>
        <w:t>3.2.1.</w:t>
      </w:r>
      <w:r>
        <w:tab/>
      </w:r>
      <w:r>
        <w:rPr>
          <w:noProof/>
        </w:rPr>
        <w:t xml:space="preserve">Sinteza impactului estimat asupra cheltuielilor </w:t>
      </w:r>
    </w:p>
    <w:p>
      <w:pPr>
        <w:spacing w:before="0" w:after="0"/>
        <w:ind w:right="2238"/>
        <w:jc w:val="right"/>
        <w:rPr>
          <w:noProof/>
          <w:sz w:val="20"/>
        </w:rPr>
      </w:pPr>
      <w:r>
        <w:rPr>
          <w:noProof/>
          <w:sz w:val="20"/>
        </w:rPr>
        <w:t>milioane EUR (cu trei zecimale)</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1"/>
        <w:gridCol w:w="756"/>
        <w:gridCol w:w="992"/>
        <w:gridCol w:w="320"/>
        <w:gridCol w:w="1066"/>
        <w:gridCol w:w="31"/>
        <w:gridCol w:w="993"/>
        <w:gridCol w:w="992"/>
        <w:gridCol w:w="992"/>
        <w:gridCol w:w="851"/>
        <w:gridCol w:w="992"/>
        <w:gridCol w:w="1276"/>
      </w:tblGrid>
      <w:tr>
        <w:trPr>
          <w:trHeight w:val="656"/>
        </w:trPr>
        <w:tc>
          <w:tcPr>
            <w:tcW w:w="4999" w:type="dxa"/>
            <w:gridSpan w:val="4"/>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0" w:after="0" w:line="276" w:lineRule="auto"/>
              <w:jc w:val="center"/>
              <w:rPr>
                <w:b/>
                <w:noProof/>
              </w:rPr>
            </w:pPr>
            <w:r>
              <w:rPr>
                <w:b/>
                <w:noProof/>
              </w:rPr>
              <w:t>Rubrica din cadrul financiar</w:t>
            </w:r>
            <w:r>
              <w:rPr>
                <w:noProof/>
              </w:rPr>
              <w:br/>
            </w:r>
            <w:r>
              <w:rPr>
                <w:b/>
                <w:noProof/>
              </w:rPr>
              <w:t xml:space="preserve">multianual </w:t>
            </w:r>
          </w:p>
        </w:tc>
        <w:tc>
          <w:tcPr>
            <w:tcW w:w="106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color w:val="0070C0"/>
              </w:rPr>
            </w:pPr>
            <w:r>
              <w:rPr>
                <w:noProof/>
                <w:sz w:val="22"/>
              </w:rPr>
              <w:t>1b/2</w:t>
            </w:r>
          </w:p>
        </w:tc>
        <w:tc>
          <w:tcPr>
            <w:tcW w:w="6127" w:type="dxa"/>
            <w:gridSpan w:val="7"/>
            <w:tcBorders>
              <w:top w:val="single" w:sz="4" w:space="0" w:color="auto"/>
              <w:left w:val="single" w:sz="4" w:space="0" w:color="auto"/>
              <w:bottom w:val="single" w:sz="4" w:space="0" w:color="auto"/>
              <w:right w:val="single" w:sz="4" w:space="0" w:color="auto"/>
            </w:tcBorders>
            <w:vAlign w:val="center"/>
            <w:hideMark/>
          </w:tcPr>
          <w:p>
            <w:pPr>
              <w:pStyle w:val="CM1"/>
              <w:spacing w:before="200" w:after="200" w:line="276" w:lineRule="auto"/>
              <w:jc w:val="center"/>
              <w:rPr>
                <w:rFonts w:cs="EUAlbertina"/>
                <w:b/>
                <w:noProof/>
                <w:color w:val="000000"/>
              </w:rPr>
            </w:pPr>
            <w:r>
              <w:rPr>
                <w:rFonts w:ascii="Times New Roman" w:hAnsi="Times New Roman"/>
                <w:b/>
                <w:noProof/>
                <w:color w:val="000000"/>
                <w:sz w:val="20"/>
              </w:rPr>
              <w:t>Coeziune economică, socială și teritorială/Creștere durabilă:</w:t>
            </w:r>
            <w:r>
              <w:rPr>
                <w:rFonts w:ascii="Times New Roman" w:hAnsi="Times New Roman"/>
                <w:b/>
                <w:noProof/>
                <w:sz w:val="20"/>
              </w:rPr>
              <w:t xml:space="preserve"> resurse naturale</w:t>
            </w:r>
          </w:p>
        </w:tc>
      </w:tr>
      <w:tr>
        <w:trPr>
          <w:trHeight w:val="497"/>
        </w:trPr>
        <w:tc>
          <w:tcPr>
            <w:tcW w:w="3687"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rPr>
            </w:pPr>
            <w:r>
              <w:rPr>
                <w:noProof/>
                <w:sz w:val="22"/>
              </w:rPr>
              <w:t xml:space="preserve">DG: SG / </w:t>
            </w:r>
            <w:r>
              <w:rPr>
                <w:noProof/>
              </w:rPr>
              <w:t>SRSS</w:t>
            </w:r>
          </w:p>
        </w:tc>
        <w:tc>
          <w:tcPr>
            <w:tcW w:w="992" w:type="dxa"/>
            <w:tcBorders>
              <w:top w:val="single" w:sz="4" w:space="0" w:color="auto"/>
              <w:left w:val="single" w:sz="4" w:space="0" w:color="auto"/>
              <w:bottom w:val="single" w:sz="4" w:space="0" w:color="auto"/>
              <w:right w:val="single" w:sz="4" w:space="0" w:color="auto"/>
            </w:tcBorders>
          </w:tcPr>
          <w:p>
            <w:pPr>
              <w:spacing w:line="276" w:lineRule="auto"/>
              <w:rPr>
                <w:noProof/>
                <w:sz w:val="20"/>
              </w:rPr>
            </w:pPr>
          </w:p>
        </w:tc>
        <w:tc>
          <w:tcPr>
            <w:tcW w:w="1417" w:type="dxa"/>
            <w:gridSpan w:val="3"/>
            <w:tcBorders>
              <w:top w:val="single" w:sz="4" w:space="0" w:color="auto"/>
              <w:left w:val="single" w:sz="4" w:space="0" w:color="auto"/>
              <w:bottom w:val="single" w:sz="4" w:space="0" w:color="auto"/>
              <w:right w:val="single" w:sz="4" w:space="0" w:color="auto"/>
            </w:tcBorders>
          </w:tcPr>
          <w:p>
            <w:pPr>
              <w:spacing w:line="276" w:lineRule="auto"/>
              <w:jc w:val="center"/>
              <w:rPr>
                <w:noProof/>
                <w:sz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2017</w:t>
            </w:r>
            <w:r>
              <w:rPr>
                <w:rStyle w:val="FootnoteReference"/>
                <w:b/>
                <w:noProof/>
                <w:sz w:val="20"/>
              </w:rPr>
              <w:footnoteReference w:id="34"/>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2018</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2019</w:t>
            </w:r>
          </w:p>
        </w:tc>
        <w:tc>
          <w:tcPr>
            <w:tcW w:w="851" w:type="dxa"/>
            <w:tcBorders>
              <w:top w:val="single" w:sz="4" w:space="0" w:color="auto"/>
              <w:left w:val="single" w:sz="4" w:space="0" w:color="auto"/>
              <w:bottom w:val="single" w:sz="4" w:space="0" w:color="auto"/>
              <w:right w:val="single" w:sz="4" w:space="0" w:color="auto"/>
            </w:tcBorders>
            <w:hideMark/>
          </w:tcPr>
          <w:p>
            <w:pPr>
              <w:spacing w:line="276" w:lineRule="auto"/>
              <w:jc w:val="center"/>
              <w:rPr>
                <w:noProof/>
                <w:sz w:val="20"/>
              </w:rPr>
            </w:pPr>
            <w:r>
              <w:rPr>
                <w:noProof/>
              </w:rPr>
              <w:t>Anul</w:t>
            </w:r>
            <w:r>
              <w:rPr>
                <w:noProof/>
              </w:rPr>
              <w:br/>
            </w:r>
            <w:r>
              <w:rPr>
                <w:b/>
                <w:noProof/>
                <w:sz w:val="20"/>
              </w:rPr>
              <w:t>2020</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2021 &amp; 2022</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rPr>
          <w:trHeight w:val="310"/>
        </w:trPr>
        <w:tc>
          <w:tcPr>
            <w:tcW w:w="6096" w:type="dxa"/>
            <w:gridSpan w:val="6"/>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rPr>
                <w:noProof/>
                <w:sz w:val="21"/>
              </w:rPr>
            </w:pPr>
            <w:r>
              <w:rPr>
                <w:b/>
                <w:noProof/>
                <w:sz w:val="18"/>
              </w:rPr>
              <w:t>Credite operaționale</w:t>
            </w:r>
          </w:p>
        </w:tc>
        <w:tc>
          <w:tcPr>
            <w:tcW w:w="993"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851" w:type="dxa"/>
            <w:tcBorders>
              <w:top w:val="single" w:sz="4" w:space="0" w:color="auto"/>
              <w:left w:val="single" w:sz="4" w:space="0" w:color="auto"/>
              <w:bottom w:val="single" w:sz="4" w:space="0" w:color="auto"/>
              <w:right w:val="single" w:sz="4" w:space="0" w:color="auto"/>
            </w:tcBorders>
          </w:tcPr>
          <w:p>
            <w:pPr>
              <w:spacing w:line="276" w:lineRule="auto"/>
              <w:rPr>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line="276" w:lineRule="auto"/>
              <w:rPr>
                <w:noProof/>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r>
      <w:tr>
        <w:trPr>
          <w:trHeight w:val="277"/>
        </w:trPr>
        <w:tc>
          <w:tcPr>
            <w:tcW w:w="2931"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rPr>
                <w:b/>
                <w:noProof/>
              </w:rPr>
            </w:pPr>
            <w:r>
              <w:rPr>
                <w:b/>
                <w:noProof/>
              </w:rPr>
              <w:t>13.08.01</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Angajamente</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(1)</w:t>
            </w:r>
          </w:p>
        </w:tc>
        <w:tc>
          <w:tcPr>
            <w:tcW w:w="993"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17,443</w:t>
            </w: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23,645</w:t>
            </w:r>
          </w:p>
          <w:p>
            <w:pPr>
              <w:spacing w:before="20" w:after="20" w:line="276" w:lineRule="auto"/>
              <w:jc w:val="right"/>
              <w:rPr>
                <w:b/>
                <w:bCs/>
                <w:noProof/>
                <w:color w:val="000000"/>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29,847</w:t>
            </w:r>
          </w:p>
          <w:p>
            <w:pPr>
              <w:spacing w:before="20" w:after="20" w:line="276" w:lineRule="auto"/>
              <w:jc w:val="right"/>
              <w:rPr>
                <w:b/>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34,498</w:t>
            </w:r>
          </w:p>
          <w:p>
            <w:pPr>
              <w:spacing w:before="20" w:after="2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0,000</w:t>
            </w: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szCs w:val="20"/>
              </w:rPr>
            </w:pPr>
            <w:r>
              <w:rPr>
                <w:b/>
                <w:noProof/>
                <w:color w:val="000000"/>
                <w:sz w:val="20"/>
              </w:rPr>
              <w:t>105,433</w:t>
            </w:r>
          </w:p>
          <w:p>
            <w:pPr>
              <w:spacing w:before="20" w:after="20" w:line="276" w:lineRule="auto"/>
              <w:jc w:val="right"/>
              <w:rPr>
                <w:b/>
                <w:noProof/>
                <w:sz w:val="20"/>
              </w:rPr>
            </w:pPr>
          </w:p>
        </w:tc>
      </w:tr>
      <w:tr>
        <w:trPr>
          <w:trHeight w:val="336"/>
        </w:trPr>
        <w:tc>
          <w:tcPr>
            <w:tcW w:w="609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rPr>
            </w:pP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Plăți</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(2)</w:t>
            </w:r>
          </w:p>
        </w:tc>
        <w:tc>
          <w:tcPr>
            <w:tcW w:w="993"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8,721</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17,.055</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bCs/>
                <w:noProof/>
                <w:color w:val="000000"/>
                <w:sz w:val="20"/>
              </w:rPr>
            </w:pPr>
            <w:r>
              <w:rPr>
                <w:b/>
                <w:noProof/>
                <w:color w:val="000000"/>
                <w:sz w:val="20"/>
              </w:rPr>
              <w:t>25,505</w:t>
            </w:r>
          </w:p>
        </w:tc>
        <w:tc>
          <w:tcPr>
            <w:tcW w:w="851"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30,932</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23,218</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105,433</w:t>
            </w:r>
          </w:p>
        </w:tc>
      </w:tr>
      <w:tr>
        <w:tc>
          <w:tcPr>
            <w:tcW w:w="293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left"/>
              <w:rPr>
                <w:noProof/>
                <w:sz w:val="20"/>
              </w:rPr>
            </w:pPr>
            <w:r>
              <w:rPr>
                <w:b/>
                <w:noProof/>
              </w:rPr>
              <w:t>13.08.02</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Angajamente</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(1)</w:t>
            </w:r>
          </w:p>
        </w:tc>
        <w:tc>
          <w:tcPr>
            <w:tcW w:w="993"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5,057</w:t>
            </w:r>
          </w:p>
          <w:p>
            <w:pPr>
              <w:spacing w:before="20" w:after="20" w:line="276" w:lineRule="auto"/>
              <w:jc w:val="right"/>
              <w:rPr>
                <w:b/>
                <w:bCs/>
                <w:noProof/>
                <w:color w:val="000000"/>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6,855</w:t>
            </w:r>
          </w:p>
          <w:p>
            <w:pPr>
              <w:spacing w:before="20" w:after="20" w:line="276" w:lineRule="auto"/>
              <w:jc w:val="right"/>
              <w:rPr>
                <w:b/>
                <w:bCs/>
                <w:noProof/>
                <w:color w:val="000000"/>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8,653</w:t>
            </w:r>
          </w:p>
          <w:p>
            <w:pPr>
              <w:spacing w:before="20" w:after="20" w:line="276" w:lineRule="auto"/>
              <w:jc w:val="right"/>
              <w:rPr>
                <w:b/>
                <w:bCs/>
                <w:noProof/>
                <w:color w:val="000000"/>
                <w:sz w:val="20"/>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10,002</w:t>
            </w:r>
          </w:p>
          <w:p>
            <w:pPr>
              <w:spacing w:before="20" w:after="20" w:line="276" w:lineRule="auto"/>
              <w:jc w:val="right"/>
              <w:rPr>
                <w:b/>
                <w:bCs/>
                <w:noProof/>
                <w:color w:val="000000"/>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szCs w:val="20"/>
              </w:rPr>
            </w:pPr>
            <w:r>
              <w:rPr>
                <w:b/>
                <w:noProof/>
                <w:color w:val="000000"/>
                <w:sz w:val="20"/>
              </w:rPr>
              <w:t>30,567</w:t>
            </w:r>
          </w:p>
          <w:p>
            <w:pPr>
              <w:spacing w:before="20" w:after="20" w:line="276" w:lineRule="auto"/>
              <w:jc w:val="right"/>
              <w:rPr>
                <w:b/>
                <w:bCs/>
                <w:noProof/>
                <w:color w:val="000000"/>
                <w:sz w:val="20"/>
                <w:szCs w:val="20"/>
              </w:rPr>
            </w:pPr>
          </w:p>
        </w:tc>
      </w:tr>
      <w:tr>
        <w:tc>
          <w:tcPr>
            <w:tcW w:w="2931" w:type="dxa"/>
            <w:tcBorders>
              <w:top w:val="single" w:sz="4" w:space="0" w:color="auto"/>
              <w:left w:val="single" w:sz="4" w:space="0" w:color="auto"/>
              <w:bottom w:val="single" w:sz="4" w:space="0" w:color="auto"/>
              <w:right w:val="single" w:sz="4" w:space="0" w:color="auto"/>
            </w:tcBorders>
          </w:tcPr>
          <w:p>
            <w:pPr>
              <w:spacing w:line="276" w:lineRule="auto"/>
              <w:jc w:val="center"/>
              <w:rPr>
                <w:noProof/>
                <w:sz w:val="20"/>
              </w:rPr>
            </w:pP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sz w:val="18"/>
              </w:rPr>
            </w:pPr>
            <w:r>
              <w:rPr>
                <w:noProof/>
                <w:sz w:val="18"/>
              </w:rPr>
              <w:t>Plăți</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center"/>
              <w:rPr>
                <w:noProof/>
                <w:sz w:val="14"/>
              </w:rPr>
            </w:pPr>
            <w:r>
              <w:rPr>
                <w:noProof/>
                <w:sz w:val="14"/>
              </w:rPr>
              <w:t>(2)</w:t>
            </w:r>
          </w:p>
        </w:tc>
        <w:tc>
          <w:tcPr>
            <w:tcW w:w="993"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2,529</w:t>
            </w:r>
          </w:p>
          <w:p>
            <w:pPr>
              <w:spacing w:before="20" w:after="20" w:line="276" w:lineRule="auto"/>
              <w:jc w:val="right"/>
              <w:rPr>
                <w:b/>
                <w:bCs/>
                <w:noProof/>
                <w:color w:val="000000"/>
                <w:sz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bCs/>
                <w:noProof/>
                <w:color w:val="000000"/>
                <w:sz w:val="20"/>
              </w:rPr>
            </w:pPr>
            <w:r>
              <w:rPr>
                <w:b/>
                <w:noProof/>
                <w:color w:val="000000"/>
                <w:sz w:val="20"/>
              </w:rPr>
              <w:t>4,945</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bCs/>
                <w:noProof/>
                <w:color w:val="000000"/>
                <w:sz w:val="20"/>
              </w:rPr>
            </w:pPr>
            <w:r>
              <w:rPr>
                <w:b/>
                <w:noProof/>
                <w:color w:val="000000"/>
                <w:sz w:val="20"/>
              </w:rPr>
              <w:t>7,395</w:t>
            </w:r>
          </w:p>
        </w:tc>
        <w:tc>
          <w:tcPr>
            <w:tcW w:w="851"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bCs/>
                <w:noProof/>
                <w:color w:val="000000"/>
                <w:sz w:val="20"/>
              </w:rPr>
            </w:pPr>
            <w:r>
              <w:rPr>
                <w:b/>
                <w:noProof/>
                <w:color w:val="000000"/>
                <w:sz w:val="20"/>
              </w:rPr>
              <w:t>8,968</w:t>
            </w: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bCs/>
                <w:noProof/>
                <w:color w:val="000000"/>
                <w:sz w:val="20"/>
              </w:rPr>
            </w:pPr>
            <w:r>
              <w:rPr>
                <w:b/>
                <w:noProof/>
                <w:color w:val="000000"/>
                <w:sz w:val="20"/>
              </w:rPr>
              <w:t>6,732</w:t>
            </w:r>
          </w:p>
        </w:tc>
        <w:tc>
          <w:tcPr>
            <w:tcW w:w="1276"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bCs/>
                <w:noProof/>
                <w:color w:val="000000"/>
                <w:sz w:val="20"/>
                <w:szCs w:val="20"/>
              </w:rPr>
            </w:pPr>
            <w:r>
              <w:rPr>
                <w:b/>
                <w:noProof/>
                <w:color w:val="000000"/>
                <w:sz w:val="20"/>
              </w:rPr>
              <w:t>30,567</w:t>
            </w:r>
          </w:p>
        </w:tc>
      </w:tr>
      <w:tr>
        <w:trPr>
          <w:trHeight w:val="231"/>
        </w:trPr>
        <w:tc>
          <w:tcPr>
            <w:tcW w:w="6096" w:type="dxa"/>
            <w:gridSpan w:val="6"/>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b/>
                <w:noProof/>
                <w:sz w:val="18"/>
                <w:szCs w:val="18"/>
              </w:rPr>
            </w:pPr>
            <w:r>
              <w:rPr>
                <w:b/>
                <w:noProof/>
                <w:sz w:val="18"/>
              </w:rPr>
              <w:t>Credite cu caracter administrativ finanțate din bugetul anumitor programe</w:t>
            </w:r>
            <w:r>
              <w:rPr>
                <w:rStyle w:val="FootnoteReference"/>
                <w:b/>
                <w:noProof/>
                <w:sz w:val="18"/>
              </w:rPr>
              <w:footnoteReference w:id="35"/>
            </w:r>
          </w:p>
        </w:tc>
        <w:tc>
          <w:tcPr>
            <w:tcW w:w="993"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851" w:type="dxa"/>
            <w:tcBorders>
              <w:top w:val="single" w:sz="4" w:space="0" w:color="auto"/>
              <w:left w:val="single" w:sz="4" w:space="0" w:color="auto"/>
              <w:bottom w:val="single" w:sz="4" w:space="0" w:color="auto"/>
              <w:right w:val="single" w:sz="4" w:space="0" w:color="auto"/>
            </w:tcBorders>
          </w:tcPr>
          <w:p>
            <w:pPr>
              <w:spacing w:line="276" w:lineRule="auto"/>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276" w:lineRule="auto"/>
              <w:rPr>
                <w:b/>
                <w:noProof/>
                <w:sz w:val="20"/>
              </w:rPr>
            </w:pPr>
          </w:p>
        </w:tc>
      </w:tr>
      <w:tr>
        <w:trPr>
          <w:trHeight w:val="319"/>
        </w:trPr>
        <w:tc>
          <w:tcPr>
            <w:tcW w:w="2931"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rPr>
            </w:pPr>
            <w:r>
              <w:rPr>
                <w:b/>
                <w:noProof/>
              </w:rPr>
              <w:t>13.01.04.04</w:t>
            </w:r>
          </w:p>
        </w:tc>
        <w:tc>
          <w:tcPr>
            <w:tcW w:w="1748" w:type="dxa"/>
            <w:gridSpan w:val="2"/>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noProof/>
                <w:sz w:val="18"/>
              </w:rPr>
            </w:pP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center"/>
              <w:rPr>
                <w:noProof/>
                <w:sz w:val="14"/>
              </w:rPr>
            </w:pPr>
            <w:r>
              <w:rPr>
                <w:noProof/>
                <w:sz w:val="14"/>
              </w:rPr>
              <w:t>(3)</w:t>
            </w:r>
          </w:p>
        </w:tc>
        <w:tc>
          <w:tcPr>
            <w:tcW w:w="993"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1,125</w:t>
            </w:r>
          </w:p>
          <w:p>
            <w:pPr>
              <w:spacing w:before="40" w:after="4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1,525</w:t>
            </w:r>
          </w:p>
          <w:p>
            <w:pPr>
              <w:spacing w:before="40" w:after="4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1,925</w:t>
            </w:r>
          </w:p>
          <w:p>
            <w:pPr>
              <w:spacing w:before="40" w:after="40" w:line="276" w:lineRule="auto"/>
              <w:jc w:val="right"/>
              <w:rPr>
                <w:b/>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2,225</w:t>
            </w:r>
          </w:p>
          <w:p>
            <w:pPr>
              <w:spacing w:before="40" w:after="4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276" w:lineRule="auto"/>
              <w:jc w:val="right"/>
              <w:rPr>
                <w:b/>
                <w:bCs/>
                <w:noProof/>
                <w:color w:val="000000"/>
                <w:sz w:val="20"/>
              </w:rPr>
            </w:pPr>
            <w:r>
              <w:rPr>
                <w:b/>
                <w:noProof/>
                <w:color w:val="000000"/>
                <w:sz w:val="20"/>
              </w:rPr>
              <w:t>6,800</w:t>
            </w:r>
          </w:p>
          <w:p>
            <w:pPr>
              <w:spacing w:line="276" w:lineRule="auto"/>
              <w:jc w:val="right"/>
              <w:rPr>
                <w:b/>
                <w:noProof/>
                <w:sz w:val="20"/>
              </w:rPr>
            </w:pPr>
          </w:p>
        </w:tc>
      </w:tr>
      <w:tr>
        <w:tc>
          <w:tcPr>
            <w:tcW w:w="2931"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rPr>
            </w:pPr>
            <w:r>
              <w:rPr>
                <w:b/>
                <w:noProof/>
              </w:rPr>
              <w:t>TOTAL credite</w:t>
            </w:r>
            <w:r>
              <w:rPr>
                <w:noProof/>
              </w:rPr>
              <w:br/>
            </w:r>
            <w:r>
              <w:rPr>
                <w:b/>
                <w:noProof/>
                <w:sz w:val="22"/>
              </w:rPr>
              <w:t>pentru 13</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Angajamente</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4"/>
              </w:rPr>
            </w:pPr>
            <w:r>
              <w:rPr>
                <w:noProof/>
                <w:sz w:val="14"/>
              </w:rPr>
              <w:t>=1+1a +3</w:t>
            </w:r>
          </w:p>
        </w:tc>
        <w:tc>
          <w:tcPr>
            <w:tcW w:w="993"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23,625</w:t>
            </w:r>
          </w:p>
          <w:p>
            <w:pPr>
              <w:spacing w:before="40" w:after="4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32,025</w:t>
            </w:r>
          </w:p>
          <w:p>
            <w:pPr>
              <w:spacing w:before="40" w:after="4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40,425</w:t>
            </w:r>
          </w:p>
          <w:p>
            <w:pPr>
              <w:spacing w:before="40" w:after="40" w:line="276" w:lineRule="auto"/>
              <w:jc w:val="right"/>
              <w:rPr>
                <w:b/>
                <w:noProof/>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46,725</w:t>
            </w:r>
          </w:p>
          <w:p>
            <w:pPr>
              <w:spacing w:before="40" w:after="4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142,800</w:t>
            </w:r>
          </w:p>
          <w:p>
            <w:pPr>
              <w:spacing w:before="20" w:after="20" w:line="276" w:lineRule="auto"/>
              <w:jc w:val="right"/>
              <w:rPr>
                <w:b/>
                <w:noProof/>
              </w:rPr>
            </w:pPr>
          </w:p>
        </w:tc>
      </w:tr>
      <w:tr>
        <w:trPr>
          <w:trHeight w:val="301"/>
        </w:trPr>
        <w:tc>
          <w:tcPr>
            <w:tcW w:w="609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rPr>
            </w:pP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Plăți</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noProof/>
                <w:sz w:val="14"/>
              </w:rPr>
            </w:pPr>
            <w:r>
              <w:rPr>
                <w:noProof/>
                <w:sz w:val="14"/>
              </w:rPr>
              <w:t>=2+2a</w:t>
            </w:r>
          </w:p>
          <w:p>
            <w:pPr>
              <w:spacing w:before="0" w:after="0" w:line="276" w:lineRule="auto"/>
              <w:jc w:val="center"/>
              <w:rPr>
                <w:noProof/>
                <w:sz w:val="14"/>
              </w:rPr>
            </w:pPr>
            <w:r>
              <w:rPr>
                <w:noProof/>
                <w:sz w:val="14"/>
              </w:rPr>
              <w:t>+3</w:t>
            </w:r>
          </w:p>
        </w:tc>
        <w:tc>
          <w:tcPr>
            <w:tcW w:w="993" w:type="dxa"/>
            <w:tcBorders>
              <w:top w:val="single" w:sz="4" w:space="0" w:color="auto"/>
              <w:left w:val="single" w:sz="4" w:space="0" w:color="auto"/>
              <w:bottom w:val="single" w:sz="4" w:space="0" w:color="auto"/>
              <w:right w:val="single" w:sz="4" w:space="0" w:color="auto"/>
            </w:tcBorders>
            <w:vAlign w:val="center"/>
          </w:tcPr>
          <w:p>
            <w:pPr>
              <w:spacing w:before="0" w:after="0" w:line="276" w:lineRule="auto"/>
              <w:jc w:val="right"/>
              <w:rPr>
                <w:b/>
                <w:bCs/>
                <w:noProof/>
                <w:color w:val="000000"/>
              </w:rPr>
            </w:pPr>
            <w:r>
              <w:rPr>
                <w:b/>
                <w:noProof/>
                <w:color w:val="000000"/>
                <w:sz w:val="22"/>
              </w:rPr>
              <w:t>12,375</w:t>
            </w:r>
          </w:p>
          <w:p>
            <w:pPr>
              <w:spacing w:before="0" w:after="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23,525</w:t>
            </w:r>
          </w:p>
          <w:p>
            <w:pPr>
              <w:spacing w:before="20" w:after="2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34,825</w:t>
            </w:r>
          </w:p>
          <w:p>
            <w:pPr>
              <w:spacing w:before="20" w:after="20" w:line="276" w:lineRule="auto"/>
              <w:jc w:val="right"/>
              <w:rPr>
                <w:b/>
                <w:noProof/>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42,125</w:t>
            </w:r>
          </w:p>
          <w:p>
            <w:pPr>
              <w:spacing w:before="20" w:after="2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rPr>
            </w:pPr>
            <w:r>
              <w:rPr>
                <w:b/>
                <w:noProof/>
                <w:sz w:val="22"/>
              </w:rPr>
              <w:t>29,950</w:t>
            </w:r>
          </w:p>
          <w:p>
            <w:pPr>
              <w:spacing w:before="20" w:after="20" w:line="276" w:lineRule="auto"/>
              <w:jc w:val="right"/>
              <w:rPr>
                <w:b/>
                <w:noProof/>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142,800</w:t>
            </w:r>
          </w:p>
          <w:p>
            <w:pPr>
              <w:spacing w:before="20" w:after="20" w:line="276" w:lineRule="auto"/>
              <w:jc w:val="right"/>
              <w:rPr>
                <w:b/>
                <w:noProof/>
              </w:rPr>
            </w:pPr>
          </w:p>
        </w:tc>
      </w:tr>
    </w:tbl>
    <w:p>
      <w:pPr>
        <w:spacing w:before="0" w:after="0"/>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969"/>
        <w:gridCol w:w="992"/>
        <w:gridCol w:w="992"/>
        <w:gridCol w:w="851"/>
        <w:gridCol w:w="992"/>
        <w:gridCol w:w="1276"/>
      </w:tblGrid>
      <w:tr>
        <w:trPr>
          <w:trHeight w:val="277"/>
        </w:trPr>
        <w:tc>
          <w:tcPr>
            <w:tcW w:w="3960" w:type="dxa"/>
            <w:vMerge w:val="restart"/>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rPr>
            </w:pPr>
            <w:r>
              <w:rPr>
                <w:noProof/>
              </w:rPr>
              <w:br w:type="page"/>
            </w:r>
            <w:r>
              <w:rPr>
                <w:noProof/>
                <w:sz w:val="21"/>
              </w:rPr>
              <w:sym w:font="Wingdings" w:char="F09F"/>
            </w:r>
            <w:r>
              <w:rPr>
                <w:noProof/>
              </w:rPr>
              <w:t xml:space="preserve"> TOTAL credite operaționale</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(4)</w:t>
            </w:r>
          </w:p>
        </w:tc>
        <w:tc>
          <w:tcPr>
            <w:tcW w:w="969"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22,500</w:t>
            </w:r>
          </w:p>
          <w:p>
            <w:pPr>
              <w:spacing w:before="20" w:after="2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30,500</w:t>
            </w:r>
          </w:p>
          <w:p>
            <w:pPr>
              <w:spacing w:before="20" w:after="20" w:line="276" w:lineRule="auto"/>
              <w:jc w:val="right"/>
              <w:rPr>
                <w:b/>
                <w:bCs/>
                <w:noProof/>
                <w:color w:val="000000"/>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38,500</w:t>
            </w:r>
          </w:p>
          <w:p>
            <w:pPr>
              <w:spacing w:before="20" w:after="20" w:line="276" w:lineRule="auto"/>
              <w:jc w:val="right"/>
              <w:rPr>
                <w:b/>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44,500</w:t>
            </w:r>
          </w:p>
          <w:p>
            <w:pPr>
              <w:spacing w:before="20" w:after="2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b/>
                <w:noProof/>
                <w:color w:val="000000"/>
                <w:sz w:val="20"/>
              </w:rPr>
              <w:t>0,000</w:t>
            </w: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szCs w:val="20"/>
              </w:rPr>
            </w:pPr>
            <w:r>
              <w:rPr>
                <w:b/>
                <w:noProof/>
                <w:color w:val="000000"/>
                <w:sz w:val="20"/>
              </w:rPr>
              <w:t>136,000</w:t>
            </w:r>
          </w:p>
          <w:p>
            <w:pPr>
              <w:spacing w:before="20" w:after="20" w:line="276" w:lineRule="auto"/>
              <w:jc w:val="right"/>
              <w:rPr>
                <w:b/>
                <w:noProof/>
                <w:sz w:val="20"/>
              </w:rPr>
            </w:pPr>
          </w:p>
        </w:tc>
      </w:tr>
      <w:tr>
        <w:tc>
          <w:tcPr>
            <w:tcW w:w="540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(5)</w:t>
            </w:r>
          </w:p>
        </w:tc>
        <w:tc>
          <w:tcPr>
            <w:tcW w:w="969"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11,250</w:t>
            </w:r>
          </w:p>
          <w:p>
            <w:pPr>
              <w:spacing w:before="20" w:after="2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22,000</w:t>
            </w:r>
          </w:p>
          <w:p>
            <w:pPr>
              <w:spacing w:before="20" w:after="2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32,900</w:t>
            </w:r>
          </w:p>
          <w:p>
            <w:pPr>
              <w:spacing w:before="20" w:after="20" w:line="276" w:lineRule="auto"/>
              <w:jc w:val="right"/>
              <w:rPr>
                <w:b/>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39,900</w:t>
            </w:r>
          </w:p>
          <w:p>
            <w:pPr>
              <w:spacing w:before="20" w:after="2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rPr>
            </w:pPr>
            <w:r>
              <w:rPr>
                <w:b/>
                <w:noProof/>
                <w:color w:val="000000"/>
                <w:sz w:val="20"/>
              </w:rPr>
              <w:t>29,950</w:t>
            </w:r>
          </w:p>
          <w:p>
            <w:pPr>
              <w:spacing w:before="20" w:after="20" w:line="276" w:lineRule="auto"/>
              <w:jc w:val="right"/>
              <w:rPr>
                <w:b/>
                <w:noProof/>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sz w:val="20"/>
                <w:szCs w:val="20"/>
              </w:rPr>
            </w:pPr>
            <w:r>
              <w:rPr>
                <w:b/>
                <w:noProof/>
                <w:color w:val="000000"/>
                <w:sz w:val="20"/>
              </w:rPr>
              <w:t>136,000</w:t>
            </w:r>
          </w:p>
          <w:p>
            <w:pPr>
              <w:spacing w:before="20" w:after="20" w:line="276" w:lineRule="auto"/>
              <w:jc w:val="right"/>
              <w:rPr>
                <w:b/>
                <w:noProof/>
                <w:sz w:val="20"/>
              </w:rPr>
            </w:pPr>
          </w:p>
        </w:tc>
      </w:tr>
      <w:tr>
        <w:trPr>
          <w:trHeight w:val="533"/>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rPr>
                <w:noProof/>
              </w:rPr>
            </w:pPr>
            <w:r>
              <w:rPr>
                <w:noProof/>
                <w:sz w:val="21"/>
              </w:rPr>
              <w:sym w:font="Wingdings" w:char="F09F"/>
            </w:r>
            <w:r>
              <w:rPr>
                <w:noProof/>
              </w:rPr>
              <w:t xml:space="preserve"> TOTAL credite cu caracter administrativ finanțate din bugetul anumitor programe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Lines="20" w:before="48" w:afterLines="20" w:after="48" w:line="276" w:lineRule="auto"/>
              <w:jc w:val="center"/>
              <w:rPr>
                <w:noProof/>
                <w:sz w:val="14"/>
              </w:rPr>
            </w:pPr>
            <w:r>
              <w:rPr>
                <w:noProof/>
                <w:sz w:val="14"/>
              </w:rPr>
              <w:t>(6)</w:t>
            </w:r>
          </w:p>
        </w:tc>
        <w:tc>
          <w:tcPr>
            <w:tcW w:w="969"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1,125</w:t>
            </w:r>
          </w:p>
          <w:p>
            <w:pPr>
              <w:spacing w:before="40" w:after="4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1,525</w:t>
            </w:r>
          </w:p>
          <w:p>
            <w:pPr>
              <w:spacing w:before="40" w:after="4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1,925</w:t>
            </w:r>
          </w:p>
          <w:p>
            <w:pPr>
              <w:spacing w:before="40" w:after="40" w:line="276" w:lineRule="auto"/>
              <w:jc w:val="right"/>
              <w:rPr>
                <w:b/>
                <w:noProof/>
                <w:sz w:val="20"/>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sz w:val="20"/>
              </w:rPr>
            </w:pPr>
            <w:r>
              <w:rPr>
                <w:b/>
                <w:noProof/>
                <w:color w:val="000000"/>
                <w:sz w:val="20"/>
              </w:rPr>
              <w:t>2,225</w:t>
            </w:r>
          </w:p>
          <w:p>
            <w:pPr>
              <w:spacing w:before="40" w:after="40" w:line="276" w:lineRule="auto"/>
              <w:jc w:val="right"/>
              <w:rPr>
                <w:b/>
                <w:noProof/>
                <w:sz w:val="20"/>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sz w:val="20"/>
              </w:rPr>
            </w:pPr>
            <w:r>
              <w:rPr>
                <w:b/>
                <w:noProof/>
                <w:sz w:val="20"/>
              </w:rPr>
              <w:t>6,800</w:t>
            </w:r>
          </w:p>
          <w:p>
            <w:pPr>
              <w:spacing w:before="40" w:after="40" w:line="276" w:lineRule="auto"/>
              <w:jc w:val="right"/>
              <w:rPr>
                <w:b/>
                <w:noProof/>
                <w:sz w:val="20"/>
              </w:rPr>
            </w:pPr>
          </w:p>
        </w:tc>
      </w:tr>
      <w:tr>
        <w:tc>
          <w:tcPr>
            <w:tcW w:w="3960"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0" w:after="0" w:line="276" w:lineRule="auto"/>
              <w:jc w:val="center"/>
              <w:rPr>
                <w:b/>
                <w:noProof/>
              </w:rPr>
            </w:pPr>
            <w:r>
              <w:rPr>
                <w:b/>
                <w:noProof/>
              </w:rPr>
              <w:t>TOTAL credite</w:t>
            </w:r>
            <w:r>
              <w:rPr>
                <w:noProof/>
              </w:rPr>
              <w:br/>
            </w:r>
            <w:r>
              <w:rPr>
                <w:b/>
                <w:noProof/>
              </w:rPr>
              <w:t>în cadrul RUBRICII 1b/2</w:t>
            </w:r>
            <w:r>
              <w:rPr>
                <w:noProof/>
              </w:rPr>
              <w:br/>
            </w:r>
            <w:r>
              <w:rPr>
                <w:noProof/>
                <w:sz w:val="22"/>
              </w:rPr>
              <w:t>din cadrul financiar multianual</w:t>
            </w: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Angajamente</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jc w:val="right"/>
              <w:rPr>
                <w:b/>
                <w:noProof/>
              </w:rPr>
            </w:pPr>
            <w:r>
              <w:rPr>
                <w:noProof/>
                <w:sz w:val="14"/>
              </w:rPr>
              <w:t>(4+6)</w:t>
            </w:r>
          </w:p>
        </w:tc>
        <w:tc>
          <w:tcPr>
            <w:tcW w:w="969"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23,625</w:t>
            </w:r>
          </w:p>
          <w:p>
            <w:pPr>
              <w:spacing w:before="40" w:after="4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32,025</w:t>
            </w:r>
          </w:p>
          <w:p>
            <w:pPr>
              <w:spacing w:before="40" w:after="4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40,425</w:t>
            </w:r>
          </w:p>
          <w:p>
            <w:pPr>
              <w:spacing w:before="40" w:after="40" w:line="276" w:lineRule="auto"/>
              <w:jc w:val="right"/>
              <w:rPr>
                <w:b/>
                <w:noProof/>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bCs/>
                <w:noProof/>
                <w:color w:val="000000"/>
              </w:rPr>
            </w:pPr>
            <w:r>
              <w:rPr>
                <w:b/>
                <w:noProof/>
                <w:color w:val="000000"/>
                <w:sz w:val="22"/>
              </w:rPr>
              <w:t>46,725</w:t>
            </w:r>
          </w:p>
          <w:p>
            <w:pPr>
              <w:spacing w:before="40" w:after="4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142,800</w:t>
            </w:r>
          </w:p>
          <w:p>
            <w:pPr>
              <w:spacing w:before="20" w:after="20" w:line="276" w:lineRule="auto"/>
              <w:jc w:val="right"/>
              <w:rPr>
                <w:b/>
                <w:noProof/>
              </w:rPr>
            </w:pPr>
          </w:p>
        </w:tc>
      </w:tr>
      <w:tr>
        <w:tc>
          <w:tcPr>
            <w:tcW w:w="540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rPr>
            </w:pPr>
          </w:p>
        </w:tc>
        <w:tc>
          <w:tcPr>
            <w:tcW w:w="1440"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8"/>
              </w:rPr>
            </w:pPr>
            <w:r>
              <w:rPr>
                <w:noProof/>
                <w:sz w:val="18"/>
              </w:rPr>
              <w:t>Plăți</w:t>
            </w:r>
          </w:p>
        </w:tc>
        <w:tc>
          <w:tcPr>
            <w:tcW w:w="654"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rPr>
            </w:pPr>
            <w:r>
              <w:rPr>
                <w:noProof/>
                <w:sz w:val="14"/>
              </w:rPr>
              <w:t>(5+6)</w:t>
            </w:r>
          </w:p>
        </w:tc>
        <w:tc>
          <w:tcPr>
            <w:tcW w:w="969"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12,375</w:t>
            </w:r>
          </w:p>
          <w:p>
            <w:pPr>
              <w:spacing w:before="20" w:after="2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23,525</w:t>
            </w:r>
          </w:p>
          <w:p>
            <w:pPr>
              <w:spacing w:before="20" w:after="2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34,825</w:t>
            </w:r>
          </w:p>
          <w:p>
            <w:pPr>
              <w:spacing w:before="20" w:after="20" w:line="276" w:lineRule="auto"/>
              <w:jc w:val="right"/>
              <w:rPr>
                <w:b/>
                <w:noProof/>
              </w:rPr>
            </w:pPr>
          </w:p>
        </w:tc>
        <w:tc>
          <w:tcPr>
            <w:tcW w:w="851"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42,125</w:t>
            </w:r>
          </w:p>
          <w:p>
            <w:pPr>
              <w:spacing w:before="20" w:after="20" w:line="276" w:lineRule="auto"/>
              <w:jc w:val="right"/>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rPr>
            </w:pPr>
            <w:r>
              <w:rPr>
                <w:b/>
                <w:noProof/>
                <w:sz w:val="22"/>
              </w:rPr>
              <w:t>29,950</w:t>
            </w:r>
          </w:p>
          <w:p>
            <w:pPr>
              <w:spacing w:before="20" w:after="20" w:line="276" w:lineRule="auto"/>
              <w:jc w:val="right"/>
              <w:rPr>
                <w:b/>
                <w:noProof/>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bCs/>
                <w:noProof/>
                <w:color w:val="000000"/>
              </w:rPr>
            </w:pPr>
            <w:r>
              <w:rPr>
                <w:b/>
                <w:noProof/>
                <w:color w:val="000000"/>
                <w:sz w:val="22"/>
              </w:rPr>
              <w:t>142,800</w:t>
            </w:r>
          </w:p>
          <w:p>
            <w:pPr>
              <w:spacing w:before="20" w:after="20" w:line="276" w:lineRule="auto"/>
              <w:jc w:val="right"/>
              <w:rPr>
                <w:b/>
                <w:noProof/>
              </w:rPr>
            </w:pPr>
          </w:p>
        </w:tc>
      </w:tr>
    </w:tbl>
    <w:p>
      <w:pPr>
        <w:ind w:left="7920" w:right="2097" w:firstLine="720"/>
        <w:jc w:val="lef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7"/>
        <w:gridCol w:w="1011"/>
        <w:gridCol w:w="5813"/>
      </w:tblGrid>
      <w:tr>
        <w:trPr>
          <w:trHeight w:val="654"/>
        </w:trPr>
        <w:tc>
          <w:tcPr>
            <w:tcW w:w="5337" w:type="dxa"/>
            <w:tcBorders>
              <w:top w:val="single" w:sz="4" w:space="0" w:color="auto"/>
              <w:left w:val="single" w:sz="4" w:space="0" w:color="auto"/>
              <w:bottom w:val="single" w:sz="4" w:space="0" w:color="auto"/>
              <w:right w:val="single" w:sz="4" w:space="0" w:color="auto"/>
            </w:tcBorders>
            <w:shd w:val="thinDiagStripe" w:color="C0C0C0" w:fill="auto"/>
            <w:vAlign w:val="center"/>
          </w:tcPr>
          <w:p>
            <w:pPr>
              <w:spacing w:before="60" w:after="60" w:line="276" w:lineRule="auto"/>
              <w:jc w:val="left"/>
              <w:rPr>
                <w:noProof/>
              </w:rPr>
            </w:pPr>
          </w:p>
          <w:p>
            <w:pPr>
              <w:spacing w:before="60" w:after="60" w:line="276" w:lineRule="auto"/>
              <w:jc w:val="left"/>
              <w:rPr>
                <w:b/>
                <w:noProof/>
              </w:rPr>
            </w:pPr>
            <w:r>
              <w:rPr>
                <w:noProof/>
              </w:rPr>
              <w:br w:type="page"/>
            </w:r>
            <w:r>
              <w:rPr>
                <w:b/>
                <w:noProof/>
              </w:rPr>
              <w:t xml:space="preserve">Rubrica din cadrul financiar multianual </w:t>
            </w:r>
          </w:p>
        </w:tc>
        <w:tc>
          <w:tcPr>
            <w:tcW w:w="1011"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before="60" w:after="60" w:line="276" w:lineRule="auto"/>
              <w:jc w:val="center"/>
              <w:rPr>
                <w:noProof/>
              </w:rPr>
            </w:pPr>
            <w:r>
              <w:rPr>
                <w:b/>
                <w:noProof/>
                <w:sz w:val="22"/>
              </w:rPr>
              <w:t>5</w:t>
            </w:r>
          </w:p>
        </w:tc>
        <w:tc>
          <w:tcPr>
            <w:tcW w:w="5813"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rPr>
                <w:noProof/>
              </w:rPr>
            </w:pPr>
            <w:r>
              <w:rPr>
                <w:noProof/>
                <w:sz w:val="22"/>
              </w:rPr>
              <w:t>„Cheltuieli administrative”</w:t>
            </w:r>
          </w:p>
        </w:tc>
      </w:tr>
    </w:tbl>
    <w:p>
      <w:pPr>
        <w:ind w:right="2097"/>
        <w:jc w:val="right"/>
        <w:rPr>
          <w:noProof/>
          <w:sz w:val="20"/>
        </w:rPr>
      </w:pPr>
    </w:p>
    <w:tbl>
      <w:tblPr>
        <w:tblW w:w="122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4"/>
        <w:gridCol w:w="866"/>
        <w:gridCol w:w="691"/>
        <w:gridCol w:w="513"/>
        <w:gridCol w:w="21"/>
        <w:gridCol w:w="868"/>
        <w:gridCol w:w="868"/>
        <w:gridCol w:w="868"/>
        <w:gridCol w:w="868"/>
        <w:gridCol w:w="868"/>
        <w:gridCol w:w="1840"/>
      </w:tblGrid>
      <w:tr>
        <w:tc>
          <w:tcPr>
            <w:tcW w:w="3958" w:type="dxa"/>
            <w:tcBorders>
              <w:top w:val="nil"/>
              <w:left w:val="nil"/>
              <w:bottom w:val="single" w:sz="4" w:space="0" w:color="auto"/>
              <w:right w:val="nil"/>
            </w:tcBorders>
            <w:vAlign w:val="center"/>
          </w:tcPr>
          <w:p>
            <w:pPr>
              <w:spacing w:line="276" w:lineRule="auto"/>
              <w:jc w:val="center"/>
              <w:rPr>
                <w:noProof/>
              </w:rPr>
            </w:pPr>
          </w:p>
        </w:tc>
        <w:tc>
          <w:tcPr>
            <w:tcW w:w="1559" w:type="dxa"/>
            <w:gridSpan w:val="2"/>
            <w:tcBorders>
              <w:top w:val="nil"/>
              <w:left w:val="nil"/>
              <w:bottom w:val="single" w:sz="4" w:space="0" w:color="auto"/>
              <w:right w:val="nil"/>
            </w:tcBorders>
          </w:tcPr>
          <w:p>
            <w:pPr>
              <w:spacing w:line="276" w:lineRule="auto"/>
              <w:rPr>
                <w:noProof/>
                <w:sz w:val="20"/>
              </w:rPr>
            </w:pPr>
          </w:p>
        </w:tc>
        <w:tc>
          <w:tcPr>
            <w:tcW w:w="534" w:type="dxa"/>
            <w:gridSpan w:val="2"/>
            <w:tcBorders>
              <w:top w:val="nil"/>
              <w:left w:val="nil"/>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2017</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2018</w:t>
            </w:r>
          </w:p>
        </w:tc>
        <w:tc>
          <w:tcPr>
            <w:tcW w:w="868" w:type="dxa"/>
            <w:tcBorders>
              <w:top w:val="single" w:sz="4" w:space="0" w:color="auto"/>
              <w:left w:val="single" w:sz="4" w:space="0" w:color="auto"/>
              <w:bottom w:val="single" w:sz="4" w:space="0" w:color="auto"/>
              <w:right w:val="single" w:sz="4" w:space="0" w:color="auto"/>
            </w:tcBorders>
            <w:hideMark/>
          </w:tcPr>
          <w:p>
            <w:pPr>
              <w:spacing w:line="276" w:lineRule="auto"/>
              <w:jc w:val="center"/>
              <w:rPr>
                <w:noProof/>
                <w:sz w:val="20"/>
              </w:rPr>
            </w:pPr>
            <w:r>
              <w:rPr>
                <w:noProof/>
              </w:rPr>
              <w:t>Anul</w:t>
            </w:r>
            <w:r>
              <w:rPr>
                <w:noProof/>
              </w:rPr>
              <w:br/>
            </w:r>
            <w:r>
              <w:rPr>
                <w:b/>
                <w:noProof/>
                <w:sz w:val="20"/>
              </w:rPr>
              <w:t>2019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2020</w:t>
            </w:r>
          </w:p>
        </w:tc>
        <w:tc>
          <w:tcPr>
            <w:tcW w:w="868" w:type="dxa"/>
            <w:tcBorders>
              <w:top w:val="single" w:sz="4" w:space="0" w:color="auto"/>
              <w:left w:val="single" w:sz="4" w:space="0" w:color="auto"/>
              <w:bottom w:val="single" w:sz="4" w:space="0" w:color="auto"/>
              <w:right w:val="single" w:sz="4" w:space="0" w:color="auto"/>
            </w:tcBorders>
            <w:vAlign w:val="center"/>
          </w:tcPr>
          <w:p>
            <w:pPr>
              <w:spacing w:line="276" w:lineRule="auto"/>
              <w:jc w:val="center"/>
              <w:rPr>
                <w:noProof/>
                <w:sz w:val="20"/>
              </w:rPr>
            </w:pPr>
          </w:p>
        </w:tc>
        <w:tc>
          <w:tcPr>
            <w:tcW w:w="1841"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rPr>
          <w:gridAfter w:val="9"/>
          <w:wAfter w:w="7407" w:type="dxa"/>
        </w:trPr>
        <w:tc>
          <w:tcPr>
            <w:tcW w:w="3958" w:type="dxa"/>
            <w:tcBorders>
              <w:top w:val="single" w:sz="4" w:space="0" w:color="auto"/>
              <w:left w:val="single" w:sz="4" w:space="0" w:color="auto"/>
              <w:bottom w:val="single" w:sz="4" w:space="0" w:color="auto"/>
              <w:right w:val="single" w:sz="4" w:space="0" w:color="auto"/>
            </w:tcBorders>
            <w:vAlign w:val="center"/>
            <w:hideMark/>
          </w:tcPr>
          <w:p>
            <w:pPr>
              <w:spacing w:before="60" w:after="60" w:line="276" w:lineRule="auto"/>
              <w:jc w:val="center"/>
              <w:rPr>
                <w:noProof/>
              </w:rPr>
            </w:pPr>
            <w:r>
              <w:rPr>
                <w:noProof/>
                <w:sz w:val="22"/>
              </w:rPr>
              <w:t>DG: SG/</w:t>
            </w:r>
            <w:r>
              <w:rPr>
                <w:noProof/>
              </w:rPr>
              <w:t>SRSS</w:t>
            </w:r>
          </w:p>
        </w:tc>
        <w:tc>
          <w:tcPr>
            <w:tcW w:w="867" w:type="dxa"/>
            <w:tcBorders>
              <w:top w:val="single" w:sz="4" w:space="0" w:color="auto"/>
              <w:left w:val="single" w:sz="4" w:space="0" w:color="auto"/>
              <w:bottom w:val="single" w:sz="4" w:space="0" w:color="auto"/>
              <w:right w:val="single" w:sz="4" w:space="0" w:color="auto"/>
            </w:tcBorders>
          </w:tcPr>
          <w:p>
            <w:pPr>
              <w:spacing w:before="60" w:after="60" w:line="276" w:lineRule="auto"/>
              <w:jc w:val="center"/>
              <w:rPr>
                <w:noProof/>
              </w:rPr>
            </w:pPr>
          </w:p>
        </w:tc>
      </w:tr>
      <w:tr>
        <w:trPr>
          <w:trHeight w:val="313"/>
        </w:trPr>
        <w:tc>
          <w:tcPr>
            <w:tcW w:w="6030" w:type="dxa"/>
            <w:gridSpan w:val="4"/>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rPr>
            </w:pPr>
            <w:r>
              <w:rPr>
                <w:noProof/>
                <w:sz w:val="22"/>
              </w:rPr>
              <w:sym w:font="Wingdings" w:char="F09F"/>
            </w:r>
            <w:r>
              <w:rPr>
                <w:noProof/>
              </w:rPr>
              <w:t xml:space="preserve"> Resurse umane</w:t>
            </w:r>
          </w:p>
        </w:tc>
        <w:tc>
          <w:tcPr>
            <w:tcW w:w="889"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1,336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1,600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2,004</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2,004</w:t>
            </w:r>
          </w:p>
        </w:tc>
        <w:tc>
          <w:tcPr>
            <w:tcW w:w="868" w:type="dxa"/>
            <w:tcBorders>
              <w:top w:val="single" w:sz="4" w:space="0" w:color="auto"/>
              <w:left w:val="single" w:sz="4" w:space="0" w:color="auto"/>
              <w:bottom w:val="single" w:sz="4" w:space="0" w:color="auto"/>
              <w:right w:val="single" w:sz="4" w:space="0" w:color="auto"/>
            </w:tcBorders>
          </w:tcPr>
          <w:p>
            <w:pPr>
              <w:spacing w:before="20" w:after="20" w:line="276" w:lineRule="auto"/>
              <w:jc w:val="right"/>
              <w:rPr>
                <w:noProof/>
                <w:sz w:val="20"/>
              </w:rPr>
            </w:pPr>
          </w:p>
        </w:tc>
        <w:tc>
          <w:tcPr>
            <w:tcW w:w="1841" w:type="dxa"/>
            <w:tcBorders>
              <w:top w:val="single" w:sz="4" w:space="0" w:color="auto"/>
              <w:left w:val="single" w:sz="4" w:space="0" w:color="auto"/>
              <w:bottom w:val="single" w:sz="4" w:space="0" w:color="auto"/>
              <w:right w:val="single" w:sz="4" w:space="0" w:color="auto"/>
            </w:tcBorders>
            <w:vAlign w:val="bottom"/>
            <w:hideMark/>
          </w:tcPr>
          <w:p>
            <w:pPr>
              <w:spacing w:line="276" w:lineRule="auto"/>
              <w:jc w:val="right"/>
              <w:rPr>
                <w:noProof/>
                <w:color w:val="000000"/>
              </w:rPr>
            </w:pPr>
            <w:r>
              <w:rPr>
                <w:noProof/>
                <w:color w:val="000000"/>
                <w:sz w:val="22"/>
              </w:rPr>
              <w:t>6,944</w:t>
            </w:r>
          </w:p>
        </w:tc>
      </w:tr>
      <w:tr>
        <w:trPr>
          <w:trHeight w:val="351"/>
        </w:trPr>
        <w:tc>
          <w:tcPr>
            <w:tcW w:w="6030" w:type="dxa"/>
            <w:gridSpan w:val="4"/>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rPr>
                <w:noProof/>
              </w:rPr>
            </w:pPr>
            <w:r>
              <w:rPr>
                <w:noProof/>
                <w:sz w:val="22"/>
              </w:rPr>
              <w:sym w:font="Wingdings" w:char="F09F"/>
            </w:r>
            <w:r>
              <w:rPr>
                <w:noProof/>
              </w:rPr>
              <w:t xml:space="preserve"> Alte cheltuieli administrative</w:t>
            </w:r>
          </w:p>
        </w:tc>
        <w:tc>
          <w:tcPr>
            <w:tcW w:w="889"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0,110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0,155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0,200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0,230</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1841" w:type="dxa"/>
            <w:tcBorders>
              <w:top w:val="single" w:sz="4" w:space="0" w:color="auto"/>
              <w:left w:val="single" w:sz="4" w:space="0" w:color="auto"/>
              <w:bottom w:val="single" w:sz="4" w:space="0" w:color="auto"/>
              <w:right w:val="single" w:sz="4" w:space="0" w:color="auto"/>
            </w:tcBorders>
            <w:vAlign w:val="bottom"/>
            <w:hideMark/>
          </w:tcPr>
          <w:p>
            <w:pPr>
              <w:spacing w:line="276" w:lineRule="auto"/>
              <w:jc w:val="right"/>
              <w:rPr>
                <w:noProof/>
                <w:color w:val="000000"/>
              </w:rPr>
            </w:pPr>
            <w:r>
              <w:rPr>
                <w:noProof/>
                <w:color w:val="000000"/>
                <w:sz w:val="22"/>
              </w:rPr>
              <w:t>0,695</w:t>
            </w:r>
          </w:p>
        </w:tc>
      </w:tr>
      <w:tr>
        <w:tc>
          <w:tcPr>
            <w:tcW w:w="395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rPr>
            </w:pPr>
            <w:r>
              <w:rPr>
                <w:b/>
                <w:noProof/>
              </w:rPr>
              <w:t>TOTAL DG SG</w:t>
            </w:r>
            <w:r>
              <w:rPr>
                <w:noProof/>
              </w:rPr>
              <w:t>/SRSS</w:t>
            </w:r>
          </w:p>
        </w:tc>
        <w:tc>
          <w:tcPr>
            <w:tcW w:w="2072" w:type="dxa"/>
            <w:gridSpan w:val="3"/>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 xml:space="preserve">Credite </w:t>
            </w:r>
          </w:p>
        </w:tc>
        <w:tc>
          <w:tcPr>
            <w:tcW w:w="889" w:type="dxa"/>
            <w:gridSpan w:val="2"/>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1,446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1,755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2,204</w:t>
            </w:r>
          </w:p>
        </w:tc>
        <w:tc>
          <w:tcPr>
            <w:tcW w:w="868" w:type="dxa"/>
            <w:tcBorders>
              <w:top w:val="single" w:sz="4" w:space="0" w:color="auto"/>
              <w:left w:val="single" w:sz="4" w:space="0" w:color="auto"/>
              <w:bottom w:val="single" w:sz="4" w:space="0" w:color="auto"/>
              <w:right w:val="single" w:sz="4" w:space="0" w:color="auto"/>
            </w:tcBorders>
            <w:hideMark/>
          </w:tcPr>
          <w:p>
            <w:pPr>
              <w:spacing w:before="20" w:after="20" w:line="360" w:lineRule="auto"/>
              <w:jc w:val="right"/>
              <w:rPr>
                <w:noProof/>
                <w:sz w:val="20"/>
              </w:rPr>
            </w:pPr>
            <w:r>
              <w:rPr>
                <w:noProof/>
                <w:sz w:val="20"/>
              </w:rPr>
              <w:t>2,234</w:t>
            </w:r>
          </w:p>
        </w:tc>
        <w:tc>
          <w:tcPr>
            <w:tcW w:w="868" w:type="dxa"/>
            <w:tcBorders>
              <w:top w:val="single" w:sz="4" w:space="0" w:color="auto"/>
              <w:left w:val="single" w:sz="4" w:space="0" w:color="auto"/>
              <w:bottom w:val="single" w:sz="4" w:space="0" w:color="auto"/>
              <w:right w:val="single" w:sz="4" w:space="0" w:color="auto"/>
            </w:tcBorders>
            <w:vAlign w:val="bottom"/>
          </w:tcPr>
          <w:p>
            <w:pPr>
              <w:spacing w:line="276" w:lineRule="auto"/>
              <w:jc w:val="right"/>
              <w:rPr>
                <w:noProof/>
                <w:color w:val="000000"/>
              </w:rPr>
            </w:pPr>
          </w:p>
        </w:tc>
        <w:tc>
          <w:tcPr>
            <w:tcW w:w="1841"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b/>
                <w:noProof/>
                <w:sz w:val="20"/>
              </w:rPr>
            </w:pPr>
            <w:r>
              <w:rPr>
                <w:noProof/>
                <w:color w:val="000000"/>
                <w:sz w:val="22"/>
              </w:rPr>
              <w:t>7,639</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838"/>
      </w:tblGrid>
      <w:tr>
        <w:tc>
          <w:tcPr>
            <w:tcW w:w="396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pPr>
              <w:spacing w:line="276" w:lineRule="auto"/>
              <w:jc w:val="center"/>
              <w:rPr>
                <w:b/>
                <w:noProof/>
              </w:rPr>
            </w:pPr>
            <w:r>
              <w:rPr>
                <w:b/>
                <w:noProof/>
              </w:rPr>
              <w:t>TOTAL credite</w:t>
            </w:r>
            <w:r>
              <w:rPr>
                <w:noProof/>
              </w:rPr>
              <w:br/>
            </w:r>
            <w:r>
              <w:rPr>
                <w:b/>
                <w:noProof/>
              </w:rPr>
              <w:t>în cadrul RUBRICII 5</w:t>
            </w:r>
            <w:r>
              <w:rPr>
                <w:noProof/>
              </w:rPr>
              <w:br/>
            </w:r>
            <w:r>
              <w:rPr>
                <w:noProof/>
                <w:sz w:val="22"/>
              </w:rPr>
              <w:t>din cadrul financiar multianual</w:t>
            </w:r>
          </w:p>
        </w:tc>
        <w:tc>
          <w:tcPr>
            <w:tcW w:w="209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rPr>
            </w:pPr>
            <w:r>
              <w:rPr>
                <w:noProof/>
                <w:sz w:val="18"/>
              </w:rPr>
              <w:t>(Total angajamente = Total plăți)</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1,446</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1,755</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before="20" w:after="20" w:line="276" w:lineRule="auto"/>
              <w:jc w:val="right"/>
              <w:rPr>
                <w:noProof/>
                <w:sz w:val="20"/>
              </w:rPr>
            </w:pPr>
            <w:r>
              <w:rPr>
                <w:noProof/>
                <w:sz w:val="20"/>
              </w:rPr>
              <w:t>2,204</w:t>
            </w:r>
          </w:p>
        </w:tc>
        <w:tc>
          <w:tcPr>
            <w:tcW w:w="868" w:type="dxa"/>
            <w:tcBorders>
              <w:top w:val="single" w:sz="4" w:space="0" w:color="auto"/>
              <w:left w:val="single" w:sz="4" w:space="0" w:color="auto"/>
              <w:bottom w:val="single" w:sz="4" w:space="0" w:color="auto"/>
              <w:right w:val="single" w:sz="4" w:space="0" w:color="auto"/>
            </w:tcBorders>
          </w:tcPr>
          <w:p>
            <w:pPr>
              <w:spacing w:before="20" w:after="20" w:line="360" w:lineRule="auto"/>
              <w:jc w:val="right"/>
              <w:rPr>
                <w:noProof/>
                <w:sz w:val="20"/>
              </w:rPr>
            </w:pPr>
          </w:p>
          <w:p>
            <w:pPr>
              <w:spacing w:before="20" w:after="20" w:line="360" w:lineRule="auto"/>
              <w:jc w:val="right"/>
              <w:rPr>
                <w:noProof/>
                <w:sz w:val="20"/>
              </w:rPr>
            </w:pPr>
            <w:r>
              <w:rPr>
                <w:noProof/>
                <w:sz w:val="20"/>
              </w:rPr>
              <w:t>2,234</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noProof/>
                <w:sz w:val="20"/>
              </w:rPr>
            </w:pPr>
          </w:p>
        </w:tc>
        <w:tc>
          <w:tcPr>
            <w:tcW w:w="1838" w:type="dxa"/>
            <w:tcBorders>
              <w:top w:val="single" w:sz="4" w:space="0" w:color="auto"/>
              <w:left w:val="single" w:sz="4" w:space="0" w:color="auto"/>
              <w:bottom w:val="single" w:sz="4" w:space="0" w:color="auto"/>
              <w:right w:val="single" w:sz="4" w:space="0" w:color="auto"/>
            </w:tcBorders>
            <w:vAlign w:val="center"/>
          </w:tcPr>
          <w:p>
            <w:pPr>
              <w:spacing w:line="276" w:lineRule="auto"/>
              <w:jc w:val="right"/>
              <w:rPr>
                <w:noProof/>
                <w:color w:val="000000"/>
              </w:rPr>
            </w:pPr>
            <w:r>
              <w:rPr>
                <w:noProof/>
                <w:color w:val="000000"/>
                <w:sz w:val="22"/>
              </w:rPr>
              <w:t>7,639</w:t>
            </w:r>
          </w:p>
          <w:p>
            <w:pPr>
              <w:spacing w:before="20" w:after="20" w:line="276" w:lineRule="auto"/>
              <w:jc w:val="right"/>
              <w:rPr>
                <w:b/>
                <w:noProof/>
                <w:sz w:val="20"/>
              </w:rPr>
            </w:pPr>
          </w:p>
        </w:tc>
      </w:tr>
    </w:tbl>
    <w:p>
      <w:pPr>
        <w:ind w:right="2097"/>
        <w:jc w:val="right"/>
        <w:rPr>
          <w:noProof/>
          <w:sz w:val="20"/>
        </w:rPr>
      </w:pPr>
      <w:r>
        <w:rPr>
          <w:noProof/>
          <w:sz w:val="20"/>
        </w:rPr>
        <w:t>milioane EUR (cu trei zecimale)</w:t>
      </w:r>
    </w:p>
    <w:tbl>
      <w:tblPr>
        <w:tblW w:w="122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1"/>
        <w:gridCol w:w="1561"/>
        <w:gridCol w:w="534"/>
        <w:gridCol w:w="868"/>
        <w:gridCol w:w="868"/>
        <w:gridCol w:w="868"/>
        <w:gridCol w:w="868"/>
        <w:gridCol w:w="868"/>
        <w:gridCol w:w="1844"/>
      </w:tblGrid>
      <w:tr>
        <w:tc>
          <w:tcPr>
            <w:tcW w:w="3958" w:type="dxa"/>
            <w:tcBorders>
              <w:top w:val="nil"/>
              <w:left w:val="nil"/>
              <w:bottom w:val="single" w:sz="4" w:space="0" w:color="auto"/>
              <w:right w:val="nil"/>
            </w:tcBorders>
            <w:vAlign w:val="center"/>
          </w:tcPr>
          <w:p>
            <w:pPr>
              <w:spacing w:line="276" w:lineRule="auto"/>
              <w:jc w:val="center"/>
              <w:rPr>
                <w:noProof/>
              </w:rPr>
            </w:pPr>
          </w:p>
        </w:tc>
        <w:tc>
          <w:tcPr>
            <w:tcW w:w="1559" w:type="dxa"/>
            <w:tcBorders>
              <w:top w:val="nil"/>
              <w:left w:val="nil"/>
              <w:bottom w:val="single" w:sz="4" w:space="0" w:color="auto"/>
              <w:right w:val="nil"/>
            </w:tcBorders>
          </w:tcPr>
          <w:p>
            <w:pPr>
              <w:spacing w:line="276" w:lineRule="auto"/>
              <w:rPr>
                <w:noProof/>
                <w:sz w:val="20"/>
              </w:rPr>
            </w:pPr>
          </w:p>
        </w:tc>
        <w:tc>
          <w:tcPr>
            <w:tcW w:w="534" w:type="dxa"/>
            <w:tcBorders>
              <w:top w:val="nil"/>
              <w:left w:val="nil"/>
              <w:bottom w:val="single" w:sz="4" w:space="0" w:color="auto"/>
              <w:right w:val="single" w:sz="4" w:space="0" w:color="auto"/>
            </w:tcBorders>
          </w:tcPr>
          <w:p>
            <w:pPr>
              <w:spacing w:line="276" w:lineRule="auto"/>
              <w:jc w:val="center"/>
              <w:rPr>
                <w:noProof/>
                <w:sz w:val="20"/>
              </w:rPr>
            </w:pP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2017</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2018</w:t>
            </w:r>
          </w:p>
        </w:tc>
        <w:tc>
          <w:tcPr>
            <w:tcW w:w="868" w:type="dxa"/>
            <w:tcBorders>
              <w:top w:val="single" w:sz="4" w:space="0" w:color="auto"/>
              <w:left w:val="single" w:sz="4" w:space="0" w:color="auto"/>
              <w:bottom w:val="single" w:sz="4" w:space="0" w:color="auto"/>
              <w:right w:val="single" w:sz="4" w:space="0" w:color="auto"/>
            </w:tcBorders>
            <w:hideMark/>
          </w:tcPr>
          <w:p>
            <w:pPr>
              <w:spacing w:line="276" w:lineRule="auto"/>
              <w:jc w:val="center"/>
              <w:rPr>
                <w:noProof/>
                <w:sz w:val="20"/>
              </w:rPr>
            </w:pPr>
            <w:r>
              <w:rPr>
                <w:noProof/>
              </w:rPr>
              <w:t>Anul</w:t>
            </w:r>
            <w:r>
              <w:rPr>
                <w:noProof/>
              </w:rPr>
              <w:br/>
            </w:r>
            <w:r>
              <w:rPr>
                <w:b/>
                <w:noProof/>
                <w:sz w:val="20"/>
              </w:rPr>
              <w:t>2019</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20"/>
              </w:rPr>
            </w:pPr>
            <w:r>
              <w:rPr>
                <w:noProof/>
              </w:rPr>
              <w:t>Anul</w:t>
            </w:r>
            <w:r>
              <w:rPr>
                <w:noProof/>
              </w:rPr>
              <w:br/>
            </w:r>
            <w:r>
              <w:rPr>
                <w:b/>
                <w:noProof/>
                <w:sz w:val="20"/>
              </w:rPr>
              <w:t>2020</w:t>
            </w:r>
          </w:p>
        </w:tc>
        <w:tc>
          <w:tcPr>
            <w:tcW w:w="868" w:type="dxa"/>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20"/>
              </w:rPr>
            </w:pPr>
            <w:r>
              <w:rPr>
                <w:noProof/>
                <w:sz w:val="20"/>
              </w:rPr>
              <w:t xml:space="preserve"> </w:t>
            </w:r>
            <w:r>
              <w:rPr>
                <w:noProof/>
              </w:rPr>
              <w:t>Anul</w:t>
            </w:r>
            <w:r>
              <w:rPr>
                <w:noProof/>
              </w:rPr>
              <w:br/>
            </w:r>
            <w:r>
              <w:rPr>
                <w:b/>
                <w:noProof/>
                <w:sz w:val="20"/>
              </w:rPr>
              <w:t>2021/2</w:t>
            </w:r>
          </w:p>
        </w:tc>
        <w:tc>
          <w:tcPr>
            <w:tcW w:w="1843"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20"/>
              </w:rPr>
            </w:pPr>
            <w:r>
              <w:rPr>
                <w:b/>
                <w:noProof/>
                <w:sz w:val="20"/>
              </w:rPr>
              <w:t>TOTAL</w:t>
            </w:r>
          </w:p>
        </w:tc>
      </w:tr>
      <w:tr>
        <w:tc>
          <w:tcPr>
            <w:tcW w:w="3958"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pPr>
              <w:spacing w:line="276" w:lineRule="auto"/>
              <w:jc w:val="center"/>
              <w:rPr>
                <w:b/>
                <w:noProof/>
              </w:rPr>
            </w:pPr>
            <w:r>
              <w:rPr>
                <w:b/>
                <w:noProof/>
              </w:rPr>
              <w:t>TOTAL credite</w:t>
            </w:r>
            <w:r>
              <w:rPr>
                <w:noProof/>
              </w:rPr>
              <w:br/>
            </w:r>
            <w:r>
              <w:rPr>
                <w:b/>
                <w:noProof/>
              </w:rPr>
              <w:t>în cadrul RUBRICILOR 1b/2 - 5</w:t>
            </w:r>
            <w:r>
              <w:rPr>
                <w:noProof/>
              </w:rPr>
              <w:br/>
            </w:r>
            <w:r>
              <w:rPr>
                <w:noProof/>
                <w:sz w:val="22"/>
              </w:rPr>
              <w:t>din cadrul financiar multianual</w:t>
            </w:r>
          </w:p>
        </w:tc>
        <w:tc>
          <w:tcPr>
            <w:tcW w:w="2093"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Angajamente</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rPr>
            </w:pPr>
            <w:r>
              <w:rPr>
                <w:b/>
                <w:noProof/>
                <w:sz w:val="22"/>
              </w:rPr>
              <w:t>25,071</w:t>
            </w:r>
          </w:p>
          <w:p>
            <w:pPr>
              <w:spacing w:before="40" w:after="4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rPr>
            </w:pPr>
            <w:r>
              <w:rPr>
                <w:b/>
                <w:noProof/>
                <w:sz w:val="22"/>
              </w:rPr>
              <w:t>33,780</w:t>
            </w:r>
          </w:p>
          <w:p>
            <w:pPr>
              <w:spacing w:before="40" w:after="4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rPr>
            </w:pPr>
            <w:r>
              <w:rPr>
                <w:b/>
                <w:noProof/>
                <w:sz w:val="22"/>
              </w:rPr>
              <w:t>42,629</w:t>
            </w:r>
          </w:p>
          <w:p>
            <w:pPr>
              <w:spacing w:before="40" w:after="4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rPr>
            </w:pPr>
            <w:r>
              <w:rPr>
                <w:b/>
                <w:noProof/>
                <w:sz w:val="22"/>
              </w:rPr>
              <w:t>48,959</w:t>
            </w:r>
          </w:p>
          <w:p>
            <w:pPr>
              <w:spacing w:before="40" w:after="4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40" w:after="40" w:line="276" w:lineRule="auto"/>
              <w:jc w:val="right"/>
              <w:rPr>
                <w:b/>
                <w:noProof/>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right"/>
              <w:rPr>
                <w:noProof/>
                <w:color w:val="000000"/>
              </w:rPr>
            </w:pPr>
            <w:r>
              <w:rPr>
                <w:noProof/>
                <w:color w:val="000000"/>
                <w:sz w:val="22"/>
              </w:rPr>
              <w:t>150,439</w:t>
            </w:r>
          </w:p>
          <w:p>
            <w:pPr>
              <w:spacing w:line="276" w:lineRule="auto"/>
              <w:jc w:val="right"/>
              <w:rPr>
                <w:noProof/>
                <w:color w:val="000000"/>
              </w:rPr>
            </w:pPr>
          </w:p>
        </w:tc>
      </w:tr>
      <w:tr>
        <w:tc>
          <w:tcPr>
            <w:tcW w:w="3958"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b/>
                <w:noProof/>
              </w:rPr>
            </w:pPr>
          </w:p>
        </w:tc>
        <w:tc>
          <w:tcPr>
            <w:tcW w:w="2093" w:type="dxa"/>
            <w:gridSpan w:val="2"/>
            <w:tcBorders>
              <w:top w:val="single" w:sz="4" w:space="0" w:color="auto"/>
              <w:left w:val="single" w:sz="4" w:space="0" w:color="auto"/>
              <w:bottom w:val="single" w:sz="4" w:space="0" w:color="auto"/>
              <w:right w:val="single" w:sz="4" w:space="0" w:color="auto"/>
            </w:tcBorders>
            <w:vAlign w:val="center"/>
            <w:hideMark/>
          </w:tcPr>
          <w:p>
            <w:pPr>
              <w:spacing w:line="276" w:lineRule="auto"/>
              <w:rPr>
                <w:noProof/>
                <w:sz w:val="14"/>
              </w:rPr>
            </w:pPr>
            <w:r>
              <w:rPr>
                <w:noProof/>
                <w:sz w:val="18"/>
              </w:rPr>
              <w:t>Plăți</w:t>
            </w: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rPr>
            </w:pPr>
            <w:r>
              <w:rPr>
                <w:b/>
                <w:noProof/>
                <w:sz w:val="22"/>
              </w:rPr>
              <w:t>13,821</w:t>
            </w:r>
          </w:p>
          <w:p>
            <w:pPr>
              <w:spacing w:before="20" w:after="2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rPr>
            </w:pPr>
            <w:r>
              <w:rPr>
                <w:b/>
                <w:noProof/>
                <w:sz w:val="22"/>
              </w:rPr>
              <w:t>25,280</w:t>
            </w:r>
          </w:p>
          <w:p>
            <w:pPr>
              <w:spacing w:before="20" w:after="2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rPr>
            </w:pPr>
            <w:r>
              <w:rPr>
                <w:b/>
                <w:noProof/>
                <w:sz w:val="22"/>
              </w:rPr>
              <w:t>37,029</w:t>
            </w:r>
          </w:p>
          <w:p>
            <w:pPr>
              <w:spacing w:before="20" w:after="2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rPr>
            </w:pPr>
            <w:r>
              <w:rPr>
                <w:b/>
                <w:noProof/>
                <w:sz w:val="22"/>
              </w:rPr>
              <w:t>44,359</w:t>
            </w:r>
          </w:p>
          <w:p>
            <w:pPr>
              <w:spacing w:before="20" w:after="20" w:line="276" w:lineRule="auto"/>
              <w:jc w:val="right"/>
              <w:rPr>
                <w:b/>
                <w:noProof/>
              </w:rPr>
            </w:pPr>
          </w:p>
        </w:tc>
        <w:tc>
          <w:tcPr>
            <w:tcW w:w="868" w:type="dxa"/>
            <w:tcBorders>
              <w:top w:val="single" w:sz="4" w:space="0" w:color="auto"/>
              <w:left w:val="single" w:sz="4" w:space="0" w:color="auto"/>
              <w:bottom w:val="single" w:sz="4" w:space="0" w:color="auto"/>
              <w:right w:val="single" w:sz="4" w:space="0" w:color="auto"/>
            </w:tcBorders>
            <w:vAlign w:val="center"/>
          </w:tcPr>
          <w:p>
            <w:pPr>
              <w:spacing w:before="20" w:after="20" w:line="276" w:lineRule="auto"/>
              <w:jc w:val="right"/>
              <w:rPr>
                <w:b/>
                <w:noProof/>
              </w:rPr>
            </w:pPr>
            <w:r>
              <w:rPr>
                <w:b/>
                <w:noProof/>
                <w:sz w:val="22"/>
              </w:rPr>
              <w:t>29,950</w:t>
            </w:r>
          </w:p>
          <w:p>
            <w:pPr>
              <w:spacing w:before="20" w:after="20" w:line="276" w:lineRule="auto"/>
              <w:jc w:val="right"/>
              <w:rPr>
                <w:b/>
                <w:noProof/>
              </w:rPr>
            </w:pPr>
          </w:p>
        </w:tc>
        <w:tc>
          <w:tcPr>
            <w:tcW w:w="1841" w:type="dxa"/>
            <w:tcBorders>
              <w:top w:val="single" w:sz="4" w:space="0" w:color="auto"/>
              <w:left w:val="single" w:sz="4" w:space="0" w:color="auto"/>
              <w:bottom w:val="single" w:sz="4" w:space="0" w:color="auto"/>
              <w:right w:val="single" w:sz="4" w:space="0" w:color="auto"/>
            </w:tcBorders>
            <w:vAlign w:val="center"/>
          </w:tcPr>
          <w:p>
            <w:pPr>
              <w:spacing w:line="276" w:lineRule="auto"/>
              <w:jc w:val="right"/>
              <w:rPr>
                <w:noProof/>
              </w:rPr>
            </w:pPr>
            <w:r>
              <w:rPr>
                <w:noProof/>
                <w:sz w:val="22"/>
              </w:rPr>
              <w:t>150,439</w:t>
            </w:r>
          </w:p>
          <w:p>
            <w:pPr>
              <w:spacing w:line="276" w:lineRule="auto"/>
              <w:jc w:val="right"/>
              <w:rPr>
                <w:noProof/>
              </w:rPr>
            </w:pPr>
          </w:p>
        </w:tc>
      </w:tr>
    </w:tbl>
    <w:p>
      <w:pPr>
        <w:spacing w:before="0" w:after="0"/>
        <w:jc w:val="left"/>
        <w:rPr>
          <w:noProof/>
        </w:rPr>
        <w:sectPr>
          <w:headerReference w:type="default" r:id="rId13"/>
          <w:footerReference w:type="default" r:id="rId14"/>
          <w:headerReference w:type="first" r:id="rId15"/>
          <w:footerReference w:type="first" r:id="rId16"/>
          <w:pgSz w:w="16840" w:h="11907" w:orient="landscape"/>
          <w:pgMar w:top="1134" w:right="1418" w:bottom="1134" w:left="1418" w:header="709" w:footer="709" w:gutter="0"/>
          <w:cols w:space="720"/>
          <w:docGrid w:linePitch="326"/>
        </w:sectPr>
      </w:pPr>
    </w:p>
    <w:p>
      <w:pPr>
        <w:pStyle w:val="ManualHeading3"/>
        <w:rPr>
          <w:bCs/>
          <w:noProof/>
          <w:szCs w:val="24"/>
        </w:rPr>
      </w:pPr>
      <w:r>
        <w:t>3.2.2.</w:t>
      </w:r>
      <w:r>
        <w:tab/>
      </w:r>
      <w:r>
        <w:rPr>
          <w:noProof/>
        </w:rPr>
        <w:t xml:space="preserve">Impactul estimat asupra creditelor operaționale </w:t>
      </w:r>
    </w:p>
    <w:p>
      <w:pPr>
        <w:pStyle w:val="ListDash1"/>
        <w:ind w:left="1134"/>
        <w:rPr>
          <w:noProof/>
        </w:rPr>
      </w:pPr>
      <w:r>
        <w:rPr>
          <w:noProof/>
        </w:rPr>
        <w:sym w:font="Wingdings" w:char="F0A8"/>
      </w:r>
      <w:r>
        <w:rPr>
          <w:noProof/>
        </w:rPr>
        <w:tab/>
        <w:t xml:space="preserve">Propunerea/inițiativa nu implică utilizarea de credite operaționale </w:t>
      </w:r>
    </w:p>
    <w:p>
      <w:pPr>
        <w:pStyle w:val="ListDash1"/>
        <w:ind w:left="1134"/>
        <w:rPr>
          <w:noProof/>
        </w:rPr>
      </w:pPr>
      <w:r>
        <w:rPr>
          <w:noProof/>
        </w:rPr>
        <w:sym w:font="Wingdings" w:char="F078"/>
      </w:r>
      <w:r>
        <w:rPr>
          <w:noProof/>
        </w:rPr>
        <w:tab/>
        <w:t>Propunerea/inițiativa implică utilizarea de credite operaționale, conform explicațiilor de mai jos:</w:t>
      </w:r>
    </w:p>
    <w:p>
      <w:pPr>
        <w:suppressAutoHyphens/>
        <w:ind w:left="7920" w:firstLine="720"/>
        <w:jc w:val="center"/>
        <w:rPr>
          <w:noProof/>
          <w:sz w:val="20"/>
        </w:rPr>
      </w:pPr>
      <w:r>
        <w:rPr>
          <w:noProof/>
          <w:sz w:val="20"/>
        </w:rPr>
        <w:t xml:space="preserve">Credite de angajament în milioane EUR </w:t>
      </w:r>
    </w:p>
    <w:tbl>
      <w:tblPr>
        <w:tblW w:w="13605" w:type="dxa"/>
        <w:tblInd w:w="93" w:type="dxa"/>
        <w:tblLayout w:type="fixed"/>
        <w:tblLook w:val="04A0" w:firstRow="1" w:lastRow="0" w:firstColumn="1" w:lastColumn="0" w:noHBand="0" w:noVBand="1"/>
      </w:tblPr>
      <w:tblGrid>
        <w:gridCol w:w="1229"/>
        <w:gridCol w:w="1593"/>
        <w:gridCol w:w="368"/>
        <w:gridCol w:w="695"/>
        <w:gridCol w:w="887"/>
        <w:gridCol w:w="1095"/>
        <w:gridCol w:w="807"/>
        <w:gridCol w:w="992"/>
        <w:gridCol w:w="850"/>
        <w:gridCol w:w="1133"/>
        <w:gridCol w:w="993"/>
        <w:gridCol w:w="1274"/>
        <w:gridCol w:w="1275"/>
        <w:gridCol w:w="414"/>
      </w:tblGrid>
      <w:tr>
        <w:trPr>
          <w:gridAfter w:val="1"/>
          <w:wAfter w:w="414" w:type="dxa"/>
          <w:trHeight w:val="684"/>
        </w:trPr>
        <w:tc>
          <w:tcPr>
            <w:tcW w:w="1231" w:type="dxa"/>
            <w:tcBorders>
              <w:top w:val="single" w:sz="8" w:space="0" w:color="auto"/>
              <w:left w:val="single" w:sz="8" w:space="0" w:color="auto"/>
              <w:bottom w:val="nil"/>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 xml:space="preserve">A se indica obiectivele și realizările </w:t>
            </w:r>
          </w:p>
        </w:tc>
        <w:tc>
          <w:tcPr>
            <w:tcW w:w="1962" w:type="dxa"/>
            <w:gridSpan w:val="2"/>
            <w:vMerge w:val="restart"/>
            <w:tcBorders>
              <w:top w:val="single" w:sz="8" w:space="0" w:color="auto"/>
              <w:left w:val="nil"/>
              <w:bottom w:val="single" w:sz="8" w:space="0" w:color="000000"/>
              <w:right w:val="nil"/>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695" w:type="dxa"/>
            <w:vMerge w:val="restart"/>
            <w:tcBorders>
              <w:top w:val="single" w:sz="8" w:space="0" w:color="auto"/>
              <w:left w:val="nil"/>
              <w:bottom w:val="single" w:sz="8" w:space="0" w:color="000000"/>
              <w:right w:val="nil"/>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983" w:type="dxa"/>
            <w:gridSpan w:val="2"/>
            <w:tcBorders>
              <w:top w:val="single" w:sz="8" w:space="0" w:color="auto"/>
              <w:left w:val="single" w:sz="8"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Anul</w:t>
            </w:r>
          </w:p>
        </w:tc>
        <w:tc>
          <w:tcPr>
            <w:tcW w:w="1799" w:type="dxa"/>
            <w:gridSpan w:val="2"/>
            <w:tcBorders>
              <w:top w:val="single" w:sz="8" w:space="0" w:color="auto"/>
              <w:left w:val="nil"/>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Anul</w:t>
            </w:r>
          </w:p>
        </w:tc>
        <w:tc>
          <w:tcPr>
            <w:tcW w:w="1984" w:type="dxa"/>
            <w:gridSpan w:val="2"/>
            <w:tcBorders>
              <w:top w:val="single" w:sz="8" w:space="0" w:color="auto"/>
              <w:left w:val="nil"/>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Anul</w:t>
            </w:r>
          </w:p>
        </w:tc>
        <w:tc>
          <w:tcPr>
            <w:tcW w:w="2268" w:type="dxa"/>
            <w:gridSpan w:val="2"/>
            <w:tcBorders>
              <w:top w:val="single" w:sz="8" w:space="0" w:color="auto"/>
              <w:left w:val="nil"/>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Anul</w:t>
            </w:r>
          </w:p>
        </w:tc>
        <w:tc>
          <w:tcPr>
            <w:tcW w:w="1276" w:type="dxa"/>
            <w:tcBorders>
              <w:top w:val="single" w:sz="8" w:space="0" w:color="auto"/>
              <w:left w:val="nil"/>
              <w:bottom w:val="nil"/>
              <w:right w:val="single" w:sz="8" w:space="0" w:color="auto"/>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TOTAL</w:t>
            </w:r>
          </w:p>
        </w:tc>
      </w:tr>
      <w:tr>
        <w:trPr>
          <w:gridAfter w:val="1"/>
          <w:wAfter w:w="414" w:type="dxa"/>
          <w:trHeight w:val="324"/>
        </w:trPr>
        <w:tc>
          <w:tcPr>
            <w:tcW w:w="1231" w:type="dxa"/>
            <w:tcBorders>
              <w:top w:val="nil"/>
              <w:left w:val="single" w:sz="8" w:space="0" w:color="auto"/>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 </w:t>
            </w:r>
          </w:p>
        </w:tc>
        <w:tc>
          <w:tcPr>
            <w:tcW w:w="600" w:type="dxa"/>
            <w:gridSpan w:val="2"/>
            <w:vMerge/>
            <w:tcBorders>
              <w:top w:val="nil"/>
              <w:left w:val="single" w:sz="8" w:space="0" w:color="auto"/>
              <w:bottom w:val="single" w:sz="8" w:space="0" w:color="auto"/>
              <w:right w:val="nil"/>
            </w:tcBorders>
            <w:vAlign w:val="center"/>
            <w:hideMark/>
          </w:tcPr>
          <w:p>
            <w:pPr>
              <w:spacing w:before="0" w:after="0"/>
              <w:jc w:val="left"/>
              <w:rPr>
                <w:rFonts w:eastAsia="Times New Roman"/>
                <w:noProof/>
                <w:color w:val="000000"/>
                <w:sz w:val="18"/>
                <w:szCs w:val="18"/>
              </w:rPr>
            </w:pPr>
          </w:p>
        </w:tc>
        <w:tc>
          <w:tcPr>
            <w:tcW w:w="300" w:type="dxa"/>
            <w:vMerge/>
            <w:tcBorders>
              <w:top w:val="single" w:sz="8" w:space="0" w:color="auto"/>
              <w:left w:val="nil"/>
              <w:bottom w:val="single" w:sz="8" w:space="0" w:color="000000"/>
              <w:right w:val="nil"/>
            </w:tcBorders>
            <w:vAlign w:val="center"/>
            <w:hideMark/>
          </w:tcPr>
          <w:p>
            <w:pPr>
              <w:spacing w:before="0" w:after="0"/>
              <w:jc w:val="left"/>
              <w:rPr>
                <w:rFonts w:eastAsia="Times New Roman"/>
                <w:noProof/>
                <w:color w:val="000000"/>
                <w:sz w:val="18"/>
                <w:szCs w:val="18"/>
              </w:rPr>
            </w:pPr>
          </w:p>
        </w:tc>
        <w:tc>
          <w:tcPr>
            <w:tcW w:w="1983" w:type="dxa"/>
            <w:gridSpan w:val="2"/>
            <w:tcBorders>
              <w:top w:val="single" w:sz="4" w:space="0" w:color="auto"/>
              <w:left w:val="single" w:sz="8" w:space="0" w:color="auto"/>
              <w:bottom w:val="single" w:sz="8" w:space="0" w:color="auto"/>
              <w:right w:val="single" w:sz="4"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2017</w:t>
            </w:r>
          </w:p>
        </w:tc>
        <w:tc>
          <w:tcPr>
            <w:tcW w:w="1799" w:type="dxa"/>
            <w:gridSpan w:val="2"/>
            <w:tcBorders>
              <w:top w:val="single" w:sz="4" w:space="0" w:color="auto"/>
              <w:left w:val="nil"/>
              <w:bottom w:val="single" w:sz="8" w:space="0" w:color="auto"/>
              <w:right w:val="single" w:sz="4"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2018</w:t>
            </w:r>
          </w:p>
        </w:tc>
        <w:tc>
          <w:tcPr>
            <w:tcW w:w="1984" w:type="dxa"/>
            <w:gridSpan w:val="2"/>
            <w:tcBorders>
              <w:top w:val="single" w:sz="4" w:space="0" w:color="auto"/>
              <w:left w:val="nil"/>
              <w:bottom w:val="single" w:sz="8" w:space="0" w:color="auto"/>
              <w:right w:val="single" w:sz="4"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2019</w:t>
            </w:r>
          </w:p>
        </w:tc>
        <w:tc>
          <w:tcPr>
            <w:tcW w:w="2268" w:type="dxa"/>
            <w:gridSpan w:val="2"/>
            <w:tcBorders>
              <w:top w:val="single" w:sz="4" w:space="0" w:color="auto"/>
              <w:left w:val="nil"/>
              <w:bottom w:val="single" w:sz="8" w:space="0" w:color="auto"/>
              <w:right w:val="single" w:sz="4"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2020</w:t>
            </w:r>
          </w:p>
        </w:tc>
        <w:tc>
          <w:tcPr>
            <w:tcW w:w="1276" w:type="dxa"/>
            <w:tcBorders>
              <w:top w:val="nil"/>
              <w:left w:val="nil"/>
              <w:bottom w:val="single" w:sz="8" w:space="0" w:color="auto"/>
              <w:right w:val="single" w:sz="8" w:space="0" w:color="auto"/>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 </w:t>
            </w:r>
          </w:p>
        </w:tc>
      </w:tr>
      <w:tr>
        <w:trPr>
          <w:trHeight w:val="312"/>
        </w:trPr>
        <w:tc>
          <w:tcPr>
            <w:tcW w:w="1231" w:type="dxa"/>
            <w:tcBorders>
              <w:top w:val="nil"/>
              <w:left w:val="single" w:sz="8" w:space="0" w:color="auto"/>
              <w:bottom w:val="nil"/>
              <w:right w:val="nil"/>
            </w:tcBorders>
            <w:vAlign w:val="center"/>
            <w:hideMark/>
          </w:tcPr>
          <w:p>
            <w:pPr>
              <w:spacing w:before="0" w:after="0" w:line="276" w:lineRule="auto"/>
              <w:jc w:val="left"/>
              <w:rPr>
                <w:rFonts w:asciiTheme="minorHAnsi" w:hAnsiTheme="minorHAnsi"/>
                <w:noProof/>
                <w:sz w:val="22"/>
              </w:rPr>
            </w:pPr>
          </w:p>
        </w:tc>
        <w:tc>
          <w:tcPr>
            <w:tcW w:w="12381" w:type="dxa"/>
            <w:gridSpan w:val="13"/>
            <w:vAlign w:val="center"/>
            <w:hideMark/>
          </w:tcPr>
          <w:p>
            <w:pPr>
              <w:spacing w:before="0" w:after="0" w:line="276" w:lineRule="auto"/>
              <w:jc w:val="center"/>
              <w:rPr>
                <w:rFonts w:eastAsia="Times New Roman"/>
                <w:b/>
                <w:bCs/>
                <w:noProof/>
                <w:color w:val="000000"/>
                <w:sz w:val="18"/>
                <w:szCs w:val="18"/>
              </w:rPr>
            </w:pPr>
            <w:r>
              <w:rPr>
                <w:b/>
                <w:noProof/>
                <w:color w:val="000000"/>
                <w:sz w:val="18"/>
              </w:rPr>
              <w:t>REALIZĂRI</w:t>
            </w:r>
          </w:p>
        </w:tc>
      </w:tr>
      <w:tr>
        <w:trPr>
          <w:gridAfter w:val="1"/>
          <w:wAfter w:w="414" w:type="dxa"/>
          <w:trHeight w:val="312"/>
        </w:trPr>
        <w:tc>
          <w:tcPr>
            <w:tcW w:w="1231" w:type="dxa"/>
            <w:tcBorders>
              <w:top w:val="nil"/>
              <w:left w:val="single" w:sz="8" w:space="0" w:color="auto"/>
              <w:bottom w:val="nil"/>
              <w:right w:val="nil"/>
            </w:tcBorders>
            <w:vAlign w:val="center"/>
            <w:hideMark/>
          </w:tcPr>
          <w:p>
            <w:pPr>
              <w:spacing w:before="0" w:after="0" w:line="276" w:lineRule="auto"/>
              <w:jc w:val="left"/>
              <w:rPr>
                <w:rFonts w:ascii="Calibri" w:eastAsia="Times New Roman" w:hAnsi="Calibri"/>
                <w:noProof/>
                <w:color w:val="000000"/>
                <w:szCs w:val="24"/>
              </w:rPr>
            </w:pPr>
            <w:r>
              <w:rPr>
                <w:rFonts w:ascii="Calibri" w:hAnsi="Calibri"/>
                <w:noProof/>
                <w:color w:val="000000"/>
              </w:rPr>
              <w:t> </w:t>
            </w:r>
          </w:p>
        </w:tc>
        <w:bookmarkStart w:id="1" w:name="RANGE!B13"/>
        <w:tc>
          <w:tcPr>
            <w:tcW w:w="1594"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FF"/>
                <w:sz w:val="20"/>
                <w:szCs w:val="20"/>
              </w:rPr>
            </w:pPr>
            <w:r>
              <w:rPr>
                <w:noProof/>
              </w:rPr>
              <w:fldChar w:fldCharType="begin"/>
            </w:r>
            <w:r>
              <w:rPr>
                <w:noProof/>
              </w:rPr>
              <w:instrText xml:space="preserve"> HYPERLINK "file:///C:\\Users\\ineicdo\\AppData\\Local\\Microsoft\\Windows\\Temporary%20Internet%20Files\\Content.Outlook\\SQS3M78Q\\Copy%20of%20FIFI%2023OCT.xlsx" \l "RANGE!A52" </w:instrText>
            </w:r>
            <w:r>
              <w:rPr>
                <w:noProof/>
              </w:rPr>
              <w:fldChar w:fldCharType="separate"/>
            </w:r>
            <w:r>
              <w:rPr>
                <w:rStyle w:val="Hyperlink"/>
                <w:noProof/>
                <w:color w:val="auto"/>
                <w:sz w:val="20"/>
                <w:szCs w:val="20"/>
              </w:rPr>
              <w:t>Tip</w:t>
            </w:r>
            <w:bookmarkEnd w:id="1"/>
            <w:r>
              <w:rPr>
                <w:noProof/>
              </w:rPr>
              <w:fldChar w:fldCharType="end"/>
            </w:r>
          </w:p>
        </w:tc>
        <w:tc>
          <w:tcPr>
            <w:tcW w:w="1063" w:type="dxa"/>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Costuri medii</w:t>
            </w:r>
          </w:p>
        </w:tc>
        <w:tc>
          <w:tcPr>
            <w:tcW w:w="88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pPr>
              <w:spacing w:before="0" w:after="0" w:line="276" w:lineRule="auto"/>
              <w:jc w:val="center"/>
              <w:rPr>
                <w:rFonts w:eastAsia="Times New Roman"/>
                <w:noProof/>
                <w:color w:val="000000"/>
                <w:sz w:val="18"/>
                <w:szCs w:val="18"/>
              </w:rPr>
            </w:pPr>
            <w:r>
              <w:rPr>
                <w:noProof/>
                <w:color w:val="000000"/>
                <w:sz w:val="18"/>
              </w:rPr>
              <w:t>Nr.</w:t>
            </w:r>
          </w:p>
        </w:tc>
        <w:tc>
          <w:tcPr>
            <w:tcW w:w="1096"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Costuri</w:t>
            </w:r>
          </w:p>
        </w:tc>
        <w:tc>
          <w:tcPr>
            <w:tcW w:w="80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pPr>
              <w:spacing w:before="0" w:after="0" w:line="276" w:lineRule="auto"/>
              <w:jc w:val="center"/>
              <w:rPr>
                <w:rFonts w:eastAsia="Times New Roman"/>
                <w:noProof/>
                <w:color w:val="000000"/>
                <w:sz w:val="18"/>
                <w:szCs w:val="18"/>
              </w:rPr>
            </w:pPr>
            <w:r>
              <w:rPr>
                <w:noProof/>
                <w:color w:val="000000"/>
                <w:sz w:val="18"/>
              </w:rPr>
              <w:t>Nr.</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Costuri</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pPr>
              <w:spacing w:before="0" w:after="0" w:line="276" w:lineRule="auto"/>
              <w:jc w:val="center"/>
              <w:rPr>
                <w:rFonts w:eastAsia="Times New Roman"/>
                <w:noProof/>
                <w:color w:val="000000"/>
                <w:sz w:val="18"/>
                <w:szCs w:val="18"/>
              </w:rPr>
            </w:pPr>
            <w:r>
              <w:rPr>
                <w:noProof/>
                <w:color w:val="000000"/>
                <w:sz w:val="18"/>
              </w:rPr>
              <w:t>Nr.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Costuri</w:t>
            </w: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pPr>
              <w:spacing w:before="0" w:after="0" w:line="276" w:lineRule="auto"/>
              <w:jc w:val="center"/>
              <w:rPr>
                <w:rFonts w:eastAsia="Times New Roman"/>
                <w:noProof/>
                <w:color w:val="000000"/>
                <w:sz w:val="18"/>
                <w:szCs w:val="18"/>
              </w:rPr>
            </w:pPr>
            <w:r>
              <w:rPr>
                <w:noProof/>
                <w:color w:val="000000"/>
                <w:sz w:val="18"/>
              </w:rPr>
              <w:t>Nr.</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Costuri</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Costuri totale</w:t>
            </w:r>
          </w:p>
        </w:tc>
      </w:tr>
      <w:tr>
        <w:trPr>
          <w:gridAfter w:val="1"/>
          <w:wAfter w:w="414" w:type="dxa"/>
          <w:trHeight w:val="324"/>
        </w:trPr>
        <w:tc>
          <w:tcPr>
            <w:tcW w:w="1231" w:type="dxa"/>
            <w:tcBorders>
              <w:top w:val="nil"/>
              <w:left w:val="single" w:sz="8" w:space="0" w:color="auto"/>
              <w:bottom w:val="single" w:sz="8" w:space="0" w:color="auto"/>
              <w:right w:val="nil"/>
            </w:tcBorders>
            <w:vAlign w:val="center"/>
            <w:hideMark/>
          </w:tcPr>
          <w:p>
            <w:pPr>
              <w:spacing w:before="0" w:after="0" w:line="276" w:lineRule="auto"/>
              <w:jc w:val="left"/>
              <w:rPr>
                <w:rFonts w:ascii="Calibri" w:eastAsia="Times New Roman" w:hAnsi="Calibri"/>
                <w:noProof/>
                <w:color w:val="000000"/>
                <w:szCs w:val="24"/>
              </w:rPr>
            </w:pPr>
            <w:r>
              <w:rPr>
                <w:rFonts w:ascii="Calibri" w:hAnsi="Calibri"/>
                <w:noProof/>
                <w:color w:val="000000"/>
              </w:rPr>
              <w:t> </w:t>
            </w:r>
          </w:p>
        </w:tc>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FF"/>
                <w:sz w:val="20"/>
                <w:szCs w:val="20"/>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228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3958"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18"/>
                <w:szCs w:val="18"/>
              </w:rPr>
            </w:pPr>
          </w:p>
        </w:tc>
      </w:tr>
      <w:tr>
        <w:trPr>
          <w:trHeight w:val="312"/>
        </w:trPr>
        <w:tc>
          <w:tcPr>
            <w:tcW w:w="9654" w:type="dxa"/>
            <w:gridSpan w:val="10"/>
            <w:tcBorders>
              <w:top w:val="single" w:sz="8" w:space="0" w:color="auto"/>
              <w:left w:val="single" w:sz="8" w:space="0" w:color="auto"/>
              <w:bottom w:val="nil"/>
              <w:right w:val="single" w:sz="8" w:space="0" w:color="000000"/>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OBIECTIVUL SPECIFIC NR. 1</w:t>
            </w:r>
          </w:p>
        </w:tc>
        <w:tc>
          <w:tcPr>
            <w:tcW w:w="3958" w:type="dxa"/>
            <w:gridSpan w:val="4"/>
            <w:vMerge w:val="restart"/>
            <w:vAlign w:val="center"/>
            <w:hideMark/>
          </w:tcPr>
          <w:p>
            <w:pPr>
              <w:spacing w:before="0" w:after="0" w:line="276" w:lineRule="auto"/>
              <w:jc w:val="left"/>
              <w:rPr>
                <w:rFonts w:asciiTheme="minorHAnsi" w:hAnsiTheme="minorHAnsi"/>
                <w:noProof/>
                <w:sz w:val="22"/>
              </w:rPr>
            </w:pPr>
          </w:p>
        </w:tc>
      </w:tr>
      <w:tr>
        <w:trPr>
          <w:trHeight w:val="744"/>
        </w:trPr>
        <w:tc>
          <w:tcPr>
            <w:tcW w:w="9654" w:type="dxa"/>
            <w:gridSpan w:val="10"/>
            <w:tcBorders>
              <w:top w:val="single" w:sz="8" w:space="0" w:color="auto"/>
              <w:left w:val="single" w:sz="8" w:space="0" w:color="auto"/>
              <w:bottom w:val="nil"/>
              <w:right w:val="single" w:sz="8" w:space="0" w:color="000000"/>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Sprijinirea inițiativelor autorităților naționale de a-și concepe reformele în funcție de priorități, luând în considerare condițiile inițiale și impacturile socioeconomice preconizate</w:t>
            </w:r>
          </w:p>
        </w:tc>
        <w:tc>
          <w:tcPr>
            <w:tcW w:w="6929" w:type="dxa"/>
            <w:gridSpan w:val="4"/>
            <w:vMerge/>
            <w:vAlign w:val="center"/>
            <w:hideMark/>
          </w:tcPr>
          <w:p>
            <w:pPr>
              <w:spacing w:before="0" w:after="0"/>
              <w:jc w:val="left"/>
              <w:rPr>
                <w:rFonts w:asciiTheme="minorHAnsi" w:hAnsiTheme="minorHAnsi"/>
                <w:noProof/>
                <w:sz w:val="22"/>
              </w:rPr>
            </w:pPr>
          </w:p>
        </w:tc>
      </w:tr>
      <w:tr>
        <w:trPr>
          <w:gridAfter w:val="1"/>
          <w:wAfter w:w="414" w:type="dxa"/>
          <w:trHeight w:val="1032"/>
        </w:trPr>
        <w:tc>
          <w:tcPr>
            <w:tcW w:w="1231"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A</w:t>
            </w:r>
          </w:p>
        </w:tc>
        <w:tc>
          <w:tcPr>
            <w:tcW w:w="1594" w:type="dxa"/>
            <w:tcBorders>
              <w:top w:val="single" w:sz="8" w:space="0" w:color="auto"/>
              <w:left w:val="nil"/>
              <w:bottom w:val="single" w:sz="8" w:space="0" w:color="auto"/>
              <w:right w:val="single" w:sz="8" w:space="0" w:color="auto"/>
            </w:tcBorders>
            <w:vAlign w:val="center"/>
            <w:hideMark/>
          </w:tcPr>
          <w:p>
            <w:pPr>
              <w:spacing w:before="0" w:after="0" w:line="276" w:lineRule="auto"/>
              <w:rPr>
                <w:rFonts w:eastAsia="Times New Roman"/>
                <w:noProof/>
                <w:color w:val="000000"/>
                <w:sz w:val="16"/>
                <w:szCs w:val="16"/>
              </w:rPr>
            </w:pPr>
            <w:r>
              <w:rPr>
                <w:noProof/>
                <w:color w:val="000000"/>
                <w:sz w:val="16"/>
              </w:rPr>
              <w:t>Numărul de analize care sprijină sectorul național de reformă</w:t>
            </w:r>
          </w:p>
        </w:tc>
        <w:tc>
          <w:tcPr>
            <w:tcW w:w="1063" w:type="dxa"/>
            <w:gridSpan w:val="2"/>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0,06</w:t>
            </w:r>
          </w:p>
        </w:tc>
        <w:tc>
          <w:tcPr>
            <w:tcW w:w="887"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25-35</w:t>
            </w:r>
          </w:p>
        </w:tc>
        <w:tc>
          <w:tcPr>
            <w:tcW w:w="1096"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1,800</w:t>
            </w:r>
          </w:p>
        </w:tc>
        <w:tc>
          <w:tcPr>
            <w:tcW w:w="807"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40-50</w:t>
            </w:r>
          </w:p>
        </w:tc>
        <w:tc>
          <w:tcPr>
            <w:tcW w:w="992"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2,520</w:t>
            </w:r>
          </w:p>
        </w:tc>
        <w:tc>
          <w:tcPr>
            <w:tcW w:w="850"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50-60</w:t>
            </w:r>
          </w:p>
        </w:tc>
        <w:tc>
          <w:tcPr>
            <w:tcW w:w="1134"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3,360</w:t>
            </w:r>
          </w:p>
        </w:tc>
        <w:tc>
          <w:tcPr>
            <w:tcW w:w="993"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60-65</w:t>
            </w:r>
          </w:p>
        </w:tc>
        <w:tc>
          <w:tcPr>
            <w:tcW w:w="1275"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3,840</w:t>
            </w:r>
          </w:p>
        </w:tc>
        <w:tc>
          <w:tcPr>
            <w:tcW w:w="1276"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11,520</w:t>
            </w:r>
          </w:p>
        </w:tc>
      </w:tr>
      <w:tr>
        <w:trPr>
          <w:gridAfter w:val="1"/>
          <w:wAfter w:w="414" w:type="dxa"/>
          <w:trHeight w:val="324"/>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B</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experți</w:t>
            </w:r>
          </w:p>
        </w:tc>
        <w:tc>
          <w:tcPr>
            <w:tcW w:w="1063"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0,00115</w:t>
            </w:r>
          </w:p>
        </w:tc>
        <w:tc>
          <w:tcPr>
            <w:tcW w:w="887"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80</w:t>
            </w:r>
          </w:p>
        </w:tc>
        <w:tc>
          <w:tcPr>
            <w:tcW w:w="109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0,092</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80</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0,092</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80</w:t>
            </w:r>
          </w:p>
        </w:tc>
        <w:tc>
          <w:tcPr>
            <w:tcW w:w="113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0,092</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80</w:t>
            </w:r>
          </w:p>
        </w:tc>
        <w:tc>
          <w:tcPr>
            <w:tcW w:w="1275"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0,092</w:t>
            </w:r>
          </w:p>
        </w:tc>
        <w:tc>
          <w:tcPr>
            <w:tcW w:w="127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0,368</w:t>
            </w:r>
          </w:p>
        </w:tc>
      </w:tr>
      <w:tr>
        <w:trPr>
          <w:gridAfter w:val="1"/>
          <w:wAfter w:w="414" w:type="dxa"/>
          <w:trHeight w:val="324"/>
        </w:trPr>
        <w:tc>
          <w:tcPr>
            <w:tcW w:w="3888" w:type="dxa"/>
            <w:gridSpan w:val="4"/>
            <w:tcBorders>
              <w:top w:val="single" w:sz="8" w:space="0" w:color="auto"/>
              <w:left w:val="single" w:sz="8" w:space="0" w:color="auto"/>
              <w:bottom w:val="single" w:sz="4" w:space="0" w:color="auto"/>
              <w:right w:val="single" w:sz="8" w:space="0" w:color="000000"/>
            </w:tcBorders>
            <w:vAlign w:val="center"/>
            <w:hideMark/>
          </w:tcPr>
          <w:p>
            <w:pPr>
              <w:spacing w:before="0" w:after="0" w:line="276" w:lineRule="auto"/>
              <w:jc w:val="center"/>
              <w:rPr>
                <w:noProof/>
                <w:color w:val="000000"/>
                <w:sz w:val="18"/>
              </w:rPr>
            </w:pPr>
            <w:r>
              <w:rPr>
                <w:noProof/>
                <w:color w:val="000000"/>
                <w:sz w:val="18"/>
              </w:rPr>
              <w:t>Subtotal pentru obiectivul specific nr. 1</w:t>
            </w:r>
          </w:p>
          <w:p>
            <w:pPr>
              <w:spacing w:before="0" w:after="0" w:line="276" w:lineRule="auto"/>
              <w:jc w:val="center"/>
              <w:rPr>
                <w:rFonts w:eastAsia="Times New Roman"/>
                <w:noProof/>
                <w:color w:val="000000"/>
                <w:sz w:val="18"/>
                <w:szCs w:val="18"/>
              </w:rPr>
            </w:pPr>
          </w:p>
        </w:tc>
        <w:tc>
          <w:tcPr>
            <w:tcW w:w="887"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096"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1,892</w:t>
            </w:r>
          </w:p>
        </w:tc>
        <w:tc>
          <w:tcPr>
            <w:tcW w:w="807"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992"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2,612</w:t>
            </w:r>
          </w:p>
        </w:tc>
        <w:tc>
          <w:tcPr>
            <w:tcW w:w="850"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134"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3,452</w:t>
            </w:r>
          </w:p>
        </w:tc>
        <w:tc>
          <w:tcPr>
            <w:tcW w:w="993"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275"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3,932</w:t>
            </w:r>
          </w:p>
        </w:tc>
        <w:tc>
          <w:tcPr>
            <w:tcW w:w="1276" w:type="dxa"/>
            <w:tcBorders>
              <w:top w:val="nil"/>
              <w:left w:val="nil"/>
              <w:bottom w:val="single" w:sz="4"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11,888</w:t>
            </w:r>
          </w:p>
        </w:tc>
      </w:tr>
    </w:tbl>
    <w:p>
      <w:pPr>
        <w:rPr>
          <w:noProof/>
        </w:rPr>
      </w:pPr>
      <w:r>
        <w:rPr>
          <w:noProof/>
        </w:rPr>
        <w:br w:type="page"/>
      </w:r>
    </w:p>
    <w:tbl>
      <w:tblPr>
        <w:tblW w:w="13605" w:type="dxa"/>
        <w:tblInd w:w="93" w:type="dxa"/>
        <w:tblLayout w:type="fixed"/>
        <w:tblLook w:val="04A0" w:firstRow="1" w:lastRow="0" w:firstColumn="1" w:lastColumn="0" w:noHBand="0" w:noVBand="1"/>
      </w:tblPr>
      <w:tblGrid>
        <w:gridCol w:w="1230"/>
        <w:gridCol w:w="1593"/>
        <w:gridCol w:w="1062"/>
        <w:gridCol w:w="887"/>
        <w:gridCol w:w="1024"/>
        <w:gridCol w:w="71"/>
        <w:gridCol w:w="807"/>
        <w:gridCol w:w="992"/>
        <w:gridCol w:w="850"/>
        <w:gridCol w:w="1133"/>
        <w:gridCol w:w="993"/>
        <w:gridCol w:w="1274"/>
        <w:gridCol w:w="1275"/>
        <w:gridCol w:w="414"/>
      </w:tblGrid>
      <w:tr>
        <w:trPr>
          <w:trHeight w:val="456"/>
        </w:trPr>
        <w:tc>
          <w:tcPr>
            <w:tcW w:w="9654" w:type="dxa"/>
            <w:gridSpan w:val="10"/>
            <w:tcBorders>
              <w:top w:val="single" w:sz="4" w:space="0" w:color="auto"/>
              <w:left w:val="single" w:sz="4" w:space="0" w:color="auto"/>
              <w:bottom w:val="single" w:sz="4" w:space="0" w:color="auto"/>
              <w:right w:val="single" w:sz="4" w:space="0" w:color="auto"/>
            </w:tcBorders>
            <w:vAlign w:val="center"/>
          </w:tcPr>
          <w:p>
            <w:pPr>
              <w:spacing w:before="0" w:after="0" w:line="276" w:lineRule="auto"/>
              <w:jc w:val="left"/>
              <w:rPr>
                <w:rFonts w:eastAsia="Times New Roman"/>
                <w:b/>
                <w:bCs/>
                <w:noProof/>
                <w:color w:val="000000"/>
                <w:sz w:val="18"/>
                <w:szCs w:val="18"/>
              </w:rPr>
            </w:pPr>
          </w:p>
          <w:p>
            <w:pPr>
              <w:spacing w:before="0" w:after="0" w:line="276" w:lineRule="auto"/>
              <w:jc w:val="left"/>
              <w:rPr>
                <w:rFonts w:eastAsia="Times New Roman"/>
                <w:b/>
                <w:bCs/>
                <w:noProof/>
                <w:color w:val="000000"/>
                <w:sz w:val="18"/>
                <w:szCs w:val="18"/>
              </w:rPr>
            </w:pPr>
            <w:r>
              <w:rPr>
                <w:b/>
                <w:noProof/>
                <w:color w:val="000000"/>
                <w:sz w:val="18"/>
              </w:rPr>
              <w:t>OBIECTIVUL SPECIFIC NR. 2</w:t>
            </w:r>
          </w:p>
        </w:tc>
        <w:tc>
          <w:tcPr>
            <w:tcW w:w="3958" w:type="dxa"/>
            <w:gridSpan w:val="4"/>
            <w:vMerge w:val="restart"/>
            <w:tcBorders>
              <w:top w:val="nil"/>
              <w:left w:val="single" w:sz="4" w:space="0" w:color="auto"/>
              <w:bottom w:val="nil"/>
              <w:right w:val="nil"/>
            </w:tcBorders>
            <w:vAlign w:val="center"/>
            <w:hideMark/>
          </w:tcPr>
          <w:p>
            <w:pPr>
              <w:spacing w:before="0" w:after="0" w:line="276" w:lineRule="auto"/>
              <w:jc w:val="left"/>
              <w:rPr>
                <w:rFonts w:asciiTheme="minorHAnsi" w:hAnsiTheme="minorHAnsi"/>
                <w:noProof/>
                <w:sz w:val="22"/>
              </w:rPr>
            </w:pPr>
          </w:p>
        </w:tc>
      </w:tr>
      <w:tr>
        <w:trPr>
          <w:trHeight w:val="864"/>
        </w:trPr>
        <w:tc>
          <w:tcPr>
            <w:tcW w:w="9654" w:type="dxa"/>
            <w:gridSpan w:val="10"/>
            <w:tcBorders>
              <w:top w:val="single" w:sz="4" w:space="0" w:color="auto"/>
              <w:left w:val="single" w:sz="8" w:space="0" w:color="auto"/>
              <w:bottom w:val="nil"/>
              <w:right w:val="single" w:sz="8" w:space="0" w:color="000000"/>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Sprijinirea eforturilor autorităților naționale în privința îmbunătățirii capacității lor de a formula, dezvolta și pune în aplicare politici și strategii de reformă și de a avea o abordare integrată, care să asigure consecvența între obiective și mijloace din diferite sectoare</w:t>
            </w:r>
          </w:p>
        </w:tc>
        <w:tc>
          <w:tcPr>
            <w:tcW w:w="6929" w:type="dxa"/>
            <w:gridSpan w:val="4"/>
            <w:vMerge/>
            <w:tcBorders>
              <w:top w:val="nil"/>
              <w:left w:val="single" w:sz="4" w:space="0" w:color="auto"/>
              <w:bottom w:val="nil"/>
              <w:right w:val="nil"/>
            </w:tcBorders>
            <w:vAlign w:val="center"/>
            <w:hideMark/>
          </w:tcPr>
          <w:p>
            <w:pPr>
              <w:spacing w:before="0" w:after="0"/>
              <w:jc w:val="left"/>
              <w:rPr>
                <w:rFonts w:asciiTheme="minorHAnsi" w:hAnsiTheme="minorHAnsi"/>
                <w:noProof/>
                <w:sz w:val="22"/>
              </w:rPr>
            </w:pPr>
          </w:p>
        </w:tc>
      </w:tr>
      <w:tr>
        <w:trPr>
          <w:gridAfter w:val="1"/>
          <w:wAfter w:w="414" w:type="dxa"/>
          <w:trHeight w:val="864"/>
        </w:trPr>
        <w:tc>
          <w:tcPr>
            <w:tcW w:w="1231"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C</w:t>
            </w:r>
          </w:p>
        </w:tc>
        <w:tc>
          <w:tcPr>
            <w:tcW w:w="1594"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experți</w:t>
            </w:r>
          </w:p>
        </w:tc>
        <w:tc>
          <w:tcPr>
            <w:tcW w:w="1063"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0,00115</w:t>
            </w:r>
          </w:p>
        </w:tc>
        <w:tc>
          <w:tcPr>
            <w:tcW w:w="887"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60-80</w:t>
            </w:r>
          </w:p>
        </w:tc>
        <w:tc>
          <w:tcPr>
            <w:tcW w:w="1096" w:type="dxa"/>
            <w:gridSpan w:val="2"/>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0,086</w:t>
            </w:r>
          </w:p>
        </w:tc>
        <w:tc>
          <w:tcPr>
            <w:tcW w:w="807"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90-100</w:t>
            </w:r>
          </w:p>
        </w:tc>
        <w:tc>
          <w:tcPr>
            <w:tcW w:w="992"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0,115</w:t>
            </w:r>
          </w:p>
        </w:tc>
        <w:tc>
          <w:tcPr>
            <w:tcW w:w="850"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100-150</w:t>
            </w:r>
          </w:p>
        </w:tc>
        <w:tc>
          <w:tcPr>
            <w:tcW w:w="1134"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0,141</w:t>
            </w:r>
          </w:p>
        </w:tc>
        <w:tc>
          <w:tcPr>
            <w:tcW w:w="993"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100-150</w:t>
            </w:r>
          </w:p>
        </w:tc>
        <w:tc>
          <w:tcPr>
            <w:tcW w:w="1275" w:type="dxa"/>
            <w:tcBorders>
              <w:top w:val="single" w:sz="8" w:space="0" w:color="auto"/>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0,147</w:t>
            </w:r>
          </w:p>
        </w:tc>
        <w:tc>
          <w:tcPr>
            <w:tcW w:w="1276"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0,490</w:t>
            </w:r>
          </w:p>
        </w:tc>
      </w:tr>
      <w:tr>
        <w:trPr>
          <w:gridAfter w:val="1"/>
          <w:wAfter w:w="414" w:type="dxa"/>
          <w:trHeight w:val="864"/>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D</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foi de parcurs și de planuri de acțiune elaborate și puse în aplicare pe sectoare și pe state membre</w:t>
            </w:r>
          </w:p>
        </w:tc>
        <w:tc>
          <w:tcPr>
            <w:tcW w:w="1063"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0,125</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15-20</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2,125</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15-20</w:t>
            </w:r>
          </w:p>
        </w:tc>
        <w:tc>
          <w:tcPr>
            <w:tcW w:w="992"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2,125</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25-30</w:t>
            </w:r>
          </w:p>
        </w:tc>
        <w:tc>
          <w:tcPr>
            <w:tcW w:w="1134"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3,125</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35-45</w:t>
            </w:r>
          </w:p>
        </w:tc>
        <w:tc>
          <w:tcPr>
            <w:tcW w:w="1275"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5,25</w:t>
            </w:r>
          </w:p>
        </w:tc>
        <w:tc>
          <w:tcPr>
            <w:tcW w:w="1276"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12,625</w:t>
            </w:r>
          </w:p>
        </w:tc>
      </w:tr>
      <w:tr>
        <w:trPr>
          <w:gridAfter w:val="1"/>
          <w:wAfter w:w="414" w:type="dxa"/>
          <w:trHeight w:val="864"/>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E</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servicii specifice de expertiză</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0,015</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15-20</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0,225</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20-25</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0,300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25-30</w:t>
            </w:r>
          </w:p>
        </w:tc>
        <w:tc>
          <w:tcPr>
            <w:tcW w:w="1134" w:type="dxa"/>
            <w:tcBorders>
              <w:top w:val="nil"/>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0,390</w:t>
            </w:r>
          </w:p>
        </w:tc>
        <w:tc>
          <w:tcPr>
            <w:tcW w:w="993"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30-40</w:t>
            </w:r>
          </w:p>
        </w:tc>
        <w:tc>
          <w:tcPr>
            <w:tcW w:w="1275"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0,450</w:t>
            </w:r>
          </w:p>
        </w:tc>
        <w:tc>
          <w:tcPr>
            <w:tcW w:w="127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1,365</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F</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proiecte sprijinite</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0,900</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4</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3,600</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5</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4,500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6</w:t>
            </w:r>
          </w:p>
        </w:tc>
        <w:tc>
          <w:tcPr>
            <w:tcW w:w="1134" w:type="dxa"/>
            <w:tcBorders>
              <w:top w:val="nil"/>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5,400</w:t>
            </w:r>
          </w:p>
        </w:tc>
        <w:tc>
          <w:tcPr>
            <w:tcW w:w="993"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6</w:t>
            </w:r>
          </w:p>
        </w:tc>
        <w:tc>
          <w:tcPr>
            <w:tcW w:w="1275"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5,400</w:t>
            </w:r>
          </w:p>
        </w:tc>
        <w:tc>
          <w:tcPr>
            <w:tcW w:w="127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18,900</w:t>
            </w:r>
          </w:p>
        </w:tc>
      </w:tr>
      <w:tr>
        <w:trPr>
          <w:gridAfter w:val="1"/>
          <w:wAfter w:w="414" w:type="dxa"/>
          <w:trHeight w:val="420"/>
        </w:trPr>
        <w:tc>
          <w:tcPr>
            <w:tcW w:w="3888" w:type="dxa"/>
            <w:gridSpan w:val="3"/>
            <w:tcBorders>
              <w:top w:val="single" w:sz="8" w:space="0" w:color="auto"/>
              <w:left w:val="single" w:sz="8" w:space="0" w:color="auto"/>
              <w:bottom w:val="single" w:sz="8" w:space="0" w:color="auto"/>
              <w:right w:val="single" w:sz="8" w:space="0" w:color="000000"/>
            </w:tcBorders>
            <w:vAlign w:val="center"/>
            <w:hideMark/>
          </w:tcPr>
          <w:p>
            <w:pPr>
              <w:spacing w:before="0" w:after="0" w:line="276" w:lineRule="auto"/>
              <w:jc w:val="center"/>
              <w:rPr>
                <w:rFonts w:eastAsia="Times New Roman"/>
                <w:noProof/>
                <w:color w:val="000000"/>
                <w:sz w:val="18"/>
                <w:szCs w:val="18"/>
              </w:rPr>
            </w:pPr>
            <w:r>
              <w:rPr>
                <w:noProof/>
                <w:color w:val="000000"/>
                <w:sz w:val="18"/>
              </w:rPr>
              <w:t>Subtotal pentru obiectivul specific nr. 2</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6,036</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7,040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134" w:type="dxa"/>
            <w:tcBorders>
              <w:top w:val="nil"/>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9,056</w:t>
            </w:r>
          </w:p>
        </w:tc>
        <w:tc>
          <w:tcPr>
            <w:tcW w:w="993"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 </w:t>
            </w:r>
          </w:p>
        </w:tc>
        <w:tc>
          <w:tcPr>
            <w:tcW w:w="1275"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11,247</w:t>
            </w:r>
          </w:p>
        </w:tc>
        <w:tc>
          <w:tcPr>
            <w:tcW w:w="127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33,380</w:t>
            </w:r>
          </w:p>
        </w:tc>
      </w:tr>
      <w:tr>
        <w:trPr>
          <w:trHeight w:val="456"/>
        </w:trPr>
        <w:tc>
          <w:tcPr>
            <w:tcW w:w="9654" w:type="dxa"/>
            <w:gridSpan w:val="10"/>
            <w:tcBorders>
              <w:top w:val="single" w:sz="8" w:space="0" w:color="auto"/>
              <w:left w:val="single" w:sz="8" w:space="0" w:color="auto"/>
              <w:bottom w:val="nil"/>
              <w:right w:val="single" w:sz="8" w:space="0" w:color="000000"/>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OBIECTIVUL SPECIFIC NR. 3</w:t>
            </w:r>
          </w:p>
        </w:tc>
        <w:tc>
          <w:tcPr>
            <w:tcW w:w="3958" w:type="dxa"/>
            <w:gridSpan w:val="4"/>
            <w:vMerge w:val="restart"/>
            <w:vAlign w:val="center"/>
            <w:hideMark/>
          </w:tcPr>
          <w:p>
            <w:pPr>
              <w:spacing w:before="0" w:after="0" w:line="276" w:lineRule="auto"/>
              <w:jc w:val="left"/>
              <w:rPr>
                <w:rFonts w:asciiTheme="minorHAnsi" w:hAnsiTheme="minorHAnsi"/>
                <w:noProof/>
                <w:sz w:val="22"/>
              </w:rPr>
            </w:pPr>
          </w:p>
        </w:tc>
      </w:tr>
      <w:tr>
        <w:trPr>
          <w:trHeight w:val="804"/>
        </w:trPr>
        <w:tc>
          <w:tcPr>
            <w:tcW w:w="9654" w:type="dxa"/>
            <w:gridSpan w:val="10"/>
            <w:tcBorders>
              <w:top w:val="nil"/>
              <w:left w:val="single" w:sz="8" w:space="0" w:color="auto"/>
              <w:bottom w:val="single" w:sz="8" w:space="0" w:color="auto"/>
              <w:right w:val="single" w:sz="8" w:space="0" w:color="000000"/>
            </w:tcBorders>
            <w:vAlign w:val="center"/>
            <w:hideMark/>
          </w:tcPr>
          <w:p>
            <w:pPr>
              <w:spacing w:before="0" w:after="0" w:line="276" w:lineRule="auto"/>
              <w:jc w:val="left"/>
              <w:rPr>
                <w:rFonts w:eastAsia="Times New Roman"/>
                <w:b/>
                <w:bCs/>
                <w:noProof/>
                <w:color w:val="000000"/>
                <w:sz w:val="16"/>
                <w:szCs w:val="16"/>
              </w:rPr>
            </w:pPr>
            <w:r>
              <w:rPr>
                <w:b/>
                <w:noProof/>
                <w:color w:val="000000"/>
                <w:sz w:val="16"/>
              </w:rPr>
              <w:t>Sprijinirea eforturilor depuse de autoritățile naționale pentru a defini și pune în aplicare procese și metodologii corespunzătoare prin luarea în considerare a bunelor practici și a lecțiilor învățate de alte țări în abordarea unor situații similare</w:t>
            </w:r>
          </w:p>
        </w:tc>
        <w:tc>
          <w:tcPr>
            <w:tcW w:w="6929" w:type="dxa"/>
            <w:gridSpan w:val="4"/>
            <w:vMerge/>
            <w:vAlign w:val="center"/>
            <w:hideMark/>
          </w:tcPr>
          <w:p>
            <w:pPr>
              <w:spacing w:before="0" w:after="0"/>
              <w:jc w:val="left"/>
              <w:rPr>
                <w:rFonts w:asciiTheme="minorHAnsi" w:hAnsiTheme="minorHAnsi"/>
                <w:noProof/>
                <w:sz w:val="22"/>
              </w:rPr>
            </w:pPr>
          </w:p>
        </w:tc>
      </w:tr>
      <w:tr>
        <w:trPr>
          <w:gridAfter w:val="1"/>
          <w:wAfter w:w="414" w:type="dxa"/>
          <w:trHeight w:val="324"/>
        </w:trPr>
        <w:tc>
          <w:tcPr>
            <w:tcW w:w="1231"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G</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experți</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0,00115</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180-200</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0,230</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200-220</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0,246</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220-240</w:t>
            </w:r>
          </w:p>
        </w:tc>
        <w:tc>
          <w:tcPr>
            <w:tcW w:w="1134" w:type="dxa"/>
            <w:tcBorders>
              <w:top w:val="nil"/>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0,276</w:t>
            </w:r>
          </w:p>
        </w:tc>
        <w:tc>
          <w:tcPr>
            <w:tcW w:w="993"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220-240</w:t>
            </w:r>
          </w:p>
        </w:tc>
        <w:tc>
          <w:tcPr>
            <w:tcW w:w="1275"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0,276</w:t>
            </w:r>
          </w:p>
        </w:tc>
        <w:tc>
          <w:tcPr>
            <w:tcW w:w="1276"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1,028</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H</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proiecte sprijinite</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0,900</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5</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4,500</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7,200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w:t>
            </w:r>
          </w:p>
        </w:tc>
        <w:tc>
          <w:tcPr>
            <w:tcW w:w="1134" w:type="dxa"/>
            <w:tcBorders>
              <w:top w:val="nil"/>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7,200</w:t>
            </w:r>
          </w:p>
        </w:tc>
        <w:tc>
          <w:tcPr>
            <w:tcW w:w="993"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9</w:t>
            </w:r>
          </w:p>
        </w:tc>
        <w:tc>
          <w:tcPr>
            <w:tcW w:w="1275"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8,100</w:t>
            </w:r>
          </w:p>
        </w:tc>
        <w:tc>
          <w:tcPr>
            <w:tcW w:w="127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27,000</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I</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proiecte sprijinite</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0,150</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12</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1,800</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14</w:t>
            </w:r>
          </w:p>
        </w:tc>
        <w:tc>
          <w:tcPr>
            <w:tcW w:w="992"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2,100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18</w:t>
            </w:r>
          </w:p>
        </w:tc>
        <w:tc>
          <w:tcPr>
            <w:tcW w:w="1134"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2,700</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18</w:t>
            </w:r>
          </w:p>
        </w:tc>
        <w:tc>
          <w:tcPr>
            <w:tcW w:w="1275" w:type="dxa"/>
            <w:tcBorders>
              <w:top w:val="single" w:sz="8" w:space="0" w:color="auto"/>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2,700</w:t>
            </w:r>
          </w:p>
        </w:tc>
        <w:tc>
          <w:tcPr>
            <w:tcW w:w="1276"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9,300</w:t>
            </w:r>
          </w:p>
        </w:tc>
      </w:tr>
      <w:tr>
        <w:trPr>
          <w:gridAfter w:val="1"/>
          <w:wAfter w:w="414" w:type="dxa"/>
          <w:trHeight w:val="504"/>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J</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servicii specifice de expertiză</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0,015</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70-80</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1,065</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80-90</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1,320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90-95</w:t>
            </w:r>
          </w:p>
        </w:tc>
        <w:tc>
          <w:tcPr>
            <w:tcW w:w="1134" w:type="dxa"/>
            <w:tcBorders>
              <w:top w:val="single" w:sz="8" w:space="0" w:color="auto"/>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1,380</w:t>
            </w:r>
          </w:p>
        </w:tc>
        <w:tc>
          <w:tcPr>
            <w:tcW w:w="993"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95-100</w:t>
            </w:r>
          </w:p>
        </w:tc>
        <w:tc>
          <w:tcPr>
            <w:tcW w:w="1275"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1,500</w:t>
            </w:r>
          </w:p>
        </w:tc>
        <w:tc>
          <w:tcPr>
            <w:tcW w:w="127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5,265</w:t>
            </w:r>
          </w:p>
        </w:tc>
      </w:tr>
      <w:tr>
        <w:trPr>
          <w:gridAfter w:val="1"/>
          <w:wAfter w:w="414" w:type="dxa"/>
          <w:trHeight w:val="324"/>
        </w:trPr>
        <w:tc>
          <w:tcPr>
            <w:tcW w:w="2825" w:type="dxa"/>
            <w:gridSpan w:val="2"/>
            <w:tcBorders>
              <w:top w:val="single" w:sz="8" w:space="0" w:color="auto"/>
              <w:left w:val="single" w:sz="8" w:space="0" w:color="auto"/>
              <w:bottom w:val="single" w:sz="8" w:space="0" w:color="auto"/>
              <w:right w:val="single" w:sz="8" w:space="0" w:color="000000"/>
            </w:tcBorders>
            <w:vAlign w:val="center"/>
            <w:hideMark/>
          </w:tcPr>
          <w:p>
            <w:pPr>
              <w:spacing w:before="0" w:after="0" w:line="276" w:lineRule="auto"/>
              <w:jc w:val="center"/>
              <w:rPr>
                <w:rFonts w:eastAsia="Times New Roman"/>
                <w:noProof/>
                <w:color w:val="000000"/>
                <w:sz w:val="18"/>
                <w:szCs w:val="18"/>
              </w:rPr>
            </w:pPr>
            <w:r>
              <w:rPr>
                <w:noProof/>
                <w:color w:val="000000"/>
                <w:sz w:val="18"/>
              </w:rPr>
              <w:t>Subtotal pentru obiectivul specific nr. 3</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096"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7,595</w:t>
            </w:r>
          </w:p>
        </w:tc>
        <w:tc>
          <w:tcPr>
            <w:tcW w:w="80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992"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10,866</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134"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11,556</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275" w:type="dxa"/>
            <w:tcBorders>
              <w:top w:val="single" w:sz="8" w:space="0" w:color="auto"/>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12,576</w:t>
            </w:r>
          </w:p>
        </w:tc>
        <w:tc>
          <w:tcPr>
            <w:tcW w:w="1276"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42,593</w:t>
            </w:r>
          </w:p>
        </w:tc>
      </w:tr>
      <w:tr>
        <w:trPr>
          <w:gridAfter w:val="1"/>
          <w:wAfter w:w="414" w:type="dxa"/>
          <w:trHeight w:val="552"/>
        </w:trPr>
        <w:tc>
          <w:tcPr>
            <w:tcW w:w="9654" w:type="dxa"/>
            <w:gridSpan w:val="10"/>
            <w:tcBorders>
              <w:top w:val="single" w:sz="8" w:space="0" w:color="auto"/>
              <w:left w:val="single" w:sz="8" w:space="0" w:color="auto"/>
              <w:bottom w:val="nil"/>
              <w:right w:val="single" w:sz="8" w:space="0" w:color="000000"/>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OBIECTIVUL SPECIFIC NR. 4</w:t>
            </w:r>
          </w:p>
        </w:tc>
        <w:tc>
          <w:tcPr>
            <w:tcW w:w="3544" w:type="dxa"/>
            <w:gridSpan w:val="3"/>
            <w:vMerge w:val="restart"/>
            <w:vAlign w:val="center"/>
            <w:hideMark/>
          </w:tcPr>
          <w:p>
            <w:pPr>
              <w:spacing w:before="0" w:after="0" w:line="276" w:lineRule="auto"/>
              <w:jc w:val="left"/>
              <w:rPr>
                <w:rFonts w:asciiTheme="minorHAnsi" w:hAnsiTheme="minorHAnsi"/>
                <w:noProof/>
                <w:sz w:val="22"/>
              </w:rPr>
            </w:pPr>
          </w:p>
        </w:tc>
      </w:tr>
      <w:tr>
        <w:trPr>
          <w:gridAfter w:val="1"/>
          <w:wAfter w:w="414" w:type="dxa"/>
          <w:trHeight w:val="576"/>
        </w:trPr>
        <w:tc>
          <w:tcPr>
            <w:tcW w:w="9654" w:type="dxa"/>
            <w:gridSpan w:val="10"/>
            <w:tcBorders>
              <w:top w:val="single" w:sz="8" w:space="0" w:color="auto"/>
              <w:left w:val="single" w:sz="8" w:space="0" w:color="auto"/>
              <w:bottom w:val="nil"/>
              <w:right w:val="single" w:sz="8" w:space="0" w:color="000000"/>
            </w:tcBorders>
            <w:vAlign w:val="center"/>
            <w:hideMark/>
          </w:tcPr>
          <w:p>
            <w:pPr>
              <w:spacing w:before="0" w:after="0" w:line="276" w:lineRule="auto"/>
              <w:jc w:val="left"/>
              <w:rPr>
                <w:rFonts w:eastAsia="Times New Roman"/>
                <w:b/>
                <w:bCs/>
                <w:noProof/>
                <w:color w:val="000000"/>
                <w:sz w:val="18"/>
                <w:szCs w:val="18"/>
              </w:rPr>
            </w:pPr>
            <w:r>
              <w:rPr>
                <w:b/>
                <w:noProof/>
                <w:color w:val="000000"/>
                <w:sz w:val="18"/>
              </w:rPr>
              <w:t>Sprijinirea eforturilor autorităților de îmbunătățire a eficienței și eficacității gestionării resurselor umane, atunci când este cazul, prin definirea unor responsabilități clare și îmbunătățirea cunoștințelor și competențelor profesionale</w:t>
            </w:r>
          </w:p>
        </w:tc>
        <w:tc>
          <w:tcPr>
            <w:tcW w:w="6509" w:type="dxa"/>
            <w:gridSpan w:val="3"/>
            <w:vMerge/>
            <w:vAlign w:val="center"/>
            <w:hideMark/>
          </w:tcPr>
          <w:p>
            <w:pPr>
              <w:spacing w:before="0" w:after="0"/>
              <w:jc w:val="left"/>
              <w:rPr>
                <w:rFonts w:asciiTheme="minorHAnsi" w:hAnsiTheme="minorHAnsi"/>
                <w:noProof/>
                <w:sz w:val="22"/>
              </w:rPr>
            </w:pPr>
          </w:p>
        </w:tc>
      </w:tr>
      <w:tr>
        <w:trPr>
          <w:gridAfter w:val="1"/>
          <w:wAfter w:w="414" w:type="dxa"/>
          <w:trHeight w:val="504"/>
        </w:trPr>
        <w:tc>
          <w:tcPr>
            <w:tcW w:w="1231"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K</w:t>
            </w:r>
          </w:p>
        </w:tc>
        <w:tc>
          <w:tcPr>
            <w:tcW w:w="1594"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 xml:space="preserve">Numărul de evenimente de formare/seminare </w:t>
            </w:r>
          </w:p>
        </w:tc>
        <w:tc>
          <w:tcPr>
            <w:tcW w:w="1063"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0,08</w:t>
            </w:r>
          </w:p>
        </w:tc>
        <w:tc>
          <w:tcPr>
            <w:tcW w:w="887"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25-30</w:t>
            </w:r>
          </w:p>
        </w:tc>
        <w:tc>
          <w:tcPr>
            <w:tcW w:w="1025"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2,320</w:t>
            </w:r>
          </w:p>
        </w:tc>
        <w:tc>
          <w:tcPr>
            <w:tcW w:w="878" w:type="dxa"/>
            <w:gridSpan w:val="2"/>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30-35</w:t>
            </w:r>
          </w:p>
        </w:tc>
        <w:tc>
          <w:tcPr>
            <w:tcW w:w="992"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2,400</w:t>
            </w:r>
          </w:p>
        </w:tc>
        <w:tc>
          <w:tcPr>
            <w:tcW w:w="850"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40-50</w:t>
            </w:r>
          </w:p>
        </w:tc>
        <w:tc>
          <w:tcPr>
            <w:tcW w:w="1134"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3,600</w:t>
            </w:r>
          </w:p>
        </w:tc>
        <w:tc>
          <w:tcPr>
            <w:tcW w:w="993" w:type="dxa"/>
            <w:tcBorders>
              <w:top w:val="single" w:sz="8" w:space="0" w:color="auto"/>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50-60</w:t>
            </w:r>
          </w:p>
        </w:tc>
        <w:tc>
          <w:tcPr>
            <w:tcW w:w="1275" w:type="dxa"/>
            <w:tcBorders>
              <w:top w:val="single" w:sz="8" w:space="0" w:color="auto"/>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4,400</w:t>
            </w:r>
          </w:p>
        </w:tc>
        <w:tc>
          <w:tcPr>
            <w:tcW w:w="1276"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12,72</w:t>
            </w:r>
          </w:p>
        </w:tc>
      </w:tr>
      <w:tr>
        <w:trPr>
          <w:gridAfter w:val="1"/>
          <w:wAfter w:w="414" w:type="dxa"/>
          <w:trHeight w:val="756"/>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L</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experți</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0,00115</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60-80</w:t>
            </w:r>
          </w:p>
        </w:tc>
        <w:tc>
          <w:tcPr>
            <w:tcW w:w="1025"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0,082</w:t>
            </w:r>
          </w:p>
        </w:tc>
        <w:tc>
          <w:tcPr>
            <w:tcW w:w="878"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90-100</w:t>
            </w:r>
          </w:p>
        </w:tc>
        <w:tc>
          <w:tcPr>
            <w:tcW w:w="992"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0,107</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100-150</w:t>
            </w:r>
          </w:p>
        </w:tc>
        <w:tc>
          <w:tcPr>
            <w:tcW w:w="1134"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0,161</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100-150</w:t>
            </w:r>
          </w:p>
        </w:tc>
        <w:tc>
          <w:tcPr>
            <w:tcW w:w="1275" w:type="dxa"/>
            <w:tcBorders>
              <w:top w:val="nil"/>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0,170</w:t>
            </w:r>
          </w:p>
        </w:tc>
        <w:tc>
          <w:tcPr>
            <w:tcW w:w="1276"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0,519</w:t>
            </w:r>
          </w:p>
        </w:tc>
      </w:tr>
      <w:tr>
        <w:trPr>
          <w:gridAfter w:val="1"/>
          <w:wAfter w:w="414" w:type="dxa"/>
          <w:trHeight w:val="588"/>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M</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proiecte sprijinite</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0,900</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5</w:t>
            </w:r>
          </w:p>
        </w:tc>
        <w:tc>
          <w:tcPr>
            <w:tcW w:w="1025"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4,500</w:t>
            </w:r>
          </w:p>
        </w:tc>
        <w:tc>
          <w:tcPr>
            <w:tcW w:w="878"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w:t>
            </w:r>
          </w:p>
        </w:tc>
        <w:tc>
          <w:tcPr>
            <w:tcW w:w="992"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7,200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10-12</w:t>
            </w:r>
          </w:p>
        </w:tc>
        <w:tc>
          <w:tcPr>
            <w:tcW w:w="1134"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9,900</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12-14</w:t>
            </w:r>
          </w:p>
        </w:tc>
        <w:tc>
          <w:tcPr>
            <w:tcW w:w="1275"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11,700</w:t>
            </w:r>
          </w:p>
        </w:tc>
        <w:tc>
          <w:tcPr>
            <w:tcW w:w="1276"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33,300</w:t>
            </w:r>
          </w:p>
        </w:tc>
      </w:tr>
      <w:tr>
        <w:trPr>
          <w:gridAfter w:val="1"/>
          <w:wAfter w:w="414" w:type="dxa"/>
          <w:trHeight w:val="732"/>
        </w:trPr>
        <w:tc>
          <w:tcPr>
            <w:tcW w:w="1231"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Realizarea N</w:t>
            </w:r>
          </w:p>
        </w:tc>
        <w:tc>
          <w:tcPr>
            <w:tcW w:w="1594"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6"/>
                <w:szCs w:val="16"/>
              </w:rPr>
            </w:pPr>
            <w:r>
              <w:rPr>
                <w:noProof/>
                <w:color w:val="000000"/>
                <w:sz w:val="16"/>
              </w:rPr>
              <w:t>Numărul de proiecte sprijinite</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0,150</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8</w:t>
            </w:r>
          </w:p>
        </w:tc>
        <w:tc>
          <w:tcPr>
            <w:tcW w:w="1025"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1,200</w:t>
            </w:r>
          </w:p>
        </w:tc>
        <w:tc>
          <w:tcPr>
            <w:tcW w:w="878"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12</w:t>
            </w:r>
          </w:p>
        </w:tc>
        <w:tc>
          <w:tcPr>
            <w:tcW w:w="992"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1,800</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18</w:t>
            </w:r>
          </w:p>
        </w:tc>
        <w:tc>
          <w:tcPr>
            <w:tcW w:w="1134"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2,700</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18</w:t>
            </w:r>
          </w:p>
        </w:tc>
        <w:tc>
          <w:tcPr>
            <w:tcW w:w="1275" w:type="dxa"/>
            <w:tcBorders>
              <w:top w:val="single" w:sz="8" w:space="0" w:color="auto"/>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2,700</w:t>
            </w:r>
          </w:p>
        </w:tc>
        <w:tc>
          <w:tcPr>
            <w:tcW w:w="1276" w:type="dxa"/>
            <w:tcBorders>
              <w:top w:val="single" w:sz="8" w:space="0" w:color="auto"/>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8,400</w:t>
            </w:r>
          </w:p>
        </w:tc>
      </w:tr>
      <w:tr>
        <w:trPr>
          <w:gridAfter w:val="1"/>
          <w:wAfter w:w="414" w:type="dxa"/>
          <w:trHeight w:val="324"/>
        </w:trPr>
        <w:tc>
          <w:tcPr>
            <w:tcW w:w="2825" w:type="dxa"/>
            <w:gridSpan w:val="2"/>
            <w:tcBorders>
              <w:top w:val="single" w:sz="8" w:space="0" w:color="auto"/>
              <w:left w:val="single" w:sz="8" w:space="0" w:color="auto"/>
              <w:bottom w:val="single" w:sz="8" w:space="0" w:color="auto"/>
              <w:right w:val="single" w:sz="8" w:space="0" w:color="000000"/>
            </w:tcBorders>
            <w:vAlign w:val="center"/>
            <w:hideMark/>
          </w:tcPr>
          <w:p>
            <w:pPr>
              <w:spacing w:before="0" w:after="0" w:line="276" w:lineRule="auto"/>
              <w:jc w:val="center"/>
              <w:rPr>
                <w:rFonts w:eastAsia="Times New Roman"/>
                <w:noProof/>
                <w:color w:val="000000"/>
                <w:sz w:val="18"/>
                <w:szCs w:val="18"/>
              </w:rPr>
            </w:pPr>
            <w:r>
              <w:rPr>
                <w:noProof/>
                <w:color w:val="000000"/>
                <w:sz w:val="18"/>
              </w:rPr>
              <w:t>Subtotal pentru obiectivul specific nr. 4</w:t>
            </w:r>
          </w:p>
        </w:tc>
        <w:tc>
          <w:tcPr>
            <w:tcW w:w="106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887"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025"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8,102</w:t>
            </w:r>
          </w:p>
        </w:tc>
        <w:tc>
          <w:tcPr>
            <w:tcW w:w="878" w:type="dxa"/>
            <w:gridSpan w:val="2"/>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992"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11,507</w:t>
            </w:r>
          </w:p>
        </w:tc>
        <w:tc>
          <w:tcPr>
            <w:tcW w:w="850"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134"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16,361</w:t>
            </w:r>
          </w:p>
        </w:tc>
        <w:tc>
          <w:tcPr>
            <w:tcW w:w="993" w:type="dxa"/>
            <w:tcBorders>
              <w:top w:val="nil"/>
              <w:left w:val="nil"/>
              <w:bottom w:val="single" w:sz="8" w:space="0" w:color="auto"/>
              <w:right w:val="single" w:sz="8" w:space="0" w:color="auto"/>
            </w:tcBorders>
            <w:vAlign w:val="center"/>
            <w:hideMark/>
          </w:tcPr>
          <w:p>
            <w:pPr>
              <w:spacing w:before="0" w:after="0" w:line="276" w:lineRule="auto"/>
              <w:jc w:val="center"/>
              <w:rPr>
                <w:rFonts w:eastAsia="Times New Roman"/>
                <w:noProof/>
                <w:color w:val="000000"/>
                <w:sz w:val="18"/>
                <w:szCs w:val="18"/>
              </w:rPr>
            </w:pPr>
            <w:r>
              <w:rPr>
                <w:noProof/>
                <w:color w:val="000000"/>
                <w:sz w:val="18"/>
              </w:rPr>
              <w:t> </w:t>
            </w:r>
          </w:p>
        </w:tc>
        <w:tc>
          <w:tcPr>
            <w:tcW w:w="1275" w:type="dxa"/>
            <w:tcBorders>
              <w:top w:val="nil"/>
              <w:left w:val="nil"/>
              <w:bottom w:val="single" w:sz="8" w:space="0" w:color="auto"/>
              <w:right w:val="nil"/>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18,970</w:t>
            </w:r>
          </w:p>
        </w:tc>
        <w:tc>
          <w:tcPr>
            <w:tcW w:w="1276" w:type="dxa"/>
            <w:tcBorders>
              <w:top w:val="nil"/>
              <w:left w:val="single" w:sz="8" w:space="0" w:color="auto"/>
              <w:bottom w:val="single" w:sz="8" w:space="0" w:color="auto"/>
              <w:right w:val="single" w:sz="8" w:space="0" w:color="auto"/>
            </w:tcBorders>
            <w:vAlign w:val="center"/>
            <w:hideMark/>
          </w:tcPr>
          <w:p>
            <w:pPr>
              <w:spacing w:before="0" w:after="0" w:line="276" w:lineRule="auto"/>
              <w:jc w:val="center"/>
              <w:rPr>
                <w:rFonts w:eastAsia="Times New Roman"/>
                <w:b/>
                <w:bCs/>
                <w:noProof/>
                <w:color w:val="000000"/>
                <w:sz w:val="18"/>
                <w:szCs w:val="18"/>
              </w:rPr>
            </w:pPr>
            <w:r>
              <w:rPr>
                <w:b/>
                <w:noProof/>
                <w:color w:val="000000"/>
                <w:sz w:val="18"/>
              </w:rPr>
              <w:t>54,939</w:t>
            </w:r>
          </w:p>
        </w:tc>
      </w:tr>
    </w:tbl>
    <w:p>
      <w:pPr>
        <w:suppressAutoHyphens/>
        <w:jc w:val="right"/>
        <w:rPr>
          <w:noProof/>
          <w:sz w:val="20"/>
        </w:rPr>
      </w:pPr>
    </w:p>
    <w:p>
      <w:pPr>
        <w:spacing w:before="0" w:after="0"/>
        <w:jc w:val="left"/>
        <w:rPr>
          <w:noProof/>
        </w:rPr>
        <w:sectPr>
          <w:pgSz w:w="16840" w:h="11907" w:orient="landscape"/>
          <w:pgMar w:top="1134" w:right="1418" w:bottom="567" w:left="1418" w:header="709" w:footer="709" w:gutter="0"/>
          <w:cols w:space="720"/>
          <w:docGrid w:linePitch="326"/>
        </w:sectPr>
      </w:pPr>
    </w:p>
    <w:p>
      <w:pPr>
        <w:pStyle w:val="ManualHeading3"/>
        <w:rPr>
          <w:bCs/>
          <w:noProof/>
          <w:szCs w:val="24"/>
        </w:rPr>
      </w:pPr>
      <w:r>
        <w:t>3.2.3.</w:t>
      </w:r>
      <w:r>
        <w:tab/>
      </w:r>
      <w:r>
        <w:rPr>
          <w:noProof/>
        </w:rPr>
        <w:t>Impactul estimat asupra creditelor cu caracter administrativ</w:t>
      </w:r>
    </w:p>
    <w:p>
      <w:pPr>
        <w:pStyle w:val="ManualHeading4"/>
        <w:rPr>
          <w:noProof/>
        </w:rPr>
      </w:pPr>
      <w:r>
        <w:t>3.2.3.1.</w:t>
      </w:r>
      <w:r>
        <w:tab/>
      </w:r>
      <w:r>
        <w:rPr>
          <w:noProof/>
        </w:rPr>
        <w:t xml:space="preserve">Sinteză </w:t>
      </w:r>
    </w:p>
    <w:p>
      <w:pPr>
        <w:pStyle w:val="ListDash1"/>
        <w:ind w:left="1134"/>
        <w:rPr>
          <w:noProof/>
        </w:rPr>
      </w:pPr>
      <w:r>
        <w:rPr>
          <w:noProof/>
        </w:rPr>
        <w:sym w:font="Wingdings" w:char="F0A8"/>
      </w:r>
      <w:r>
        <w:rPr>
          <w:noProof/>
        </w:rPr>
        <w:tab/>
        <w:t xml:space="preserve">Propunerea/inițiativa nu implică utilizarea de credite cu caracter administrativ </w:t>
      </w:r>
    </w:p>
    <w:p>
      <w:pPr>
        <w:pStyle w:val="ListDash1"/>
        <w:ind w:left="1134"/>
        <w:rPr>
          <w:noProof/>
        </w:rPr>
      </w:pPr>
      <w:r>
        <w:rPr>
          <w:noProof/>
        </w:rPr>
        <w:sym w:font="Wingdings" w:char="F078"/>
      </w:r>
      <w:r>
        <w:rPr>
          <w:noProof/>
        </w:rPr>
        <w:tab/>
        <w:t>Propunerea/inițiativa implică utilizarea de credite cu caracter administrativ, conform explicațiilor de mai jos:</w:t>
      </w:r>
    </w:p>
    <w:p>
      <w:pPr>
        <w:ind w:left="4320" w:firstLine="358"/>
        <w:rPr>
          <w:noProof/>
          <w:sz w:val="20"/>
        </w:rPr>
      </w:pPr>
      <w:r>
        <w:rPr>
          <w:noProof/>
          <w:sz w:val="20"/>
        </w:rPr>
        <w:t>milioane EUR (cu trei zecimale)</w:t>
      </w:r>
    </w:p>
    <w:tbl>
      <w:tblPr>
        <w:tblW w:w="85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2"/>
        <w:gridCol w:w="1292"/>
        <w:gridCol w:w="1134"/>
        <w:gridCol w:w="1276"/>
        <w:gridCol w:w="1275"/>
        <w:gridCol w:w="1561"/>
      </w:tblGrid>
      <w:tr>
        <w:trPr>
          <w:trHeight w:val="585"/>
        </w:trPr>
        <w:tc>
          <w:tcPr>
            <w:tcW w:w="1980" w:type="dxa"/>
            <w:tcBorders>
              <w:top w:val="single" w:sz="2" w:space="0" w:color="auto"/>
              <w:left w:val="single" w:sz="2" w:space="0" w:color="auto"/>
              <w:bottom w:val="single" w:sz="2" w:space="0" w:color="auto"/>
              <w:right w:val="single" w:sz="2" w:space="0" w:color="auto"/>
            </w:tcBorders>
          </w:tcPr>
          <w:p>
            <w:pPr>
              <w:spacing w:before="60" w:after="60" w:line="200" w:lineRule="exact"/>
              <w:rPr>
                <w:noProof/>
                <w:sz w:val="16"/>
                <w:szCs w:val="16"/>
              </w:rPr>
            </w:pPr>
          </w:p>
        </w:tc>
        <w:tc>
          <w:tcPr>
            <w:tcW w:w="1292"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rPr>
              <w:t>Anul</w:t>
            </w:r>
            <w:r>
              <w:rPr>
                <w:noProof/>
              </w:rPr>
              <w:br/>
            </w:r>
            <w:r>
              <w:rPr>
                <w:b/>
                <w:noProof/>
                <w:sz w:val="16"/>
              </w:rPr>
              <w:t>2017</w:t>
            </w:r>
          </w:p>
        </w:tc>
        <w:tc>
          <w:tcPr>
            <w:tcW w:w="1134"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rPr>
              <w:t>Anul</w:t>
            </w:r>
            <w:r>
              <w:rPr>
                <w:noProof/>
              </w:rPr>
              <w:br/>
            </w:r>
            <w:r>
              <w:rPr>
                <w:b/>
                <w:noProof/>
                <w:sz w:val="16"/>
              </w:rPr>
              <w:t>2018</w:t>
            </w:r>
          </w:p>
        </w:tc>
        <w:tc>
          <w:tcPr>
            <w:tcW w:w="1276"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noProof/>
                <w:sz w:val="16"/>
                <w:szCs w:val="16"/>
              </w:rPr>
            </w:pPr>
            <w:r>
              <w:rPr>
                <w:noProof/>
              </w:rPr>
              <w:t>Anul</w:t>
            </w:r>
            <w:r>
              <w:rPr>
                <w:noProof/>
              </w:rPr>
              <w:br/>
            </w:r>
            <w:r>
              <w:rPr>
                <w:b/>
                <w:noProof/>
                <w:sz w:val="16"/>
              </w:rPr>
              <w:t>2019</w:t>
            </w:r>
          </w:p>
        </w:tc>
        <w:tc>
          <w:tcPr>
            <w:tcW w:w="1275" w:type="dxa"/>
            <w:tcBorders>
              <w:top w:val="single" w:sz="2" w:space="0" w:color="auto"/>
              <w:left w:val="single" w:sz="2" w:space="0" w:color="auto"/>
              <w:bottom w:val="single" w:sz="2" w:space="0" w:color="auto"/>
              <w:right w:val="single" w:sz="2" w:space="0" w:color="auto"/>
            </w:tcBorders>
            <w:vAlign w:val="center"/>
            <w:hideMark/>
          </w:tcPr>
          <w:p>
            <w:pPr>
              <w:spacing w:line="200" w:lineRule="exact"/>
              <w:jc w:val="center"/>
              <w:rPr>
                <w:b/>
                <w:noProof/>
                <w:sz w:val="16"/>
              </w:rPr>
            </w:pPr>
            <w:r>
              <w:rPr>
                <w:noProof/>
              </w:rPr>
              <w:t>Anul</w:t>
            </w:r>
            <w:r>
              <w:rPr>
                <w:noProof/>
              </w:rPr>
              <w:br/>
            </w:r>
            <w:r>
              <w:rPr>
                <w:b/>
                <w:noProof/>
                <w:sz w:val="16"/>
              </w:rPr>
              <w:t>2020</w:t>
            </w:r>
          </w:p>
        </w:tc>
        <w:tc>
          <w:tcPr>
            <w:tcW w:w="156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85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2"/>
        <w:gridCol w:w="1292"/>
        <w:gridCol w:w="1134"/>
        <w:gridCol w:w="1276"/>
        <w:gridCol w:w="1275"/>
        <w:gridCol w:w="1561"/>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szCs w:val="16"/>
              </w:rPr>
              <w:t>RUBRICA 5</w:t>
            </w:r>
            <w:r>
              <w:rPr>
                <w:noProof/>
                <w:sz w:val="16"/>
                <w:szCs w:val="16"/>
              </w:rPr>
              <w:br/>
            </w:r>
            <w:r>
              <w:rPr>
                <w:b/>
                <w:noProof/>
                <w:sz w:val="16"/>
                <w:szCs w:val="16"/>
              </w:rPr>
              <w:t>din cadrul financiar multianual</w:t>
            </w:r>
          </w:p>
        </w:tc>
        <w:tc>
          <w:tcPr>
            <w:tcW w:w="1292"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134"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276"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56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rPr>
              <w:t xml:space="preserve">Resurse umane </w:t>
            </w:r>
          </w:p>
        </w:tc>
        <w:tc>
          <w:tcPr>
            <w:tcW w:w="1292"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1,336</w:t>
            </w:r>
          </w:p>
        </w:tc>
        <w:tc>
          <w:tcPr>
            <w:tcW w:w="1134"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1,600</w:t>
            </w:r>
          </w:p>
        </w:tc>
        <w:tc>
          <w:tcPr>
            <w:tcW w:w="1276"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2,004</w:t>
            </w:r>
          </w:p>
        </w:tc>
        <w:tc>
          <w:tcPr>
            <w:tcW w:w="1275"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2.004</w:t>
            </w:r>
          </w:p>
        </w:tc>
        <w:tc>
          <w:tcPr>
            <w:tcW w:w="1560" w:type="dxa"/>
            <w:tcBorders>
              <w:top w:val="single" w:sz="2" w:space="0" w:color="auto"/>
              <w:left w:val="single" w:sz="2" w:space="0" w:color="auto"/>
              <w:bottom w:val="single" w:sz="2" w:space="0" w:color="auto"/>
              <w:right w:val="single" w:sz="2" w:space="0" w:color="auto"/>
            </w:tcBorders>
            <w:vAlign w:val="center"/>
            <w:hideMark/>
          </w:tcPr>
          <w:p>
            <w:pPr>
              <w:spacing w:line="276" w:lineRule="auto"/>
              <w:jc w:val="right"/>
              <w:rPr>
                <w:b/>
                <w:noProof/>
                <w:color w:val="000000"/>
                <w:sz w:val="18"/>
              </w:rPr>
            </w:pPr>
            <w:r>
              <w:rPr>
                <w:b/>
                <w:noProof/>
                <w:color w:val="000000"/>
                <w:sz w:val="18"/>
              </w:rPr>
              <w:t>6,944</w:t>
            </w: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rPr>
              <w:t xml:space="preserve">Alte cheltuieli administrative </w:t>
            </w:r>
          </w:p>
        </w:tc>
        <w:tc>
          <w:tcPr>
            <w:tcW w:w="1292"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 xml:space="preserve">0,110 </w:t>
            </w:r>
          </w:p>
        </w:tc>
        <w:tc>
          <w:tcPr>
            <w:tcW w:w="1134"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0,155</w:t>
            </w:r>
          </w:p>
        </w:tc>
        <w:tc>
          <w:tcPr>
            <w:tcW w:w="1276"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0,200</w:t>
            </w:r>
          </w:p>
        </w:tc>
        <w:tc>
          <w:tcPr>
            <w:tcW w:w="1275"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noProof/>
                <w:sz w:val="16"/>
              </w:rPr>
              <w:t>0.230</w:t>
            </w:r>
          </w:p>
        </w:tc>
        <w:tc>
          <w:tcPr>
            <w:tcW w:w="1560" w:type="dxa"/>
            <w:tcBorders>
              <w:top w:val="single" w:sz="2" w:space="0" w:color="auto"/>
              <w:left w:val="single" w:sz="2" w:space="0" w:color="auto"/>
              <w:bottom w:val="single" w:sz="2" w:space="0" w:color="auto"/>
              <w:right w:val="single" w:sz="2" w:space="0" w:color="auto"/>
            </w:tcBorders>
            <w:vAlign w:val="center"/>
            <w:hideMark/>
          </w:tcPr>
          <w:p>
            <w:pPr>
              <w:spacing w:line="276" w:lineRule="auto"/>
              <w:jc w:val="right"/>
              <w:rPr>
                <w:b/>
                <w:noProof/>
                <w:color w:val="000000"/>
                <w:sz w:val="18"/>
              </w:rPr>
            </w:pPr>
            <w:r>
              <w:rPr>
                <w:b/>
                <w:noProof/>
                <w:color w:val="000000"/>
                <w:sz w:val="18"/>
              </w:rPr>
              <w:t>0,695</w:t>
            </w: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szCs w:val="16"/>
              </w:rPr>
              <w:t>Subtotal RUBRICA 5</w:t>
            </w:r>
            <w:r>
              <w:rPr>
                <w:noProof/>
                <w:sz w:val="16"/>
                <w:szCs w:val="16"/>
              </w:rPr>
              <w:br/>
            </w:r>
            <w:r>
              <w:rPr>
                <w:b/>
                <w:noProof/>
                <w:sz w:val="16"/>
                <w:szCs w:val="16"/>
              </w:rPr>
              <w:t xml:space="preserve">din cadrul financiar multianual </w:t>
            </w:r>
          </w:p>
        </w:tc>
        <w:tc>
          <w:tcPr>
            <w:tcW w:w="1292"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20"/>
                <w:szCs w:val="20"/>
              </w:rPr>
            </w:pPr>
            <w:r>
              <w:rPr>
                <w:noProof/>
                <w:sz w:val="20"/>
              </w:rPr>
              <w:t>1,446</w:t>
            </w:r>
          </w:p>
        </w:tc>
        <w:tc>
          <w:tcPr>
            <w:tcW w:w="1134"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20"/>
                <w:szCs w:val="20"/>
              </w:rPr>
            </w:pPr>
            <w:r>
              <w:rPr>
                <w:noProof/>
                <w:sz w:val="20"/>
              </w:rPr>
              <w:t>1,755</w:t>
            </w:r>
          </w:p>
        </w:tc>
        <w:tc>
          <w:tcPr>
            <w:tcW w:w="1276"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20"/>
                <w:szCs w:val="20"/>
              </w:rPr>
            </w:pPr>
            <w:r>
              <w:rPr>
                <w:noProof/>
                <w:sz w:val="20"/>
              </w:rPr>
              <w:t>2,204</w:t>
            </w:r>
          </w:p>
        </w:tc>
        <w:tc>
          <w:tcPr>
            <w:tcW w:w="1275"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20"/>
                <w:szCs w:val="20"/>
              </w:rPr>
            </w:pPr>
            <w:r>
              <w:rPr>
                <w:noProof/>
                <w:sz w:val="20"/>
              </w:rPr>
              <w:t>2.234</w:t>
            </w:r>
          </w:p>
        </w:tc>
        <w:tc>
          <w:tcPr>
            <w:tcW w:w="1560" w:type="dxa"/>
            <w:tcBorders>
              <w:top w:val="single" w:sz="2" w:space="0" w:color="auto"/>
              <w:left w:val="single" w:sz="2" w:space="0" w:color="auto"/>
              <w:bottom w:val="single" w:sz="2" w:space="0" w:color="auto"/>
              <w:right w:val="single" w:sz="2" w:space="0" w:color="auto"/>
            </w:tcBorders>
            <w:vAlign w:val="center"/>
            <w:hideMark/>
          </w:tcPr>
          <w:p>
            <w:pPr>
              <w:spacing w:line="276" w:lineRule="auto"/>
              <w:jc w:val="right"/>
              <w:rPr>
                <w:b/>
                <w:noProof/>
                <w:color w:val="000000"/>
                <w:sz w:val="18"/>
              </w:rPr>
            </w:pPr>
            <w:r>
              <w:rPr>
                <w:b/>
                <w:noProof/>
                <w:color w:val="000000"/>
                <w:sz w:val="18"/>
              </w:rPr>
              <w:t>7,639</w:t>
            </w:r>
          </w:p>
        </w:tc>
      </w:tr>
    </w:tbl>
    <w:p>
      <w:pPr>
        <w:spacing w:line="200" w:lineRule="exact"/>
        <w:rPr>
          <w:noProof/>
          <w:sz w:val="16"/>
          <w:szCs w:val="16"/>
        </w:rPr>
      </w:pPr>
    </w:p>
    <w:tbl>
      <w:tblPr>
        <w:tblW w:w="85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2"/>
        <w:gridCol w:w="1292"/>
        <w:gridCol w:w="1134"/>
        <w:gridCol w:w="1276"/>
        <w:gridCol w:w="1275"/>
        <w:gridCol w:w="1561"/>
      </w:tblGrid>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tcPr>
          <w:p>
            <w:pPr>
              <w:spacing w:before="60" w:after="60" w:line="200" w:lineRule="exact"/>
              <w:jc w:val="center"/>
              <w:rPr>
                <w:noProof/>
                <w:sz w:val="16"/>
                <w:szCs w:val="16"/>
              </w:rPr>
            </w:pPr>
            <w:r>
              <w:rPr>
                <w:b/>
                <w:noProof/>
                <w:sz w:val="16"/>
                <w:szCs w:val="16"/>
              </w:rPr>
              <w:t>În afara RUBRICII 5</w:t>
            </w:r>
            <w:r>
              <w:rPr>
                <w:rStyle w:val="FootnoteReference"/>
                <w:b/>
                <w:noProof/>
                <w:sz w:val="16"/>
                <w:szCs w:val="16"/>
              </w:rPr>
              <w:footnoteReference w:id="36"/>
            </w:r>
            <w:r>
              <w:rPr>
                <w:noProof/>
                <w:sz w:val="16"/>
                <w:szCs w:val="16"/>
              </w:rPr>
              <w:br/>
            </w:r>
            <w:r>
              <w:rPr>
                <w:b/>
                <w:noProof/>
                <w:sz w:val="16"/>
                <w:szCs w:val="16"/>
              </w:rPr>
              <w:t xml:space="preserve">din cadrul financiar multianual </w:t>
            </w:r>
          </w:p>
          <w:p>
            <w:pPr>
              <w:spacing w:before="0" w:after="0" w:line="200" w:lineRule="exact"/>
              <w:jc w:val="center"/>
              <w:rPr>
                <w:b/>
                <w:noProof/>
                <w:sz w:val="16"/>
                <w:szCs w:val="16"/>
              </w:rPr>
            </w:pPr>
          </w:p>
        </w:tc>
        <w:tc>
          <w:tcPr>
            <w:tcW w:w="1292"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134"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276"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560"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rPr>
              <w:t xml:space="preserve">Resurse umane </w:t>
            </w:r>
          </w:p>
        </w:tc>
        <w:tc>
          <w:tcPr>
            <w:tcW w:w="1292"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134"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276"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275" w:type="dxa"/>
            <w:tcBorders>
              <w:top w:val="single" w:sz="2" w:space="0" w:color="auto"/>
              <w:left w:val="single" w:sz="2" w:space="0" w:color="auto"/>
              <w:bottom w:val="single" w:sz="2" w:space="0" w:color="auto"/>
              <w:right w:val="single" w:sz="2" w:space="0" w:color="auto"/>
            </w:tcBorders>
            <w:vAlign w:val="center"/>
          </w:tcPr>
          <w:p>
            <w:pPr>
              <w:spacing w:before="60" w:after="60" w:line="200" w:lineRule="exact"/>
              <w:jc w:val="right"/>
              <w:rPr>
                <w:noProof/>
                <w:sz w:val="16"/>
                <w:szCs w:val="16"/>
              </w:rPr>
            </w:pPr>
          </w:p>
        </w:tc>
        <w:tc>
          <w:tcPr>
            <w:tcW w:w="1560" w:type="dxa"/>
            <w:tcBorders>
              <w:top w:val="single" w:sz="2" w:space="0" w:color="auto"/>
              <w:left w:val="single" w:sz="2" w:space="0" w:color="auto"/>
              <w:bottom w:val="single" w:sz="2" w:space="0" w:color="auto"/>
              <w:right w:val="single" w:sz="2" w:space="0" w:color="auto"/>
            </w:tcBorders>
            <w:vAlign w:val="center"/>
          </w:tcPr>
          <w:p>
            <w:pPr>
              <w:spacing w:line="276" w:lineRule="auto"/>
              <w:jc w:val="right"/>
              <w:rPr>
                <w:b/>
                <w:noProof/>
                <w:color w:val="000000"/>
                <w:sz w:val="18"/>
              </w:rPr>
            </w:pPr>
          </w:p>
        </w:tc>
      </w:tr>
      <w:tr>
        <w:trPr>
          <w:trHeight w:val="585"/>
        </w:trPr>
        <w:tc>
          <w:tcPr>
            <w:tcW w:w="1980"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ind w:left="72"/>
              <w:jc w:val="left"/>
              <w:rPr>
                <w:noProof/>
                <w:sz w:val="16"/>
                <w:szCs w:val="16"/>
              </w:rPr>
            </w:pPr>
            <w:r>
              <w:rPr>
                <w:noProof/>
                <w:sz w:val="16"/>
                <w:szCs w:val="16"/>
              </w:rPr>
              <w:t>Alte cheltuieli</w:t>
            </w:r>
            <w:r>
              <w:rPr>
                <w:noProof/>
              </w:rPr>
              <w:br/>
            </w:r>
            <w:r>
              <w:rPr>
                <w:noProof/>
                <w:sz w:val="16"/>
              </w:rPr>
              <w:t>cu caracter administrativ</w:t>
            </w:r>
          </w:p>
        </w:tc>
        <w:tc>
          <w:tcPr>
            <w:tcW w:w="1292"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1,125</w:t>
            </w:r>
          </w:p>
        </w:tc>
        <w:tc>
          <w:tcPr>
            <w:tcW w:w="1134"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1,525</w:t>
            </w:r>
          </w:p>
        </w:tc>
        <w:tc>
          <w:tcPr>
            <w:tcW w:w="1276"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1,925</w:t>
            </w:r>
          </w:p>
        </w:tc>
        <w:tc>
          <w:tcPr>
            <w:tcW w:w="1275"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2,225</w:t>
            </w:r>
          </w:p>
        </w:tc>
        <w:tc>
          <w:tcPr>
            <w:tcW w:w="1560" w:type="dxa"/>
            <w:tcBorders>
              <w:top w:val="single" w:sz="2" w:space="0" w:color="auto"/>
              <w:left w:val="single" w:sz="2" w:space="0" w:color="auto"/>
              <w:bottom w:val="single" w:sz="2" w:space="0" w:color="auto"/>
              <w:right w:val="single" w:sz="2" w:space="0" w:color="auto"/>
            </w:tcBorders>
            <w:vAlign w:val="center"/>
            <w:hideMark/>
          </w:tcPr>
          <w:p>
            <w:pPr>
              <w:spacing w:line="276" w:lineRule="auto"/>
              <w:jc w:val="right"/>
              <w:rPr>
                <w:b/>
                <w:noProof/>
                <w:color w:val="000000"/>
                <w:sz w:val="18"/>
              </w:rPr>
            </w:pPr>
            <w:r>
              <w:rPr>
                <w:b/>
                <w:noProof/>
                <w:color w:val="000000"/>
                <w:sz w:val="18"/>
              </w:rPr>
              <w:t>6,800</w:t>
            </w:r>
          </w:p>
        </w:tc>
      </w:tr>
      <w:tr>
        <w:trPr>
          <w:trHeight w:val="585"/>
        </w:trPr>
        <w:tc>
          <w:tcPr>
            <w:tcW w:w="1980" w:type="dxa"/>
            <w:tcBorders>
              <w:top w:val="single" w:sz="2" w:space="0" w:color="auto"/>
              <w:left w:val="single" w:sz="2" w:space="0" w:color="auto"/>
              <w:bottom w:val="single" w:sz="2" w:space="0" w:color="auto"/>
              <w:right w:val="single" w:sz="2" w:space="0" w:color="auto"/>
            </w:tcBorders>
            <w:shd w:val="clear" w:color="auto" w:fill="CCCCCC"/>
            <w:vAlign w:val="center"/>
            <w:hideMark/>
          </w:tcPr>
          <w:p>
            <w:pPr>
              <w:spacing w:before="60" w:after="60" w:line="200" w:lineRule="exact"/>
              <w:jc w:val="center"/>
              <w:rPr>
                <w:b/>
                <w:noProof/>
                <w:sz w:val="16"/>
                <w:szCs w:val="16"/>
              </w:rPr>
            </w:pPr>
            <w:r>
              <w:rPr>
                <w:b/>
                <w:noProof/>
                <w:sz w:val="16"/>
                <w:szCs w:val="16"/>
              </w:rPr>
              <w:t xml:space="preserve">Subtotal </w:t>
            </w:r>
            <w:r>
              <w:rPr>
                <w:noProof/>
                <w:sz w:val="16"/>
                <w:szCs w:val="16"/>
              </w:rPr>
              <w:br/>
            </w:r>
            <w:r>
              <w:rPr>
                <w:b/>
                <w:noProof/>
                <w:sz w:val="16"/>
                <w:szCs w:val="16"/>
              </w:rPr>
              <w:t>în afara RUBRICII 5</w:t>
            </w:r>
            <w:r>
              <w:rPr>
                <w:noProof/>
                <w:sz w:val="16"/>
                <w:szCs w:val="16"/>
              </w:rPr>
              <w:br/>
            </w:r>
            <w:r>
              <w:rPr>
                <w:b/>
                <w:noProof/>
                <w:sz w:val="16"/>
                <w:szCs w:val="16"/>
              </w:rPr>
              <w:t xml:space="preserve">din cadrul financiar multianual </w:t>
            </w:r>
          </w:p>
        </w:tc>
        <w:tc>
          <w:tcPr>
            <w:tcW w:w="1292"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1,125</w:t>
            </w:r>
          </w:p>
        </w:tc>
        <w:tc>
          <w:tcPr>
            <w:tcW w:w="1134"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1,525</w:t>
            </w:r>
          </w:p>
        </w:tc>
        <w:tc>
          <w:tcPr>
            <w:tcW w:w="1276"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1,925</w:t>
            </w:r>
          </w:p>
        </w:tc>
        <w:tc>
          <w:tcPr>
            <w:tcW w:w="1275" w:type="dxa"/>
            <w:tcBorders>
              <w:top w:val="single" w:sz="2" w:space="0" w:color="auto"/>
              <w:left w:val="single" w:sz="2" w:space="0" w:color="auto"/>
              <w:bottom w:val="single" w:sz="2" w:space="0" w:color="auto"/>
              <w:right w:val="single" w:sz="2" w:space="0" w:color="auto"/>
            </w:tcBorders>
            <w:vAlign w:val="center"/>
            <w:hideMark/>
          </w:tcPr>
          <w:p>
            <w:pPr>
              <w:spacing w:before="60" w:after="60" w:line="200" w:lineRule="exact"/>
              <w:jc w:val="right"/>
              <w:rPr>
                <w:noProof/>
                <w:sz w:val="16"/>
                <w:szCs w:val="16"/>
              </w:rPr>
            </w:pPr>
            <w:r>
              <w:rPr>
                <w:b/>
                <w:noProof/>
                <w:color w:val="000000"/>
                <w:sz w:val="20"/>
              </w:rPr>
              <w:t>2,225</w:t>
            </w:r>
          </w:p>
        </w:tc>
        <w:tc>
          <w:tcPr>
            <w:tcW w:w="1560" w:type="dxa"/>
            <w:tcBorders>
              <w:top w:val="single" w:sz="2" w:space="0" w:color="auto"/>
              <w:left w:val="single" w:sz="2" w:space="0" w:color="auto"/>
              <w:bottom w:val="single" w:sz="2" w:space="0" w:color="auto"/>
              <w:right w:val="single" w:sz="2" w:space="0" w:color="auto"/>
            </w:tcBorders>
            <w:vAlign w:val="center"/>
            <w:hideMark/>
          </w:tcPr>
          <w:p>
            <w:pPr>
              <w:spacing w:line="276" w:lineRule="auto"/>
              <w:jc w:val="right"/>
              <w:rPr>
                <w:b/>
                <w:noProof/>
                <w:color w:val="000000"/>
                <w:sz w:val="18"/>
              </w:rPr>
            </w:pPr>
            <w:r>
              <w:rPr>
                <w:b/>
                <w:noProof/>
                <w:color w:val="000000"/>
                <w:sz w:val="18"/>
              </w:rPr>
              <w:t>6,800</w:t>
            </w: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hideMark/>
          </w:tcPr>
          <w:p>
            <w:pPr>
              <w:spacing w:before="60" w:after="60" w:line="200" w:lineRule="exact"/>
              <w:jc w:val="center"/>
              <w:rPr>
                <w:noProof/>
                <w:sz w:val="16"/>
                <w:szCs w:val="16"/>
              </w:rPr>
            </w:pPr>
            <w:r>
              <w:rPr>
                <w:b/>
                <w:noProof/>
                <w:sz w:val="16"/>
              </w:rPr>
              <w:t>TOTAL</w:t>
            </w:r>
          </w:p>
        </w:tc>
        <w:tc>
          <w:tcPr>
            <w:tcW w:w="1292" w:type="dxa"/>
            <w:tcBorders>
              <w:top w:val="single" w:sz="12" w:space="0" w:color="auto"/>
              <w:left w:val="single" w:sz="2" w:space="0" w:color="auto"/>
              <w:bottom w:val="single" w:sz="12" w:space="0" w:color="auto"/>
              <w:right w:val="single" w:sz="2" w:space="0" w:color="auto"/>
            </w:tcBorders>
            <w:vAlign w:val="bottom"/>
            <w:hideMark/>
          </w:tcPr>
          <w:p>
            <w:pPr>
              <w:spacing w:before="60" w:after="60" w:line="200" w:lineRule="exact"/>
              <w:jc w:val="right"/>
              <w:rPr>
                <w:noProof/>
                <w:sz w:val="20"/>
                <w:szCs w:val="20"/>
              </w:rPr>
            </w:pPr>
            <w:r>
              <w:rPr>
                <w:rFonts w:ascii="Calibri" w:hAnsi="Calibri"/>
                <w:noProof/>
                <w:color w:val="000000"/>
                <w:sz w:val="22"/>
              </w:rPr>
              <w:t>2,571</w:t>
            </w:r>
          </w:p>
        </w:tc>
        <w:tc>
          <w:tcPr>
            <w:tcW w:w="1134" w:type="dxa"/>
            <w:tcBorders>
              <w:top w:val="single" w:sz="12" w:space="0" w:color="auto"/>
              <w:left w:val="single" w:sz="2" w:space="0" w:color="auto"/>
              <w:bottom w:val="single" w:sz="12" w:space="0" w:color="auto"/>
              <w:right w:val="single" w:sz="2" w:space="0" w:color="auto"/>
            </w:tcBorders>
            <w:vAlign w:val="bottom"/>
            <w:hideMark/>
          </w:tcPr>
          <w:p>
            <w:pPr>
              <w:spacing w:before="60" w:after="60" w:line="200" w:lineRule="exact"/>
              <w:jc w:val="right"/>
              <w:rPr>
                <w:noProof/>
                <w:sz w:val="20"/>
                <w:szCs w:val="20"/>
              </w:rPr>
            </w:pPr>
            <w:r>
              <w:rPr>
                <w:rFonts w:ascii="Calibri" w:hAnsi="Calibri"/>
                <w:noProof/>
                <w:color w:val="000000"/>
                <w:sz w:val="22"/>
              </w:rPr>
              <w:t>3,280</w:t>
            </w:r>
          </w:p>
        </w:tc>
        <w:tc>
          <w:tcPr>
            <w:tcW w:w="1276" w:type="dxa"/>
            <w:tcBorders>
              <w:top w:val="single" w:sz="12" w:space="0" w:color="auto"/>
              <w:left w:val="single" w:sz="2" w:space="0" w:color="auto"/>
              <w:bottom w:val="single" w:sz="12" w:space="0" w:color="auto"/>
              <w:right w:val="single" w:sz="2" w:space="0" w:color="auto"/>
            </w:tcBorders>
            <w:vAlign w:val="bottom"/>
            <w:hideMark/>
          </w:tcPr>
          <w:p>
            <w:pPr>
              <w:spacing w:before="60" w:after="60" w:line="200" w:lineRule="exact"/>
              <w:jc w:val="right"/>
              <w:rPr>
                <w:noProof/>
                <w:sz w:val="20"/>
                <w:szCs w:val="20"/>
              </w:rPr>
            </w:pPr>
            <w:r>
              <w:rPr>
                <w:rFonts w:ascii="Calibri" w:hAnsi="Calibri"/>
                <w:noProof/>
                <w:color w:val="000000"/>
                <w:sz w:val="22"/>
              </w:rPr>
              <w:t>4,129</w:t>
            </w:r>
          </w:p>
        </w:tc>
        <w:tc>
          <w:tcPr>
            <w:tcW w:w="1275" w:type="dxa"/>
            <w:tcBorders>
              <w:top w:val="single" w:sz="12" w:space="0" w:color="auto"/>
              <w:left w:val="single" w:sz="2" w:space="0" w:color="auto"/>
              <w:bottom w:val="single" w:sz="12" w:space="0" w:color="auto"/>
              <w:right w:val="single" w:sz="2" w:space="0" w:color="auto"/>
            </w:tcBorders>
            <w:vAlign w:val="bottom"/>
            <w:hideMark/>
          </w:tcPr>
          <w:p>
            <w:pPr>
              <w:spacing w:before="60" w:after="60" w:line="200" w:lineRule="exact"/>
              <w:jc w:val="right"/>
              <w:rPr>
                <w:noProof/>
                <w:sz w:val="20"/>
                <w:szCs w:val="20"/>
              </w:rPr>
            </w:pPr>
            <w:r>
              <w:rPr>
                <w:rFonts w:ascii="Calibri" w:hAnsi="Calibri"/>
                <w:noProof/>
                <w:color w:val="000000"/>
                <w:sz w:val="22"/>
              </w:rPr>
              <w:t>4,459</w:t>
            </w:r>
          </w:p>
        </w:tc>
        <w:tc>
          <w:tcPr>
            <w:tcW w:w="1560" w:type="dxa"/>
            <w:tcBorders>
              <w:top w:val="single" w:sz="12" w:space="0" w:color="auto"/>
              <w:left w:val="single" w:sz="2" w:space="0" w:color="auto"/>
              <w:bottom w:val="single" w:sz="12" w:space="0" w:color="auto"/>
              <w:right w:val="single" w:sz="4" w:space="0" w:color="auto"/>
            </w:tcBorders>
            <w:vAlign w:val="bottom"/>
            <w:hideMark/>
          </w:tcPr>
          <w:p>
            <w:pPr>
              <w:spacing w:before="60" w:after="60" w:line="200" w:lineRule="exact"/>
              <w:jc w:val="right"/>
              <w:rPr>
                <w:noProof/>
                <w:sz w:val="20"/>
                <w:szCs w:val="20"/>
              </w:rPr>
            </w:pPr>
            <w:r>
              <w:rPr>
                <w:rFonts w:ascii="Calibri" w:hAnsi="Calibri"/>
                <w:noProof/>
                <w:color w:val="000000"/>
                <w:sz w:val="22"/>
              </w:rPr>
              <w:t>14,439</w:t>
            </w:r>
          </w:p>
        </w:tc>
      </w:tr>
    </w:tbl>
    <w:p>
      <w:pPr>
        <w:rPr>
          <w:noProof/>
          <w:sz w:val="18"/>
        </w:rPr>
      </w:pPr>
      <w:r>
        <w:rPr>
          <w:noProof/>
          <w:sz w:val="18"/>
        </w:rPr>
        <w:t>Necesarul de credite în materie de resurse umane și pentru alte cheluieli de natură administrativă va fi acoperit de creditele DG-ului care sunt deja alocate pentru gestionarea acțiunii și/sau realocate intern în cadrul DG-ului, completate, după caz, prin resurse suplimentare ce pot fi alocate DG-ului care gestionează acțiunea în cadrul procedurii de alocare anuală și în lumina constrângerilor bugetare.</w:t>
      </w:r>
    </w:p>
    <w:p>
      <w:pPr>
        <w:rPr>
          <w:noProof/>
          <w:sz w:val="18"/>
        </w:rPr>
      </w:pPr>
    </w:p>
    <w:p>
      <w:pPr>
        <w:spacing w:before="0" w:after="0"/>
        <w:jc w:val="left"/>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20"/>
          <w:docGrid w:linePitch="326"/>
        </w:sectPr>
      </w:pPr>
    </w:p>
    <w:p>
      <w:pPr>
        <w:pStyle w:val="ManualHeading4"/>
        <w:rPr>
          <w:bCs/>
          <w:noProof/>
          <w:szCs w:val="24"/>
        </w:rPr>
      </w:pPr>
      <w:r>
        <w:t>3.2.3.2.</w:t>
      </w:r>
      <w:r>
        <w:tab/>
      </w:r>
      <w:r>
        <w:rPr>
          <w:noProof/>
        </w:rPr>
        <w:t>Necesarul de resurse umane estimat</w:t>
      </w:r>
    </w:p>
    <w:p>
      <w:pPr>
        <w:pStyle w:val="ListDash1"/>
        <w:ind w:left="1134"/>
        <w:rPr>
          <w:noProof/>
        </w:rPr>
      </w:pPr>
      <w:r>
        <w:rPr>
          <w:noProof/>
        </w:rPr>
        <w:sym w:font="Wingdings" w:char="F0A8"/>
      </w:r>
      <w:r>
        <w:rPr>
          <w:noProof/>
        </w:rPr>
        <w:tab/>
        <w:t xml:space="preserve">Propunerea/inițiativa nu implică utilizarea de resurse umane. </w:t>
      </w:r>
    </w:p>
    <w:p>
      <w:pPr>
        <w:pStyle w:val="ListDash1"/>
        <w:ind w:left="1134"/>
        <w:rPr>
          <w:noProof/>
        </w:rPr>
      </w:pPr>
      <w:r>
        <w:rPr>
          <w:noProof/>
        </w:rPr>
        <w:sym w:font="Wingdings" w:char="F078"/>
      </w:r>
      <w:r>
        <w:rPr>
          <w:noProof/>
        </w:rPr>
        <w:tab/>
        <w:t>Propunerea/inițiativa implică utilizarea de resurse umane, conform explicațiilor de mai jos:</w:t>
      </w:r>
    </w:p>
    <w:p>
      <w:pPr>
        <w:spacing w:after="60"/>
        <w:jc w:val="right"/>
        <w:rPr>
          <w:i/>
          <w:noProof/>
          <w:sz w:val="20"/>
        </w:rPr>
      </w:pPr>
      <w:r>
        <w:rPr>
          <w:i/>
          <w:noProof/>
          <w:sz w:val="20"/>
        </w:rPr>
        <w:t>Estimări în echivalent normă întreagă</w:t>
      </w:r>
    </w:p>
    <w:tbl>
      <w:tblPr>
        <w:tblW w:w="4000"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62"/>
        <w:gridCol w:w="1965"/>
        <w:gridCol w:w="1076"/>
        <w:gridCol w:w="846"/>
        <w:gridCol w:w="846"/>
        <w:gridCol w:w="1067"/>
        <w:gridCol w:w="168"/>
      </w:tblGrid>
      <w:tr>
        <w:trPr>
          <w:gridAfter w:val="1"/>
          <w:wAfter w:w="114" w:type="pct"/>
          <w:trHeight w:val="289"/>
          <w:jc w:val="center"/>
        </w:trPr>
        <w:tc>
          <w:tcPr>
            <w:tcW w:w="2302" w:type="pct"/>
            <w:gridSpan w:val="2"/>
            <w:tcBorders>
              <w:top w:val="single" w:sz="6" w:space="0" w:color="auto"/>
              <w:left w:val="single" w:sz="6" w:space="0" w:color="auto"/>
              <w:bottom w:val="single" w:sz="6" w:space="0" w:color="auto"/>
              <w:right w:val="single" w:sz="6" w:space="0" w:color="auto"/>
            </w:tcBorders>
          </w:tcPr>
          <w:p>
            <w:pPr>
              <w:pStyle w:val="Text1"/>
              <w:spacing w:before="40" w:after="40" w:line="276" w:lineRule="auto"/>
              <w:ind w:left="0"/>
              <w:jc w:val="center"/>
              <w:rPr>
                <w:i/>
                <w:noProof/>
                <w:sz w:val="16"/>
                <w:szCs w:val="16"/>
              </w:rPr>
            </w:pPr>
          </w:p>
        </w:tc>
        <w:tc>
          <w:tcPr>
            <w:tcW w:w="725"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rPr>
              <w:t>Anul</w:t>
            </w:r>
            <w:r>
              <w:rPr>
                <w:noProof/>
              </w:rPr>
              <w:br/>
            </w:r>
            <w:r>
              <w:rPr>
                <w:b/>
                <w:noProof/>
                <w:sz w:val="16"/>
              </w:rPr>
              <w:t>2017</w:t>
            </w:r>
          </w:p>
        </w:tc>
        <w:tc>
          <w:tcPr>
            <w:tcW w:w="570"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rPr>
              <w:t xml:space="preserve">Anul </w:t>
            </w:r>
            <w:r>
              <w:rPr>
                <w:b/>
                <w:noProof/>
                <w:sz w:val="16"/>
              </w:rPr>
              <w:t>2018</w:t>
            </w:r>
          </w:p>
        </w:tc>
        <w:tc>
          <w:tcPr>
            <w:tcW w:w="570" w:type="pct"/>
            <w:tcBorders>
              <w:top w:val="single" w:sz="6" w:space="0" w:color="auto"/>
              <w:left w:val="single" w:sz="6" w:space="0" w:color="auto"/>
              <w:bottom w:val="single" w:sz="6" w:space="0" w:color="auto"/>
              <w:right w:val="single" w:sz="6" w:space="0" w:color="auto"/>
            </w:tcBorders>
            <w:vAlign w:val="center"/>
            <w:hideMark/>
          </w:tcPr>
          <w:p>
            <w:pPr>
              <w:spacing w:before="20" w:after="20" w:line="276" w:lineRule="auto"/>
              <w:jc w:val="center"/>
              <w:rPr>
                <w:noProof/>
                <w:sz w:val="16"/>
                <w:szCs w:val="16"/>
              </w:rPr>
            </w:pPr>
            <w:r>
              <w:rPr>
                <w:noProof/>
                <w:sz w:val="16"/>
              </w:rPr>
              <w:t xml:space="preserve">Anul </w:t>
            </w:r>
            <w:r>
              <w:rPr>
                <w:b/>
                <w:noProof/>
                <w:sz w:val="16"/>
              </w:rPr>
              <w:t>2019</w:t>
            </w:r>
          </w:p>
        </w:tc>
        <w:tc>
          <w:tcPr>
            <w:tcW w:w="719" w:type="pct"/>
            <w:tcBorders>
              <w:top w:val="single" w:sz="6" w:space="0" w:color="auto"/>
              <w:left w:val="single" w:sz="6" w:space="0" w:color="auto"/>
              <w:bottom w:val="single" w:sz="6" w:space="0" w:color="auto"/>
              <w:right w:val="single" w:sz="6" w:space="0" w:color="auto"/>
            </w:tcBorders>
            <w:hideMark/>
          </w:tcPr>
          <w:p>
            <w:pPr>
              <w:spacing w:line="276" w:lineRule="auto"/>
              <w:jc w:val="center"/>
              <w:rPr>
                <w:noProof/>
                <w:sz w:val="16"/>
              </w:rPr>
            </w:pPr>
            <w:r>
              <w:rPr>
                <w:noProof/>
                <w:sz w:val="16"/>
              </w:rPr>
              <w:t xml:space="preserve">Anul </w:t>
            </w:r>
            <w:r>
              <w:rPr>
                <w:b/>
                <w:noProof/>
                <w:sz w:val="16"/>
              </w:rPr>
              <w:t>2020</w:t>
            </w:r>
          </w:p>
        </w:tc>
      </w:tr>
      <w:tr>
        <w:trPr>
          <w:trHeight w:val="289"/>
          <w:jc w:val="center"/>
        </w:trPr>
        <w:tc>
          <w:tcPr>
            <w:tcW w:w="4167" w:type="pct"/>
            <w:gridSpan w:val="5"/>
            <w:tcBorders>
              <w:top w:val="single" w:sz="6" w:space="0" w:color="auto"/>
              <w:left w:val="single" w:sz="6" w:space="0" w:color="auto"/>
              <w:bottom w:val="single" w:sz="6" w:space="0" w:color="auto"/>
              <w:right w:val="single" w:sz="6" w:space="0" w:color="auto"/>
            </w:tcBorders>
            <w:hideMark/>
          </w:tcPr>
          <w:p>
            <w:pPr>
              <w:spacing w:before="20" w:after="20" w:line="276" w:lineRule="auto"/>
              <w:rPr>
                <w:noProof/>
                <w:sz w:val="16"/>
                <w:szCs w:val="16"/>
              </w:rPr>
            </w:pPr>
            <w:r>
              <w:rPr>
                <w:b/>
                <w:noProof/>
                <w:sz w:val="16"/>
              </w:rPr>
              <w:sym w:font="Wingdings" w:char="F09F"/>
            </w:r>
            <w:r>
              <w:rPr>
                <w:noProof/>
              </w:rPr>
              <w:tab/>
            </w:r>
            <w:r>
              <w:rPr>
                <w:b/>
                <w:noProof/>
                <w:sz w:val="16"/>
                <w:szCs w:val="16"/>
              </w:rPr>
              <w:t>Posturi din schema de personal (funcționari și agenți temporari)</w:t>
            </w:r>
          </w:p>
        </w:tc>
        <w:tc>
          <w:tcPr>
            <w:tcW w:w="833" w:type="pct"/>
            <w:gridSpan w:val="2"/>
            <w:tcBorders>
              <w:top w:val="single" w:sz="6" w:space="0" w:color="auto"/>
              <w:left w:val="single" w:sz="6" w:space="0" w:color="auto"/>
              <w:bottom w:val="single" w:sz="6" w:space="0" w:color="auto"/>
              <w:right w:val="single" w:sz="6" w:space="0" w:color="auto"/>
            </w:tcBorders>
            <w:vAlign w:val="center"/>
          </w:tcPr>
          <w:p>
            <w:pPr>
              <w:spacing w:before="20" w:after="20" w:line="276" w:lineRule="auto"/>
              <w:jc w:val="center"/>
              <w:rPr>
                <w:noProof/>
                <w:sz w:val="16"/>
                <w:szCs w:val="16"/>
              </w:rPr>
            </w:pPr>
          </w:p>
        </w:tc>
      </w:tr>
      <w:tr>
        <w:trPr>
          <w:trHeight w:val="289"/>
          <w:jc w:val="center"/>
        </w:trPr>
        <w:tc>
          <w:tcPr>
            <w:tcW w:w="2302" w:type="pct"/>
            <w:gridSpan w:val="2"/>
            <w:tcBorders>
              <w:top w:val="single" w:sz="6"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4"/>
              <w:jc w:val="left"/>
              <w:rPr>
                <w:b/>
                <w:noProof/>
                <w:sz w:val="16"/>
                <w:szCs w:val="16"/>
              </w:rPr>
            </w:pPr>
            <w:r>
              <w:rPr>
                <w:noProof/>
                <w:sz w:val="16"/>
              </w:rPr>
              <w:t>XX 01 01 01 (la sediu și în birourile de reprezentare ale Comisiei)</w:t>
            </w:r>
          </w:p>
        </w:tc>
        <w:tc>
          <w:tcPr>
            <w:tcW w:w="7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8</w:t>
            </w:r>
          </w:p>
        </w:tc>
        <w:tc>
          <w:tcPr>
            <w:tcW w:w="570"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10</w:t>
            </w:r>
          </w:p>
        </w:tc>
        <w:tc>
          <w:tcPr>
            <w:tcW w:w="570"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12</w:t>
            </w:r>
          </w:p>
        </w:tc>
        <w:tc>
          <w:tcPr>
            <w:tcW w:w="83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12</w:t>
            </w:r>
          </w:p>
        </w:tc>
      </w:tr>
      <w:tr>
        <w:trPr>
          <w:trHeight w:val="289"/>
          <w:jc w:val="center"/>
        </w:trPr>
        <w:tc>
          <w:tcPr>
            <w:tcW w:w="2302" w:type="pct"/>
            <w:gridSpan w:val="2"/>
            <w:tcBorders>
              <w:top w:val="single" w:sz="6"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4"/>
              <w:jc w:val="left"/>
              <w:rPr>
                <w:noProof/>
                <w:sz w:val="16"/>
                <w:szCs w:val="16"/>
              </w:rPr>
            </w:pPr>
            <w:r>
              <w:rPr>
                <w:noProof/>
                <w:sz w:val="16"/>
              </w:rPr>
              <w:t>XX 01 01 02 (în delegații)</w:t>
            </w:r>
          </w:p>
        </w:tc>
        <w:tc>
          <w:tcPr>
            <w:tcW w:w="72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83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2302" w:type="pct"/>
            <w:gridSpan w:val="2"/>
            <w:tcBorders>
              <w:top w:val="single" w:sz="6"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4"/>
              <w:jc w:val="left"/>
              <w:rPr>
                <w:noProof/>
                <w:sz w:val="16"/>
                <w:szCs w:val="16"/>
              </w:rPr>
            </w:pPr>
            <w:r>
              <w:rPr>
                <w:noProof/>
                <w:sz w:val="16"/>
              </w:rPr>
              <w:t>XX 01 05 01 (cercetare indirectă)</w:t>
            </w:r>
          </w:p>
        </w:tc>
        <w:tc>
          <w:tcPr>
            <w:tcW w:w="72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83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2302" w:type="pct"/>
            <w:gridSpan w:val="2"/>
            <w:tcBorders>
              <w:top w:val="single" w:sz="6"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4"/>
              <w:jc w:val="left"/>
              <w:rPr>
                <w:noProof/>
                <w:sz w:val="16"/>
                <w:szCs w:val="16"/>
              </w:rPr>
            </w:pPr>
            <w:r>
              <w:rPr>
                <w:noProof/>
                <w:sz w:val="16"/>
              </w:rPr>
              <w:t>10 01 05 01 (cercetare directă)</w:t>
            </w:r>
          </w:p>
        </w:tc>
        <w:tc>
          <w:tcPr>
            <w:tcW w:w="72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83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gridAfter w:val="2"/>
          <w:wAfter w:w="833" w:type="pct"/>
          <w:trHeight w:val="248"/>
          <w:jc w:val="center"/>
        </w:trPr>
        <w:tc>
          <w:tcPr>
            <w:tcW w:w="4167" w:type="pct"/>
            <w:gridSpan w:val="5"/>
            <w:tcBorders>
              <w:top w:val="single" w:sz="6" w:space="0" w:color="auto"/>
              <w:left w:val="single" w:sz="6" w:space="0" w:color="auto"/>
              <w:bottom w:val="single" w:sz="6" w:space="0" w:color="auto"/>
              <w:right w:val="single" w:sz="6" w:space="0" w:color="auto"/>
            </w:tcBorders>
            <w:vAlign w:val="center"/>
          </w:tcPr>
          <w:p>
            <w:pPr>
              <w:pStyle w:val="Text1"/>
              <w:spacing w:before="60" w:after="60" w:line="276" w:lineRule="auto"/>
              <w:ind w:left="0"/>
              <w:jc w:val="left"/>
              <w:rPr>
                <w:b/>
                <w:noProof/>
                <w:sz w:val="16"/>
                <w:szCs w:val="16"/>
              </w:rPr>
            </w:pPr>
            <w:r>
              <w:rPr>
                <w:b/>
                <w:noProof/>
                <w:sz w:val="16"/>
              </w:rPr>
              <w:sym w:font="Wingdings" w:char="F09F"/>
            </w:r>
            <w:r>
              <w:rPr>
                <w:noProof/>
              </w:rPr>
              <w:tab/>
            </w:r>
            <w:r>
              <w:rPr>
                <w:b/>
                <w:noProof/>
                <w:sz w:val="16"/>
                <w:szCs w:val="16"/>
              </w:rPr>
              <w:t>Personal extern (în echivalent normă întreagă: ENI)</w:t>
            </w:r>
            <w:r>
              <w:rPr>
                <w:rStyle w:val="FootnoteReference"/>
                <w:b/>
                <w:noProof/>
                <w:sz w:val="16"/>
                <w:szCs w:val="16"/>
              </w:rPr>
              <w:footnoteReference w:id="37"/>
            </w:r>
          </w:p>
          <w:p>
            <w:pPr>
              <w:pStyle w:val="Text1"/>
              <w:spacing w:before="0" w:after="0" w:line="276" w:lineRule="auto"/>
              <w:ind w:left="0"/>
              <w:jc w:val="left"/>
              <w:rPr>
                <w:noProof/>
                <w:sz w:val="16"/>
                <w:szCs w:val="16"/>
              </w:rPr>
            </w:pPr>
          </w:p>
        </w:tc>
      </w:tr>
      <w:tr>
        <w:trPr>
          <w:trHeight w:val="289"/>
          <w:jc w:val="center"/>
        </w:trPr>
        <w:tc>
          <w:tcPr>
            <w:tcW w:w="2302" w:type="pct"/>
            <w:gridSpan w:val="2"/>
            <w:tcBorders>
              <w:top w:val="single" w:sz="6"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6"/>
              <w:jc w:val="left"/>
              <w:rPr>
                <w:b/>
                <w:noProof/>
                <w:sz w:val="16"/>
                <w:szCs w:val="16"/>
              </w:rPr>
            </w:pPr>
            <w:r>
              <w:rPr>
                <w:noProof/>
                <w:sz w:val="16"/>
              </w:rPr>
              <w:t>XX 01 02 01 (AC, END, INT din „pachetul global”)</w:t>
            </w:r>
          </w:p>
        </w:tc>
        <w:tc>
          <w:tcPr>
            <w:tcW w:w="7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4</w:t>
            </w:r>
          </w:p>
        </w:tc>
        <w:tc>
          <w:tcPr>
            <w:tcW w:w="570"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4</w:t>
            </w:r>
          </w:p>
        </w:tc>
        <w:tc>
          <w:tcPr>
            <w:tcW w:w="570"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6</w:t>
            </w:r>
          </w:p>
        </w:tc>
        <w:tc>
          <w:tcPr>
            <w:tcW w:w="83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noProof/>
                <w:sz w:val="16"/>
                <w:szCs w:val="16"/>
              </w:rPr>
            </w:pPr>
            <w:r>
              <w:rPr>
                <w:noProof/>
                <w:sz w:val="16"/>
              </w:rPr>
              <w:t>6</w:t>
            </w:r>
          </w:p>
        </w:tc>
      </w:tr>
      <w:tr>
        <w:trPr>
          <w:trHeight w:val="289"/>
          <w:jc w:val="center"/>
        </w:trPr>
        <w:tc>
          <w:tcPr>
            <w:tcW w:w="2302" w:type="pct"/>
            <w:gridSpan w:val="2"/>
            <w:tcBorders>
              <w:top w:val="single" w:sz="6"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6"/>
              <w:jc w:val="left"/>
              <w:rPr>
                <w:noProof/>
                <w:sz w:val="16"/>
                <w:szCs w:val="16"/>
              </w:rPr>
            </w:pPr>
            <w:r>
              <w:rPr>
                <w:noProof/>
                <w:sz w:val="16"/>
              </w:rPr>
              <w:t>XX 01 02 02 (AC, AL, END, INT și JED în delegații)</w:t>
            </w:r>
          </w:p>
        </w:tc>
        <w:tc>
          <w:tcPr>
            <w:tcW w:w="725"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83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979" w:type="pct"/>
            <w:vMerge w:val="restart"/>
            <w:tcBorders>
              <w:top w:val="single" w:sz="6" w:space="0" w:color="auto"/>
              <w:left w:val="single" w:sz="6" w:space="0" w:color="auto"/>
              <w:bottom w:val="single" w:sz="6" w:space="0" w:color="auto"/>
              <w:right w:val="single" w:sz="6" w:space="0" w:color="auto"/>
            </w:tcBorders>
            <w:vAlign w:val="center"/>
          </w:tcPr>
          <w:p>
            <w:pPr>
              <w:pStyle w:val="Text1"/>
              <w:spacing w:beforeLines="20" w:before="48" w:afterLines="20" w:after="48" w:line="276" w:lineRule="auto"/>
              <w:ind w:left="986"/>
              <w:jc w:val="left"/>
              <w:rPr>
                <w:b/>
                <w:noProof/>
                <w:sz w:val="16"/>
                <w:szCs w:val="16"/>
              </w:rPr>
            </w:pPr>
            <w:r>
              <w:rPr>
                <w:b/>
                <w:noProof/>
                <w:sz w:val="16"/>
              </w:rPr>
              <w:t>10</w:t>
            </w:r>
            <w:r>
              <w:rPr>
                <w:noProof/>
                <w:sz w:val="16"/>
              </w:rPr>
              <w:t xml:space="preserve"> 01 04 </w:t>
            </w:r>
            <w:r>
              <w:rPr>
                <w:b/>
                <w:noProof/>
                <w:sz w:val="16"/>
              </w:rPr>
              <w:t>aa</w:t>
            </w:r>
            <w:r>
              <w:rPr>
                <w:rStyle w:val="FootnoteReference"/>
                <w:b/>
                <w:noProof/>
                <w:sz w:val="16"/>
              </w:rPr>
              <w:footnoteReference w:id="38"/>
            </w:r>
          </w:p>
          <w:p>
            <w:pPr>
              <w:pStyle w:val="Text1"/>
              <w:spacing w:beforeLines="20" w:before="48" w:afterLines="20" w:after="48" w:line="276" w:lineRule="auto"/>
              <w:ind w:left="986"/>
              <w:jc w:val="left"/>
              <w:rPr>
                <w:b/>
                <w:noProof/>
                <w:sz w:val="16"/>
                <w:szCs w:val="16"/>
              </w:rPr>
            </w:pPr>
          </w:p>
        </w:tc>
        <w:tc>
          <w:tcPr>
            <w:tcW w:w="1323" w:type="pct"/>
            <w:tcBorders>
              <w:top w:val="single" w:sz="6" w:space="0" w:color="auto"/>
              <w:left w:val="single" w:sz="6" w:space="0" w:color="auto"/>
              <w:bottom w:val="single" w:sz="6" w:space="0" w:color="auto"/>
              <w:right w:val="single" w:sz="6" w:space="0" w:color="auto"/>
            </w:tcBorders>
            <w:vAlign w:val="center"/>
          </w:tcPr>
          <w:p>
            <w:pPr>
              <w:pStyle w:val="Text1"/>
              <w:spacing w:beforeLines="20" w:before="48" w:afterLines="20" w:after="48" w:line="276" w:lineRule="auto"/>
              <w:ind w:left="986"/>
              <w:jc w:val="left"/>
              <w:rPr>
                <w:b/>
                <w:noProof/>
                <w:sz w:val="16"/>
                <w:szCs w:val="16"/>
              </w:rPr>
            </w:pPr>
            <w:r>
              <w:rPr>
                <w:noProof/>
                <w:sz w:val="16"/>
              </w:rPr>
              <w:t>- la sediu</w:t>
            </w:r>
          </w:p>
          <w:p>
            <w:pPr>
              <w:pStyle w:val="Text1"/>
              <w:spacing w:beforeLines="20" w:before="48" w:afterLines="20" w:after="48" w:line="276" w:lineRule="auto"/>
              <w:ind w:left="986"/>
              <w:jc w:val="left"/>
              <w:rPr>
                <w:b/>
                <w:noProof/>
                <w:sz w:val="16"/>
                <w:szCs w:val="16"/>
              </w:rPr>
            </w:pPr>
          </w:p>
        </w:tc>
        <w:tc>
          <w:tcPr>
            <w:tcW w:w="725" w:type="pct"/>
            <w:tcBorders>
              <w:top w:val="single" w:sz="6" w:space="0" w:color="auto"/>
              <w:left w:val="single" w:sz="6" w:space="0" w:color="auto"/>
              <w:bottom w:val="single" w:sz="6" w:space="0" w:color="auto"/>
              <w:right w:val="single" w:sz="6" w:space="0" w:color="auto"/>
            </w:tcBorders>
            <w:vAlign w:val="center"/>
          </w:tcPr>
          <w:p>
            <w:pPr>
              <w:pStyle w:val="Text1"/>
              <w:spacing w:beforeLines="20" w:before="48" w:afterLines="20" w:after="48" w:line="276" w:lineRule="auto"/>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83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b/>
                <w:noProof/>
                <w:sz w:val="16"/>
                <w:szCs w:val="16"/>
              </w:rPr>
            </w:pPr>
          </w:p>
        </w:tc>
        <w:tc>
          <w:tcPr>
            <w:tcW w:w="1323" w:type="pct"/>
            <w:tcBorders>
              <w:top w:val="single" w:sz="6"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6"/>
              <w:jc w:val="left"/>
              <w:rPr>
                <w:b/>
                <w:noProof/>
                <w:sz w:val="16"/>
                <w:szCs w:val="16"/>
              </w:rPr>
            </w:pPr>
            <w:r>
              <w:rPr>
                <w:noProof/>
                <w:sz w:val="16"/>
              </w:rPr>
              <w:t xml:space="preserve">- în delegații </w:t>
            </w:r>
          </w:p>
        </w:tc>
        <w:tc>
          <w:tcPr>
            <w:tcW w:w="725" w:type="pct"/>
            <w:tcBorders>
              <w:top w:val="single" w:sz="6" w:space="0" w:color="auto"/>
              <w:left w:val="single" w:sz="6" w:space="0" w:color="auto"/>
              <w:bottom w:val="single" w:sz="6" w:space="0" w:color="auto"/>
              <w:right w:val="single" w:sz="6" w:space="0" w:color="auto"/>
            </w:tcBorders>
            <w:vAlign w:val="center"/>
          </w:tcPr>
          <w:p>
            <w:pPr>
              <w:pStyle w:val="Text1"/>
              <w:spacing w:beforeLines="20" w:before="48" w:afterLines="20" w:after="48" w:line="276" w:lineRule="auto"/>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570"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c>
          <w:tcPr>
            <w:tcW w:w="83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line="276" w:lineRule="auto"/>
              <w:jc w:val="center"/>
              <w:rPr>
                <w:noProof/>
                <w:sz w:val="16"/>
                <w:szCs w:val="16"/>
              </w:rPr>
            </w:pPr>
          </w:p>
        </w:tc>
      </w:tr>
      <w:tr>
        <w:trPr>
          <w:trHeight w:val="289"/>
          <w:jc w:val="center"/>
        </w:trPr>
        <w:tc>
          <w:tcPr>
            <w:tcW w:w="2302" w:type="pct"/>
            <w:gridSpan w:val="2"/>
            <w:tcBorders>
              <w:top w:val="double" w:sz="4" w:space="0" w:color="auto"/>
              <w:left w:val="single" w:sz="6" w:space="0" w:color="auto"/>
              <w:bottom w:val="single" w:sz="6" w:space="0" w:color="auto"/>
              <w:right w:val="single" w:sz="6" w:space="0" w:color="auto"/>
            </w:tcBorders>
            <w:vAlign w:val="center"/>
            <w:hideMark/>
          </w:tcPr>
          <w:p>
            <w:pPr>
              <w:pStyle w:val="Text1"/>
              <w:spacing w:beforeLines="20" w:before="48" w:afterLines="20" w:after="48" w:line="276" w:lineRule="auto"/>
              <w:ind w:left="986"/>
              <w:jc w:val="left"/>
              <w:rPr>
                <w:noProof/>
                <w:sz w:val="16"/>
                <w:szCs w:val="16"/>
              </w:rPr>
            </w:pPr>
            <w:r>
              <w:rPr>
                <w:b/>
                <w:noProof/>
                <w:sz w:val="16"/>
              </w:rPr>
              <w:t>TOTAL</w:t>
            </w:r>
          </w:p>
        </w:tc>
        <w:tc>
          <w:tcPr>
            <w:tcW w:w="725"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b/>
                <w:noProof/>
                <w:sz w:val="16"/>
                <w:szCs w:val="16"/>
              </w:rPr>
            </w:pPr>
            <w:r>
              <w:rPr>
                <w:b/>
                <w:noProof/>
                <w:sz w:val="16"/>
              </w:rPr>
              <w:t>12</w:t>
            </w:r>
          </w:p>
        </w:tc>
        <w:tc>
          <w:tcPr>
            <w:tcW w:w="570"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b/>
                <w:noProof/>
                <w:sz w:val="16"/>
                <w:szCs w:val="16"/>
              </w:rPr>
            </w:pPr>
            <w:r>
              <w:rPr>
                <w:b/>
                <w:noProof/>
                <w:sz w:val="16"/>
              </w:rPr>
              <w:t>14</w:t>
            </w:r>
          </w:p>
        </w:tc>
        <w:tc>
          <w:tcPr>
            <w:tcW w:w="570" w:type="pct"/>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b/>
                <w:noProof/>
                <w:sz w:val="16"/>
                <w:szCs w:val="16"/>
              </w:rPr>
            </w:pPr>
            <w:r>
              <w:rPr>
                <w:b/>
                <w:noProof/>
                <w:sz w:val="16"/>
              </w:rPr>
              <w:t>18</w:t>
            </w:r>
          </w:p>
        </w:tc>
        <w:tc>
          <w:tcPr>
            <w:tcW w:w="833" w:type="pct"/>
            <w:gridSpan w:val="2"/>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line="276" w:lineRule="auto"/>
              <w:jc w:val="center"/>
              <w:rPr>
                <w:b/>
                <w:noProof/>
                <w:sz w:val="16"/>
                <w:szCs w:val="16"/>
              </w:rPr>
            </w:pPr>
            <w:r>
              <w:rPr>
                <w:b/>
                <w:noProof/>
                <w:sz w:val="16"/>
              </w:rPr>
              <w:t>18</w:t>
            </w:r>
          </w:p>
        </w:tc>
      </w:tr>
    </w:tbl>
    <w:p>
      <w:pPr>
        <w:pStyle w:val="Text1"/>
        <w:spacing w:before="60" w:after="60"/>
        <w:ind w:left="851"/>
        <w:rPr>
          <w:b/>
          <w:noProof/>
          <w:sz w:val="18"/>
          <w:szCs w:val="18"/>
        </w:rPr>
      </w:pPr>
    </w:p>
    <w:p>
      <w:pPr>
        <w:pStyle w:val="Text1"/>
        <w:spacing w:before="60" w:after="60"/>
        <w:ind w:left="851"/>
        <w:rPr>
          <w:b/>
          <w:noProof/>
          <w:sz w:val="18"/>
          <w:szCs w:val="18"/>
        </w:rPr>
      </w:pPr>
    </w:p>
    <w:p>
      <w:pPr>
        <w:pStyle w:val="Text1"/>
        <w:spacing w:before="60" w:after="60"/>
        <w:ind w:left="851"/>
        <w:rPr>
          <w:noProof/>
          <w:sz w:val="16"/>
          <w:szCs w:val="16"/>
        </w:rPr>
      </w:pPr>
      <w:r>
        <w:rPr>
          <w:b/>
          <w:noProof/>
          <w:sz w:val="16"/>
          <w:szCs w:val="16"/>
        </w:rPr>
        <w:t>XX</w:t>
      </w:r>
      <w:r>
        <w:rPr>
          <w:noProof/>
          <w:sz w:val="16"/>
          <w:szCs w:val="16"/>
        </w:rPr>
        <w:t xml:space="preserve"> este domeniul de politică sau titlul din buget în cauză.</w:t>
      </w:r>
    </w:p>
    <w:p>
      <w:pPr>
        <w:pStyle w:val="Text1"/>
        <w:rPr>
          <w:noProof/>
          <w:sz w:val="16"/>
          <w:szCs w:val="16"/>
        </w:rPr>
      </w:pPr>
      <w:r>
        <w:rPr>
          <w:noProof/>
          <w:sz w:val="16"/>
          <w:szCs w:val="16"/>
        </w:rPr>
        <w:t>Necesarul de resurse umane va fi asigurat din efectivele de personal ale DG-ului în cauză alocate deja pentru gestionarea acțiunii și/sau realocate intern în cadrul DG-ului, completate, după caz, prin resurse suplimentare ce ar putea fi alocate DG-ului care gestionează acțiunea în cadrul procedurii de alocare anuală și în lumina constrângerilor bugetare.</w:t>
      </w:r>
    </w:p>
    <w:p>
      <w:pPr>
        <w:pStyle w:val="Text1"/>
        <w:rPr>
          <w:noProof/>
          <w:sz w:val="18"/>
          <w:szCs w:val="18"/>
        </w:rPr>
      </w:pPr>
    </w:p>
    <w:p>
      <w:pPr>
        <w:rPr>
          <w:noProof/>
          <w:sz w:val="20"/>
        </w:rPr>
      </w:pPr>
      <w:r>
        <w:rPr>
          <w:noProof/>
          <w:sz w:val="20"/>
        </w:rPr>
        <w:t>Descrierea sarcinilor care trebuie efectuate:</w:t>
      </w:r>
    </w:p>
    <w:tbl>
      <w:tblPr>
        <w:tblW w:w="918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38"/>
        <w:gridCol w:w="5942"/>
      </w:tblGrid>
      <w:tr>
        <w:tc>
          <w:tcPr>
            <w:tcW w:w="3240" w:type="dxa"/>
            <w:tcBorders>
              <w:top w:val="single" w:sz="2" w:space="0" w:color="auto"/>
              <w:left w:val="single" w:sz="2" w:space="0" w:color="auto"/>
              <w:bottom w:val="single" w:sz="2" w:space="0" w:color="auto"/>
              <w:right w:val="single" w:sz="2" w:space="0" w:color="auto"/>
            </w:tcBorders>
            <w:hideMark/>
          </w:tcPr>
          <w:p>
            <w:pPr>
              <w:spacing w:line="276" w:lineRule="auto"/>
              <w:rPr>
                <w:noProof/>
                <w:sz w:val="20"/>
              </w:rPr>
            </w:pPr>
            <w:r>
              <w:rPr>
                <w:noProof/>
                <w:sz w:val="20"/>
              </w:rPr>
              <w:t>Funcționari și personal temporar</w:t>
            </w:r>
          </w:p>
        </w:tc>
        <w:tc>
          <w:tcPr>
            <w:tcW w:w="5947" w:type="dxa"/>
            <w:tcBorders>
              <w:top w:val="single" w:sz="2" w:space="0" w:color="auto"/>
              <w:left w:val="single" w:sz="2" w:space="0" w:color="auto"/>
              <w:bottom w:val="single" w:sz="2" w:space="0" w:color="auto"/>
              <w:right w:val="single" w:sz="2" w:space="0" w:color="auto"/>
            </w:tcBorders>
            <w:hideMark/>
          </w:tcPr>
          <w:p>
            <w:pPr>
              <w:spacing w:line="276" w:lineRule="auto"/>
              <w:rPr>
                <w:noProof/>
                <w:sz w:val="20"/>
              </w:rPr>
            </w:pPr>
            <w:r>
              <w:rPr>
                <w:noProof/>
                <w:sz w:val="20"/>
              </w:rPr>
              <w:t>Sarcina care trebuie îndeplinită cuprinde toate sarcinile necesare gestionării financiare și contractuale a programului, și anume:</w:t>
            </w:r>
          </w:p>
          <w:p>
            <w:pPr>
              <w:numPr>
                <w:ilvl w:val="0"/>
                <w:numId w:val="2"/>
              </w:numPr>
              <w:spacing w:line="276" w:lineRule="auto"/>
              <w:rPr>
                <w:noProof/>
                <w:sz w:val="20"/>
              </w:rPr>
            </w:pPr>
            <w:r>
              <w:rPr>
                <w:noProof/>
                <w:sz w:val="20"/>
              </w:rPr>
              <w:t>furnizarea de contribuții la procedura bugetară și la planul de gestionare</w:t>
            </w:r>
          </w:p>
          <w:p>
            <w:pPr>
              <w:numPr>
                <w:ilvl w:val="0"/>
                <w:numId w:val="2"/>
              </w:numPr>
              <w:spacing w:line="276" w:lineRule="auto"/>
              <w:rPr>
                <w:noProof/>
                <w:sz w:val="20"/>
              </w:rPr>
            </w:pPr>
            <w:r>
              <w:rPr>
                <w:noProof/>
                <w:sz w:val="20"/>
              </w:rPr>
              <w:t xml:space="preserve">pregătirea programelor de lucru anuale/deciziilor de finanțare, stabilirea priorităților anuale </w:t>
            </w:r>
          </w:p>
          <w:p>
            <w:pPr>
              <w:numPr>
                <w:ilvl w:val="0"/>
                <w:numId w:val="2"/>
              </w:numPr>
              <w:spacing w:line="276" w:lineRule="auto"/>
              <w:rPr>
                <w:noProof/>
                <w:sz w:val="20"/>
              </w:rPr>
            </w:pPr>
            <w:r>
              <w:rPr>
                <w:noProof/>
                <w:sz w:val="20"/>
              </w:rPr>
              <w:t>gestionarea cererilor de oferte și a cererilor de propuneri, precum și a procedurilor de selecție ulterioare, în coordonare cu serviciile operaționale</w:t>
            </w:r>
          </w:p>
          <w:p>
            <w:pPr>
              <w:numPr>
                <w:ilvl w:val="0"/>
                <w:numId w:val="2"/>
              </w:numPr>
              <w:spacing w:line="276" w:lineRule="auto"/>
              <w:rPr>
                <w:noProof/>
                <w:sz w:val="20"/>
              </w:rPr>
            </w:pPr>
            <w:r>
              <w:rPr>
                <w:noProof/>
                <w:sz w:val="20"/>
              </w:rPr>
              <w:t>comunicarea cu părțile interesate cu privire la aspectele contractuale și financiare</w:t>
            </w:r>
          </w:p>
          <w:p>
            <w:pPr>
              <w:numPr>
                <w:ilvl w:val="0"/>
                <w:numId w:val="2"/>
              </w:numPr>
              <w:spacing w:line="276" w:lineRule="auto"/>
              <w:rPr>
                <w:noProof/>
                <w:sz w:val="20"/>
              </w:rPr>
            </w:pPr>
            <w:r>
              <w:rPr>
                <w:noProof/>
                <w:sz w:val="20"/>
              </w:rPr>
              <w:t>pregătirea și organizarea de reuniuni de grup la nivel înalt cu DG-urile interesate, cu statele membre și alte părți interesate.</w:t>
            </w:r>
          </w:p>
          <w:p>
            <w:pPr>
              <w:numPr>
                <w:ilvl w:val="0"/>
                <w:numId w:val="2"/>
              </w:numPr>
              <w:spacing w:line="276" w:lineRule="auto"/>
              <w:rPr>
                <w:noProof/>
                <w:sz w:val="20"/>
              </w:rPr>
            </w:pPr>
            <w:r>
              <w:rPr>
                <w:noProof/>
                <w:sz w:val="20"/>
              </w:rPr>
              <w:t>gestionarea proiectelor (din punct de vedere financiar și contractual): angajamente, plăți, ordine de recuperare etc.</w:t>
            </w:r>
          </w:p>
          <w:p>
            <w:pPr>
              <w:numPr>
                <w:ilvl w:val="0"/>
                <w:numId w:val="2"/>
              </w:numPr>
              <w:spacing w:line="276" w:lineRule="auto"/>
              <w:rPr>
                <w:noProof/>
                <w:sz w:val="20"/>
              </w:rPr>
            </w:pPr>
            <w:r>
              <w:rPr>
                <w:noProof/>
                <w:sz w:val="20"/>
              </w:rPr>
              <w:t xml:space="preserve">efectuarea de controale, astfel cum sunt descrise mai sus (verificare </w:t>
            </w:r>
            <w:r>
              <w:rPr>
                <w:i/>
                <w:noProof/>
                <w:sz w:val="20"/>
              </w:rPr>
              <w:t>ex ante</w:t>
            </w:r>
            <w:r>
              <w:rPr>
                <w:noProof/>
                <w:sz w:val="20"/>
              </w:rPr>
              <w:t xml:space="preserve">, serviciu de achiziții, control </w:t>
            </w:r>
            <w:r>
              <w:rPr>
                <w:i/>
                <w:noProof/>
                <w:sz w:val="20"/>
              </w:rPr>
              <w:t>ex post</w:t>
            </w:r>
            <w:r>
              <w:rPr>
                <w:noProof/>
                <w:sz w:val="20"/>
              </w:rPr>
              <w:t>/intern)</w:t>
            </w:r>
          </w:p>
          <w:p>
            <w:pPr>
              <w:numPr>
                <w:ilvl w:val="0"/>
                <w:numId w:val="2"/>
              </w:numPr>
              <w:spacing w:line="276" w:lineRule="auto"/>
              <w:rPr>
                <w:noProof/>
                <w:sz w:val="20"/>
              </w:rPr>
            </w:pPr>
            <w:r>
              <w:rPr>
                <w:noProof/>
                <w:sz w:val="20"/>
              </w:rPr>
              <w:t xml:space="preserve"> gestionarea instrumentelor informatice</w:t>
            </w:r>
          </w:p>
          <w:p>
            <w:pPr>
              <w:numPr>
                <w:ilvl w:val="0"/>
                <w:numId w:val="2"/>
              </w:numPr>
              <w:spacing w:line="276" w:lineRule="auto"/>
              <w:rPr>
                <w:noProof/>
                <w:sz w:val="20"/>
              </w:rPr>
            </w:pPr>
            <w:r>
              <w:rPr>
                <w:noProof/>
                <w:sz w:val="20"/>
              </w:rPr>
              <w:t>contribuții și urmărirea procedurii anuale DAS.</w:t>
            </w:r>
          </w:p>
          <w:p>
            <w:pPr>
              <w:numPr>
                <w:ilvl w:val="0"/>
                <w:numId w:val="2"/>
              </w:numPr>
              <w:spacing w:line="276" w:lineRule="auto"/>
              <w:rPr>
                <w:noProof/>
                <w:sz w:val="20"/>
              </w:rPr>
            </w:pPr>
            <w:r>
              <w:rPr>
                <w:noProof/>
                <w:sz w:val="20"/>
              </w:rPr>
              <w:t>monitorizarea și raportarea privind îndeplinirea obiectivelor, inclusiv în procedura bugetară, planul de gestionare, revizuirea la jumătatea perioadei, rapoartele AAR și AOS.</w:t>
            </w:r>
          </w:p>
        </w:tc>
      </w:tr>
      <w:tr>
        <w:tc>
          <w:tcPr>
            <w:tcW w:w="3240" w:type="dxa"/>
            <w:tcBorders>
              <w:top w:val="single" w:sz="2" w:space="0" w:color="auto"/>
              <w:left w:val="single" w:sz="2" w:space="0" w:color="auto"/>
              <w:bottom w:val="single" w:sz="2" w:space="0" w:color="auto"/>
              <w:right w:val="single" w:sz="2" w:space="0" w:color="auto"/>
            </w:tcBorders>
            <w:hideMark/>
          </w:tcPr>
          <w:p>
            <w:pPr>
              <w:spacing w:before="60" w:after="60" w:line="276" w:lineRule="auto"/>
              <w:rPr>
                <w:noProof/>
                <w:sz w:val="20"/>
              </w:rPr>
            </w:pPr>
            <w:r>
              <w:rPr>
                <w:noProof/>
                <w:sz w:val="20"/>
              </w:rPr>
              <w:t>Personal extern</w:t>
            </w:r>
          </w:p>
        </w:tc>
        <w:tc>
          <w:tcPr>
            <w:tcW w:w="5947" w:type="dxa"/>
            <w:tcBorders>
              <w:top w:val="single" w:sz="2" w:space="0" w:color="auto"/>
              <w:left w:val="single" w:sz="2" w:space="0" w:color="auto"/>
              <w:bottom w:val="single" w:sz="2" w:space="0" w:color="auto"/>
              <w:right w:val="single" w:sz="2" w:space="0" w:color="auto"/>
            </w:tcBorders>
            <w:hideMark/>
          </w:tcPr>
          <w:p>
            <w:pPr>
              <w:spacing w:line="276" w:lineRule="auto"/>
              <w:rPr>
                <w:noProof/>
                <w:sz w:val="20"/>
              </w:rPr>
            </w:pPr>
            <w:r>
              <w:rPr>
                <w:noProof/>
                <w:sz w:val="20"/>
              </w:rPr>
              <w:t>Sprijin pentru sarcini financiare și administrative.</w:t>
            </w:r>
          </w:p>
        </w:tc>
      </w:tr>
      <w:tr>
        <w:tc>
          <w:tcPr>
            <w:tcW w:w="3240" w:type="dxa"/>
            <w:tcBorders>
              <w:top w:val="single" w:sz="2" w:space="0" w:color="auto"/>
              <w:left w:val="single" w:sz="2" w:space="0" w:color="auto"/>
              <w:bottom w:val="single" w:sz="2" w:space="0" w:color="auto"/>
              <w:right w:val="single" w:sz="2" w:space="0" w:color="auto"/>
            </w:tcBorders>
          </w:tcPr>
          <w:p>
            <w:pPr>
              <w:spacing w:before="60" w:after="60" w:line="276" w:lineRule="auto"/>
              <w:rPr>
                <w:noProof/>
                <w:sz w:val="20"/>
              </w:rPr>
            </w:pPr>
          </w:p>
        </w:tc>
        <w:tc>
          <w:tcPr>
            <w:tcW w:w="5947" w:type="dxa"/>
            <w:tcBorders>
              <w:top w:val="single" w:sz="2" w:space="0" w:color="auto"/>
              <w:left w:val="single" w:sz="2" w:space="0" w:color="auto"/>
              <w:bottom w:val="single" w:sz="2" w:space="0" w:color="auto"/>
              <w:right w:val="single" w:sz="2" w:space="0" w:color="auto"/>
            </w:tcBorders>
          </w:tcPr>
          <w:p>
            <w:pPr>
              <w:spacing w:line="276" w:lineRule="auto"/>
              <w:rPr>
                <w:noProof/>
                <w:sz w:val="20"/>
              </w:rPr>
            </w:pPr>
          </w:p>
        </w:tc>
      </w:tr>
    </w:tbl>
    <w:p>
      <w:pPr>
        <w:pStyle w:val="ManualHeading3"/>
        <w:rPr>
          <w:bCs/>
          <w:noProof/>
          <w:szCs w:val="24"/>
        </w:rPr>
      </w:pPr>
      <w:r>
        <w:t>3.2.4.</w:t>
      </w:r>
      <w:r>
        <w:tab/>
      </w:r>
      <w:r>
        <w:rPr>
          <w:noProof/>
        </w:rPr>
        <w:t xml:space="preserve">Compatibilitatea cu actualul cadru financiar multianual </w:t>
      </w:r>
    </w:p>
    <w:p>
      <w:pPr>
        <w:pStyle w:val="ListDash1"/>
        <w:ind w:left="1134"/>
        <w:rPr>
          <w:noProof/>
        </w:rPr>
      </w:pPr>
      <w:r>
        <w:rPr>
          <w:noProof/>
        </w:rPr>
        <w:sym w:font="Wingdings" w:char="F078"/>
      </w:r>
      <w:r>
        <w:rPr>
          <w:noProof/>
        </w:rPr>
        <w:tab/>
        <w:t>Propunerea/inițiativa este compatibilă cu cadrul financiar multianual existent.</w:t>
      </w:r>
    </w:p>
    <w:p>
      <w:pPr>
        <w:pStyle w:val="ListDash1"/>
        <w:ind w:left="1134"/>
        <w:rPr>
          <w:noProof/>
        </w:rPr>
      </w:pPr>
      <w:r>
        <w:rPr>
          <w:noProof/>
        </w:rPr>
        <w:sym w:font="Wingdings" w:char="F078"/>
      </w:r>
      <w:r>
        <w:rPr>
          <w:noProof/>
        </w:rPr>
        <w:tab/>
        <w:t>Propunerea/inițiativa necesită o reprogramare a rubricii corespunzătoare din cadrul financiar multianual.</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 reprogramarea necesară, precizându-se liniile bugetare în cauză și sumele aferente.</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Linie nouă la rubrica 1b/2 cu următoarele sume în milioane EUR (cu trei zecimale):</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2017: 23,625</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2018: 32,025</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2019: 40,425</w:t>
      </w:r>
    </w:p>
    <w:p>
      <w:pPr>
        <w:pStyle w:val="Text1"/>
        <w:pBdr>
          <w:top w:val="single" w:sz="4" w:space="1" w:color="auto"/>
          <w:left w:val="single" w:sz="4" w:space="4" w:color="auto"/>
          <w:bottom w:val="single" w:sz="4" w:space="1" w:color="auto"/>
          <w:right w:val="single" w:sz="4" w:space="4" w:color="auto"/>
        </w:pBdr>
        <w:rPr>
          <w:noProof/>
        </w:rPr>
      </w:pPr>
      <w:r>
        <w:rPr>
          <w:noProof/>
          <w:sz w:val="20"/>
        </w:rPr>
        <w:t>2020: 46,725</w:t>
      </w:r>
    </w:p>
    <w:p>
      <w:pPr>
        <w:pStyle w:val="Text1"/>
        <w:pBdr>
          <w:top w:val="single" w:sz="4" w:space="1" w:color="auto"/>
          <w:left w:val="single" w:sz="4" w:space="4" w:color="auto"/>
          <w:bottom w:val="single" w:sz="4" w:space="1" w:color="auto"/>
          <w:right w:val="single" w:sz="4" w:space="4" w:color="auto"/>
        </w:pBdr>
        <w:rPr>
          <w:noProof/>
        </w:rPr>
      </w:pPr>
    </w:p>
    <w:p>
      <w:pPr>
        <w:pStyle w:val="ListDash1"/>
        <w:ind w:left="1134"/>
        <w:rPr>
          <w:noProof/>
        </w:rPr>
      </w:pPr>
      <w:r>
        <w:rPr>
          <w:noProof/>
        </w:rPr>
        <w:sym w:font="Wingdings" w:char="F0A8"/>
      </w:r>
      <w:r>
        <w:rPr>
          <w:noProof/>
        </w:rPr>
        <w:tab/>
        <w:t>Propunerea/inițiativa necesită recurgerea la instrumentul de flexibilitate sau la revizuirea cadrului financiar multianual.</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explica necesitatea efectuării acestei acțiuni, precizând rubricile și liniile bugetare în cauză, precum și sumele aferente.</w:t>
      </w:r>
    </w:p>
    <w:p>
      <w:pPr>
        <w:pStyle w:val="ManualHeading3"/>
        <w:rPr>
          <w:bCs/>
          <w:noProof/>
          <w:szCs w:val="24"/>
        </w:rPr>
      </w:pPr>
      <w:r>
        <w:t>3.2.5.</w:t>
      </w:r>
      <w:r>
        <w:tab/>
      </w:r>
      <w:r>
        <w:rPr>
          <w:noProof/>
        </w:rPr>
        <w:t xml:space="preserve">Contribuția terților </w:t>
      </w:r>
    </w:p>
    <w:p>
      <w:pPr>
        <w:pStyle w:val="ListDash1"/>
        <w:ind w:left="1134"/>
        <w:rPr>
          <w:noProof/>
        </w:rPr>
      </w:pPr>
      <w:r>
        <w:rPr>
          <w:noProof/>
        </w:rPr>
        <w:t xml:space="preserve">Propunerea/inițiativa nu prevede cofinanțare din partea terților. </w:t>
      </w:r>
    </w:p>
    <w:p>
      <w:pPr>
        <w:pStyle w:val="ListDash1"/>
        <w:ind w:left="1134"/>
        <w:rPr>
          <w:noProof/>
        </w:rPr>
      </w:pPr>
      <w:r>
        <w:rPr>
          <w:noProof/>
        </w:rPr>
        <w:t>Propunerea/inițiativa prevede cofinanțare, estimată în cele ce urmează:</w:t>
      </w:r>
    </w:p>
    <w:p>
      <w:pPr>
        <w:pageBreakBefore/>
        <w:jc w:val="right"/>
        <w:rPr>
          <w:noProof/>
          <w:sz w:val="20"/>
        </w:rPr>
      </w:pPr>
      <w:r>
        <w:rPr>
          <w:noProof/>
          <w:sz w:val="20"/>
        </w:rPr>
        <w:t>Credite în milioane EUR (cu trei zecimale)</w:t>
      </w:r>
    </w:p>
    <w:tbl>
      <w:tblPr>
        <w:tblW w:w="7800"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78"/>
        <w:gridCol w:w="964"/>
        <w:gridCol w:w="896"/>
        <w:gridCol w:w="1217"/>
        <w:gridCol w:w="1159"/>
        <w:gridCol w:w="886"/>
      </w:tblGrid>
      <w:tr>
        <w:trPr>
          <w:cantSplit/>
        </w:trPr>
        <w:tc>
          <w:tcPr>
            <w:tcW w:w="2676" w:type="dxa"/>
            <w:tcBorders>
              <w:top w:val="single" w:sz="6" w:space="0" w:color="auto"/>
              <w:left w:val="single" w:sz="6" w:space="0" w:color="auto"/>
              <w:bottom w:val="single" w:sz="6" w:space="0" w:color="auto"/>
              <w:right w:val="single" w:sz="6" w:space="0" w:color="auto"/>
            </w:tcBorders>
          </w:tcPr>
          <w:p>
            <w:pPr>
              <w:spacing w:before="60" w:after="60" w:line="276" w:lineRule="auto"/>
              <w:rPr>
                <w:noProof/>
                <w:sz w:val="20"/>
              </w:rPr>
            </w:pPr>
          </w:p>
        </w:tc>
        <w:tc>
          <w:tcPr>
            <w:tcW w:w="964"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rPr>
            </w:pPr>
            <w:r>
              <w:rPr>
                <w:noProof/>
              </w:rPr>
              <w:t>Anul</w:t>
            </w:r>
            <w:r>
              <w:rPr>
                <w:noProof/>
              </w:rPr>
              <w:br/>
            </w:r>
            <w:r>
              <w:rPr>
                <w:b/>
                <w:noProof/>
                <w:sz w:val="20"/>
              </w:rPr>
              <w:t>2017</w:t>
            </w:r>
          </w:p>
        </w:tc>
        <w:tc>
          <w:tcPr>
            <w:tcW w:w="896"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rPr>
            </w:pPr>
            <w:r>
              <w:rPr>
                <w:noProof/>
              </w:rPr>
              <w:t>Anul</w:t>
            </w:r>
            <w:r>
              <w:rPr>
                <w:noProof/>
              </w:rPr>
              <w:br/>
            </w:r>
            <w:r>
              <w:rPr>
                <w:b/>
                <w:noProof/>
                <w:sz w:val="20"/>
              </w:rPr>
              <w:t>2018</w:t>
            </w:r>
          </w:p>
        </w:tc>
        <w:tc>
          <w:tcPr>
            <w:tcW w:w="1216" w:type="dxa"/>
            <w:tcBorders>
              <w:top w:val="single" w:sz="6" w:space="0" w:color="auto"/>
              <w:left w:val="single" w:sz="6" w:space="0" w:color="auto"/>
              <w:bottom w:val="single" w:sz="6" w:space="0" w:color="auto"/>
              <w:right w:val="single" w:sz="6" w:space="0" w:color="auto"/>
            </w:tcBorders>
            <w:vAlign w:val="center"/>
            <w:hideMark/>
          </w:tcPr>
          <w:p>
            <w:pPr>
              <w:spacing w:line="276" w:lineRule="auto"/>
              <w:jc w:val="center"/>
              <w:rPr>
                <w:noProof/>
                <w:sz w:val="20"/>
              </w:rPr>
            </w:pPr>
            <w:r>
              <w:rPr>
                <w:noProof/>
              </w:rPr>
              <w:t>Anul</w:t>
            </w:r>
            <w:r>
              <w:rPr>
                <w:noProof/>
              </w:rPr>
              <w:br/>
            </w:r>
            <w:r>
              <w:rPr>
                <w:b/>
                <w:noProof/>
                <w:sz w:val="20"/>
              </w:rPr>
              <w:t>2019</w:t>
            </w:r>
          </w:p>
        </w:tc>
        <w:tc>
          <w:tcPr>
            <w:tcW w:w="1158" w:type="dxa"/>
            <w:tcBorders>
              <w:top w:val="single" w:sz="6" w:space="0" w:color="auto"/>
              <w:left w:val="single" w:sz="6" w:space="0" w:color="auto"/>
              <w:bottom w:val="single" w:sz="6" w:space="0" w:color="auto"/>
              <w:right w:val="single" w:sz="6" w:space="0" w:color="auto"/>
            </w:tcBorders>
            <w:hideMark/>
          </w:tcPr>
          <w:p>
            <w:pPr>
              <w:spacing w:line="276" w:lineRule="auto"/>
              <w:jc w:val="center"/>
              <w:rPr>
                <w:noProof/>
                <w:sz w:val="20"/>
              </w:rPr>
            </w:pPr>
            <w:r>
              <w:rPr>
                <w:noProof/>
              </w:rPr>
              <w:t>Anul</w:t>
            </w:r>
            <w:r>
              <w:rPr>
                <w:noProof/>
              </w:rPr>
              <w:br/>
            </w:r>
            <w:r>
              <w:rPr>
                <w:b/>
                <w:noProof/>
                <w:sz w:val="20"/>
              </w:rPr>
              <w:t>2020</w:t>
            </w:r>
          </w:p>
        </w:tc>
        <w:tc>
          <w:tcPr>
            <w:tcW w:w="886" w:type="dxa"/>
            <w:tcBorders>
              <w:top w:val="single" w:sz="6" w:space="0" w:color="auto"/>
              <w:left w:val="single" w:sz="6" w:space="0" w:color="auto"/>
              <w:bottom w:val="single" w:sz="6" w:space="0" w:color="auto"/>
              <w:right w:val="single" w:sz="6" w:space="0" w:color="auto"/>
            </w:tcBorders>
            <w:vAlign w:val="center"/>
            <w:hideMark/>
          </w:tcPr>
          <w:p>
            <w:pPr>
              <w:spacing w:before="60" w:after="60" w:line="276" w:lineRule="auto"/>
              <w:jc w:val="center"/>
              <w:rPr>
                <w:noProof/>
                <w:sz w:val="20"/>
              </w:rPr>
            </w:pPr>
            <w:r>
              <w:rPr>
                <w:noProof/>
                <w:sz w:val="20"/>
              </w:rPr>
              <w:t>Total</w:t>
            </w:r>
          </w:p>
        </w:tc>
      </w:tr>
      <w:tr>
        <w:trPr>
          <w:cantSplit/>
        </w:trPr>
        <w:tc>
          <w:tcPr>
            <w:tcW w:w="2676" w:type="dxa"/>
            <w:tcBorders>
              <w:top w:val="single" w:sz="6" w:space="0" w:color="auto"/>
              <w:left w:val="single" w:sz="6" w:space="0" w:color="auto"/>
              <w:bottom w:val="single" w:sz="6" w:space="0" w:color="auto"/>
              <w:right w:val="single" w:sz="6" w:space="0" w:color="auto"/>
            </w:tcBorders>
            <w:hideMark/>
          </w:tcPr>
          <w:p>
            <w:pPr>
              <w:spacing w:line="276" w:lineRule="auto"/>
              <w:rPr>
                <w:noProof/>
              </w:rPr>
            </w:pPr>
            <w:r>
              <w:rPr>
                <w:noProof/>
                <w:sz w:val="20"/>
              </w:rPr>
              <w:t>A se preciza organismul care asigură cofinanțarea</w:t>
            </w: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896"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216"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tcPr>
          <w:p>
            <w:pPr>
              <w:spacing w:before="60" w:after="60" w:line="276" w:lineRule="auto"/>
              <w:jc w:val="center"/>
              <w:rPr>
                <w:noProof/>
                <w:sz w:val="20"/>
              </w:rPr>
            </w:pPr>
          </w:p>
        </w:tc>
        <w:tc>
          <w:tcPr>
            <w:tcW w:w="886"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r>
      <w:tr>
        <w:trPr>
          <w:cantSplit/>
        </w:trPr>
        <w:tc>
          <w:tcPr>
            <w:tcW w:w="2676" w:type="dxa"/>
            <w:tcBorders>
              <w:top w:val="single" w:sz="6" w:space="0" w:color="auto"/>
              <w:left w:val="single" w:sz="6" w:space="0" w:color="auto"/>
              <w:bottom w:val="single" w:sz="6" w:space="0" w:color="auto"/>
              <w:right w:val="single" w:sz="6" w:space="0" w:color="auto"/>
            </w:tcBorders>
            <w:hideMark/>
          </w:tcPr>
          <w:p>
            <w:pPr>
              <w:spacing w:before="60" w:after="60" w:line="276" w:lineRule="auto"/>
              <w:jc w:val="left"/>
              <w:rPr>
                <w:noProof/>
                <w:sz w:val="20"/>
              </w:rPr>
            </w:pPr>
            <w:r>
              <w:rPr>
                <w:noProof/>
                <w:sz w:val="20"/>
              </w:rPr>
              <w:t xml:space="preserve">TOTAL credite cofinanțate </w:t>
            </w:r>
          </w:p>
        </w:tc>
        <w:tc>
          <w:tcPr>
            <w:tcW w:w="964"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896"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216"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c>
          <w:tcPr>
            <w:tcW w:w="1158" w:type="dxa"/>
            <w:tcBorders>
              <w:top w:val="single" w:sz="6" w:space="0" w:color="auto"/>
              <w:left w:val="single" w:sz="6" w:space="0" w:color="auto"/>
              <w:bottom w:val="single" w:sz="6" w:space="0" w:color="auto"/>
              <w:right w:val="single" w:sz="6" w:space="0" w:color="auto"/>
            </w:tcBorders>
          </w:tcPr>
          <w:p>
            <w:pPr>
              <w:spacing w:before="60" w:after="60" w:line="276" w:lineRule="auto"/>
              <w:jc w:val="center"/>
              <w:rPr>
                <w:noProof/>
                <w:sz w:val="20"/>
              </w:rPr>
            </w:pPr>
          </w:p>
        </w:tc>
        <w:tc>
          <w:tcPr>
            <w:tcW w:w="886" w:type="dxa"/>
            <w:tcBorders>
              <w:top w:val="single" w:sz="6" w:space="0" w:color="auto"/>
              <w:left w:val="single" w:sz="6" w:space="0" w:color="auto"/>
              <w:bottom w:val="single" w:sz="6" w:space="0" w:color="auto"/>
              <w:right w:val="single" w:sz="6" w:space="0" w:color="auto"/>
            </w:tcBorders>
            <w:vAlign w:val="center"/>
          </w:tcPr>
          <w:p>
            <w:pPr>
              <w:spacing w:before="60" w:after="60" w:line="276" w:lineRule="auto"/>
              <w:jc w:val="center"/>
              <w:rPr>
                <w:noProof/>
                <w:sz w:val="20"/>
              </w:rPr>
            </w:pPr>
          </w:p>
        </w:tc>
      </w:tr>
    </w:tbl>
    <w:p>
      <w:pPr>
        <w:rPr>
          <w:noProof/>
          <w:szCs w:val="24"/>
        </w:rPr>
      </w:pPr>
      <w:r>
        <w:rPr>
          <w:noProof/>
        </w:rPr>
        <w:t xml:space="preserve">Impactul estimat asupra veniturilor </w:t>
      </w:r>
    </w:p>
    <w:p>
      <w:pPr>
        <w:pStyle w:val="ListDash1"/>
        <w:ind w:left="1134"/>
        <w:rPr>
          <w:noProof/>
        </w:rPr>
      </w:pPr>
      <w:r>
        <w:rPr>
          <w:noProof/>
        </w:rPr>
        <w:sym w:font="Wingdings" w:char="F078"/>
      </w:r>
      <w:r>
        <w:rPr>
          <w:noProof/>
        </w:rPr>
        <w:tab/>
        <w:t>Propunerea/inițiativa nu are impact financiar asupra veniturilor.</w:t>
      </w:r>
    </w:p>
    <w:p>
      <w:pPr>
        <w:pStyle w:val="ListDash1"/>
        <w:ind w:left="1134"/>
        <w:rPr>
          <w:noProof/>
        </w:rPr>
      </w:pPr>
      <w:r>
        <w:rPr>
          <w:noProof/>
        </w:rPr>
        <w:sym w:font="Wingdings" w:char="F0A8"/>
      </w:r>
      <w:r>
        <w:rPr>
          <w:noProof/>
        </w:rPr>
        <w:tab/>
        <w:t>Propunerea/inițiativa are următorul impact financiar:</w:t>
      </w:r>
    </w:p>
    <w:p>
      <w:pPr>
        <w:pStyle w:val="ListNumberLevel3"/>
        <w:rPr>
          <w:noProof/>
        </w:rPr>
      </w:pPr>
      <w:r>
        <w:rPr>
          <w:noProof/>
        </w:rPr>
        <w:sym w:font="Wingdings" w:char="F0A8"/>
      </w:r>
      <w:r>
        <w:rPr>
          <w:noProof/>
        </w:rPr>
        <w:tab/>
        <w:t xml:space="preserve">asupra resurselor proprii </w:t>
      </w:r>
    </w:p>
    <w:p>
      <w:pPr>
        <w:pStyle w:val="ListNumberLevel3"/>
        <w:rPr>
          <w:noProof/>
        </w:rPr>
      </w:pPr>
      <w:r>
        <w:rPr>
          <w:noProof/>
        </w:rPr>
        <w:sym w:font="Wingdings" w:char="F0A8"/>
      </w:r>
      <w:r>
        <w:rPr>
          <w:noProof/>
        </w:rPr>
        <w:tab/>
        <w:t xml:space="preserve">asupra diverselor venituri </w:t>
      </w:r>
    </w:p>
    <w:p>
      <w:pPr>
        <w:jc w:val="right"/>
        <w:rPr>
          <w:i/>
          <w:noProof/>
          <w:sz w:val="20"/>
        </w:rPr>
      </w:pPr>
      <w:r>
        <w:rPr>
          <w:noProof/>
        </w:rPr>
        <w:t>milioane EUR (cu trei zecimale)</w:t>
      </w:r>
    </w:p>
    <w:tbl>
      <w:tblPr>
        <w:tblW w:w="95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4"/>
        <w:gridCol w:w="1276"/>
        <w:gridCol w:w="1080"/>
        <w:gridCol w:w="900"/>
        <w:gridCol w:w="900"/>
        <w:gridCol w:w="1080"/>
        <w:gridCol w:w="1080"/>
        <w:gridCol w:w="1038"/>
        <w:gridCol w:w="42"/>
      </w:tblGrid>
      <w:tr>
        <w:trPr>
          <w:gridAfter w:val="1"/>
          <w:wAfter w:w="42" w:type="dxa"/>
          <w:trHeight w:val="388"/>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18"/>
              </w:rPr>
            </w:pPr>
            <w:r>
              <w:rPr>
                <w:noProof/>
                <w:sz w:val="18"/>
              </w:rPr>
              <w:t>Linia bugetară pentru venituri:</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Credite disponibile pentru exercițiul financiar în curs</w:t>
            </w:r>
          </w:p>
        </w:tc>
        <w:tc>
          <w:tcPr>
            <w:tcW w:w="6078" w:type="dxa"/>
            <w:gridSpan w:val="6"/>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sz w:val="18"/>
              </w:rPr>
              <w:t>Impactul propunerii/inițiativei</w:t>
            </w:r>
            <w:r>
              <w:rPr>
                <w:rStyle w:val="FootnoteReference"/>
                <w:noProof/>
                <w:sz w:val="18"/>
              </w:rPr>
              <w:footnoteReference w:id="39"/>
            </w:r>
          </w:p>
        </w:tc>
      </w:tr>
      <w:tr>
        <w:trPr>
          <w:trHeight w:val="388"/>
        </w:trPr>
        <w:tc>
          <w:tcPr>
            <w:tcW w:w="2144"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sz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rPr>
              <w:t>Anul</w:t>
            </w:r>
            <w:r>
              <w:rPr>
                <w:noProof/>
              </w:rPr>
              <w:br/>
            </w:r>
            <w:r>
              <w:rPr>
                <w:b/>
                <w:noProof/>
                <w:sz w:val="18"/>
              </w:rPr>
              <w:t>N</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rPr>
              <w:t>Anul</w:t>
            </w:r>
            <w:r>
              <w:rPr>
                <w:noProof/>
              </w:rPr>
              <w:br/>
            </w:r>
            <w:r>
              <w:rPr>
                <w:b/>
                <w:noProof/>
                <w:sz w:val="18"/>
              </w:rPr>
              <w:t>N+1</w:t>
            </w:r>
          </w:p>
        </w:tc>
        <w:tc>
          <w:tcPr>
            <w:tcW w:w="900" w:type="dxa"/>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noProof/>
                <w:sz w:val="18"/>
              </w:rPr>
            </w:pPr>
            <w:r>
              <w:rPr>
                <w:noProof/>
              </w:rPr>
              <w:t>Anul</w:t>
            </w:r>
            <w:r>
              <w:rPr>
                <w:noProof/>
              </w:rPr>
              <w:br/>
            </w:r>
            <w:r>
              <w:rPr>
                <w:b/>
                <w:noProof/>
                <w:sz w:val="18"/>
              </w:rPr>
              <w:t>N+2</w:t>
            </w:r>
          </w:p>
        </w:tc>
        <w:tc>
          <w:tcPr>
            <w:tcW w:w="3240" w:type="dxa"/>
            <w:gridSpan w:val="4"/>
            <w:tcBorders>
              <w:top w:val="single" w:sz="4" w:space="0" w:color="auto"/>
              <w:left w:val="single" w:sz="4" w:space="0" w:color="auto"/>
              <w:bottom w:val="single" w:sz="4" w:space="0" w:color="auto"/>
              <w:right w:val="single" w:sz="4" w:space="0" w:color="auto"/>
            </w:tcBorders>
            <w:vAlign w:val="center"/>
            <w:hideMark/>
          </w:tcPr>
          <w:p>
            <w:pPr>
              <w:spacing w:line="276" w:lineRule="auto"/>
              <w:jc w:val="center"/>
              <w:rPr>
                <w:b/>
                <w:noProof/>
                <w:sz w:val="18"/>
              </w:rPr>
            </w:pPr>
            <w:r>
              <w:rPr>
                <w:noProof/>
                <w:sz w:val="18"/>
              </w:rPr>
              <w:t>A se introduce atâția ani câți sunt considerați necesari pentru a reflecta durata impactului (cf. punctul 1.6)</w:t>
            </w:r>
          </w:p>
        </w:tc>
      </w:tr>
      <w:tr>
        <w:trPr>
          <w:trHeight w:val="388"/>
        </w:trPr>
        <w:tc>
          <w:tcPr>
            <w:tcW w:w="2144" w:type="dxa"/>
            <w:tcBorders>
              <w:top w:val="single" w:sz="4" w:space="0" w:color="auto"/>
              <w:left w:val="single" w:sz="4" w:space="0" w:color="auto"/>
              <w:bottom w:val="single" w:sz="4" w:space="0" w:color="auto"/>
              <w:right w:val="single" w:sz="4" w:space="0" w:color="auto"/>
            </w:tcBorders>
            <w:vAlign w:val="center"/>
            <w:hideMark/>
          </w:tcPr>
          <w:p>
            <w:pPr>
              <w:spacing w:before="40" w:after="40" w:line="276" w:lineRule="auto"/>
              <w:rPr>
                <w:noProof/>
                <w:sz w:val="18"/>
              </w:rPr>
            </w:pPr>
            <w:r>
              <w:rPr>
                <w:noProof/>
                <w:sz w:val="18"/>
              </w:rPr>
              <w:t>Articolul ………….</w:t>
            </w:r>
          </w:p>
        </w:tc>
        <w:tc>
          <w:tcPr>
            <w:tcW w:w="1276"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rFonts w:eastAsiaTheme="majorEastAsia"/>
                <w:bCs/>
                <w:i/>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rFonts w:eastAsiaTheme="majorEastAsia"/>
                <w:bCs/>
                <w:i/>
                <w:noProof/>
                <w:sz w:val="18"/>
              </w:rPr>
            </w:pPr>
          </w:p>
        </w:tc>
        <w:tc>
          <w:tcPr>
            <w:tcW w:w="90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rFonts w:eastAsiaTheme="majorEastAsia"/>
                <w:bCs/>
                <w:i/>
                <w:noProof/>
                <w:sz w:val="18"/>
              </w:rPr>
            </w:pPr>
          </w:p>
        </w:tc>
        <w:tc>
          <w:tcPr>
            <w:tcW w:w="90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rFonts w:eastAsiaTheme="majorEastAsia"/>
                <w:bCs/>
                <w:i/>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rFonts w:eastAsiaTheme="majorEastAsia"/>
                <w:bCs/>
                <w:i/>
                <w:noProof/>
                <w:sz w:val="18"/>
              </w:rPr>
            </w:pPr>
          </w:p>
        </w:tc>
        <w:tc>
          <w:tcPr>
            <w:tcW w:w="1080" w:type="dxa"/>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rFonts w:eastAsiaTheme="majorEastAsia"/>
                <w:bCs/>
                <w:i/>
                <w:noProof/>
                <w:sz w:val="18"/>
              </w:rPr>
            </w:pPr>
          </w:p>
        </w:tc>
        <w:tc>
          <w:tcPr>
            <w:tcW w:w="1080" w:type="dxa"/>
            <w:gridSpan w:val="2"/>
            <w:tcBorders>
              <w:top w:val="single" w:sz="4" w:space="0" w:color="auto"/>
              <w:left w:val="single" w:sz="4" w:space="0" w:color="auto"/>
              <w:bottom w:val="single" w:sz="4" w:space="0" w:color="auto"/>
              <w:right w:val="single" w:sz="4" w:space="0" w:color="auto"/>
            </w:tcBorders>
          </w:tcPr>
          <w:p>
            <w:pPr>
              <w:spacing w:beforeLines="40" w:before="96" w:afterLines="40" w:after="96" w:line="276" w:lineRule="auto"/>
              <w:jc w:val="center"/>
              <w:rPr>
                <w:rFonts w:eastAsiaTheme="majorEastAsia"/>
                <w:bCs/>
                <w:i/>
                <w:noProof/>
                <w:sz w:val="18"/>
              </w:rPr>
            </w:pPr>
          </w:p>
        </w:tc>
      </w:tr>
    </w:tbl>
    <w:p>
      <w:pPr>
        <w:pStyle w:val="Text1"/>
        <w:rPr>
          <w:noProof/>
          <w:sz w:val="20"/>
        </w:rPr>
      </w:pPr>
      <w:r>
        <w:rPr>
          <w:noProof/>
          <w:sz w:val="20"/>
        </w:rPr>
        <w:t>Pentru diversele venituri alocate, a se preciza linia bugetară (liniile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r>
        <w:rPr>
          <w:noProof/>
        </w:rPr>
        <w:t>xx.01.04.xx și xx.xx.xx</w:t>
      </w:r>
    </w:p>
    <w:p>
      <w:pPr>
        <w:pStyle w:val="Text1"/>
        <w:rPr>
          <w:noProof/>
          <w:sz w:val="20"/>
        </w:rPr>
      </w:pPr>
      <w:r>
        <w:rPr>
          <w:noProof/>
          <w:sz w:val="20"/>
        </w:rPr>
        <w:t>A se preciza metoda de calcul a impactului asupra veniturilor.</w:t>
      </w:r>
    </w:p>
    <w:p>
      <w:pPr>
        <w:pStyle w:val="Text1"/>
        <w:pBdr>
          <w:top w:val="single" w:sz="4" w:space="1" w:color="auto"/>
          <w:left w:val="single" w:sz="4" w:space="4" w:color="auto"/>
          <w:bottom w:val="single" w:sz="4" w:space="1" w:color="auto"/>
          <w:right w:val="single" w:sz="4" w:space="4" w:color="auto"/>
        </w:pBdr>
        <w:rPr>
          <w:noProof/>
        </w:rPr>
      </w:pPr>
      <w:r>
        <w:rPr>
          <w:noProof/>
        </w:rPr>
        <w:t>A se determina în acordurile-cadru specifice încheiate cu entitățile care contribuie.</w:t>
      </w: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altName w:val="Tahoma"/>
    <w:charset w:val="00"/>
    <w:family w:val="swiss"/>
    <w:pitch w:val="variable"/>
    <w:sig w:usb0="00000000" w:usb1="8000787B" w:usb2="00000008" w:usb3="00000000" w:csb0="000100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49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54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EndnoteText"/>
        <w:tabs>
          <w:tab w:val="left" w:pos="284"/>
        </w:tabs>
        <w:spacing w:after="60"/>
        <w:rPr>
          <w:rStyle w:val="FootnoteReference"/>
          <w:sz w:val="24"/>
          <w:szCs w:val="22"/>
        </w:rPr>
      </w:pPr>
      <w:r>
        <w:rPr>
          <w:rStyle w:val="FootnoteReference"/>
        </w:rPr>
        <w:footnoteRef/>
      </w:r>
      <w:r>
        <w:tab/>
        <w:t>Termenul „stat membru” include autoritățile naționale ale acestuia.</w:t>
      </w:r>
    </w:p>
  </w:footnote>
  <w:footnote w:id="3">
    <w:p>
      <w:pPr>
        <w:pStyle w:val="EndnoteText"/>
        <w:tabs>
          <w:tab w:val="left" w:pos="284"/>
        </w:tabs>
        <w:spacing w:after="60"/>
        <w:ind w:left="284" w:hanging="284"/>
      </w:pPr>
      <w:r>
        <w:rPr>
          <w:rStyle w:val="FootnoteReference"/>
        </w:rPr>
        <w:footnoteRef/>
      </w:r>
      <w:r>
        <w:tab/>
        <w:t xml:space="preserve">Comunicarea Comisiei către Parlamentul European, Consiliu, Comitetul Economic și Social European și Comitetul Regiunilor „O mai bună legiferare pentru rezultate mai bune – O agendă a UE”, Strasbourg, 19.5.2015, COM(2015) 215 final. </w:t>
      </w:r>
    </w:p>
    <w:p>
      <w:pPr>
        <w:pStyle w:val="EndnoteText"/>
        <w:tabs>
          <w:tab w:val="left" w:pos="284"/>
        </w:tabs>
        <w:spacing w:after="60"/>
        <w:ind w:left="284" w:hanging="284"/>
      </w:pPr>
      <w:r>
        <w:tab/>
        <w:t xml:space="preserve">În această comunicare, Comisia a precizat că trebuie să coopereze „cu statele membre pentru a examina cele mai bune modalități de a asigura respectarea legislației UE la nivel național” [...] și să continue „să monitorizeze cu atenție dacă directivele UE sunt transpuse în mod clar, corect și în timp util și dacă normele UE sunt puse în aplicare în mod adecvat și respectate în toate statele membre, pentru a asigura securitatea juridică și a permite cetățenilor și întreprinderilor să beneficieze de oportunitățile oferite de piața unică.” </w:t>
      </w:r>
    </w:p>
  </w:footnote>
  <w:footnote w:id="4">
    <w:p>
      <w:pPr>
        <w:pStyle w:val="FootnoteText"/>
        <w:tabs>
          <w:tab w:val="left" w:pos="284"/>
        </w:tabs>
        <w:spacing w:after="60"/>
        <w:ind w:left="284" w:hanging="284"/>
      </w:pPr>
      <w:r>
        <w:rPr>
          <w:rStyle w:val="FootnoteReference"/>
        </w:rPr>
        <w:footnoteRef/>
      </w:r>
      <w:r>
        <w:tab/>
        <w:t>Formularea „fondurile Uniunii” se referă la fondurile structurale și de investiții europene (fondurile ESI), Fondul de ajutor european destinat celor mai defavorizate persoane (FEAD), Fondul pentru azil, migrație și integrare (FAMI) și Fondul pentru securitate internă (ISF).</w:t>
      </w:r>
    </w:p>
  </w:footnote>
  <w:footnote w:id="5">
    <w:p>
      <w:pPr>
        <w:pStyle w:val="FootnoteText"/>
        <w:spacing w:after="60"/>
        <w:ind w:left="284" w:hanging="284"/>
      </w:pPr>
      <w:r>
        <w:rPr>
          <w:rStyle w:val="FootnoteReference"/>
        </w:rPr>
        <w:footnoteRef/>
      </w:r>
      <w:r>
        <w:tab/>
        <w:t>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p>
  </w:footnote>
  <w:footnote w:id="6">
    <w:p>
      <w:pPr>
        <w:pStyle w:val="FootnoteText"/>
        <w:spacing w:after="60"/>
        <w:ind w:left="284" w:hanging="284"/>
      </w:pPr>
      <w:r>
        <w:rPr>
          <w:rStyle w:val="FootnoteReference"/>
        </w:rPr>
        <w:footnoteRef/>
      </w:r>
      <w:r>
        <w:tab/>
        <w:t>Regulamentul (UE) nr. 223/2014 din 11 martie 2014 privind Fondul de ajutor european destinat celor mai defavorizate persoane, JO L 72,12.3.2014, p.1.</w:t>
      </w:r>
    </w:p>
  </w:footnote>
  <w:footnote w:id="7">
    <w:p>
      <w:pPr>
        <w:pStyle w:val="FootnoteText"/>
        <w:spacing w:after="60"/>
        <w:ind w:left="284" w:hanging="284"/>
      </w:pPr>
      <w:r>
        <w:rPr>
          <w:rStyle w:val="FootnoteReference"/>
        </w:rPr>
        <w:footnoteRef/>
      </w:r>
      <w:r>
        <w:tab/>
        <w:t>Regulamentul (UE) nr. 516/2014 de instituire a Fondului pentru azil, migrație și integrare, Regulamentul (UE) nr. 513/2014 de instituire, în cadrul Fondului pentru securitate internă, a instrumentului de sprijin financiar pentru cooperarea polițienească, prevenirea și combaterea criminalității și gestionarea crizelor și Regulamentul (UE) nr. 515/2014 de instituire, în cadrul Fondului pentru securitate internă, a instrumentului de sprijin financiar pentru frontiere externe și vize.</w:t>
      </w:r>
    </w:p>
  </w:footnote>
  <w:footnote w:id="8">
    <w:p>
      <w:pPr>
        <w:pStyle w:val="FootnoteText"/>
        <w:spacing w:after="60"/>
        <w:ind w:left="284" w:hanging="284"/>
      </w:pPr>
      <w:r>
        <w:rPr>
          <w:rStyle w:val="FootnoteReference"/>
        </w:rPr>
        <w:footnoteRef/>
      </w:r>
      <w:r>
        <w:tab/>
        <w:t>Comunicarea Comisiei intitulată „EUROPA 2020: O strategie europeană pentru o creștere inteligentă, durabilă și favorabilă incluziunii”, Bruxelles, 3.3.2010, COM(2010) 2020 final.</w:t>
      </w:r>
    </w:p>
  </w:footnote>
  <w:footnote w:id="9">
    <w:p>
      <w:pPr>
        <w:pStyle w:val="FootnoteText"/>
        <w:spacing w:after="60"/>
        <w:ind w:left="284" w:hanging="284"/>
      </w:pPr>
      <w:r>
        <w:rPr>
          <w:rStyle w:val="FootnoteReference"/>
        </w:rPr>
        <w:footnoteRef/>
      </w:r>
      <w:r>
        <w:tab/>
        <w:t>Comunicarea Comisiei către Parlamentul European, Consiliu, Comitetul Economic și Social European și Comitetul Regiunilor intitulată „Plan de acțiune privind edificarea unei Uniuni a piețelor de capital”, Bruxelles, 30.9.2015, COM(2015) 468 final.</w:t>
      </w:r>
    </w:p>
  </w:footnote>
  <w:footnote w:id="10">
    <w:p>
      <w:pPr>
        <w:pStyle w:val="FootnoteText"/>
        <w:tabs>
          <w:tab w:val="left" w:pos="284"/>
        </w:tabs>
        <w:spacing w:after="60"/>
        <w:ind w:left="284" w:hanging="284"/>
        <w:rPr>
          <w:rStyle w:val="Hyperlink"/>
          <w:i/>
          <w:sz w:val="24"/>
          <w:szCs w:val="22"/>
        </w:rPr>
      </w:pPr>
      <w:r>
        <w:rPr>
          <w:rStyle w:val="FootnoteReference"/>
        </w:rPr>
        <w:footnoteRef/>
      </w:r>
      <w:r>
        <w:tab/>
        <w:t>Raport final, iulie 2014: VC/2014/0002, Evaluare preliminară a asistenței tehnice acordate Greciei în perioada 2011-2013 în domeniul administrației fiscale și al reformei administrației centrale, elaborată de Alvarez &amp; Marsal Taxand și Adam Smith International pentru Comisia Europeană.</w:t>
      </w:r>
      <w:r>
        <w:br/>
      </w:r>
      <w:hyperlink r:id="rId1">
        <w:r>
          <w:rPr>
            <w:rStyle w:val="Hyperlink"/>
            <w:i/>
          </w:rPr>
          <w:t>http://ec.europa.eu/about/taskforce-greece/pdf/tfgr/evaluation_report_alvarez_july_2014_en.pdf</w:t>
        </w:r>
      </w:hyperlink>
    </w:p>
    <w:p>
      <w:pPr>
        <w:pStyle w:val="FootnoteText"/>
        <w:ind w:left="284"/>
        <w:rPr>
          <w:rFonts w:ascii="Arial" w:hAnsi="Arial" w:cs="Arial"/>
          <w:i/>
          <w:sz w:val="18"/>
        </w:rPr>
      </w:pPr>
    </w:p>
  </w:footnote>
  <w:footnote w:id="11">
    <w:p>
      <w:pPr>
        <w:pStyle w:val="FootnoteText"/>
        <w:spacing w:after="60"/>
        <w:ind w:left="284" w:hanging="284"/>
      </w:pPr>
      <w:r>
        <w:rPr>
          <w:rStyle w:val="FootnoteReference"/>
        </w:rPr>
        <w:footnoteRef/>
      </w:r>
      <w:r>
        <w:tab/>
        <w:t xml:space="preserve">Documentul de lucru al serviciilor Comisiei intitulat „Evaluare </w:t>
      </w:r>
      <w:r>
        <w:rPr>
          <w:i/>
        </w:rPr>
        <w:t>ex ante</w:t>
      </w:r>
      <w:r>
        <w:t xml:space="preserve"> care însoțește documentul Propunere de Regulament al Parlamentului European și al Consiliului de instituire a Programului de sprijin pentru reforme structurale pentru perioada 2017-2020 și de modificare a Regulamentelor (UE) nr. 1303/2013 și (UE) nr. 1305/2013”, Bruxelles, XXX, COM(2015) XXX final.</w:t>
      </w:r>
    </w:p>
  </w:footnote>
  <w:footnote w:id="12">
    <w:p>
      <w:pPr>
        <w:pStyle w:val="FootnoteText"/>
        <w:spacing w:after="60"/>
        <w:ind w:left="284" w:hanging="284"/>
      </w:pPr>
      <w:r>
        <w:rPr>
          <w:rStyle w:val="FootnoteReference"/>
        </w:rPr>
        <w:footnoteRef/>
      </w:r>
      <w:r>
        <w:tab/>
        <w:t xml:space="preserve">A se vedea articolul 58 alineatul (1) primul paragraf din Regulamentul (UE) nr. 1303/2013. </w:t>
      </w:r>
    </w:p>
  </w:footnote>
  <w:footnote w:id="13">
    <w:p>
      <w:pPr>
        <w:pStyle w:val="FootnoteText"/>
        <w:tabs>
          <w:tab w:val="left" w:pos="284"/>
        </w:tabs>
        <w:spacing w:after="60"/>
      </w:pPr>
      <w:r>
        <w:rPr>
          <w:rStyle w:val="FootnoteReference"/>
        </w:rPr>
        <w:footnoteRef/>
      </w:r>
      <w:r>
        <w:tab/>
        <w:t>A se vedea anexa la propunerea legislativă.</w:t>
      </w:r>
    </w:p>
  </w:footnote>
  <w:footnote w:id="14">
    <w:p>
      <w:pPr>
        <w:pStyle w:val="FootnoteText"/>
        <w:spacing w:after="60"/>
        <w:jc w:val="left"/>
      </w:pPr>
      <w:r>
        <w:rPr>
          <w:rStyle w:val="FootnoteReference"/>
        </w:rPr>
        <w:footnoteRef/>
      </w:r>
      <w:r>
        <w:tab/>
        <w:t>COM(2010)700 din 19 octombrie 2010.</w:t>
      </w:r>
    </w:p>
  </w:footnote>
  <w:footnote w:id="15">
    <w:p>
      <w:pPr>
        <w:pStyle w:val="FootnoteText"/>
        <w:spacing w:after="60"/>
      </w:pPr>
      <w:r>
        <w:rPr>
          <w:rStyle w:val="FootnoteReference"/>
        </w:rPr>
        <w:footnoteRef/>
      </w:r>
      <w:r>
        <w:tab/>
        <w:t xml:space="preserve">COM(2011)500 final din 29 iunie 2011. </w:t>
      </w:r>
    </w:p>
  </w:footnote>
  <w:footnote w:id="16">
    <w:p>
      <w:pPr>
        <w:pStyle w:val="FootnoteText"/>
        <w:spacing w:after="60"/>
      </w:pPr>
      <w:r>
        <w:rPr>
          <w:rStyle w:val="FootnoteReference"/>
        </w:rPr>
        <w:footnoteRef/>
      </w:r>
      <w:r>
        <w:tab/>
        <w:t>Regulamentul (UE, Euratom) nr. 1311/2013 al Consiliului din 2 decembrie 2013 de stabilire a cadrului financiar multianual pentru perioada 2014-2020 (JO L 347, 20.12.2013, p. 884).</w:t>
      </w:r>
    </w:p>
  </w:footnote>
  <w:footnote w:id="17">
    <w:p>
      <w:pPr>
        <w:pStyle w:val="FootnoteText"/>
        <w:spacing w:after="60"/>
      </w:pPr>
      <w:r>
        <w:rPr>
          <w:rStyle w:val="FootnoteReference"/>
        </w:rPr>
        <w:footnoteRef/>
      </w:r>
      <w:r>
        <w:tab/>
        <w:t xml:space="preserve">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(JO L 347, 20.12.2013, p. 320). </w:t>
      </w:r>
    </w:p>
  </w:footnote>
  <w:footnote w:id="18">
    <w:p>
      <w:pPr>
        <w:pStyle w:val="FootnoteText"/>
        <w:spacing w:after="60"/>
      </w:pPr>
      <w:r>
        <w:rPr>
          <w:rStyle w:val="FootnoteReference"/>
        </w:rPr>
        <w:footnoteRef/>
      </w:r>
      <w:r>
        <w:tab/>
        <w:t>Regulamentul (UE) nr. 1305/2013 al Parlamentului European și al Consiliului din 17 decembrie 2013 privind sprijinul pentru dezvoltare rurală acordat din Fondul european agricol pentru dezvoltare rurală (FEADR) și de abrogare a Regulamentului (CE) nr. 1698/2005 al Consiliului (JO L 347, 20.12.2013, p. 487).</w:t>
      </w:r>
    </w:p>
  </w:footnote>
  <w:footnote w:id="19">
    <w:p>
      <w:pPr>
        <w:pStyle w:val="FootnoteText"/>
        <w:spacing w:after="60"/>
      </w:pPr>
      <w:r>
        <w:rPr>
          <w:rStyle w:val="FootnoteReference"/>
        </w:rPr>
        <w:footnoteRef/>
      </w:r>
      <w:r>
        <w:tab/>
        <w:t>Regulamentul (UE, Euratom) nr. 966/2012 al Parlamentului European și al Consiliului din 25 octombrie 2012 privind normele financiare aplicabile bugetului general al Uniunii și de abrogare a Regulamentului (CE, Euratom) nr. 1605/2002 al Consiliului (JO L 298, 26.10.2012, p. 1).</w:t>
      </w:r>
    </w:p>
  </w:footnote>
  <w:footnote w:id="20">
    <w:p>
      <w:pPr>
        <w:pStyle w:val="FootnoteText"/>
        <w:spacing w:after="60"/>
      </w:pPr>
      <w:r>
        <w:rPr>
          <w:rStyle w:val="FootnoteReference"/>
        </w:rPr>
        <w:footnoteRef/>
      </w:r>
      <w:r>
        <w:tab/>
        <w:t xml:space="preserve">Regulamentul (UE) nr. 223/2014 al Parlamentului European și al Consiliului din 11 martie 2014 </w:t>
      </w:r>
      <w:r>
        <w:br/>
        <w:t>privind Fondul de ajutor european destinat celor mai defavorizate persoane (JO L 72, 12.3.2014, p. 1.)</w:t>
      </w:r>
    </w:p>
  </w:footnote>
  <w:footnote w:id="21">
    <w:p>
      <w:pPr>
        <w:pStyle w:val="FootnoteText"/>
        <w:spacing w:after="60"/>
      </w:pPr>
      <w:r>
        <w:rPr>
          <w:rStyle w:val="FootnoteReference"/>
        </w:rPr>
        <w:footnoteRef/>
      </w:r>
      <w:r>
        <w:tab/>
        <w:t>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w:t>
      </w:r>
    </w:p>
  </w:footnote>
  <w:footnote w:id="22">
    <w:p>
      <w:pPr>
        <w:pStyle w:val="FootnoteText"/>
        <w:spacing w:after="60"/>
      </w:pPr>
      <w:r>
        <w:rPr>
          <w:rStyle w:val="FootnoteReference"/>
        </w:rPr>
        <w:footnoteRef/>
      </w:r>
      <w:r>
        <w:tab/>
        <w:t xml:space="preserve">Regulamentul (UE) nr. 513/2014 al Parlamentului European și al Consiliului din 16 aprilie 2014 de instituire, în cadrul Fondului pentru securitate internă, a instrumentului de sprijin financiar pentru cooperarea polițienească, prevenirea și combaterea criminalității și gestionarea crizelor și de abrogare a Deciziei 2007/125/JAI a Consiliului (JO L 150, 20.5.2014, p. 93). </w:t>
      </w:r>
    </w:p>
  </w:footnote>
  <w:footnote w:id="23">
    <w:p>
      <w:pPr>
        <w:pStyle w:val="FootnoteText"/>
      </w:pPr>
      <w:r>
        <w:rPr>
          <w:rStyle w:val="FootnoteReference"/>
        </w:rPr>
        <w:footnoteRef/>
      </w:r>
      <w:r>
        <w:tab/>
        <w:t>Regulamentul (UE) nr. 515/2014 al Parlamentului European și al Consiliului din 16 aprilie 2014 de instituire, în cadrul Fondului pentru securitate internă, a instrumentului de sprijin financiar pentru frontiere externe și vize și de abrogare a Deciziei nr. 574/2007/CE (JO L 150, 20.5.2014, p. 143).</w:t>
      </w:r>
    </w:p>
  </w:footnote>
  <w:footnote w:id="24">
    <w:p>
      <w:pPr>
        <w:pStyle w:val="FootnoteText"/>
        <w:spacing w:after="60"/>
      </w:pPr>
      <w:r>
        <w:rPr>
          <w:rStyle w:val="FootnoteReference"/>
        </w:rPr>
        <w:footnoteRef/>
      </w:r>
      <w:r>
        <w:tab/>
        <w:t xml:space="preserve">Regulamentul (UE) nr. 472/2013 al Parlamentului European și al Consiliului din 21 mai 2013 privind consolidarea supravegherii economice și bugetare a statelor membre din zona euro care întâmpină sau care sunt amenințate de dificultăți grave în ceea ce privește stabilitatea lor financiară (JO L 140, 27.5.2013, p. 1). </w:t>
      </w:r>
    </w:p>
  </w:footnote>
  <w:footnote w:id="25">
    <w:p>
      <w:pPr>
        <w:pStyle w:val="FootnoteText"/>
        <w:spacing w:after="60"/>
      </w:pPr>
      <w:r>
        <w:rPr>
          <w:rStyle w:val="FootnoteReference"/>
        </w:rPr>
        <w:footnoteRef/>
      </w:r>
      <w:r>
        <w:tab/>
        <w:t>Regulamentul (CE) nr. 332/2002 al Consiliului din 18 februarie 2002 de înființare a unui mecanism de asistență financiară pe termen mediu pentru balanțele de plăți ale statelor membre (JO L 53, 23.2.2002, p. 1).</w:t>
      </w:r>
    </w:p>
    <w:p>
      <w:pPr>
        <w:pStyle w:val="FootnoteText"/>
      </w:pPr>
    </w:p>
  </w:footnote>
  <w:footnote w:id="26">
    <w:p>
      <w:pPr>
        <w:pStyle w:val="FootnoteText"/>
        <w:spacing w:after="60"/>
      </w:pPr>
      <w:r>
        <w:rPr>
          <w:rStyle w:val="FootnoteReference"/>
        </w:rPr>
        <w:footnoteRef/>
      </w:r>
      <w: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27">
    <w:p>
      <w:pPr>
        <w:pStyle w:val="FootnoteText"/>
        <w:spacing w:after="60"/>
        <w:rPr>
          <w:szCs w:val="24"/>
        </w:rPr>
      </w:pPr>
      <w:r>
        <w:rPr>
          <w:rStyle w:val="FootnoteReference"/>
        </w:rPr>
        <w:footnoteRef/>
      </w:r>
      <w:r>
        <w:tab/>
        <w:t>ABM (</w:t>
      </w:r>
      <w:r>
        <w:rPr>
          <w:i/>
        </w:rPr>
        <w:t>activity-based management</w:t>
      </w:r>
      <w:r>
        <w:t>): gestiune pe activități; ABB (</w:t>
      </w:r>
      <w:r>
        <w:rPr>
          <w:i/>
        </w:rPr>
        <w:t>activity-based budgeting</w:t>
      </w:r>
      <w:r>
        <w:t>): întocmirea bugetului pe activități.</w:t>
      </w:r>
    </w:p>
  </w:footnote>
  <w:footnote w:id="28">
    <w:p>
      <w:pPr>
        <w:pStyle w:val="FootnoteText"/>
        <w:spacing w:after="60"/>
        <w:rPr>
          <w:szCs w:val="24"/>
        </w:rPr>
      </w:pPr>
      <w:r>
        <w:rPr>
          <w:rStyle w:val="FootnoteReference"/>
        </w:rPr>
        <w:footnoteRef/>
      </w:r>
      <w:r>
        <w:tab/>
        <w:t>Astfel cum sunt menționate la articolul 54 alineatul (2) litera (a) sau (b) din Regulamentul financiar.</w:t>
      </w:r>
    </w:p>
  </w:footnote>
  <w:footnote w:id="29">
    <w:p>
      <w:pPr>
        <w:pStyle w:val="FootnoteText"/>
        <w:spacing w:after="60"/>
      </w:pPr>
      <w:r>
        <w:rPr>
          <w:rStyle w:val="FootnoteReference"/>
        </w:rPr>
        <w:footnoteRef/>
      </w:r>
      <w:r>
        <w:tab/>
      </w:r>
      <w:r>
        <w:rPr>
          <w:color w:val="000000"/>
          <w:sz w:val="19"/>
        </w:rPr>
        <w:t>Acțiunea pregătitoare adoptată în PB 2016, la linia bugetară 01 02 77 01, care „este destinată să finanțeze furnizarea de sprijin către statele membre pentru realizarea unor reforme majore în domeniul responsabilității bugetare, al administrației publice favorabile creșterii și al competitivității. Acest sprijin va avea ca scop îmbunătățirea capacității statelor membre de a realiza reforme și de a-și consolida instituțiile publice. Sprijinul ar trebuie să se axeze în special pe reformele bugetare, structurale și instituționale care au fost identificate drept prioritare în ciclul obișnuit de supraveghere macroeconomică, desfășurat de UE, în cursul unui program de ajustare economică, cu ocazia supravegherii consolidate sau a supravegherii ulterioare aplicării programului. Sprijinul va fi furnizat de Comisie la cererea statului membru în cauză și este deschis tuturor statelor membre”.</w:t>
      </w:r>
    </w:p>
  </w:footnote>
  <w:footnote w:id="30">
    <w:p>
      <w:pPr>
        <w:pStyle w:val="FootnoteText"/>
        <w:spacing w:after="60"/>
        <w:rPr>
          <w:szCs w:val="24"/>
        </w:rPr>
      </w:pPr>
      <w:r>
        <w:rPr>
          <w:rStyle w:val="FootnoteReference"/>
        </w:rPr>
        <w:footnoteRef/>
      </w:r>
      <w:r>
        <w:tab/>
        <w:t xml:space="preserve">Explicațiile privind modurile de gestiune, precum și trimiterile la Regulamentul financiar sunt disponibile pe site-ul BudgWeb: </w:t>
      </w:r>
      <w:hyperlink r:id="rId2" w:history="1">
        <w:r>
          <w:rPr>
            <w:rStyle w:val="Hyperlink"/>
            <w:sz w:val="18"/>
          </w:rPr>
          <w:t>http://www.cc.cec/budg/man/budgmanag/budgmanag_en.html</w:t>
        </w:r>
      </w:hyperlink>
    </w:p>
  </w:footnote>
  <w:footnote w:id="31">
    <w:p>
      <w:pPr>
        <w:pStyle w:val="FootnoteText"/>
        <w:spacing w:after="60"/>
        <w:rPr>
          <w:szCs w:val="24"/>
        </w:rPr>
      </w:pPr>
      <w:r>
        <w:rPr>
          <w:rStyle w:val="FootnoteReference"/>
        </w:rPr>
        <w:footnoteRef/>
      </w:r>
      <w:r>
        <w:tab/>
        <w:t>Dif. = credite diferențiate / Nedif. = credite nediferențiate.</w:t>
      </w:r>
    </w:p>
  </w:footnote>
  <w:footnote w:id="32">
    <w:p>
      <w:pPr>
        <w:pStyle w:val="FootnoteText"/>
        <w:spacing w:after="60"/>
        <w:rPr>
          <w:szCs w:val="24"/>
        </w:rPr>
      </w:pPr>
      <w:r>
        <w:rPr>
          <w:rStyle w:val="FootnoteReference"/>
        </w:rPr>
        <w:footnoteRef/>
      </w:r>
      <w:r>
        <w:tab/>
        <w:t xml:space="preserve">AELS: Asociația Europeană a Liberului Schimb. </w:t>
      </w:r>
    </w:p>
  </w:footnote>
  <w:footnote w:id="33">
    <w:p>
      <w:pPr>
        <w:pStyle w:val="FootnoteText"/>
        <w:spacing w:after="60"/>
        <w:rPr>
          <w:szCs w:val="24"/>
        </w:rPr>
      </w:pPr>
      <w:r>
        <w:rPr>
          <w:rStyle w:val="FootnoteReference"/>
        </w:rPr>
        <w:footnoteRef/>
      </w:r>
      <w:r>
        <w:tab/>
        <w:t>Țările candidate și, după caz, țările potențial candidate din Balcanii de Vest.</w:t>
      </w:r>
    </w:p>
  </w:footnote>
  <w:footnote w:id="34">
    <w:p>
      <w:pPr>
        <w:pStyle w:val="FootnoteText"/>
        <w:spacing w:after="60"/>
      </w:pPr>
      <w:r>
        <w:rPr>
          <w:rStyle w:val="FootnoteReference"/>
        </w:rPr>
        <w:footnoteRef/>
      </w:r>
      <w:r>
        <w:tab/>
        <w:t>Anul N este anul în care începe punerea în aplicare a propunerii/inițiativei.</w:t>
      </w:r>
    </w:p>
  </w:footnote>
  <w:footnote w:id="35">
    <w:p>
      <w:pPr>
        <w:pStyle w:val="FootnoteText"/>
        <w:spacing w:after="60"/>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36">
    <w:p>
      <w:pPr>
        <w:pStyle w:val="FootnoteText"/>
        <w:spacing w:after="60"/>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37">
    <w:p>
      <w:pPr>
        <w:pStyle w:val="FootnoteText"/>
        <w:spacing w:after="60"/>
        <w:rPr>
          <w:szCs w:val="24"/>
        </w:rPr>
      </w:pPr>
      <w:r>
        <w:rPr>
          <w:rStyle w:val="FootnoteReference"/>
        </w:rPr>
        <w:footnoteRef/>
      </w:r>
      <w:r>
        <w:tab/>
        <w:t xml:space="preserve">AC = agent contractual; AL = agent local; END = expert național detașat; INT = personal pus la dispoziție de agenții de muncă temporară; JED = expert tânăr în delegații. </w:t>
      </w:r>
    </w:p>
  </w:footnote>
  <w:footnote w:id="38">
    <w:p>
      <w:pPr>
        <w:pStyle w:val="FootnoteText"/>
        <w:spacing w:after="60"/>
        <w:rPr>
          <w:szCs w:val="24"/>
        </w:rPr>
      </w:pPr>
      <w:r>
        <w:rPr>
          <w:rStyle w:val="FootnoteReference"/>
        </w:rPr>
        <w:footnoteRef/>
      </w:r>
      <w:r>
        <w:tab/>
        <w:t>Subplafonul pentru personal extern acoperit din creditele operaționale (fostele linii „BA”).</w:t>
      </w:r>
    </w:p>
  </w:footnote>
  <w:footnote w:id="39">
    <w:p>
      <w:pPr>
        <w:pStyle w:val="FootnoteText"/>
        <w:spacing w:after="60"/>
        <w:rPr>
          <w:szCs w:val="24"/>
        </w:rPr>
      </w:pPr>
      <w:r>
        <w:rPr>
          <w:rStyle w:val="FootnoteReference"/>
        </w:rPr>
        <w:footnoteRef/>
      </w:r>
      <w:r>
        <w:tab/>
        <w:t>În ceea ce privește resursele proprii tradiționale (taxe vamale, cotizații pentru zahăr), sumele indicate trebuie să fie sume nete, și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63BB"/>
    <w:multiLevelType w:val="singleLevel"/>
    <w:tmpl w:val="B77A568C"/>
    <w:lvl w:ilvl="0">
      <w:start w:val="1"/>
      <w:numFmt w:val="bullet"/>
      <w:pStyle w:val="ListDash4"/>
      <w:lvlText w:val="–"/>
      <w:lvlJc w:val="left"/>
      <w:pPr>
        <w:tabs>
          <w:tab w:val="num" w:pos="1723"/>
        </w:tabs>
        <w:ind w:left="1723" w:hanging="283"/>
      </w:pPr>
      <w:rPr>
        <w:rFonts w:ascii="Times New Roman" w:hAnsi="Times New Roman"/>
      </w:rPr>
    </w:lvl>
  </w:abstractNum>
  <w:abstractNum w:abstractNumId="1">
    <w:nsid w:val="0CFE274F"/>
    <w:multiLevelType w:val="singleLevel"/>
    <w:tmpl w:val="7F461434"/>
    <w:lvl w:ilvl="0">
      <w:start w:val="1"/>
      <w:numFmt w:val="bullet"/>
      <w:pStyle w:val="ListBullet4"/>
      <w:lvlText w:val=""/>
      <w:lvlJc w:val="left"/>
      <w:pPr>
        <w:tabs>
          <w:tab w:val="num" w:pos="1723"/>
        </w:tabs>
        <w:ind w:left="1723" w:hanging="283"/>
      </w:pPr>
      <w:rPr>
        <w:rFonts w:ascii="Symbol" w:hAnsi="Symbol"/>
      </w:rPr>
    </w:lvl>
  </w:abstractNum>
  <w:abstractNum w:abstractNumId="2">
    <w:nsid w:val="18BE6CBF"/>
    <w:multiLevelType w:val="singleLevel"/>
    <w:tmpl w:val="268AE5F4"/>
    <w:lvl w:ilvl="0">
      <w:start w:val="1"/>
      <w:numFmt w:val="bullet"/>
      <w:pStyle w:val="ListBullet8"/>
      <w:lvlText w:val=""/>
      <w:lvlJc w:val="left"/>
      <w:pPr>
        <w:tabs>
          <w:tab w:val="num" w:pos="1723"/>
        </w:tabs>
        <w:ind w:left="1723" w:hanging="283"/>
      </w:pPr>
      <w:rPr>
        <w:rFonts w:ascii="Symbol" w:hAnsi="Symbol"/>
      </w:rPr>
    </w:lvl>
  </w:abstractNum>
  <w:abstractNum w:abstractNumId="3">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7C72F08"/>
    <w:multiLevelType w:val="multilevel"/>
    <w:tmpl w:val="589CDCAC"/>
    <w:name w:val="0.773170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7E66849"/>
    <w:multiLevelType w:val="singleLevel"/>
    <w:tmpl w:val="0F5A4A9E"/>
    <w:lvl w:ilvl="0">
      <w:start w:val="1"/>
      <w:numFmt w:val="bullet"/>
      <w:pStyle w:val="ListBullet5"/>
      <w:lvlText w:val=""/>
      <w:lvlJc w:val="left"/>
      <w:pPr>
        <w:tabs>
          <w:tab w:val="num" w:pos="1723"/>
        </w:tabs>
        <w:ind w:left="1723" w:hanging="283"/>
      </w:pPr>
      <w:rPr>
        <w:rFonts w:ascii="Symbol" w:hAnsi="Symbol"/>
      </w:rPr>
    </w:lvl>
  </w:abstractNum>
  <w:abstractNum w:abstractNumId="8">
    <w:nsid w:val="2A316646"/>
    <w:multiLevelType w:val="multilevel"/>
    <w:tmpl w:val="E7D2FDB4"/>
    <w:lvl w:ilvl="0">
      <w:start w:val="1"/>
      <w:numFmt w:val="decimal"/>
      <w:pStyle w:val="ListNumber1"/>
      <w:lvlText w:val="(%1)"/>
      <w:lvlJc w:val="left"/>
      <w:pPr>
        <w:tabs>
          <w:tab w:val="num" w:pos="2149"/>
        </w:tabs>
        <w:ind w:left="2149" w:hanging="709"/>
      </w:pPr>
    </w:lvl>
    <w:lvl w:ilvl="1">
      <w:start w:val="1"/>
      <w:numFmt w:val="lowerLetter"/>
      <w:pStyle w:val="ListNumber1Level2"/>
      <w:lvlText w:val="(%2)"/>
      <w:lvlJc w:val="left"/>
      <w:pPr>
        <w:tabs>
          <w:tab w:val="num" w:pos="2857"/>
        </w:tabs>
        <w:ind w:left="2857" w:hanging="708"/>
      </w:p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2F436774"/>
    <w:multiLevelType w:val="singleLevel"/>
    <w:tmpl w:val="CE16C822"/>
    <w:name w:val="0.1941737"/>
    <w:lvl w:ilvl="0">
      <w:start w:val="1"/>
      <w:numFmt w:val="bullet"/>
      <w:pStyle w:val="ListBullet1"/>
      <w:lvlText w:val=""/>
      <w:lvlJc w:val="left"/>
      <w:pPr>
        <w:tabs>
          <w:tab w:val="num" w:pos="1723"/>
        </w:tabs>
        <w:ind w:left="1723" w:hanging="283"/>
      </w:pPr>
      <w:rPr>
        <w:rFonts w:ascii="Symbol" w:hAnsi="Symbol"/>
      </w:rPr>
    </w:lvl>
  </w:abstractNum>
  <w:abstractNum w:abstractNumId="12">
    <w:nsid w:val="30A7464F"/>
    <w:multiLevelType w:val="multilevel"/>
    <w:tmpl w:val="0686B1B6"/>
    <w:lvl w:ilvl="0">
      <w:start w:val="1"/>
      <w:numFmt w:val="decimal"/>
      <w:pStyle w:val="ListNumber8"/>
      <w:lvlText w:val="(%1)"/>
      <w:lvlJc w:val="left"/>
      <w:pPr>
        <w:tabs>
          <w:tab w:val="num" w:pos="2149"/>
        </w:tabs>
        <w:ind w:left="2149" w:hanging="709"/>
      </w:pPr>
    </w:lvl>
    <w:lvl w:ilvl="1">
      <w:start w:val="1"/>
      <w:numFmt w:val="lowerLetter"/>
      <w:pStyle w:val="ListNumber8Level2"/>
      <w:lvlText w:val="(%2)"/>
      <w:lvlJc w:val="left"/>
      <w:pPr>
        <w:tabs>
          <w:tab w:val="num" w:pos="2857"/>
        </w:tabs>
        <w:ind w:left="2857" w:hanging="708"/>
      </w:pPr>
    </w:lvl>
    <w:lvl w:ilvl="2">
      <w:start w:val="1"/>
      <w:numFmt w:val="bullet"/>
      <w:pStyle w:val="ListNumber8Level3"/>
      <w:lvlText w:val="–"/>
      <w:lvlJc w:val="left"/>
      <w:pPr>
        <w:tabs>
          <w:tab w:val="num" w:pos="3566"/>
        </w:tabs>
        <w:ind w:left="3566" w:hanging="709"/>
      </w:pPr>
      <w:rPr>
        <w:rFonts w:ascii="Times New Roman" w:hAnsi="Times New Roman"/>
      </w:rPr>
    </w:lvl>
    <w:lvl w:ilvl="3">
      <w:start w:val="1"/>
      <w:numFmt w:val="bullet"/>
      <w:pStyle w:val="ListNumber8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4670ADC"/>
    <w:multiLevelType w:val="multilevel"/>
    <w:tmpl w:val="CBA63D2A"/>
    <w:lvl w:ilvl="0">
      <w:start w:val="1"/>
      <w:numFmt w:val="decimal"/>
      <w:pStyle w:val="ListNumber6"/>
      <w:lvlText w:val="(%1)"/>
      <w:lvlJc w:val="left"/>
      <w:pPr>
        <w:tabs>
          <w:tab w:val="num" w:pos="2149"/>
        </w:tabs>
        <w:ind w:left="2149" w:hanging="709"/>
      </w:pPr>
    </w:lvl>
    <w:lvl w:ilvl="1">
      <w:start w:val="1"/>
      <w:numFmt w:val="lowerLetter"/>
      <w:pStyle w:val="ListNumber6Level2"/>
      <w:lvlText w:val="(%2)"/>
      <w:lvlJc w:val="left"/>
      <w:pPr>
        <w:tabs>
          <w:tab w:val="num" w:pos="2857"/>
        </w:tabs>
        <w:ind w:left="2857" w:hanging="708"/>
      </w:pPr>
    </w:lvl>
    <w:lvl w:ilvl="2">
      <w:start w:val="1"/>
      <w:numFmt w:val="bullet"/>
      <w:pStyle w:val="ListNumber6Level3"/>
      <w:lvlText w:val="–"/>
      <w:lvlJc w:val="left"/>
      <w:pPr>
        <w:tabs>
          <w:tab w:val="num" w:pos="3566"/>
        </w:tabs>
        <w:ind w:left="3566" w:hanging="709"/>
      </w:pPr>
      <w:rPr>
        <w:rFonts w:ascii="Times New Roman" w:hAnsi="Times New Roman"/>
      </w:rPr>
    </w:lvl>
    <w:lvl w:ilvl="3">
      <w:start w:val="1"/>
      <w:numFmt w:val="bullet"/>
      <w:pStyle w:val="ListNumber6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66C7E5E"/>
    <w:multiLevelType w:val="singleLevel"/>
    <w:tmpl w:val="14185DC6"/>
    <w:lvl w:ilvl="0">
      <w:start w:val="1"/>
      <w:numFmt w:val="bullet"/>
      <w:pStyle w:val="ListBullet2"/>
      <w:lvlText w:val=""/>
      <w:lvlJc w:val="left"/>
      <w:pPr>
        <w:tabs>
          <w:tab w:val="num" w:pos="1723"/>
        </w:tabs>
        <w:ind w:left="1723" w:hanging="283"/>
      </w:pPr>
      <w:rPr>
        <w:rFonts w:ascii="Symbol" w:hAnsi="Symbol"/>
      </w:rPr>
    </w:lvl>
  </w:abstractNum>
  <w:abstractNum w:abstractNumId="15">
    <w:nsid w:val="366E5DB2"/>
    <w:multiLevelType w:val="multilevel"/>
    <w:tmpl w:val="2388A454"/>
    <w:lvl w:ilvl="0">
      <w:start w:val="1"/>
      <w:numFmt w:val="decimal"/>
      <w:pStyle w:val="ListNumber2"/>
      <w:lvlText w:val="(%1)"/>
      <w:lvlJc w:val="left"/>
      <w:pPr>
        <w:tabs>
          <w:tab w:val="num" w:pos="2149"/>
        </w:tabs>
        <w:ind w:left="2149" w:hanging="709"/>
      </w:pPr>
    </w:lvl>
    <w:lvl w:ilvl="1">
      <w:start w:val="1"/>
      <w:numFmt w:val="lowerLetter"/>
      <w:pStyle w:val="ListNumber2Level2"/>
      <w:lvlText w:val="(%2)"/>
      <w:lvlJc w:val="left"/>
      <w:pPr>
        <w:tabs>
          <w:tab w:val="num" w:pos="2857"/>
        </w:tabs>
        <w:ind w:left="2857" w:hanging="708"/>
      </w:pPr>
    </w:lvl>
    <w:lvl w:ilvl="2">
      <w:start w:val="1"/>
      <w:numFmt w:val="bullet"/>
      <w:pStyle w:val="ListNumber2Level3"/>
      <w:lvlText w:val="–"/>
      <w:lvlJc w:val="left"/>
      <w:pPr>
        <w:tabs>
          <w:tab w:val="num" w:pos="3566"/>
        </w:tabs>
        <w:ind w:left="3566" w:hanging="709"/>
      </w:pPr>
      <w:rPr>
        <w:rFonts w:ascii="Times New Roman" w:hAnsi="Times New Roman"/>
      </w:rPr>
    </w:lvl>
    <w:lvl w:ilvl="3">
      <w:start w:val="1"/>
      <w:numFmt w:val="bullet"/>
      <w:pStyle w:val="ListNumber2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6CD10E0"/>
    <w:multiLevelType w:val="singleLevel"/>
    <w:tmpl w:val="87A8B6B4"/>
    <w:lvl w:ilvl="0">
      <w:start w:val="1"/>
      <w:numFmt w:val="bullet"/>
      <w:pStyle w:val="ListDash7"/>
      <w:lvlText w:val="–"/>
      <w:lvlJc w:val="left"/>
      <w:pPr>
        <w:tabs>
          <w:tab w:val="num" w:pos="1723"/>
        </w:tabs>
        <w:ind w:left="1723" w:hanging="283"/>
      </w:pPr>
      <w:rPr>
        <w:rFonts w:ascii="Times New Roman" w:hAnsi="Times New Roman"/>
      </w:rPr>
    </w:lvl>
  </w:abstractNum>
  <w:abstractNum w:abstractNumId="1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nsid w:val="510F6159"/>
    <w:multiLevelType w:val="hybridMultilevel"/>
    <w:tmpl w:val="C16A7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4FB6CA5"/>
    <w:multiLevelType w:val="singleLevel"/>
    <w:tmpl w:val="0EFACC46"/>
    <w:lvl w:ilvl="0">
      <w:start w:val="1"/>
      <w:numFmt w:val="bullet"/>
      <w:pStyle w:val="ListDash8"/>
      <w:lvlText w:val="–"/>
      <w:lvlJc w:val="left"/>
      <w:pPr>
        <w:tabs>
          <w:tab w:val="num" w:pos="1723"/>
        </w:tabs>
        <w:ind w:left="1723" w:hanging="283"/>
      </w:pPr>
      <w:rPr>
        <w:rFonts w:ascii="Times New Roman" w:hAnsi="Times New Roman"/>
      </w:rPr>
    </w:lvl>
  </w:abstractNum>
  <w:abstractNum w:abstractNumId="22">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59E74131"/>
    <w:multiLevelType w:val="singleLevel"/>
    <w:tmpl w:val="2B20B78E"/>
    <w:lvl w:ilvl="0">
      <w:start w:val="1"/>
      <w:numFmt w:val="bullet"/>
      <w:pStyle w:val="ListBullet7"/>
      <w:lvlText w:val=""/>
      <w:lvlJc w:val="left"/>
      <w:pPr>
        <w:tabs>
          <w:tab w:val="num" w:pos="1723"/>
        </w:tabs>
        <w:ind w:left="1723" w:hanging="283"/>
      </w:pPr>
      <w:rPr>
        <w:rFonts w:ascii="Symbol" w:hAnsi="Symbol"/>
      </w:rPr>
    </w:lvl>
  </w:abstractNum>
  <w:abstractNum w:abstractNumId="24">
    <w:nsid w:val="5A036134"/>
    <w:multiLevelType w:val="multilevel"/>
    <w:tmpl w:val="22EE6080"/>
    <w:lvl w:ilvl="0">
      <w:start w:val="1"/>
      <w:numFmt w:val="decimal"/>
      <w:pStyle w:val="ListNumber5"/>
      <w:lvlText w:val="(%1)"/>
      <w:lvlJc w:val="left"/>
      <w:pPr>
        <w:tabs>
          <w:tab w:val="num" w:pos="2149"/>
        </w:tabs>
        <w:ind w:left="2149" w:hanging="709"/>
      </w:pPr>
    </w:lvl>
    <w:lvl w:ilvl="1">
      <w:start w:val="1"/>
      <w:numFmt w:val="lowerLetter"/>
      <w:pStyle w:val="ListNumber5Level2"/>
      <w:lvlText w:val="(%2)"/>
      <w:lvlJc w:val="left"/>
      <w:pPr>
        <w:tabs>
          <w:tab w:val="num" w:pos="2857"/>
        </w:tabs>
        <w:ind w:left="2857" w:hanging="708"/>
      </w:pPr>
    </w:lvl>
    <w:lvl w:ilvl="2">
      <w:start w:val="1"/>
      <w:numFmt w:val="bullet"/>
      <w:pStyle w:val="ListNumber5Level3"/>
      <w:lvlText w:val="–"/>
      <w:lvlJc w:val="left"/>
      <w:pPr>
        <w:tabs>
          <w:tab w:val="num" w:pos="3566"/>
        </w:tabs>
        <w:ind w:left="3566" w:hanging="709"/>
      </w:pPr>
      <w:rPr>
        <w:rFonts w:ascii="Times New Roman" w:hAnsi="Times New Roman"/>
      </w:rPr>
    </w:lvl>
    <w:lvl w:ilvl="3">
      <w:start w:val="1"/>
      <w:numFmt w:val="bullet"/>
      <w:pStyle w:val="ListNumber5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A2516BD"/>
    <w:multiLevelType w:val="singleLevel"/>
    <w:tmpl w:val="6B9A636E"/>
    <w:name w:val="0.4472773"/>
    <w:lvl w:ilvl="0">
      <w:start w:val="1"/>
      <w:numFmt w:val="bullet"/>
      <w:pStyle w:val="ListDash1"/>
      <w:lvlText w:val="–"/>
      <w:lvlJc w:val="left"/>
      <w:pPr>
        <w:tabs>
          <w:tab w:val="num" w:pos="1723"/>
        </w:tabs>
        <w:ind w:left="1723" w:hanging="283"/>
      </w:pPr>
      <w:rPr>
        <w:rFonts w:ascii="Times New Roman" w:hAnsi="Times New Roman"/>
      </w:rPr>
    </w:lvl>
  </w:abstractNum>
  <w:abstractNum w:abstractNumId="26">
    <w:nsid w:val="5AED7CC1"/>
    <w:multiLevelType w:val="multilevel"/>
    <w:tmpl w:val="3FE20CA8"/>
    <w:lvl w:ilvl="0">
      <w:start w:val="1"/>
      <w:numFmt w:val="decimal"/>
      <w:pStyle w:val="ListNumber3"/>
      <w:lvlText w:val="(%1)"/>
      <w:lvlJc w:val="left"/>
      <w:pPr>
        <w:tabs>
          <w:tab w:val="num" w:pos="2149"/>
        </w:tabs>
        <w:ind w:left="2149" w:hanging="709"/>
      </w:pPr>
    </w:lvl>
    <w:lvl w:ilvl="1">
      <w:start w:val="1"/>
      <w:numFmt w:val="lowerLetter"/>
      <w:pStyle w:val="ListNumber3Level2"/>
      <w:lvlText w:val="(%2)"/>
      <w:lvlJc w:val="left"/>
      <w:pPr>
        <w:tabs>
          <w:tab w:val="num" w:pos="2857"/>
        </w:tabs>
        <w:ind w:left="2857" w:hanging="708"/>
      </w:pPr>
    </w:lvl>
    <w:lvl w:ilvl="2">
      <w:start w:val="1"/>
      <w:numFmt w:val="bullet"/>
      <w:pStyle w:val="ListNumber3Level3"/>
      <w:lvlText w:val="–"/>
      <w:lvlJc w:val="left"/>
      <w:pPr>
        <w:tabs>
          <w:tab w:val="num" w:pos="3566"/>
        </w:tabs>
        <w:ind w:left="3566" w:hanging="709"/>
      </w:pPr>
      <w:rPr>
        <w:rFonts w:ascii="Times New Roman" w:hAnsi="Times New Roman"/>
      </w:rPr>
    </w:lvl>
    <w:lvl w:ilvl="3">
      <w:start w:val="1"/>
      <w:numFmt w:val="bullet"/>
      <w:pStyle w:val="ListNumber3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nsid w:val="5BCE2673"/>
    <w:multiLevelType w:val="singleLevel"/>
    <w:tmpl w:val="1AE4F9D4"/>
    <w:lvl w:ilvl="0">
      <w:start w:val="1"/>
      <w:numFmt w:val="bullet"/>
      <w:pStyle w:val="ListDash5"/>
      <w:lvlText w:val="–"/>
      <w:lvlJc w:val="left"/>
      <w:pPr>
        <w:tabs>
          <w:tab w:val="num" w:pos="1723"/>
        </w:tabs>
        <w:ind w:left="1723" w:hanging="283"/>
      </w:pPr>
      <w:rPr>
        <w:rFonts w:ascii="Times New Roman" w:hAnsi="Times New Roman"/>
      </w:rPr>
    </w:lvl>
  </w:abstractNum>
  <w:abstractNum w:abstractNumId="2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nsid w:val="621B7AB5"/>
    <w:multiLevelType w:val="singleLevel"/>
    <w:tmpl w:val="36C0E208"/>
    <w:lvl w:ilvl="0">
      <w:start w:val="1"/>
      <w:numFmt w:val="bullet"/>
      <w:pStyle w:val="ListDash3"/>
      <w:lvlText w:val="–"/>
      <w:lvlJc w:val="left"/>
      <w:pPr>
        <w:tabs>
          <w:tab w:val="num" w:pos="1723"/>
        </w:tabs>
        <w:ind w:left="1723" w:hanging="283"/>
      </w:pPr>
      <w:rPr>
        <w:rFonts w:ascii="Times New Roman" w:hAnsi="Times New Roman"/>
      </w:rPr>
    </w:lvl>
  </w:abstractNum>
  <w:abstractNum w:abstractNumId="32">
    <w:nsid w:val="624241D6"/>
    <w:multiLevelType w:val="singleLevel"/>
    <w:tmpl w:val="ED569D6A"/>
    <w:lvl w:ilvl="0">
      <w:start w:val="1"/>
      <w:numFmt w:val="bullet"/>
      <w:pStyle w:val="ListBullet"/>
      <w:lvlText w:val=""/>
      <w:lvlJc w:val="left"/>
      <w:pPr>
        <w:tabs>
          <w:tab w:val="num" w:pos="283"/>
        </w:tabs>
        <w:ind w:left="283" w:hanging="283"/>
      </w:pPr>
      <w:rPr>
        <w:rFonts w:ascii="Symbol" w:hAnsi="Symbol"/>
      </w:rPr>
    </w:lvl>
  </w:abstractNum>
  <w:abstractNum w:abstractNumId="33">
    <w:nsid w:val="63225EEB"/>
    <w:multiLevelType w:val="multilevel"/>
    <w:tmpl w:val="CD7E0C86"/>
    <w:lvl w:ilvl="0">
      <w:start w:val="1"/>
      <w:numFmt w:val="decimal"/>
      <w:pStyle w:val="ListNumber4"/>
      <w:lvlText w:val="(%1)"/>
      <w:lvlJc w:val="left"/>
      <w:pPr>
        <w:tabs>
          <w:tab w:val="num" w:pos="2149"/>
        </w:tabs>
        <w:ind w:left="2149" w:hanging="709"/>
      </w:pPr>
    </w:lvl>
    <w:lvl w:ilvl="1">
      <w:start w:val="1"/>
      <w:numFmt w:val="lowerLetter"/>
      <w:pStyle w:val="ListNumber4Level2"/>
      <w:lvlText w:val="(%2)"/>
      <w:lvlJc w:val="left"/>
      <w:pPr>
        <w:tabs>
          <w:tab w:val="num" w:pos="2857"/>
        </w:tabs>
        <w:ind w:left="2857" w:hanging="708"/>
      </w:pPr>
    </w:lvl>
    <w:lvl w:ilvl="2">
      <w:start w:val="1"/>
      <w:numFmt w:val="bullet"/>
      <w:pStyle w:val="ListNumber4Level3"/>
      <w:lvlText w:val="–"/>
      <w:lvlJc w:val="left"/>
      <w:pPr>
        <w:tabs>
          <w:tab w:val="num" w:pos="3566"/>
        </w:tabs>
        <w:ind w:left="3566" w:hanging="709"/>
      </w:pPr>
      <w:rPr>
        <w:rFonts w:ascii="Times New Roman" w:hAnsi="Times New Roman"/>
      </w:rPr>
    </w:lvl>
    <w:lvl w:ilvl="3">
      <w:start w:val="1"/>
      <w:numFmt w:val="bullet"/>
      <w:pStyle w:val="ListNumber4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nsid w:val="6A8F44DF"/>
    <w:multiLevelType w:val="singleLevel"/>
    <w:tmpl w:val="B5D41388"/>
    <w:name w:val="0.5356259"/>
    <w:lvl w:ilvl="0">
      <w:start w:val="1"/>
      <w:numFmt w:val="bullet"/>
      <w:pStyle w:val="ListDash2"/>
      <w:lvlText w:val="–"/>
      <w:lvlJc w:val="left"/>
      <w:pPr>
        <w:tabs>
          <w:tab w:val="num" w:pos="1723"/>
        </w:tabs>
        <w:ind w:left="1723" w:hanging="283"/>
      </w:pPr>
      <w:rPr>
        <w:rFonts w:ascii="Times New Roman" w:hAnsi="Times New Roman"/>
      </w:rPr>
    </w:lvl>
  </w:abstractNum>
  <w:abstractNum w:abstractNumId="37">
    <w:nsid w:val="6D87223D"/>
    <w:multiLevelType w:val="singleLevel"/>
    <w:tmpl w:val="533212EA"/>
    <w:lvl w:ilvl="0">
      <w:start w:val="1"/>
      <w:numFmt w:val="bullet"/>
      <w:pStyle w:val="ListBullet3"/>
      <w:lvlText w:val=""/>
      <w:lvlJc w:val="left"/>
      <w:pPr>
        <w:tabs>
          <w:tab w:val="num" w:pos="1723"/>
        </w:tabs>
        <w:ind w:left="1723" w:hanging="283"/>
      </w:pPr>
      <w:rPr>
        <w:rFonts w:ascii="Symbol" w:hAnsi="Symbol"/>
      </w:rPr>
    </w:lvl>
  </w:abstractNum>
  <w:abstractNum w:abstractNumId="38">
    <w:nsid w:val="6F62497F"/>
    <w:multiLevelType w:val="singleLevel"/>
    <w:tmpl w:val="54E2F4D6"/>
    <w:lvl w:ilvl="0">
      <w:start w:val="1"/>
      <w:numFmt w:val="bullet"/>
      <w:pStyle w:val="ListDash6"/>
      <w:lvlText w:val="–"/>
      <w:lvlJc w:val="left"/>
      <w:pPr>
        <w:tabs>
          <w:tab w:val="num" w:pos="1723"/>
        </w:tabs>
        <w:ind w:left="1723" w:hanging="283"/>
      </w:pPr>
      <w:rPr>
        <w:rFonts w:ascii="Times New Roman" w:hAnsi="Times New Roman"/>
      </w:rPr>
    </w:lvl>
  </w:abstractNum>
  <w:abstractNum w:abstractNumId="39">
    <w:nsid w:val="71941C00"/>
    <w:multiLevelType w:val="singleLevel"/>
    <w:tmpl w:val="740C8B34"/>
    <w:lvl w:ilvl="0">
      <w:start w:val="1"/>
      <w:numFmt w:val="bullet"/>
      <w:pStyle w:val="ListBullet6"/>
      <w:lvlText w:val=""/>
      <w:lvlJc w:val="left"/>
      <w:pPr>
        <w:tabs>
          <w:tab w:val="num" w:pos="1723"/>
        </w:tabs>
        <w:ind w:left="1723" w:hanging="283"/>
      </w:pPr>
      <w:rPr>
        <w:rFonts w:ascii="Symbol" w:hAnsi="Symbol"/>
      </w:rPr>
    </w:lvl>
  </w:abstractNum>
  <w:abstractNum w:abstractNumId="4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1">
    <w:nsid w:val="7F4F4A65"/>
    <w:multiLevelType w:val="multilevel"/>
    <w:tmpl w:val="6A20B96E"/>
    <w:lvl w:ilvl="0">
      <w:start w:val="1"/>
      <w:numFmt w:val="decimal"/>
      <w:pStyle w:val="ListNumber7"/>
      <w:lvlText w:val="(%1)"/>
      <w:lvlJc w:val="left"/>
      <w:pPr>
        <w:tabs>
          <w:tab w:val="num" w:pos="2149"/>
        </w:tabs>
        <w:ind w:left="2149" w:hanging="709"/>
      </w:pPr>
    </w:lvl>
    <w:lvl w:ilvl="1">
      <w:start w:val="1"/>
      <w:numFmt w:val="lowerLetter"/>
      <w:pStyle w:val="ListNumber7Level2"/>
      <w:lvlText w:val="(%2)"/>
      <w:lvlJc w:val="left"/>
      <w:pPr>
        <w:tabs>
          <w:tab w:val="num" w:pos="2857"/>
        </w:tabs>
        <w:ind w:left="2857" w:hanging="708"/>
      </w:pPr>
    </w:lvl>
    <w:lvl w:ilvl="2">
      <w:start w:val="1"/>
      <w:numFmt w:val="bullet"/>
      <w:pStyle w:val="ListNumber7Level3"/>
      <w:lvlText w:val="–"/>
      <w:lvlJc w:val="left"/>
      <w:pPr>
        <w:tabs>
          <w:tab w:val="num" w:pos="3566"/>
        </w:tabs>
        <w:ind w:left="3566" w:hanging="709"/>
      </w:pPr>
      <w:rPr>
        <w:rFonts w:ascii="Times New Roman" w:hAnsi="Times New Roman"/>
      </w:rPr>
    </w:lvl>
    <w:lvl w:ilvl="3">
      <w:start w:val="1"/>
      <w:numFmt w:val="bullet"/>
      <w:pStyle w:val="ListNumber7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32"/>
  </w:num>
  <w:num w:numId="4">
    <w:abstractNumId w:val="11"/>
  </w:num>
  <w:num w:numId="5">
    <w:abstractNumId w:val="14"/>
  </w:num>
  <w:num w:numId="6">
    <w:abstractNumId w:val="37"/>
  </w:num>
  <w:num w:numId="7">
    <w:abstractNumId w:val="1"/>
  </w:num>
  <w:num w:numId="8">
    <w:abstractNumId w:val="7"/>
  </w:num>
  <w:num w:numId="9">
    <w:abstractNumId w:val="39"/>
  </w:num>
  <w:num w:numId="10">
    <w:abstractNumId w:val="23"/>
  </w:num>
  <w:num w:numId="11">
    <w:abstractNumId w:val="2"/>
  </w:num>
  <w:num w:numId="12">
    <w:abstractNumId w:val="4"/>
  </w:num>
  <w:num w:numId="13">
    <w:abstractNumId w:val="25"/>
  </w:num>
  <w:num w:numId="14">
    <w:abstractNumId w:val="36"/>
  </w:num>
  <w:num w:numId="15">
    <w:abstractNumId w:val="31"/>
  </w:num>
  <w:num w:numId="16">
    <w:abstractNumId w:val="0"/>
  </w:num>
  <w:num w:numId="17">
    <w:abstractNumId w:val="28"/>
  </w:num>
  <w:num w:numId="18">
    <w:abstractNumId w:val="38"/>
  </w:num>
  <w:num w:numId="19">
    <w:abstractNumId w:val="16"/>
  </w:num>
  <w:num w:numId="20">
    <w:abstractNumId w:val="21"/>
  </w:num>
  <w:num w:numId="21">
    <w:abstractNumId w:val="6"/>
  </w:num>
  <w:num w:numId="22">
    <w:abstractNumId w:val="8"/>
  </w:num>
  <w:num w:numId="23">
    <w:abstractNumId w:val="15"/>
  </w:num>
  <w:num w:numId="24">
    <w:abstractNumId w:val="26"/>
  </w:num>
  <w:num w:numId="25">
    <w:abstractNumId w:val="33"/>
  </w:num>
  <w:num w:numId="26">
    <w:abstractNumId w:val="24"/>
  </w:num>
  <w:num w:numId="27">
    <w:abstractNumId w:val="13"/>
  </w:num>
  <w:num w:numId="28">
    <w:abstractNumId w:val="41"/>
  </w:num>
  <w:num w:numId="29">
    <w:abstractNumId w:val="12"/>
  </w:num>
  <w:num w:numId="30">
    <w:abstractNumId w:val="40"/>
    <w:lvlOverride w:ilvl="0">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17"/>
  </w:num>
  <w:num w:numId="38">
    <w:abstractNumId w:val="35"/>
  </w:num>
  <w:num w:numId="39">
    <w:abstractNumId w:val="10"/>
  </w:num>
  <w:num w:numId="40">
    <w:abstractNumId w:val="18"/>
  </w:num>
  <w:num w:numId="41">
    <w:abstractNumId w:val="5"/>
  </w:num>
  <w:num w:numId="42">
    <w:abstractNumId w:val="34"/>
  </w:num>
  <w:num w:numId="43">
    <w:abstractNumId w:val="3"/>
  </w:num>
  <w:num w:numId="44">
    <w:abstractNumId w:val="19"/>
  </w:num>
  <w:num w:numId="45">
    <w:abstractNumId w:val="27"/>
  </w:num>
  <w:num w:numId="46">
    <w:abstractNumId w:val="29"/>
  </w:num>
  <w:num w:numId="47">
    <w:abstractNumId w:val="9"/>
  </w:num>
  <w:num w:numId="48">
    <w:abstractNumId w:val="22"/>
  </w:num>
  <w:num w:numId="49">
    <w:abstractNumId w:val="4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displayBackgroundShape/>
  <w:hideSpellingErrors/>
  <w:hideGrammaticalErrors/>
  <w:attachedTemplate r:id="rId1"/>
  <w:revisionView w:markup="0"/>
  <w:defaultTabStop w:val="720"/>
  <w:hyphenationZone w:val="283"/>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1-27 17:32:4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5"/>
    <w:docVar w:name="DQCResult_ModifiedMarkers" w:val="0;0"/>
    <w:docVar w:name="DQCResult_ModifiedNumbering" w:val="0;0"/>
    <w:docVar w:name="DQCResult_Objects" w:val="0;0"/>
    <w:docVar w:name="DQCResult_Sections" w:val="0;0"/>
    <w:docVar w:name="DQCResult_StructureCheck" w:val="0;0"/>
    <w:docVar w:name="DQCResult_SuperfluousWhitespace" w:val="0;33"/>
    <w:docVar w:name="DQCResult_UnknownFonts" w:val="0;0"/>
    <w:docVar w:name="DQCResult_UnknownStyles" w:val="0;6"/>
    <w:docVar w:name="DQCStatus" w:val="Green"/>
    <w:docVar w:name="DQCVersion" w:val="3"/>
    <w:docVar w:name="DQCWithWarnings" w:val="0"/>
    <w:docVar w:name="LW_CONFIDENCE" w:val=" "/>
    <w:docVar w:name="LW_CONST_RESTREINT_UE" w:val="RESTREINT UE"/>
    <w:docVar w:name="LW_CORRIGENDUM" w:val="&lt;UNUSED&gt;"/>
    <w:docVar w:name="LW_COVERPAGE_GUID" w:val="CC4293ABEB19470286C0A9A66013DC41"/>
    <w:docVar w:name="LW_CROSSREFERENCE" w:val="{SWD(2015) 750 final}"/>
    <w:docVar w:name="LW_DocType" w:val="COM"/>
    <w:docVar w:name="LW_EMISSION" w:val="26.11.2015"/>
    <w:docVar w:name="LW_EMISSION_ISODATE" w:val="2015-11-26"/>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63"/>
    <w:docVar w:name="LW_REF.II.NEW.CP_YEAR" w:val="2015"/>
    <w:docVar w:name="LW_REF.INST.NEW" w:val="COM"/>
    <w:docVar w:name="LW_REF.INST.NEW_ADOPTED" w:val="final"/>
    <w:docVar w:name="LW_REF.INST.NEW_TEXT" w:val="(2015) 701"/>
    <w:docVar w:name="LW_REF.INTERNE" w:val="&lt;UNUSED&gt;"/>
    <w:docVar w:name="LW_SOUS.TITRE.OBJ.CP" w:val="&lt;UNUSED&gt;"/>
    <w:docVar w:name="LW_STATUT.CP" w:val="Propunere de"/>
    <w:docVar w:name="LW_SUPERTITRE" w:val="&lt;UNUSED&gt;"/>
    <w:docVar w:name="LW_TITRE.OBJ.CP" w:val="de instituire a Programului de sprijin pentru reforme structurale pentru perioada 2017­2020 \u537?i de modificare a Regulamentelor (UE) nr. 1303/2013 \u537?i (UE) nr. 1305/2013 "/>
    <w:docVar w:name="LW_TYPE.DOC.CP" w:val="REGULAMENT AL PARLAMENTULUI EUROPEAN \u350?I AL CONSILIULUI"/>
  </w:docVar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Normal"/>
    <w:link w:val="Heading5Char"/>
    <w:qFormat/>
    <w:pPr>
      <w:tabs>
        <w:tab w:val="left" w:pos="1008"/>
      </w:tabs>
      <w:suppressAutoHyphens/>
      <w:spacing w:before="240" w:after="60"/>
      <w:ind w:left="1008" w:hanging="1008"/>
      <w:jc w:val="left"/>
      <w:outlineLvl w:val="4"/>
    </w:pPr>
    <w:rPr>
      <w:rFonts w:eastAsia="Times New Roman"/>
      <w:b/>
      <w:bCs/>
      <w:i/>
      <w:iCs/>
      <w:sz w:val="26"/>
      <w:szCs w:val="26"/>
      <w:lang w:eastAsia="ar-SA"/>
    </w:rPr>
  </w:style>
  <w:style w:type="paragraph" w:styleId="Heading6">
    <w:name w:val="heading 6"/>
    <w:basedOn w:val="Normal"/>
    <w:next w:val="Normal"/>
    <w:link w:val="Heading6Char"/>
    <w:qFormat/>
    <w:pPr>
      <w:tabs>
        <w:tab w:val="left" w:pos="1152"/>
      </w:tabs>
      <w:suppressAutoHyphens/>
      <w:spacing w:before="240" w:after="60"/>
      <w:ind w:left="1152" w:hanging="1152"/>
      <w:jc w:val="left"/>
      <w:outlineLvl w:val="5"/>
    </w:pPr>
    <w:rPr>
      <w:rFonts w:eastAsia="Times New Roman"/>
      <w:b/>
      <w:bCs/>
      <w:sz w:val="22"/>
      <w:lang w:eastAsia="ar-SA"/>
    </w:rPr>
  </w:style>
  <w:style w:type="paragraph" w:styleId="Heading7">
    <w:name w:val="heading 7"/>
    <w:basedOn w:val="Normal"/>
    <w:next w:val="Normal"/>
    <w:link w:val="Heading7Char"/>
    <w:qFormat/>
    <w:pPr>
      <w:tabs>
        <w:tab w:val="left" w:pos="1296"/>
      </w:tabs>
      <w:suppressAutoHyphens/>
      <w:spacing w:before="240" w:after="60"/>
      <w:ind w:left="1296" w:hanging="1296"/>
      <w:jc w:val="left"/>
      <w:outlineLvl w:val="6"/>
    </w:pPr>
    <w:rPr>
      <w:rFonts w:eastAsia="Times New Roman"/>
      <w:szCs w:val="24"/>
      <w:lang w:eastAsia="ar-SA"/>
    </w:rPr>
  </w:style>
  <w:style w:type="paragraph" w:styleId="Heading8">
    <w:name w:val="heading 8"/>
    <w:basedOn w:val="Normal"/>
    <w:next w:val="Normal"/>
    <w:link w:val="Heading8Char"/>
    <w:qFormat/>
    <w:pPr>
      <w:tabs>
        <w:tab w:val="left" w:pos="1440"/>
      </w:tabs>
      <w:suppressAutoHyphens/>
      <w:spacing w:before="240" w:after="60"/>
      <w:ind w:left="1440" w:hanging="1440"/>
      <w:jc w:val="left"/>
      <w:outlineLvl w:val="7"/>
    </w:pPr>
    <w:rPr>
      <w:rFonts w:eastAsia="Times New Roman"/>
      <w:i/>
      <w:iCs/>
      <w:szCs w:val="24"/>
      <w:lang w:eastAsia="ar-SA"/>
    </w:rPr>
  </w:style>
  <w:style w:type="paragraph" w:styleId="Heading9">
    <w:name w:val="heading 9"/>
    <w:basedOn w:val="Normal"/>
    <w:next w:val="Normal"/>
    <w:link w:val="Heading9Char"/>
    <w:qFormat/>
    <w:pPr>
      <w:tabs>
        <w:tab w:val="left" w:pos="1584"/>
      </w:tabs>
      <w:suppressAutoHyphens/>
      <w:spacing w:before="240" w:after="60"/>
      <w:ind w:left="1584" w:hanging="1584"/>
      <w:jc w:val="left"/>
      <w:outlineLvl w:val="8"/>
    </w:pPr>
    <w:rPr>
      <w:rFonts w:ascii="Arial" w:eastAsia="Times New Roman" w:hAnsi="Arial" w:cs="Arial"/>
      <w:sz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Calibri" w:eastAsia="Calibri" w:hAnsi="Calibri" w:cs="Times New Roman"/>
      <w:lang w:val="en-GB"/>
    </w:rPr>
  </w:style>
  <w:style w:type="character" w:customStyle="1" w:styleId="FootnoteCharacters">
    <w:name w:val="Footnote Characters"/>
    <w:rPr>
      <w:shd w:val="clear" w:color="auto" w:fill="auto"/>
      <w:vertAlign w:val="superscript"/>
    </w:rPr>
  </w:style>
  <w:style w:type="character" w:styleId="Hyperlink">
    <w:name w:val="Hyperlink"/>
    <w:rPr>
      <w:rFonts w:cs="Times New Roman"/>
      <w:color w:val="0000FF"/>
      <w:u w:val="single"/>
      <w:shd w:val="clear" w:color="auto" w:fill="auto"/>
    </w:rPr>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Fichefinancirestandardtitre">
    <w:name w:val="Fiche financière (standard) titre"/>
    <w:basedOn w:val="Normal"/>
    <w:next w:val="Normal"/>
    <w:pPr>
      <w:suppressAutoHyphens/>
      <w:jc w:val="center"/>
    </w:pPr>
    <w:rPr>
      <w:rFonts w:eastAsia="Times New Roman"/>
      <w:b/>
      <w:szCs w:val="24"/>
      <w:u w:val="single"/>
      <w:lang w:eastAsia="ar-SA"/>
    </w:rPr>
  </w:style>
  <w:style w:type="paragraph" w:customStyle="1" w:styleId="CM1">
    <w:name w:val="CM1"/>
    <w:basedOn w:val="Normal"/>
    <w:next w:val="Normal"/>
    <w:uiPriority w:val="99"/>
    <w:pPr>
      <w:suppressAutoHyphens/>
      <w:autoSpaceDE w:val="0"/>
      <w:spacing w:before="0" w:after="0"/>
      <w:jc w:val="left"/>
    </w:pPr>
    <w:rPr>
      <w:rFonts w:ascii="EUAlbertina" w:eastAsia="Times New Roman" w:hAnsi="EUAlbertina"/>
      <w:szCs w:val="24"/>
      <w:lang w:eastAsia="ar-SA"/>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val="en-GB" w:eastAsia="ar-SA"/>
    </w:rPr>
  </w:style>
  <w:style w:type="character" w:customStyle="1" w:styleId="Heading6Char">
    <w:name w:val="Heading 6 Char"/>
    <w:basedOn w:val="DefaultParagraphFont"/>
    <w:link w:val="Heading6"/>
    <w:rPr>
      <w:rFonts w:ascii="Times New Roman" w:eastAsia="Times New Roman" w:hAnsi="Times New Roman" w:cs="Times New Roman"/>
      <w:b/>
      <w:bCs/>
      <w:lang w:val="en-GB" w:eastAsia="ar-SA"/>
    </w:rPr>
  </w:style>
  <w:style w:type="character" w:customStyle="1" w:styleId="Heading7Char">
    <w:name w:val="Heading 7 Char"/>
    <w:basedOn w:val="DefaultParagraphFont"/>
    <w:link w:val="Heading7"/>
    <w:rPr>
      <w:rFonts w:ascii="Times New Roman" w:eastAsia="Times New Roman" w:hAnsi="Times New Roman" w:cs="Times New Roman"/>
      <w:sz w:val="24"/>
      <w:szCs w:val="24"/>
      <w:lang w:val="en-GB" w:eastAsia="ar-SA"/>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lang w:val="en-GB" w:eastAsia="ar-SA"/>
    </w:rPr>
  </w:style>
  <w:style w:type="character" w:customStyle="1" w:styleId="Heading9Char">
    <w:name w:val="Heading 9 Char"/>
    <w:basedOn w:val="DefaultParagraphFont"/>
    <w:link w:val="Heading9"/>
    <w:rPr>
      <w:rFonts w:ascii="Arial" w:eastAsia="Times New Roman" w:hAnsi="Arial" w:cs="Arial"/>
      <w:lang w:val="en-GB" w:eastAsia="ar-SA"/>
    </w:rPr>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10z0">
    <w:name w:val="WW8Num10z0"/>
    <w:rPr>
      <w:rFonts w:ascii="Symbol" w:hAnsi="Symbol"/>
    </w:rPr>
  </w:style>
  <w:style w:type="character" w:customStyle="1" w:styleId="WW8Num16z0">
    <w:name w:val="WW8Num16z0"/>
    <w:rPr>
      <w:rFonts w:ascii="Symbol" w:hAnsi="Symbol"/>
    </w:rPr>
  </w:style>
  <w:style w:type="character" w:customStyle="1" w:styleId="WW8Num19z0">
    <w:name w:val="WW8Num19z0"/>
    <w:rPr>
      <w:rFonts w:ascii="Symbol" w:hAnsi="Symbol"/>
    </w:rPr>
  </w:style>
  <w:style w:type="character" w:customStyle="1" w:styleId="WW8Num21z0">
    <w:name w:val="WW8Num21z0"/>
    <w:rPr>
      <w:rFonts w:ascii="Times New Roman" w:hAnsi="Times New Roman"/>
    </w:rPr>
  </w:style>
  <w:style w:type="character" w:customStyle="1" w:styleId="WW8Num22z0">
    <w:name w:val="WW8Num22z0"/>
    <w:rPr>
      <w:rFonts w:ascii="Symbol" w:hAnsi="Symbol"/>
    </w:rPr>
  </w:style>
  <w:style w:type="character" w:customStyle="1" w:styleId="WW8Num23z0">
    <w:name w:val="WW8Num23z0"/>
    <w:rPr>
      <w:rFonts w:cs="Times New Roman"/>
    </w:rPr>
  </w:style>
  <w:style w:type="character" w:customStyle="1" w:styleId="WW8Num23z2">
    <w:name w:val="WW8Num23z2"/>
    <w:rPr>
      <w:rFonts w:ascii="Times New Roman" w:hAnsi="Times New Roman"/>
    </w:rPr>
  </w:style>
  <w:style w:type="character" w:customStyle="1" w:styleId="WW8Num23z3">
    <w:name w:val="WW8Num23z3"/>
    <w:rPr>
      <w:rFonts w:ascii="Symbol" w:hAnsi="Symbol"/>
    </w:rPr>
  </w:style>
  <w:style w:type="character" w:customStyle="1" w:styleId="WW8Num24z0">
    <w:name w:val="WW8Num24z0"/>
    <w:rPr>
      <w:rFonts w:ascii="Symbol" w:hAnsi="Symbol"/>
    </w:rPr>
  </w:style>
  <w:style w:type="character" w:customStyle="1" w:styleId="WW8Num26z0">
    <w:name w:val="WW8Num26z0"/>
    <w:rPr>
      <w:rFonts w:cs="Times New Roman"/>
    </w:rPr>
  </w:style>
  <w:style w:type="character" w:customStyle="1" w:styleId="WW8Num26z2">
    <w:name w:val="WW8Num26z2"/>
    <w:rPr>
      <w:rFonts w:ascii="Times New Roman" w:hAnsi="Times New Roman"/>
    </w:rPr>
  </w:style>
  <w:style w:type="character" w:customStyle="1" w:styleId="WW8Num26z3">
    <w:name w:val="WW8Num26z3"/>
    <w:rPr>
      <w:rFonts w:ascii="Symbol" w:hAnsi="Symbol"/>
    </w:rPr>
  </w:style>
  <w:style w:type="character" w:styleId="Emphasis">
    <w:name w:val="Emphasis"/>
    <w:qFormat/>
    <w:rPr>
      <w:rFonts w:cs="Times New Roman"/>
      <w:i/>
      <w:iCs/>
      <w:shd w:val="clear" w:color="auto" w:fill="auto"/>
    </w:rPr>
  </w:style>
  <w:style w:type="character" w:styleId="FollowedHyperlink">
    <w:name w:val="FollowedHyperlink"/>
    <w:rPr>
      <w:color w:val="800080"/>
      <w:u w:val="single"/>
      <w:shd w:val="clear" w:color="auto" w:fill="auto"/>
    </w:rPr>
  </w:style>
  <w:style w:type="character" w:styleId="CommentReference">
    <w:name w:val="annotation reference"/>
    <w:rPr>
      <w:sz w:val="16"/>
      <w:szCs w:val="16"/>
      <w:shd w:val="clear" w:color="auto" w:fill="auto"/>
    </w:rPr>
  </w:style>
  <w:style w:type="character" w:customStyle="1" w:styleId="CommentTextChar1">
    <w:name w:val="Comment Text Char1"/>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uppressAutoHyphens/>
      <w:spacing w:before="240"/>
    </w:pPr>
    <w:rPr>
      <w:rFonts w:ascii="Arial" w:eastAsia="SimSun" w:hAnsi="Arial" w:cs="Lucida Sans"/>
      <w:sz w:val="28"/>
      <w:szCs w:val="28"/>
      <w:lang w:eastAsia="ar-SA"/>
    </w:rPr>
  </w:style>
  <w:style w:type="paragraph" w:styleId="BodyText">
    <w:name w:val="Body Text"/>
    <w:basedOn w:val="Normal"/>
    <w:link w:val="BodyTextChar"/>
    <w:pPr>
      <w:suppressAutoHyphens/>
      <w:spacing w:before="0"/>
    </w:pPr>
    <w:rPr>
      <w:rFonts w:eastAsia="Times New Roman"/>
      <w:szCs w:val="24"/>
      <w:lang w:eastAsia="ar-SA"/>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eastAsia="ar-SA"/>
    </w:rPr>
  </w:style>
  <w:style w:type="paragraph" w:styleId="List">
    <w:name w:val="List"/>
    <w:basedOn w:val="BodyText"/>
    <w:rPr>
      <w:rFonts w:cs="Lucida Sans"/>
    </w:rPr>
  </w:style>
  <w:style w:type="paragraph" w:styleId="Caption">
    <w:name w:val="caption"/>
    <w:basedOn w:val="Normal"/>
    <w:next w:val="Normal"/>
    <w:qFormat/>
    <w:pPr>
      <w:suppressAutoHyphens/>
    </w:pPr>
    <w:rPr>
      <w:rFonts w:eastAsia="Times New Roman"/>
      <w:b/>
      <w:bCs/>
      <w:sz w:val="20"/>
      <w:szCs w:val="20"/>
      <w:lang w:eastAsia="ar-SA"/>
    </w:rPr>
  </w:style>
  <w:style w:type="paragraph" w:customStyle="1" w:styleId="Index">
    <w:name w:val="Index"/>
    <w:basedOn w:val="Normal"/>
    <w:pPr>
      <w:suppressLineNumbers/>
      <w:suppressAutoHyphens/>
    </w:pPr>
    <w:rPr>
      <w:rFonts w:eastAsia="Times New Roman" w:cs="Lucida Sans"/>
      <w:szCs w:val="24"/>
      <w:lang w:eastAsia="ar-SA"/>
    </w:rPr>
  </w:style>
  <w:style w:type="paragraph" w:styleId="ListBullet">
    <w:name w:val="List Bullet"/>
    <w:basedOn w:val="Normal"/>
    <w:pPr>
      <w:numPr>
        <w:numId w:val="3"/>
      </w:numPr>
      <w:spacing w:before="0" w:after="240"/>
    </w:pPr>
    <w:rPr>
      <w:rFonts w:eastAsia="Times New Roman"/>
      <w:szCs w:val="20"/>
    </w:rPr>
  </w:style>
  <w:style w:type="paragraph" w:styleId="ListBullet2">
    <w:name w:val="List Bullet 2"/>
    <w:basedOn w:val="Text2"/>
    <w:pPr>
      <w:numPr>
        <w:numId w:val="5"/>
      </w:numPr>
      <w:spacing w:before="0" w:after="240"/>
    </w:pPr>
    <w:rPr>
      <w:rFonts w:eastAsia="Times New Roman"/>
      <w:szCs w:val="20"/>
    </w:rPr>
  </w:style>
  <w:style w:type="paragraph" w:styleId="ListBullet3">
    <w:name w:val="List Bullet 3"/>
    <w:basedOn w:val="Text3"/>
    <w:pPr>
      <w:numPr>
        <w:numId w:val="6"/>
      </w:numPr>
      <w:spacing w:before="0" w:after="240"/>
    </w:pPr>
    <w:rPr>
      <w:rFonts w:eastAsia="Times New Roman"/>
      <w:szCs w:val="20"/>
    </w:rPr>
  </w:style>
  <w:style w:type="paragraph" w:styleId="ListBullet4">
    <w:name w:val="List Bullet 4"/>
    <w:basedOn w:val="Text4"/>
    <w:pPr>
      <w:numPr>
        <w:numId w:val="7"/>
      </w:numPr>
      <w:spacing w:before="0" w:after="240"/>
    </w:pPr>
    <w:rPr>
      <w:rFonts w:eastAsia="Times New Roman"/>
      <w:szCs w:val="20"/>
    </w:rPr>
  </w:style>
  <w:style w:type="paragraph" w:styleId="ListNumber">
    <w:name w:val="List Number"/>
    <w:basedOn w:val="Normal"/>
    <w:pPr>
      <w:numPr>
        <w:numId w:val="21"/>
      </w:numPr>
      <w:spacing w:before="0" w:after="240"/>
    </w:pPr>
    <w:rPr>
      <w:rFonts w:eastAsia="Times New Roman"/>
      <w:szCs w:val="20"/>
    </w:rPr>
  </w:style>
  <w:style w:type="paragraph" w:styleId="ListNumber2">
    <w:name w:val="List Number 2"/>
    <w:basedOn w:val="Text2"/>
    <w:pPr>
      <w:numPr>
        <w:numId w:val="23"/>
      </w:numPr>
      <w:spacing w:before="0" w:after="240"/>
    </w:pPr>
    <w:rPr>
      <w:rFonts w:eastAsia="Times New Roman"/>
      <w:szCs w:val="20"/>
    </w:rPr>
  </w:style>
  <w:style w:type="paragraph" w:styleId="ListNumber3">
    <w:name w:val="List Number 3"/>
    <w:basedOn w:val="Text3"/>
    <w:pPr>
      <w:numPr>
        <w:numId w:val="24"/>
      </w:numPr>
      <w:spacing w:before="0" w:after="240"/>
    </w:pPr>
    <w:rPr>
      <w:rFonts w:eastAsia="Times New Roman"/>
      <w:szCs w:val="20"/>
    </w:rPr>
  </w:style>
  <w:style w:type="paragraph" w:styleId="ListNumber4">
    <w:name w:val="List Number 4"/>
    <w:basedOn w:val="Text4"/>
    <w:pPr>
      <w:numPr>
        <w:numId w:val="25"/>
      </w:numPr>
      <w:spacing w:before="0" w:after="240"/>
    </w:pPr>
    <w:rPr>
      <w:rFonts w:eastAsia="Times New Roman"/>
      <w:szCs w:val="20"/>
    </w:rPr>
  </w:style>
  <w:style w:type="paragraph" w:customStyle="1" w:styleId="ListDash1">
    <w:name w:val="List Dash 1"/>
    <w:basedOn w:val="Text1"/>
    <w:pPr>
      <w:numPr>
        <w:numId w:val="13"/>
      </w:numPr>
      <w:spacing w:before="0" w:after="240"/>
    </w:pPr>
    <w:rPr>
      <w:rFonts w:eastAsia="Times New Roman"/>
      <w:szCs w:val="20"/>
    </w:rPr>
  </w:style>
  <w:style w:type="paragraph" w:customStyle="1" w:styleId="ListNumber1">
    <w:name w:val="List Number 1"/>
    <w:basedOn w:val="Text1"/>
    <w:pPr>
      <w:numPr>
        <w:numId w:val="22"/>
      </w:numPr>
      <w:spacing w:before="0" w:after="240"/>
    </w:pPr>
    <w:rPr>
      <w:rFonts w:eastAsia="Times New Roman"/>
      <w:szCs w:val="20"/>
    </w:rPr>
  </w:style>
  <w:style w:type="paragraph" w:customStyle="1" w:styleId="ListNumber1Level2">
    <w:name w:val="List Number 1 (Level 2)"/>
    <w:basedOn w:val="Text1"/>
    <w:pPr>
      <w:numPr>
        <w:ilvl w:val="1"/>
        <w:numId w:val="22"/>
      </w:numPr>
      <w:spacing w:before="0" w:after="240"/>
    </w:pPr>
    <w:rPr>
      <w:rFonts w:eastAsia="Times New Roman"/>
      <w:szCs w:val="20"/>
    </w:rPr>
  </w:style>
  <w:style w:type="paragraph" w:customStyle="1" w:styleId="ListNumber1Level3">
    <w:name w:val="List Number 1 (Level 3)"/>
    <w:basedOn w:val="Text1"/>
    <w:pPr>
      <w:numPr>
        <w:ilvl w:val="2"/>
        <w:numId w:val="22"/>
      </w:numPr>
      <w:spacing w:before="0" w:after="240"/>
    </w:pPr>
    <w:rPr>
      <w:rFonts w:eastAsia="Times New Roman"/>
      <w:szCs w:val="20"/>
    </w:rPr>
  </w:style>
  <w:style w:type="paragraph" w:customStyle="1" w:styleId="ListNumber1Level4">
    <w:name w:val="List Number 1 (Level 4)"/>
    <w:basedOn w:val="Text1"/>
    <w:pPr>
      <w:numPr>
        <w:ilvl w:val="3"/>
        <w:numId w:val="22"/>
      </w:numPr>
      <w:spacing w:before="0" w:after="240"/>
    </w:pPr>
    <w:rPr>
      <w:rFonts w:eastAsia="Times New Roman"/>
      <w:szCs w:val="20"/>
    </w:rPr>
  </w:style>
  <w:style w:type="paragraph" w:styleId="BodyTextIndent3">
    <w:name w:val="Body Text Indent 3"/>
    <w:basedOn w:val="Normal"/>
    <w:link w:val="BodyTextIndent3Char"/>
    <w:pPr>
      <w:suppressAutoHyphens/>
      <w:spacing w:before="0"/>
      <w:ind w:left="283"/>
    </w:pPr>
    <w:rPr>
      <w:rFonts w:eastAsia="Times New Roman"/>
      <w:sz w:val="16"/>
      <w:szCs w:val="20"/>
      <w:lang w:eastAsia="ar-SA"/>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en-GB" w:eastAsia="ar-SA"/>
    </w:rPr>
  </w:style>
  <w:style w:type="paragraph" w:customStyle="1" w:styleId="ListNumberLevel2">
    <w:name w:val="List Number (Level 2)"/>
    <w:basedOn w:val="Normal"/>
    <w:pPr>
      <w:numPr>
        <w:ilvl w:val="1"/>
        <w:numId w:val="21"/>
      </w:numPr>
      <w:spacing w:before="0" w:after="240"/>
    </w:pPr>
    <w:rPr>
      <w:rFonts w:eastAsia="Times New Roman"/>
      <w:szCs w:val="20"/>
    </w:rPr>
  </w:style>
  <w:style w:type="paragraph" w:customStyle="1" w:styleId="ListBullet1">
    <w:name w:val="List Bullet 1"/>
    <w:basedOn w:val="Text1"/>
    <w:pPr>
      <w:numPr>
        <w:numId w:val="4"/>
      </w:numPr>
      <w:spacing w:before="0" w:after="240"/>
    </w:pPr>
    <w:rPr>
      <w:rFonts w:eastAsia="Times New Roman"/>
      <w:szCs w:val="20"/>
    </w:rPr>
  </w:style>
  <w:style w:type="paragraph" w:customStyle="1" w:styleId="ListDash2">
    <w:name w:val="List Dash 2"/>
    <w:basedOn w:val="Text2"/>
    <w:pPr>
      <w:numPr>
        <w:numId w:val="14"/>
      </w:numPr>
      <w:spacing w:before="0" w:after="240"/>
    </w:pPr>
    <w:rPr>
      <w:rFonts w:eastAsia="Times New Roman"/>
      <w:szCs w:val="20"/>
    </w:rPr>
  </w:style>
  <w:style w:type="paragraph" w:customStyle="1" w:styleId="ListNumberLevel3">
    <w:name w:val="List Number (Level 3)"/>
    <w:basedOn w:val="Normal"/>
    <w:pPr>
      <w:numPr>
        <w:ilvl w:val="2"/>
        <w:numId w:val="21"/>
      </w:numPr>
      <w:spacing w:before="0" w:after="240"/>
    </w:pPr>
    <w:rPr>
      <w:rFonts w:eastAsia="Times New Roman"/>
      <w:szCs w:val="20"/>
    </w:rPr>
  </w:style>
  <w:style w:type="paragraph" w:customStyle="1" w:styleId="ListNumberLevel4">
    <w:name w:val="List Number (Level 4)"/>
    <w:basedOn w:val="Normal"/>
    <w:pPr>
      <w:numPr>
        <w:ilvl w:val="3"/>
        <w:numId w:val="21"/>
      </w:numPr>
      <w:spacing w:before="0" w:after="240"/>
    </w:pPr>
    <w:rPr>
      <w:rFonts w:eastAsia="Times New Roman"/>
      <w:szCs w:val="20"/>
    </w:rPr>
  </w:style>
  <w:style w:type="paragraph" w:styleId="TableofFigures">
    <w:name w:val="table of figures"/>
    <w:basedOn w:val="Normal"/>
    <w:next w:val="Normal"/>
    <w:pPr>
      <w:suppressAutoHyphens/>
    </w:pPr>
    <w:rPr>
      <w:rFonts w:eastAsia="Times New Roman"/>
      <w:szCs w:val="24"/>
      <w:lang w:eastAsia="ar-SA"/>
    </w:rPr>
  </w:style>
  <w:style w:type="paragraph" w:styleId="CommentText">
    <w:name w:val="annotation text"/>
    <w:basedOn w:val="Normal"/>
    <w:link w:val="CommentTextChar"/>
    <w:pPr>
      <w:suppressAutoHyphens/>
    </w:pPr>
    <w:rPr>
      <w:rFonts w:eastAsia="Times New Roman"/>
      <w:sz w:val="20"/>
      <w:szCs w:val="20"/>
      <w:lang w:eastAsia="ar-SA"/>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en-GB" w:eastAsia="ar-SA"/>
    </w:rPr>
  </w:style>
  <w:style w:type="paragraph" w:styleId="BalloonText">
    <w:name w:val="Balloon Text"/>
    <w:basedOn w:val="Normal"/>
    <w:link w:val="BalloonTextChar"/>
    <w:pPr>
      <w:suppressAutoHyphens/>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Pr>
      <w:rFonts w:ascii="Tahoma" w:eastAsia="Times New Roman" w:hAnsi="Tahoma" w:cs="Tahoma"/>
      <w:sz w:val="16"/>
      <w:szCs w:val="16"/>
      <w:lang w:val="en-GB" w:eastAsia="ar-SA"/>
    </w:rPr>
  </w:style>
  <w:style w:type="paragraph" w:styleId="DocumentMap">
    <w:name w:val="Document Map"/>
    <w:basedOn w:val="Normal"/>
    <w:link w:val="DocumentMapChar"/>
    <w:pPr>
      <w:shd w:val="clear" w:color="auto" w:fill="000080"/>
      <w:suppressAutoHyphens/>
    </w:pPr>
    <w:rPr>
      <w:rFonts w:ascii="Tahoma" w:eastAsia="Times New Roman" w:hAnsi="Tahoma" w:cs="Tahoma"/>
      <w:sz w:val="20"/>
      <w:szCs w:val="20"/>
      <w:lang w:eastAsia="ar-SA"/>
    </w:rPr>
  </w:style>
  <w:style w:type="character" w:customStyle="1" w:styleId="DocumentMapChar">
    <w:name w:val="Document Map Char"/>
    <w:basedOn w:val="DefaultParagraphFont"/>
    <w:link w:val="DocumentMap"/>
    <w:rPr>
      <w:rFonts w:ascii="Tahoma" w:eastAsia="Times New Roman" w:hAnsi="Tahoma" w:cs="Tahoma"/>
      <w:sz w:val="20"/>
      <w:szCs w:val="20"/>
      <w:shd w:val="clear" w:color="auto" w:fill="000080"/>
      <w:lang w:val="en-GB" w:eastAsia="ar-SA"/>
    </w:rPr>
  </w:style>
  <w:style w:type="paragraph" w:customStyle="1" w:styleId="CM3">
    <w:name w:val="CM3"/>
    <w:basedOn w:val="Normal"/>
    <w:next w:val="Normal"/>
    <w:uiPriority w:val="99"/>
    <w:pPr>
      <w:suppressAutoHyphens/>
      <w:autoSpaceDE w:val="0"/>
      <w:spacing w:before="0" w:after="0"/>
      <w:jc w:val="left"/>
    </w:pPr>
    <w:rPr>
      <w:rFonts w:ascii="EUAlbertina" w:eastAsia="Times New Roman" w:hAnsi="EUAlbertina"/>
      <w:szCs w:val="24"/>
      <w:lang w:eastAsia="ar-SA"/>
    </w:rPr>
  </w:style>
  <w:style w:type="paragraph" w:customStyle="1" w:styleId="WW-Default">
    <w:name w:val="WW-Default"/>
    <w:pPr>
      <w:suppressAutoHyphens/>
      <w:autoSpaceDE w:val="0"/>
      <w:spacing w:after="0" w:line="240" w:lineRule="auto"/>
    </w:pPr>
    <w:rPr>
      <w:rFonts w:ascii="EUAlbertina" w:eastAsia="Arial" w:hAnsi="EUAlbertina" w:cs="EUAlbertina"/>
      <w:color w:val="000000"/>
      <w:sz w:val="24"/>
      <w:szCs w:val="24"/>
      <w:lang w:val="en-GB" w:eastAsia="ar-SA"/>
    </w:rPr>
  </w:style>
  <w:style w:type="paragraph" w:customStyle="1" w:styleId="CM4">
    <w:name w:val="CM4"/>
    <w:basedOn w:val="WW-Default"/>
    <w:next w:val="WW-Default"/>
    <w:uiPriority w:val="99"/>
    <w:rPr>
      <w:rFonts w:cs="Times New Roman"/>
      <w:color w:val="auto"/>
    </w:rPr>
  </w:style>
  <w:style w:type="paragraph" w:customStyle="1" w:styleId="CM11">
    <w:name w:val="CM1+1"/>
    <w:basedOn w:val="WW-Default"/>
    <w:next w:val="WW-Default"/>
    <w:uiPriority w:val="99"/>
    <w:rPr>
      <w:rFonts w:cs="Times New Roman"/>
      <w:color w:val="auto"/>
    </w:rPr>
  </w:style>
  <w:style w:type="paragraph" w:customStyle="1" w:styleId="CM31">
    <w:name w:val="CM3+1"/>
    <w:basedOn w:val="WW-Default"/>
    <w:next w:val="WW-Default"/>
    <w:uiPriority w:val="99"/>
    <w:rPr>
      <w:rFonts w:cs="Times New Roman"/>
      <w:color w:val="auto"/>
    </w:rPr>
  </w:style>
  <w:style w:type="paragraph" w:customStyle="1" w:styleId="CM41">
    <w:name w:val="CM4+1"/>
    <w:basedOn w:val="WW-Default"/>
    <w:next w:val="WW-Default"/>
    <w:uiPriority w:val="99"/>
    <w:rPr>
      <w:rFonts w:cs="Times New Roman"/>
      <w:color w:val="auto"/>
    </w:rPr>
  </w:style>
  <w:style w:type="paragraph" w:customStyle="1" w:styleId="CM13">
    <w:name w:val="CM1+3"/>
    <w:basedOn w:val="WW-Default"/>
    <w:next w:val="WW-Default"/>
    <w:uiPriority w:val="99"/>
    <w:rPr>
      <w:rFonts w:cs="Times New Roman"/>
      <w:color w:val="auto"/>
    </w:rPr>
  </w:style>
  <w:style w:type="paragraph" w:customStyle="1" w:styleId="CM33">
    <w:name w:val="CM3+3"/>
    <w:basedOn w:val="WW-Default"/>
    <w:next w:val="WW-Default"/>
    <w:uiPriority w:val="99"/>
    <w:rPr>
      <w:rFonts w:cs="Times New Roman"/>
      <w:color w:val="auto"/>
    </w:rPr>
  </w:style>
  <w:style w:type="paragraph" w:customStyle="1" w:styleId="CM15">
    <w:name w:val="CM1+5"/>
    <w:basedOn w:val="WW-Default"/>
    <w:next w:val="WW-Default"/>
    <w:uiPriority w:val="99"/>
    <w:rPr>
      <w:rFonts w:cs="Times New Roman"/>
      <w:color w:val="auto"/>
    </w:rPr>
  </w:style>
  <w:style w:type="paragraph" w:customStyle="1" w:styleId="CM35">
    <w:name w:val="CM3+5"/>
    <w:basedOn w:val="WW-Default"/>
    <w:next w:val="WW-Default"/>
    <w:uiPriority w:val="99"/>
    <w:rPr>
      <w:rFonts w:cs="Times New Roman"/>
      <w:color w:val="auto"/>
    </w:rPr>
  </w:style>
  <w:style w:type="paragraph" w:customStyle="1" w:styleId="CM45">
    <w:name w:val="CM4+5"/>
    <w:basedOn w:val="WW-Default"/>
    <w:next w:val="WW-Default"/>
    <w:uiPriority w:val="99"/>
    <w:rPr>
      <w:rFonts w:cs="Times New Roman"/>
      <w:color w:val="auto"/>
    </w:rPr>
  </w:style>
  <w:style w:type="paragraph" w:styleId="Revision">
    <w:name w:val="Revision"/>
    <w:uiPriority w:val="99"/>
    <w:pPr>
      <w:suppressAutoHyphens/>
      <w:spacing w:after="0" w:line="240" w:lineRule="auto"/>
    </w:pPr>
    <w:rPr>
      <w:rFonts w:ascii="Times New Roman" w:eastAsia="Arial" w:hAnsi="Times New Roman" w:cs="Times New Roman"/>
      <w:sz w:val="24"/>
      <w:szCs w:val="24"/>
      <w:lang w:val="en-GB" w:eastAsia="ar-SA"/>
    </w:rPr>
  </w:style>
  <w:style w:type="paragraph" w:customStyle="1" w:styleId="Contact">
    <w:name w:val="Contact"/>
    <w:basedOn w:val="Normal"/>
    <w:next w:val="Normal"/>
    <w:pPr>
      <w:spacing w:before="0" w:after="480"/>
      <w:ind w:left="567" w:hanging="567"/>
      <w:jc w:val="left"/>
    </w:pPr>
    <w:rPr>
      <w:rFonts w:eastAsia="Times New Roman"/>
      <w:szCs w:val="20"/>
    </w:rPr>
  </w:style>
  <w:style w:type="paragraph" w:styleId="ListBullet5">
    <w:name w:val="List Bullet 5"/>
    <w:basedOn w:val="Normal"/>
    <w:pPr>
      <w:numPr>
        <w:numId w:val="8"/>
      </w:numPr>
      <w:spacing w:before="0" w:after="240"/>
    </w:pPr>
    <w:rPr>
      <w:rFonts w:eastAsia="Times New Roman"/>
      <w:szCs w:val="20"/>
    </w:rPr>
  </w:style>
  <w:style w:type="paragraph" w:customStyle="1" w:styleId="ListBullet6">
    <w:name w:val="List Bullet 6"/>
    <w:basedOn w:val="Normal"/>
    <w:pPr>
      <w:numPr>
        <w:numId w:val="9"/>
      </w:numPr>
      <w:spacing w:before="0" w:after="240"/>
    </w:pPr>
    <w:rPr>
      <w:rFonts w:eastAsia="Times New Roman"/>
      <w:szCs w:val="20"/>
    </w:rPr>
  </w:style>
  <w:style w:type="paragraph" w:customStyle="1" w:styleId="ListBullet7">
    <w:name w:val="List Bullet 7"/>
    <w:basedOn w:val="Normal"/>
    <w:pPr>
      <w:numPr>
        <w:numId w:val="10"/>
      </w:numPr>
      <w:spacing w:before="0" w:after="240"/>
    </w:pPr>
    <w:rPr>
      <w:rFonts w:eastAsia="Times New Roman"/>
      <w:szCs w:val="20"/>
    </w:rPr>
  </w:style>
  <w:style w:type="paragraph" w:customStyle="1" w:styleId="ListBullet8">
    <w:name w:val="List Bullet 8"/>
    <w:basedOn w:val="Normal"/>
    <w:pPr>
      <w:numPr>
        <w:numId w:val="11"/>
      </w:numPr>
      <w:spacing w:before="0" w:after="240"/>
    </w:pPr>
    <w:rPr>
      <w:rFonts w:eastAsia="Times New Roman"/>
      <w:szCs w:val="20"/>
    </w:rPr>
  </w:style>
  <w:style w:type="paragraph" w:customStyle="1" w:styleId="ListDash">
    <w:name w:val="List Dash"/>
    <w:basedOn w:val="Normal"/>
    <w:pPr>
      <w:numPr>
        <w:numId w:val="12"/>
      </w:numPr>
      <w:spacing w:before="0" w:after="240"/>
    </w:pPr>
    <w:rPr>
      <w:rFonts w:eastAsia="Times New Roman"/>
      <w:szCs w:val="20"/>
    </w:rPr>
  </w:style>
  <w:style w:type="paragraph" w:customStyle="1" w:styleId="ListDash3">
    <w:name w:val="List Dash 3"/>
    <w:basedOn w:val="Text3"/>
    <w:pPr>
      <w:numPr>
        <w:numId w:val="15"/>
      </w:numPr>
      <w:spacing w:before="0" w:after="240"/>
    </w:pPr>
    <w:rPr>
      <w:rFonts w:eastAsia="Times New Roman"/>
      <w:szCs w:val="20"/>
    </w:rPr>
  </w:style>
  <w:style w:type="paragraph" w:customStyle="1" w:styleId="ListDash4">
    <w:name w:val="List Dash 4"/>
    <w:basedOn w:val="Text4"/>
    <w:pPr>
      <w:numPr>
        <w:numId w:val="16"/>
      </w:numPr>
      <w:spacing w:before="0" w:after="240"/>
    </w:pPr>
    <w:rPr>
      <w:rFonts w:eastAsia="Times New Roman"/>
      <w:szCs w:val="20"/>
    </w:rPr>
  </w:style>
  <w:style w:type="paragraph" w:customStyle="1" w:styleId="ListDash5">
    <w:name w:val="List Dash 5"/>
    <w:basedOn w:val="Normal"/>
    <w:pPr>
      <w:numPr>
        <w:numId w:val="17"/>
      </w:numPr>
      <w:spacing w:before="0" w:after="240"/>
    </w:pPr>
    <w:rPr>
      <w:rFonts w:eastAsia="Times New Roman"/>
      <w:szCs w:val="20"/>
    </w:rPr>
  </w:style>
  <w:style w:type="paragraph" w:customStyle="1" w:styleId="ListDash6">
    <w:name w:val="List Dash 6"/>
    <w:basedOn w:val="Normal"/>
    <w:pPr>
      <w:numPr>
        <w:numId w:val="18"/>
      </w:numPr>
      <w:spacing w:before="0" w:after="240"/>
    </w:pPr>
    <w:rPr>
      <w:rFonts w:eastAsia="Times New Roman"/>
      <w:szCs w:val="20"/>
    </w:rPr>
  </w:style>
  <w:style w:type="paragraph" w:customStyle="1" w:styleId="ListDash7">
    <w:name w:val="List Dash 7"/>
    <w:basedOn w:val="Normal"/>
    <w:pPr>
      <w:numPr>
        <w:numId w:val="19"/>
      </w:numPr>
      <w:spacing w:before="0" w:after="240"/>
    </w:pPr>
    <w:rPr>
      <w:rFonts w:eastAsia="Times New Roman"/>
      <w:szCs w:val="20"/>
    </w:rPr>
  </w:style>
  <w:style w:type="paragraph" w:customStyle="1" w:styleId="ListDash8">
    <w:name w:val="List Dash 8"/>
    <w:basedOn w:val="Normal"/>
    <w:pPr>
      <w:numPr>
        <w:numId w:val="20"/>
      </w:numPr>
      <w:spacing w:before="0" w:after="240"/>
    </w:pPr>
    <w:rPr>
      <w:rFonts w:eastAsia="Times New Roman"/>
      <w:szCs w:val="20"/>
    </w:rPr>
  </w:style>
  <w:style w:type="paragraph" w:styleId="ListNumber5">
    <w:name w:val="List Number 5"/>
    <w:basedOn w:val="Normal"/>
    <w:pPr>
      <w:numPr>
        <w:numId w:val="26"/>
      </w:numPr>
      <w:spacing w:before="0" w:after="240"/>
    </w:pPr>
    <w:rPr>
      <w:rFonts w:eastAsia="Times New Roman"/>
      <w:szCs w:val="20"/>
    </w:rPr>
  </w:style>
  <w:style w:type="paragraph" w:customStyle="1" w:styleId="ListNumber6">
    <w:name w:val="List Number 6"/>
    <w:basedOn w:val="Normal"/>
    <w:pPr>
      <w:numPr>
        <w:numId w:val="27"/>
      </w:numPr>
      <w:spacing w:before="0" w:after="240"/>
    </w:pPr>
    <w:rPr>
      <w:rFonts w:eastAsia="Times New Roman"/>
      <w:szCs w:val="20"/>
    </w:rPr>
  </w:style>
  <w:style w:type="paragraph" w:customStyle="1" w:styleId="ListNumber7">
    <w:name w:val="List Number 7"/>
    <w:basedOn w:val="Normal"/>
    <w:pPr>
      <w:numPr>
        <w:numId w:val="28"/>
      </w:numPr>
      <w:spacing w:before="0" w:after="240"/>
    </w:pPr>
    <w:rPr>
      <w:rFonts w:eastAsia="Times New Roman"/>
      <w:szCs w:val="20"/>
    </w:rPr>
  </w:style>
  <w:style w:type="paragraph" w:customStyle="1" w:styleId="ListNumber8">
    <w:name w:val="List Number 8"/>
    <w:basedOn w:val="Normal"/>
    <w:pPr>
      <w:numPr>
        <w:numId w:val="29"/>
      </w:numPr>
      <w:spacing w:before="0" w:after="240"/>
    </w:pPr>
    <w:rPr>
      <w:rFonts w:eastAsia="Times New Roman"/>
      <w:szCs w:val="20"/>
    </w:rPr>
  </w:style>
  <w:style w:type="paragraph" w:customStyle="1" w:styleId="ListNumber2Level2">
    <w:name w:val="List Number 2 (Level 2)"/>
    <w:basedOn w:val="Text2"/>
    <w:pPr>
      <w:numPr>
        <w:ilvl w:val="1"/>
        <w:numId w:val="23"/>
      </w:numPr>
      <w:spacing w:before="0" w:after="240"/>
    </w:pPr>
    <w:rPr>
      <w:rFonts w:eastAsia="Times New Roman"/>
      <w:szCs w:val="20"/>
    </w:rPr>
  </w:style>
  <w:style w:type="paragraph" w:customStyle="1" w:styleId="ListNumber3Level2">
    <w:name w:val="List Number 3 (Level 2)"/>
    <w:basedOn w:val="Text3"/>
    <w:pPr>
      <w:numPr>
        <w:ilvl w:val="1"/>
        <w:numId w:val="24"/>
      </w:numPr>
      <w:spacing w:before="0" w:after="240"/>
    </w:pPr>
    <w:rPr>
      <w:rFonts w:eastAsia="Times New Roman"/>
      <w:szCs w:val="20"/>
    </w:rPr>
  </w:style>
  <w:style w:type="paragraph" w:customStyle="1" w:styleId="ListNumber4Level2">
    <w:name w:val="List Number 4 (Level 2)"/>
    <w:basedOn w:val="Text4"/>
    <w:pPr>
      <w:numPr>
        <w:ilvl w:val="1"/>
        <w:numId w:val="25"/>
      </w:numPr>
      <w:spacing w:before="0" w:after="240"/>
    </w:pPr>
    <w:rPr>
      <w:rFonts w:eastAsia="Times New Roman"/>
      <w:szCs w:val="20"/>
    </w:rPr>
  </w:style>
  <w:style w:type="paragraph" w:customStyle="1" w:styleId="ListNumber5Level2">
    <w:name w:val="List Number 5 (Level 2)"/>
    <w:basedOn w:val="Normal"/>
    <w:pPr>
      <w:numPr>
        <w:ilvl w:val="1"/>
        <w:numId w:val="26"/>
      </w:numPr>
      <w:spacing w:before="0" w:after="240"/>
    </w:pPr>
    <w:rPr>
      <w:rFonts w:eastAsia="Times New Roman"/>
      <w:szCs w:val="20"/>
    </w:rPr>
  </w:style>
  <w:style w:type="paragraph" w:customStyle="1" w:styleId="ListNumber6Level2">
    <w:name w:val="List Number 6 (Level 2)"/>
    <w:basedOn w:val="Normal"/>
    <w:pPr>
      <w:numPr>
        <w:ilvl w:val="1"/>
        <w:numId w:val="27"/>
      </w:numPr>
      <w:spacing w:before="0" w:after="240"/>
    </w:pPr>
    <w:rPr>
      <w:rFonts w:eastAsia="Times New Roman"/>
      <w:szCs w:val="20"/>
    </w:rPr>
  </w:style>
  <w:style w:type="paragraph" w:customStyle="1" w:styleId="ListNumber7Level2">
    <w:name w:val="List Number 7 (Level 2)"/>
    <w:basedOn w:val="Normal"/>
    <w:pPr>
      <w:numPr>
        <w:ilvl w:val="1"/>
        <w:numId w:val="28"/>
      </w:numPr>
      <w:spacing w:before="0" w:after="240"/>
    </w:pPr>
    <w:rPr>
      <w:rFonts w:eastAsia="Times New Roman"/>
      <w:szCs w:val="20"/>
    </w:rPr>
  </w:style>
  <w:style w:type="paragraph" w:customStyle="1" w:styleId="ListNumber8Level2">
    <w:name w:val="List Number 8 (Level 2)"/>
    <w:basedOn w:val="Normal"/>
    <w:pPr>
      <w:numPr>
        <w:ilvl w:val="1"/>
        <w:numId w:val="29"/>
      </w:numPr>
      <w:spacing w:before="0" w:after="240"/>
    </w:pPr>
    <w:rPr>
      <w:rFonts w:eastAsia="Times New Roman"/>
      <w:szCs w:val="20"/>
    </w:rPr>
  </w:style>
  <w:style w:type="paragraph" w:customStyle="1" w:styleId="ListNumber2Level3">
    <w:name w:val="List Number 2 (Level 3)"/>
    <w:basedOn w:val="Text2"/>
    <w:pPr>
      <w:numPr>
        <w:ilvl w:val="2"/>
        <w:numId w:val="23"/>
      </w:numPr>
      <w:spacing w:before="0" w:after="240"/>
    </w:pPr>
    <w:rPr>
      <w:rFonts w:eastAsia="Times New Roman"/>
      <w:szCs w:val="20"/>
    </w:rPr>
  </w:style>
  <w:style w:type="paragraph" w:customStyle="1" w:styleId="ListNumber3Level3">
    <w:name w:val="List Number 3 (Level 3)"/>
    <w:basedOn w:val="Text3"/>
    <w:pPr>
      <w:numPr>
        <w:ilvl w:val="2"/>
        <w:numId w:val="24"/>
      </w:numPr>
      <w:spacing w:before="0" w:after="240"/>
    </w:pPr>
    <w:rPr>
      <w:rFonts w:eastAsia="Times New Roman"/>
      <w:szCs w:val="20"/>
    </w:rPr>
  </w:style>
  <w:style w:type="paragraph" w:customStyle="1" w:styleId="ListNumber4Level3">
    <w:name w:val="List Number 4 (Level 3)"/>
    <w:basedOn w:val="Text4"/>
    <w:pPr>
      <w:numPr>
        <w:ilvl w:val="2"/>
        <w:numId w:val="25"/>
      </w:numPr>
      <w:spacing w:before="0" w:after="240"/>
    </w:pPr>
    <w:rPr>
      <w:rFonts w:eastAsia="Times New Roman"/>
      <w:szCs w:val="20"/>
    </w:rPr>
  </w:style>
  <w:style w:type="paragraph" w:customStyle="1" w:styleId="ListNumber5Level3">
    <w:name w:val="List Number 5 (Level 3)"/>
    <w:basedOn w:val="Normal"/>
    <w:pPr>
      <w:numPr>
        <w:ilvl w:val="2"/>
        <w:numId w:val="26"/>
      </w:numPr>
      <w:spacing w:before="0" w:after="240"/>
    </w:pPr>
    <w:rPr>
      <w:rFonts w:eastAsia="Times New Roman"/>
      <w:szCs w:val="20"/>
    </w:rPr>
  </w:style>
  <w:style w:type="paragraph" w:customStyle="1" w:styleId="ListNumber6Level3">
    <w:name w:val="List Number 6 (Level 3)"/>
    <w:basedOn w:val="Normal"/>
    <w:pPr>
      <w:numPr>
        <w:ilvl w:val="2"/>
        <w:numId w:val="27"/>
      </w:numPr>
      <w:spacing w:before="0" w:after="240"/>
    </w:pPr>
    <w:rPr>
      <w:rFonts w:eastAsia="Times New Roman"/>
      <w:szCs w:val="20"/>
    </w:rPr>
  </w:style>
  <w:style w:type="paragraph" w:customStyle="1" w:styleId="ListNumber7Level3">
    <w:name w:val="List Number 7 (Level 3)"/>
    <w:basedOn w:val="Normal"/>
    <w:pPr>
      <w:numPr>
        <w:ilvl w:val="2"/>
        <w:numId w:val="28"/>
      </w:numPr>
      <w:spacing w:before="0" w:after="240"/>
    </w:pPr>
    <w:rPr>
      <w:rFonts w:eastAsia="Times New Roman"/>
      <w:szCs w:val="20"/>
    </w:rPr>
  </w:style>
  <w:style w:type="paragraph" w:customStyle="1" w:styleId="ListNumber8Level3">
    <w:name w:val="List Number 8 (Level 3)"/>
    <w:basedOn w:val="Normal"/>
    <w:pPr>
      <w:numPr>
        <w:ilvl w:val="2"/>
        <w:numId w:val="29"/>
      </w:numPr>
      <w:spacing w:before="0" w:after="240"/>
    </w:pPr>
    <w:rPr>
      <w:rFonts w:eastAsia="Times New Roman"/>
      <w:szCs w:val="20"/>
    </w:rPr>
  </w:style>
  <w:style w:type="paragraph" w:customStyle="1" w:styleId="ListNumber2Level4">
    <w:name w:val="List Number 2 (Level 4)"/>
    <w:basedOn w:val="Text2"/>
    <w:pPr>
      <w:numPr>
        <w:ilvl w:val="3"/>
        <w:numId w:val="23"/>
      </w:numPr>
      <w:spacing w:before="0" w:after="240"/>
    </w:pPr>
    <w:rPr>
      <w:rFonts w:eastAsia="Times New Roman"/>
      <w:szCs w:val="20"/>
    </w:rPr>
  </w:style>
  <w:style w:type="paragraph" w:customStyle="1" w:styleId="ListNumber3Level4">
    <w:name w:val="List Number 3 (Level 4)"/>
    <w:basedOn w:val="Text3"/>
    <w:pPr>
      <w:numPr>
        <w:ilvl w:val="3"/>
        <w:numId w:val="24"/>
      </w:numPr>
      <w:spacing w:before="0" w:after="240"/>
    </w:pPr>
    <w:rPr>
      <w:rFonts w:eastAsia="Times New Roman"/>
      <w:szCs w:val="20"/>
    </w:rPr>
  </w:style>
  <w:style w:type="paragraph" w:customStyle="1" w:styleId="ListNumber4Level4">
    <w:name w:val="List Number 4 (Level 4)"/>
    <w:basedOn w:val="Text4"/>
    <w:pPr>
      <w:numPr>
        <w:ilvl w:val="3"/>
        <w:numId w:val="25"/>
      </w:numPr>
      <w:spacing w:before="0" w:after="240"/>
    </w:pPr>
    <w:rPr>
      <w:rFonts w:eastAsia="Times New Roman"/>
      <w:szCs w:val="20"/>
    </w:rPr>
  </w:style>
  <w:style w:type="paragraph" w:customStyle="1" w:styleId="ListNumber5Level4">
    <w:name w:val="List Number 5 (Level 4)"/>
    <w:basedOn w:val="Normal"/>
    <w:pPr>
      <w:numPr>
        <w:ilvl w:val="3"/>
        <w:numId w:val="26"/>
      </w:numPr>
      <w:spacing w:before="0" w:after="240"/>
    </w:pPr>
    <w:rPr>
      <w:rFonts w:eastAsia="Times New Roman"/>
      <w:szCs w:val="20"/>
    </w:rPr>
  </w:style>
  <w:style w:type="paragraph" w:customStyle="1" w:styleId="ListNumber6Level4">
    <w:name w:val="List Number 6 (Level 4)"/>
    <w:basedOn w:val="Normal"/>
    <w:pPr>
      <w:numPr>
        <w:ilvl w:val="3"/>
        <w:numId w:val="27"/>
      </w:numPr>
      <w:spacing w:before="0" w:after="240"/>
    </w:pPr>
    <w:rPr>
      <w:rFonts w:eastAsia="Times New Roman"/>
      <w:szCs w:val="20"/>
    </w:rPr>
  </w:style>
  <w:style w:type="paragraph" w:customStyle="1" w:styleId="ListNumber7Level4">
    <w:name w:val="List Number 7 (Level 4)"/>
    <w:basedOn w:val="Normal"/>
    <w:pPr>
      <w:numPr>
        <w:ilvl w:val="3"/>
        <w:numId w:val="28"/>
      </w:numPr>
      <w:spacing w:before="0" w:after="240"/>
    </w:pPr>
    <w:rPr>
      <w:rFonts w:eastAsia="Times New Roman"/>
      <w:szCs w:val="20"/>
    </w:rPr>
  </w:style>
  <w:style w:type="paragraph" w:customStyle="1" w:styleId="ListNumber8Level4">
    <w:name w:val="List Number 8 (Level 4)"/>
    <w:basedOn w:val="Normal"/>
    <w:pPr>
      <w:numPr>
        <w:ilvl w:val="3"/>
        <w:numId w:val="29"/>
      </w:numPr>
      <w:spacing w:before="0" w:after="240"/>
    </w:pPr>
    <w:rPr>
      <w:rFonts w:eastAsia="Times New Roman"/>
      <w:szCs w:val="20"/>
    </w:rPr>
  </w:style>
  <w:style w:type="character" w:customStyle="1" w:styleId="oneclick-link">
    <w:name w:val="oneclick-link"/>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character" w:styleId="Strong">
    <w:name w:val="Strong"/>
    <w:uiPriority w:val="22"/>
    <w:qFormat/>
    <w:rPr>
      <w:b/>
      <w:bCs/>
    </w:rPr>
  </w:style>
  <w:style w:type="table" w:styleId="TableGrid">
    <w:name w:val="Table Grid"/>
    <w:basedOn w:val="TableNormal"/>
    <w:pPr>
      <w:spacing w:after="240" w:line="240" w:lineRule="auto"/>
      <w:jc w:val="both"/>
    </w:pPr>
    <w:rPr>
      <w:rFonts w:ascii="Times New Roman" w:eastAsia="Times New Roman" w:hAnsi="Times New Roman" w:cs="Times New Roman"/>
      <w:sz w:val="24"/>
      <w:szCs w:val="24"/>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val="en-GB" w:eastAsia="en-GB"/>
    </w:rPr>
  </w:style>
  <w:style w:type="character" w:styleId="PageNumber">
    <w:name w:val="page number"/>
    <w:rPr>
      <w:rFonts w:cs="Times New Roman"/>
      <w:lang w:val="en-GB" w:eastAsia="en-GB"/>
    </w:rPr>
  </w:style>
  <w:style w:type="paragraph" w:customStyle="1" w:styleId="Legis">
    <w:name w:val="Legis"/>
    <w:basedOn w:val="Normal"/>
    <w:pPr>
      <w:jc w:val="center"/>
    </w:pPr>
    <w:rPr>
      <w:b/>
      <w:noProof/>
      <w:u w:val="single"/>
    </w:rPr>
  </w:style>
  <w:style w:type="paragraph" w:styleId="EndnoteText">
    <w:name w:val="endnote text"/>
    <w:basedOn w:val="Normal"/>
    <w:link w:val="EndnoteTextChar"/>
    <w:uiPriority w:val="99"/>
    <w:unhideWhenUsed/>
    <w:pPr>
      <w:spacing w:before="0" w:after="0"/>
    </w:pPr>
    <w:rPr>
      <w:sz w:val="20"/>
      <w:szCs w:val="20"/>
    </w:rPr>
  </w:style>
  <w:style w:type="character" w:customStyle="1" w:styleId="EndnoteTextChar">
    <w:name w:val="Endnote Text Char"/>
    <w:basedOn w:val="DefaultParagraphFont"/>
    <w:link w:val="EndnoteText"/>
    <w:uiPriority w:val="99"/>
    <w:rPr>
      <w:rFonts w:ascii="Times New Roman" w:hAnsi="Times New Roman" w:cs="Times New Roman"/>
      <w:sz w:val="20"/>
      <w:szCs w:val="20"/>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Normal"/>
    <w:link w:val="Heading5Char"/>
    <w:qFormat/>
    <w:pPr>
      <w:tabs>
        <w:tab w:val="left" w:pos="1008"/>
      </w:tabs>
      <w:suppressAutoHyphens/>
      <w:spacing w:before="240" w:after="60"/>
      <w:ind w:left="1008" w:hanging="1008"/>
      <w:jc w:val="left"/>
      <w:outlineLvl w:val="4"/>
    </w:pPr>
    <w:rPr>
      <w:rFonts w:eastAsia="Times New Roman"/>
      <w:b/>
      <w:bCs/>
      <w:i/>
      <w:iCs/>
      <w:sz w:val="26"/>
      <w:szCs w:val="26"/>
      <w:lang w:eastAsia="ar-SA"/>
    </w:rPr>
  </w:style>
  <w:style w:type="paragraph" w:styleId="Heading6">
    <w:name w:val="heading 6"/>
    <w:basedOn w:val="Normal"/>
    <w:next w:val="Normal"/>
    <w:link w:val="Heading6Char"/>
    <w:qFormat/>
    <w:pPr>
      <w:tabs>
        <w:tab w:val="left" w:pos="1152"/>
      </w:tabs>
      <w:suppressAutoHyphens/>
      <w:spacing w:before="240" w:after="60"/>
      <w:ind w:left="1152" w:hanging="1152"/>
      <w:jc w:val="left"/>
      <w:outlineLvl w:val="5"/>
    </w:pPr>
    <w:rPr>
      <w:rFonts w:eastAsia="Times New Roman"/>
      <w:b/>
      <w:bCs/>
      <w:sz w:val="22"/>
      <w:lang w:eastAsia="ar-SA"/>
    </w:rPr>
  </w:style>
  <w:style w:type="paragraph" w:styleId="Heading7">
    <w:name w:val="heading 7"/>
    <w:basedOn w:val="Normal"/>
    <w:next w:val="Normal"/>
    <w:link w:val="Heading7Char"/>
    <w:qFormat/>
    <w:pPr>
      <w:tabs>
        <w:tab w:val="left" w:pos="1296"/>
      </w:tabs>
      <w:suppressAutoHyphens/>
      <w:spacing w:before="240" w:after="60"/>
      <w:ind w:left="1296" w:hanging="1296"/>
      <w:jc w:val="left"/>
      <w:outlineLvl w:val="6"/>
    </w:pPr>
    <w:rPr>
      <w:rFonts w:eastAsia="Times New Roman"/>
      <w:szCs w:val="24"/>
      <w:lang w:eastAsia="ar-SA"/>
    </w:rPr>
  </w:style>
  <w:style w:type="paragraph" w:styleId="Heading8">
    <w:name w:val="heading 8"/>
    <w:basedOn w:val="Normal"/>
    <w:next w:val="Normal"/>
    <w:link w:val="Heading8Char"/>
    <w:qFormat/>
    <w:pPr>
      <w:tabs>
        <w:tab w:val="left" w:pos="1440"/>
      </w:tabs>
      <w:suppressAutoHyphens/>
      <w:spacing w:before="240" w:after="60"/>
      <w:ind w:left="1440" w:hanging="1440"/>
      <w:jc w:val="left"/>
      <w:outlineLvl w:val="7"/>
    </w:pPr>
    <w:rPr>
      <w:rFonts w:eastAsia="Times New Roman"/>
      <w:i/>
      <w:iCs/>
      <w:szCs w:val="24"/>
      <w:lang w:eastAsia="ar-SA"/>
    </w:rPr>
  </w:style>
  <w:style w:type="paragraph" w:styleId="Heading9">
    <w:name w:val="heading 9"/>
    <w:basedOn w:val="Normal"/>
    <w:next w:val="Normal"/>
    <w:link w:val="Heading9Char"/>
    <w:qFormat/>
    <w:pPr>
      <w:tabs>
        <w:tab w:val="left" w:pos="1584"/>
      </w:tabs>
      <w:suppressAutoHyphens/>
      <w:spacing w:before="240" w:after="60"/>
      <w:ind w:left="1584" w:hanging="1584"/>
      <w:jc w:val="left"/>
      <w:outlineLvl w:val="8"/>
    </w:pPr>
    <w:rPr>
      <w:rFonts w:ascii="Arial" w:eastAsia="Times New Roman" w:hAnsi="Arial" w:cs="Arial"/>
      <w:sz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Calibri" w:eastAsia="Calibri" w:hAnsi="Calibri" w:cs="Times New Roman"/>
      <w:lang w:val="en-GB"/>
    </w:rPr>
  </w:style>
  <w:style w:type="character" w:customStyle="1" w:styleId="FootnoteCharacters">
    <w:name w:val="Footnote Characters"/>
    <w:rPr>
      <w:shd w:val="clear" w:color="auto" w:fill="auto"/>
      <w:vertAlign w:val="superscript"/>
    </w:rPr>
  </w:style>
  <w:style w:type="character" w:styleId="Hyperlink">
    <w:name w:val="Hyperlink"/>
    <w:rPr>
      <w:rFonts w:cs="Times New Roman"/>
      <w:color w:val="0000FF"/>
      <w:u w:val="single"/>
      <w:shd w:val="clear" w:color="auto" w:fill="auto"/>
    </w:rPr>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Fichefinancirestandardtitre">
    <w:name w:val="Fiche financière (standard) titre"/>
    <w:basedOn w:val="Normal"/>
    <w:next w:val="Normal"/>
    <w:pPr>
      <w:suppressAutoHyphens/>
      <w:jc w:val="center"/>
    </w:pPr>
    <w:rPr>
      <w:rFonts w:eastAsia="Times New Roman"/>
      <w:b/>
      <w:szCs w:val="24"/>
      <w:u w:val="single"/>
      <w:lang w:eastAsia="ar-SA"/>
    </w:rPr>
  </w:style>
  <w:style w:type="paragraph" w:customStyle="1" w:styleId="CM1">
    <w:name w:val="CM1"/>
    <w:basedOn w:val="Normal"/>
    <w:next w:val="Normal"/>
    <w:uiPriority w:val="99"/>
    <w:pPr>
      <w:suppressAutoHyphens/>
      <w:autoSpaceDE w:val="0"/>
      <w:spacing w:before="0" w:after="0"/>
      <w:jc w:val="left"/>
    </w:pPr>
    <w:rPr>
      <w:rFonts w:ascii="EUAlbertina" w:eastAsia="Times New Roman" w:hAnsi="EUAlbertina"/>
      <w:szCs w:val="24"/>
      <w:lang w:eastAsia="ar-SA"/>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val="en-GB" w:eastAsia="ar-SA"/>
    </w:rPr>
  </w:style>
  <w:style w:type="character" w:customStyle="1" w:styleId="Heading6Char">
    <w:name w:val="Heading 6 Char"/>
    <w:basedOn w:val="DefaultParagraphFont"/>
    <w:link w:val="Heading6"/>
    <w:rPr>
      <w:rFonts w:ascii="Times New Roman" w:eastAsia="Times New Roman" w:hAnsi="Times New Roman" w:cs="Times New Roman"/>
      <w:b/>
      <w:bCs/>
      <w:lang w:val="en-GB" w:eastAsia="ar-SA"/>
    </w:rPr>
  </w:style>
  <w:style w:type="character" w:customStyle="1" w:styleId="Heading7Char">
    <w:name w:val="Heading 7 Char"/>
    <w:basedOn w:val="DefaultParagraphFont"/>
    <w:link w:val="Heading7"/>
    <w:rPr>
      <w:rFonts w:ascii="Times New Roman" w:eastAsia="Times New Roman" w:hAnsi="Times New Roman" w:cs="Times New Roman"/>
      <w:sz w:val="24"/>
      <w:szCs w:val="24"/>
      <w:lang w:val="en-GB" w:eastAsia="ar-SA"/>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lang w:val="en-GB" w:eastAsia="ar-SA"/>
    </w:rPr>
  </w:style>
  <w:style w:type="character" w:customStyle="1" w:styleId="Heading9Char">
    <w:name w:val="Heading 9 Char"/>
    <w:basedOn w:val="DefaultParagraphFont"/>
    <w:link w:val="Heading9"/>
    <w:rPr>
      <w:rFonts w:ascii="Arial" w:eastAsia="Times New Roman" w:hAnsi="Arial" w:cs="Arial"/>
      <w:lang w:val="en-GB" w:eastAsia="ar-SA"/>
    </w:rPr>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10z0">
    <w:name w:val="WW8Num10z0"/>
    <w:rPr>
      <w:rFonts w:ascii="Symbol" w:hAnsi="Symbol"/>
    </w:rPr>
  </w:style>
  <w:style w:type="character" w:customStyle="1" w:styleId="WW8Num16z0">
    <w:name w:val="WW8Num16z0"/>
    <w:rPr>
      <w:rFonts w:ascii="Symbol" w:hAnsi="Symbol"/>
    </w:rPr>
  </w:style>
  <w:style w:type="character" w:customStyle="1" w:styleId="WW8Num19z0">
    <w:name w:val="WW8Num19z0"/>
    <w:rPr>
      <w:rFonts w:ascii="Symbol" w:hAnsi="Symbol"/>
    </w:rPr>
  </w:style>
  <w:style w:type="character" w:customStyle="1" w:styleId="WW8Num21z0">
    <w:name w:val="WW8Num21z0"/>
    <w:rPr>
      <w:rFonts w:ascii="Times New Roman" w:hAnsi="Times New Roman"/>
    </w:rPr>
  </w:style>
  <w:style w:type="character" w:customStyle="1" w:styleId="WW8Num22z0">
    <w:name w:val="WW8Num22z0"/>
    <w:rPr>
      <w:rFonts w:ascii="Symbol" w:hAnsi="Symbol"/>
    </w:rPr>
  </w:style>
  <w:style w:type="character" w:customStyle="1" w:styleId="WW8Num23z0">
    <w:name w:val="WW8Num23z0"/>
    <w:rPr>
      <w:rFonts w:cs="Times New Roman"/>
    </w:rPr>
  </w:style>
  <w:style w:type="character" w:customStyle="1" w:styleId="WW8Num23z2">
    <w:name w:val="WW8Num23z2"/>
    <w:rPr>
      <w:rFonts w:ascii="Times New Roman" w:hAnsi="Times New Roman"/>
    </w:rPr>
  </w:style>
  <w:style w:type="character" w:customStyle="1" w:styleId="WW8Num23z3">
    <w:name w:val="WW8Num23z3"/>
    <w:rPr>
      <w:rFonts w:ascii="Symbol" w:hAnsi="Symbol"/>
    </w:rPr>
  </w:style>
  <w:style w:type="character" w:customStyle="1" w:styleId="WW8Num24z0">
    <w:name w:val="WW8Num24z0"/>
    <w:rPr>
      <w:rFonts w:ascii="Symbol" w:hAnsi="Symbol"/>
    </w:rPr>
  </w:style>
  <w:style w:type="character" w:customStyle="1" w:styleId="WW8Num26z0">
    <w:name w:val="WW8Num26z0"/>
    <w:rPr>
      <w:rFonts w:cs="Times New Roman"/>
    </w:rPr>
  </w:style>
  <w:style w:type="character" w:customStyle="1" w:styleId="WW8Num26z2">
    <w:name w:val="WW8Num26z2"/>
    <w:rPr>
      <w:rFonts w:ascii="Times New Roman" w:hAnsi="Times New Roman"/>
    </w:rPr>
  </w:style>
  <w:style w:type="character" w:customStyle="1" w:styleId="WW8Num26z3">
    <w:name w:val="WW8Num26z3"/>
    <w:rPr>
      <w:rFonts w:ascii="Symbol" w:hAnsi="Symbol"/>
    </w:rPr>
  </w:style>
  <w:style w:type="character" w:styleId="Emphasis">
    <w:name w:val="Emphasis"/>
    <w:qFormat/>
    <w:rPr>
      <w:rFonts w:cs="Times New Roman"/>
      <w:i/>
      <w:iCs/>
      <w:shd w:val="clear" w:color="auto" w:fill="auto"/>
    </w:rPr>
  </w:style>
  <w:style w:type="character" w:styleId="FollowedHyperlink">
    <w:name w:val="FollowedHyperlink"/>
    <w:rPr>
      <w:color w:val="800080"/>
      <w:u w:val="single"/>
      <w:shd w:val="clear" w:color="auto" w:fill="auto"/>
    </w:rPr>
  </w:style>
  <w:style w:type="character" w:styleId="CommentReference">
    <w:name w:val="annotation reference"/>
    <w:rPr>
      <w:sz w:val="16"/>
      <w:szCs w:val="16"/>
      <w:shd w:val="clear" w:color="auto" w:fill="auto"/>
    </w:rPr>
  </w:style>
  <w:style w:type="character" w:customStyle="1" w:styleId="CommentTextChar1">
    <w:name w:val="Comment Text Char1"/>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uppressAutoHyphens/>
      <w:spacing w:before="240"/>
    </w:pPr>
    <w:rPr>
      <w:rFonts w:ascii="Arial" w:eastAsia="SimSun" w:hAnsi="Arial" w:cs="Lucida Sans"/>
      <w:sz w:val="28"/>
      <w:szCs w:val="28"/>
      <w:lang w:eastAsia="ar-SA"/>
    </w:rPr>
  </w:style>
  <w:style w:type="paragraph" w:styleId="BodyText">
    <w:name w:val="Body Text"/>
    <w:basedOn w:val="Normal"/>
    <w:link w:val="BodyTextChar"/>
    <w:pPr>
      <w:suppressAutoHyphens/>
      <w:spacing w:before="0"/>
    </w:pPr>
    <w:rPr>
      <w:rFonts w:eastAsia="Times New Roman"/>
      <w:szCs w:val="24"/>
      <w:lang w:eastAsia="ar-SA"/>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eastAsia="ar-SA"/>
    </w:rPr>
  </w:style>
  <w:style w:type="paragraph" w:styleId="List">
    <w:name w:val="List"/>
    <w:basedOn w:val="BodyText"/>
    <w:rPr>
      <w:rFonts w:cs="Lucida Sans"/>
    </w:rPr>
  </w:style>
  <w:style w:type="paragraph" w:styleId="Caption">
    <w:name w:val="caption"/>
    <w:basedOn w:val="Normal"/>
    <w:next w:val="Normal"/>
    <w:qFormat/>
    <w:pPr>
      <w:suppressAutoHyphens/>
    </w:pPr>
    <w:rPr>
      <w:rFonts w:eastAsia="Times New Roman"/>
      <w:b/>
      <w:bCs/>
      <w:sz w:val="20"/>
      <w:szCs w:val="20"/>
      <w:lang w:eastAsia="ar-SA"/>
    </w:rPr>
  </w:style>
  <w:style w:type="paragraph" w:customStyle="1" w:styleId="Index">
    <w:name w:val="Index"/>
    <w:basedOn w:val="Normal"/>
    <w:pPr>
      <w:suppressLineNumbers/>
      <w:suppressAutoHyphens/>
    </w:pPr>
    <w:rPr>
      <w:rFonts w:eastAsia="Times New Roman" w:cs="Lucida Sans"/>
      <w:szCs w:val="24"/>
      <w:lang w:eastAsia="ar-SA"/>
    </w:rPr>
  </w:style>
  <w:style w:type="paragraph" w:styleId="ListBullet">
    <w:name w:val="List Bullet"/>
    <w:basedOn w:val="Normal"/>
    <w:pPr>
      <w:numPr>
        <w:numId w:val="3"/>
      </w:numPr>
      <w:spacing w:before="0" w:after="240"/>
    </w:pPr>
    <w:rPr>
      <w:rFonts w:eastAsia="Times New Roman"/>
      <w:szCs w:val="20"/>
    </w:rPr>
  </w:style>
  <w:style w:type="paragraph" w:styleId="ListBullet2">
    <w:name w:val="List Bullet 2"/>
    <w:basedOn w:val="Text2"/>
    <w:pPr>
      <w:numPr>
        <w:numId w:val="5"/>
      </w:numPr>
      <w:spacing w:before="0" w:after="240"/>
    </w:pPr>
    <w:rPr>
      <w:rFonts w:eastAsia="Times New Roman"/>
      <w:szCs w:val="20"/>
    </w:rPr>
  </w:style>
  <w:style w:type="paragraph" w:styleId="ListBullet3">
    <w:name w:val="List Bullet 3"/>
    <w:basedOn w:val="Text3"/>
    <w:pPr>
      <w:numPr>
        <w:numId w:val="6"/>
      </w:numPr>
      <w:spacing w:before="0" w:after="240"/>
    </w:pPr>
    <w:rPr>
      <w:rFonts w:eastAsia="Times New Roman"/>
      <w:szCs w:val="20"/>
    </w:rPr>
  </w:style>
  <w:style w:type="paragraph" w:styleId="ListBullet4">
    <w:name w:val="List Bullet 4"/>
    <w:basedOn w:val="Text4"/>
    <w:pPr>
      <w:numPr>
        <w:numId w:val="7"/>
      </w:numPr>
      <w:spacing w:before="0" w:after="240"/>
    </w:pPr>
    <w:rPr>
      <w:rFonts w:eastAsia="Times New Roman"/>
      <w:szCs w:val="20"/>
    </w:rPr>
  </w:style>
  <w:style w:type="paragraph" w:styleId="ListNumber">
    <w:name w:val="List Number"/>
    <w:basedOn w:val="Normal"/>
    <w:pPr>
      <w:numPr>
        <w:numId w:val="21"/>
      </w:numPr>
      <w:spacing w:before="0" w:after="240"/>
    </w:pPr>
    <w:rPr>
      <w:rFonts w:eastAsia="Times New Roman"/>
      <w:szCs w:val="20"/>
    </w:rPr>
  </w:style>
  <w:style w:type="paragraph" w:styleId="ListNumber2">
    <w:name w:val="List Number 2"/>
    <w:basedOn w:val="Text2"/>
    <w:pPr>
      <w:numPr>
        <w:numId w:val="23"/>
      </w:numPr>
      <w:spacing w:before="0" w:after="240"/>
    </w:pPr>
    <w:rPr>
      <w:rFonts w:eastAsia="Times New Roman"/>
      <w:szCs w:val="20"/>
    </w:rPr>
  </w:style>
  <w:style w:type="paragraph" w:styleId="ListNumber3">
    <w:name w:val="List Number 3"/>
    <w:basedOn w:val="Text3"/>
    <w:pPr>
      <w:numPr>
        <w:numId w:val="24"/>
      </w:numPr>
      <w:spacing w:before="0" w:after="240"/>
    </w:pPr>
    <w:rPr>
      <w:rFonts w:eastAsia="Times New Roman"/>
      <w:szCs w:val="20"/>
    </w:rPr>
  </w:style>
  <w:style w:type="paragraph" w:styleId="ListNumber4">
    <w:name w:val="List Number 4"/>
    <w:basedOn w:val="Text4"/>
    <w:pPr>
      <w:numPr>
        <w:numId w:val="25"/>
      </w:numPr>
      <w:spacing w:before="0" w:after="240"/>
    </w:pPr>
    <w:rPr>
      <w:rFonts w:eastAsia="Times New Roman"/>
      <w:szCs w:val="20"/>
    </w:rPr>
  </w:style>
  <w:style w:type="paragraph" w:customStyle="1" w:styleId="ListDash1">
    <w:name w:val="List Dash 1"/>
    <w:basedOn w:val="Text1"/>
    <w:pPr>
      <w:numPr>
        <w:numId w:val="13"/>
      </w:numPr>
      <w:spacing w:before="0" w:after="240"/>
    </w:pPr>
    <w:rPr>
      <w:rFonts w:eastAsia="Times New Roman"/>
      <w:szCs w:val="20"/>
    </w:rPr>
  </w:style>
  <w:style w:type="paragraph" w:customStyle="1" w:styleId="ListNumber1">
    <w:name w:val="List Number 1"/>
    <w:basedOn w:val="Text1"/>
    <w:pPr>
      <w:numPr>
        <w:numId w:val="22"/>
      </w:numPr>
      <w:spacing w:before="0" w:after="240"/>
    </w:pPr>
    <w:rPr>
      <w:rFonts w:eastAsia="Times New Roman"/>
      <w:szCs w:val="20"/>
    </w:rPr>
  </w:style>
  <w:style w:type="paragraph" w:customStyle="1" w:styleId="ListNumber1Level2">
    <w:name w:val="List Number 1 (Level 2)"/>
    <w:basedOn w:val="Text1"/>
    <w:pPr>
      <w:numPr>
        <w:ilvl w:val="1"/>
        <w:numId w:val="22"/>
      </w:numPr>
      <w:spacing w:before="0" w:after="240"/>
    </w:pPr>
    <w:rPr>
      <w:rFonts w:eastAsia="Times New Roman"/>
      <w:szCs w:val="20"/>
    </w:rPr>
  </w:style>
  <w:style w:type="paragraph" w:customStyle="1" w:styleId="ListNumber1Level3">
    <w:name w:val="List Number 1 (Level 3)"/>
    <w:basedOn w:val="Text1"/>
    <w:pPr>
      <w:numPr>
        <w:ilvl w:val="2"/>
        <w:numId w:val="22"/>
      </w:numPr>
      <w:spacing w:before="0" w:after="240"/>
    </w:pPr>
    <w:rPr>
      <w:rFonts w:eastAsia="Times New Roman"/>
      <w:szCs w:val="20"/>
    </w:rPr>
  </w:style>
  <w:style w:type="paragraph" w:customStyle="1" w:styleId="ListNumber1Level4">
    <w:name w:val="List Number 1 (Level 4)"/>
    <w:basedOn w:val="Text1"/>
    <w:pPr>
      <w:numPr>
        <w:ilvl w:val="3"/>
        <w:numId w:val="22"/>
      </w:numPr>
      <w:spacing w:before="0" w:after="240"/>
    </w:pPr>
    <w:rPr>
      <w:rFonts w:eastAsia="Times New Roman"/>
      <w:szCs w:val="20"/>
    </w:rPr>
  </w:style>
  <w:style w:type="paragraph" w:styleId="BodyTextIndent3">
    <w:name w:val="Body Text Indent 3"/>
    <w:basedOn w:val="Normal"/>
    <w:link w:val="BodyTextIndent3Char"/>
    <w:pPr>
      <w:suppressAutoHyphens/>
      <w:spacing w:before="0"/>
      <w:ind w:left="283"/>
    </w:pPr>
    <w:rPr>
      <w:rFonts w:eastAsia="Times New Roman"/>
      <w:sz w:val="16"/>
      <w:szCs w:val="20"/>
      <w:lang w:eastAsia="ar-SA"/>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en-GB" w:eastAsia="ar-SA"/>
    </w:rPr>
  </w:style>
  <w:style w:type="paragraph" w:customStyle="1" w:styleId="ListNumberLevel2">
    <w:name w:val="List Number (Level 2)"/>
    <w:basedOn w:val="Normal"/>
    <w:pPr>
      <w:numPr>
        <w:ilvl w:val="1"/>
        <w:numId w:val="21"/>
      </w:numPr>
      <w:spacing w:before="0" w:after="240"/>
    </w:pPr>
    <w:rPr>
      <w:rFonts w:eastAsia="Times New Roman"/>
      <w:szCs w:val="20"/>
    </w:rPr>
  </w:style>
  <w:style w:type="paragraph" w:customStyle="1" w:styleId="ListBullet1">
    <w:name w:val="List Bullet 1"/>
    <w:basedOn w:val="Text1"/>
    <w:pPr>
      <w:numPr>
        <w:numId w:val="4"/>
      </w:numPr>
      <w:spacing w:before="0" w:after="240"/>
    </w:pPr>
    <w:rPr>
      <w:rFonts w:eastAsia="Times New Roman"/>
      <w:szCs w:val="20"/>
    </w:rPr>
  </w:style>
  <w:style w:type="paragraph" w:customStyle="1" w:styleId="ListDash2">
    <w:name w:val="List Dash 2"/>
    <w:basedOn w:val="Text2"/>
    <w:pPr>
      <w:numPr>
        <w:numId w:val="14"/>
      </w:numPr>
      <w:spacing w:before="0" w:after="240"/>
    </w:pPr>
    <w:rPr>
      <w:rFonts w:eastAsia="Times New Roman"/>
      <w:szCs w:val="20"/>
    </w:rPr>
  </w:style>
  <w:style w:type="paragraph" w:customStyle="1" w:styleId="ListNumberLevel3">
    <w:name w:val="List Number (Level 3)"/>
    <w:basedOn w:val="Normal"/>
    <w:pPr>
      <w:numPr>
        <w:ilvl w:val="2"/>
        <w:numId w:val="21"/>
      </w:numPr>
      <w:spacing w:before="0" w:after="240"/>
    </w:pPr>
    <w:rPr>
      <w:rFonts w:eastAsia="Times New Roman"/>
      <w:szCs w:val="20"/>
    </w:rPr>
  </w:style>
  <w:style w:type="paragraph" w:customStyle="1" w:styleId="ListNumberLevel4">
    <w:name w:val="List Number (Level 4)"/>
    <w:basedOn w:val="Normal"/>
    <w:pPr>
      <w:numPr>
        <w:ilvl w:val="3"/>
        <w:numId w:val="21"/>
      </w:numPr>
      <w:spacing w:before="0" w:after="240"/>
    </w:pPr>
    <w:rPr>
      <w:rFonts w:eastAsia="Times New Roman"/>
      <w:szCs w:val="20"/>
    </w:rPr>
  </w:style>
  <w:style w:type="paragraph" w:styleId="TableofFigures">
    <w:name w:val="table of figures"/>
    <w:basedOn w:val="Normal"/>
    <w:next w:val="Normal"/>
    <w:pPr>
      <w:suppressAutoHyphens/>
    </w:pPr>
    <w:rPr>
      <w:rFonts w:eastAsia="Times New Roman"/>
      <w:szCs w:val="24"/>
      <w:lang w:eastAsia="ar-SA"/>
    </w:rPr>
  </w:style>
  <w:style w:type="paragraph" w:styleId="CommentText">
    <w:name w:val="annotation text"/>
    <w:basedOn w:val="Normal"/>
    <w:link w:val="CommentTextChar"/>
    <w:pPr>
      <w:suppressAutoHyphens/>
    </w:pPr>
    <w:rPr>
      <w:rFonts w:eastAsia="Times New Roman"/>
      <w:sz w:val="20"/>
      <w:szCs w:val="20"/>
      <w:lang w:eastAsia="ar-SA"/>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GB" w:eastAsia="ar-SA"/>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en-GB" w:eastAsia="ar-SA"/>
    </w:rPr>
  </w:style>
  <w:style w:type="paragraph" w:styleId="BalloonText">
    <w:name w:val="Balloon Text"/>
    <w:basedOn w:val="Normal"/>
    <w:link w:val="BalloonTextChar"/>
    <w:pPr>
      <w:suppressAutoHyphens/>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Pr>
      <w:rFonts w:ascii="Tahoma" w:eastAsia="Times New Roman" w:hAnsi="Tahoma" w:cs="Tahoma"/>
      <w:sz w:val="16"/>
      <w:szCs w:val="16"/>
      <w:lang w:val="en-GB" w:eastAsia="ar-SA"/>
    </w:rPr>
  </w:style>
  <w:style w:type="paragraph" w:styleId="DocumentMap">
    <w:name w:val="Document Map"/>
    <w:basedOn w:val="Normal"/>
    <w:link w:val="DocumentMapChar"/>
    <w:pPr>
      <w:shd w:val="clear" w:color="auto" w:fill="000080"/>
      <w:suppressAutoHyphens/>
    </w:pPr>
    <w:rPr>
      <w:rFonts w:ascii="Tahoma" w:eastAsia="Times New Roman" w:hAnsi="Tahoma" w:cs="Tahoma"/>
      <w:sz w:val="20"/>
      <w:szCs w:val="20"/>
      <w:lang w:eastAsia="ar-SA"/>
    </w:rPr>
  </w:style>
  <w:style w:type="character" w:customStyle="1" w:styleId="DocumentMapChar">
    <w:name w:val="Document Map Char"/>
    <w:basedOn w:val="DefaultParagraphFont"/>
    <w:link w:val="DocumentMap"/>
    <w:rPr>
      <w:rFonts w:ascii="Tahoma" w:eastAsia="Times New Roman" w:hAnsi="Tahoma" w:cs="Tahoma"/>
      <w:sz w:val="20"/>
      <w:szCs w:val="20"/>
      <w:shd w:val="clear" w:color="auto" w:fill="000080"/>
      <w:lang w:val="en-GB" w:eastAsia="ar-SA"/>
    </w:rPr>
  </w:style>
  <w:style w:type="paragraph" w:customStyle="1" w:styleId="CM3">
    <w:name w:val="CM3"/>
    <w:basedOn w:val="Normal"/>
    <w:next w:val="Normal"/>
    <w:uiPriority w:val="99"/>
    <w:pPr>
      <w:suppressAutoHyphens/>
      <w:autoSpaceDE w:val="0"/>
      <w:spacing w:before="0" w:after="0"/>
      <w:jc w:val="left"/>
    </w:pPr>
    <w:rPr>
      <w:rFonts w:ascii="EUAlbertina" w:eastAsia="Times New Roman" w:hAnsi="EUAlbertina"/>
      <w:szCs w:val="24"/>
      <w:lang w:eastAsia="ar-SA"/>
    </w:rPr>
  </w:style>
  <w:style w:type="paragraph" w:customStyle="1" w:styleId="WW-Default">
    <w:name w:val="WW-Default"/>
    <w:pPr>
      <w:suppressAutoHyphens/>
      <w:autoSpaceDE w:val="0"/>
      <w:spacing w:after="0" w:line="240" w:lineRule="auto"/>
    </w:pPr>
    <w:rPr>
      <w:rFonts w:ascii="EUAlbertina" w:eastAsia="Arial" w:hAnsi="EUAlbertina" w:cs="EUAlbertina"/>
      <w:color w:val="000000"/>
      <w:sz w:val="24"/>
      <w:szCs w:val="24"/>
      <w:lang w:val="en-GB" w:eastAsia="ar-SA"/>
    </w:rPr>
  </w:style>
  <w:style w:type="paragraph" w:customStyle="1" w:styleId="CM4">
    <w:name w:val="CM4"/>
    <w:basedOn w:val="WW-Default"/>
    <w:next w:val="WW-Default"/>
    <w:uiPriority w:val="99"/>
    <w:rPr>
      <w:rFonts w:cs="Times New Roman"/>
      <w:color w:val="auto"/>
    </w:rPr>
  </w:style>
  <w:style w:type="paragraph" w:customStyle="1" w:styleId="CM11">
    <w:name w:val="CM1+1"/>
    <w:basedOn w:val="WW-Default"/>
    <w:next w:val="WW-Default"/>
    <w:uiPriority w:val="99"/>
    <w:rPr>
      <w:rFonts w:cs="Times New Roman"/>
      <w:color w:val="auto"/>
    </w:rPr>
  </w:style>
  <w:style w:type="paragraph" w:customStyle="1" w:styleId="CM31">
    <w:name w:val="CM3+1"/>
    <w:basedOn w:val="WW-Default"/>
    <w:next w:val="WW-Default"/>
    <w:uiPriority w:val="99"/>
    <w:rPr>
      <w:rFonts w:cs="Times New Roman"/>
      <w:color w:val="auto"/>
    </w:rPr>
  </w:style>
  <w:style w:type="paragraph" w:customStyle="1" w:styleId="CM41">
    <w:name w:val="CM4+1"/>
    <w:basedOn w:val="WW-Default"/>
    <w:next w:val="WW-Default"/>
    <w:uiPriority w:val="99"/>
    <w:rPr>
      <w:rFonts w:cs="Times New Roman"/>
      <w:color w:val="auto"/>
    </w:rPr>
  </w:style>
  <w:style w:type="paragraph" w:customStyle="1" w:styleId="CM13">
    <w:name w:val="CM1+3"/>
    <w:basedOn w:val="WW-Default"/>
    <w:next w:val="WW-Default"/>
    <w:uiPriority w:val="99"/>
    <w:rPr>
      <w:rFonts w:cs="Times New Roman"/>
      <w:color w:val="auto"/>
    </w:rPr>
  </w:style>
  <w:style w:type="paragraph" w:customStyle="1" w:styleId="CM33">
    <w:name w:val="CM3+3"/>
    <w:basedOn w:val="WW-Default"/>
    <w:next w:val="WW-Default"/>
    <w:uiPriority w:val="99"/>
    <w:rPr>
      <w:rFonts w:cs="Times New Roman"/>
      <w:color w:val="auto"/>
    </w:rPr>
  </w:style>
  <w:style w:type="paragraph" w:customStyle="1" w:styleId="CM15">
    <w:name w:val="CM1+5"/>
    <w:basedOn w:val="WW-Default"/>
    <w:next w:val="WW-Default"/>
    <w:uiPriority w:val="99"/>
    <w:rPr>
      <w:rFonts w:cs="Times New Roman"/>
      <w:color w:val="auto"/>
    </w:rPr>
  </w:style>
  <w:style w:type="paragraph" w:customStyle="1" w:styleId="CM35">
    <w:name w:val="CM3+5"/>
    <w:basedOn w:val="WW-Default"/>
    <w:next w:val="WW-Default"/>
    <w:uiPriority w:val="99"/>
    <w:rPr>
      <w:rFonts w:cs="Times New Roman"/>
      <w:color w:val="auto"/>
    </w:rPr>
  </w:style>
  <w:style w:type="paragraph" w:customStyle="1" w:styleId="CM45">
    <w:name w:val="CM4+5"/>
    <w:basedOn w:val="WW-Default"/>
    <w:next w:val="WW-Default"/>
    <w:uiPriority w:val="99"/>
    <w:rPr>
      <w:rFonts w:cs="Times New Roman"/>
      <w:color w:val="auto"/>
    </w:rPr>
  </w:style>
  <w:style w:type="paragraph" w:styleId="Revision">
    <w:name w:val="Revision"/>
    <w:uiPriority w:val="99"/>
    <w:pPr>
      <w:suppressAutoHyphens/>
      <w:spacing w:after="0" w:line="240" w:lineRule="auto"/>
    </w:pPr>
    <w:rPr>
      <w:rFonts w:ascii="Times New Roman" w:eastAsia="Arial" w:hAnsi="Times New Roman" w:cs="Times New Roman"/>
      <w:sz w:val="24"/>
      <w:szCs w:val="24"/>
      <w:lang w:val="en-GB" w:eastAsia="ar-SA"/>
    </w:rPr>
  </w:style>
  <w:style w:type="paragraph" w:customStyle="1" w:styleId="Contact">
    <w:name w:val="Contact"/>
    <w:basedOn w:val="Normal"/>
    <w:next w:val="Normal"/>
    <w:pPr>
      <w:spacing w:before="0" w:after="480"/>
      <w:ind w:left="567" w:hanging="567"/>
      <w:jc w:val="left"/>
    </w:pPr>
    <w:rPr>
      <w:rFonts w:eastAsia="Times New Roman"/>
      <w:szCs w:val="20"/>
    </w:rPr>
  </w:style>
  <w:style w:type="paragraph" w:styleId="ListBullet5">
    <w:name w:val="List Bullet 5"/>
    <w:basedOn w:val="Normal"/>
    <w:pPr>
      <w:numPr>
        <w:numId w:val="8"/>
      </w:numPr>
      <w:spacing w:before="0" w:after="240"/>
    </w:pPr>
    <w:rPr>
      <w:rFonts w:eastAsia="Times New Roman"/>
      <w:szCs w:val="20"/>
    </w:rPr>
  </w:style>
  <w:style w:type="paragraph" w:customStyle="1" w:styleId="ListBullet6">
    <w:name w:val="List Bullet 6"/>
    <w:basedOn w:val="Normal"/>
    <w:pPr>
      <w:numPr>
        <w:numId w:val="9"/>
      </w:numPr>
      <w:spacing w:before="0" w:after="240"/>
    </w:pPr>
    <w:rPr>
      <w:rFonts w:eastAsia="Times New Roman"/>
      <w:szCs w:val="20"/>
    </w:rPr>
  </w:style>
  <w:style w:type="paragraph" w:customStyle="1" w:styleId="ListBullet7">
    <w:name w:val="List Bullet 7"/>
    <w:basedOn w:val="Normal"/>
    <w:pPr>
      <w:numPr>
        <w:numId w:val="10"/>
      </w:numPr>
      <w:spacing w:before="0" w:after="240"/>
    </w:pPr>
    <w:rPr>
      <w:rFonts w:eastAsia="Times New Roman"/>
      <w:szCs w:val="20"/>
    </w:rPr>
  </w:style>
  <w:style w:type="paragraph" w:customStyle="1" w:styleId="ListBullet8">
    <w:name w:val="List Bullet 8"/>
    <w:basedOn w:val="Normal"/>
    <w:pPr>
      <w:numPr>
        <w:numId w:val="11"/>
      </w:numPr>
      <w:spacing w:before="0" w:after="240"/>
    </w:pPr>
    <w:rPr>
      <w:rFonts w:eastAsia="Times New Roman"/>
      <w:szCs w:val="20"/>
    </w:rPr>
  </w:style>
  <w:style w:type="paragraph" w:customStyle="1" w:styleId="ListDash">
    <w:name w:val="List Dash"/>
    <w:basedOn w:val="Normal"/>
    <w:pPr>
      <w:numPr>
        <w:numId w:val="12"/>
      </w:numPr>
      <w:spacing w:before="0" w:after="240"/>
    </w:pPr>
    <w:rPr>
      <w:rFonts w:eastAsia="Times New Roman"/>
      <w:szCs w:val="20"/>
    </w:rPr>
  </w:style>
  <w:style w:type="paragraph" w:customStyle="1" w:styleId="ListDash3">
    <w:name w:val="List Dash 3"/>
    <w:basedOn w:val="Text3"/>
    <w:pPr>
      <w:numPr>
        <w:numId w:val="15"/>
      </w:numPr>
      <w:spacing w:before="0" w:after="240"/>
    </w:pPr>
    <w:rPr>
      <w:rFonts w:eastAsia="Times New Roman"/>
      <w:szCs w:val="20"/>
    </w:rPr>
  </w:style>
  <w:style w:type="paragraph" w:customStyle="1" w:styleId="ListDash4">
    <w:name w:val="List Dash 4"/>
    <w:basedOn w:val="Text4"/>
    <w:pPr>
      <w:numPr>
        <w:numId w:val="16"/>
      </w:numPr>
      <w:spacing w:before="0" w:after="240"/>
    </w:pPr>
    <w:rPr>
      <w:rFonts w:eastAsia="Times New Roman"/>
      <w:szCs w:val="20"/>
    </w:rPr>
  </w:style>
  <w:style w:type="paragraph" w:customStyle="1" w:styleId="ListDash5">
    <w:name w:val="List Dash 5"/>
    <w:basedOn w:val="Normal"/>
    <w:pPr>
      <w:numPr>
        <w:numId w:val="17"/>
      </w:numPr>
      <w:spacing w:before="0" w:after="240"/>
    </w:pPr>
    <w:rPr>
      <w:rFonts w:eastAsia="Times New Roman"/>
      <w:szCs w:val="20"/>
    </w:rPr>
  </w:style>
  <w:style w:type="paragraph" w:customStyle="1" w:styleId="ListDash6">
    <w:name w:val="List Dash 6"/>
    <w:basedOn w:val="Normal"/>
    <w:pPr>
      <w:numPr>
        <w:numId w:val="18"/>
      </w:numPr>
      <w:spacing w:before="0" w:after="240"/>
    </w:pPr>
    <w:rPr>
      <w:rFonts w:eastAsia="Times New Roman"/>
      <w:szCs w:val="20"/>
    </w:rPr>
  </w:style>
  <w:style w:type="paragraph" w:customStyle="1" w:styleId="ListDash7">
    <w:name w:val="List Dash 7"/>
    <w:basedOn w:val="Normal"/>
    <w:pPr>
      <w:numPr>
        <w:numId w:val="19"/>
      </w:numPr>
      <w:spacing w:before="0" w:after="240"/>
    </w:pPr>
    <w:rPr>
      <w:rFonts w:eastAsia="Times New Roman"/>
      <w:szCs w:val="20"/>
    </w:rPr>
  </w:style>
  <w:style w:type="paragraph" w:customStyle="1" w:styleId="ListDash8">
    <w:name w:val="List Dash 8"/>
    <w:basedOn w:val="Normal"/>
    <w:pPr>
      <w:numPr>
        <w:numId w:val="20"/>
      </w:numPr>
      <w:spacing w:before="0" w:after="240"/>
    </w:pPr>
    <w:rPr>
      <w:rFonts w:eastAsia="Times New Roman"/>
      <w:szCs w:val="20"/>
    </w:rPr>
  </w:style>
  <w:style w:type="paragraph" w:styleId="ListNumber5">
    <w:name w:val="List Number 5"/>
    <w:basedOn w:val="Normal"/>
    <w:pPr>
      <w:numPr>
        <w:numId w:val="26"/>
      </w:numPr>
      <w:spacing w:before="0" w:after="240"/>
    </w:pPr>
    <w:rPr>
      <w:rFonts w:eastAsia="Times New Roman"/>
      <w:szCs w:val="20"/>
    </w:rPr>
  </w:style>
  <w:style w:type="paragraph" w:customStyle="1" w:styleId="ListNumber6">
    <w:name w:val="List Number 6"/>
    <w:basedOn w:val="Normal"/>
    <w:pPr>
      <w:numPr>
        <w:numId w:val="27"/>
      </w:numPr>
      <w:spacing w:before="0" w:after="240"/>
    </w:pPr>
    <w:rPr>
      <w:rFonts w:eastAsia="Times New Roman"/>
      <w:szCs w:val="20"/>
    </w:rPr>
  </w:style>
  <w:style w:type="paragraph" w:customStyle="1" w:styleId="ListNumber7">
    <w:name w:val="List Number 7"/>
    <w:basedOn w:val="Normal"/>
    <w:pPr>
      <w:numPr>
        <w:numId w:val="28"/>
      </w:numPr>
      <w:spacing w:before="0" w:after="240"/>
    </w:pPr>
    <w:rPr>
      <w:rFonts w:eastAsia="Times New Roman"/>
      <w:szCs w:val="20"/>
    </w:rPr>
  </w:style>
  <w:style w:type="paragraph" w:customStyle="1" w:styleId="ListNumber8">
    <w:name w:val="List Number 8"/>
    <w:basedOn w:val="Normal"/>
    <w:pPr>
      <w:numPr>
        <w:numId w:val="29"/>
      </w:numPr>
      <w:spacing w:before="0" w:after="240"/>
    </w:pPr>
    <w:rPr>
      <w:rFonts w:eastAsia="Times New Roman"/>
      <w:szCs w:val="20"/>
    </w:rPr>
  </w:style>
  <w:style w:type="paragraph" w:customStyle="1" w:styleId="ListNumber2Level2">
    <w:name w:val="List Number 2 (Level 2)"/>
    <w:basedOn w:val="Text2"/>
    <w:pPr>
      <w:numPr>
        <w:ilvl w:val="1"/>
        <w:numId w:val="23"/>
      </w:numPr>
      <w:spacing w:before="0" w:after="240"/>
    </w:pPr>
    <w:rPr>
      <w:rFonts w:eastAsia="Times New Roman"/>
      <w:szCs w:val="20"/>
    </w:rPr>
  </w:style>
  <w:style w:type="paragraph" w:customStyle="1" w:styleId="ListNumber3Level2">
    <w:name w:val="List Number 3 (Level 2)"/>
    <w:basedOn w:val="Text3"/>
    <w:pPr>
      <w:numPr>
        <w:ilvl w:val="1"/>
        <w:numId w:val="24"/>
      </w:numPr>
      <w:spacing w:before="0" w:after="240"/>
    </w:pPr>
    <w:rPr>
      <w:rFonts w:eastAsia="Times New Roman"/>
      <w:szCs w:val="20"/>
    </w:rPr>
  </w:style>
  <w:style w:type="paragraph" w:customStyle="1" w:styleId="ListNumber4Level2">
    <w:name w:val="List Number 4 (Level 2)"/>
    <w:basedOn w:val="Text4"/>
    <w:pPr>
      <w:numPr>
        <w:ilvl w:val="1"/>
        <w:numId w:val="25"/>
      </w:numPr>
      <w:spacing w:before="0" w:after="240"/>
    </w:pPr>
    <w:rPr>
      <w:rFonts w:eastAsia="Times New Roman"/>
      <w:szCs w:val="20"/>
    </w:rPr>
  </w:style>
  <w:style w:type="paragraph" w:customStyle="1" w:styleId="ListNumber5Level2">
    <w:name w:val="List Number 5 (Level 2)"/>
    <w:basedOn w:val="Normal"/>
    <w:pPr>
      <w:numPr>
        <w:ilvl w:val="1"/>
        <w:numId w:val="26"/>
      </w:numPr>
      <w:spacing w:before="0" w:after="240"/>
    </w:pPr>
    <w:rPr>
      <w:rFonts w:eastAsia="Times New Roman"/>
      <w:szCs w:val="20"/>
    </w:rPr>
  </w:style>
  <w:style w:type="paragraph" w:customStyle="1" w:styleId="ListNumber6Level2">
    <w:name w:val="List Number 6 (Level 2)"/>
    <w:basedOn w:val="Normal"/>
    <w:pPr>
      <w:numPr>
        <w:ilvl w:val="1"/>
        <w:numId w:val="27"/>
      </w:numPr>
      <w:spacing w:before="0" w:after="240"/>
    </w:pPr>
    <w:rPr>
      <w:rFonts w:eastAsia="Times New Roman"/>
      <w:szCs w:val="20"/>
    </w:rPr>
  </w:style>
  <w:style w:type="paragraph" w:customStyle="1" w:styleId="ListNumber7Level2">
    <w:name w:val="List Number 7 (Level 2)"/>
    <w:basedOn w:val="Normal"/>
    <w:pPr>
      <w:numPr>
        <w:ilvl w:val="1"/>
        <w:numId w:val="28"/>
      </w:numPr>
      <w:spacing w:before="0" w:after="240"/>
    </w:pPr>
    <w:rPr>
      <w:rFonts w:eastAsia="Times New Roman"/>
      <w:szCs w:val="20"/>
    </w:rPr>
  </w:style>
  <w:style w:type="paragraph" w:customStyle="1" w:styleId="ListNumber8Level2">
    <w:name w:val="List Number 8 (Level 2)"/>
    <w:basedOn w:val="Normal"/>
    <w:pPr>
      <w:numPr>
        <w:ilvl w:val="1"/>
        <w:numId w:val="29"/>
      </w:numPr>
      <w:spacing w:before="0" w:after="240"/>
    </w:pPr>
    <w:rPr>
      <w:rFonts w:eastAsia="Times New Roman"/>
      <w:szCs w:val="20"/>
    </w:rPr>
  </w:style>
  <w:style w:type="paragraph" w:customStyle="1" w:styleId="ListNumber2Level3">
    <w:name w:val="List Number 2 (Level 3)"/>
    <w:basedOn w:val="Text2"/>
    <w:pPr>
      <w:numPr>
        <w:ilvl w:val="2"/>
        <w:numId w:val="23"/>
      </w:numPr>
      <w:spacing w:before="0" w:after="240"/>
    </w:pPr>
    <w:rPr>
      <w:rFonts w:eastAsia="Times New Roman"/>
      <w:szCs w:val="20"/>
    </w:rPr>
  </w:style>
  <w:style w:type="paragraph" w:customStyle="1" w:styleId="ListNumber3Level3">
    <w:name w:val="List Number 3 (Level 3)"/>
    <w:basedOn w:val="Text3"/>
    <w:pPr>
      <w:numPr>
        <w:ilvl w:val="2"/>
        <w:numId w:val="24"/>
      </w:numPr>
      <w:spacing w:before="0" w:after="240"/>
    </w:pPr>
    <w:rPr>
      <w:rFonts w:eastAsia="Times New Roman"/>
      <w:szCs w:val="20"/>
    </w:rPr>
  </w:style>
  <w:style w:type="paragraph" w:customStyle="1" w:styleId="ListNumber4Level3">
    <w:name w:val="List Number 4 (Level 3)"/>
    <w:basedOn w:val="Text4"/>
    <w:pPr>
      <w:numPr>
        <w:ilvl w:val="2"/>
        <w:numId w:val="25"/>
      </w:numPr>
      <w:spacing w:before="0" w:after="240"/>
    </w:pPr>
    <w:rPr>
      <w:rFonts w:eastAsia="Times New Roman"/>
      <w:szCs w:val="20"/>
    </w:rPr>
  </w:style>
  <w:style w:type="paragraph" w:customStyle="1" w:styleId="ListNumber5Level3">
    <w:name w:val="List Number 5 (Level 3)"/>
    <w:basedOn w:val="Normal"/>
    <w:pPr>
      <w:numPr>
        <w:ilvl w:val="2"/>
        <w:numId w:val="26"/>
      </w:numPr>
      <w:spacing w:before="0" w:after="240"/>
    </w:pPr>
    <w:rPr>
      <w:rFonts w:eastAsia="Times New Roman"/>
      <w:szCs w:val="20"/>
    </w:rPr>
  </w:style>
  <w:style w:type="paragraph" w:customStyle="1" w:styleId="ListNumber6Level3">
    <w:name w:val="List Number 6 (Level 3)"/>
    <w:basedOn w:val="Normal"/>
    <w:pPr>
      <w:numPr>
        <w:ilvl w:val="2"/>
        <w:numId w:val="27"/>
      </w:numPr>
      <w:spacing w:before="0" w:after="240"/>
    </w:pPr>
    <w:rPr>
      <w:rFonts w:eastAsia="Times New Roman"/>
      <w:szCs w:val="20"/>
    </w:rPr>
  </w:style>
  <w:style w:type="paragraph" w:customStyle="1" w:styleId="ListNumber7Level3">
    <w:name w:val="List Number 7 (Level 3)"/>
    <w:basedOn w:val="Normal"/>
    <w:pPr>
      <w:numPr>
        <w:ilvl w:val="2"/>
        <w:numId w:val="28"/>
      </w:numPr>
      <w:spacing w:before="0" w:after="240"/>
    </w:pPr>
    <w:rPr>
      <w:rFonts w:eastAsia="Times New Roman"/>
      <w:szCs w:val="20"/>
    </w:rPr>
  </w:style>
  <w:style w:type="paragraph" w:customStyle="1" w:styleId="ListNumber8Level3">
    <w:name w:val="List Number 8 (Level 3)"/>
    <w:basedOn w:val="Normal"/>
    <w:pPr>
      <w:numPr>
        <w:ilvl w:val="2"/>
        <w:numId w:val="29"/>
      </w:numPr>
      <w:spacing w:before="0" w:after="240"/>
    </w:pPr>
    <w:rPr>
      <w:rFonts w:eastAsia="Times New Roman"/>
      <w:szCs w:val="20"/>
    </w:rPr>
  </w:style>
  <w:style w:type="paragraph" w:customStyle="1" w:styleId="ListNumber2Level4">
    <w:name w:val="List Number 2 (Level 4)"/>
    <w:basedOn w:val="Text2"/>
    <w:pPr>
      <w:numPr>
        <w:ilvl w:val="3"/>
        <w:numId w:val="23"/>
      </w:numPr>
      <w:spacing w:before="0" w:after="240"/>
    </w:pPr>
    <w:rPr>
      <w:rFonts w:eastAsia="Times New Roman"/>
      <w:szCs w:val="20"/>
    </w:rPr>
  </w:style>
  <w:style w:type="paragraph" w:customStyle="1" w:styleId="ListNumber3Level4">
    <w:name w:val="List Number 3 (Level 4)"/>
    <w:basedOn w:val="Text3"/>
    <w:pPr>
      <w:numPr>
        <w:ilvl w:val="3"/>
        <w:numId w:val="24"/>
      </w:numPr>
      <w:spacing w:before="0" w:after="240"/>
    </w:pPr>
    <w:rPr>
      <w:rFonts w:eastAsia="Times New Roman"/>
      <w:szCs w:val="20"/>
    </w:rPr>
  </w:style>
  <w:style w:type="paragraph" w:customStyle="1" w:styleId="ListNumber4Level4">
    <w:name w:val="List Number 4 (Level 4)"/>
    <w:basedOn w:val="Text4"/>
    <w:pPr>
      <w:numPr>
        <w:ilvl w:val="3"/>
        <w:numId w:val="25"/>
      </w:numPr>
      <w:spacing w:before="0" w:after="240"/>
    </w:pPr>
    <w:rPr>
      <w:rFonts w:eastAsia="Times New Roman"/>
      <w:szCs w:val="20"/>
    </w:rPr>
  </w:style>
  <w:style w:type="paragraph" w:customStyle="1" w:styleId="ListNumber5Level4">
    <w:name w:val="List Number 5 (Level 4)"/>
    <w:basedOn w:val="Normal"/>
    <w:pPr>
      <w:numPr>
        <w:ilvl w:val="3"/>
        <w:numId w:val="26"/>
      </w:numPr>
      <w:spacing w:before="0" w:after="240"/>
    </w:pPr>
    <w:rPr>
      <w:rFonts w:eastAsia="Times New Roman"/>
      <w:szCs w:val="20"/>
    </w:rPr>
  </w:style>
  <w:style w:type="paragraph" w:customStyle="1" w:styleId="ListNumber6Level4">
    <w:name w:val="List Number 6 (Level 4)"/>
    <w:basedOn w:val="Normal"/>
    <w:pPr>
      <w:numPr>
        <w:ilvl w:val="3"/>
        <w:numId w:val="27"/>
      </w:numPr>
      <w:spacing w:before="0" w:after="240"/>
    </w:pPr>
    <w:rPr>
      <w:rFonts w:eastAsia="Times New Roman"/>
      <w:szCs w:val="20"/>
    </w:rPr>
  </w:style>
  <w:style w:type="paragraph" w:customStyle="1" w:styleId="ListNumber7Level4">
    <w:name w:val="List Number 7 (Level 4)"/>
    <w:basedOn w:val="Normal"/>
    <w:pPr>
      <w:numPr>
        <w:ilvl w:val="3"/>
        <w:numId w:val="28"/>
      </w:numPr>
      <w:spacing w:before="0" w:after="240"/>
    </w:pPr>
    <w:rPr>
      <w:rFonts w:eastAsia="Times New Roman"/>
      <w:szCs w:val="20"/>
    </w:rPr>
  </w:style>
  <w:style w:type="paragraph" w:customStyle="1" w:styleId="ListNumber8Level4">
    <w:name w:val="List Number 8 (Level 4)"/>
    <w:basedOn w:val="Normal"/>
    <w:pPr>
      <w:numPr>
        <w:ilvl w:val="3"/>
        <w:numId w:val="29"/>
      </w:numPr>
      <w:spacing w:before="0" w:after="240"/>
    </w:pPr>
    <w:rPr>
      <w:rFonts w:eastAsia="Times New Roman"/>
      <w:szCs w:val="20"/>
    </w:rPr>
  </w:style>
  <w:style w:type="character" w:customStyle="1" w:styleId="oneclick-link">
    <w:name w:val="oneclick-link"/>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character" w:styleId="Strong">
    <w:name w:val="Strong"/>
    <w:uiPriority w:val="22"/>
    <w:qFormat/>
    <w:rPr>
      <w:b/>
      <w:bCs/>
    </w:rPr>
  </w:style>
  <w:style w:type="table" w:styleId="TableGrid">
    <w:name w:val="Table Grid"/>
    <w:basedOn w:val="TableNormal"/>
    <w:pPr>
      <w:spacing w:after="240" w:line="240" w:lineRule="auto"/>
      <w:jc w:val="both"/>
    </w:pPr>
    <w:rPr>
      <w:rFonts w:ascii="Times New Roman" w:eastAsia="Times New Roman" w:hAnsi="Times New Roman" w:cs="Times New Roman"/>
      <w:sz w:val="24"/>
      <w:szCs w:val="24"/>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val="en-GB" w:eastAsia="en-GB"/>
    </w:rPr>
  </w:style>
  <w:style w:type="character" w:styleId="PageNumber">
    <w:name w:val="page number"/>
    <w:rPr>
      <w:rFonts w:cs="Times New Roman"/>
      <w:lang w:val="en-GB" w:eastAsia="en-GB"/>
    </w:rPr>
  </w:style>
  <w:style w:type="paragraph" w:customStyle="1" w:styleId="Legis">
    <w:name w:val="Legis"/>
    <w:basedOn w:val="Normal"/>
    <w:pPr>
      <w:jc w:val="center"/>
    </w:pPr>
    <w:rPr>
      <w:b/>
      <w:noProof/>
      <w:u w:val="single"/>
    </w:rPr>
  </w:style>
  <w:style w:type="paragraph" w:styleId="EndnoteText">
    <w:name w:val="endnote text"/>
    <w:basedOn w:val="Normal"/>
    <w:link w:val="EndnoteTextChar"/>
    <w:uiPriority w:val="99"/>
    <w:unhideWhenUsed/>
    <w:pPr>
      <w:spacing w:before="0" w:after="0"/>
    </w:pPr>
    <w:rPr>
      <w:sz w:val="20"/>
      <w:szCs w:val="20"/>
    </w:rPr>
  </w:style>
  <w:style w:type="character" w:customStyle="1" w:styleId="EndnoteTextChar">
    <w:name w:val="Endnote Text Char"/>
    <w:basedOn w:val="DefaultParagraphFont"/>
    <w:link w:val="EndnoteText"/>
    <w:uiPriority w:val="99"/>
    <w:rPr>
      <w:rFonts w:ascii="Times New Roman" w:hAnsi="Times New Roman" w:cs="Times New Roman"/>
      <w:sz w:val="20"/>
      <w:szCs w:val="20"/>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88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c.cec/budg/man/budgmanag/budgmanag_en.html" TargetMode="External"/><Relationship Id="rId1" Type="http://schemas.openxmlformats.org/officeDocument/2006/relationships/hyperlink" Target="http://ec.europa.eu/about/taskforce-greece/pdf/tfgr/evaluation_report_alvarez_july_2014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21F52-D4B6-4DC8-AC5D-9C7C92C6F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54</Pages>
  <Words>17503</Words>
  <Characters>105723</Characters>
  <Application>Microsoft Office Word</Application>
  <DocSecurity>0</DocSecurity>
  <Lines>2517</Lines>
  <Paragraphs>1151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2015-11-27T12:11:00Z</dcterms:created>
  <dcterms:modified xsi:type="dcterms:W3CDTF">2015-11-27T16:32:00Z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