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9DB" w:rsidRDefault="00E56B6B">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0375BBFA00F46ACA530423443B84310" style="width:450.7pt;height:363.75pt">
            <v:imagedata r:id="rId9" o:title=""/>
          </v:shape>
        </w:pict>
      </w:r>
    </w:p>
    <w:bookmarkEnd w:id="0"/>
    <w:p w:rsidR="008A19DB" w:rsidRDefault="008A19DB">
      <w:pPr>
        <w:rPr>
          <w:noProof/>
        </w:rPr>
        <w:sectPr w:rsidR="008A19DB">
          <w:headerReference w:type="even" r:id="rId10"/>
          <w:headerReference w:type="default" r:id="rId11"/>
          <w:footerReference w:type="even" r:id="rId12"/>
          <w:footerReference w:type="default" r:id="rId13"/>
          <w:headerReference w:type="first" r:id="rId14"/>
          <w:footerReference w:type="first" r:id="rId15"/>
          <w:pgSz w:w="11907" w:h="16839" w:code="9"/>
          <w:pgMar w:top="1134" w:right="1417" w:bottom="1134" w:left="1417" w:header="709" w:footer="709" w:gutter="0"/>
          <w:pgNumType w:start="1"/>
          <w:cols w:space="720"/>
          <w:docGrid w:linePitch="360"/>
        </w:sectPr>
      </w:pPr>
    </w:p>
    <w:p w:rsidR="008A19DB" w:rsidRDefault="00E56B6B">
      <w:pPr>
        <w:pStyle w:val="TOCHeading"/>
        <w:rPr>
          <w:noProof/>
        </w:rPr>
      </w:pPr>
      <w:bookmarkStart w:id="1" w:name="_Toc409416904"/>
      <w:bookmarkStart w:id="2" w:name="_Toc409417174"/>
      <w:bookmarkStart w:id="3" w:name="_Toc409417440"/>
      <w:bookmarkStart w:id="4" w:name="_Toc390936607"/>
      <w:bookmarkStart w:id="5" w:name="_Toc390942387"/>
      <w:bookmarkStart w:id="6" w:name="_Toc387919751"/>
      <w:bookmarkStart w:id="7" w:name="_Toc390936614"/>
      <w:bookmarkStart w:id="8" w:name="_Toc390942394"/>
      <w:bookmarkStart w:id="9" w:name="_Toc390936615"/>
      <w:bookmarkStart w:id="10" w:name="_Toc390942395"/>
      <w:bookmarkStart w:id="11" w:name="_Toc388286936"/>
      <w:bookmarkStart w:id="12" w:name="_Toc388288218"/>
      <w:bookmarkStart w:id="13" w:name="_Toc388288306"/>
      <w:bookmarkStart w:id="14" w:name="_Toc388288333"/>
      <w:bookmarkStart w:id="15" w:name="_Toc388288444"/>
      <w:bookmarkStart w:id="16" w:name="_Toc388288497"/>
      <w:bookmarkStart w:id="17" w:name="_Toc388289815"/>
      <w:bookmarkStart w:id="18" w:name="_Toc390936624"/>
      <w:bookmarkStart w:id="19" w:name="_Toc390942404"/>
      <w:bookmarkStart w:id="20" w:name="_Toc390936627"/>
      <w:bookmarkStart w:id="21" w:name="_Toc390942408"/>
      <w:bookmarkStart w:id="22" w:name="_Toc390936628"/>
      <w:bookmarkStart w:id="23" w:name="_Toc390942409"/>
      <w:bookmarkStart w:id="24" w:name="_Toc390936632"/>
      <w:bookmarkStart w:id="25" w:name="_Toc390942413"/>
      <w:bookmarkStart w:id="26" w:name="_Toc391369940"/>
      <w:bookmarkStart w:id="27" w:name="_Toc391487176"/>
      <w:bookmarkStart w:id="28" w:name="_Toc391487825"/>
      <w:bookmarkStart w:id="29" w:name="_Toc391487917"/>
      <w:bookmarkStart w:id="30" w:name="_Toc391487178"/>
      <w:bookmarkStart w:id="31" w:name="_Toc391487827"/>
      <w:bookmarkStart w:id="32" w:name="_Toc391487919"/>
      <w:bookmarkStart w:id="33" w:name="_Toc391487179"/>
      <w:bookmarkStart w:id="34" w:name="_Toc391487828"/>
      <w:bookmarkStart w:id="35" w:name="_Toc391487920"/>
      <w:bookmarkStart w:id="36" w:name="_Toc409641549"/>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noProof/>
        </w:rPr>
        <w:lastRenderedPageBreak/>
        <w:t>Contents</w:t>
      </w:r>
    </w:p>
    <w:bookmarkStart w:id="37" w:name="_GoBack"/>
    <w:p w:rsidR="008A19DB" w:rsidRDefault="00E56B6B">
      <w:pPr>
        <w:pStyle w:val="TOC1"/>
        <w:rPr>
          <w:rFonts w:asciiTheme="minorHAnsi" w:eastAsiaTheme="minorEastAsia" w:hAnsiTheme="minorHAnsi" w:cstheme="minorBidi"/>
          <w:noProof/>
          <w:sz w:val="22"/>
          <w:szCs w:val="22"/>
          <w:lang w:eastAsia="en-GB"/>
        </w:rPr>
      </w:pPr>
      <w:r>
        <w:rPr>
          <w:noProof/>
        </w:rPr>
        <w:fldChar w:fldCharType="begin"/>
      </w:r>
      <w:r>
        <w:rPr>
          <w:noProof/>
        </w:rPr>
        <w:instrText xml:space="preserve"> TOC \o "1-3" \h \z \u </w:instrText>
      </w:r>
      <w:r>
        <w:rPr>
          <w:noProof/>
        </w:rPr>
        <w:fldChar w:fldCharType="separate"/>
      </w:r>
      <w:hyperlink w:anchor="_Toc412454725" w:history="1">
        <w:r>
          <w:rPr>
            <w:rStyle w:val="Hyperlink"/>
            <w:noProof/>
          </w:rPr>
          <w:t>1.</w:t>
        </w:r>
        <w:r>
          <w:rPr>
            <w:rFonts w:asciiTheme="minorHAnsi" w:eastAsiaTheme="minorEastAsia" w:hAnsiTheme="minorHAnsi" w:cstheme="minorBidi"/>
            <w:noProof/>
            <w:sz w:val="22"/>
            <w:szCs w:val="22"/>
            <w:lang w:eastAsia="en-GB"/>
          </w:rPr>
          <w:tab/>
        </w:r>
        <w:r>
          <w:rPr>
            <w:rStyle w:val="Hyperlink"/>
            <w:noProof/>
          </w:rPr>
          <w:t>Executive Summary</w:t>
        </w:r>
        <w:r>
          <w:rPr>
            <w:noProof/>
            <w:webHidden/>
          </w:rPr>
          <w:tab/>
        </w:r>
        <w:r>
          <w:rPr>
            <w:noProof/>
            <w:webHidden/>
          </w:rPr>
          <w:fldChar w:fldCharType="begin"/>
        </w:r>
        <w:r>
          <w:rPr>
            <w:noProof/>
            <w:webHidden/>
          </w:rPr>
          <w:instrText xml:space="preserve"> PAGEREF _Toc412454725 \h </w:instrText>
        </w:r>
        <w:r>
          <w:rPr>
            <w:noProof/>
            <w:webHidden/>
          </w:rPr>
        </w:r>
        <w:r>
          <w:rPr>
            <w:noProof/>
            <w:webHidden/>
          </w:rPr>
          <w:fldChar w:fldCharType="separate"/>
        </w:r>
        <w:r>
          <w:rPr>
            <w:noProof/>
            <w:webHidden/>
          </w:rPr>
          <w:t>3</w:t>
        </w:r>
        <w:r>
          <w:rPr>
            <w:noProof/>
            <w:webHidden/>
          </w:rPr>
          <w:fldChar w:fldCharType="end"/>
        </w:r>
      </w:hyperlink>
    </w:p>
    <w:p w:rsidR="008A19DB" w:rsidRDefault="00E56B6B">
      <w:pPr>
        <w:pStyle w:val="TOC1"/>
        <w:rPr>
          <w:rFonts w:asciiTheme="minorHAnsi" w:eastAsiaTheme="minorEastAsia" w:hAnsiTheme="minorHAnsi" w:cstheme="minorBidi"/>
          <w:noProof/>
          <w:sz w:val="22"/>
          <w:szCs w:val="22"/>
          <w:lang w:eastAsia="en-GB"/>
        </w:rPr>
      </w:pPr>
      <w:hyperlink w:anchor="_Toc412454726" w:history="1">
        <w:r>
          <w:rPr>
            <w:rStyle w:val="Hyperlink"/>
            <w:noProof/>
          </w:rPr>
          <w:t>2.</w:t>
        </w:r>
        <w:r>
          <w:rPr>
            <w:rFonts w:asciiTheme="minorHAnsi" w:eastAsiaTheme="minorEastAsia" w:hAnsiTheme="minorHAnsi" w:cstheme="minorBidi"/>
            <w:noProof/>
            <w:sz w:val="22"/>
            <w:szCs w:val="22"/>
            <w:lang w:eastAsia="en-GB"/>
          </w:rPr>
          <w:tab/>
        </w:r>
        <w:r>
          <w:rPr>
            <w:rStyle w:val="Hyperlink"/>
            <w:noProof/>
          </w:rPr>
          <w:t>The Paris Protocol</w:t>
        </w:r>
        <w:r>
          <w:rPr>
            <w:noProof/>
            <w:webHidden/>
          </w:rPr>
          <w:tab/>
        </w:r>
        <w:r>
          <w:rPr>
            <w:noProof/>
            <w:webHidden/>
          </w:rPr>
          <w:fldChar w:fldCharType="begin"/>
        </w:r>
        <w:r>
          <w:rPr>
            <w:noProof/>
            <w:webHidden/>
          </w:rPr>
          <w:instrText xml:space="preserve"> PAGEREF _Toc412454726 \h </w:instrText>
        </w:r>
        <w:r>
          <w:rPr>
            <w:noProof/>
            <w:webHidden/>
          </w:rPr>
        </w:r>
        <w:r>
          <w:rPr>
            <w:noProof/>
            <w:webHidden/>
          </w:rPr>
          <w:fldChar w:fldCharType="separate"/>
        </w:r>
        <w:r>
          <w:rPr>
            <w:noProof/>
            <w:webHidden/>
          </w:rPr>
          <w:t>5</w:t>
        </w:r>
        <w:r>
          <w:rPr>
            <w:noProof/>
            <w:webHidden/>
          </w:rPr>
          <w:fldChar w:fldCharType="end"/>
        </w:r>
      </w:hyperlink>
    </w:p>
    <w:p w:rsidR="008A19DB" w:rsidRDefault="00E56B6B">
      <w:pPr>
        <w:pStyle w:val="TOC1"/>
        <w:rPr>
          <w:rFonts w:asciiTheme="minorHAnsi" w:eastAsiaTheme="minorEastAsia" w:hAnsiTheme="minorHAnsi" w:cstheme="minorBidi"/>
          <w:noProof/>
          <w:sz w:val="22"/>
          <w:szCs w:val="22"/>
          <w:lang w:eastAsia="en-GB"/>
        </w:rPr>
      </w:pPr>
      <w:hyperlink w:anchor="_Toc412454727" w:history="1">
        <w:r>
          <w:rPr>
            <w:rStyle w:val="Hyperlink"/>
            <w:noProof/>
          </w:rPr>
          <w:t>3.</w:t>
        </w:r>
        <w:r>
          <w:rPr>
            <w:rFonts w:asciiTheme="minorHAnsi" w:eastAsiaTheme="minorEastAsia" w:hAnsiTheme="minorHAnsi" w:cstheme="minorBidi"/>
            <w:noProof/>
            <w:sz w:val="22"/>
            <w:szCs w:val="22"/>
            <w:lang w:eastAsia="en-GB"/>
          </w:rPr>
          <w:tab/>
        </w:r>
        <w:r>
          <w:rPr>
            <w:rStyle w:val="Hyperlink"/>
            <w:noProof/>
          </w:rPr>
          <w:t>Securing ambitious reductions of greenhouse gas emissions</w:t>
        </w:r>
        <w:r>
          <w:rPr>
            <w:noProof/>
            <w:webHidden/>
          </w:rPr>
          <w:tab/>
        </w:r>
        <w:r>
          <w:rPr>
            <w:noProof/>
            <w:webHidden/>
          </w:rPr>
          <w:fldChar w:fldCharType="begin"/>
        </w:r>
        <w:r>
          <w:rPr>
            <w:noProof/>
            <w:webHidden/>
          </w:rPr>
          <w:instrText xml:space="preserve"> PAGEREF _Toc412454727 \h </w:instrText>
        </w:r>
        <w:r>
          <w:rPr>
            <w:noProof/>
            <w:webHidden/>
          </w:rPr>
        </w:r>
        <w:r>
          <w:rPr>
            <w:noProof/>
            <w:webHidden/>
          </w:rPr>
          <w:fldChar w:fldCharType="separate"/>
        </w:r>
        <w:r>
          <w:rPr>
            <w:noProof/>
            <w:webHidden/>
          </w:rPr>
          <w:t>6</w:t>
        </w:r>
        <w:r>
          <w:rPr>
            <w:noProof/>
            <w:webHidden/>
          </w:rPr>
          <w:fldChar w:fldCharType="end"/>
        </w:r>
      </w:hyperlink>
    </w:p>
    <w:p w:rsidR="008A19DB" w:rsidRDefault="00E56B6B">
      <w:pPr>
        <w:pStyle w:val="TOC2"/>
        <w:rPr>
          <w:rFonts w:asciiTheme="minorHAnsi" w:eastAsiaTheme="minorEastAsia" w:hAnsiTheme="minorHAnsi" w:cstheme="minorBidi"/>
          <w:noProof/>
          <w:sz w:val="22"/>
          <w:szCs w:val="22"/>
          <w:lang w:eastAsia="en-GB"/>
        </w:rPr>
      </w:pPr>
      <w:hyperlink w:anchor="_Toc412454728" w:history="1">
        <w:r>
          <w:rPr>
            <w:rStyle w:val="Hyperlink"/>
            <w:noProof/>
          </w:rPr>
          <w:t>3.1.</w:t>
        </w:r>
        <w:r>
          <w:rPr>
            <w:rFonts w:asciiTheme="minorHAnsi" w:eastAsiaTheme="minorEastAsia" w:hAnsiTheme="minorHAnsi" w:cstheme="minorBidi"/>
            <w:noProof/>
            <w:sz w:val="22"/>
            <w:szCs w:val="22"/>
            <w:lang w:eastAsia="en-GB"/>
          </w:rPr>
          <w:tab/>
        </w:r>
        <w:r>
          <w:rPr>
            <w:rStyle w:val="Hyperlink"/>
            <w:noProof/>
          </w:rPr>
          <w:t>The EU 2030 target and intended nationally determined contribution</w:t>
        </w:r>
        <w:r>
          <w:rPr>
            <w:noProof/>
            <w:webHidden/>
          </w:rPr>
          <w:tab/>
        </w:r>
        <w:r>
          <w:rPr>
            <w:noProof/>
            <w:webHidden/>
          </w:rPr>
          <w:fldChar w:fldCharType="begin"/>
        </w:r>
        <w:r>
          <w:rPr>
            <w:noProof/>
            <w:webHidden/>
          </w:rPr>
          <w:instrText xml:space="preserve"> PAGEREF _Toc412454728 \h </w:instrText>
        </w:r>
        <w:r>
          <w:rPr>
            <w:noProof/>
            <w:webHidden/>
          </w:rPr>
        </w:r>
        <w:r>
          <w:rPr>
            <w:noProof/>
            <w:webHidden/>
          </w:rPr>
          <w:fldChar w:fldCharType="separate"/>
        </w:r>
        <w:r>
          <w:rPr>
            <w:noProof/>
            <w:webHidden/>
          </w:rPr>
          <w:t>6</w:t>
        </w:r>
        <w:r>
          <w:rPr>
            <w:noProof/>
            <w:webHidden/>
          </w:rPr>
          <w:fldChar w:fldCharType="end"/>
        </w:r>
      </w:hyperlink>
    </w:p>
    <w:p w:rsidR="008A19DB" w:rsidRDefault="00E56B6B">
      <w:pPr>
        <w:pStyle w:val="TOC2"/>
        <w:rPr>
          <w:rFonts w:asciiTheme="minorHAnsi" w:eastAsiaTheme="minorEastAsia" w:hAnsiTheme="minorHAnsi" w:cstheme="minorBidi"/>
          <w:noProof/>
          <w:sz w:val="22"/>
          <w:szCs w:val="22"/>
          <w:lang w:eastAsia="en-GB"/>
        </w:rPr>
      </w:pPr>
      <w:hyperlink w:anchor="_Toc412454729" w:history="1">
        <w:r>
          <w:rPr>
            <w:rStyle w:val="Hyperlink"/>
            <w:noProof/>
          </w:rPr>
          <w:t>3.2.</w:t>
        </w:r>
        <w:r>
          <w:rPr>
            <w:rFonts w:asciiTheme="minorHAnsi" w:eastAsiaTheme="minorEastAsia" w:hAnsiTheme="minorHAnsi" w:cstheme="minorBidi"/>
            <w:noProof/>
            <w:sz w:val="22"/>
            <w:szCs w:val="22"/>
            <w:lang w:eastAsia="en-GB"/>
          </w:rPr>
          <w:tab/>
        </w:r>
        <w:r>
          <w:rPr>
            <w:rStyle w:val="Hyperlink"/>
            <w:noProof/>
          </w:rPr>
          <w:t>Sharing the global effort</w:t>
        </w:r>
        <w:r>
          <w:rPr>
            <w:noProof/>
            <w:webHidden/>
          </w:rPr>
          <w:tab/>
        </w:r>
        <w:r>
          <w:rPr>
            <w:noProof/>
            <w:webHidden/>
          </w:rPr>
          <w:fldChar w:fldCharType="begin"/>
        </w:r>
        <w:r>
          <w:rPr>
            <w:noProof/>
            <w:webHidden/>
          </w:rPr>
          <w:instrText xml:space="preserve"> PAGEREF _Toc412454729 \h </w:instrText>
        </w:r>
        <w:r>
          <w:rPr>
            <w:noProof/>
            <w:webHidden/>
          </w:rPr>
        </w:r>
        <w:r>
          <w:rPr>
            <w:noProof/>
            <w:webHidden/>
          </w:rPr>
          <w:fldChar w:fldCharType="separate"/>
        </w:r>
        <w:r>
          <w:rPr>
            <w:noProof/>
            <w:webHidden/>
          </w:rPr>
          <w:t>7</w:t>
        </w:r>
        <w:r>
          <w:rPr>
            <w:noProof/>
            <w:webHidden/>
          </w:rPr>
          <w:fldChar w:fldCharType="end"/>
        </w:r>
      </w:hyperlink>
    </w:p>
    <w:p w:rsidR="008A19DB" w:rsidRDefault="00E56B6B">
      <w:pPr>
        <w:pStyle w:val="TOC1"/>
        <w:rPr>
          <w:rFonts w:asciiTheme="minorHAnsi" w:eastAsiaTheme="minorEastAsia" w:hAnsiTheme="minorHAnsi" w:cstheme="minorBidi"/>
          <w:noProof/>
          <w:sz w:val="22"/>
          <w:szCs w:val="22"/>
          <w:lang w:eastAsia="en-GB"/>
        </w:rPr>
      </w:pPr>
      <w:hyperlink w:anchor="_Toc412454730" w:history="1">
        <w:r>
          <w:rPr>
            <w:rStyle w:val="Hyperlink"/>
            <w:noProof/>
          </w:rPr>
          <w:t>4.</w:t>
        </w:r>
        <w:r>
          <w:rPr>
            <w:rFonts w:asciiTheme="minorHAnsi" w:eastAsiaTheme="minorEastAsia" w:hAnsiTheme="minorHAnsi" w:cstheme="minorBidi"/>
            <w:noProof/>
            <w:sz w:val="22"/>
            <w:szCs w:val="22"/>
            <w:lang w:eastAsia="en-GB"/>
          </w:rPr>
          <w:tab/>
        </w:r>
        <w:r>
          <w:rPr>
            <w:rStyle w:val="Hyperlink"/>
            <w:noProof/>
          </w:rPr>
          <w:t>Ensuring dynamism through regular review of targets</w:t>
        </w:r>
        <w:r>
          <w:rPr>
            <w:noProof/>
            <w:webHidden/>
          </w:rPr>
          <w:tab/>
        </w:r>
        <w:r>
          <w:rPr>
            <w:noProof/>
            <w:webHidden/>
          </w:rPr>
          <w:fldChar w:fldCharType="begin"/>
        </w:r>
        <w:r>
          <w:rPr>
            <w:noProof/>
            <w:webHidden/>
          </w:rPr>
          <w:instrText xml:space="preserve"> PAGEREF _Toc412454730 \h </w:instrText>
        </w:r>
        <w:r>
          <w:rPr>
            <w:noProof/>
            <w:webHidden/>
          </w:rPr>
        </w:r>
        <w:r>
          <w:rPr>
            <w:noProof/>
            <w:webHidden/>
          </w:rPr>
          <w:fldChar w:fldCharType="separate"/>
        </w:r>
        <w:r>
          <w:rPr>
            <w:noProof/>
            <w:webHidden/>
          </w:rPr>
          <w:t>8</w:t>
        </w:r>
        <w:r>
          <w:rPr>
            <w:noProof/>
            <w:webHidden/>
          </w:rPr>
          <w:fldChar w:fldCharType="end"/>
        </w:r>
      </w:hyperlink>
    </w:p>
    <w:p w:rsidR="008A19DB" w:rsidRDefault="00E56B6B">
      <w:pPr>
        <w:pStyle w:val="TOC1"/>
        <w:rPr>
          <w:rFonts w:asciiTheme="minorHAnsi" w:eastAsiaTheme="minorEastAsia" w:hAnsiTheme="minorHAnsi" w:cstheme="minorBidi"/>
          <w:noProof/>
          <w:sz w:val="22"/>
          <w:szCs w:val="22"/>
          <w:lang w:eastAsia="en-GB"/>
        </w:rPr>
      </w:pPr>
      <w:hyperlink w:anchor="_Toc412454731" w:history="1">
        <w:r>
          <w:rPr>
            <w:rStyle w:val="Hyperlink"/>
            <w:noProof/>
          </w:rPr>
          <w:t>5.</w:t>
        </w:r>
        <w:r>
          <w:rPr>
            <w:rFonts w:asciiTheme="minorHAnsi" w:eastAsiaTheme="minorEastAsia" w:hAnsiTheme="minorHAnsi" w:cstheme="minorBidi"/>
            <w:noProof/>
            <w:sz w:val="22"/>
            <w:szCs w:val="22"/>
            <w:lang w:eastAsia="en-GB"/>
          </w:rPr>
          <w:tab/>
        </w:r>
        <w:r>
          <w:rPr>
            <w:rStyle w:val="Hyperlink"/>
            <w:noProof/>
          </w:rPr>
          <w:t>Strengthening transparency and accountability</w:t>
        </w:r>
        <w:r>
          <w:rPr>
            <w:noProof/>
            <w:webHidden/>
          </w:rPr>
          <w:tab/>
        </w:r>
        <w:r>
          <w:rPr>
            <w:noProof/>
            <w:webHidden/>
          </w:rPr>
          <w:fldChar w:fldCharType="begin"/>
        </w:r>
        <w:r>
          <w:rPr>
            <w:noProof/>
            <w:webHidden/>
          </w:rPr>
          <w:instrText xml:space="preserve"> PAGEREF _Toc412454731 \h </w:instrText>
        </w:r>
        <w:r>
          <w:rPr>
            <w:noProof/>
            <w:webHidden/>
          </w:rPr>
        </w:r>
        <w:r>
          <w:rPr>
            <w:noProof/>
            <w:webHidden/>
          </w:rPr>
          <w:fldChar w:fldCharType="separate"/>
        </w:r>
        <w:r>
          <w:rPr>
            <w:noProof/>
            <w:webHidden/>
          </w:rPr>
          <w:t>8</w:t>
        </w:r>
        <w:r>
          <w:rPr>
            <w:noProof/>
            <w:webHidden/>
          </w:rPr>
          <w:fldChar w:fldCharType="end"/>
        </w:r>
      </w:hyperlink>
    </w:p>
    <w:p w:rsidR="008A19DB" w:rsidRDefault="00E56B6B">
      <w:pPr>
        <w:pStyle w:val="TOC1"/>
        <w:rPr>
          <w:rFonts w:asciiTheme="minorHAnsi" w:eastAsiaTheme="minorEastAsia" w:hAnsiTheme="minorHAnsi" w:cstheme="minorBidi"/>
          <w:noProof/>
          <w:sz w:val="22"/>
          <w:szCs w:val="22"/>
          <w:lang w:eastAsia="en-GB"/>
        </w:rPr>
      </w:pPr>
      <w:hyperlink w:anchor="_Toc412454732" w:history="1">
        <w:r>
          <w:rPr>
            <w:rStyle w:val="Hyperlink"/>
            <w:noProof/>
          </w:rPr>
          <w:t>6.</w:t>
        </w:r>
        <w:r>
          <w:rPr>
            <w:rFonts w:asciiTheme="minorHAnsi" w:eastAsiaTheme="minorEastAsia" w:hAnsiTheme="minorHAnsi" w:cstheme="minorBidi"/>
            <w:noProof/>
            <w:sz w:val="22"/>
            <w:szCs w:val="22"/>
            <w:lang w:eastAsia="en-GB"/>
          </w:rPr>
          <w:tab/>
        </w:r>
        <w:r>
          <w:rPr>
            <w:rStyle w:val="Hyperlink"/>
            <w:noProof/>
          </w:rPr>
          <w:t>Achieving climate resilience through adaptation</w:t>
        </w:r>
        <w:r>
          <w:rPr>
            <w:noProof/>
            <w:webHidden/>
          </w:rPr>
          <w:tab/>
        </w:r>
        <w:r>
          <w:rPr>
            <w:noProof/>
            <w:webHidden/>
          </w:rPr>
          <w:fldChar w:fldCharType="begin"/>
        </w:r>
        <w:r>
          <w:rPr>
            <w:noProof/>
            <w:webHidden/>
          </w:rPr>
          <w:instrText xml:space="preserve"> PAGEREF _Toc412454732 \h </w:instrText>
        </w:r>
        <w:r>
          <w:rPr>
            <w:noProof/>
            <w:webHidden/>
          </w:rPr>
        </w:r>
        <w:r>
          <w:rPr>
            <w:noProof/>
            <w:webHidden/>
          </w:rPr>
          <w:fldChar w:fldCharType="separate"/>
        </w:r>
        <w:r>
          <w:rPr>
            <w:noProof/>
            <w:webHidden/>
          </w:rPr>
          <w:t>9</w:t>
        </w:r>
        <w:r>
          <w:rPr>
            <w:noProof/>
            <w:webHidden/>
          </w:rPr>
          <w:fldChar w:fldCharType="end"/>
        </w:r>
      </w:hyperlink>
    </w:p>
    <w:p w:rsidR="008A19DB" w:rsidRDefault="00E56B6B">
      <w:pPr>
        <w:pStyle w:val="TOC1"/>
        <w:rPr>
          <w:rFonts w:asciiTheme="minorHAnsi" w:eastAsiaTheme="minorEastAsia" w:hAnsiTheme="minorHAnsi" w:cstheme="minorBidi"/>
          <w:noProof/>
          <w:sz w:val="22"/>
          <w:szCs w:val="22"/>
          <w:lang w:eastAsia="en-GB"/>
        </w:rPr>
      </w:pPr>
      <w:hyperlink w:anchor="_Toc412454733" w:history="1">
        <w:r>
          <w:rPr>
            <w:rStyle w:val="Hyperlink"/>
            <w:noProof/>
          </w:rPr>
          <w:t>7.</w:t>
        </w:r>
        <w:r>
          <w:rPr>
            <w:rFonts w:asciiTheme="minorHAnsi" w:eastAsiaTheme="minorEastAsia" w:hAnsiTheme="minorHAnsi" w:cstheme="minorBidi"/>
            <w:noProof/>
            <w:sz w:val="22"/>
            <w:szCs w:val="22"/>
            <w:lang w:eastAsia="en-GB"/>
          </w:rPr>
          <w:tab/>
        </w:r>
        <w:r>
          <w:rPr>
            <w:rStyle w:val="Hyperlink"/>
            <w:noProof/>
          </w:rPr>
          <w:t>Promoting implementation and cooperation</w:t>
        </w:r>
        <w:r>
          <w:rPr>
            <w:noProof/>
            <w:webHidden/>
          </w:rPr>
          <w:tab/>
        </w:r>
        <w:r>
          <w:rPr>
            <w:noProof/>
            <w:webHidden/>
          </w:rPr>
          <w:fldChar w:fldCharType="begin"/>
        </w:r>
        <w:r>
          <w:rPr>
            <w:noProof/>
            <w:webHidden/>
          </w:rPr>
          <w:instrText xml:space="preserve"> PAGEREF _Toc412454733 \h </w:instrText>
        </w:r>
        <w:r>
          <w:rPr>
            <w:noProof/>
            <w:webHidden/>
          </w:rPr>
        </w:r>
        <w:r>
          <w:rPr>
            <w:noProof/>
            <w:webHidden/>
          </w:rPr>
          <w:fldChar w:fldCharType="separate"/>
        </w:r>
        <w:r>
          <w:rPr>
            <w:noProof/>
            <w:webHidden/>
          </w:rPr>
          <w:t>9</w:t>
        </w:r>
        <w:r>
          <w:rPr>
            <w:noProof/>
            <w:webHidden/>
          </w:rPr>
          <w:fldChar w:fldCharType="end"/>
        </w:r>
      </w:hyperlink>
    </w:p>
    <w:p w:rsidR="008A19DB" w:rsidRDefault="00E56B6B">
      <w:pPr>
        <w:pStyle w:val="TOC2"/>
        <w:rPr>
          <w:rFonts w:asciiTheme="minorHAnsi" w:eastAsiaTheme="minorEastAsia" w:hAnsiTheme="minorHAnsi" w:cstheme="minorBidi"/>
          <w:noProof/>
          <w:sz w:val="22"/>
          <w:szCs w:val="22"/>
          <w:lang w:eastAsia="en-GB"/>
        </w:rPr>
      </w:pPr>
      <w:hyperlink w:anchor="_Toc412454734" w:history="1">
        <w:r>
          <w:rPr>
            <w:rStyle w:val="Hyperlink"/>
            <w:noProof/>
          </w:rPr>
          <w:t>7.1.</w:t>
        </w:r>
        <w:r>
          <w:rPr>
            <w:rFonts w:asciiTheme="minorHAnsi" w:eastAsiaTheme="minorEastAsia" w:hAnsiTheme="minorHAnsi" w:cstheme="minorBidi"/>
            <w:noProof/>
            <w:sz w:val="22"/>
            <w:szCs w:val="22"/>
            <w:lang w:eastAsia="en-GB"/>
          </w:rPr>
          <w:tab/>
        </w:r>
        <w:r>
          <w:rPr>
            <w:rStyle w:val="Hyperlink"/>
            <w:noProof/>
          </w:rPr>
          <w:t>Mobilising public and private climate finance</w:t>
        </w:r>
        <w:r>
          <w:rPr>
            <w:noProof/>
            <w:webHidden/>
          </w:rPr>
          <w:tab/>
        </w:r>
        <w:r>
          <w:rPr>
            <w:noProof/>
            <w:webHidden/>
          </w:rPr>
          <w:fldChar w:fldCharType="begin"/>
        </w:r>
        <w:r>
          <w:rPr>
            <w:noProof/>
            <w:webHidden/>
          </w:rPr>
          <w:instrText xml:space="preserve"> PAGEREF _Toc412454734 \h </w:instrText>
        </w:r>
        <w:r>
          <w:rPr>
            <w:noProof/>
            <w:webHidden/>
          </w:rPr>
        </w:r>
        <w:r>
          <w:rPr>
            <w:noProof/>
            <w:webHidden/>
          </w:rPr>
          <w:fldChar w:fldCharType="separate"/>
        </w:r>
        <w:r>
          <w:rPr>
            <w:noProof/>
            <w:webHidden/>
          </w:rPr>
          <w:t>9</w:t>
        </w:r>
        <w:r>
          <w:rPr>
            <w:noProof/>
            <w:webHidden/>
          </w:rPr>
          <w:fldChar w:fldCharType="end"/>
        </w:r>
      </w:hyperlink>
    </w:p>
    <w:p w:rsidR="008A19DB" w:rsidRDefault="00E56B6B">
      <w:pPr>
        <w:pStyle w:val="TOC2"/>
        <w:rPr>
          <w:rFonts w:asciiTheme="minorHAnsi" w:eastAsiaTheme="minorEastAsia" w:hAnsiTheme="minorHAnsi" w:cstheme="minorBidi"/>
          <w:noProof/>
          <w:sz w:val="22"/>
          <w:szCs w:val="22"/>
          <w:lang w:eastAsia="en-GB"/>
        </w:rPr>
      </w:pPr>
      <w:hyperlink w:anchor="_Toc412454735" w:history="1">
        <w:r>
          <w:rPr>
            <w:rStyle w:val="Hyperlink"/>
            <w:noProof/>
          </w:rPr>
          <w:t>7.2.</w:t>
        </w:r>
        <w:r>
          <w:rPr>
            <w:rFonts w:asciiTheme="minorHAnsi" w:eastAsiaTheme="minorEastAsia" w:hAnsiTheme="minorHAnsi" w:cstheme="minorBidi"/>
            <w:noProof/>
            <w:sz w:val="22"/>
            <w:szCs w:val="22"/>
            <w:lang w:eastAsia="en-GB"/>
          </w:rPr>
          <w:tab/>
        </w:r>
        <w:r>
          <w:rPr>
            <w:rStyle w:val="Hyperlink"/>
            <w:noProof/>
          </w:rPr>
          <w:t>Scaling up international cooperative acti</w:t>
        </w:r>
        <w:r>
          <w:rPr>
            <w:rStyle w:val="Hyperlink"/>
            <w:noProof/>
          </w:rPr>
          <w:t>on</w:t>
        </w:r>
        <w:r>
          <w:rPr>
            <w:noProof/>
            <w:webHidden/>
          </w:rPr>
          <w:tab/>
        </w:r>
        <w:r>
          <w:rPr>
            <w:noProof/>
            <w:webHidden/>
          </w:rPr>
          <w:fldChar w:fldCharType="begin"/>
        </w:r>
        <w:r>
          <w:rPr>
            <w:noProof/>
            <w:webHidden/>
          </w:rPr>
          <w:instrText xml:space="preserve"> PAGEREF _Toc412454735 \h </w:instrText>
        </w:r>
        <w:r>
          <w:rPr>
            <w:noProof/>
            <w:webHidden/>
          </w:rPr>
        </w:r>
        <w:r>
          <w:rPr>
            <w:noProof/>
            <w:webHidden/>
          </w:rPr>
          <w:fldChar w:fldCharType="separate"/>
        </w:r>
        <w:r>
          <w:rPr>
            <w:noProof/>
            <w:webHidden/>
          </w:rPr>
          <w:t>10</w:t>
        </w:r>
        <w:r>
          <w:rPr>
            <w:noProof/>
            <w:webHidden/>
          </w:rPr>
          <w:fldChar w:fldCharType="end"/>
        </w:r>
      </w:hyperlink>
    </w:p>
    <w:p w:rsidR="008A19DB" w:rsidRDefault="00E56B6B">
      <w:pPr>
        <w:pStyle w:val="TOC2"/>
        <w:rPr>
          <w:rFonts w:asciiTheme="minorHAnsi" w:eastAsiaTheme="minorEastAsia" w:hAnsiTheme="minorHAnsi" w:cstheme="minorBidi"/>
          <w:noProof/>
          <w:sz w:val="22"/>
          <w:szCs w:val="22"/>
          <w:lang w:eastAsia="en-GB"/>
        </w:rPr>
      </w:pPr>
      <w:hyperlink w:anchor="_Toc412454736" w:history="1">
        <w:r>
          <w:rPr>
            <w:rStyle w:val="Hyperlink"/>
            <w:noProof/>
          </w:rPr>
          <w:t>7.3.</w:t>
        </w:r>
        <w:r>
          <w:rPr>
            <w:rFonts w:asciiTheme="minorHAnsi" w:eastAsiaTheme="minorEastAsia" w:hAnsiTheme="minorHAnsi" w:cstheme="minorBidi"/>
            <w:noProof/>
            <w:sz w:val="22"/>
            <w:szCs w:val="22"/>
            <w:lang w:eastAsia="en-GB"/>
          </w:rPr>
          <w:tab/>
        </w:r>
        <w:r>
          <w:rPr>
            <w:rStyle w:val="Hyperlink"/>
            <w:noProof/>
          </w:rPr>
          <w:t>Supporting the development and deployment of climate technologies</w:t>
        </w:r>
        <w:r>
          <w:rPr>
            <w:noProof/>
            <w:webHidden/>
          </w:rPr>
          <w:tab/>
        </w:r>
        <w:r>
          <w:rPr>
            <w:noProof/>
            <w:webHidden/>
          </w:rPr>
          <w:fldChar w:fldCharType="begin"/>
        </w:r>
        <w:r>
          <w:rPr>
            <w:noProof/>
            <w:webHidden/>
          </w:rPr>
          <w:instrText xml:space="preserve"> PAGEREF _Toc412454736 \h </w:instrText>
        </w:r>
        <w:r>
          <w:rPr>
            <w:noProof/>
            <w:webHidden/>
          </w:rPr>
        </w:r>
        <w:r>
          <w:rPr>
            <w:noProof/>
            <w:webHidden/>
          </w:rPr>
          <w:fldChar w:fldCharType="separate"/>
        </w:r>
        <w:r>
          <w:rPr>
            <w:noProof/>
            <w:webHidden/>
          </w:rPr>
          <w:t>11</w:t>
        </w:r>
        <w:r>
          <w:rPr>
            <w:noProof/>
            <w:webHidden/>
          </w:rPr>
          <w:fldChar w:fldCharType="end"/>
        </w:r>
      </w:hyperlink>
    </w:p>
    <w:p w:rsidR="008A19DB" w:rsidRDefault="00E56B6B">
      <w:pPr>
        <w:pStyle w:val="TOC2"/>
        <w:rPr>
          <w:rFonts w:asciiTheme="minorHAnsi" w:eastAsiaTheme="minorEastAsia" w:hAnsiTheme="minorHAnsi" w:cstheme="minorBidi"/>
          <w:noProof/>
          <w:sz w:val="22"/>
          <w:szCs w:val="22"/>
          <w:lang w:eastAsia="en-GB"/>
        </w:rPr>
      </w:pPr>
      <w:hyperlink w:anchor="_Toc412454737" w:history="1">
        <w:r>
          <w:rPr>
            <w:rStyle w:val="Hyperlink"/>
            <w:noProof/>
          </w:rPr>
          <w:t>7.4.</w:t>
        </w:r>
        <w:r>
          <w:rPr>
            <w:rFonts w:asciiTheme="minorHAnsi" w:eastAsiaTheme="minorEastAsia" w:hAnsiTheme="minorHAnsi" w:cstheme="minorBidi"/>
            <w:noProof/>
            <w:sz w:val="22"/>
            <w:szCs w:val="22"/>
            <w:lang w:eastAsia="en-GB"/>
          </w:rPr>
          <w:tab/>
        </w:r>
        <w:r>
          <w:rPr>
            <w:rStyle w:val="Hyperlink"/>
            <w:noProof/>
          </w:rPr>
          <w:t>Building capacity</w:t>
        </w:r>
        <w:r>
          <w:rPr>
            <w:noProof/>
            <w:webHidden/>
          </w:rPr>
          <w:tab/>
        </w:r>
        <w:r>
          <w:rPr>
            <w:noProof/>
            <w:webHidden/>
          </w:rPr>
          <w:fldChar w:fldCharType="begin"/>
        </w:r>
        <w:r>
          <w:rPr>
            <w:noProof/>
            <w:webHidden/>
          </w:rPr>
          <w:instrText xml:space="preserve"> PAGEREF _Toc412454737 \h </w:instrText>
        </w:r>
        <w:r>
          <w:rPr>
            <w:noProof/>
            <w:webHidden/>
          </w:rPr>
        </w:r>
        <w:r>
          <w:rPr>
            <w:noProof/>
            <w:webHidden/>
          </w:rPr>
          <w:fldChar w:fldCharType="separate"/>
        </w:r>
        <w:r>
          <w:rPr>
            <w:noProof/>
            <w:webHidden/>
          </w:rPr>
          <w:t>11</w:t>
        </w:r>
        <w:r>
          <w:rPr>
            <w:noProof/>
            <w:webHidden/>
          </w:rPr>
          <w:fldChar w:fldCharType="end"/>
        </w:r>
      </w:hyperlink>
    </w:p>
    <w:p w:rsidR="008A19DB" w:rsidRDefault="00E56B6B">
      <w:pPr>
        <w:pStyle w:val="TOC1"/>
        <w:rPr>
          <w:rFonts w:asciiTheme="minorHAnsi" w:eastAsiaTheme="minorEastAsia" w:hAnsiTheme="minorHAnsi" w:cstheme="minorBidi"/>
          <w:noProof/>
          <w:sz w:val="22"/>
          <w:szCs w:val="22"/>
          <w:lang w:eastAsia="en-GB"/>
        </w:rPr>
      </w:pPr>
      <w:hyperlink w:anchor="_Toc412454738" w:history="1">
        <w:r>
          <w:rPr>
            <w:rStyle w:val="Hyperlink"/>
            <w:noProof/>
          </w:rPr>
          <w:t>8.</w:t>
        </w:r>
        <w:r>
          <w:rPr>
            <w:rFonts w:asciiTheme="minorHAnsi" w:eastAsiaTheme="minorEastAsia" w:hAnsiTheme="minorHAnsi" w:cstheme="minorBidi"/>
            <w:noProof/>
            <w:sz w:val="22"/>
            <w:szCs w:val="22"/>
            <w:lang w:eastAsia="en-GB"/>
          </w:rPr>
          <w:tab/>
        </w:r>
        <w:r>
          <w:rPr>
            <w:rStyle w:val="Hyperlink"/>
            <w:noProof/>
          </w:rPr>
          <w:t>Mobilising other EU policies</w:t>
        </w:r>
        <w:r>
          <w:rPr>
            <w:noProof/>
            <w:webHidden/>
          </w:rPr>
          <w:tab/>
        </w:r>
        <w:r>
          <w:rPr>
            <w:noProof/>
            <w:webHidden/>
          </w:rPr>
          <w:fldChar w:fldCharType="begin"/>
        </w:r>
        <w:r>
          <w:rPr>
            <w:noProof/>
            <w:webHidden/>
          </w:rPr>
          <w:instrText xml:space="preserve"> PAGEREF _Toc412454738 \h </w:instrText>
        </w:r>
        <w:r>
          <w:rPr>
            <w:noProof/>
            <w:webHidden/>
          </w:rPr>
        </w:r>
        <w:r>
          <w:rPr>
            <w:noProof/>
            <w:webHidden/>
          </w:rPr>
          <w:fldChar w:fldCharType="separate"/>
        </w:r>
        <w:r>
          <w:rPr>
            <w:noProof/>
            <w:webHidden/>
          </w:rPr>
          <w:t>11</w:t>
        </w:r>
        <w:r>
          <w:rPr>
            <w:noProof/>
            <w:webHidden/>
          </w:rPr>
          <w:fldChar w:fldCharType="end"/>
        </w:r>
      </w:hyperlink>
    </w:p>
    <w:p w:rsidR="008A19DB" w:rsidRDefault="00E56B6B">
      <w:pPr>
        <w:pStyle w:val="TOC1"/>
        <w:rPr>
          <w:rFonts w:asciiTheme="minorHAnsi" w:eastAsiaTheme="minorEastAsia" w:hAnsiTheme="minorHAnsi" w:cstheme="minorBidi"/>
          <w:noProof/>
          <w:sz w:val="22"/>
          <w:szCs w:val="22"/>
          <w:lang w:eastAsia="en-GB"/>
        </w:rPr>
      </w:pPr>
      <w:hyperlink w:anchor="_Toc412454739" w:history="1">
        <w:r>
          <w:rPr>
            <w:rStyle w:val="Hyperlink"/>
            <w:noProof/>
          </w:rPr>
          <w:t>9.</w:t>
        </w:r>
        <w:r>
          <w:rPr>
            <w:rFonts w:asciiTheme="minorHAnsi" w:eastAsiaTheme="minorEastAsia" w:hAnsiTheme="minorHAnsi" w:cstheme="minorBidi"/>
            <w:noProof/>
            <w:sz w:val="22"/>
            <w:szCs w:val="22"/>
            <w:lang w:eastAsia="en-GB"/>
          </w:rPr>
          <w:tab/>
        </w:r>
        <w:r>
          <w:rPr>
            <w:rStyle w:val="Hyperlink"/>
            <w:noProof/>
          </w:rPr>
          <w:t>Next steps</w:t>
        </w:r>
        <w:r>
          <w:rPr>
            <w:noProof/>
            <w:webHidden/>
          </w:rPr>
          <w:tab/>
        </w:r>
        <w:r>
          <w:rPr>
            <w:noProof/>
            <w:webHidden/>
          </w:rPr>
          <w:fldChar w:fldCharType="begin"/>
        </w:r>
        <w:r>
          <w:rPr>
            <w:noProof/>
            <w:webHidden/>
          </w:rPr>
          <w:instrText xml:space="preserve"> PAGEREF _Toc412454739 \h </w:instrText>
        </w:r>
        <w:r>
          <w:rPr>
            <w:noProof/>
            <w:webHidden/>
          </w:rPr>
        </w:r>
        <w:r>
          <w:rPr>
            <w:noProof/>
            <w:webHidden/>
          </w:rPr>
          <w:fldChar w:fldCharType="separate"/>
        </w:r>
        <w:r>
          <w:rPr>
            <w:noProof/>
            <w:webHidden/>
          </w:rPr>
          <w:t>13</w:t>
        </w:r>
        <w:r>
          <w:rPr>
            <w:noProof/>
            <w:webHidden/>
          </w:rPr>
          <w:fldChar w:fldCharType="end"/>
        </w:r>
      </w:hyperlink>
    </w:p>
    <w:p w:rsidR="008A19DB" w:rsidRDefault="00E56B6B">
      <w:pPr>
        <w:rPr>
          <w:noProof/>
        </w:rPr>
      </w:pPr>
      <w:r>
        <w:rPr>
          <w:b/>
          <w:bCs/>
          <w:noProof/>
        </w:rPr>
        <w:fldChar w:fldCharType="end"/>
      </w:r>
      <w:bookmarkEnd w:id="37"/>
    </w:p>
    <w:p w:rsidR="008A19DB" w:rsidRDefault="008A19DB">
      <w:pPr>
        <w:rPr>
          <w:noProof/>
        </w:rPr>
        <w:sectPr w:rsidR="008A19DB">
          <w:headerReference w:type="even" r:id="rId16"/>
          <w:headerReference w:type="default" r:id="rId17"/>
          <w:footerReference w:type="even" r:id="rId18"/>
          <w:footerReference w:type="default" r:id="rId19"/>
          <w:headerReference w:type="first" r:id="rId20"/>
          <w:footerReference w:type="first" r:id="rId21"/>
          <w:pgSz w:w="11907" w:h="16839"/>
          <w:pgMar w:top="1440" w:right="1440" w:bottom="1440" w:left="1440" w:header="720" w:footer="720" w:gutter="0"/>
          <w:cols w:space="720"/>
          <w:docGrid w:linePitch="326"/>
        </w:sectPr>
      </w:pPr>
    </w:p>
    <w:p w:rsidR="008A19DB" w:rsidRDefault="00E56B6B">
      <w:pPr>
        <w:pStyle w:val="ManualHeading1"/>
        <w:rPr>
          <w:noProof/>
        </w:rPr>
      </w:pPr>
      <w:bookmarkStart w:id="38" w:name="_Toc412454725"/>
      <w:r>
        <w:rPr>
          <w:noProof/>
        </w:rPr>
        <w:lastRenderedPageBreak/>
        <w:t>1.</w:t>
      </w:r>
      <w:r>
        <w:rPr>
          <w:noProof/>
        </w:rPr>
        <w:tab/>
        <w:t>Executive Summary</w:t>
      </w:r>
      <w:bookmarkEnd w:id="36"/>
      <w:bookmarkEnd w:id="38"/>
    </w:p>
    <w:p w:rsidR="008A19DB" w:rsidRDefault="00E56B6B">
      <w:pPr>
        <w:rPr>
          <w:noProof/>
        </w:rPr>
      </w:pPr>
      <w:r>
        <w:rPr>
          <w:noProof/>
        </w:rPr>
        <w:t xml:space="preserve">According to the latest findings of the Intergovernmental Panel on </w:t>
      </w:r>
      <w:r>
        <w:rPr>
          <w:noProof/>
        </w:rPr>
        <w:t>Climate Change (IPCC), without urgent action, climate change will bring severe, pervasive and irreversible impacts on all the world's people and ecosystems. Limiting dangerous rises in global average temperature to below 2°C compared with pre-industrial le</w:t>
      </w:r>
      <w:r>
        <w:rPr>
          <w:noProof/>
        </w:rPr>
        <w:t>vels (the below 2°C objective) will require substantial and sustained reductions in greenhouse gas emissions by all countries.</w:t>
      </w:r>
    </w:p>
    <w:p w:rsidR="008A19DB" w:rsidRDefault="00E56B6B">
      <w:pPr>
        <w:rPr>
          <w:noProof/>
        </w:rPr>
      </w:pPr>
      <w:r>
        <w:rPr>
          <w:noProof/>
        </w:rPr>
        <w:t>This global transition to low emissions can be achieved without compromising growth and jobs, and can provide significant opportu</w:t>
      </w:r>
      <w:r>
        <w:rPr>
          <w:noProof/>
        </w:rPr>
        <w:t>nities to revitalise economies in Europe and globally. Action to tackle climate change also brings significant benefits in terms of public well-being. Delaying this transition will, however, raise overall costs and narrow the options for effectively reduci</w:t>
      </w:r>
      <w:r>
        <w:rPr>
          <w:noProof/>
        </w:rPr>
        <w:t>ng emissions and preparing for the impacts of climate change.</w:t>
      </w:r>
    </w:p>
    <w:p w:rsidR="008A19DB" w:rsidRDefault="00E56B6B">
      <w:pPr>
        <w:rPr>
          <w:noProof/>
        </w:rPr>
      </w:pPr>
      <w:r>
        <w:rPr>
          <w:noProof/>
        </w:rPr>
        <w:t>All countries need to act urgently and collectively. Since 1994, the Parties to the United Nations Framework Convention on Climate Change (UNFCCC) have focused on this challenge, resulting in mo</w:t>
      </w:r>
      <w:r>
        <w:rPr>
          <w:noProof/>
        </w:rPr>
        <w:t>re than 90 countries, both developed and developing, pledging to curb their emissions by 2020. However, these pledges are insufficient to achieve the below 2°C objective</w:t>
      </w:r>
      <w:r>
        <w:rPr>
          <w:rStyle w:val="FootnoteReference"/>
          <w:noProof/>
        </w:rPr>
        <w:footnoteReference w:id="2"/>
      </w:r>
      <w:r>
        <w:rPr>
          <w:noProof/>
        </w:rPr>
        <w:t>. For these reasons, in 2012, the UNFCCC Parties launched negotiations towards a new l</w:t>
      </w:r>
      <w:r>
        <w:rPr>
          <w:noProof/>
        </w:rPr>
        <w:t>egally binding agreement applicable to all Parties that will put the world on track to achieve the below 2°C objective. The 2015 Agreement is to be finalised in Paris in December 2015 and implemented from 2020.</w:t>
      </w:r>
    </w:p>
    <w:p w:rsidR="008A19DB" w:rsidRDefault="00E56B6B">
      <w:pPr>
        <w:rPr>
          <w:noProof/>
        </w:rPr>
      </w:pPr>
      <w:r>
        <w:rPr>
          <w:noProof/>
        </w:rPr>
        <w:t>The progress made at the recent climate confe</w:t>
      </w:r>
      <w:r>
        <w:rPr>
          <w:noProof/>
        </w:rPr>
        <w:t>rence in Lima brings a robust agreement in Paris within reach. Most importantly, it was decided how countries should formulate and communicate their proposed emission reduction targets well in advance of the Paris conference. A first full draft text of the</w:t>
      </w:r>
      <w:r>
        <w:rPr>
          <w:noProof/>
        </w:rPr>
        <w:t xml:space="preserve"> 2015 Agreement was also developed, reflecting the positions of all Parties on all the elements under negotiation.</w:t>
      </w:r>
    </w:p>
    <w:p w:rsidR="008A19DB" w:rsidRDefault="00E56B6B">
      <w:pPr>
        <w:rPr>
          <w:noProof/>
          <w:color w:val="0D0D0D" w:themeColor="text1" w:themeTint="F2"/>
        </w:rPr>
      </w:pPr>
      <w:r>
        <w:rPr>
          <w:noProof/>
        </w:rPr>
        <w:t>Well ahead of the Lima conference, the EU continued to show leadership and determination to tackle climate change globally. At the European S</w:t>
      </w:r>
      <w:r>
        <w:rPr>
          <w:noProof/>
        </w:rPr>
        <w:t xml:space="preserve">ummit in October 2014, European leaders agreed that the EU should step up its efforts and domestically reduce its emissions by at least 40% compared to 1990 by 2030. This was followed by announcements of China and the US. In Lima, EU Member States pledged </w:t>
      </w:r>
      <w:r>
        <w:rPr>
          <w:noProof/>
        </w:rPr>
        <w:t xml:space="preserve">about half of the initial capitalisation of US$10 billion to the Green Climate Fund (GCF) to assist developing countries. Within the EU, a new investment plan was adopted. </w:t>
      </w:r>
      <w:r>
        <w:rPr>
          <w:noProof/>
          <w:color w:val="0D0D0D" w:themeColor="text1" w:themeTint="F2"/>
        </w:rPr>
        <w:t xml:space="preserve">This </w:t>
      </w:r>
      <w:r>
        <w:rPr>
          <w:noProof/>
          <w:color w:val="0D0D0D" w:themeColor="text1" w:themeTint="F2"/>
          <w:lang w:val="en"/>
        </w:rPr>
        <w:t>will unlock public and private investments in the real economy of at least €315</w:t>
      </w:r>
      <w:r>
        <w:rPr>
          <w:noProof/>
          <w:color w:val="0D0D0D" w:themeColor="text1" w:themeTint="F2"/>
          <w:lang w:val="en"/>
        </w:rPr>
        <w:t xml:space="preserve"> billion over the next three years (2015-17). These investments will help</w:t>
      </w:r>
      <w:r>
        <w:rPr>
          <w:noProof/>
          <w:color w:val="0D0D0D" w:themeColor="text1" w:themeTint="F2"/>
        </w:rPr>
        <w:t xml:space="preserve"> modernise and further decarbonise the EU’s economy.</w:t>
      </w:r>
    </w:p>
    <w:p w:rsidR="008A19DB" w:rsidRDefault="00E56B6B">
      <w:pPr>
        <w:rPr>
          <w:noProof/>
        </w:rPr>
      </w:pPr>
      <w:r>
        <w:rPr>
          <w:noProof/>
        </w:rPr>
        <w:t>This communication responds to the decisions taken in Lima, and is a key element in implementing the Commission's priority of buil</w:t>
      </w:r>
      <w:r>
        <w:rPr>
          <w:noProof/>
        </w:rPr>
        <w:t>ding a resilient Energy Union with a forward-looking climate change policy consistent with the President of the Commission's political guidelines. This communication prepares the EU for the last round of negotiations before the Paris conference in December</w:t>
      </w:r>
      <w:r>
        <w:rPr>
          <w:noProof/>
        </w:rPr>
        <w:t xml:space="preserve"> 2015. </w:t>
      </w:r>
    </w:p>
    <w:p w:rsidR="008A19DB" w:rsidRDefault="00E56B6B">
      <w:pPr>
        <w:rPr>
          <w:noProof/>
        </w:rPr>
      </w:pPr>
      <w:r>
        <w:rPr>
          <w:noProof/>
        </w:rPr>
        <w:t xml:space="preserve">In particular this communication: </w:t>
      </w:r>
    </w:p>
    <w:p w:rsidR="008A19DB" w:rsidRDefault="00E56B6B">
      <w:pPr>
        <w:numPr>
          <w:ilvl w:val="0"/>
          <w:numId w:val="46"/>
        </w:numPr>
        <w:rPr>
          <w:noProof/>
        </w:rPr>
      </w:pPr>
      <w:r>
        <w:rPr>
          <w:noProof/>
        </w:rPr>
        <w:t>translates the decision taken at the European Summit in October 2014 into the EU's proposed emissions target - its Intended Nationally Determined Contribution (INDC) to be submitted by the end of the first quarter</w:t>
      </w:r>
      <w:r>
        <w:rPr>
          <w:noProof/>
        </w:rPr>
        <w:t xml:space="preserve"> of 2015;</w:t>
      </w:r>
    </w:p>
    <w:p w:rsidR="008A19DB" w:rsidRDefault="00E56B6B">
      <w:pPr>
        <w:numPr>
          <w:ilvl w:val="0"/>
          <w:numId w:val="46"/>
        </w:numPr>
        <w:rPr>
          <w:noProof/>
        </w:rPr>
      </w:pPr>
      <w:r>
        <w:rPr>
          <w:noProof/>
        </w:rPr>
        <w:t>proposes that all UNFCCC Parties submit their INDCs well in advance of the Paris conference. China, the US and other G20 countries, as well as high and middle-income countries should be in a position to do so by the first quarter of 2015. Greater</w:t>
      </w:r>
      <w:r>
        <w:rPr>
          <w:noProof/>
        </w:rPr>
        <w:t xml:space="preserve"> flexibility should be provided to Least Developed Countries (LDCs);</w:t>
      </w:r>
    </w:p>
    <w:p w:rsidR="008A19DB" w:rsidRDefault="00E56B6B">
      <w:pPr>
        <w:numPr>
          <w:ilvl w:val="0"/>
          <w:numId w:val="46"/>
        </w:numPr>
        <w:rPr>
          <w:noProof/>
        </w:rPr>
      </w:pPr>
      <w:r>
        <w:rPr>
          <w:noProof/>
        </w:rPr>
        <w:t>sets out a vision for a transparent and dynamic legally binding agreement, containing fair and ambitious commitments from all Parties based on evolving global economic and geopolitical ci</w:t>
      </w:r>
      <w:r>
        <w:rPr>
          <w:noProof/>
        </w:rPr>
        <w:t>rcumstances. In aggregate these commitments - based on scientific evidence - should put the world on track to reduce global emissions by at least 60% below 2010 levels by 2050. Should there be a gap in the level of ambition set in Paris, this should be add</w:t>
      </w:r>
      <w:r>
        <w:rPr>
          <w:noProof/>
        </w:rPr>
        <w:t>ressed by devising a work programme starting in 2016 working closely with the GCF to identify additional action to reduce emissions;</w:t>
      </w:r>
    </w:p>
    <w:p w:rsidR="008A19DB" w:rsidRDefault="00E56B6B">
      <w:pPr>
        <w:numPr>
          <w:ilvl w:val="0"/>
          <w:numId w:val="46"/>
        </w:numPr>
        <w:rPr>
          <w:noProof/>
        </w:rPr>
      </w:pPr>
      <w:r>
        <w:rPr>
          <w:noProof/>
        </w:rPr>
        <w:t>proposes that the 2015 Agreement should be in the form of a Protocol under the UNFCCC. Major economies, in particular the E</w:t>
      </w:r>
      <w:r>
        <w:rPr>
          <w:noProof/>
        </w:rPr>
        <w:t>U, China and the US, should show political leadership by joining the Protocol as early as possible. It should enter into force as soon as countries with a collective total of 80% of current global emissions have ratified it. Under the new Protocol, climate</w:t>
      </w:r>
      <w:r>
        <w:rPr>
          <w:noProof/>
        </w:rPr>
        <w:t xml:space="preserve"> finance, technology development and transfer, and capacity building should promote universal participation and facilitate the efficient and effective implementation of strategies to reduce emissions and adapt to the adverse effects of climate change;</w:t>
      </w:r>
    </w:p>
    <w:p w:rsidR="008A19DB" w:rsidRDefault="00E56B6B">
      <w:pPr>
        <w:numPr>
          <w:ilvl w:val="0"/>
          <w:numId w:val="46"/>
        </w:numPr>
        <w:rPr>
          <w:noProof/>
        </w:rPr>
      </w:pPr>
      <w:r>
        <w:rPr>
          <w:noProof/>
        </w:rPr>
        <w:t>unde</w:t>
      </w:r>
      <w:r>
        <w:rPr>
          <w:noProof/>
        </w:rPr>
        <w:t>rlines that the International Civil Aviation Organisation (ICAO), the International Maritime Organisation (IMO) and the Montreal Protocol should act to effectively regulate emissions from international aviation and shipping and the production and consumpti</w:t>
      </w:r>
      <w:r>
        <w:rPr>
          <w:noProof/>
        </w:rPr>
        <w:t>on of fluorinated gases before the end of 2016;</w:t>
      </w:r>
    </w:p>
    <w:p w:rsidR="008A19DB" w:rsidRDefault="00E56B6B">
      <w:pPr>
        <w:numPr>
          <w:ilvl w:val="0"/>
          <w:numId w:val="46"/>
        </w:numPr>
        <w:rPr>
          <w:noProof/>
        </w:rPr>
      </w:pPr>
      <w:r>
        <w:rPr>
          <w:noProof/>
        </w:rPr>
        <w:t xml:space="preserve">highlights how other EU policies such as, trade, scientific research, innovation and technological cooperation, economic and development cooperation, disaster risk reduction and environment could reinforce </w:t>
      </w:r>
      <w:r>
        <w:rPr>
          <w:noProof/>
        </w:rPr>
        <w:t>the EU’s international climate policy; and</w:t>
      </w:r>
    </w:p>
    <w:p w:rsidR="008A19DB" w:rsidRDefault="00E56B6B">
      <w:pPr>
        <w:numPr>
          <w:ilvl w:val="0"/>
          <w:numId w:val="46"/>
        </w:numPr>
        <w:rPr>
          <w:noProof/>
        </w:rPr>
      </w:pPr>
      <w:r>
        <w:rPr>
          <w:noProof/>
        </w:rPr>
        <w:t>is complemented by a climate diplomacy action plan jointly developed by the European External Action Service and the Commission. The action plan is aimed at scaling up EU outreach and building alliances with ambit</w:t>
      </w:r>
      <w:r>
        <w:rPr>
          <w:noProof/>
        </w:rPr>
        <w:t>ious international partners in the run up to the Paris conference.</w:t>
      </w:r>
    </w:p>
    <w:p w:rsidR="008A19DB" w:rsidRDefault="00E56B6B">
      <w:pPr>
        <w:rPr>
          <w:noProof/>
        </w:rPr>
      </w:pPr>
      <w:r>
        <w:rPr>
          <w:noProof/>
        </w:rPr>
        <w:t>Some aspects of this communication are set out in further detail in the accompanying Staff Working Document.</w:t>
      </w:r>
    </w:p>
    <w:p w:rsidR="008A19DB" w:rsidRDefault="00E56B6B">
      <w:pPr>
        <w:rPr>
          <w:noProof/>
        </w:rPr>
      </w:pPr>
      <w:r>
        <w:rPr>
          <w:noProof/>
        </w:rPr>
        <w:br w:type="page"/>
      </w:r>
    </w:p>
    <w:p w:rsidR="008A19DB" w:rsidRDefault="00E56B6B">
      <w:pPr>
        <w:pStyle w:val="ManualHeading1"/>
        <w:rPr>
          <w:noProof/>
        </w:rPr>
      </w:pPr>
      <w:bookmarkStart w:id="39" w:name="_Toc409641550"/>
      <w:bookmarkStart w:id="40" w:name="_Toc412454726"/>
      <w:r>
        <w:rPr>
          <w:noProof/>
        </w:rPr>
        <w:t>2.</w:t>
      </w:r>
      <w:r>
        <w:rPr>
          <w:noProof/>
        </w:rPr>
        <w:tab/>
        <w:t>The Paris Protocol</w:t>
      </w:r>
      <w:bookmarkEnd w:id="39"/>
      <w:bookmarkEnd w:id="40"/>
    </w:p>
    <w:p w:rsidR="008A19DB" w:rsidRDefault="00E56B6B">
      <w:pPr>
        <w:rPr>
          <w:noProof/>
        </w:rPr>
      </w:pPr>
      <w:r>
        <w:rPr>
          <w:noProof/>
        </w:rPr>
        <w:t xml:space="preserve">In order </w:t>
      </w:r>
      <w:r>
        <w:rPr>
          <w:noProof/>
          <w:lang w:val="en-US"/>
        </w:rPr>
        <w:t>to promote collective action consistent with th</w:t>
      </w:r>
      <w:r>
        <w:rPr>
          <w:noProof/>
          <w:lang w:val="en-US"/>
        </w:rPr>
        <w:t>e IPCC's findings, the Paris Protocol must deliver the following objectives:</w:t>
      </w:r>
    </w:p>
    <w:p w:rsidR="008A19DB" w:rsidRDefault="00E56B6B">
      <w:pPr>
        <w:numPr>
          <w:ilvl w:val="0"/>
          <w:numId w:val="46"/>
        </w:numPr>
        <w:rPr>
          <w:noProof/>
        </w:rPr>
      </w:pPr>
      <w:r>
        <w:rPr>
          <w:noProof/>
        </w:rPr>
        <w:t>secure</w:t>
      </w:r>
      <w:r>
        <w:rPr>
          <w:b/>
          <w:noProof/>
          <w:lang w:val="en-US"/>
        </w:rPr>
        <w:t xml:space="preserve"> </w:t>
      </w:r>
      <w:r>
        <w:rPr>
          <w:noProof/>
          <w:lang w:val="en-US"/>
        </w:rPr>
        <w:t>ambitious reductions of emissions by:</w:t>
      </w:r>
    </w:p>
    <w:p w:rsidR="008A19DB" w:rsidRDefault="00E56B6B">
      <w:pPr>
        <w:numPr>
          <w:ilvl w:val="1"/>
          <w:numId w:val="37"/>
        </w:numPr>
        <w:spacing w:before="240" w:after="0"/>
        <w:rPr>
          <w:noProof/>
        </w:rPr>
      </w:pPr>
      <w:r>
        <w:rPr>
          <w:noProof/>
          <w:lang w:val="en-US"/>
        </w:rPr>
        <w:t>specifying that the long term goal should be to reduce global emissions by at least 60% below 2010 levels by 2050</w:t>
      </w:r>
      <w:r>
        <w:rPr>
          <w:rStyle w:val="FootnoteReference"/>
          <w:noProof/>
          <w:lang w:val="en-US"/>
        </w:rPr>
        <w:footnoteReference w:id="3"/>
      </w:r>
      <w:r>
        <w:rPr>
          <w:noProof/>
          <w:lang w:val="en-US"/>
        </w:rPr>
        <w:t>; and</w:t>
      </w:r>
    </w:p>
    <w:p w:rsidR="008A19DB" w:rsidRDefault="00E56B6B">
      <w:pPr>
        <w:numPr>
          <w:ilvl w:val="1"/>
          <w:numId w:val="37"/>
        </w:numPr>
        <w:spacing w:before="240" w:after="0"/>
        <w:rPr>
          <w:noProof/>
        </w:rPr>
      </w:pPr>
      <w:r>
        <w:rPr>
          <w:noProof/>
          <w:lang w:val="en-US"/>
        </w:rPr>
        <w:t>in that contex</w:t>
      </w:r>
      <w:r>
        <w:rPr>
          <w:noProof/>
          <w:lang w:val="en-US"/>
        </w:rPr>
        <w:t>t setting out clear, specific, ambitious and fair legally binding mitigation commitments that put the world on track towards achieving the below 2°C objective. These commitments must be consistent with the UNFCCC's principles applied in the light of e</w:t>
      </w:r>
      <w:r>
        <w:rPr>
          <w:noProof/>
        </w:rPr>
        <w:t>volvi</w:t>
      </w:r>
      <w:r>
        <w:rPr>
          <w:noProof/>
        </w:rPr>
        <w:t>ng responsibilities, capabilities and different national circumstances;</w:t>
      </w:r>
    </w:p>
    <w:p w:rsidR="008A19DB" w:rsidRDefault="00E56B6B">
      <w:pPr>
        <w:numPr>
          <w:ilvl w:val="0"/>
          <w:numId w:val="46"/>
        </w:numPr>
        <w:rPr>
          <w:noProof/>
        </w:rPr>
      </w:pPr>
      <w:r>
        <w:rPr>
          <w:noProof/>
        </w:rPr>
        <w:t xml:space="preserve">ensure dynamism by providing for a global review, to be conducted every five years, to strengthen the ambition of these mitigation commitments consistent with the latest science; </w:t>
      </w:r>
    </w:p>
    <w:p w:rsidR="008A19DB" w:rsidRDefault="00E56B6B">
      <w:pPr>
        <w:numPr>
          <w:ilvl w:val="0"/>
          <w:numId w:val="46"/>
        </w:numPr>
        <w:rPr>
          <w:noProof/>
        </w:rPr>
      </w:pPr>
      <w:r>
        <w:rPr>
          <w:noProof/>
        </w:rPr>
        <w:t>stre</w:t>
      </w:r>
      <w:r>
        <w:rPr>
          <w:noProof/>
        </w:rPr>
        <w:t>ngthen transparency and accountability in order to be able to assess whether emissions reduction targets and related commitments have been met. A common set of rules and procedures for annual reporting and regular verification and international expert revi</w:t>
      </w:r>
      <w:r>
        <w:rPr>
          <w:noProof/>
        </w:rPr>
        <w:t>ews of emission inventories needs to be established;</w:t>
      </w:r>
    </w:p>
    <w:p w:rsidR="008A19DB" w:rsidRDefault="00E56B6B">
      <w:pPr>
        <w:numPr>
          <w:ilvl w:val="0"/>
          <w:numId w:val="46"/>
        </w:numPr>
        <w:rPr>
          <w:noProof/>
        </w:rPr>
      </w:pPr>
      <w:r>
        <w:rPr>
          <w:noProof/>
        </w:rPr>
        <w:t>encourage climate-resilient sustainable development by promoting international cooperation and supporting policies that decrease vulnerability and improve countries' capacity to adapt to the impacts of c</w:t>
      </w:r>
      <w:r>
        <w:rPr>
          <w:noProof/>
        </w:rPr>
        <w:t>limate change; and</w:t>
      </w:r>
    </w:p>
    <w:p w:rsidR="008A19DB" w:rsidRDefault="00E56B6B">
      <w:pPr>
        <w:numPr>
          <w:ilvl w:val="0"/>
          <w:numId w:val="46"/>
        </w:numPr>
        <w:rPr>
          <w:noProof/>
          <w:lang w:val="en-US"/>
        </w:rPr>
      </w:pPr>
      <w:r>
        <w:rPr>
          <w:noProof/>
        </w:rPr>
        <w:t>promote efficient and effective implementation and cooperation by encouraging policies that mobilise substantial, transparent and predictable public and private sector inves</w:t>
      </w:r>
      <w:r>
        <w:rPr>
          <w:noProof/>
          <w:lang w:val="en-US"/>
        </w:rPr>
        <w:t>tment in low-emission climate-resilient development</w:t>
      </w:r>
      <w:r>
        <w:rPr>
          <w:noProof/>
        </w:rPr>
        <w:t>.</w:t>
      </w:r>
    </w:p>
    <w:p w:rsidR="008A19DB" w:rsidRDefault="00E56B6B">
      <w:pPr>
        <w:rPr>
          <w:noProof/>
        </w:rPr>
      </w:pPr>
      <w:r>
        <w:rPr>
          <w:noProof/>
        </w:rPr>
        <w:t xml:space="preserve">These </w:t>
      </w:r>
      <w:r>
        <w:rPr>
          <w:noProof/>
        </w:rPr>
        <w:t>objectives should be set out in the Protocol. A technical work programme, to be completed by 2017, should develop the detailed rules, processes and institutions needed to achieve these objectives.</w:t>
      </w:r>
    </w:p>
    <w:p w:rsidR="008A19DB" w:rsidRDefault="00E56B6B">
      <w:pPr>
        <w:rPr>
          <w:noProof/>
        </w:rPr>
      </w:pPr>
      <w:r>
        <w:rPr>
          <w:noProof/>
        </w:rPr>
        <w:t>To join the Protocol, a Party must make a mitigation commit</w:t>
      </w:r>
      <w:r>
        <w:rPr>
          <w:noProof/>
        </w:rPr>
        <w:t>ment. Parties will be able to participate in decision-making under the Protocol and have access to financial and other resources to support the implementation of the Protocol. Mitigation commitments under the Protocol should be equally legally binding on a</w:t>
      </w:r>
      <w:r>
        <w:rPr>
          <w:noProof/>
        </w:rPr>
        <w:t xml:space="preserve">ll Parties. </w:t>
      </w:r>
    </w:p>
    <w:p w:rsidR="008A19DB" w:rsidRDefault="00E56B6B">
      <w:pPr>
        <w:rPr>
          <w:noProof/>
        </w:rPr>
      </w:pPr>
      <w:r>
        <w:rPr>
          <w:noProof/>
        </w:rPr>
        <w:br w:type="page"/>
      </w:r>
    </w:p>
    <w:p w:rsidR="008A19DB" w:rsidRDefault="00E56B6B">
      <w:pPr>
        <w:rPr>
          <w:noProof/>
        </w:rPr>
      </w:pPr>
      <w:r>
        <w:rPr>
          <w:noProof/>
        </w:rPr>
        <w:t xml:space="preserve">This will give the clearest signal to governments, markets and the public that Parties to the Protocol are committed to fighting climate change as they provide: </w:t>
      </w:r>
    </w:p>
    <w:p w:rsidR="008A19DB" w:rsidRDefault="00E56B6B">
      <w:pPr>
        <w:numPr>
          <w:ilvl w:val="0"/>
          <w:numId w:val="48"/>
        </w:numPr>
        <w:rPr>
          <w:noProof/>
        </w:rPr>
      </w:pPr>
      <w:r>
        <w:rPr>
          <w:noProof/>
        </w:rPr>
        <w:t>the strongest expression of a Party's political will to achieve its commitments</w:t>
      </w:r>
      <w:r>
        <w:rPr>
          <w:noProof/>
        </w:rPr>
        <w:t xml:space="preserve">; </w:t>
      </w:r>
    </w:p>
    <w:p w:rsidR="008A19DB" w:rsidRDefault="00E56B6B">
      <w:pPr>
        <w:numPr>
          <w:ilvl w:val="0"/>
          <w:numId w:val="48"/>
        </w:numPr>
        <w:rPr>
          <w:noProof/>
        </w:rPr>
      </w:pPr>
      <w:r>
        <w:rPr>
          <w:noProof/>
        </w:rPr>
        <w:t xml:space="preserve">necessary predictability and certainty for all public and private actors; and </w:t>
      </w:r>
    </w:p>
    <w:p w:rsidR="008A19DB" w:rsidRDefault="00E56B6B">
      <w:pPr>
        <w:numPr>
          <w:ilvl w:val="0"/>
          <w:numId w:val="48"/>
        </w:numPr>
        <w:rPr>
          <w:noProof/>
        </w:rPr>
      </w:pPr>
      <w:r>
        <w:rPr>
          <w:noProof/>
        </w:rPr>
        <w:t xml:space="preserve">durability in the context of domestic political changes. </w:t>
      </w:r>
    </w:p>
    <w:p w:rsidR="008A19DB" w:rsidRDefault="00E56B6B">
      <w:pPr>
        <w:rPr>
          <w:noProof/>
        </w:rPr>
      </w:pPr>
      <w:r>
        <w:rPr>
          <w:noProof/>
        </w:rPr>
        <w:t>It is incumbent on those countries advocating that mitigation commitments should not be binding at international lev</w:t>
      </w:r>
      <w:r>
        <w:rPr>
          <w:noProof/>
        </w:rPr>
        <w:t>el to demonstrate how these advantages can be delivered under an alternative approach.</w:t>
      </w:r>
    </w:p>
    <w:p w:rsidR="008A19DB" w:rsidRDefault="00E56B6B">
      <w:pPr>
        <w:rPr>
          <w:noProof/>
        </w:rPr>
      </w:pPr>
      <w:r>
        <w:rPr>
          <w:noProof/>
        </w:rPr>
        <w:t>All G20 nations, representing around 75% of global emissions, as well as other high and middle-income countries are expected to ratify the Protocol in a timely manner an</w:t>
      </w:r>
      <w:r>
        <w:rPr>
          <w:noProof/>
        </w:rPr>
        <w:t>d to implement it from 2020 onwards. The EU, China and the US should send a particularly important signal of political leadership, setting the pace by joining the Protocol as early as possible. The Protocol should enter into force as soon as countries acco</w:t>
      </w:r>
      <w:r>
        <w:rPr>
          <w:noProof/>
        </w:rPr>
        <w:t>unting for more than 40Gt of CO</w:t>
      </w:r>
      <w:r>
        <w:rPr>
          <w:noProof/>
          <w:vertAlign w:val="subscript"/>
        </w:rPr>
        <w:t>2</w:t>
      </w:r>
      <w:r>
        <w:rPr>
          <w:noProof/>
        </w:rPr>
        <w:t>equivalent emissions in 2015 have deposited their instrument of ratification. This represents approximately 80% of current global emissions.</w:t>
      </w:r>
    </w:p>
    <w:p w:rsidR="008A19DB" w:rsidRDefault="00E56B6B">
      <w:pPr>
        <w:pStyle w:val="ManualHeading1"/>
        <w:rPr>
          <w:noProof/>
        </w:rPr>
      </w:pPr>
      <w:bookmarkStart w:id="41" w:name="_Toc409416907"/>
      <w:bookmarkStart w:id="42" w:name="_Toc409417177"/>
      <w:bookmarkStart w:id="43" w:name="_Toc409417443"/>
      <w:bookmarkStart w:id="44" w:name="_Toc409416908"/>
      <w:bookmarkStart w:id="45" w:name="_Toc409417178"/>
      <w:bookmarkStart w:id="46" w:name="_Toc409417444"/>
      <w:bookmarkStart w:id="47" w:name="_Ref390172683"/>
      <w:bookmarkStart w:id="48" w:name="_Toc395255550"/>
      <w:bookmarkStart w:id="49" w:name="_Toc392749498"/>
      <w:bookmarkStart w:id="50" w:name="_Toc401743269"/>
      <w:bookmarkStart w:id="51" w:name="_Toc408492785"/>
      <w:bookmarkStart w:id="52" w:name="_Toc409641551"/>
      <w:bookmarkStart w:id="53" w:name="_Toc412454727"/>
      <w:bookmarkEnd w:id="41"/>
      <w:bookmarkEnd w:id="42"/>
      <w:bookmarkEnd w:id="43"/>
      <w:bookmarkEnd w:id="44"/>
      <w:bookmarkEnd w:id="45"/>
      <w:bookmarkEnd w:id="46"/>
      <w:r>
        <w:rPr>
          <w:noProof/>
        </w:rPr>
        <w:t>3.</w:t>
      </w:r>
      <w:r>
        <w:rPr>
          <w:noProof/>
        </w:rPr>
        <w:tab/>
        <w:t>Securing ambitious reductions of greenhouse gas emissions</w:t>
      </w:r>
      <w:bookmarkEnd w:id="47"/>
      <w:bookmarkEnd w:id="48"/>
      <w:bookmarkEnd w:id="49"/>
      <w:bookmarkEnd w:id="50"/>
      <w:bookmarkEnd w:id="51"/>
      <w:bookmarkEnd w:id="52"/>
      <w:bookmarkEnd w:id="53"/>
    </w:p>
    <w:p w:rsidR="008A19DB" w:rsidRDefault="00E56B6B">
      <w:pPr>
        <w:pStyle w:val="ManualHeading2"/>
        <w:rPr>
          <w:noProof/>
        </w:rPr>
      </w:pPr>
      <w:bookmarkStart w:id="54" w:name="_Toc408492786"/>
      <w:bookmarkStart w:id="55" w:name="_Toc412454728"/>
      <w:bookmarkStart w:id="56" w:name="_Toc409641552"/>
      <w:bookmarkStart w:id="57" w:name="_Toc332363583"/>
      <w:bookmarkStart w:id="58" w:name="_Toc364158610"/>
      <w:r>
        <w:rPr>
          <w:noProof/>
        </w:rPr>
        <w:t>3.1.</w:t>
      </w:r>
      <w:r>
        <w:rPr>
          <w:noProof/>
        </w:rPr>
        <w:tab/>
        <w:t>The EU 2030 targe</w:t>
      </w:r>
      <w:r>
        <w:rPr>
          <w:noProof/>
        </w:rPr>
        <w:t>t</w:t>
      </w:r>
      <w:bookmarkEnd w:id="54"/>
      <w:r>
        <w:rPr>
          <w:noProof/>
        </w:rPr>
        <w:t xml:space="preserve"> and intended nationally determined contribution</w:t>
      </w:r>
      <w:bookmarkEnd w:id="55"/>
      <w:r>
        <w:rPr>
          <w:noProof/>
        </w:rPr>
        <w:t xml:space="preserve"> </w:t>
      </w:r>
      <w:bookmarkEnd w:id="56"/>
    </w:p>
    <w:p w:rsidR="008A19DB" w:rsidRDefault="00E56B6B">
      <w:pPr>
        <w:rPr>
          <w:noProof/>
        </w:rPr>
      </w:pPr>
      <w:r>
        <w:rPr>
          <w:noProof/>
        </w:rPr>
        <w:t>The climate and energy policy efforts of the EU are delivering results. EU emissions declined by 19% between 1990 and 2013, while over the same period EU GDP grew by 45%. The EU's 2030 climate and energy f</w:t>
      </w:r>
      <w:r>
        <w:rPr>
          <w:noProof/>
        </w:rPr>
        <w:t>ramework, as agreed by EU leaders in October 2014, will further strengthen the policy landscape. It sets out a binding, economy-wide reduction target, covering all sectors and all sources of emissions, including agriculture, forestry and other land uses, o</w:t>
      </w:r>
      <w:r>
        <w:rPr>
          <w:noProof/>
        </w:rPr>
        <w:t>f at least 40% domestic reductions in emissions by 2030 compared to 1990. This target is ambitious and fair and it is in line with a cost-efficient pathway to at least 80% domestic reductions by 2050</w:t>
      </w:r>
      <w:r>
        <w:rPr>
          <w:rStyle w:val="FootnoteReference"/>
          <w:noProof/>
        </w:rPr>
        <w:footnoteReference w:id="4"/>
      </w:r>
      <w:r>
        <w:rPr>
          <w:noProof/>
        </w:rPr>
        <w:t>. The EU has already taken significant steps to become t</w:t>
      </w:r>
      <w:r>
        <w:rPr>
          <w:noProof/>
        </w:rPr>
        <w:t>he most emission efficient economy in the world. The 2030 target will decrease the emissions intensity of the EU economy by a further 50%. The EU's recently approved investment plan will unlock substantial private finance to</w:t>
      </w:r>
      <w:r>
        <w:rPr>
          <w:noProof/>
          <w:color w:val="404040"/>
          <w:lang w:val="en"/>
        </w:rPr>
        <w:t xml:space="preserve"> </w:t>
      </w:r>
      <w:r>
        <w:rPr>
          <w:noProof/>
        </w:rPr>
        <w:t>modernise and further decarboni</w:t>
      </w:r>
      <w:r>
        <w:rPr>
          <w:noProof/>
        </w:rPr>
        <w:t>se the EU’s economy.</w:t>
      </w:r>
    </w:p>
    <w:p w:rsidR="008A19DB" w:rsidRDefault="00E56B6B">
      <w:pPr>
        <w:rPr>
          <w:noProof/>
        </w:rPr>
      </w:pPr>
      <w:r>
        <w:rPr>
          <w:noProof/>
        </w:rPr>
        <w:t>There is no merit in proposing a higher conditional target at the present time. Should the outcome of the negotiations warrant a more ambitious target, then the EU should be open to the use of international credits to complement domest</w:t>
      </w:r>
      <w:r>
        <w:rPr>
          <w:noProof/>
        </w:rPr>
        <w:t>ic commitments as long as their environmental integrity is fully secured and double counting is avoided.</w:t>
      </w:r>
      <w:bookmarkStart w:id="59" w:name="_Toc408492787"/>
    </w:p>
    <w:p w:rsidR="008A19DB" w:rsidRDefault="00E56B6B">
      <w:pPr>
        <w:pStyle w:val="ManualHeading2"/>
        <w:rPr>
          <w:noProof/>
        </w:rPr>
      </w:pPr>
      <w:bookmarkStart w:id="60" w:name="_Toc409641553"/>
      <w:bookmarkStart w:id="61" w:name="_Toc412454729"/>
      <w:r>
        <w:rPr>
          <w:noProof/>
        </w:rPr>
        <w:t>3.2.</w:t>
      </w:r>
      <w:r>
        <w:rPr>
          <w:noProof/>
        </w:rPr>
        <w:tab/>
        <w:t>Sharing the global effort</w:t>
      </w:r>
      <w:bookmarkEnd w:id="59"/>
      <w:bookmarkEnd w:id="60"/>
      <w:bookmarkEnd w:id="61"/>
    </w:p>
    <w:p w:rsidR="008A19DB" w:rsidRDefault="00E56B6B">
      <w:pPr>
        <w:pStyle w:val="Text1"/>
        <w:ind w:left="0"/>
        <w:rPr>
          <w:noProof/>
        </w:rPr>
      </w:pPr>
      <w:r>
        <w:rPr>
          <w:noProof/>
        </w:rPr>
        <w:t xml:space="preserve">The EU accounts for 9% of global emissions and this proportion is falling. In November 2014 the world's two largest </w:t>
      </w:r>
      <w:r>
        <w:rPr>
          <w:noProof/>
        </w:rPr>
        <w:t>emitters - China (25% of global emissions) and the US (11%) – followed the EU by announcing their indicative post 2020 targets. Combined, these targets would cover close to half of global emissions. For the Protocol to be effective, and to achieve a global</w:t>
      </w:r>
      <w:r>
        <w:rPr>
          <w:noProof/>
        </w:rPr>
        <w:t xml:space="preserve"> level-playing field, it needs to have the following:</w:t>
      </w:r>
    </w:p>
    <w:p w:rsidR="008A19DB" w:rsidRDefault="00E56B6B">
      <w:pPr>
        <w:pStyle w:val="Text1"/>
        <w:numPr>
          <w:ilvl w:val="0"/>
          <w:numId w:val="47"/>
        </w:numPr>
        <w:rPr>
          <w:noProof/>
        </w:rPr>
      </w:pPr>
      <w:r>
        <w:rPr>
          <w:noProof/>
        </w:rPr>
        <w:t>Broad geographical coverage. To achieve the necessary coverage of emissions all Parties, except LDCs, need to put forward their INDCs as early as possible in 2015. All G20, high and middle-income countr</w:t>
      </w:r>
      <w:r>
        <w:rPr>
          <w:noProof/>
        </w:rPr>
        <w:t>ies should be in a position to do so by the end of the first quarter of 2015. These INDCs should be communicated in accordance with the information requirements agreed in Lima. Table 1 sets out the at least 40% domestic reduction target as agreed by EU Lea</w:t>
      </w:r>
      <w:r>
        <w:rPr>
          <w:noProof/>
        </w:rPr>
        <w:t>ders in October 2014 in the form of an INDC consistent with the information requirements agreed in Lima to ensure that targets are transparent, quantifiable, and comparable. This table provides a simple template that could serve as a possible model for tho</w:t>
      </w:r>
      <w:r>
        <w:rPr>
          <w:noProof/>
        </w:rPr>
        <w:t>se Parties still formulating their INDC. On a voluntary basis, LDCs could submit INDCs that summarise policies and measures with an estimate of emissions reductions. All other Parties to the Protocol must at all times maintain a mitigation commitment. Thes</w:t>
      </w:r>
      <w:r>
        <w:rPr>
          <w:noProof/>
        </w:rPr>
        <w:t>e should be set out alphabetically by Party in an Annex to the Protocol.</w:t>
      </w:r>
    </w:p>
    <w:p w:rsidR="008A19DB" w:rsidRDefault="00E56B6B">
      <w:pPr>
        <w:pStyle w:val="Text1"/>
        <w:numPr>
          <w:ilvl w:val="0"/>
          <w:numId w:val="47"/>
        </w:numPr>
        <w:rPr>
          <w:noProof/>
        </w:rPr>
      </w:pPr>
      <w:r>
        <w:rPr>
          <w:noProof/>
        </w:rPr>
        <w:t>Comprehensive coverage of sectors and emissions. Parties' commitments must create strong incentives for all actors to further reduce and limit global emissions. The Protocol should re</w:t>
      </w:r>
      <w:r>
        <w:rPr>
          <w:noProof/>
        </w:rPr>
        <w:t xml:space="preserve">quire emissions reductions in all sectors, including agriculture, forestry and other land uses, international aviation and shipping and fluorinated gases. ICAO, IMO, and the Montreal Protocol should act to effectively regulate emissions from international </w:t>
      </w:r>
      <w:r>
        <w:rPr>
          <w:noProof/>
        </w:rPr>
        <w:t>aviation and shipping and the production and consumption of fluorinated gases, respectively, by the end of 2016.</w:t>
      </w:r>
    </w:p>
    <w:p w:rsidR="008A19DB" w:rsidRDefault="00E56B6B">
      <w:pPr>
        <w:pStyle w:val="Text1"/>
        <w:numPr>
          <w:ilvl w:val="0"/>
          <w:numId w:val="47"/>
        </w:numPr>
        <w:rPr>
          <w:noProof/>
        </w:rPr>
      </w:pPr>
      <w:r>
        <w:rPr>
          <w:noProof/>
        </w:rPr>
        <w:t>The highest possible level of ambition. Well in advance of the Paris conference, each Party must choose its mitigation commitment type and defi</w:t>
      </w:r>
      <w:r>
        <w:rPr>
          <w:noProof/>
        </w:rPr>
        <w:t>ne its level of ambition and scope in light of evolving responsibilities, capabilities and different national circumstances. Countries with the highest responsibilities and capabilities need to have the most ambitious mitigation commitments. Each Party's I</w:t>
      </w:r>
      <w:r>
        <w:rPr>
          <w:noProof/>
        </w:rPr>
        <w:t>NDC should represent a significant progression in the level of mitigation ambition and scope compared to its current pledge. It should demonstrate convergence on low levels of overall emissions and per capita emissions and improvement in emission intensity</w:t>
      </w:r>
      <w:r>
        <w:rPr>
          <w:noProof/>
        </w:rPr>
        <w:t xml:space="preserve"> over time.</w:t>
      </w:r>
    </w:p>
    <w:p w:rsidR="008A19DB" w:rsidRDefault="00E56B6B">
      <w:pPr>
        <w:pStyle w:val="Text1"/>
        <w:numPr>
          <w:ilvl w:val="0"/>
          <w:numId w:val="47"/>
        </w:numPr>
        <w:rPr>
          <w:noProof/>
        </w:rPr>
      </w:pPr>
      <w:r>
        <w:rPr>
          <w:noProof/>
        </w:rPr>
        <w:t>Robust mitigation commitments. Economy-wide absolute targets combined with emission budgets are the most robust commitment type. They have a number of advantages including certainty, transparency, flexibility and, if used widely, reducing the r</w:t>
      </w:r>
      <w:r>
        <w:rPr>
          <w:noProof/>
        </w:rPr>
        <w:t>isk of carbon leakage. In line with the idea of progression over time, all countries that already have such targets should maintain and increase these against a historic base year or reference period. G20 and other high-income countries that do not have ab</w:t>
      </w:r>
      <w:r>
        <w:rPr>
          <w:noProof/>
        </w:rPr>
        <w:t>solute targets under the Protocol from 2020 should commit to do so by 2025 at the latest. Other emerging economies and middle-income countries are encouraged to do so as early as possible and not later than 2030.</w:t>
      </w:r>
    </w:p>
    <w:p w:rsidR="008A19DB" w:rsidRDefault="00E56B6B">
      <w:pPr>
        <w:pStyle w:val="ManualHeading1"/>
        <w:rPr>
          <w:noProof/>
        </w:rPr>
      </w:pPr>
      <w:bookmarkStart w:id="62" w:name="_Toc408492789"/>
      <w:bookmarkStart w:id="63" w:name="_Toc409641554"/>
      <w:bookmarkStart w:id="64" w:name="_Toc412454730"/>
      <w:r>
        <w:rPr>
          <w:noProof/>
        </w:rPr>
        <w:t>4.</w:t>
      </w:r>
      <w:r>
        <w:rPr>
          <w:noProof/>
        </w:rPr>
        <w:tab/>
        <w:t>Ensuring dynamism</w:t>
      </w:r>
      <w:bookmarkEnd w:id="62"/>
      <w:r>
        <w:rPr>
          <w:noProof/>
        </w:rPr>
        <w:t xml:space="preserve"> through regular review</w:t>
      </w:r>
      <w:r>
        <w:rPr>
          <w:noProof/>
        </w:rPr>
        <w:t xml:space="preserve"> of targets</w:t>
      </w:r>
      <w:bookmarkEnd w:id="63"/>
      <w:bookmarkEnd w:id="64"/>
    </w:p>
    <w:p w:rsidR="008A19DB" w:rsidRDefault="00E56B6B">
      <w:pPr>
        <w:rPr>
          <w:noProof/>
        </w:rPr>
      </w:pPr>
      <w:r>
        <w:rPr>
          <w:noProof/>
        </w:rPr>
        <w:t>The Protocol should set out a process, applicable to all Parties, to regularly review and strengthen mitigation commitments, consistent with the Protocol's long term goal. If Parties' collective efforts fall short of what is necessary, the proc</w:t>
      </w:r>
      <w:r>
        <w:rPr>
          <w:noProof/>
        </w:rPr>
        <w:t>ess should encourage Parties to raise the level of ambition of existing commitments and formulate sufficiently ambitious commitments in subsequent target periods.</w:t>
      </w:r>
    </w:p>
    <w:p w:rsidR="008A19DB" w:rsidRDefault="00E56B6B">
      <w:pPr>
        <w:rPr>
          <w:noProof/>
        </w:rPr>
      </w:pPr>
      <w:r>
        <w:rPr>
          <w:noProof/>
        </w:rPr>
        <w:t>Starting in 2020, the review should be repeated every five years and facilitate transparency,</w:t>
      </w:r>
      <w:r>
        <w:rPr>
          <w:noProof/>
        </w:rPr>
        <w:t xml:space="preserve"> clarity and understanding of mitigation commitments in light of their contribution to the below 2°C objective. The review should invite Parties to explain progress on their mitigation commitments and why they think their actions have been fair and ambitio</w:t>
      </w:r>
      <w:r>
        <w:rPr>
          <w:noProof/>
        </w:rPr>
        <w:t>us.</w:t>
      </w:r>
    </w:p>
    <w:p w:rsidR="008A19DB" w:rsidRDefault="00E56B6B">
      <w:pPr>
        <w:rPr>
          <w:noProof/>
        </w:rPr>
      </w:pPr>
      <w:r>
        <w:rPr>
          <w:noProof/>
        </w:rPr>
        <w:t>The process should be informed by science, be evidence-based, and be guided by considerations of evolving responsibilities, capabilities and different national circumstances. It should be simple, efficient, and avoid duplication of other processes. The</w:t>
      </w:r>
      <w:r>
        <w:rPr>
          <w:noProof/>
        </w:rPr>
        <w:t xml:space="preserve"> arrangements for the review cycle should be improved over time to stay on track to achieve the below 2°C objective.</w:t>
      </w:r>
      <w:bookmarkEnd w:id="57"/>
      <w:bookmarkEnd w:id="58"/>
    </w:p>
    <w:p w:rsidR="008A19DB" w:rsidRDefault="00E56B6B">
      <w:pPr>
        <w:rPr>
          <w:noProof/>
        </w:rPr>
      </w:pPr>
      <w:r>
        <w:rPr>
          <w:noProof/>
        </w:rPr>
        <w:t>The Protocol and accompanying decisions by the Conference of the Parties (COP) need to provide for the dynamic mobilisation of climate fina</w:t>
      </w:r>
      <w:r>
        <w:rPr>
          <w:noProof/>
        </w:rPr>
        <w:t>nce, technology transfer and capacity building for eligible Parties, particularly those with least capabilities. This will include processes to regularly assess and improve the adequacy and effectiveness of the means of implementation mobilised by the GCF,</w:t>
      </w:r>
      <w:r>
        <w:rPr>
          <w:noProof/>
        </w:rPr>
        <w:t xml:space="preserve"> the Global Environmental Facility (GEF), and other relevant institutions. Support for Parties to regularly review and strengthen their approaches to adaptation over time will also need to be ensured in Paris.</w:t>
      </w:r>
    </w:p>
    <w:p w:rsidR="008A19DB" w:rsidRDefault="00E56B6B">
      <w:pPr>
        <w:pStyle w:val="ManualHeading1"/>
        <w:rPr>
          <w:noProof/>
        </w:rPr>
      </w:pPr>
      <w:bookmarkStart w:id="65" w:name="_Toc408490207"/>
      <w:bookmarkStart w:id="66" w:name="_Toc408002479"/>
      <w:bookmarkStart w:id="67" w:name="_Toc408492790"/>
      <w:bookmarkStart w:id="68" w:name="_Toc409641555"/>
      <w:bookmarkStart w:id="69" w:name="_Toc412454731"/>
      <w:bookmarkEnd w:id="65"/>
      <w:r>
        <w:rPr>
          <w:noProof/>
        </w:rPr>
        <w:t>5.</w:t>
      </w:r>
      <w:r>
        <w:rPr>
          <w:noProof/>
        </w:rPr>
        <w:tab/>
        <w:t>Strengthening transparency and accountabili</w:t>
      </w:r>
      <w:r>
        <w:rPr>
          <w:noProof/>
        </w:rPr>
        <w:t>ty</w:t>
      </w:r>
      <w:bookmarkEnd w:id="66"/>
      <w:bookmarkEnd w:id="67"/>
      <w:bookmarkEnd w:id="68"/>
      <w:bookmarkEnd w:id="69"/>
    </w:p>
    <w:p w:rsidR="008A19DB" w:rsidRDefault="00E56B6B">
      <w:pPr>
        <w:rPr>
          <w:noProof/>
        </w:rPr>
      </w:pPr>
      <w:r>
        <w:rPr>
          <w:noProof/>
        </w:rPr>
        <w:t>The Protocol must set out the key elements of a common transparency and accountability system, applicable to all Parties. This must include robust rules on monitoring, reporting, verification and accounting, and a process for holding each Party accounta</w:t>
      </w:r>
      <w:r>
        <w:rPr>
          <w:noProof/>
        </w:rPr>
        <w:t>ble for achieving its commitments. This system will be essential to provide confidence that each Party is implementing its commitments and is on track to meet its target. It will also be crucial to build trust, encourage ambition, and to provide predictabi</w:t>
      </w:r>
      <w:r>
        <w:rPr>
          <w:noProof/>
        </w:rPr>
        <w:t>lity and legal certainty. As such, Parties should submit, at the latest by the time of ratification, the most recent set of annual emissions inventories from 2010 covering the period up to 2015.</w:t>
      </w:r>
    </w:p>
    <w:p w:rsidR="008A19DB" w:rsidRDefault="00E56B6B">
      <w:pPr>
        <w:rPr>
          <w:noProof/>
        </w:rPr>
      </w:pPr>
      <w:r>
        <w:rPr>
          <w:noProof/>
        </w:rPr>
        <w:t>This system should be fit for the long term. While it must be</w:t>
      </w:r>
      <w:r>
        <w:rPr>
          <w:noProof/>
        </w:rPr>
        <w:t xml:space="preserve"> sufficiently flexible to cater for a diverse range of commitment types, national capabilities and circumstances, this flexibility should not undermine transparency, accountability and ambition. Independent expert review teams should conduct regular review</w:t>
      </w:r>
      <w:r>
        <w:rPr>
          <w:noProof/>
        </w:rPr>
        <w:t>s. The new Protocol should recognise net transfers between those countries that have decided to link their domestic carbon markets and this should be taken into account when evaluating compliance.</w:t>
      </w:r>
    </w:p>
    <w:p w:rsidR="008A19DB" w:rsidRDefault="00E56B6B">
      <w:pPr>
        <w:rPr>
          <w:noProof/>
        </w:rPr>
      </w:pPr>
      <w:r>
        <w:rPr>
          <w:noProof/>
        </w:rPr>
        <w:t>Finally, the Protocol should establish a body to facilitate</w:t>
      </w:r>
      <w:r>
        <w:rPr>
          <w:noProof/>
        </w:rPr>
        <w:t xml:space="preserve"> implementation and address questions that are raised over compliance with regard to the implementation of any Party's commitments. This body should focus on commitments related to mitigation, including monitoring, reporting, verification and accounting. T</w:t>
      </w:r>
      <w:r>
        <w:rPr>
          <w:noProof/>
        </w:rPr>
        <w:t xml:space="preserve">he body should be expert and non-political, with its mandate to be specified in the Protocol. </w:t>
      </w:r>
    </w:p>
    <w:p w:rsidR="008A19DB" w:rsidRDefault="00E56B6B">
      <w:pPr>
        <w:pStyle w:val="ManualHeading1"/>
        <w:rPr>
          <w:noProof/>
        </w:rPr>
      </w:pPr>
      <w:bookmarkStart w:id="70" w:name="_Toc408244452"/>
      <w:bookmarkStart w:id="71" w:name="_Toc408244454"/>
      <w:bookmarkStart w:id="72" w:name="_Toc408244458"/>
      <w:bookmarkStart w:id="73" w:name="_Toc408244459"/>
      <w:bookmarkStart w:id="74" w:name="_Toc408244464"/>
      <w:bookmarkStart w:id="75" w:name="_Toc408244467"/>
      <w:bookmarkStart w:id="76" w:name="_Toc408492791"/>
      <w:bookmarkStart w:id="77" w:name="_Toc409641556"/>
      <w:bookmarkStart w:id="78" w:name="_Toc412454732"/>
      <w:bookmarkEnd w:id="70"/>
      <w:bookmarkEnd w:id="71"/>
      <w:bookmarkEnd w:id="72"/>
      <w:bookmarkEnd w:id="73"/>
      <w:bookmarkEnd w:id="74"/>
      <w:bookmarkEnd w:id="75"/>
      <w:r>
        <w:rPr>
          <w:noProof/>
        </w:rPr>
        <w:t>6.</w:t>
      </w:r>
      <w:r>
        <w:rPr>
          <w:noProof/>
        </w:rPr>
        <w:tab/>
        <w:t>Achieving climate resilience</w:t>
      </w:r>
      <w:bookmarkEnd w:id="76"/>
      <w:r>
        <w:rPr>
          <w:noProof/>
        </w:rPr>
        <w:t xml:space="preserve"> through adaptation</w:t>
      </w:r>
      <w:bookmarkEnd w:id="77"/>
      <w:bookmarkEnd w:id="78"/>
    </w:p>
    <w:p w:rsidR="008A19DB" w:rsidRDefault="00E56B6B">
      <w:pPr>
        <w:rPr>
          <w:noProof/>
        </w:rPr>
      </w:pPr>
      <w:r>
        <w:rPr>
          <w:noProof/>
        </w:rPr>
        <w:t>While ambitious mitigation action is essential, it will be equally important to encourage individual and colla</w:t>
      </w:r>
      <w:r>
        <w:rPr>
          <w:noProof/>
        </w:rPr>
        <w:t>borative actions to prepare for and adapt to the adverse impacts of climate change. The role of the land use sector with regard to resilience of food security, and other environmental, social and economic benefits are key to this work. The EU's strategy on</w:t>
      </w:r>
      <w:r>
        <w:rPr>
          <w:noProof/>
        </w:rPr>
        <w:t xml:space="preserve"> adaptation, complementing Member States' strategies,</w:t>
      </w:r>
      <w:r>
        <w:rPr>
          <w:noProof/>
          <w:vertAlign w:val="superscript"/>
        </w:rPr>
        <w:t xml:space="preserve"> </w:t>
      </w:r>
      <w:r>
        <w:rPr>
          <w:noProof/>
        </w:rPr>
        <w:t>aims to develop a more climate-resilient Europe. Ecosystem-based adaptation can reduce flood risk and soil erosion as well as improve water and air quality.</w:t>
      </w:r>
    </w:p>
    <w:p w:rsidR="008A19DB" w:rsidRDefault="00E56B6B">
      <w:pPr>
        <w:rPr>
          <w:noProof/>
        </w:rPr>
      </w:pPr>
      <w:r>
        <w:rPr>
          <w:noProof/>
        </w:rPr>
        <w:t>In the context of achieving climate resilient</w:t>
      </w:r>
      <w:r>
        <w:rPr>
          <w:noProof/>
        </w:rPr>
        <w:t xml:space="preserve"> sustainable development of all Parties, the Protocol should reinforce the </w:t>
      </w:r>
      <w:r>
        <w:rPr>
          <w:bCs/>
          <w:noProof/>
        </w:rPr>
        <w:t>commitments of all Parties</w:t>
      </w:r>
      <w:r>
        <w:rPr>
          <w:noProof/>
        </w:rPr>
        <w:t xml:space="preserve"> to continue to formulate, plan and implement measures to facilitate adaptation and to report on these through their national communications. The Protocol </w:t>
      </w:r>
      <w:r>
        <w:rPr>
          <w:noProof/>
        </w:rPr>
        <w:t>should continue to facilitate assistance to those regions and countries that are particularly vulnerable to the adverse effects of climate change, including through providing financial and technical support and capacity building.</w:t>
      </w:r>
    </w:p>
    <w:p w:rsidR="008A19DB" w:rsidRDefault="00E56B6B">
      <w:pPr>
        <w:rPr>
          <w:noProof/>
        </w:rPr>
      </w:pPr>
      <w:r>
        <w:rPr>
          <w:noProof/>
        </w:rPr>
        <w:t>In this way the Protocol w</w:t>
      </w:r>
      <w:r>
        <w:rPr>
          <w:noProof/>
        </w:rPr>
        <w:t>ill provide further visibility for adaptation action and support, and strengthen the monitoring and reporting provisions under the UNFCCC. It will also enable greater understanding of the effectiveness of measures carried out to facilitate adequate adaptat</w:t>
      </w:r>
      <w:r>
        <w:rPr>
          <w:noProof/>
        </w:rPr>
        <w:t>ion drawing on national reports and other relevant information, in order to inform further enhanced action to be undertaken by Parties.</w:t>
      </w:r>
    </w:p>
    <w:p w:rsidR="008A19DB" w:rsidRDefault="00E56B6B">
      <w:pPr>
        <w:rPr>
          <w:noProof/>
        </w:rPr>
      </w:pPr>
      <w:r>
        <w:rPr>
          <w:noProof/>
        </w:rPr>
        <w:t>With the adoption of the Protocol, further COP decisions should strengthen the implementation of the provisions under th</w:t>
      </w:r>
      <w:r>
        <w:rPr>
          <w:noProof/>
        </w:rPr>
        <w:t>e Cancun Adaptation Framework and the Nairobi Work Programme.</w:t>
      </w:r>
    </w:p>
    <w:p w:rsidR="008A19DB" w:rsidRDefault="00E56B6B">
      <w:pPr>
        <w:pStyle w:val="ManualHeading1"/>
        <w:rPr>
          <w:noProof/>
        </w:rPr>
      </w:pPr>
      <w:bookmarkStart w:id="79" w:name="_Toc408002481"/>
      <w:bookmarkStart w:id="80" w:name="_Toc408492792"/>
      <w:bookmarkStart w:id="81" w:name="_Toc409641557"/>
      <w:bookmarkStart w:id="82" w:name="_Toc412454733"/>
      <w:r>
        <w:rPr>
          <w:noProof/>
        </w:rPr>
        <w:t>7.</w:t>
      </w:r>
      <w:r>
        <w:rPr>
          <w:noProof/>
        </w:rPr>
        <w:tab/>
        <w:t>Promoting implementation and cooperation</w:t>
      </w:r>
      <w:bookmarkEnd w:id="79"/>
      <w:bookmarkEnd w:id="80"/>
      <w:bookmarkEnd w:id="81"/>
      <w:bookmarkEnd w:id="82"/>
    </w:p>
    <w:p w:rsidR="008A19DB" w:rsidRDefault="00E56B6B">
      <w:pPr>
        <w:pStyle w:val="ManualHeading2"/>
        <w:rPr>
          <w:noProof/>
        </w:rPr>
      </w:pPr>
      <w:bookmarkStart w:id="83" w:name="_Toc408259322"/>
      <w:bookmarkStart w:id="84" w:name="_Toc408492793"/>
      <w:bookmarkStart w:id="85" w:name="_Toc409641558"/>
      <w:bookmarkStart w:id="86" w:name="_Toc412454734"/>
      <w:bookmarkStart w:id="87" w:name="_Toc408002482"/>
      <w:r>
        <w:rPr>
          <w:noProof/>
        </w:rPr>
        <w:t>7.1.</w:t>
      </w:r>
      <w:r>
        <w:rPr>
          <w:noProof/>
        </w:rPr>
        <w:tab/>
        <w:t>Mobilising public and private climate finance</w:t>
      </w:r>
      <w:bookmarkEnd w:id="83"/>
      <w:bookmarkEnd w:id="84"/>
      <w:bookmarkEnd w:id="85"/>
      <w:bookmarkEnd w:id="86"/>
    </w:p>
    <w:p w:rsidR="008A19DB" w:rsidRDefault="00E56B6B">
      <w:pPr>
        <w:rPr>
          <w:noProof/>
        </w:rPr>
      </w:pPr>
      <w:r>
        <w:rPr>
          <w:noProof/>
        </w:rPr>
        <w:t>The transformation into low emission climate resilient economies will only be achieved through larg</w:t>
      </w:r>
      <w:r>
        <w:rPr>
          <w:noProof/>
        </w:rPr>
        <w:t>e-scale shifts in investment patterns. The Protocol should promote investments in low emission, climate-resilient programmes and policies. All countries should commit to take steps to improve their enabling environments for attracting climate friendly inve</w:t>
      </w:r>
      <w:r>
        <w:rPr>
          <w:noProof/>
        </w:rPr>
        <w:t>stments. In line with the Commission Communication “A global partnership for Poverty eradication and Sustainable Development after 2015”, all resources should be effectively used to reach various internationally agreed sustainable development and climate o</w:t>
      </w:r>
      <w:r>
        <w:rPr>
          <w:noProof/>
        </w:rPr>
        <w:t>bjectives. Countries in a position to do so should mobilise financial support for eligible Parties to the Protocol. The base of financial support needs to be broadened over time as capabilities of Parties change. Clarity should also be provided by all Part</w:t>
      </w:r>
      <w:r>
        <w:rPr>
          <w:noProof/>
        </w:rPr>
        <w:t>ies on the climate impact of financial flows that do not fall within the remit of climate finance. Financing for climate action should continue to reflect national governments' commitments, enabling environments and investment strategies post 2020. The amo</w:t>
      </w:r>
      <w:r>
        <w:rPr>
          <w:noProof/>
        </w:rPr>
        <w:t>unt of climate finance to be mobilised will also depend on the ambition and quality of the proposed INDCs, subsequent investment plans and national adaptation planning processes. At this stage, as INDCs and national adaptation planning processes are not fu</w:t>
      </w:r>
      <w:r>
        <w:rPr>
          <w:noProof/>
        </w:rPr>
        <w:t>lly known, it is too early to elaborate on the scale and type of climate-related finance needed post 2020.</w:t>
      </w:r>
    </w:p>
    <w:p w:rsidR="008A19DB" w:rsidRDefault="00E56B6B">
      <w:pPr>
        <w:rPr>
          <w:noProof/>
        </w:rPr>
      </w:pPr>
      <w:r>
        <w:rPr>
          <w:noProof/>
        </w:rPr>
        <w:t xml:space="preserve">Public sector climate finance will continue to play an important in mobilising resources after 2020. The Protocol should also recognise the </w:t>
      </w:r>
      <w:r>
        <w:rPr>
          <w:noProof/>
        </w:rPr>
        <w:t>importance of the private sector as a key source to scaling up climate finance. The Protocol should clarify the role of the GCF and the GEF in providing support for implementation. It should provide assurances to the poorest countries and those most vulner</w:t>
      </w:r>
      <w:r>
        <w:rPr>
          <w:noProof/>
        </w:rPr>
        <w:t>able to climate change that they will continue to receive priority support. This can best be achieved if the financing framework of the Protocol is fully consistent with the Financing for Development process and the post 2015 Development agenda.</w:t>
      </w:r>
    </w:p>
    <w:p w:rsidR="008A19DB" w:rsidRDefault="00E56B6B">
      <w:pPr>
        <w:rPr>
          <w:noProof/>
        </w:rPr>
      </w:pPr>
      <w:r>
        <w:rPr>
          <w:noProof/>
        </w:rPr>
        <w:t>The Protoc</w:t>
      </w:r>
      <w:r>
        <w:rPr>
          <w:noProof/>
        </w:rPr>
        <w:t xml:space="preserve">ol should promote the formulation and implementation of strong enabling environments for the transformation to low emission climate resilient economies including: </w:t>
      </w:r>
    </w:p>
    <w:p w:rsidR="008A19DB" w:rsidRDefault="00E56B6B">
      <w:pPr>
        <w:numPr>
          <w:ilvl w:val="0"/>
          <w:numId w:val="49"/>
        </w:numPr>
        <w:rPr>
          <w:noProof/>
        </w:rPr>
      </w:pPr>
      <w:r>
        <w:rPr>
          <w:noProof/>
        </w:rPr>
        <w:t xml:space="preserve">ambitious national climate policies; </w:t>
      </w:r>
    </w:p>
    <w:p w:rsidR="008A19DB" w:rsidRDefault="00E56B6B">
      <w:pPr>
        <w:numPr>
          <w:ilvl w:val="0"/>
          <w:numId w:val="49"/>
        </w:numPr>
        <w:rPr>
          <w:noProof/>
        </w:rPr>
      </w:pPr>
      <w:r>
        <w:rPr>
          <w:noProof/>
        </w:rPr>
        <w:t>effective governance, including investment frameworks,</w:t>
      </w:r>
      <w:r>
        <w:rPr>
          <w:noProof/>
        </w:rPr>
        <w:t xml:space="preserve"> price incentives and financing instruments favouring low-emission and climate resilient investments; and </w:t>
      </w:r>
    </w:p>
    <w:p w:rsidR="008A19DB" w:rsidRDefault="00E56B6B">
      <w:pPr>
        <w:numPr>
          <w:ilvl w:val="0"/>
          <w:numId w:val="49"/>
        </w:numPr>
        <w:rPr>
          <w:noProof/>
        </w:rPr>
      </w:pPr>
      <w:r>
        <w:rPr>
          <w:noProof/>
        </w:rPr>
        <w:t xml:space="preserve">providing information on how to address climate change. </w:t>
      </w:r>
    </w:p>
    <w:p w:rsidR="008A19DB" w:rsidRDefault="00E56B6B">
      <w:pPr>
        <w:rPr>
          <w:noProof/>
        </w:rPr>
      </w:pPr>
      <w:r>
        <w:rPr>
          <w:noProof/>
        </w:rPr>
        <w:t xml:space="preserve">Carbon pricing and the investment policies of public development banks will play a central </w:t>
      </w:r>
      <w:r>
        <w:rPr>
          <w:noProof/>
        </w:rPr>
        <w:t>role in this. Mainstreaming climate considerations into all policies, development strategies and investments is essential to make use of the synergies between development, mitigation and adaptation financing.</w:t>
      </w:r>
    </w:p>
    <w:p w:rsidR="008A19DB" w:rsidRDefault="00E56B6B">
      <w:pPr>
        <w:pStyle w:val="ManualHeading2"/>
        <w:rPr>
          <w:noProof/>
        </w:rPr>
      </w:pPr>
      <w:bookmarkStart w:id="88" w:name="_Toc408492794"/>
      <w:bookmarkStart w:id="89" w:name="_Toc409641559"/>
      <w:bookmarkStart w:id="90" w:name="_Toc412454735"/>
      <w:r>
        <w:rPr>
          <w:noProof/>
        </w:rPr>
        <w:t>7.2.</w:t>
      </w:r>
      <w:r>
        <w:rPr>
          <w:noProof/>
        </w:rPr>
        <w:tab/>
        <w:t>Scaling up international cooperative actio</w:t>
      </w:r>
      <w:r>
        <w:rPr>
          <w:noProof/>
        </w:rPr>
        <w:t>n</w:t>
      </w:r>
      <w:bookmarkEnd w:id="87"/>
      <w:bookmarkEnd w:id="88"/>
      <w:bookmarkEnd w:id="89"/>
      <w:bookmarkEnd w:id="90"/>
    </w:p>
    <w:p w:rsidR="008A19DB" w:rsidRDefault="00E56B6B">
      <w:pPr>
        <w:rPr>
          <w:noProof/>
        </w:rPr>
      </w:pPr>
      <w:r>
        <w:rPr>
          <w:noProof/>
        </w:rPr>
        <w:t>Sharing information on experiences with policy design and promoting good practice will greatly accelerate and broaden climate action. In recent years, the EU has been proactive in bilateral and multilateral initiatives to do this, e.g. via bilateral poli</w:t>
      </w:r>
      <w:r>
        <w:rPr>
          <w:noProof/>
        </w:rPr>
        <w:t>cy dialogues on emissions trading; launching sustainable energy initiatives that contribute to the development of low-carbon economies; or by promoting the development and practical deployment of adaptation policies through the Global Climate Change Allian</w:t>
      </w:r>
      <w:r>
        <w:rPr>
          <w:noProof/>
        </w:rPr>
        <w:t>ce, which now comprises 38 vulnerable developing countries and eight regions in Africa, Asia, the Caribbean and the Pacific.</w:t>
      </w:r>
    </w:p>
    <w:p w:rsidR="008A19DB" w:rsidRDefault="00E56B6B">
      <w:pPr>
        <w:rPr>
          <w:noProof/>
        </w:rPr>
      </w:pPr>
      <w:r>
        <w:rPr>
          <w:noProof/>
        </w:rPr>
        <w:t>The Protocol should encourage more systematic exchange of experiences within and across geographical regions, bringing together tec</w:t>
      </w:r>
      <w:r>
        <w:rPr>
          <w:noProof/>
        </w:rPr>
        <w:t>hnical expertise including from specialised organisations, the private sector, academia, regions and municipalities. The Protocol should provide for the recognition of significant initiatives that implement and complement national efforts to reduce emissio</w:t>
      </w:r>
      <w:r>
        <w:rPr>
          <w:noProof/>
        </w:rPr>
        <w:t>ns and to adapt to the adverse effects of climate change. At the Paris conference it should also be decided to continue the work programme to identify additional mitigation action in 2016, working closely with the GCF and other financial institutions. This</w:t>
      </w:r>
      <w:r>
        <w:rPr>
          <w:noProof/>
        </w:rPr>
        <w:t xml:space="preserve"> will be of particular relevance if there is a gap between the aggregate level of ambition of mitigation commitments and the emission reductions required to achieve the below 2°C objective.</w:t>
      </w:r>
    </w:p>
    <w:p w:rsidR="008A19DB" w:rsidRDefault="00E56B6B">
      <w:pPr>
        <w:pStyle w:val="ManualHeading2"/>
        <w:rPr>
          <w:noProof/>
        </w:rPr>
      </w:pPr>
      <w:bookmarkStart w:id="91" w:name="_Toc408490216"/>
      <w:bookmarkStart w:id="92" w:name="_Toc408490219"/>
      <w:bookmarkStart w:id="93" w:name="_Toc408490220"/>
      <w:bookmarkStart w:id="94" w:name="_Toc408490221"/>
      <w:bookmarkStart w:id="95" w:name="_Toc408490222"/>
      <w:bookmarkStart w:id="96" w:name="_Toc408002483"/>
      <w:bookmarkStart w:id="97" w:name="_Toc408492795"/>
      <w:bookmarkStart w:id="98" w:name="_Toc409641560"/>
      <w:bookmarkStart w:id="99" w:name="_Toc412454736"/>
      <w:bookmarkEnd w:id="91"/>
      <w:bookmarkEnd w:id="92"/>
      <w:bookmarkEnd w:id="93"/>
      <w:bookmarkEnd w:id="94"/>
      <w:bookmarkEnd w:id="95"/>
      <w:r>
        <w:rPr>
          <w:noProof/>
        </w:rPr>
        <w:t>7.3.</w:t>
      </w:r>
      <w:r>
        <w:rPr>
          <w:noProof/>
        </w:rPr>
        <w:tab/>
        <w:t>Supporting the development and deployment</w:t>
      </w:r>
      <w:bookmarkEnd w:id="96"/>
      <w:r>
        <w:rPr>
          <w:noProof/>
        </w:rPr>
        <w:t xml:space="preserve"> of climate technolo</w:t>
      </w:r>
      <w:r>
        <w:rPr>
          <w:noProof/>
        </w:rPr>
        <w:t>gies</w:t>
      </w:r>
      <w:bookmarkEnd w:id="97"/>
      <w:bookmarkEnd w:id="98"/>
      <w:bookmarkEnd w:id="99"/>
    </w:p>
    <w:p w:rsidR="008A19DB" w:rsidRDefault="00E56B6B">
      <w:pPr>
        <w:rPr>
          <w:noProof/>
        </w:rPr>
      </w:pPr>
      <w:r>
        <w:rPr>
          <w:noProof/>
        </w:rPr>
        <w:t>The development and deployment of climate technologies has an essential role to play in meeting climate change objectives, as well as in contributing to job creation and sustainable economic growth. The combination of research funding, market uptake m</w:t>
      </w:r>
      <w:r>
        <w:rPr>
          <w:noProof/>
        </w:rPr>
        <w:t>easures, education programmes, finance and policies that impose a price on emissions create an enabling environment for a broad spectrum of technologies. This includes technologies to promote resilience to extreme weather impacts, climate services and wate</w:t>
      </w:r>
      <w:r>
        <w:rPr>
          <w:noProof/>
        </w:rPr>
        <w:t>r management systems, as well as energy production, industrial processes, transport, agriculture, and reducing deforestation.</w:t>
      </w:r>
    </w:p>
    <w:p w:rsidR="008A19DB" w:rsidRDefault="00E56B6B">
      <w:pPr>
        <w:rPr>
          <w:noProof/>
        </w:rPr>
      </w:pPr>
      <w:r>
        <w:rPr>
          <w:noProof/>
        </w:rPr>
        <w:t>Countries choose the most appropriate technological options for themselves, often supported by technology needs assessments and th</w:t>
      </w:r>
      <w:r>
        <w:rPr>
          <w:noProof/>
        </w:rPr>
        <w:t>e Climate Technology Centre and Network (CTCN). Innovation including the necessary up-scaling of technology transfer is dependent on voluntary collaboration with private sector actors to develop, finance and deploy a technology. It is essential to preserve</w:t>
      </w:r>
      <w:r>
        <w:rPr>
          <w:noProof/>
        </w:rPr>
        <w:t xml:space="preserve"> the existing intellectual property rules.</w:t>
      </w:r>
    </w:p>
    <w:p w:rsidR="008A19DB" w:rsidRDefault="00E56B6B">
      <w:pPr>
        <w:rPr>
          <w:noProof/>
        </w:rPr>
      </w:pPr>
      <w:r>
        <w:rPr>
          <w:noProof/>
        </w:rPr>
        <w:t xml:space="preserve">The Protocol should recognise the role already played by the Technology Executive Committee and the CTCN, in combination with a reformed technology needs assessment process. </w:t>
      </w:r>
    </w:p>
    <w:p w:rsidR="008A19DB" w:rsidRDefault="00E56B6B">
      <w:pPr>
        <w:pStyle w:val="ManualHeading2"/>
        <w:rPr>
          <w:noProof/>
        </w:rPr>
      </w:pPr>
      <w:bookmarkStart w:id="100" w:name="_Toc408002484"/>
      <w:bookmarkStart w:id="101" w:name="_Toc408492796"/>
      <w:bookmarkStart w:id="102" w:name="_Toc409641561"/>
      <w:bookmarkStart w:id="103" w:name="_Toc412454737"/>
      <w:r>
        <w:rPr>
          <w:noProof/>
        </w:rPr>
        <w:t>7.4.</w:t>
      </w:r>
      <w:r>
        <w:rPr>
          <w:noProof/>
        </w:rPr>
        <w:tab/>
        <w:t>Building capacity</w:t>
      </w:r>
      <w:bookmarkEnd w:id="100"/>
      <w:bookmarkEnd w:id="101"/>
      <w:bookmarkEnd w:id="102"/>
      <w:bookmarkEnd w:id="103"/>
    </w:p>
    <w:p w:rsidR="008A19DB" w:rsidRDefault="00E56B6B">
      <w:pPr>
        <w:rPr>
          <w:noProof/>
        </w:rPr>
      </w:pPr>
      <w:r>
        <w:rPr>
          <w:noProof/>
        </w:rPr>
        <w:t>Capacity buildi</w:t>
      </w:r>
      <w:r>
        <w:rPr>
          <w:noProof/>
        </w:rPr>
        <w:t>ng should be an integral element of support for all Protocol-related activities, including adaptation planning, reporting obligations, emissions inventories, technology transfer, and mitigation projects. This should, therefore, be provided through the inst</w:t>
      </w:r>
      <w:r>
        <w:rPr>
          <w:noProof/>
        </w:rPr>
        <w:t>itutions responsible for supporting activities in these areas, and must be tailored to country needs.</w:t>
      </w:r>
    </w:p>
    <w:p w:rsidR="008A19DB" w:rsidRDefault="00E56B6B">
      <w:pPr>
        <w:rPr>
          <w:noProof/>
        </w:rPr>
      </w:pPr>
      <w:r>
        <w:rPr>
          <w:noProof/>
        </w:rPr>
        <w:t>The existing arrangements under the Convention could be strengthened,</w:t>
      </w:r>
      <w:r>
        <w:rPr>
          <w:noProof/>
          <w:color w:val="000000"/>
        </w:rPr>
        <w:t xml:space="preserve"> although t</w:t>
      </w:r>
      <w:r>
        <w:rPr>
          <w:noProof/>
        </w:rPr>
        <w:t>he Durban Forum on Capacity Building will remain the appropriate space for</w:t>
      </w:r>
      <w:r>
        <w:rPr>
          <w:noProof/>
        </w:rPr>
        <w:t xml:space="preserve"> discussions on this topic. The EU is actively integrating capacity building in its support to climate action in developing countries, including in relation to mitigation commitments.</w:t>
      </w:r>
    </w:p>
    <w:p w:rsidR="008A19DB" w:rsidRDefault="00E56B6B">
      <w:pPr>
        <w:rPr>
          <w:noProof/>
        </w:rPr>
      </w:pPr>
      <w:r>
        <w:rPr>
          <w:noProof/>
        </w:rPr>
        <w:t>The Paris conference should agree to assist those countries that need as</w:t>
      </w:r>
      <w:r>
        <w:rPr>
          <w:noProof/>
        </w:rPr>
        <w:t>sistance to set up emission inventories, monitoring, reporting and verification systems, and to develop low emission and climate-resilient development strategies with the right incentive structures.</w:t>
      </w:r>
    </w:p>
    <w:p w:rsidR="008A19DB" w:rsidRDefault="00E56B6B">
      <w:pPr>
        <w:pStyle w:val="ManualHeading1"/>
        <w:rPr>
          <w:noProof/>
        </w:rPr>
      </w:pPr>
      <w:bookmarkStart w:id="104" w:name="_Toc409641562"/>
      <w:bookmarkStart w:id="105" w:name="_Toc412454738"/>
      <w:bookmarkStart w:id="106" w:name="_Toc408492797"/>
      <w:r>
        <w:rPr>
          <w:noProof/>
        </w:rPr>
        <w:t>8.</w:t>
      </w:r>
      <w:r>
        <w:rPr>
          <w:noProof/>
        </w:rPr>
        <w:tab/>
        <w:t>Mobilising other EU policies</w:t>
      </w:r>
      <w:bookmarkEnd w:id="104"/>
      <w:bookmarkEnd w:id="105"/>
    </w:p>
    <w:p w:rsidR="008A19DB" w:rsidRDefault="00E56B6B">
      <w:pPr>
        <w:rPr>
          <w:noProof/>
        </w:rPr>
      </w:pPr>
      <w:r>
        <w:rPr>
          <w:noProof/>
        </w:rPr>
        <w:t>In the coming months, the</w:t>
      </w:r>
      <w:r>
        <w:rPr>
          <w:noProof/>
        </w:rPr>
        <w:t xml:space="preserve"> EU will step up its climate diplomacy ahead of the Paris conference. EU Foreign Ministers have endorsed a Climate Diplomacy Action Plan which was jointly developed by the European External Action Service and the Commission. </w:t>
      </w:r>
    </w:p>
    <w:p w:rsidR="008A19DB" w:rsidRDefault="00E56B6B">
      <w:pPr>
        <w:rPr>
          <w:noProof/>
        </w:rPr>
      </w:pPr>
      <w:r>
        <w:rPr>
          <w:noProof/>
        </w:rPr>
        <w:br w:type="page"/>
      </w:r>
    </w:p>
    <w:p w:rsidR="008A19DB" w:rsidRDefault="00E56B6B">
      <w:pPr>
        <w:rPr>
          <w:noProof/>
          <w:lang w:val="en"/>
        </w:rPr>
      </w:pPr>
      <w:r>
        <w:rPr>
          <w:noProof/>
          <w:lang w:val="en"/>
        </w:rPr>
        <w:t>It includes the following ac</w:t>
      </w:r>
      <w:r>
        <w:rPr>
          <w:noProof/>
          <w:lang w:val="en"/>
        </w:rPr>
        <w:t>tions:</w:t>
      </w:r>
    </w:p>
    <w:p w:rsidR="008A19DB" w:rsidRDefault="00E56B6B">
      <w:pPr>
        <w:numPr>
          <w:ilvl w:val="0"/>
          <w:numId w:val="44"/>
        </w:numPr>
        <w:rPr>
          <w:noProof/>
          <w:lang w:val="en"/>
        </w:rPr>
      </w:pPr>
      <w:r>
        <w:rPr>
          <w:noProof/>
          <w:lang w:val="en"/>
        </w:rPr>
        <w:t>raising climate change as a strategic priority in political dialogues, including at G7 and G20 meetings and the UN General Assembly;</w:t>
      </w:r>
    </w:p>
    <w:p w:rsidR="008A19DB" w:rsidRDefault="00E56B6B">
      <w:pPr>
        <w:numPr>
          <w:ilvl w:val="0"/>
          <w:numId w:val="44"/>
        </w:numPr>
        <w:rPr>
          <w:noProof/>
          <w:lang w:val="en"/>
        </w:rPr>
      </w:pPr>
      <w:r>
        <w:rPr>
          <w:noProof/>
          <w:lang w:val="en"/>
        </w:rPr>
        <w:t>supporting low-emission and climate and disaster resilient development through EU development cooperation; and</w:t>
      </w:r>
    </w:p>
    <w:p w:rsidR="008A19DB" w:rsidRDefault="00E56B6B">
      <w:pPr>
        <w:numPr>
          <w:ilvl w:val="0"/>
          <w:numId w:val="44"/>
        </w:numPr>
        <w:rPr>
          <w:noProof/>
          <w:lang w:val="en"/>
        </w:rPr>
      </w:pPr>
      <w:r>
        <w:rPr>
          <w:noProof/>
          <w:lang w:val="en"/>
        </w:rPr>
        <w:t>linki</w:t>
      </w:r>
      <w:r>
        <w:rPr>
          <w:noProof/>
          <w:lang w:val="en"/>
        </w:rPr>
        <w:t>ng climate change with its potential long-term consequences, including security challenges.</w:t>
      </w:r>
    </w:p>
    <w:p w:rsidR="008A19DB" w:rsidRDefault="00E56B6B">
      <w:pPr>
        <w:rPr>
          <w:noProof/>
          <w:lang w:val="en"/>
        </w:rPr>
      </w:pPr>
      <w:r>
        <w:rPr>
          <w:noProof/>
        </w:rPr>
        <w:t>In addition, other EU policies can actively support the EU’s objectives in the international negotiation process and the implementation of the Protocol in partner c</w:t>
      </w:r>
      <w:r>
        <w:rPr>
          <w:noProof/>
        </w:rPr>
        <w:t xml:space="preserve">ountries. </w:t>
      </w:r>
      <w:r>
        <w:rPr>
          <w:noProof/>
          <w:lang w:val="en"/>
        </w:rPr>
        <w:t>They can assist partner countries in the preparatory phase of the Protocol and later when implementing it. These include:</w:t>
      </w:r>
    </w:p>
    <w:p w:rsidR="008A19DB" w:rsidRDefault="00E56B6B">
      <w:pPr>
        <w:numPr>
          <w:ilvl w:val="0"/>
          <w:numId w:val="45"/>
        </w:numPr>
        <w:rPr>
          <w:noProof/>
        </w:rPr>
      </w:pPr>
      <w:r>
        <w:rPr>
          <w:noProof/>
        </w:rPr>
        <w:t>Economic and development cooperation. The EU and its Member States are already the leading providers of official development</w:t>
      </w:r>
      <w:r>
        <w:rPr>
          <w:noProof/>
        </w:rPr>
        <w:t xml:space="preserve"> assistance and climate finance to developing countries. The EU delivered more than €9.5 billion of climate finance in 2013. The EU should continue to mainstream climate objectives into its economic and development cooperation. To this end, </w:t>
      </w:r>
      <w:r>
        <w:rPr>
          <w:noProof/>
          <w:lang w:val="en"/>
        </w:rPr>
        <w:t xml:space="preserve">for the period </w:t>
      </w:r>
      <w:r>
        <w:rPr>
          <w:noProof/>
          <w:lang w:val="en"/>
        </w:rPr>
        <w:t xml:space="preserve">2014-20 it has already been agreed that at least 20% of the EU development assistance will have to be climate-relevant which is in the order of </w:t>
      </w:r>
      <w:r>
        <w:rPr>
          <w:noProof/>
        </w:rPr>
        <w:t>€14 billion. Member States should also set clear mainstreaming objectives. Further, the EU and its Member States</w:t>
      </w:r>
      <w:r>
        <w:rPr>
          <w:noProof/>
        </w:rPr>
        <w:t xml:space="preserve"> should step up coordination on global climate finance to enhance impact and efficiency in delivery.</w:t>
      </w:r>
    </w:p>
    <w:p w:rsidR="008A19DB" w:rsidRDefault="00E56B6B">
      <w:pPr>
        <w:numPr>
          <w:ilvl w:val="0"/>
          <w:numId w:val="45"/>
        </w:numPr>
        <w:rPr>
          <w:noProof/>
        </w:rPr>
      </w:pPr>
      <w:r>
        <w:rPr>
          <w:noProof/>
        </w:rPr>
        <w:t>Scientific research, technology development and innovation policy. The EU will take better advantage of the fact that its research and innovation framework</w:t>
      </w:r>
      <w:r>
        <w:rPr>
          <w:noProof/>
        </w:rPr>
        <w:t xml:space="preserve"> programme Horizon 2020 is fully open to third countries' participation and provides financial support to less developed countries. The EU will promote awareness of its commitment to invest under this programme at least €28 billion for climate related acti</w:t>
      </w:r>
      <w:r>
        <w:rPr>
          <w:noProof/>
        </w:rPr>
        <w:t>ons. A proportion of which will allow broad international collaboration to bring climate technologies to the markets, to educate scientists and entrepreneurs, and contributes to climate diplomacy goals.</w:t>
      </w:r>
    </w:p>
    <w:p w:rsidR="008A19DB" w:rsidRDefault="00E56B6B">
      <w:pPr>
        <w:numPr>
          <w:ilvl w:val="0"/>
          <w:numId w:val="45"/>
        </w:numPr>
        <w:rPr>
          <w:noProof/>
        </w:rPr>
      </w:pPr>
      <w:r>
        <w:rPr>
          <w:noProof/>
        </w:rPr>
        <w:t xml:space="preserve">Trade policy. </w:t>
      </w:r>
      <w:r>
        <w:rPr>
          <w:noProof/>
        </w:rPr>
        <w:tab/>
        <w:t xml:space="preserve">In its bilateral trade agreements the </w:t>
      </w:r>
      <w:r>
        <w:rPr>
          <w:noProof/>
        </w:rPr>
        <w:t xml:space="preserve">EU and its free trade partners commit to promote climate goals and effectively implement the UNFCCC, including through regular structured dialogues and cooperation on climate and trade issues. Under the GSP+ scheme the EU offers increased market access to </w:t>
      </w:r>
      <w:r>
        <w:rPr>
          <w:noProof/>
        </w:rPr>
        <w:t>developing countries that have ratified and effectively implement intentional conventions including on climate change. In the WTO, the EU is working with its trade partners towards the conclusion of a significant international agreement with respect to the</w:t>
      </w:r>
      <w:r>
        <w:rPr>
          <w:noProof/>
        </w:rPr>
        <w:t xml:space="preserve"> liberalisation of trade in environmental goods and services before the end of 2015, in order to increase the dissemination and uptake of climate-friendly technologies.</w:t>
      </w:r>
    </w:p>
    <w:p w:rsidR="008A19DB" w:rsidRDefault="00E56B6B">
      <w:pPr>
        <w:numPr>
          <w:ilvl w:val="0"/>
          <w:numId w:val="45"/>
        </w:numPr>
        <w:rPr>
          <w:noProof/>
        </w:rPr>
      </w:pPr>
      <w:r>
        <w:rPr>
          <w:noProof/>
        </w:rPr>
        <w:t>Environmental policy. Implementing the EU's commitments under the Global Strategic plan</w:t>
      </w:r>
      <w:r>
        <w:rPr>
          <w:noProof/>
        </w:rPr>
        <w:t xml:space="preserve"> for biodiversity, as endorsed by the EU biodiversity strategy, will be critical to addressing climate change while generating social, economic and cultural co-benefits.</w:t>
      </w:r>
    </w:p>
    <w:p w:rsidR="008A19DB" w:rsidRDefault="00E56B6B">
      <w:pPr>
        <w:numPr>
          <w:ilvl w:val="0"/>
          <w:numId w:val="45"/>
        </w:numPr>
        <w:rPr>
          <w:noProof/>
        </w:rPr>
      </w:pPr>
      <w:r>
        <w:rPr>
          <w:noProof/>
        </w:rPr>
        <w:t>Disaster risk reduction. EU cooperation on disaster risk management</w:t>
      </w:r>
      <w:r>
        <w:rPr>
          <w:rStyle w:val="FootnoteReference"/>
          <w:noProof/>
        </w:rPr>
        <w:footnoteReference w:id="5"/>
      </w:r>
      <w:r>
        <w:rPr>
          <w:noProof/>
        </w:rPr>
        <w:t xml:space="preserve"> which includes de</w:t>
      </w:r>
      <w:r>
        <w:rPr>
          <w:noProof/>
        </w:rPr>
        <w:t>veloping national risk assessments also addressing climate impacts and enhanced risk management capabilities contributes to strengthening climate adaptation.</w:t>
      </w:r>
    </w:p>
    <w:p w:rsidR="008A19DB" w:rsidRDefault="00E56B6B">
      <w:pPr>
        <w:pStyle w:val="ManualHeading1"/>
        <w:rPr>
          <w:noProof/>
        </w:rPr>
      </w:pPr>
      <w:bookmarkStart w:id="107" w:name="_Toc409641563"/>
      <w:bookmarkStart w:id="108" w:name="_Toc412454739"/>
      <w:r>
        <w:rPr>
          <w:noProof/>
        </w:rPr>
        <w:t>9.</w:t>
      </w:r>
      <w:r>
        <w:rPr>
          <w:noProof/>
        </w:rPr>
        <w:tab/>
        <w:t xml:space="preserve">Next </w:t>
      </w:r>
      <w:bookmarkEnd w:id="106"/>
      <w:bookmarkEnd w:id="107"/>
      <w:r>
        <w:rPr>
          <w:noProof/>
        </w:rPr>
        <w:t>steps</w:t>
      </w:r>
      <w:bookmarkEnd w:id="108"/>
    </w:p>
    <w:p w:rsidR="008A19DB" w:rsidRDefault="00E56B6B">
      <w:pPr>
        <w:rPr>
          <w:noProof/>
        </w:rPr>
      </w:pPr>
      <w:r>
        <w:rPr>
          <w:noProof/>
        </w:rPr>
        <w:t>The EU needs to:</w:t>
      </w:r>
    </w:p>
    <w:p w:rsidR="008A19DB" w:rsidRDefault="00E56B6B">
      <w:pPr>
        <w:numPr>
          <w:ilvl w:val="0"/>
          <w:numId w:val="38"/>
        </w:numPr>
        <w:rPr>
          <w:noProof/>
        </w:rPr>
      </w:pPr>
      <w:r>
        <w:rPr>
          <w:noProof/>
        </w:rPr>
        <w:t>submit its own INDC by the end of the first quarter 2015;</w:t>
      </w:r>
    </w:p>
    <w:p w:rsidR="008A19DB" w:rsidRDefault="00E56B6B">
      <w:pPr>
        <w:numPr>
          <w:ilvl w:val="0"/>
          <w:numId w:val="38"/>
        </w:numPr>
        <w:rPr>
          <w:noProof/>
        </w:rPr>
      </w:pPr>
      <w:r>
        <w:rPr>
          <w:noProof/>
        </w:rPr>
        <w:t xml:space="preserve">encourage major economies to take the lead through timely and ambitious INDCs particularly in the context of the Major Economies Forum, the G20, and the G7; </w:t>
      </w:r>
    </w:p>
    <w:p w:rsidR="008A19DB" w:rsidRDefault="00E56B6B">
      <w:pPr>
        <w:numPr>
          <w:ilvl w:val="0"/>
          <w:numId w:val="38"/>
        </w:numPr>
        <w:rPr>
          <w:noProof/>
        </w:rPr>
      </w:pPr>
      <w:r>
        <w:rPr>
          <w:noProof/>
        </w:rPr>
        <w:t>encourage and support as appropriate the preparation of ambitious INDCs by as many Parties as poss</w:t>
      </w:r>
      <w:r>
        <w:rPr>
          <w:noProof/>
        </w:rPr>
        <w:t>ible;</w:t>
      </w:r>
    </w:p>
    <w:p w:rsidR="008A19DB" w:rsidRDefault="00E56B6B">
      <w:pPr>
        <w:numPr>
          <w:ilvl w:val="0"/>
          <w:numId w:val="38"/>
        </w:numPr>
        <w:rPr>
          <w:noProof/>
        </w:rPr>
      </w:pPr>
      <w:r>
        <w:rPr>
          <w:noProof/>
        </w:rPr>
        <w:t>make the promotion of ambitious global climate action a central priority of its diplomatic relations and dialogue with partner countries;</w:t>
      </w:r>
    </w:p>
    <w:p w:rsidR="008A19DB" w:rsidRDefault="00E56B6B">
      <w:pPr>
        <w:numPr>
          <w:ilvl w:val="0"/>
          <w:numId w:val="38"/>
        </w:numPr>
        <w:rPr>
          <w:noProof/>
        </w:rPr>
      </w:pPr>
      <w:r>
        <w:rPr>
          <w:noProof/>
        </w:rPr>
        <w:t>promote, through the UNFCCC and other multilateral and bilateral discussions, the adoption of an ambitious, tran</w:t>
      </w:r>
      <w:r>
        <w:rPr>
          <w:noProof/>
        </w:rPr>
        <w:t>sparent and dynamic Protocol as described above;</w:t>
      </w:r>
    </w:p>
    <w:p w:rsidR="008A19DB" w:rsidRDefault="00E56B6B">
      <w:pPr>
        <w:numPr>
          <w:ilvl w:val="0"/>
          <w:numId w:val="38"/>
        </w:numPr>
        <w:rPr>
          <w:noProof/>
        </w:rPr>
      </w:pPr>
      <w:r>
        <w:rPr>
          <w:noProof/>
        </w:rPr>
        <w:t>demonstrate and ensure the stability and predictability of the financial support the EU collectively provides to its internatonal partners for low emissions and climate-resilient development;</w:t>
      </w:r>
    </w:p>
    <w:p w:rsidR="008A19DB" w:rsidRDefault="00E56B6B">
      <w:pPr>
        <w:numPr>
          <w:ilvl w:val="0"/>
          <w:numId w:val="38"/>
        </w:numPr>
        <w:rPr>
          <w:noProof/>
        </w:rPr>
      </w:pPr>
      <w:r>
        <w:rPr>
          <w:noProof/>
        </w:rPr>
        <w:t>press for the s</w:t>
      </w:r>
      <w:r>
        <w:rPr>
          <w:noProof/>
        </w:rPr>
        <w:t>wift liberalisation of trade in environmental goods and services before the end of 2015;</w:t>
      </w:r>
    </w:p>
    <w:p w:rsidR="008A19DB" w:rsidRDefault="00E56B6B">
      <w:pPr>
        <w:numPr>
          <w:ilvl w:val="0"/>
          <w:numId w:val="38"/>
        </w:numPr>
        <w:rPr>
          <w:noProof/>
        </w:rPr>
      </w:pPr>
      <w:r>
        <w:rPr>
          <w:noProof/>
        </w:rPr>
        <w:t xml:space="preserve">ensure that climate action is consistent with UN negotiations on Sustainable Development Goals and Sustainable Development Financing post-2015 and the post 2015 </w:t>
      </w:r>
      <w:r>
        <w:rPr>
          <w:noProof/>
        </w:rPr>
        <w:t>Framework for Disaster Risk Reduction; and</w:t>
      </w:r>
    </w:p>
    <w:p w:rsidR="008A19DB" w:rsidRDefault="00E56B6B">
      <w:pPr>
        <w:numPr>
          <w:ilvl w:val="0"/>
          <w:numId w:val="38"/>
        </w:numPr>
        <w:rPr>
          <w:noProof/>
        </w:rPr>
      </w:pPr>
      <w:r>
        <w:rPr>
          <w:noProof/>
        </w:rPr>
        <w:t>ensure the second commitment period of the Kyoto Protocol is ratified before the end of 2015 by the EU and its Member States and as many Parties as needed to ensure entry into force.</w:t>
      </w:r>
    </w:p>
    <w:p w:rsidR="008A19DB" w:rsidRDefault="00E56B6B">
      <w:pPr>
        <w:rPr>
          <w:noProof/>
        </w:rPr>
      </w:pPr>
      <w:r>
        <w:rPr>
          <w:noProof/>
        </w:rPr>
        <w:t>The Commission will organise a</w:t>
      </w:r>
      <w:r>
        <w:rPr>
          <w:noProof/>
        </w:rPr>
        <w:t>n international conference to improve mutual understanding of the range of INDCs and the adequacy of their collective ambition, and facilitate an open exchange of views prior to the Paris conference. This conference will aim to bring together partner count</w:t>
      </w:r>
      <w:r>
        <w:rPr>
          <w:noProof/>
        </w:rPr>
        <w:t xml:space="preserve">ries, key experts from academia, think-tanks and international organisations and will take place by November 2015. </w:t>
      </w:r>
    </w:p>
    <w:p w:rsidR="008A19DB" w:rsidRDefault="00E56B6B">
      <w:pPr>
        <w:rPr>
          <w:noProof/>
        </w:rPr>
      </w:pPr>
      <w:r>
        <w:rPr>
          <w:noProof/>
        </w:rPr>
        <w:t>By mid-2015 the Commission will also start to present legislative proposals to implement the 2030 climate and energy framework to the Europe</w:t>
      </w:r>
      <w:r>
        <w:rPr>
          <w:noProof/>
        </w:rPr>
        <w:t xml:space="preserve">an Parliament and the Council. </w:t>
      </w:r>
    </w:p>
    <w:p w:rsidR="008A19DB" w:rsidRDefault="00E56B6B">
      <w:pPr>
        <w:rPr>
          <w:noProof/>
        </w:rPr>
      </w:pPr>
      <w:r>
        <w:rPr>
          <w:noProof/>
        </w:rPr>
        <w:t>The Commission will continue to mainstream climate change action into its economic and development cooperation; take initiatives to work closer together with Member States in the delivery of climate relevant development fina</w:t>
      </w:r>
      <w:r>
        <w:rPr>
          <w:noProof/>
        </w:rPr>
        <w:t>nce; and take better advantage of the openness of its scientific research and innovation programmes to support its international partners, assisting them in preparing to carry out their commitments under the new Protocol.</w:t>
      </w:r>
    </w:p>
    <w:p w:rsidR="008A19DB" w:rsidRDefault="00E56B6B">
      <w:pPr>
        <w:rPr>
          <w:noProof/>
        </w:rPr>
      </w:pPr>
      <w:r>
        <w:rPr>
          <w:noProof/>
        </w:rPr>
        <w:t>The Commission invites the Europea</w:t>
      </w:r>
      <w:r>
        <w:rPr>
          <w:noProof/>
        </w:rPr>
        <w:t>n Parliament and the Council to endorse the proposed approach as soon as possible.</w:t>
      </w:r>
    </w:p>
    <w:p w:rsidR="008A19DB" w:rsidRDefault="00E56B6B">
      <w:pPr>
        <w:spacing w:after="240"/>
        <w:rPr>
          <w:noProof/>
        </w:rPr>
      </w:pPr>
      <w:r>
        <w:rPr>
          <w:b/>
          <w:noProof/>
        </w:rPr>
        <w:br w:type="page"/>
        <w:t>Table 1</w:t>
      </w:r>
      <w:r>
        <w:rPr>
          <w:noProof/>
        </w:rPr>
        <w:t xml:space="preserve">: </w:t>
      </w:r>
      <w:r>
        <w:rPr>
          <w:b/>
          <w:noProof/>
        </w:rPr>
        <w:t>The EU's proposed Intended Nationally Determined Contribution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725"/>
      </w:tblGrid>
      <w:tr w:rsidR="008A19DB">
        <w:tc>
          <w:tcPr>
            <w:tcW w:w="9243" w:type="dxa"/>
            <w:gridSpan w:val="2"/>
            <w:shd w:val="clear" w:color="auto" w:fill="DEEAF6"/>
          </w:tcPr>
          <w:p w:rsidR="008A19DB" w:rsidRDefault="00E56B6B">
            <w:pPr>
              <w:spacing w:after="0"/>
              <w:rPr>
                <w:b/>
                <w:noProof/>
              </w:rPr>
            </w:pPr>
            <w:r>
              <w:rPr>
                <w:b/>
                <w:noProof/>
              </w:rPr>
              <w:t>The Commitment</w:t>
            </w:r>
          </w:p>
        </w:tc>
      </w:tr>
      <w:tr w:rsidR="008A19DB">
        <w:tc>
          <w:tcPr>
            <w:tcW w:w="2518" w:type="dxa"/>
            <w:shd w:val="clear" w:color="auto" w:fill="auto"/>
          </w:tcPr>
          <w:p w:rsidR="008A19DB" w:rsidRDefault="00E56B6B">
            <w:pPr>
              <w:spacing w:after="0"/>
              <w:rPr>
                <w:b/>
                <w:noProof/>
                <w:sz w:val="20"/>
                <w:szCs w:val="20"/>
              </w:rPr>
            </w:pPr>
            <w:r>
              <w:rPr>
                <w:b/>
                <w:noProof/>
                <w:sz w:val="20"/>
                <w:szCs w:val="20"/>
              </w:rPr>
              <w:t>Type</w:t>
            </w:r>
          </w:p>
        </w:tc>
        <w:tc>
          <w:tcPr>
            <w:tcW w:w="6725" w:type="dxa"/>
            <w:shd w:val="clear" w:color="auto" w:fill="auto"/>
          </w:tcPr>
          <w:p w:rsidR="008A19DB" w:rsidRDefault="00E56B6B">
            <w:pPr>
              <w:spacing w:after="0"/>
              <w:rPr>
                <w:b/>
                <w:noProof/>
              </w:rPr>
            </w:pPr>
            <w:r>
              <w:rPr>
                <w:noProof/>
                <w:sz w:val="20"/>
                <w:szCs w:val="20"/>
              </w:rPr>
              <w:t>Absolute reduction from base year emissions.</w:t>
            </w:r>
          </w:p>
        </w:tc>
      </w:tr>
      <w:tr w:rsidR="008A19DB">
        <w:tc>
          <w:tcPr>
            <w:tcW w:w="2518" w:type="dxa"/>
            <w:shd w:val="clear" w:color="auto" w:fill="auto"/>
          </w:tcPr>
          <w:p w:rsidR="008A19DB" w:rsidRDefault="00E56B6B">
            <w:pPr>
              <w:spacing w:after="0"/>
              <w:rPr>
                <w:b/>
                <w:noProof/>
                <w:sz w:val="20"/>
                <w:szCs w:val="20"/>
              </w:rPr>
            </w:pPr>
            <w:r>
              <w:rPr>
                <w:b/>
                <w:noProof/>
                <w:sz w:val="20"/>
                <w:szCs w:val="20"/>
              </w:rPr>
              <w:t>Coverage</w:t>
            </w:r>
          </w:p>
        </w:tc>
        <w:tc>
          <w:tcPr>
            <w:tcW w:w="6725" w:type="dxa"/>
            <w:shd w:val="clear" w:color="auto" w:fill="auto"/>
          </w:tcPr>
          <w:p w:rsidR="008A19DB" w:rsidRDefault="00E56B6B">
            <w:pPr>
              <w:spacing w:after="0"/>
              <w:rPr>
                <w:b/>
                <w:noProof/>
              </w:rPr>
            </w:pPr>
            <w:r>
              <w:rPr>
                <w:noProof/>
                <w:sz w:val="20"/>
                <w:szCs w:val="20"/>
              </w:rPr>
              <w:t>Economy Wide.</w:t>
            </w:r>
          </w:p>
        </w:tc>
      </w:tr>
      <w:tr w:rsidR="008A19DB">
        <w:tc>
          <w:tcPr>
            <w:tcW w:w="2518" w:type="dxa"/>
            <w:shd w:val="clear" w:color="auto" w:fill="auto"/>
          </w:tcPr>
          <w:p w:rsidR="008A19DB" w:rsidRDefault="00E56B6B">
            <w:pPr>
              <w:spacing w:after="0"/>
              <w:rPr>
                <w:b/>
                <w:noProof/>
                <w:sz w:val="20"/>
                <w:szCs w:val="20"/>
              </w:rPr>
            </w:pPr>
            <w:r>
              <w:rPr>
                <w:b/>
                <w:noProof/>
                <w:sz w:val="20"/>
                <w:szCs w:val="20"/>
              </w:rPr>
              <w:t>Scope</w:t>
            </w:r>
          </w:p>
        </w:tc>
        <w:tc>
          <w:tcPr>
            <w:tcW w:w="6725" w:type="dxa"/>
            <w:shd w:val="clear" w:color="auto" w:fill="auto"/>
          </w:tcPr>
          <w:p w:rsidR="008A19DB" w:rsidRDefault="00E56B6B">
            <w:pPr>
              <w:spacing w:after="0"/>
              <w:rPr>
                <w:noProof/>
                <w:sz w:val="20"/>
                <w:szCs w:val="20"/>
              </w:rPr>
            </w:pPr>
            <w:r>
              <w:rPr>
                <w:noProof/>
                <w:sz w:val="20"/>
                <w:szCs w:val="20"/>
              </w:rPr>
              <w:t xml:space="preserve">All </w:t>
            </w:r>
            <w:r>
              <w:rPr>
                <w:noProof/>
                <w:sz w:val="20"/>
                <w:szCs w:val="20"/>
              </w:rPr>
              <w:t>greenhouse gases not controlled by the Montreal Protocol: Carbon Dioxide (CO</w:t>
            </w:r>
            <w:r>
              <w:rPr>
                <w:noProof/>
                <w:sz w:val="20"/>
                <w:szCs w:val="20"/>
                <w:vertAlign w:val="subscript"/>
              </w:rPr>
              <w:t>2</w:t>
            </w:r>
            <w:r>
              <w:rPr>
                <w:noProof/>
                <w:sz w:val="20"/>
                <w:szCs w:val="20"/>
              </w:rPr>
              <w:t>)</w:t>
            </w:r>
          </w:p>
          <w:p w:rsidR="008A19DB" w:rsidRDefault="00E56B6B">
            <w:pPr>
              <w:pStyle w:val="ListParagraph"/>
              <w:numPr>
                <w:ilvl w:val="0"/>
                <w:numId w:val="41"/>
              </w:numPr>
              <w:rPr>
                <w:rFonts w:cs="Calibri"/>
                <w:noProof/>
                <w:sz w:val="20"/>
                <w:szCs w:val="20"/>
                <w:lang w:val="en-GB" w:eastAsia="en-GB"/>
              </w:rPr>
            </w:pPr>
            <w:r>
              <w:rPr>
                <w:rFonts w:cs="Calibri"/>
                <w:noProof/>
                <w:sz w:val="20"/>
                <w:szCs w:val="20"/>
                <w:lang w:val="en-GB" w:eastAsia="en-GB"/>
              </w:rPr>
              <w:t>Methane (CH</w:t>
            </w:r>
            <w:r>
              <w:rPr>
                <w:rFonts w:cs="Calibri"/>
                <w:noProof/>
                <w:sz w:val="20"/>
                <w:szCs w:val="20"/>
                <w:vertAlign w:val="subscript"/>
                <w:lang w:val="en-GB" w:eastAsia="en-GB"/>
              </w:rPr>
              <w:t>4</w:t>
            </w:r>
            <w:r>
              <w:rPr>
                <w:rFonts w:cs="Calibri"/>
                <w:noProof/>
                <w:sz w:val="20"/>
                <w:szCs w:val="20"/>
                <w:lang w:val="en-GB" w:eastAsia="en-GB"/>
              </w:rPr>
              <w:t>)</w:t>
            </w:r>
          </w:p>
          <w:p w:rsidR="008A19DB" w:rsidRDefault="00E56B6B">
            <w:pPr>
              <w:pStyle w:val="ListParagraph"/>
              <w:numPr>
                <w:ilvl w:val="0"/>
                <w:numId w:val="41"/>
              </w:numPr>
              <w:rPr>
                <w:rFonts w:cs="Calibri"/>
                <w:noProof/>
                <w:sz w:val="20"/>
                <w:szCs w:val="20"/>
                <w:lang w:val="en-GB" w:eastAsia="en-GB"/>
              </w:rPr>
            </w:pPr>
            <w:r>
              <w:rPr>
                <w:rFonts w:cs="Calibri"/>
                <w:noProof/>
                <w:sz w:val="20"/>
                <w:szCs w:val="20"/>
                <w:lang w:val="en-GB" w:eastAsia="en-GB"/>
              </w:rPr>
              <w:t>Nitrous Oxide (N</w:t>
            </w:r>
            <w:r>
              <w:rPr>
                <w:rFonts w:cs="Calibri"/>
                <w:noProof/>
                <w:sz w:val="20"/>
                <w:szCs w:val="20"/>
                <w:vertAlign w:val="subscript"/>
                <w:lang w:val="en-GB" w:eastAsia="en-GB"/>
              </w:rPr>
              <w:t>2</w:t>
            </w:r>
            <w:r>
              <w:rPr>
                <w:rFonts w:cs="Calibri"/>
                <w:noProof/>
                <w:sz w:val="20"/>
                <w:szCs w:val="20"/>
                <w:lang w:val="en-GB" w:eastAsia="en-GB"/>
              </w:rPr>
              <w:t>O)</w:t>
            </w:r>
          </w:p>
          <w:p w:rsidR="008A19DB" w:rsidRDefault="00E56B6B">
            <w:pPr>
              <w:pStyle w:val="ListParagraph"/>
              <w:numPr>
                <w:ilvl w:val="0"/>
                <w:numId w:val="41"/>
              </w:numPr>
              <w:rPr>
                <w:rFonts w:cs="Calibri"/>
                <w:noProof/>
                <w:sz w:val="20"/>
                <w:szCs w:val="20"/>
                <w:lang w:val="en-GB" w:eastAsia="en-GB"/>
              </w:rPr>
            </w:pPr>
            <w:r>
              <w:rPr>
                <w:rFonts w:cs="Calibri"/>
                <w:noProof/>
                <w:sz w:val="20"/>
                <w:szCs w:val="20"/>
                <w:lang w:val="en-GB" w:eastAsia="en-GB"/>
              </w:rPr>
              <w:t>Hydrofluorocarbons (HFCs)</w:t>
            </w:r>
          </w:p>
          <w:p w:rsidR="008A19DB" w:rsidRDefault="00E56B6B">
            <w:pPr>
              <w:pStyle w:val="ListParagraph"/>
              <w:numPr>
                <w:ilvl w:val="0"/>
                <w:numId w:val="41"/>
              </w:numPr>
              <w:rPr>
                <w:rFonts w:cs="Calibri"/>
                <w:noProof/>
                <w:sz w:val="20"/>
                <w:szCs w:val="20"/>
                <w:lang w:val="en-GB" w:eastAsia="en-GB"/>
              </w:rPr>
            </w:pPr>
            <w:r>
              <w:rPr>
                <w:rFonts w:cs="Calibri"/>
                <w:noProof/>
                <w:sz w:val="20"/>
                <w:szCs w:val="20"/>
                <w:lang w:val="en-GB" w:eastAsia="en-GB"/>
              </w:rPr>
              <w:t>Perfluorocarbons (PFCs)</w:t>
            </w:r>
          </w:p>
          <w:p w:rsidR="008A19DB" w:rsidRDefault="00E56B6B">
            <w:pPr>
              <w:pStyle w:val="ListParagraph"/>
              <w:numPr>
                <w:ilvl w:val="0"/>
                <w:numId w:val="41"/>
              </w:numPr>
              <w:rPr>
                <w:rFonts w:cs="Calibri"/>
                <w:noProof/>
                <w:sz w:val="20"/>
                <w:szCs w:val="20"/>
                <w:lang w:val="en-GB" w:eastAsia="en-GB"/>
              </w:rPr>
            </w:pPr>
            <w:r>
              <w:rPr>
                <w:rFonts w:cs="Calibri"/>
                <w:noProof/>
                <w:sz w:val="20"/>
                <w:szCs w:val="20"/>
                <w:lang w:val="en-GB" w:eastAsia="en-GB"/>
              </w:rPr>
              <w:t>Sulphur hexafluoride (SF</w:t>
            </w:r>
            <w:r>
              <w:rPr>
                <w:rFonts w:cs="Calibri"/>
                <w:noProof/>
                <w:sz w:val="20"/>
                <w:szCs w:val="20"/>
                <w:vertAlign w:val="subscript"/>
                <w:lang w:val="en-GB" w:eastAsia="en-GB"/>
              </w:rPr>
              <w:t>6</w:t>
            </w:r>
            <w:r>
              <w:rPr>
                <w:rFonts w:cs="Calibri"/>
                <w:noProof/>
                <w:sz w:val="20"/>
                <w:szCs w:val="20"/>
                <w:lang w:val="en-GB" w:eastAsia="en-GB"/>
              </w:rPr>
              <w:t>)</w:t>
            </w:r>
          </w:p>
          <w:p w:rsidR="008A19DB" w:rsidRDefault="00E56B6B">
            <w:pPr>
              <w:pStyle w:val="ListParagraph"/>
              <w:numPr>
                <w:ilvl w:val="0"/>
                <w:numId w:val="41"/>
              </w:numPr>
              <w:rPr>
                <w:rFonts w:cs="Calibri"/>
                <w:noProof/>
                <w:sz w:val="20"/>
                <w:szCs w:val="20"/>
                <w:lang w:val="en-GB" w:eastAsia="en-GB"/>
              </w:rPr>
            </w:pPr>
            <w:r>
              <w:rPr>
                <w:rFonts w:cs="Calibri"/>
                <w:noProof/>
                <w:sz w:val="20"/>
                <w:szCs w:val="20"/>
                <w:lang w:val="en-GB" w:eastAsia="en-GB"/>
              </w:rPr>
              <w:t>Nitrogen trifluoride (NF3)</w:t>
            </w:r>
          </w:p>
        </w:tc>
      </w:tr>
      <w:tr w:rsidR="008A19DB">
        <w:tc>
          <w:tcPr>
            <w:tcW w:w="2518" w:type="dxa"/>
            <w:shd w:val="clear" w:color="auto" w:fill="auto"/>
          </w:tcPr>
          <w:p w:rsidR="008A19DB" w:rsidRDefault="00E56B6B">
            <w:pPr>
              <w:spacing w:after="0"/>
              <w:rPr>
                <w:b/>
                <w:noProof/>
                <w:sz w:val="20"/>
                <w:szCs w:val="20"/>
              </w:rPr>
            </w:pPr>
            <w:r>
              <w:rPr>
                <w:b/>
                <w:noProof/>
                <w:sz w:val="20"/>
                <w:szCs w:val="20"/>
              </w:rPr>
              <w:t>Base Year</w:t>
            </w:r>
          </w:p>
        </w:tc>
        <w:tc>
          <w:tcPr>
            <w:tcW w:w="6725" w:type="dxa"/>
            <w:shd w:val="clear" w:color="auto" w:fill="auto"/>
          </w:tcPr>
          <w:p w:rsidR="008A19DB" w:rsidRDefault="00E56B6B">
            <w:pPr>
              <w:spacing w:after="0"/>
              <w:rPr>
                <w:b/>
                <w:noProof/>
              </w:rPr>
            </w:pPr>
            <w:r>
              <w:rPr>
                <w:noProof/>
                <w:sz w:val="20"/>
                <w:szCs w:val="20"/>
              </w:rPr>
              <w:t>1990.</w:t>
            </w:r>
          </w:p>
        </w:tc>
      </w:tr>
      <w:tr w:rsidR="008A19DB">
        <w:tc>
          <w:tcPr>
            <w:tcW w:w="2518" w:type="dxa"/>
            <w:shd w:val="clear" w:color="auto" w:fill="auto"/>
          </w:tcPr>
          <w:p w:rsidR="008A19DB" w:rsidRDefault="00E56B6B">
            <w:pPr>
              <w:spacing w:after="0"/>
              <w:rPr>
                <w:b/>
                <w:noProof/>
                <w:sz w:val="20"/>
                <w:szCs w:val="20"/>
              </w:rPr>
            </w:pPr>
            <w:r>
              <w:rPr>
                <w:b/>
                <w:noProof/>
                <w:sz w:val="20"/>
                <w:szCs w:val="20"/>
              </w:rPr>
              <w:t>Period</w:t>
            </w:r>
          </w:p>
        </w:tc>
        <w:tc>
          <w:tcPr>
            <w:tcW w:w="6725" w:type="dxa"/>
            <w:shd w:val="clear" w:color="auto" w:fill="auto"/>
          </w:tcPr>
          <w:p w:rsidR="008A19DB" w:rsidRDefault="00E56B6B">
            <w:pPr>
              <w:spacing w:after="0"/>
              <w:rPr>
                <w:b/>
                <w:noProof/>
              </w:rPr>
            </w:pPr>
            <w:r>
              <w:rPr>
                <w:noProof/>
                <w:sz w:val="20"/>
                <w:szCs w:val="20"/>
              </w:rPr>
              <w:t xml:space="preserve">2021-2030 </w:t>
            </w:r>
            <w:r>
              <w:rPr>
                <w:noProof/>
                <w:sz w:val="20"/>
                <w:szCs w:val="20"/>
              </w:rPr>
              <w:t>inclusive.</w:t>
            </w:r>
          </w:p>
        </w:tc>
      </w:tr>
      <w:tr w:rsidR="008A19DB">
        <w:tc>
          <w:tcPr>
            <w:tcW w:w="2518" w:type="dxa"/>
            <w:shd w:val="clear" w:color="auto" w:fill="auto"/>
          </w:tcPr>
          <w:p w:rsidR="008A19DB" w:rsidRDefault="00E56B6B">
            <w:pPr>
              <w:spacing w:after="0"/>
              <w:rPr>
                <w:b/>
                <w:noProof/>
                <w:sz w:val="20"/>
                <w:szCs w:val="20"/>
              </w:rPr>
            </w:pPr>
            <w:r>
              <w:rPr>
                <w:b/>
                <w:noProof/>
                <w:sz w:val="20"/>
                <w:szCs w:val="20"/>
              </w:rPr>
              <w:t>Reduction Level</w:t>
            </w:r>
          </w:p>
        </w:tc>
        <w:tc>
          <w:tcPr>
            <w:tcW w:w="6725" w:type="dxa"/>
            <w:shd w:val="clear" w:color="auto" w:fill="auto"/>
          </w:tcPr>
          <w:p w:rsidR="008A19DB" w:rsidRDefault="00E56B6B">
            <w:pPr>
              <w:spacing w:after="0"/>
              <w:rPr>
                <w:b/>
                <w:noProof/>
              </w:rPr>
            </w:pPr>
            <w:r>
              <w:rPr>
                <w:noProof/>
                <w:sz w:val="20"/>
                <w:szCs w:val="20"/>
              </w:rPr>
              <w:t>Achieving at least 40% domestic reduction in emissions in 2030.</w:t>
            </w:r>
          </w:p>
        </w:tc>
      </w:tr>
      <w:tr w:rsidR="008A19DB">
        <w:tc>
          <w:tcPr>
            <w:tcW w:w="2518" w:type="dxa"/>
            <w:shd w:val="clear" w:color="auto" w:fill="auto"/>
          </w:tcPr>
          <w:p w:rsidR="008A19DB" w:rsidRDefault="00E56B6B">
            <w:pPr>
              <w:spacing w:after="0"/>
              <w:rPr>
                <w:b/>
                <w:noProof/>
                <w:sz w:val="20"/>
                <w:szCs w:val="20"/>
              </w:rPr>
            </w:pPr>
            <w:r>
              <w:rPr>
                <w:b/>
                <w:noProof/>
                <w:sz w:val="20"/>
                <w:szCs w:val="20"/>
              </w:rPr>
              <w:t>% of Emissions Covered</w:t>
            </w:r>
          </w:p>
        </w:tc>
        <w:tc>
          <w:tcPr>
            <w:tcW w:w="6725" w:type="dxa"/>
            <w:shd w:val="clear" w:color="auto" w:fill="auto"/>
          </w:tcPr>
          <w:p w:rsidR="008A19DB" w:rsidRDefault="00E56B6B">
            <w:pPr>
              <w:spacing w:after="0"/>
              <w:rPr>
                <w:b/>
                <w:noProof/>
              </w:rPr>
            </w:pPr>
            <w:r>
              <w:rPr>
                <w:noProof/>
                <w:sz w:val="20"/>
                <w:szCs w:val="20"/>
              </w:rPr>
              <w:t>100%.</w:t>
            </w:r>
          </w:p>
        </w:tc>
      </w:tr>
      <w:tr w:rsidR="008A19DB">
        <w:tc>
          <w:tcPr>
            <w:tcW w:w="2518" w:type="dxa"/>
            <w:shd w:val="clear" w:color="auto" w:fill="auto"/>
          </w:tcPr>
          <w:p w:rsidR="008A19DB" w:rsidRDefault="00E56B6B">
            <w:pPr>
              <w:spacing w:after="0"/>
              <w:rPr>
                <w:b/>
                <w:noProof/>
                <w:sz w:val="20"/>
                <w:szCs w:val="20"/>
              </w:rPr>
            </w:pPr>
            <w:r>
              <w:rPr>
                <w:b/>
                <w:noProof/>
                <w:sz w:val="20"/>
                <w:szCs w:val="20"/>
              </w:rPr>
              <w:t>Agriculture, forestry and other land uses included</w:t>
            </w:r>
          </w:p>
        </w:tc>
        <w:tc>
          <w:tcPr>
            <w:tcW w:w="6725" w:type="dxa"/>
            <w:shd w:val="clear" w:color="auto" w:fill="auto"/>
          </w:tcPr>
          <w:p w:rsidR="008A19DB" w:rsidRDefault="00E56B6B">
            <w:pPr>
              <w:spacing w:after="0"/>
              <w:rPr>
                <w:b/>
                <w:noProof/>
              </w:rPr>
            </w:pPr>
            <w:r>
              <w:rPr>
                <w:noProof/>
                <w:sz w:val="20"/>
                <w:szCs w:val="20"/>
              </w:rPr>
              <w:t>Yes.</w:t>
            </w:r>
          </w:p>
        </w:tc>
      </w:tr>
      <w:tr w:rsidR="008A19DB">
        <w:tc>
          <w:tcPr>
            <w:tcW w:w="2518" w:type="dxa"/>
            <w:shd w:val="clear" w:color="auto" w:fill="auto"/>
          </w:tcPr>
          <w:p w:rsidR="008A19DB" w:rsidRDefault="00E56B6B">
            <w:pPr>
              <w:spacing w:after="0"/>
              <w:rPr>
                <w:b/>
                <w:noProof/>
                <w:sz w:val="20"/>
                <w:szCs w:val="20"/>
              </w:rPr>
            </w:pPr>
            <w:r>
              <w:rPr>
                <w:b/>
                <w:noProof/>
                <w:sz w:val="20"/>
                <w:szCs w:val="20"/>
              </w:rPr>
              <w:t>Net Contribution of International Market Based Mechanisms</w:t>
            </w:r>
          </w:p>
        </w:tc>
        <w:tc>
          <w:tcPr>
            <w:tcW w:w="6725" w:type="dxa"/>
            <w:shd w:val="clear" w:color="auto" w:fill="auto"/>
          </w:tcPr>
          <w:p w:rsidR="008A19DB" w:rsidRDefault="00E56B6B">
            <w:pPr>
              <w:spacing w:after="0"/>
              <w:rPr>
                <w:b/>
                <w:noProof/>
              </w:rPr>
            </w:pPr>
            <w:r>
              <w:rPr>
                <w:noProof/>
                <w:sz w:val="20"/>
                <w:szCs w:val="20"/>
              </w:rPr>
              <w:t>No contribution fr</w:t>
            </w:r>
            <w:r>
              <w:rPr>
                <w:noProof/>
                <w:sz w:val="20"/>
                <w:szCs w:val="20"/>
              </w:rPr>
              <w:t>om international credits.</w:t>
            </w:r>
          </w:p>
        </w:tc>
      </w:tr>
      <w:tr w:rsidR="008A19DB">
        <w:tc>
          <w:tcPr>
            <w:tcW w:w="2518" w:type="dxa"/>
            <w:shd w:val="clear" w:color="auto" w:fill="auto"/>
          </w:tcPr>
          <w:p w:rsidR="008A19DB" w:rsidRDefault="00E56B6B">
            <w:pPr>
              <w:spacing w:after="0"/>
              <w:rPr>
                <w:b/>
                <w:noProof/>
                <w:sz w:val="20"/>
                <w:szCs w:val="20"/>
              </w:rPr>
            </w:pPr>
            <w:r>
              <w:rPr>
                <w:b/>
                <w:noProof/>
                <w:sz w:val="20"/>
                <w:szCs w:val="20"/>
              </w:rPr>
              <w:t>Planning Process</w:t>
            </w:r>
          </w:p>
        </w:tc>
        <w:tc>
          <w:tcPr>
            <w:tcW w:w="6725" w:type="dxa"/>
            <w:shd w:val="clear" w:color="auto" w:fill="auto"/>
          </w:tcPr>
          <w:p w:rsidR="008A19DB" w:rsidRDefault="00E56B6B">
            <w:pPr>
              <w:spacing w:after="0"/>
              <w:rPr>
                <w:noProof/>
                <w:sz w:val="20"/>
              </w:rPr>
            </w:pPr>
            <w:r>
              <w:rPr>
                <w:noProof/>
                <w:sz w:val="20"/>
                <w:szCs w:val="20"/>
              </w:rPr>
              <w:t>European Council on 23 and 24 October 2014 approving the 2030 Climate and Energy Policy Framework (EUCO 169/14). European Commission to prepare legislative proposals to implement the 2030 framework (Commission Wo</w:t>
            </w:r>
            <w:r>
              <w:rPr>
                <w:noProof/>
                <w:sz w:val="20"/>
                <w:szCs w:val="20"/>
              </w:rPr>
              <w:t>rk Programme 2015), including on land use, land use change and forestry.</w:t>
            </w:r>
          </w:p>
        </w:tc>
      </w:tr>
      <w:tr w:rsidR="008A19DB">
        <w:tc>
          <w:tcPr>
            <w:tcW w:w="2518" w:type="dxa"/>
            <w:tcBorders>
              <w:bottom w:val="single" w:sz="4" w:space="0" w:color="auto"/>
            </w:tcBorders>
            <w:shd w:val="clear" w:color="auto" w:fill="auto"/>
          </w:tcPr>
          <w:p w:rsidR="008A19DB" w:rsidRDefault="00E56B6B">
            <w:pPr>
              <w:spacing w:after="0"/>
              <w:rPr>
                <w:b/>
                <w:noProof/>
                <w:sz w:val="20"/>
                <w:szCs w:val="20"/>
              </w:rPr>
            </w:pPr>
            <w:r>
              <w:rPr>
                <w:b/>
                <w:noProof/>
                <w:sz w:val="20"/>
                <w:szCs w:val="20"/>
              </w:rPr>
              <w:t>Fair and ambitious</w:t>
            </w:r>
          </w:p>
        </w:tc>
        <w:tc>
          <w:tcPr>
            <w:tcW w:w="6725" w:type="dxa"/>
            <w:tcBorders>
              <w:bottom w:val="single" w:sz="4" w:space="0" w:color="auto"/>
            </w:tcBorders>
            <w:shd w:val="clear" w:color="auto" w:fill="auto"/>
          </w:tcPr>
          <w:p w:rsidR="008A19DB" w:rsidRDefault="00E56B6B">
            <w:pPr>
              <w:spacing w:after="0"/>
              <w:rPr>
                <w:noProof/>
                <w:sz w:val="20"/>
                <w:szCs w:val="20"/>
              </w:rPr>
            </w:pPr>
            <w:r>
              <w:rPr>
                <w:noProof/>
                <w:sz w:val="20"/>
                <w:szCs w:val="20"/>
              </w:rPr>
              <w:t>This commitment is in-line with EU policies to achieve a transition to a low emissions economy, allowing for a likely chance to meet the below 2</w:t>
            </w:r>
            <w:r>
              <w:rPr>
                <w:noProof/>
                <w:sz w:val="20"/>
                <w:szCs w:val="20"/>
              </w:rPr>
              <w:sym w:font="Symbol" w:char="F0B0"/>
            </w:r>
            <w:r>
              <w:rPr>
                <w:noProof/>
                <w:sz w:val="20"/>
                <w:szCs w:val="20"/>
              </w:rPr>
              <w:t>C objective. It pu</w:t>
            </w:r>
            <w:r>
              <w:rPr>
                <w:noProof/>
                <w:sz w:val="20"/>
                <w:szCs w:val="20"/>
              </w:rPr>
              <w:t>ts the EU on a cost effective pathway towards long term domestic emission reductions of 80%, consistent with the IPCC's assessment of the reductions required from developed countries as a group, to reduce emissions by 80-95% compared to 1990 levels by 2050</w:t>
            </w:r>
            <w:r>
              <w:rPr>
                <w:noProof/>
                <w:sz w:val="20"/>
                <w:szCs w:val="20"/>
              </w:rPr>
              <w:t>.</w:t>
            </w:r>
          </w:p>
          <w:p w:rsidR="008A19DB" w:rsidRDefault="00E56B6B">
            <w:pPr>
              <w:spacing w:after="0"/>
              <w:rPr>
                <w:b/>
                <w:noProof/>
              </w:rPr>
            </w:pPr>
            <w:r>
              <w:rPr>
                <w:noProof/>
                <w:sz w:val="20"/>
                <w:szCs w:val="20"/>
              </w:rPr>
              <w:t>The EU has already seen its emissions peak. According to the EDGAR database, emissions from the EU's 28 Member States peaked in 1979 at around 6.4Gt CO</w:t>
            </w:r>
            <w:r>
              <w:rPr>
                <w:noProof/>
                <w:sz w:val="20"/>
                <w:szCs w:val="20"/>
                <w:vertAlign w:val="subscript"/>
              </w:rPr>
              <w:t>2</w:t>
            </w:r>
            <w:r>
              <w:rPr>
                <w:noProof/>
                <w:sz w:val="20"/>
                <w:szCs w:val="20"/>
              </w:rPr>
              <w:t>equivalent.</w:t>
            </w:r>
          </w:p>
        </w:tc>
      </w:tr>
      <w:tr w:rsidR="008A19DB">
        <w:tc>
          <w:tcPr>
            <w:tcW w:w="9243" w:type="dxa"/>
            <w:gridSpan w:val="2"/>
            <w:shd w:val="clear" w:color="auto" w:fill="DEEAF6"/>
          </w:tcPr>
          <w:p w:rsidR="008A19DB" w:rsidRDefault="00E56B6B">
            <w:pPr>
              <w:spacing w:after="0"/>
              <w:rPr>
                <w:b/>
                <w:noProof/>
              </w:rPr>
            </w:pPr>
            <w:r>
              <w:rPr>
                <w:b/>
                <w:noProof/>
              </w:rPr>
              <w:t>Key Assumptions</w:t>
            </w:r>
          </w:p>
        </w:tc>
      </w:tr>
      <w:tr w:rsidR="008A19DB">
        <w:tc>
          <w:tcPr>
            <w:tcW w:w="2518" w:type="dxa"/>
            <w:shd w:val="clear" w:color="auto" w:fill="auto"/>
          </w:tcPr>
          <w:p w:rsidR="008A19DB" w:rsidRDefault="00E56B6B">
            <w:pPr>
              <w:spacing w:after="0"/>
              <w:rPr>
                <w:b/>
                <w:noProof/>
                <w:sz w:val="20"/>
                <w:szCs w:val="20"/>
              </w:rPr>
            </w:pPr>
            <w:r>
              <w:rPr>
                <w:b/>
                <w:noProof/>
                <w:sz w:val="20"/>
                <w:szCs w:val="20"/>
              </w:rPr>
              <w:t>Metric Applied</w:t>
            </w:r>
          </w:p>
        </w:tc>
        <w:tc>
          <w:tcPr>
            <w:tcW w:w="6725" w:type="dxa"/>
            <w:shd w:val="clear" w:color="auto" w:fill="auto"/>
          </w:tcPr>
          <w:p w:rsidR="008A19DB" w:rsidRDefault="00E56B6B">
            <w:pPr>
              <w:spacing w:after="0"/>
              <w:rPr>
                <w:b/>
                <w:noProof/>
              </w:rPr>
            </w:pPr>
            <w:r>
              <w:rPr>
                <w:noProof/>
                <w:sz w:val="20"/>
                <w:szCs w:val="20"/>
              </w:rPr>
              <w:t xml:space="preserve">Global Warming Potential on a 100 year timescale in </w:t>
            </w:r>
            <w:r>
              <w:rPr>
                <w:noProof/>
                <w:sz w:val="20"/>
                <w:szCs w:val="20"/>
              </w:rPr>
              <w:t>accordance with the IPCC's 4th Assessment Report.</w:t>
            </w:r>
          </w:p>
        </w:tc>
      </w:tr>
      <w:tr w:rsidR="008A19DB">
        <w:tc>
          <w:tcPr>
            <w:tcW w:w="2518" w:type="dxa"/>
            <w:shd w:val="clear" w:color="auto" w:fill="auto"/>
          </w:tcPr>
          <w:p w:rsidR="008A19DB" w:rsidRDefault="00E56B6B">
            <w:pPr>
              <w:spacing w:after="0"/>
              <w:jc w:val="left"/>
              <w:rPr>
                <w:b/>
                <w:noProof/>
                <w:sz w:val="20"/>
                <w:szCs w:val="20"/>
              </w:rPr>
            </w:pPr>
            <w:r>
              <w:rPr>
                <w:b/>
                <w:noProof/>
                <w:sz w:val="20"/>
                <w:szCs w:val="20"/>
              </w:rPr>
              <w:t>Methodologies for Estimating Emissions</w:t>
            </w:r>
          </w:p>
        </w:tc>
        <w:tc>
          <w:tcPr>
            <w:tcW w:w="6725" w:type="dxa"/>
            <w:shd w:val="clear" w:color="auto" w:fill="auto"/>
          </w:tcPr>
          <w:p w:rsidR="008A19DB" w:rsidRDefault="00E56B6B">
            <w:pPr>
              <w:spacing w:after="0"/>
              <w:rPr>
                <w:b/>
                <w:noProof/>
              </w:rPr>
            </w:pPr>
            <w:r>
              <w:rPr>
                <w:noProof/>
                <w:sz w:val="20"/>
                <w:szCs w:val="20"/>
              </w:rPr>
              <w:t>IPCC Guidelines 2006.</w:t>
            </w:r>
          </w:p>
        </w:tc>
      </w:tr>
      <w:tr w:rsidR="008A19DB">
        <w:tc>
          <w:tcPr>
            <w:tcW w:w="2518" w:type="dxa"/>
            <w:tcBorders>
              <w:bottom w:val="single" w:sz="4" w:space="0" w:color="auto"/>
            </w:tcBorders>
            <w:shd w:val="clear" w:color="auto" w:fill="auto"/>
          </w:tcPr>
          <w:p w:rsidR="008A19DB" w:rsidRDefault="00E56B6B">
            <w:pPr>
              <w:spacing w:after="0"/>
              <w:rPr>
                <w:b/>
                <w:noProof/>
                <w:sz w:val="20"/>
                <w:szCs w:val="20"/>
              </w:rPr>
            </w:pPr>
            <w:r>
              <w:rPr>
                <w:b/>
                <w:noProof/>
                <w:sz w:val="20"/>
                <w:szCs w:val="20"/>
              </w:rPr>
              <w:t>Approach to accounting for agriculture, forestry and other land uses</w:t>
            </w:r>
          </w:p>
        </w:tc>
        <w:tc>
          <w:tcPr>
            <w:tcW w:w="6725" w:type="dxa"/>
            <w:tcBorders>
              <w:bottom w:val="single" w:sz="4" w:space="0" w:color="auto"/>
            </w:tcBorders>
            <w:shd w:val="clear" w:color="auto" w:fill="auto"/>
          </w:tcPr>
          <w:p w:rsidR="008A19DB" w:rsidRDefault="00E56B6B">
            <w:pPr>
              <w:spacing w:after="0"/>
              <w:rPr>
                <w:noProof/>
                <w:sz w:val="20"/>
                <w:szCs w:val="20"/>
              </w:rPr>
            </w:pPr>
            <w:r>
              <w:rPr>
                <w:noProof/>
                <w:sz w:val="20"/>
                <w:szCs w:val="20"/>
              </w:rPr>
              <w:t xml:space="preserve">Comprehensive accounting framework, activity or land-based approach, for </w:t>
            </w:r>
            <w:r>
              <w:rPr>
                <w:noProof/>
                <w:sz w:val="20"/>
                <w:szCs w:val="20"/>
              </w:rPr>
              <w:t>emissions and removals from land use, land use change and forestry, building upon: (i) rules as agreed under 2/CMP.7, applicable COP decisions and the EU's domestic legislation (Decision 529/2013/EU); and (ii) the current level of environmental integrity.</w:t>
            </w:r>
          </w:p>
          <w:p w:rsidR="008A19DB" w:rsidRDefault="008A19DB">
            <w:pPr>
              <w:spacing w:after="0"/>
              <w:rPr>
                <w:b/>
                <w:noProof/>
              </w:rPr>
            </w:pPr>
          </w:p>
        </w:tc>
      </w:tr>
      <w:tr w:rsidR="008A19DB">
        <w:tc>
          <w:tcPr>
            <w:tcW w:w="9243" w:type="dxa"/>
            <w:gridSpan w:val="2"/>
            <w:shd w:val="clear" w:color="auto" w:fill="DEEAF6"/>
          </w:tcPr>
          <w:p w:rsidR="008A19DB" w:rsidRDefault="00E56B6B">
            <w:pPr>
              <w:spacing w:after="0"/>
              <w:rPr>
                <w:b/>
                <w:noProof/>
              </w:rPr>
            </w:pPr>
            <w:r>
              <w:rPr>
                <w:b/>
                <w:noProof/>
              </w:rPr>
              <w:t>Coverage</w:t>
            </w:r>
          </w:p>
        </w:tc>
      </w:tr>
      <w:tr w:rsidR="008A19DB">
        <w:tc>
          <w:tcPr>
            <w:tcW w:w="2518" w:type="dxa"/>
            <w:tcBorders>
              <w:bottom w:val="single" w:sz="4" w:space="0" w:color="auto"/>
            </w:tcBorders>
            <w:shd w:val="clear" w:color="auto" w:fill="auto"/>
          </w:tcPr>
          <w:p w:rsidR="008A19DB" w:rsidRDefault="00E56B6B">
            <w:pPr>
              <w:spacing w:after="0"/>
              <w:rPr>
                <w:b/>
                <w:noProof/>
              </w:rPr>
            </w:pPr>
            <w:r>
              <w:rPr>
                <w:b/>
                <w:noProof/>
                <w:sz w:val="20"/>
                <w:szCs w:val="20"/>
              </w:rPr>
              <w:t>Sectors/Source Categories</w:t>
            </w:r>
          </w:p>
        </w:tc>
        <w:tc>
          <w:tcPr>
            <w:tcW w:w="6725" w:type="dxa"/>
            <w:tcBorders>
              <w:bottom w:val="single" w:sz="4" w:space="0" w:color="auto"/>
            </w:tcBorders>
            <w:shd w:val="clear" w:color="auto" w:fill="auto"/>
          </w:tcPr>
          <w:p w:rsidR="008A19DB" w:rsidRDefault="00E56B6B">
            <w:pPr>
              <w:numPr>
                <w:ilvl w:val="0"/>
                <w:numId w:val="40"/>
              </w:numPr>
              <w:spacing w:before="0" w:after="0" w:line="276" w:lineRule="auto"/>
              <w:jc w:val="left"/>
              <w:rPr>
                <w:noProof/>
                <w:sz w:val="20"/>
                <w:szCs w:val="20"/>
              </w:rPr>
            </w:pPr>
            <w:r>
              <w:rPr>
                <w:noProof/>
                <w:sz w:val="20"/>
                <w:szCs w:val="20"/>
              </w:rPr>
              <w:t>Energy</w:t>
            </w:r>
          </w:p>
          <w:p w:rsidR="008A19DB" w:rsidRDefault="00E56B6B">
            <w:pPr>
              <w:numPr>
                <w:ilvl w:val="1"/>
                <w:numId w:val="40"/>
              </w:numPr>
              <w:spacing w:before="0" w:after="0" w:line="276" w:lineRule="auto"/>
              <w:jc w:val="left"/>
              <w:rPr>
                <w:i/>
                <w:noProof/>
                <w:sz w:val="20"/>
                <w:szCs w:val="20"/>
              </w:rPr>
            </w:pPr>
            <w:r>
              <w:rPr>
                <w:noProof/>
                <w:sz w:val="20"/>
                <w:szCs w:val="20"/>
              </w:rPr>
              <w:t>Fuel Consumption</w:t>
            </w:r>
          </w:p>
          <w:p w:rsidR="008A19DB" w:rsidRDefault="00E56B6B">
            <w:pPr>
              <w:numPr>
                <w:ilvl w:val="2"/>
                <w:numId w:val="40"/>
              </w:numPr>
              <w:spacing w:before="0" w:after="0" w:line="276" w:lineRule="auto"/>
              <w:jc w:val="left"/>
              <w:rPr>
                <w:i/>
                <w:noProof/>
                <w:sz w:val="20"/>
                <w:szCs w:val="20"/>
              </w:rPr>
            </w:pPr>
            <w:r>
              <w:rPr>
                <w:noProof/>
                <w:sz w:val="20"/>
                <w:szCs w:val="20"/>
              </w:rPr>
              <w:t>Energy industries</w:t>
            </w:r>
          </w:p>
          <w:p w:rsidR="008A19DB" w:rsidRDefault="00E56B6B">
            <w:pPr>
              <w:numPr>
                <w:ilvl w:val="2"/>
                <w:numId w:val="40"/>
              </w:numPr>
              <w:spacing w:before="0" w:after="0" w:line="276" w:lineRule="auto"/>
              <w:jc w:val="left"/>
              <w:rPr>
                <w:i/>
                <w:noProof/>
                <w:sz w:val="20"/>
                <w:szCs w:val="20"/>
              </w:rPr>
            </w:pPr>
            <w:r>
              <w:rPr>
                <w:noProof/>
                <w:sz w:val="20"/>
                <w:szCs w:val="20"/>
              </w:rPr>
              <w:t>Manufacturing industries and construction</w:t>
            </w:r>
          </w:p>
          <w:p w:rsidR="008A19DB" w:rsidRDefault="00E56B6B">
            <w:pPr>
              <w:numPr>
                <w:ilvl w:val="2"/>
                <w:numId w:val="40"/>
              </w:numPr>
              <w:spacing w:before="0" w:after="0" w:line="276" w:lineRule="auto"/>
              <w:jc w:val="left"/>
              <w:rPr>
                <w:i/>
                <w:noProof/>
                <w:sz w:val="20"/>
                <w:szCs w:val="20"/>
              </w:rPr>
            </w:pPr>
            <w:r>
              <w:rPr>
                <w:noProof/>
                <w:sz w:val="20"/>
                <w:szCs w:val="20"/>
              </w:rPr>
              <w:t>Transport</w:t>
            </w:r>
          </w:p>
          <w:p w:rsidR="008A19DB" w:rsidRDefault="00E56B6B">
            <w:pPr>
              <w:numPr>
                <w:ilvl w:val="2"/>
                <w:numId w:val="40"/>
              </w:numPr>
              <w:spacing w:before="0" w:after="0" w:line="276" w:lineRule="auto"/>
              <w:jc w:val="left"/>
              <w:rPr>
                <w:i/>
                <w:noProof/>
                <w:sz w:val="20"/>
                <w:szCs w:val="20"/>
              </w:rPr>
            </w:pPr>
            <w:r>
              <w:rPr>
                <w:noProof/>
                <w:sz w:val="20"/>
                <w:szCs w:val="20"/>
              </w:rPr>
              <w:t>Other sectors</w:t>
            </w:r>
          </w:p>
          <w:p w:rsidR="008A19DB" w:rsidRDefault="00E56B6B">
            <w:pPr>
              <w:numPr>
                <w:ilvl w:val="2"/>
                <w:numId w:val="40"/>
              </w:numPr>
              <w:spacing w:before="0" w:after="0" w:line="276" w:lineRule="auto"/>
              <w:jc w:val="left"/>
              <w:rPr>
                <w:i/>
                <w:noProof/>
                <w:sz w:val="20"/>
                <w:szCs w:val="20"/>
              </w:rPr>
            </w:pPr>
            <w:r>
              <w:rPr>
                <w:noProof/>
                <w:sz w:val="20"/>
                <w:szCs w:val="20"/>
              </w:rPr>
              <w:t>Other</w:t>
            </w:r>
          </w:p>
          <w:p w:rsidR="008A19DB" w:rsidRDefault="00E56B6B">
            <w:pPr>
              <w:numPr>
                <w:ilvl w:val="1"/>
                <w:numId w:val="40"/>
              </w:numPr>
              <w:spacing w:before="0" w:after="0" w:line="276" w:lineRule="auto"/>
              <w:jc w:val="left"/>
              <w:rPr>
                <w:i/>
                <w:noProof/>
                <w:sz w:val="20"/>
                <w:szCs w:val="20"/>
              </w:rPr>
            </w:pPr>
            <w:r>
              <w:rPr>
                <w:noProof/>
                <w:sz w:val="20"/>
                <w:szCs w:val="20"/>
              </w:rPr>
              <w:t>Fugitive emissions from fuels</w:t>
            </w:r>
          </w:p>
          <w:p w:rsidR="008A19DB" w:rsidRDefault="00E56B6B">
            <w:pPr>
              <w:numPr>
                <w:ilvl w:val="2"/>
                <w:numId w:val="40"/>
              </w:numPr>
              <w:spacing w:before="0" w:after="0" w:line="276" w:lineRule="auto"/>
              <w:jc w:val="left"/>
              <w:rPr>
                <w:i/>
                <w:noProof/>
                <w:sz w:val="20"/>
                <w:szCs w:val="20"/>
              </w:rPr>
            </w:pPr>
            <w:r>
              <w:rPr>
                <w:noProof/>
                <w:sz w:val="20"/>
                <w:szCs w:val="20"/>
              </w:rPr>
              <w:t>Solid fuels</w:t>
            </w:r>
          </w:p>
          <w:p w:rsidR="008A19DB" w:rsidRDefault="00E56B6B">
            <w:pPr>
              <w:numPr>
                <w:ilvl w:val="2"/>
                <w:numId w:val="40"/>
              </w:numPr>
              <w:spacing w:before="0" w:after="0" w:line="276" w:lineRule="auto"/>
              <w:jc w:val="left"/>
              <w:rPr>
                <w:i/>
                <w:noProof/>
                <w:sz w:val="20"/>
                <w:szCs w:val="20"/>
              </w:rPr>
            </w:pPr>
            <w:r>
              <w:rPr>
                <w:noProof/>
                <w:sz w:val="20"/>
                <w:szCs w:val="20"/>
              </w:rPr>
              <w:t>Oil and natural gas</w:t>
            </w:r>
          </w:p>
          <w:p w:rsidR="008A19DB" w:rsidRDefault="00E56B6B">
            <w:pPr>
              <w:numPr>
                <w:ilvl w:val="1"/>
                <w:numId w:val="40"/>
              </w:numPr>
              <w:spacing w:before="0" w:after="0" w:line="276" w:lineRule="auto"/>
              <w:jc w:val="left"/>
              <w:rPr>
                <w:noProof/>
                <w:sz w:val="20"/>
                <w:szCs w:val="20"/>
              </w:rPr>
            </w:pPr>
            <w:r>
              <w:rPr>
                <w:noProof/>
                <w:sz w:val="20"/>
                <w:szCs w:val="20"/>
              </w:rPr>
              <w:t>CO</w:t>
            </w:r>
            <w:r>
              <w:rPr>
                <w:noProof/>
                <w:sz w:val="20"/>
                <w:szCs w:val="20"/>
                <w:vertAlign w:val="subscript"/>
              </w:rPr>
              <w:t>2</w:t>
            </w:r>
            <w:r>
              <w:rPr>
                <w:noProof/>
                <w:sz w:val="20"/>
                <w:szCs w:val="20"/>
              </w:rPr>
              <w:t xml:space="preserve"> transport and storage</w:t>
            </w:r>
          </w:p>
          <w:p w:rsidR="008A19DB" w:rsidRDefault="00E56B6B">
            <w:pPr>
              <w:numPr>
                <w:ilvl w:val="0"/>
                <w:numId w:val="40"/>
              </w:numPr>
              <w:spacing w:before="0" w:after="0" w:line="276" w:lineRule="auto"/>
              <w:jc w:val="left"/>
              <w:rPr>
                <w:noProof/>
                <w:sz w:val="20"/>
                <w:szCs w:val="20"/>
              </w:rPr>
            </w:pPr>
            <w:r>
              <w:rPr>
                <w:noProof/>
                <w:sz w:val="20"/>
                <w:szCs w:val="20"/>
              </w:rPr>
              <w:t xml:space="preserve">Industrial </w:t>
            </w:r>
            <w:r>
              <w:rPr>
                <w:noProof/>
                <w:sz w:val="20"/>
                <w:szCs w:val="20"/>
              </w:rPr>
              <w:t>processes and product use</w:t>
            </w:r>
          </w:p>
          <w:p w:rsidR="008A19DB" w:rsidRDefault="00E56B6B">
            <w:pPr>
              <w:numPr>
                <w:ilvl w:val="1"/>
                <w:numId w:val="40"/>
              </w:numPr>
              <w:spacing w:before="0" w:after="0" w:line="276" w:lineRule="auto"/>
              <w:jc w:val="left"/>
              <w:rPr>
                <w:noProof/>
                <w:sz w:val="20"/>
                <w:szCs w:val="20"/>
              </w:rPr>
            </w:pPr>
            <w:r>
              <w:rPr>
                <w:noProof/>
                <w:sz w:val="20"/>
                <w:szCs w:val="20"/>
              </w:rPr>
              <w:t>Mineral industry</w:t>
            </w:r>
          </w:p>
          <w:p w:rsidR="008A19DB" w:rsidRDefault="00E56B6B">
            <w:pPr>
              <w:numPr>
                <w:ilvl w:val="1"/>
                <w:numId w:val="40"/>
              </w:numPr>
              <w:spacing w:before="0" w:after="0" w:line="276" w:lineRule="auto"/>
              <w:jc w:val="left"/>
              <w:rPr>
                <w:noProof/>
                <w:sz w:val="20"/>
                <w:szCs w:val="20"/>
              </w:rPr>
            </w:pPr>
            <w:r>
              <w:rPr>
                <w:noProof/>
                <w:sz w:val="20"/>
                <w:szCs w:val="20"/>
              </w:rPr>
              <w:t>Chemical industry</w:t>
            </w:r>
          </w:p>
          <w:p w:rsidR="008A19DB" w:rsidRDefault="00E56B6B">
            <w:pPr>
              <w:numPr>
                <w:ilvl w:val="1"/>
                <w:numId w:val="40"/>
              </w:numPr>
              <w:spacing w:before="0" w:after="0" w:line="276" w:lineRule="auto"/>
              <w:jc w:val="left"/>
              <w:rPr>
                <w:noProof/>
                <w:sz w:val="20"/>
                <w:szCs w:val="20"/>
              </w:rPr>
            </w:pPr>
            <w:r>
              <w:rPr>
                <w:noProof/>
                <w:sz w:val="20"/>
                <w:szCs w:val="20"/>
              </w:rPr>
              <w:t>Metal industry</w:t>
            </w:r>
          </w:p>
          <w:p w:rsidR="008A19DB" w:rsidRDefault="00E56B6B">
            <w:pPr>
              <w:numPr>
                <w:ilvl w:val="1"/>
                <w:numId w:val="40"/>
              </w:numPr>
              <w:spacing w:before="0" w:after="0" w:line="276" w:lineRule="auto"/>
              <w:jc w:val="left"/>
              <w:rPr>
                <w:noProof/>
                <w:sz w:val="20"/>
                <w:szCs w:val="20"/>
              </w:rPr>
            </w:pPr>
            <w:r>
              <w:rPr>
                <w:noProof/>
                <w:sz w:val="20"/>
                <w:szCs w:val="20"/>
              </w:rPr>
              <w:t>Non-energy products from fuels and solvent use</w:t>
            </w:r>
          </w:p>
          <w:p w:rsidR="008A19DB" w:rsidRDefault="00E56B6B">
            <w:pPr>
              <w:numPr>
                <w:ilvl w:val="1"/>
                <w:numId w:val="40"/>
              </w:numPr>
              <w:spacing w:before="0" w:after="0" w:line="276" w:lineRule="auto"/>
              <w:jc w:val="left"/>
              <w:rPr>
                <w:noProof/>
                <w:sz w:val="20"/>
                <w:szCs w:val="20"/>
              </w:rPr>
            </w:pPr>
            <w:r>
              <w:rPr>
                <w:noProof/>
                <w:sz w:val="20"/>
                <w:szCs w:val="20"/>
              </w:rPr>
              <w:t>Electronic industry</w:t>
            </w:r>
          </w:p>
          <w:p w:rsidR="008A19DB" w:rsidRDefault="00E56B6B">
            <w:pPr>
              <w:numPr>
                <w:ilvl w:val="1"/>
                <w:numId w:val="40"/>
              </w:numPr>
              <w:spacing w:before="0" w:after="0" w:line="276" w:lineRule="auto"/>
              <w:jc w:val="left"/>
              <w:rPr>
                <w:noProof/>
                <w:sz w:val="20"/>
                <w:szCs w:val="20"/>
              </w:rPr>
            </w:pPr>
            <w:r>
              <w:rPr>
                <w:noProof/>
                <w:sz w:val="20"/>
                <w:szCs w:val="20"/>
              </w:rPr>
              <w:t>Product uses as substitutes for ODS</w:t>
            </w:r>
          </w:p>
          <w:p w:rsidR="008A19DB" w:rsidRDefault="00E56B6B">
            <w:pPr>
              <w:numPr>
                <w:ilvl w:val="1"/>
                <w:numId w:val="40"/>
              </w:numPr>
              <w:spacing w:before="0" w:after="0" w:line="276" w:lineRule="auto"/>
              <w:jc w:val="left"/>
              <w:rPr>
                <w:noProof/>
                <w:sz w:val="20"/>
                <w:szCs w:val="20"/>
              </w:rPr>
            </w:pPr>
            <w:r>
              <w:rPr>
                <w:noProof/>
                <w:sz w:val="20"/>
                <w:szCs w:val="20"/>
              </w:rPr>
              <w:t>Other product manufacture and use</w:t>
            </w:r>
          </w:p>
          <w:p w:rsidR="008A19DB" w:rsidRDefault="00E56B6B">
            <w:pPr>
              <w:numPr>
                <w:ilvl w:val="1"/>
                <w:numId w:val="40"/>
              </w:numPr>
              <w:spacing w:before="0" w:after="0" w:line="276" w:lineRule="auto"/>
              <w:jc w:val="left"/>
              <w:rPr>
                <w:noProof/>
                <w:sz w:val="20"/>
                <w:szCs w:val="20"/>
              </w:rPr>
            </w:pPr>
            <w:r>
              <w:rPr>
                <w:noProof/>
                <w:sz w:val="20"/>
                <w:szCs w:val="20"/>
              </w:rPr>
              <w:t>Other</w:t>
            </w:r>
          </w:p>
          <w:p w:rsidR="008A19DB" w:rsidRDefault="00E56B6B">
            <w:pPr>
              <w:numPr>
                <w:ilvl w:val="0"/>
                <w:numId w:val="40"/>
              </w:numPr>
              <w:spacing w:before="0" w:after="0" w:line="276" w:lineRule="auto"/>
              <w:jc w:val="left"/>
              <w:rPr>
                <w:noProof/>
                <w:sz w:val="20"/>
                <w:szCs w:val="20"/>
              </w:rPr>
            </w:pPr>
            <w:r>
              <w:rPr>
                <w:noProof/>
                <w:sz w:val="20"/>
                <w:szCs w:val="20"/>
              </w:rPr>
              <w:t>Agriculture</w:t>
            </w:r>
          </w:p>
          <w:p w:rsidR="008A19DB" w:rsidRDefault="00E56B6B">
            <w:pPr>
              <w:numPr>
                <w:ilvl w:val="1"/>
                <w:numId w:val="40"/>
              </w:numPr>
              <w:spacing w:before="0" w:after="0" w:line="276" w:lineRule="auto"/>
              <w:jc w:val="left"/>
              <w:rPr>
                <w:noProof/>
                <w:sz w:val="20"/>
                <w:szCs w:val="20"/>
              </w:rPr>
            </w:pPr>
            <w:r>
              <w:rPr>
                <w:noProof/>
                <w:sz w:val="20"/>
                <w:szCs w:val="20"/>
              </w:rPr>
              <w:t>Enteric fermentation</w:t>
            </w:r>
          </w:p>
          <w:p w:rsidR="008A19DB" w:rsidRDefault="00E56B6B">
            <w:pPr>
              <w:numPr>
                <w:ilvl w:val="1"/>
                <w:numId w:val="40"/>
              </w:numPr>
              <w:spacing w:before="0" w:after="0" w:line="276" w:lineRule="auto"/>
              <w:jc w:val="left"/>
              <w:rPr>
                <w:noProof/>
                <w:sz w:val="20"/>
                <w:szCs w:val="20"/>
              </w:rPr>
            </w:pPr>
            <w:r>
              <w:rPr>
                <w:noProof/>
                <w:sz w:val="20"/>
                <w:szCs w:val="20"/>
              </w:rPr>
              <w:t>Manure management</w:t>
            </w:r>
          </w:p>
          <w:p w:rsidR="008A19DB" w:rsidRDefault="00E56B6B">
            <w:pPr>
              <w:numPr>
                <w:ilvl w:val="1"/>
                <w:numId w:val="40"/>
              </w:numPr>
              <w:spacing w:before="0" w:after="0" w:line="276" w:lineRule="auto"/>
              <w:jc w:val="left"/>
              <w:rPr>
                <w:noProof/>
                <w:sz w:val="20"/>
                <w:szCs w:val="20"/>
              </w:rPr>
            </w:pPr>
            <w:r>
              <w:rPr>
                <w:noProof/>
                <w:sz w:val="20"/>
                <w:szCs w:val="20"/>
              </w:rPr>
              <w:t>Rice cultivation</w:t>
            </w:r>
          </w:p>
          <w:p w:rsidR="008A19DB" w:rsidRDefault="00E56B6B">
            <w:pPr>
              <w:numPr>
                <w:ilvl w:val="1"/>
                <w:numId w:val="40"/>
              </w:numPr>
              <w:spacing w:before="0" w:after="0" w:line="276" w:lineRule="auto"/>
              <w:jc w:val="left"/>
              <w:rPr>
                <w:noProof/>
                <w:sz w:val="20"/>
                <w:szCs w:val="20"/>
              </w:rPr>
            </w:pPr>
            <w:r>
              <w:rPr>
                <w:noProof/>
                <w:sz w:val="20"/>
                <w:szCs w:val="20"/>
              </w:rPr>
              <w:t>Agricultural soils</w:t>
            </w:r>
          </w:p>
          <w:p w:rsidR="008A19DB" w:rsidRDefault="00E56B6B">
            <w:pPr>
              <w:numPr>
                <w:ilvl w:val="1"/>
                <w:numId w:val="40"/>
              </w:numPr>
              <w:spacing w:before="0" w:after="0" w:line="276" w:lineRule="auto"/>
              <w:jc w:val="left"/>
              <w:rPr>
                <w:noProof/>
                <w:sz w:val="20"/>
                <w:szCs w:val="20"/>
              </w:rPr>
            </w:pPr>
            <w:r>
              <w:rPr>
                <w:noProof/>
                <w:sz w:val="20"/>
                <w:szCs w:val="20"/>
              </w:rPr>
              <w:t>Prescribed burning of savannas</w:t>
            </w:r>
          </w:p>
          <w:p w:rsidR="008A19DB" w:rsidRDefault="00E56B6B">
            <w:pPr>
              <w:numPr>
                <w:ilvl w:val="1"/>
                <w:numId w:val="40"/>
              </w:numPr>
              <w:spacing w:before="0" w:after="0" w:line="276" w:lineRule="auto"/>
              <w:jc w:val="left"/>
              <w:rPr>
                <w:noProof/>
                <w:sz w:val="20"/>
                <w:szCs w:val="20"/>
              </w:rPr>
            </w:pPr>
            <w:r>
              <w:rPr>
                <w:noProof/>
                <w:sz w:val="20"/>
                <w:szCs w:val="20"/>
              </w:rPr>
              <w:t>Field burning of agricultural residues</w:t>
            </w:r>
          </w:p>
          <w:p w:rsidR="008A19DB" w:rsidRDefault="00E56B6B">
            <w:pPr>
              <w:numPr>
                <w:ilvl w:val="1"/>
                <w:numId w:val="40"/>
              </w:numPr>
              <w:spacing w:before="0" w:after="0" w:line="276" w:lineRule="auto"/>
              <w:jc w:val="left"/>
              <w:rPr>
                <w:noProof/>
                <w:sz w:val="20"/>
                <w:szCs w:val="20"/>
              </w:rPr>
            </w:pPr>
            <w:r>
              <w:rPr>
                <w:noProof/>
                <w:sz w:val="20"/>
                <w:szCs w:val="20"/>
              </w:rPr>
              <w:t>Liming</w:t>
            </w:r>
          </w:p>
          <w:p w:rsidR="008A19DB" w:rsidRDefault="00E56B6B">
            <w:pPr>
              <w:numPr>
                <w:ilvl w:val="1"/>
                <w:numId w:val="40"/>
              </w:numPr>
              <w:spacing w:before="0" w:after="0" w:line="276" w:lineRule="auto"/>
              <w:jc w:val="left"/>
              <w:rPr>
                <w:noProof/>
                <w:sz w:val="20"/>
                <w:szCs w:val="20"/>
              </w:rPr>
            </w:pPr>
            <w:r>
              <w:rPr>
                <w:noProof/>
                <w:sz w:val="20"/>
                <w:szCs w:val="20"/>
              </w:rPr>
              <w:t>Urea application</w:t>
            </w:r>
          </w:p>
          <w:p w:rsidR="008A19DB" w:rsidRDefault="00E56B6B">
            <w:pPr>
              <w:numPr>
                <w:ilvl w:val="1"/>
                <w:numId w:val="40"/>
              </w:numPr>
              <w:spacing w:before="0" w:after="0" w:line="276" w:lineRule="auto"/>
              <w:jc w:val="left"/>
              <w:rPr>
                <w:noProof/>
                <w:sz w:val="20"/>
                <w:szCs w:val="20"/>
              </w:rPr>
            </w:pPr>
            <w:r>
              <w:rPr>
                <w:noProof/>
                <w:sz w:val="20"/>
                <w:szCs w:val="20"/>
              </w:rPr>
              <w:t>Other carbon-containing fertilisers</w:t>
            </w:r>
          </w:p>
          <w:p w:rsidR="008A19DB" w:rsidRDefault="00E56B6B">
            <w:pPr>
              <w:numPr>
                <w:ilvl w:val="1"/>
                <w:numId w:val="40"/>
              </w:numPr>
              <w:spacing w:before="0" w:after="0" w:line="276" w:lineRule="auto"/>
              <w:jc w:val="left"/>
              <w:rPr>
                <w:noProof/>
                <w:sz w:val="20"/>
                <w:szCs w:val="20"/>
              </w:rPr>
            </w:pPr>
            <w:r>
              <w:rPr>
                <w:noProof/>
                <w:sz w:val="20"/>
                <w:szCs w:val="20"/>
              </w:rPr>
              <w:t>Other</w:t>
            </w:r>
          </w:p>
          <w:p w:rsidR="008A19DB" w:rsidRDefault="00E56B6B">
            <w:pPr>
              <w:numPr>
                <w:ilvl w:val="0"/>
                <w:numId w:val="40"/>
              </w:numPr>
              <w:spacing w:before="0" w:after="0" w:line="276" w:lineRule="auto"/>
              <w:jc w:val="left"/>
              <w:rPr>
                <w:noProof/>
                <w:sz w:val="20"/>
                <w:szCs w:val="20"/>
              </w:rPr>
            </w:pPr>
            <w:r>
              <w:rPr>
                <w:noProof/>
                <w:sz w:val="20"/>
                <w:szCs w:val="20"/>
              </w:rPr>
              <w:t>Waste</w:t>
            </w:r>
          </w:p>
          <w:p w:rsidR="008A19DB" w:rsidRDefault="00E56B6B">
            <w:pPr>
              <w:numPr>
                <w:ilvl w:val="1"/>
                <w:numId w:val="40"/>
              </w:numPr>
              <w:spacing w:before="0" w:after="0" w:line="276" w:lineRule="auto"/>
              <w:jc w:val="left"/>
              <w:rPr>
                <w:noProof/>
                <w:sz w:val="20"/>
                <w:szCs w:val="20"/>
              </w:rPr>
            </w:pPr>
            <w:r>
              <w:rPr>
                <w:noProof/>
                <w:sz w:val="20"/>
                <w:szCs w:val="20"/>
              </w:rPr>
              <w:t xml:space="preserve">Solid waste disposal </w:t>
            </w:r>
          </w:p>
          <w:p w:rsidR="008A19DB" w:rsidRDefault="00E56B6B">
            <w:pPr>
              <w:numPr>
                <w:ilvl w:val="1"/>
                <w:numId w:val="40"/>
              </w:numPr>
              <w:spacing w:before="0" w:after="0" w:line="276" w:lineRule="auto"/>
              <w:jc w:val="left"/>
              <w:rPr>
                <w:noProof/>
                <w:sz w:val="20"/>
                <w:szCs w:val="20"/>
              </w:rPr>
            </w:pPr>
            <w:r>
              <w:rPr>
                <w:noProof/>
                <w:sz w:val="20"/>
                <w:szCs w:val="20"/>
              </w:rPr>
              <w:t xml:space="preserve">Biological treatment of solid waste </w:t>
            </w:r>
          </w:p>
          <w:p w:rsidR="008A19DB" w:rsidRDefault="00E56B6B">
            <w:pPr>
              <w:numPr>
                <w:ilvl w:val="1"/>
                <w:numId w:val="40"/>
              </w:numPr>
              <w:spacing w:before="0" w:after="0" w:line="276" w:lineRule="auto"/>
              <w:jc w:val="left"/>
              <w:rPr>
                <w:noProof/>
                <w:sz w:val="20"/>
                <w:szCs w:val="20"/>
              </w:rPr>
            </w:pPr>
            <w:r>
              <w:rPr>
                <w:noProof/>
                <w:sz w:val="20"/>
                <w:szCs w:val="20"/>
              </w:rPr>
              <w:t xml:space="preserve">Incineration and open burning of waste </w:t>
            </w:r>
          </w:p>
          <w:p w:rsidR="008A19DB" w:rsidRDefault="00E56B6B">
            <w:pPr>
              <w:numPr>
                <w:ilvl w:val="1"/>
                <w:numId w:val="40"/>
              </w:numPr>
              <w:spacing w:before="0" w:after="0" w:line="276" w:lineRule="auto"/>
              <w:jc w:val="left"/>
              <w:rPr>
                <w:noProof/>
                <w:sz w:val="20"/>
                <w:szCs w:val="20"/>
              </w:rPr>
            </w:pPr>
            <w:r>
              <w:rPr>
                <w:noProof/>
                <w:sz w:val="20"/>
                <w:szCs w:val="20"/>
              </w:rPr>
              <w:t>Wastewater treatment and discharge</w:t>
            </w:r>
          </w:p>
          <w:p w:rsidR="008A19DB" w:rsidRDefault="00E56B6B">
            <w:pPr>
              <w:numPr>
                <w:ilvl w:val="1"/>
                <w:numId w:val="40"/>
              </w:numPr>
              <w:spacing w:before="0" w:after="0" w:line="276" w:lineRule="auto"/>
              <w:jc w:val="left"/>
              <w:rPr>
                <w:noProof/>
                <w:sz w:val="20"/>
                <w:szCs w:val="20"/>
              </w:rPr>
            </w:pPr>
            <w:r>
              <w:rPr>
                <w:noProof/>
                <w:sz w:val="20"/>
                <w:szCs w:val="20"/>
              </w:rPr>
              <w:t>Other</w:t>
            </w:r>
          </w:p>
          <w:p w:rsidR="008A19DB" w:rsidRDefault="00E56B6B">
            <w:pPr>
              <w:numPr>
                <w:ilvl w:val="0"/>
                <w:numId w:val="40"/>
              </w:numPr>
              <w:spacing w:before="0" w:after="0" w:line="276" w:lineRule="auto"/>
              <w:jc w:val="left"/>
              <w:rPr>
                <w:noProof/>
                <w:sz w:val="20"/>
                <w:szCs w:val="20"/>
              </w:rPr>
            </w:pPr>
            <w:r>
              <w:rPr>
                <w:noProof/>
                <w:sz w:val="20"/>
                <w:szCs w:val="20"/>
              </w:rPr>
              <w:t>Land Use, Land-Use Change and Forestry set out in Decision 529/2013/EU</w:t>
            </w:r>
          </w:p>
          <w:p w:rsidR="008A19DB" w:rsidRDefault="00E56B6B">
            <w:pPr>
              <w:numPr>
                <w:ilvl w:val="1"/>
                <w:numId w:val="40"/>
              </w:numPr>
              <w:spacing w:before="0" w:after="0" w:line="276" w:lineRule="auto"/>
              <w:jc w:val="left"/>
              <w:rPr>
                <w:noProof/>
                <w:sz w:val="20"/>
                <w:szCs w:val="20"/>
              </w:rPr>
            </w:pPr>
            <w:r>
              <w:rPr>
                <w:noProof/>
                <w:sz w:val="20"/>
                <w:szCs w:val="20"/>
              </w:rPr>
              <w:t>Afforestation, reforestation</w:t>
            </w:r>
          </w:p>
          <w:p w:rsidR="008A19DB" w:rsidRDefault="00E56B6B">
            <w:pPr>
              <w:numPr>
                <w:ilvl w:val="1"/>
                <w:numId w:val="40"/>
              </w:numPr>
              <w:spacing w:before="0" w:after="0" w:line="276" w:lineRule="auto"/>
              <w:jc w:val="left"/>
              <w:rPr>
                <w:noProof/>
                <w:sz w:val="20"/>
                <w:szCs w:val="20"/>
              </w:rPr>
            </w:pPr>
            <w:r>
              <w:rPr>
                <w:noProof/>
                <w:sz w:val="20"/>
                <w:szCs w:val="20"/>
              </w:rPr>
              <w:t>Deforestation</w:t>
            </w:r>
          </w:p>
          <w:p w:rsidR="008A19DB" w:rsidRDefault="00E56B6B">
            <w:pPr>
              <w:numPr>
                <w:ilvl w:val="1"/>
                <w:numId w:val="40"/>
              </w:numPr>
              <w:spacing w:before="0" w:after="0" w:line="276" w:lineRule="auto"/>
              <w:jc w:val="left"/>
              <w:rPr>
                <w:noProof/>
                <w:sz w:val="20"/>
                <w:szCs w:val="20"/>
              </w:rPr>
            </w:pPr>
            <w:r>
              <w:rPr>
                <w:noProof/>
                <w:sz w:val="20"/>
                <w:szCs w:val="20"/>
              </w:rPr>
              <w:t>Forest management</w:t>
            </w:r>
          </w:p>
          <w:p w:rsidR="008A19DB" w:rsidRDefault="00E56B6B">
            <w:pPr>
              <w:numPr>
                <w:ilvl w:val="1"/>
                <w:numId w:val="40"/>
              </w:numPr>
              <w:spacing w:before="0" w:after="0" w:line="276" w:lineRule="auto"/>
              <w:jc w:val="left"/>
              <w:rPr>
                <w:noProof/>
                <w:sz w:val="20"/>
                <w:szCs w:val="20"/>
              </w:rPr>
            </w:pPr>
            <w:r>
              <w:rPr>
                <w:noProof/>
                <w:sz w:val="20"/>
                <w:szCs w:val="20"/>
              </w:rPr>
              <w:t>Cropland management</w:t>
            </w:r>
          </w:p>
          <w:p w:rsidR="008A19DB" w:rsidRDefault="00E56B6B">
            <w:pPr>
              <w:numPr>
                <w:ilvl w:val="1"/>
                <w:numId w:val="40"/>
              </w:numPr>
              <w:spacing w:before="0" w:after="0" w:line="276" w:lineRule="auto"/>
              <w:jc w:val="left"/>
              <w:rPr>
                <w:noProof/>
                <w:sz w:val="20"/>
                <w:szCs w:val="20"/>
              </w:rPr>
            </w:pPr>
            <w:r>
              <w:rPr>
                <w:noProof/>
                <w:sz w:val="20"/>
                <w:szCs w:val="20"/>
              </w:rPr>
              <w:t>Grazing land management</w:t>
            </w:r>
          </w:p>
          <w:p w:rsidR="008A19DB" w:rsidRDefault="00E56B6B">
            <w:pPr>
              <w:numPr>
                <w:ilvl w:val="1"/>
                <w:numId w:val="40"/>
              </w:numPr>
              <w:spacing w:before="0" w:after="0" w:line="276" w:lineRule="auto"/>
              <w:jc w:val="left"/>
              <w:rPr>
                <w:noProof/>
                <w:sz w:val="20"/>
                <w:szCs w:val="20"/>
              </w:rPr>
            </w:pPr>
            <w:r>
              <w:rPr>
                <w:noProof/>
                <w:sz w:val="20"/>
                <w:szCs w:val="20"/>
              </w:rPr>
              <w:t>Or equivalent land-based account using UNFCCC reporting categories</w:t>
            </w:r>
          </w:p>
          <w:p w:rsidR="008A19DB" w:rsidRDefault="00E56B6B">
            <w:pPr>
              <w:numPr>
                <w:ilvl w:val="1"/>
                <w:numId w:val="40"/>
              </w:numPr>
              <w:spacing w:before="0" w:after="0" w:line="276" w:lineRule="auto"/>
              <w:jc w:val="left"/>
              <w:rPr>
                <w:noProof/>
                <w:sz w:val="20"/>
                <w:szCs w:val="20"/>
              </w:rPr>
            </w:pPr>
            <w:r>
              <w:rPr>
                <w:noProof/>
                <w:sz w:val="20"/>
                <w:szCs w:val="20"/>
              </w:rPr>
              <w:t>Other categories/activities elected by the EU and its Member States as Parties to the Kyoto Protocol and its Doha Amendment.</w:t>
            </w:r>
          </w:p>
        </w:tc>
      </w:tr>
    </w:tbl>
    <w:p w:rsidR="008A19DB" w:rsidRDefault="008A19DB">
      <w:pPr>
        <w:rPr>
          <w:noProof/>
        </w:rPr>
      </w:pPr>
    </w:p>
    <w:sectPr w:rsidR="008A19DB">
      <w:headerReference w:type="even" r:id="rId22"/>
      <w:headerReference w:type="default" r:id="rId23"/>
      <w:footerReference w:type="even" r:id="rId24"/>
      <w:footerReference w:type="default" r:id="rId25"/>
      <w:headerReference w:type="first" r:id="rId26"/>
      <w:footerReference w:type="first" r:id="rId27"/>
      <w:pgSz w:w="11907" w:h="16839"/>
      <w:pgMar w:top="1440" w:right="1440" w:bottom="1440" w:left="1440" w:header="720" w:footer="720" w:gutter="0"/>
      <w:pgNumType w:start="3"/>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9DB" w:rsidRDefault="00E56B6B">
      <w:pPr>
        <w:spacing w:before="0" w:after="0"/>
      </w:pPr>
      <w:r>
        <w:separator/>
      </w:r>
    </w:p>
  </w:endnote>
  <w:endnote w:type="continuationSeparator" w:id="0">
    <w:p w:rsidR="008A19DB" w:rsidRDefault="00E56B6B">
      <w:pPr>
        <w:spacing w:before="0" w:after="0"/>
      </w:pPr>
      <w:r>
        <w:continuationSeparator/>
      </w:r>
    </w:p>
  </w:endnote>
  <w:endnote w:type="continuationNotice" w:id="1">
    <w:p w:rsidR="008A19DB" w:rsidRDefault="008A19D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EUAlbertina">
    <w:altName w:val="EU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venir 55">
    <w:charset w:val="00"/>
    <w:family w:val="auto"/>
    <w:pitch w:val="variable"/>
    <w:sig w:usb0="800000AF" w:usb1="5000204A" w:usb2="00000000" w:usb3="00000000" w:csb0="0000009B"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 w:name="NewBskvll BT">
    <w:altName w:val="Times New Roman"/>
    <w:charset w:val="00"/>
    <w:family w:val="roman"/>
    <w:pitch w:val="variable"/>
    <w:sig w:usb0="00000087" w:usb1="00000000" w:usb2="00000000" w:usb3="00000000" w:csb0="0000001B"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E56B6B">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E56B6B">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9995593"/>
      <w:docPartObj>
        <w:docPartGallery w:val="Page Numbers (Bottom of Page)"/>
        <w:docPartUnique/>
      </w:docPartObj>
    </w:sdtPr>
    <w:sdtEndPr>
      <w:rPr>
        <w:noProof/>
      </w:rPr>
    </w:sdtEndPr>
    <w:sdtContent>
      <w:p w:rsidR="008A19DB" w:rsidRDefault="00E56B6B">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8A19DB" w:rsidRDefault="008A19D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9DB" w:rsidRDefault="00E56B6B">
      <w:pPr>
        <w:spacing w:before="0" w:after="0"/>
      </w:pPr>
      <w:r>
        <w:separator/>
      </w:r>
    </w:p>
  </w:footnote>
  <w:footnote w:type="continuationSeparator" w:id="0">
    <w:p w:rsidR="008A19DB" w:rsidRDefault="00E56B6B">
      <w:pPr>
        <w:spacing w:before="0" w:after="0"/>
      </w:pPr>
      <w:r>
        <w:continuationSeparator/>
      </w:r>
    </w:p>
  </w:footnote>
  <w:footnote w:type="continuationNotice" w:id="1">
    <w:p w:rsidR="008A19DB" w:rsidRDefault="008A19DB">
      <w:pPr>
        <w:spacing w:before="0" w:after="0"/>
      </w:pPr>
    </w:p>
  </w:footnote>
  <w:footnote w:id="2">
    <w:p w:rsidR="008A19DB" w:rsidRDefault="00E56B6B">
      <w:pPr>
        <w:pStyle w:val="FootnoteText"/>
      </w:pPr>
      <w:r>
        <w:rPr>
          <w:rStyle w:val="FootnoteReference"/>
        </w:rPr>
        <w:footnoteRef/>
      </w:r>
      <w:r>
        <w:t xml:space="preserve"> </w:t>
      </w:r>
      <w:r>
        <w:rPr>
          <w:rStyle w:val="en"/>
        </w:rPr>
        <w:t xml:space="preserve">United Nations Environment Programme  - "The emissions gap report  2014. A UNEP synthesis report" </w:t>
      </w:r>
    </w:p>
  </w:footnote>
  <w:footnote w:id="3">
    <w:p w:rsidR="008A19DB" w:rsidRDefault="00E56B6B">
      <w:pPr>
        <w:pStyle w:val="FootnoteText"/>
        <w:ind w:left="142" w:hanging="142"/>
      </w:pPr>
      <w:r>
        <w:rPr>
          <w:rStyle w:val="FootnoteReference"/>
        </w:rPr>
        <w:footnoteRef/>
      </w:r>
      <w:r>
        <w:t xml:space="preserve"> This is equivalent to the EU’s long-standing objective of halving global emissions by 2050 compared to 1990, as reiterated by the Environment Council in it</w:t>
      </w:r>
      <w:r>
        <w:t>s conclusions of 28 October 2014.</w:t>
      </w:r>
    </w:p>
  </w:footnote>
  <w:footnote w:id="4">
    <w:p w:rsidR="008A19DB" w:rsidRDefault="00E56B6B">
      <w:pPr>
        <w:pStyle w:val="FootnoteText"/>
      </w:pPr>
      <w:r>
        <w:rPr>
          <w:rStyle w:val="FootnoteReference"/>
        </w:rPr>
        <w:footnoteRef/>
      </w:r>
      <w:r>
        <w:t xml:space="preserve"> COM(2011) 112 final: A roadmap for moving to a competitive low carbon economy in 2050</w:t>
      </w:r>
    </w:p>
  </w:footnote>
  <w:footnote w:id="5">
    <w:p w:rsidR="008A19DB" w:rsidRDefault="00E56B6B">
      <w:pPr>
        <w:pStyle w:val="FootnoteText"/>
      </w:pPr>
      <w:r>
        <w:rPr>
          <w:rStyle w:val="FootnoteReference"/>
        </w:rPr>
        <w:footnoteRef/>
      </w:r>
      <w:r>
        <w:t xml:space="preserve"> Articles 5 and 6 of Decision 1313/2013 of the European Council and of the Council on a Union Civil </w:t>
      </w:r>
    </w:p>
    <w:p w:rsidR="008A19DB" w:rsidRDefault="00E56B6B">
      <w:pPr>
        <w:pStyle w:val="FootnoteText"/>
      </w:pPr>
      <w:r>
        <w:t>Protection Mechanism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19DB" w:rsidRDefault="008A19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0A884AD4"/>
    <w:lvl w:ilvl="0">
      <w:start w:val="1"/>
      <w:numFmt w:val="bullet"/>
      <w:pStyle w:val="ListBullet4"/>
      <w:lvlText w:val=""/>
      <w:lvlJc w:val="left"/>
      <w:pPr>
        <w:tabs>
          <w:tab w:val="num" w:pos="1209"/>
        </w:tabs>
        <w:ind w:left="1209" w:hanging="360"/>
      </w:pPr>
      <w:rPr>
        <w:rFonts w:ascii="Symbol" w:hAnsi="Symbol" w:hint="default"/>
      </w:rPr>
    </w:lvl>
  </w:abstractNum>
  <w:abstractNum w:abstractNumId="1">
    <w:nsid w:val="FFFFFF82"/>
    <w:multiLevelType w:val="singleLevel"/>
    <w:tmpl w:val="87AAF8E2"/>
    <w:lvl w:ilvl="0">
      <w:start w:val="1"/>
      <w:numFmt w:val="bullet"/>
      <w:pStyle w:val="ListBullet3"/>
      <w:lvlText w:val=""/>
      <w:lvlJc w:val="left"/>
      <w:pPr>
        <w:tabs>
          <w:tab w:val="num" w:pos="926"/>
        </w:tabs>
        <w:ind w:left="926" w:hanging="360"/>
      </w:pPr>
      <w:rPr>
        <w:rFonts w:ascii="Symbol" w:hAnsi="Symbol" w:hint="default"/>
      </w:rPr>
    </w:lvl>
  </w:abstractNum>
  <w:abstractNum w:abstractNumId="2">
    <w:nsid w:val="FFFFFF83"/>
    <w:multiLevelType w:val="singleLevel"/>
    <w:tmpl w:val="E848B4B6"/>
    <w:lvl w:ilvl="0">
      <w:start w:val="1"/>
      <w:numFmt w:val="bullet"/>
      <w:pStyle w:val="ListBullet2"/>
      <w:lvlText w:val=""/>
      <w:lvlJc w:val="left"/>
      <w:pPr>
        <w:tabs>
          <w:tab w:val="num" w:pos="643"/>
        </w:tabs>
        <w:ind w:left="643" w:hanging="360"/>
      </w:pPr>
      <w:rPr>
        <w:rFonts w:ascii="Symbol" w:hAnsi="Symbol" w:hint="default"/>
      </w:rPr>
    </w:lvl>
  </w:abstractNum>
  <w:abstractNum w:abstractNumId="3">
    <w:nsid w:val="FFFFFF89"/>
    <w:multiLevelType w:val="singleLevel"/>
    <w:tmpl w:val="07C69E94"/>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02582B40"/>
    <w:multiLevelType w:val="hybridMultilevel"/>
    <w:tmpl w:val="CAB4E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C5E134B"/>
    <w:multiLevelType w:val="hybridMultilevel"/>
    <w:tmpl w:val="BE6471F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4CE6797"/>
    <w:multiLevelType w:val="hybridMultilevel"/>
    <w:tmpl w:val="C24C6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345104"/>
    <w:multiLevelType w:val="multilevel"/>
    <w:tmpl w:val="BD3E8A8E"/>
    <w:name w:val="List Bullet 2"/>
    <w:lvl w:ilvl="0">
      <w:start w:val="1"/>
      <w:numFmt w:val="decimal"/>
      <w:pStyle w:val="BoxTitle"/>
      <w:lvlText w:val="Box %1: "/>
      <w:lvlJc w:val="left"/>
      <w:pPr>
        <w:tabs>
          <w:tab w:val="num" w:pos="2520"/>
        </w:tabs>
        <w:ind w:left="1077" w:hanging="357"/>
      </w:pPr>
      <w:rPr>
        <w:rFonts w:cs="Times New Roman" w:hint="default"/>
      </w:rPr>
    </w:lvl>
    <w:lvl w:ilvl="1">
      <w:start w:val="1"/>
      <w:numFmt w:val="decimal"/>
      <w:lvlText w:val="%1.%2"/>
      <w:lvlJc w:val="left"/>
      <w:pPr>
        <w:tabs>
          <w:tab w:val="num" w:pos="1440"/>
        </w:tabs>
        <w:ind w:left="1296" w:hanging="576"/>
      </w:pPr>
      <w:rPr>
        <w:rFonts w:cs="Times New Roman" w:hint="default"/>
      </w:rPr>
    </w:lvl>
    <w:lvl w:ilvl="2">
      <w:start w:val="1"/>
      <w:numFmt w:val="decimal"/>
      <w:lvlRestart w:val="0"/>
      <w:lvlText w:val="Figure %1.%3:"/>
      <w:lvlJc w:val="left"/>
      <w:pPr>
        <w:tabs>
          <w:tab w:val="num" w:pos="32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8">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9">
    <w:nsid w:val="22BD64B5"/>
    <w:multiLevelType w:val="multilevel"/>
    <w:tmpl w:val="25D60FC2"/>
    <w:name w:val="List Bullet 3__1"/>
    <w:lvl w:ilvl="0">
      <w:start w:val="1"/>
      <w:numFmt w:val="decimal"/>
      <w:lvlRestart w:val="0"/>
      <w:pStyle w:val="ListNumber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3CC0674"/>
    <w:multiLevelType w:val="multilevel"/>
    <w:tmpl w:val="04988288"/>
    <w:name w:val="List Bullet 4"/>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AF76E7A"/>
    <w:multiLevelType w:val="singleLevel"/>
    <w:tmpl w:val="C74C5A32"/>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nsid w:val="2D820C1F"/>
    <w:multiLevelType w:val="singleLevel"/>
    <w:tmpl w:val="49B2A54A"/>
    <w:name w:val="List Number 4__1"/>
    <w:lvl w:ilvl="0">
      <w:start w:val="1"/>
      <w:numFmt w:val="bullet"/>
      <w:lvlRestart w:val="0"/>
      <w:pStyle w:val="Tyret1"/>
      <w:lvlText w:val="–"/>
      <w:lvlJc w:val="left"/>
      <w:pPr>
        <w:tabs>
          <w:tab w:val="num" w:pos="283"/>
        </w:tabs>
        <w:ind w:left="283" w:hanging="283"/>
      </w:pPr>
      <w:rPr>
        <w:rFonts w:ascii="Times New Roman" w:hAnsi="Times New Roman"/>
      </w:rPr>
    </w:lvl>
  </w:abstractNum>
  <w:abstractNum w:abstractNumId="14">
    <w:nsid w:val="2F5E543F"/>
    <w:multiLevelType w:val="hybridMultilevel"/>
    <w:tmpl w:val="85627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A5459E8"/>
    <w:multiLevelType w:val="singleLevel"/>
    <w:tmpl w:val="2188C922"/>
    <w:name w:val="Tiret 1"/>
    <w:lvl w:ilvl="0">
      <w:start w:val="1"/>
      <w:numFmt w:val="bullet"/>
      <w:lvlRestart w:val="0"/>
      <w:pStyle w:val="Tiret1"/>
      <w:lvlText w:val="–"/>
      <w:lvlJc w:val="left"/>
      <w:pPr>
        <w:tabs>
          <w:tab w:val="num" w:pos="1417"/>
        </w:tabs>
        <w:ind w:left="1417" w:hanging="567"/>
      </w:pPr>
    </w:lvl>
  </w:abstractNum>
  <w:abstractNum w:abstractNumId="16">
    <w:nsid w:val="3AA7680F"/>
    <w:multiLevelType w:val="multilevel"/>
    <w:tmpl w:val="A71ECCE2"/>
    <w:styleLink w:val="List13"/>
    <w:lvl w:ilvl="0">
      <w:start w:val="13"/>
      <w:numFmt w:val="decimal"/>
      <w:lvlText w:val="%1."/>
      <w:lvlJc w:val="left"/>
      <w:rPr>
        <w:position w:val="0"/>
        <w:rtl w:val="0"/>
      </w:rPr>
    </w:lvl>
    <w:lvl w:ilvl="1">
      <w:start w:val="1"/>
      <w:numFmt w:val="bullet"/>
      <w:lvlText w:val="•"/>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7">
    <w:nsid w:val="3BA736C9"/>
    <w:multiLevelType w:val="singleLevel"/>
    <w:tmpl w:val="F00A6C0C"/>
    <w:name w:val="Tiret 0"/>
    <w:lvl w:ilvl="0">
      <w:start w:val="1"/>
      <w:numFmt w:val="bullet"/>
      <w:lvlRestart w:val="0"/>
      <w:pStyle w:val="Tiret0"/>
      <w:lvlText w:val="–"/>
      <w:lvlJc w:val="left"/>
      <w:pPr>
        <w:tabs>
          <w:tab w:val="num" w:pos="850"/>
        </w:tabs>
        <w:ind w:left="850" w:hanging="850"/>
      </w:pPr>
    </w:lvl>
  </w:abstractNum>
  <w:abstractNum w:abstractNumId="18">
    <w:nsid w:val="3C90278F"/>
    <w:multiLevelType w:val="singleLevel"/>
    <w:tmpl w:val="0FE08974"/>
    <w:name w:val="Tiret 3"/>
    <w:lvl w:ilvl="0">
      <w:start w:val="1"/>
      <w:numFmt w:val="bullet"/>
      <w:lvlRestart w:val="0"/>
      <w:pStyle w:val="Tiret3"/>
      <w:lvlText w:val="–"/>
      <w:lvlJc w:val="left"/>
      <w:pPr>
        <w:tabs>
          <w:tab w:val="num" w:pos="2551"/>
        </w:tabs>
        <w:ind w:left="2551" w:hanging="567"/>
      </w:pPr>
    </w:lvl>
  </w:abstractNum>
  <w:abstractNum w:abstractNumId="19">
    <w:nsid w:val="40315490"/>
    <w:multiLevelType w:val="singleLevel"/>
    <w:tmpl w:val="1F86C700"/>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20">
    <w:nsid w:val="436A0D2B"/>
    <w:multiLevelType w:val="hybridMultilevel"/>
    <w:tmpl w:val="1BF86D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8842C30"/>
    <w:multiLevelType w:val="singleLevel"/>
    <w:tmpl w:val="4FA60B9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9F45E3A"/>
    <w:multiLevelType w:val="hybridMultilevel"/>
    <w:tmpl w:val="597EB3A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C616A25"/>
    <w:multiLevelType w:val="hybridMultilevel"/>
    <w:tmpl w:val="B13024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D9C188A"/>
    <w:multiLevelType w:val="hybridMultilevel"/>
    <w:tmpl w:val="22AED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4593082"/>
    <w:multiLevelType w:val="singleLevel"/>
    <w:tmpl w:val="EDE069AC"/>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4F80146"/>
    <w:multiLevelType w:val="multilevel"/>
    <w:tmpl w:val="C7B89B54"/>
    <w:lvl w:ilvl="0">
      <w:start w:val="1"/>
      <w:numFmt w:val="decimal"/>
      <w:lvlText w:val="%1"/>
      <w:lvlJc w:val="left"/>
      <w:pPr>
        <w:tabs>
          <w:tab w:val="num" w:pos="1152"/>
        </w:tabs>
        <w:ind w:left="1152" w:hanging="792"/>
      </w:pPr>
      <w:rPr>
        <w:rFonts w:cs="Times New Roman" w:hint="default"/>
      </w:rPr>
    </w:lvl>
    <w:lvl w:ilvl="1">
      <w:start w:val="1"/>
      <w:numFmt w:val="decimal"/>
      <w:lvlText w:val="%1.%2"/>
      <w:lvlJc w:val="left"/>
      <w:pPr>
        <w:tabs>
          <w:tab w:val="num" w:pos="1440"/>
        </w:tabs>
        <w:ind w:left="1296" w:hanging="576"/>
      </w:pPr>
      <w:rPr>
        <w:rFonts w:cs="Times New Roman" w:hint="default"/>
      </w:rPr>
    </w:lvl>
    <w:lvl w:ilvl="2">
      <w:start w:val="1"/>
      <w:numFmt w:val="decimal"/>
      <w:lvlText w:val="%1.%2.%3"/>
      <w:lvlJc w:val="left"/>
      <w:pPr>
        <w:tabs>
          <w:tab w:val="num" w:pos="180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pStyle w:val="Heading5"/>
      <w:lvlText w:val="%1.%2.%3.%4.%5"/>
      <w:lvlJc w:val="left"/>
      <w:pPr>
        <w:tabs>
          <w:tab w:val="num" w:pos="1728"/>
        </w:tabs>
        <w:ind w:left="1728" w:hanging="1008"/>
      </w:pPr>
      <w:rPr>
        <w:rFonts w:cs="Times New Roman" w:hint="default"/>
      </w:rPr>
    </w:lvl>
    <w:lvl w:ilvl="5">
      <w:start w:val="1"/>
      <w:numFmt w:val="decimal"/>
      <w:pStyle w:val="Heading6"/>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27">
    <w:nsid w:val="568864DC"/>
    <w:multiLevelType w:val="singleLevel"/>
    <w:tmpl w:val="485EBDAC"/>
    <w:name w:val="Tiret 4"/>
    <w:lvl w:ilvl="0">
      <w:start w:val="1"/>
      <w:numFmt w:val="bullet"/>
      <w:lvlRestart w:val="0"/>
      <w:pStyle w:val="Tiret4"/>
      <w:lvlText w:val="–"/>
      <w:lvlJc w:val="left"/>
      <w:pPr>
        <w:tabs>
          <w:tab w:val="num" w:pos="3118"/>
        </w:tabs>
        <w:ind w:left="3118" w:hanging="567"/>
      </w:pPr>
    </w:lvl>
  </w:abstractNum>
  <w:abstractNum w:abstractNumId="28">
    <w:nsid w:val="596D67A1"/>
    <w:multiLevelType w:val="singleLevel"/>
    <w:tmpl w:val="9AC8831A"/>
    <w:lvl w:ilvl="0">
      <w:start w:val="1"/>
      <w:numFmt w:val="bullet"/>
      <w:lvlRestart w:val="0"/>
      <w:pStyle w:val="ListDash2"/>
      <w:lvlText w:val="–"/>
      <w:lvlJc w:val="left"/>
      <w:pPr>
        <w:tabs>
          <w:tab w:val="num" w:pos="1134"/>
        </w:tabs>
        <w:ind w:left="1134" w:hanging="283"/>
      </w:pPr>
      <w:rPr>
        <w:rFonts w:ascii="Times New Roman" w:hAnsi="Times New Roman"/>
      </w:rPr>
    </w:lvl>
  </w:abstractNum>
  <w:abstractNum w:abstractNumId="29">
    <w:nsid w:val="5BCD0205"/>
    <w:multiLevelType w:val="hybridMultilevel"/>
    <w:tmpl w:val="5B509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F342530"/>
    <w:multiLevelType w:val="singleLevel"/>
    <w:tmpl w:val="D5444702"/>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nsid w:val="5F9C40AA"/>
    <w:multiLevelType w:val="singleLevel"/>
    <w:tmpl w:val="B89CB5A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nsid w:val="6212116F"/>
    <w:multiLevelType w:val="hybridMultilevel"/>
    <w:tmpl w:val="5000A0C4"/>
    <w:lvl w:ilvl="0" w:tplc="FFFFFFFF">
      <w:start w:val="1"/>
      <w:numFmt w:val="bullet"/>
      <w:pStyle w:val="Keymessage"/>
      <w:lvlText w:val=""/>
      <w:lvlJc w:val="left"/>
      <w:pPr>
        <w:tabs>
          <w:tab w:val="num" w:pos="360"/>
        </w:tabs>
        <w:ind w:left="360" w:hanging="360"/>
      </w:pPr>
      <w:rPr>
        <w:rFonts w:ascii="Symbol" w:hAnsi="Symbol" w:hint="default"/>
      </w:rPr>
    </w:lvl>
    <w:lvl w:ilvl="1" w:tplc="FFFFFFFF">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3">
    <w:nsid w:val="62970F71"/>
    <w:multiLevelType w:val="singleLevel"/>
    <w:tmpl w:val="5AFA8C72"/>
    <w:name w:val="Tiret 2"/>
    <w:lvl w:ilvl="0">
      <w:start w:val="1"/>
      <w:numFmt w:val="bullet"/>
      <w:lvlRestart w:val="0"/>
      <w:pStyle w:val="Tiret2"/>
      <w:lvlText w:val="–"/>
      <w:lvlJc w:val="left"/>
      <w:pPr>
        <w:tabs>
          <w:tab w:val="num" w:pos="1984"/>
        </w:tabs>
        <w:ind w:left="1984" w:hanging="567"/>
      </w:pPr>
    </w:lvl>
  </w:abstractNum>
  <w:abstractNum w:abstractNumId="34">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35">
    <w:nsid w:val="64A12FA4"/>
    <w:multiLevelType w:val="multilevel"/>
    <w:tmpl w:val="9FBC9ABA"/>
    <w:name w:val="0,6812207"/>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68014ED3"/>
    <w:multiLevelType w:val="hybridMultilevel"/>
    <w:tmpl w:val="84145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90F27FB"/>
    <w:multiLevelType w:val="hybridMultilevel"/>
    <w:tmpl w:val="20CEE44C"/>
    <w:lvl w:ilvl="0" w:tplc="F5BAA240">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9995580"/>
    <w:multiLevelType w:val="singleLevel"/>
    <w:tmpl w:val="75CC7CBA"/>
    <w:name w:val="Considérant"/>
    <w:lvl w:ilvl="0">
      <w:start w:val="1"/>
      <w:numFmt w:val="decimal"/>
      <w:lvlRestart w:val="0"/>
      <w:pStyle w:val="Considrant"/>
      <w:lvlText w:val="(%1)"/>
      <w:lvlJc w:val="left"/>
      <w:pPr>
        <w:tabs>
          <w:tab w:val="num" w:pos="709"/>
        </w:tabs>
        <w:ind w:left="709" w:hanging="709"/>
      </w:pPr>
    </w:lvl>
  </w:abstractNum>
  <w:abstractNum w:abstractNumId="39">
    <w:nsid w:val="6A6901C1"/>
    <w:multiLevelType w:val="singleLevel"/>
    <w:tmpl w:val="208841AE"/>
    <w:name w:val="0,557232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0">
    <w:nsid w:val="6D937139"/>
    <w:multiLevelType w:val="hybridMultilevel"/>
    <w:tmpl w:val="E9867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5C26F71"/>
    <w:multiLevelType w:val="multilevel"/>
    <w:tmpl w:val="E01E7708"/>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7967710"/>
    <w:multiLevelType w:val="multilevel"/>
    <w:tmpl w:val="96CA5D34"/>
    <w:name w:val="Default"/>
    <w:lvl w:ilvl="0">
      <w:start w:val="1"/>
      <w:numFmt w:val="decimal"/>
      <w:lvlRestart w:val="0"/>
      <w:pStyle w:val="ListNumber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8A241BD"/>
    <w:multiLevelType w:val="singleLevel"/>
    <w:tmpl w:val="53C4DF32"/>
    <w:name w:val="List Number"/>
    <w:lvl w:ilvl="0">
      <w:start w:val="1"/>
      <w:numFmt w:val="bullet"/>
      <w:lvlRestart w:val="0"/>
      <w:pStyle w:val="ListDash3"/>
      <w:lvlText w:val="–"/>
      <w:lvlJc w:val="left"/>
      <w:pPr>
        <w:tabs>
          <w:tab w:val="num" w:pos="1134"/>
        </w:tabs>
        <w:ind w:left="1134" w:hanging="283"/>
      </w:pPr>
      <w:rPr>
        <w:rFonts w:ascii="Times New Roman" w:hAnsi="Times New Roman"/>
      </w:rPr>
    </w:lvl>
  </w:abstractNum>
  <w:abstractNum w:abstractNumId="45">
    <w:nsid w:val="79C96D36"/>
    <w:multiLevelType w:val="multilevel"/>
    <w:tmpl w:val="BE983CE4"/>
    <w:lvl w:ilvl="0">
      <w:start w:val="1"/>
      <w:numFmt w:val="decimal"/>
      <w:lvlRestart w:val="0"/>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6">
    <w:nsid w:val="7BE95D7F"/>
    <w:multiLevelType w:val="multilevel"/>
    <w:tmpl w:val="F126F78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7">
    <w:nsid w:val="7D017163"/>
    <w:multiLevelType w:val="hybridMultilevel"/>
    <w:tmpl w:val="85BAC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rPr>
    </w:lvl>
  </w:abstractNum>
  <w:abstractNum w:abstractNumId="49">
    <w:nsid w:val="7EFE37DD"/>
    <w:multiLevelType w:val="multilevel"/>
    <w:tmpl w:val="7FF8D8A2"/>
    <w:name w:val="List Number 3__1"/>
    <w:lvl w:ilvl="0">
      <w:start w:val="1"/>
      <w:numFmt w:val="decimal"/>
      <w:lvlRestart w:val="0"/>
      <w:pStyle w:val="ListNumber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2"/>
  </w:num>
  <w:num w:numId="3">
    <w:abstractNumId w:val="31"/>
  </w:num>
  <w:num w:numId="4">
    <w:abstractNumId w:val="30"/>
  </w:num>
  <w:num w:numId="5">
    <w:abstractNumId w:val="21"/>
  </w:num>
  <w:num w:numId="6">
    <w:abstractNumId w:val="38"/>
  </w:num>
  <w:num w:numId="7">
    <w:abstractNumId w:val="42"/>
  </w:num>
  <w:num w:numId="8">
    <w:abstractNumId w:val="41"/>
  </w:num>
  <w:num w:numId="9">
    <w:abstractNumId w:val="46"/>
  </w:num>
  <w:num w:numId="10">
    <w:abstractNumId w:val="17"/>
  </w:num>
  <w:num w:numId="11">
    <w:abstractNumId w:val="15"/>
  </w:num>
  <w:num w:numId="12">
    <w:abstractNumId w:val="33"/>
  </w:num>
  <w:num w:numId="13">
    <w:abstractNumId w:val="18"/>
  </w:num>
  <w:num w:numId="14">
    <w:abstractNumId w:val="27"/>
  </w:num>
  <w:num w:numId="15">
    <w:abstractNumId w:val="3"/>
  </w:num>
  <w:num w:numId="16">
    <w:abstractNumId w:val="2"/>
  </w:num>
  <w:num w:numId="17">
    <w:abstractNumId w:val="1"/>
  </w:num>
  <w:num w:numId="18">
    <w:abstractNumId w:val="0"/>
  </w:num>
  <w:num w:numId="19">
    <w:abstractNumId w:val="39"/>
  </w:num>
  <w:num w:numId="20">
    <w:abstractNumId w:val="19"/>
  </w:num>
  <w:num w:numId="21">
    <w:abstractNumId w:val="34"/>
  </w:num>
  <w:num w:numId="22">
    <w:abstractNumId w:val="28"/>
  </w:num>
  <w:num w:numId="23">
    <w:abstractNumId w:val="44"/>
  </w:num>
  <w:num w:numId="24">
    <w:abstractNumId w:val="48"/>
  </w:num>
  <w:num w:numId="25">
    <w:abstractNumId w:val="45"/>
  </w:num>
  <w:num w:numId="26">
    <w:abstractNumId w:val="13"/>
  </w:num>
  <w:num w:numId="27">
    <w:abstractNumId w:val="9"/>
  </w:num>
  <w:num w:numId="28">
    <w:abstractNumId w:val="43"/>
  </w:num>
  <w:num w:numId="29">
    <w:abstractNumId w:val="49"/>
  </w:num>
  <w:num w:numId="30">
    <w:abstractNumId w:val="11"/>
  </w:num>
  <w:num w:numId="31">
    <w:abstractNumId w:val="7"/>
  </w:num>
  <w:num w:numId="32">
    <w:abstractNumId w:val="26"/>
  </w:num>
  <w:num w:numId="33">
    <w:abstractNumId w:val="32"/>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16"/>
  </w:num>
  <w:num w:numId="37">
    <w:abstractNumId w:val="22"/>
  </w:num>
  <w:num w:numId="38">
    <w:abstractNumId w:val="29"/>
  </w:num>
  <w:num w:numId="39">
    <w:abstractNumId w:val="37"/>
  </w:num>
  <w:num w:numId="40">
    <w:abstractNumId w:val="5"/>
  </w:num>
  <w:num w:numId="41">
    <w:abstractNumId w:val="47"/>
  </w:num>
  <w:num w:numId="42">
    <w:abstractNumId w:val="23"/>
  </w:num>
  <w:num w:numId="43">
    <w:abstractNumId w:val="20"/>
  </w:num>
  <w:num w:numId="44">
    <w:abstractNumId w:val="40"/>
  </w:num>
  <w:num w:numId="45">
    <w:abstractNumId w:val="24"/>
  </w:num>
  <w:num w:numId="46">
    <w:abstractNumId w:val="6"/>
  </w:num>
  <w:num w:numId="47">
    <w:abstractNumId w:val="14"/>
  </w:num>
  <w:num w:numId="48">
    <w:abstractNumId w:val="36"/>
  </w:num>
  <w:num w:numId="49">
    <w:abstractNumId w:val="4"/>
  </w:num>
  <w:num w:numId="50">
    <w:abstractNumId w:val="37"/>
  </w:num>
  <w:num w:numId="51">
    <w:abstractNumId w:val="37"/>
  </w:num>
  <w:num w:numId="52">
    <w:abstractNumId w:val="3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characterSpacingControl w:val="doNotCompress"/>
  <w:footnotePr>
    <w:footnote w:id="-1"/>
    <w:footnote w:id="0"/>
    <w:footnote w:id="1"/>
  </w:footnotePr>
  <w:endnotePr>
    <w:endnote w:id="-1"/>
    <w:endnote w:id="0"/>
    <w:endnote w:id="1"/>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30375BBFA00F46ACA530423443B84310"/>
    <w:docVar w:name="LW_CROSSREFERENCE" w:val="{SWD(2015) 17 final}"/>
    <w:docVar w:name="LW_DocType" w:val="NORMAL"/>
    <w:docVar w:name="LW_EMISSION" w:val="25.2.2015"/>
    <w:docVar w:name="LW_EMISSION_ISODATE" w:val="2015-02-25"/>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81"/>
    <w:docVar w:name="LW_REF.INTERNE" w:val="&lt;UNUSED&gt;"/>
    <w:docVar w:name="LW_SOUS.TITRE.OBJ.CP" w:val="&lt;UNUSED&gt;"/>
    <w:docVar w:name="LW_SUPERTITRE" w:val="ENERGY UNION PACKAGE"/>
    <w:docVar w:name="LW_TITRE.OBJ.CP" w:val="The Paris Protocol \u8211? A blueprint for tackling global climate change beyond 2020"/>
    <w:docVar w:name="LW_TYPE.DOC.CP" w:val="COMMUNICATION FROM THE COMMISSION TO THE EUROPEAN PARLIAMENT AND THE COUNCIL"/>
    <w:docVar w:name="LW_TYPE.DOC.CP.USERTEXT" w:val="&lt;EMPTY&gt;"/>
  </w:docVars>
  <w:rsids>
    <w:rsidRoot w:val="008A19DB"/>
    <w:rsid w:val="008A19DB"/>
    <w:rsid w:val="00E56B6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lang w:eastAsia="en-US"/>
    </w:rPr>
  </w:style>
  <w:style w:type="paragraph" w:styleId="Heading1">
    <w:name w:val="heading 1"/>
    <w:basedOn w:val="Normal"/>
    <w:next w:val="Normal"/>
    <w:link w:val="Heading1Char"/>
    <w:uiPriority w:val="9"/>
    <w:qFormat/>
    <w:pPr>
      <w:keepNext/>
      <w:numPr>
        <w:numId w:val="7"/>
      </w:numPr>
      <w:spacing w:before="360"/>
      <w:outlineLvl w:val="0"/>
    </w:pPr>
    <w:rPr>
      <w:b/>
      <w:bCs/>
      <w:smallCaps/>
      <w:szCs w:val="32"/>
    </w:rPr>
  </w:style>
  <w:style w:type="paragraph" w:styleId="Heading2">
    <w:name w:val="heading 2"/>
    <w:basedOn w:val="Normal"/>
    <w:next w:val="Normal"/>
    <w:link w:val="Heading2Char"/>
    <w:uiPriority w:val="9"/>
    <w:qFormat/>
    <w:pPr>
      <w:keepNext/>
      <w:numPr>
        <w:ilvl w:val="1"/>
        <w:numId w:val="7"/>
      </w:numPr>
      <w:outlineLvl w:val="1"/>
    </w:pPr>
    <w:rPr>
      <w:b/>
      <w:bCs/>
      <w:iCs/>
      <w:szCs w:val="28"/>
    </w:rPr>
  </w:style>
  <w:style w:type="paragraph" w:styleId="Heading3">
    <w:name w:val="heading 3"/>
    <w:basedOn w:val="Normal"/>
    <w:next w:val="Normal"/>
    <w:link w:val="Heading3Char"/>
    <w:uiPriority w:val="9"/>
    <w:qFormat/>
    <w:pPr>
      <w:keepNext/>
      <w:numPr>
        <w:ilvl w:val="2"/>
        <w:numId w:val="7"/>
      </w:numPr>
      <w:outlineLvl w:val="2"/>
    </w:pPr>
    <w:rPr>
      <w:bCs/>
      <w:i/>
      <w:szCs w:val="26"/>
    </w:rPr>
  </w:style>
  <w:style w:type="paragraph" w:styleId="Heading4">
    <w:name w:val="heading 4"/>
    <w:basedOn w:val="Normal"/>
    <w:next w:val="Normal"/>
    <w:link w:val="Heading4Char"/>
    <w:uiPriority w:val="9"/>
    <w:qFormat/>
    <w:pPr>
      <w:keepNext/>
      <w:numPr>
        <w:ilvl w:val="3"/>
        <w:numId w:val="7"/>
      </w:numPr>
      <w:outlineLvl w:val="3"/>
    </w:pPr>
    <w:rPr>
      <w:bCs/>
      <w:szCs w:val="28"/>
    </w:rPr>
  </w:style>
  <w:style w:type="paragraph" w:styleId="Heading5">
    <w:name w:val="heading 5"/>
    <w:basedOn w:val="Normal"/>
    <w:next w:val="Normal"/>
    <w:link w:val="Heading5Char"/>
    <w:uiPriority w:val="9"/>
    <w:qFormat/>
    <w:pPr>
      <w:numPr>
        <w:ilvl w:val="4"/>
        <w:numId w:val="32"/>
      </w:numPr>
      <w:tabs>
        <w:tab w:val="clear" w:pos="1728"/>
        <w:tab w:val="num" w:pos="1368"/>
      </w:tabs>
      <w:spacing w:before="240" w:after="60"/>
      <w:ind w:left="1368"/>
      <w:jc w:val="left"/>
      <w:outlineLvl w:val="4"/>
    </w:pPr>
    <w:rPr>
      <w:b/>
      <w:bCs/>
      <w:i/>
      <w:iCs/>
      <w:sz w:val="26"/>
      <w:szCs w:val="26"/>
      <w:lang w:val="x-none" w:eastAsia="en-GB"/>
    </w:rPr>
  </w:style>
  <w:style w:type="paragraph" w:styleId="Heading6">
    <w:name w:val="heading 6"/>
    <w:basedOn w:val="Normal"/>
    <w:next w:val="Normal"/>
    <w:link w:val="Heading6Char"/>
    <w:uiPriority w:val="9"/>
    <w:qFormat/>
    <w:pPr>
      <w:numPr>
        <w:ilvl w:val="5"/>
        <w:numId w:val="32"/>
      </w:numPr>
      <w:tabs>
        <w:tab w:val="clear" w:pos="1872"/>
        <w:tab w:val="num" w:pos="1512"/>
      </w:tabs>
      <w:spacing w:before="240" w:after="60"/>
      <w:ind w:left="1512"/>
      <w:jc w:val="left"/>
      <w:outlineLvl w:val="5"/>
    </w:pPr>
    <w:rPr>
      <w:b/>
      <w:bCs/>
      <w:sz w:val="22"/>
      <w:szCs w:val="22"/>
      <w:lang w:val="x-none" w:eastAsia="en-GB"/>
    </w:rPr>
  </w:style>
  <w:style w:type="paragraph" w:styleId="Heading7">
    <w:name w:val="heading 7"/>
    <w:basedOn w:val="Normal"/>
    <w:next w:val="Normal"/>
    <w:link w:val="Heading7Char"/>
    <w:uiPriority w:val="9"/>
    <w:qFormat/>
    <w:pPr>
      <w:keepNext/>
      <w:spacing w:before="0" w:after="0"/>
      <w:outlineLvl w:val="6"/>
    </w:pPr>
    <w:rPr>
      <w:b/>
      <w:bCs/>
      <w:sz w:val="18"/>
      <w:szCs w:val="20"/>
      <w:lang w:val="en-US" w:eastAsia="zh-CN"/>
    </w:rPr>
  </w:style>
  <w:style w:type="paragraph" w:styleId="Heading8">
    <w:name w:val="heading 8"/>
    <w:basedOn w:val="Normal"/>
    <w:next w:val="Normal"/>
    <w:link w:val="Heading8Char"/>
    <w:uiPriority w:val="9"/>
    <w:qFormat/>
    <w:pPr>
      <w:tabs>
        <w:tab w:val="num" w:pos="2700"/>
      </w:tabs>
      <w:spacing w:before="240" w:after="60"/>
      <w:ind w:left="2700" w:hanging="1440"/>
      <w:jc w:val="left"/>
      <w:outlineLvl w:val="7"/>
    </w:pPr>
    <w:rPr>
      <w:rFonts w:ascii="Palatino Linotype" w:hAnsi="Palatino Linotype"/>
      <w:i/>
      <w:iCs/>
      <w:sz w:val="22"/>
      <w:lang w:val="x-none" w:eastAsia="de-DE"/>
    </w:rPr>
  </w:style>
  <w:style w:type="paragraph" w:styleId="Heading9">
    <w:name w:val="heading 9"/>
    <w:basedOn w:val="Normal"/>
    <w:next w:val="Normal"/>
    <w:link w:val="Heading9Char"/>
    <w:uiPriority w:val="9"/>
    <w:qFormat/>
    <w:pPr>
      <w:tabs>
        <w:tab w:val="num" w:pos="2844"/>
      </w:tabs>
      <w:spacing w:before="240" w:after="60"/>
      <w:ind w:left="2844" w:hanging="1584"/>
      <w:jc w:val="left"/>
      <w:outlineLvl w:val="8"/>
    </w:pPr>
    <w:rPr>
      <w:rFonts w:ascii="Arial" w:hAnsi="Arial"/>
      <w:sz w:val="22"/>
      <w:szCs w:val="22"/>
      <w:lang w:val="x-non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pPr>
      <w:spacing w:before="0" w:after="240"/>
      <w:jc w:val="center"/>
    </w:pPr>
    <w:rPr>
      <w:b/>
      <w:i/>
    </w:rPr>
  </w:style>
  <w:style w:type="paragraph" w:customStyle="1" w:styleId="AccompagnantPagedecouverture">
    <w:name w:val="Accompagnant (Page de couverture)"/>
    <w:basedOn w:val="Accompagnant"/>
    <w:next w:val="Normal"/>
  </w:style>
  <w:style w:type="character" w:customStyle="1" w:styleId="Added">
    <w:name w:val="Added"/>
    <w:rPr>
      <w:b/>
      <w:u w:val="singl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Annexetitre">
    <w:name w:val="Annexe titre"/>
    <w:basedOn w:val="Normal"/>
    <w:next w:val="Normal"/>
    <w:pPr>
      <w:jc w:val="center"/>
    </w:pPr>
    <w:rPr>
      <w:b/>
      <w:u w:val="single"/>
    </w:rPr>
  </w:style>
  <w:style w:type="paragraph" w:customStyle="1" w:styleId="Annexetitreexpos">
    <w:name w:val="Annexe titre (exposé)"/>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Normal"/>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Bullet0">
    <w:name w:val="Bullet 0"/>
    <w:basedOn w:val="Normal"/>
    <w:pPr>
      <w:numPr>
        <w:numId w:val="1"/>
      </w:numPr>
    </w:pPr>
  </w:style>
  <w:style w:type="paragraph" w:customStyle="1" w:styleId="Bullet1">
    <w:name w:val="Bullet 1"/>
    <w:basedOn w:val="Normal"/>
    <w:pPr>
      <w:numPr>
        <w:numId w:val="2"/>
      </w:numPr>
    </w:pPr>
  </w:style>
  <w:style w:type="paragraph" w:customStyle="1" w:styleId="Bullet2">
    <w:name w:val="Bullet 2"/>
    <w:basedOn w:val="Normal"/>
    <w:pPr>
      <w:numPr>
        <w:numId w:val="3"/>
      </w:numPr>
    </w:pPr>
  </w:style>
  <w:style w:type="paragraph" w:customStyle="1" w:styleId="Bullet3">
    <w:name w:val="Bullet 3"/>
    <w:basedOn w:val="Normal"/>
    <w:pPr>
      <w:numPr>
        <w:numId w:val="4"/>
      </w:numPr>
    </w:pPr>
  </w:style>
  <w:style w:type="paragraph" w:customStyle="1" w:styleId="Bullet4">
    <w:name w:val="Bullet 4"/>
    <w:basedOn w:val="Normal"/>
    <w:pPr>
      <w:numPr>
        <w:numId w:val="5"/>
      </w:numPr>
    </w:pPr>
  </w:style>
  <w:style w:type="paragraph" w:customStyle="1" w:styleId="ChapterTitle">
    <w:name w:val="ChapterTitle"/>
    <w:basedOn w:val="Normal"/>
    <w:next w:val="Normal"/>
    <w:pPr>
      <w:keepNext/>
      <w:spacing w:after="360"/>
      <w:jc w:val="center"/>
    </w:pPr>
    <w:rPr>
      <w:b/>
      <w:sz w:val="32"/>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u w:val="single"/>
    </w:rPr>
  </w:style>
  <w:style w:type="paragraph" w:customStyle="1" w:styleId="Considrant">
    <w:name w:val="Considérant"/>
    <w:basedOn w:val="Normal"/>
    <w:pPr>
      <w:numPr>
        <w:numId w:val="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Normal"/>
    <w:pPr>
      <w:spacing w:before="360" w:after="0"/>
      <w:jc w:val="center"/>
    </w:pPr>
    <w:rPr>
      <w:b/>
    </w:rPr>
  </w:style>
  <w:style w:type="paragraph" w:customStyle="1" w:styleId="DatedadoptionPagedecouverture">
    <w:name w:val="Date d'adoption (Page de couverture)"/>
    <w:basedOn w:val="Datedadoption"/>
    <w:next w:val="Normal"/>
  </w:style>
  <w:style w:type="character" w:customStyle="1" w:styleId="Deleted">
    <w:name w:val="Deleted"/>
    <w:rPr>
      <w:strike/>
      <w:shd w:val="clear" w:color="auto" w:fill="auto"/>
    </w:rPr>
  </w:style>
  <w:style w:type="paragraph" w:customStyle="1" w:styleId="Emission">
    <w:name w:val="Emission"/>
    <w:basedOn w:val="Normal"/>
    <w:next w:val="Normal"/>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Normal"/>
    <w:pPr>
      <w:keepNext/>
      <w:spacing w:after="0"/>
    </w:pPr>
  </w:style>
  <w:style w:type="paragraph" w:customStyle="1" w:styleId="Fichefinanciretitre">
    <w:name w:val="Fiche financière titre"/>
    <w:basedOn w:val="Normal"/>
    <w:next w:val="Normal"/>
    <w:pPr>
      <w:jc w:val="center"/>
    </w:pPr>
    <w:rPr>
      <w:b/>
      <w:u w:val="single"/>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rPr>
      <w:shd w:val="clear" w:color="auto" w:fill="auto"/>
      <w:vertAlign w:val="superscript"/>
    </w:rPr>
  </w:style>
  <w:style w:type="paragraph" w:styleId="FootnoteText">
    <w:name w:val="footnote text"/>
    <w:basedOn w:val="Normal"/>
    <w:link w:val="FootnoteTextChar"/>
    <w:uiPriority w:val="99"/>
    <w:pPr>
      <w:spacing w:before="0" w:after="0"/>
      <w:ind w:left="720" w:hanging="720"/>
    </w:pPr>
    <w:rPr>
      <w:sz w:val="20"/>
      <w:szCs w:val="20"/>
    </w:rPr>
  </w:style>
  <w:style w:type="paragraph" w:customStyle="1" w:styleId="Formuledadoption">
    <w:name w:val="Formule d'adoption"/>
    <w:basedOn w:val="Normal"/>
    <w:next w:val="Normal"/>
    <w:pPr>
      <w:keepNext/>
    </w:pPr>
  </w:style>
  <w:style w:type="paragraph" w:styleId="Header">
    <w:name w:val="header"/>
    <w:basedOn w:val="Normal"/>
    <w:link w:val="HeaderChar"/>
    <w:uiPriority w:val="99"/>
    <w:pPr>
      <w:tabs>
        <w:tab w:val="center" w:pos="4535"/>
        <w:tab w:val="right" w:pos="9071"/>
      </w:tabs>
    </w:pPr>
  </w:style>
  <w:style w:type="paragraph" w:customStyle="1" w:styleId="HeaderLandscape">
    <w:name w:val="HeaderLandscape"/>
    <w:basedOn w:val="Normal"/>
    <w:pPr>
      <w:tabs>
        <w:tab w:val="center" w:pos="7285"/>
        <w:tab w:val="right" w:pos="14003"/>
      </w:tabs>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Languesfaisantfoi">
    <w:name w:val="Langues faisant foi"/>
    <w:basedOn w:val="Normal"/>
    <w:next w:val="Normal"/>
    <w:pPr>
      <w:spacing w:before="360" w:after="0"/>
      <w:jc w:val="center"/>
    </w:pPr>
  </w:style>
  <w:style w:type="paragraph" w:customStyle="1" w:styleId="IntrtEEE">
    <w:name w:val="Intérêt EEE"/>
    <w:basedOn w:val="Languesfaisantfoi"/>
    <w:next w:val="Normal"/>
    <w:pPr>
      <w:spacing w:after="240"/>
    </w:pPr>
  </w:style>
  <w:style w:type="paragraph" w:customStyle="1" w:styleId="IntrtEEEPagedecouverture">
    <w:name w:val="Intérêt EEE (Page de couverture)"/>
    <w:basedOn w:val="IntrtEEE"/>
    <w:next w:val="Normal"/>
  </w:style>
  <w:style w:type="paragraph" w:customStyle="1" w:styleId="Langue">
    <w:name w:val="Langue"/>
    <w:basedOn w:val="Normal"/>
    <w:next w:val="Normal"/>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Normal"/>
    <w:pPr>
      <w:spacing w:before="360" w:after="0"/>
      <w:jc w:val="center"/>
    </w:pPr>
  </w:style>
  <w:style w:type="paragraph" w:customStyle="1" w:styleId="ManualConsidrant">
    <w:name w:val="Manual Considérant"/>
    <w:basedOn w:val="Normal"/>
    <w:pPr>
      <w:ind w:left="709" w:hanging="709"/>
    </w:p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ManualHeading3">
    <w:name w:val="Manual Heading 3"/>
    <w:basedOn w:val="Normal"/>
    <w:next w:val="Normal"/>
    <w:pPr>
      <w:keepNext/>
      <w:tabs>
        <w:tab w:val="left" w:pos="850"/>
      </w:tabs>
      <w:ind w:left="850" w:hanging="850"/>
      <w:outlineLvl w:val="2"/>
    </w:pPr>
    <w:rPr>
      <w:i/>
    </w:rPr>
  </w:style>
  <w:style w:type="paragraph" w:customStyle="1" w:styleId="ManualHeading4">
    <w:name w:val="Manual Heading 4"/>
    <w:basedOn w:val="Normal"/>
    <w:next w:val="Normal"/>
    <w:pPr>
      <w:keepNext/>
      <w:tabs>
        <w:tab w:val="left" w:pos="850"/>
      </w:tabs>
      <w:ind w:left="850" w:hanging="850"/>
      <w:outlineLvl w:val="3"/>
    </w:pPr>
  </w:style>
  <w:style w:type="paragraph" w:customStyle="1" w:styleId="ManualNumPar1">
    <w:name w:val="Manual NumPar 1"/>
    <w:basedOn w:val="Normal"/>
    <w:next w:val="Normal"/>
    <w:pPr>
      <w:ind w:left="850" w:hanging="850"/>
    </w:pPr>
  </w:style>
  <w:style w:type="paragraph" w:customStyle="1" w:styleId="ManualNumPar2">
    <w:name w:val="Manual NumPar 2"/>
    <w:basedOn w:val="Normal"/>
    <w:next w:val="Normal"/>
    <w:pPr>
      <w:ind w:left="850" w:hanging="850"/>
    </w:pPr>
  </w:style>
  <w:style w:type="paragraph" w:customStyle="1" w:styleId="ManualNumPar3">
    <w:name w:val="Manual NumPar 3"/>
    <w:basedOn w:val="Normal"/>
    <w:next w:val="Normal"/>
    <w:pPr>
      <w:ind w:left="850" w:hanging="850"/>
    </w:pPr>
  </w:style>
  <w:style w:type="paragraph" w:customStyle="1" w:styleId="ManualNumPar4">
    <w:name w:val="Manual NumPar 4"/>
    <w:basedOn w:val="Normal"/>
    <w:next w:val="Normal"/>
    <w:pPr>
      <w:ind w:left="850" w:hanging="850"/>
    </w:p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NumPar1">
    <w:name w:val="NumPar 1"/>
    <w:basedOn w:val="Normal"/>
    <w:next w:val="Normal"/>
    <w:pPr>
      <w:numPr>
        <w:numId w:val="8"/>
      </w:numPr>
    </w:pPr>
  </w:style>
  <w:style w:type="paragraph" w:customStyle="1" w:styleId="NumPar2">
    <w:name w:val="NumPar 2"/>
    <w:basedOn w:val="Normal"/>
    <w:next w:val="Normal"/>
    <w:pPr>
      <w:numPr>
        <w:ilvl w:val="1"/>
        <w:numId w:val="8"/>
      </w:numPr>
    </w:pPr>
  </w:style>
  <w:style w:type="paragraph" w:customStyle="1" w:styleId="NumPar3">
    <w:name w:val="NumPar 3"/>
    <w:basedOn w:val="Normal"/>
    <w:next w:val="Normal"/>
    <w:pPr>
      <w:numPr>
        <w:ilvl w:val="2"/>
        <w:numId w:val="8"/>
      </w:numPr>
    </w:pPr>
  </w:style>
  <w:style w:type="paragraph" w:customStyle="1" w:styleId="NumPar4">
    <w:name w:val="NumPar 4"/>
    <w:basedOn w:val="Normal"/>
    <w:next w:val="Normal"/>
    <w:pPr>
      <w:numPr>
        <w:ilvl w:val="3"/>
        <w:numId w:val="8"/>
      </w:numPr>
    </w:pPr>
  </w:style>
  <w:style w:type="paragraph" w:customStyle="1" w:styleId="Objetacteprincipal">
    <w:name w:val="Objet acte principal"/>
    <w:basedOn w:val="Normal"/>
    <w:next w:val="Normal"/>
    <w:pPr>
      <w:spacing w:before="0" w:after="360"/>
      <w:jc w:val="center"/>
    </w:pPr>
    <w:rPr>
      <w:b/>
    </w:rPr>
  </w:style>
  <w:style w:type="paragraph" w:customStyle="1" w:styleId="ObjetacteprincipalPagedecouverture">
    <w:name w:val="Objet acte principal (Page de couverture)"/>
    <w:basedOn w:val="Objetacteprincipal"/>
    <w:next w:val="Normal"/>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style>
  <w:style w:type="paragraph" w:customStyle="1" w:styleId="PartTitle">
    <w:name w:val="PartTitle"/>
    <w:basedOn w:val="Normal"/>
    <w:next w:val="ChapterTitle"/>
    <w:pPr>
      <w:keepNext/>
      <w:pageBreakBefore/>
      <w:spacing w:after="360"/>
      <w:jc w:val="center"/>
    </w:pPr>
    <w:rPr>
      <w:b/>
      <w:sz w:val="36"/>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Point0">
    <w:name w:val="Point 0"/>
    <w:basedOn w:val="Normal"/>
    <w:pPr>
      <w:ind w:left="850" w:hanging="850"/>
    </w:pPr>
  </w:style>
  <w:style w:type="paragraph" w:customStyle="1" w:styleId="Point0letter">
    <w:name w:val="Point 0 (letter)"/>
    <w:basedOn w:val="Normal"/>
    <w:pPr>
      <w:numPr>
        <w:ilvl w:val="1"/>
        <w:numId w:val="9"/>
      </w:numPr>
    </w:pPr>
  </w:style>
  <w:style w:type="paragraph" w:customStyle="1" w:styleId="Point0number">
    <w:name w:val="Point 0 (number)"/>
    <w:basedOn w:val="Normal"/>
    <w:pPr>
      <w:numPr>
        <w:numId w:val="9"/>
      </w:numPr>
    </w:pPr>
  </w:style>
  <w:style w:type="paragraph" w:customStyle="1" w:styleId="Point1">
    <w:name w:val="Point 1"/>
    <w:basedOn w:val="Normal"/>
    <w:pPr>
      <w:ind w:left="1417" w:hanging="567"/>
    </w:pPr>
  </w:style>
  <w:style w:type="paragraph" w:customStyle="1" w:styleId="Point1letter">
    <w:name w:val="Point 1 (letter)"/>
    <w:basedOn w:val="Normal"/>
    <w:pPr>
      <w:numPr>
        <w:ilvl w:val="3"/>
        <w:numId w:val="9"/>
      </w:numPr>
    </w:pPr>
  </w:style>
  <w:style w:type="paragraph" w:customStyle="1" w:styleId="Point1number">
    <w:name w:val="Point 1 (number)"/>
    <w:basedOn w:val="Normal"/>
    <w:pPr>
      <w:numPr>
        <w:ilvl w:val="2"/>
        <w:numId w:val="9"/>
      </w:numPr>
    </w:pPr>
  </w:style>
  <w:style w:type="paragraph" w:customStyle="1" w:styleId="Point2">
    <w:name w:val="Point 2"/>
    <w:basedOn w:val="Normal"/>
    <w:pPr>
      <w:ind w:left="1984" w:hanging="567"/>
    </w:pPr>
  </w:style>
  <w:style w:type="paragraph" w:customStyle="1" w:styleId="Point2letter">
    <w:name w:val="Point 2 (letter)"/>
    <w:basedOn w:val="Normal"/>
    <w:pPr>
      <w:numPr>
        <w:ilvl w:val="5"/>
        <w:numId w:val="9"/>
      </w:numPr>
    </w:pPr>
  </w:style>
  <w:style w:type="paragraph" w:customStyle="1" w:styleId="Point2number">
    <w:name w:val="Point 2 (number)"/>
    <w:basedOn w:val="Normal"/>
    <w:pPr>
      <w:numPr>
        <w:ilvl w:val="4"/>
        <w:numId w:val="9"/>
      </w:numPr>
    </w:pPr>
  </w:style>
  <w:style w:type="paragraph" w:customStyle="1" w:styleId="Point3">
    <w:name w:val="Point 3"/>
    <w:basedOn w:val="Normal"/>
    <w:pPr>
      <w:ind w:left="2551" w:hanging="567"/>
    </w:pPr>
  </w:style>
  <w:style w:type="paragraph" w:customStyle="1" w:styleId="Point3letter">
    <w:name w:val="Point 3 (letter)"/>
    <w:basedOn w:val="Normal"/>
    <w:pPr>
      <w:numPr>
        <w:ilvl w:val="7"/>
        <w:numId w:val="9"/>
      </w:numPr>
    </w:pPr>
  </w:style>
  <w:style w:type="paragraph" w:customStyle="1" w:styleId="Point3number">
    <w:name w:val="Point 3 (number)"/>
    <w:basedOn w:val="Normal"/>
    <w:pPr>
      <w:numPr>
        <w:ilvl w:val="6"/>
        <w:numId w:val="9"/>
      </w:numPr>
    </w:pPr>
  </w:style>
  <w:style w:type="paragraph" w:customStyle="1" w:styleId="Point4">
    <w:name w:val="Point 4"/>
    <w:basedOn w:val="Normal"/>
    <w:pPr>
      <w:ind w:left="3118" w:hanging="567"/>
    </w:pPr>
  </w:style>
  <w:style w:type="paragraph" w:customStyle="1" w:styleId="Point4letter">
    <w:name w:val="Point 4 (letter)"/>
    <w:basedOn w:val="Normal"/>
    <w:pPr>
      <w:numPr>
        <w:ilvl w:val="8"/>
        <w:numId w:val="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QuotedNumPar">
    <w:name w:val="Quoted NumPar"/>
    <w:basedOn w:val="Normal"/>
    <w:pPr>
      <w:ind w:left="1417" w:hanging="567"/>
    </w:pPr>
  </w:style>
  <w:style w:type="paragraph" w:customStyle="1" w:styleId="QuotedText">
    <w:name w:val="Quoted Text"/>
    <w:basedOn w:val="Normal"/>
    <w:pPr>
      <w:ind w:left="1417"/>
    </w:pPr>
  </w:style>
  <w:style w:type="paragraph" w:customStyle="1" w:styleId="Rfrencecroise">
    <w:name w:val="Référence croisée"/>
    <w:basedOn w:val="Normal"/>
    <w:pPr>
      <w:spacing w:before="0" w:after="0"/>
      <w:jc w:val="center"/>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Normal"/>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style>
  <w:style w:type="paragraph" w:customStyle="1" w:styleId="Rfrenceinterne">
    <w:name w:val="Référence interne"/>
    <w:basedOn w:val="Normal"/>
    <w:next w:val="Rfrenceinterinstitutionnelle"/>
    <w:pPr>
      <w:spacing w:before="0" w:after="0"/>
      <w:ind w:left="5103"/>
      <w:jc w:val="left"/>
    </w:pPr>
  </w:style>
  <w:style w:type="paragraph" w:customStyle="1" w:styleId="SectionTitle">
    <w:name w:val="SectionTitle"/>
    <w:basedOn w:val="Normal"/>
    <w:next w:val="Heading1"/>
    <w:pPr>
      <w:keepNext/>
      <w:spacing w:after="360"/>
      <w:jc w:val="center"/>
    </w:pPr>
    <w:rPr>
      <w:b/>
      <w:smallCaps/>
      <w:sz w:val="28"/>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Statut">
    <w:name w:val="Statut"/>
    <w:basedOn w:val="Normal"/>
    <w:next w:val="Normal"/>
    <w:pPr>
      <w:spacing w:before="360" w:after="0"/>
      <w:jc w:val="center"/>
    </w:pPr>
  </w:style>
  <w:style w:type="paragraph" w:customStyle="1" w:styleId="StatutPagedecouverture">
    <w:name w:val="Statut (Page de couverture)"/>
    <w:basedOn w:val="Statut"/>
    <w:next w:val="Normal"/>
  </w:style>
  <w:style w:type="paragraph" w:customStyle="1" w:styleId="Supertitre">
    <w:name w:val="Supertitre"/>
    <w:basedOn w:val="Normal"/>
    <w:next w:val="Normal"/>
    <w:pPr>
      <w:spacing w:before="0" w:after="600"/>
      <w:jc w:val="center"/>
    </w:pPr>
    <w:rPr>
      <w:b/>
    </w:rPr>
  </w:style>
  <w:style w:type="paragraph" w:customStyle="1" w:styleId="TableTitle">
    <w:name w:val="Table Title"/>
    <w:basedOn w:val="Normal"/>
    <w:next w:val="Normal"/>
    <w:pPr>
      <w:jc w:val="center"/>
    </w:pPr>
    <w:rPr>
      <w:b/>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itreobjetPagedecouverture">
    <w:name w:val="Titre objet (Page de couverture)"/>
    <w:basedOn w:val="Titreobjet"/>
    <w:next w:val="Sous-titreobjetPagedecouverture"/>
  </w:style>
  <w:style w:type="paragraph" w:styleId="TOC1">
    <w:name w:val="toc 1"/>
    <w:basedOn w:val="Normal"/>
    <w:next w:val="Normal"/>
    <w:uiPriority w:val="39"/>
    <w:pPr>
      <w:tabs>
        <w:tab w:val="right" w:leader="dot" w:pos="9071"/>
      </w:tabs>
      <w:spacing w:before="60"/>
      <w:ind w:left="850" w:hanging="850"/>
      <w:jc w:val="left"/>
    </w:pPr>
  </w:style>
  <w:style w:type="paragraph" w:styleId="TOC2">
    <w:name w:val="toc 2"/>
    <w:basedOn w:val="Normal"/>
    <w:next w:val="Normal"/>
    <w:uiPriority w:val="39"/>
    <w:pPr>
      <w:tabs>
        <w:tab w:val="right" w:leader="dot" w:pos="9071"/>
      </w:tabs>
      <w:spacing w:before="60"/>
      <w:ind w:left="850" w:hanging="850"/>
      <w:jc w:val="left"/>
    </w:pPr>
  </w:style>
  <w:style w:type="paragraph" w:styleId="TOC3">
    <w:name w:val="toc 3"/>
    <w:basedOn w:val="Normal"/>
    <w:next w:val="Normal"/>
    <w:uiPriority w:val="39"/>
    <w:pPr>
      <w:tabs>
        <w:tab w:val="right" w:leader="dot" w:pos="9071"/>
      </w:tabs>
      <w:spacing w:before="60"/>
      <w:ind w:left="850" w:hanging="850"/>
      <w:jc w:val="left"/>
    </w:pPr>
  </w:style>
  <w:style w:type="paragraph" w:styleId="TOC4">
    <w:name w:val="toc 4"/>
    <w:basedOn w:val="Normal"/>
    <w:next w:val="Normal"/>
    <w:uiPriority w:val="39"/>
    <w:semiHidden/>
    <w:pPr>
      <w:tabs>
        <w:tab w:val="right" w:leader="dot" w:pos="9071"/>
      </w:tabs>
      <w:spacing w:before="60"/>
      <w:ind w:left="850" w:hanging="850"/>
      <w:jc w:val="left"/>
    </w:pPr>
  </w:style>
  <w:style w:type="paragraph" w:styleId="TOC5">
    <w:name w:val="toc 5"/>
    <w:basedOn w:val="Normal"/>
    <w:next w:val="Normal"/>
    <w:uiPriority w:val="39"/>
    <w:semiHidden/>
    <w:pPr>
      <w:tabs>
        <w:tab w:val="right" w:leader="dot" w:pos="9071"/>
      </w:tabs>
      <w:spacing w:before="300"/>
      <w:jc w:val="left"/>
    </w:pPr>
  </w:style>
  <w:style w:type="paragraph" w:styleId="TOC6">
    <w:name w:val="toc 6"/>
    <w:basedOn w:val="Normal"/>
    <w:next w:val="Normal"/>
    <w:uiPriority w:val="39"/>
    <w:semiHidden/>
    <w:pPr>
      <w:tabs>
        <w:tab w:val="right" w:leader="dot" w:pos="9071"/>
      </w:tabs>
      <w:spacing w:before="240"/>
      <w:jc w:val="left"/>
    </w:pPr>
  </w:style>
  <w:style w:type="paragraph" w:styleId="TOC7">
    <w:name w:val="toc 7"/>
    <w:basedOn w:val="Normal"/>
    <w:next w:val="Normal"/>
    <w:uiPriority w:val="39"/>
    <w:semiHidden/>
    <w:pPr>
      <w:tabs>
        <w:tab w:val="right" w:leader="dot" w:pos="9071"/>
      </w:tabs>
      <w:spacing w:before="180"/>
      <w:jc w:val="left"/>
    </w:pPr>
  </w:style>
  <w:style w:type="paragraph" w:styleId="TOC8">
    <w:name w:val="toc 8"/>
    <w:basedOn w:val="Normal"/>
    <w:next w:val="Normal"/>
    <w:uiPriority w:val="39"/>
    <w:semiHidden/>
    <w:pPr>
      <w:tabs>
        <w:tab w:val="right" w:leader="dot" w:pos="9071"/>
      </w:tabs>
      <w:jc w:val="left"/>
    </w:pPr>
  </w:style>
  <w:style w:type="paragraph" w:styleId="TOC9">
    <w:name w:val="toc 9"/>
    <w:basedOn w:val="Normal"/>
    <w:next w:val="Normal"/>
    <w:uiPriority w:val="39"/>
    <w:semiHidden/>
    <w:pPr>
      <w:tabs>
        <w:tab w:val="right" w:leader="dot" w:pos="9071"/>
      </w:tabs>
    </w:pPr>
  </w:style>
  <w:style w:type="paragraph" w:styleId="TOCHeading">
    <w:name w:val="TOC Heading"/>
    <w:basedOn w:val="Normal"/>
    <w:next w:val="Normal"/>
    <w:uiPriority w:val="39"/>
    <w:qFormat/>
    <w:pPr>
      <w:spacing w:after="240"/>
      <w:jc w:val="center"/>
    </w:pPr>
    <w:rPr>
      <w:b/>
      <w:sz w:val="28"/>
    </w:rPr>
  </w:style>
  <w:style w:type="paragraph" w:customStyle="1" w:styleId="Typeacteprincipal">
    <w:name w:val="Type acte principal"/>
    <w:basedOn w:val="Normal"/>
    <w:next w:val="Objetacteprincipal"/>
    <w:pPr>
      <w:spacing w:before="0" w:after="240"/>
      <w:jc w:val="center"/>
    </w:pPr>
    <w:rPr>
      <w:b/>
    </w:rPr>
  </w:style>
  <w:style w:type="paragraph" w:customStyle="1" w:styleId="TypeacteprincipalPagedecouverture">
    <w:name w:val="Type acte principal (Page de couverture)"/>
    <w:basedOn w:val="Typeacteprincipal"/>
    <w:next w:val="ObjetacteprincipalPagedecouverture"/>
  </w:style>
  <w:style w:type="paragraph" w:customStyle="1" w:styleId="Typedudocument">
    <w:name w:val="Type du document"/>
    <w:basedOn w:val="Normal"/>
    <w:next w:val="Titreobjet"/>
    <w:pPr>
      <w:spacing w:before="360" w:after="0"/>
      <w:jc w:val="center"/>
    </w:pPr>
    <w:rPr>
      <w:b/>
    </w:rPr>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character" w:customStyle="1" w:styleId="Heading5Char">
    <w:name w:val="Heading 5 Char"/>
    <w:link w:val="Heading5"/>
    <w:uiPriority w:val="9"/>
    <w:rPr>
      <w:b/>
      <w:bCs/>
      <w:i/>
      <w:iCs/>
      <w:sz w:val="26"/>
      <w:szCs w:val="26"/>
      <w:lang w:val="x-none"/>
    </w:rPr>
  </w:style>
  <w:style w:type="character" w:customStyle="1" w:styleId="Heading6Char">
    <w:name w:val="Heading 6 Char"/>
    <w:link w:val="Heading6"/>
    <w:uiPriority w:val="9"/>
    <w:rPr>
      <w:b/>
      <w:bCs/>
      <w:sz w:val="22"/>
      <w:szCs w:val="22"/>
      <w:lang w:val="x-none"/>
    </w:rPr>
  </w:style>
  <w:style w:type="character" w:customStyle="1" w:styleId="Heading7Char">
    <w:name w:val="Heading 7 Char"/>
    <w:link w:val="Heading7"/>
    <w:uiPriority w:val="9"/>
    <w:rPr>
      <w:b/>
      <w:bCs/>
      <w:sz w:val="18"/>
      <w:shd w:val="clear" w:color="auto" w:fill="auto"/>
      <w:lang w:val="en-US" w:eastAsia="zh-CN"/>
    </w:rPr>
  </w:style>
  <w:style w:type="character" w:customStyle="1" w:styleId="Heading8Char">
    <w:name w:val="Heading 8 Char"/>
    <w:link w:val="Heading8"/>
    <w:uiPriority w:val="9"/>
    <w:rPr>
      <w:rFonts w:ascii="Palatino Linotype" w:hAnsi="Palatino Linotype"/>
      <w:i/>
      <w:iCs/>
      <w:sz w:val="22"/>
      <w:szCs w:val="24"/>
      <w:shd w:val="clear" w:color="auto" w:fill="auto"/>
      <w:lang w:val="x-none" w:eastAsia="de-DE"/>
    </w:rPr>
  </w:style>
  <w:style w:type="character" w:customStyle="1" w:styleId="Heading9Char">
    <w:name w:val="Heading 9 Char"/>
    <w:link w:val="Heading9"/>
    <w:uiPriority w:val="9"/>
    <w:rPr>
      <w:rFonts w:ascii="Arial" w:hAnsi="Arial"/>
      <w:sz w:val="22"/>
      <w:szCs w:val="22"/>
      <w:shd w:val="clear" w:color="auto" w:fill="auto"/>
      <w:lang w:val="x-none" w:eastAsia="de-DE"/>
    </w:rPr>
  </w:style>
  <w:style w:type="paragraph" w:styleId="ListBullet">
    <w:name w:val="List Bullet"/>
    <w:basedOn w:val="Normal"/>
    <w:uiPriority w:val="99"/>
    <w:pPr>
      <w:numPr>
        <w:numId w:val="15"/>
      </w:numPr>
    </w:pPr>
    <w:rPr>
      <w:szCs w:val="22"/>
      <w:lang w:eastAsia="en-GB"/>
    </w:rPr>
  </w:style>
  <w:style w:type="paragraph" w:styleId="ListBullet2">
    <w:name w:val="List Bullet 2"/>
    <w:basedOn w:val="Normal"/>
    <w:uiPriority w:val="99"/>
    <w:pPr>
      <w:numPr>
        <w:numId w:val="16"/>
      </w:numPr>
    </w:pPr>
    <w:rPr>
      <w:szCs w:val="22"/>
      <w:lang w:eastAsia="en-GB"/>
    </w:rPr>
  </w:style>
  <w:style w:type="paragraph" w:styleId="ListBullet3">
    <w:name w:val="List Bullet 3"/>
    <w:basedOn w:val="Normal"/>
    <w:uiPriority w:val="99"/>
    <w:pPr>
      <w:numPr>
        <w:numId w:val="17"/>
      </w:numPr>
    </w:pPr>
    <w:rPr>
      <w:szCs w:val="22"/>
      <w:lang w:eastAsia="en-GB"/>
    </w:rPr>
  </w:style>
  <w:style w:type="paragraph" w:styleId="ListBullet4">
    <w:name w:val="List Bullet 4"/>
    <w:basedOn w:val="Normal"/>
    <w:uiPriority w:val="99"/>
    <w:pPr>
      <w:numPr>
        <w:numId w:val="18"/>
      </w:numPr>
    </w:pPr>
    <w:rPr>
      <w:szCs w:val="22"/>
      <w:lang w:eastAsia="en-GB"/>
    </w:rPr>
  </w:style>
  <w:style w:type="paragraph" w:styleId="ListNumber">
    <w:name w:val="List Number"/>
    <w:basedOn w:val="Normal"/>
    <w:uiPriority w:val="99"/>
    <w:pPr>
      <w:numPr>
        <w:numId w:val="30"/>
      </w:numPr>
    </w:pPr>
    <w:rPr>
      <w:szCs w:val="22"/>
      <w:lang w:eastAsia="de-DE"/>
    </w:rPr>
  </w:style>
  <w:style w:type="paragraph" w:styleId="ListNumber2">
    <w:name w:val="List Number 2"/>
    <w:basedOn w:val="Normal"/>
    <w:uiPriority w:val="99"/>
    <w:pPr>
      <w:numPr>
        <w:numId w:val="29"/>
      </w:numPr>
    </w:pPr>
    <w:rPr>
      <w:szCs w:val="22"/>
      <w:lang w:eastAsia="de-DE"/>
    </w:rPr>
  </w:style>
  <w:style w:type="paragraph" w:styleId="ListNumber3">
    <w:name w:val="List Number 3"/>
    <w:basedOn w:val="Normal"/>
    <w:uiPriority w:val="99"/>
    <w:pPr>
      <w:numPr>
        <w:numId w:val="28"/>
      </w:numPr>
    </w:pPr>
    <w:rPr>
      <w:szCs w:val="22"/>
      <w:lang w:eastAsia="de-DE"/>
    </w:rPr>
  </w:style>
  <w:style w:type="paragraph" w:styleId="ListNumber4">
    <w:name w:val="List Number 4"/>
    <w:basedOn w:val="Normal"/>
    <w:uiPriority w:val="99"/>
    <w:pPr>
      <w:numPr>
        <w:numId w:val="27"/>
      </w:numPr>
    </w:pPr>
    <w:rPr>
      <w:szCs w:val="22"/>
      <w:lang w:eastAsia="de-DE"/>
    </w:rPr>
  </w:style>
  <w:style w:type="paragraph" w:customStyle="1" w:styleId="ListBullet1">
    <w:name w:val="List Bullet 1"/>
    <w:basedOn w:val="Normal"/>
    <w:pPr>
      <w:numPr>
        <w:numId w:val="19"/>
      </w:numPr>
    </w:pPr>
    <w:rPr>
      <w:szCs w:val="22"/>
      <w:lang w:eastAsia="de-DE"/>
    </w:rPr>
  </w:style>
  <w:style w:type="paragraph" w:customStyle="1" w:styleId="ListDash">
    <w:name w:val="List Dash"/>
    <w:basedOn w:val="Normal"/>
    <w:pPr>
      <w:numPr>
        <w:numId w:val="20"/>
      </w:numPr>
    </w:pPr>
    <w:rPr>
      <w:szCs w:val="22"/>
      <w:lang w:eastAsia="de-DE"/>
    </w:rPr>
  </w:style>
  <w:style w:type="paragraph" w:customStyle="1" w:styleId="ListDash1">
    <w:name w:val="List Dash 1"/>
    <w:basedOn w:val="Normal"/>
    <w:pPr>
      <w:numPr>
        <w:numId w:val="21"/>
      </w:numPr>
    </w:pPr>
    <w:rPr>
      <w:szCs w:val="22"/>
      <w:lang w:eastAsia="de-DE"/>
    </w:rPr>
  </w:style>
  <w:style w:type="paragraph" w:customStyle="1" w:styleId="ListDash2">
    <w:name w:val="List Dash 2"/>
    <w:basedOn w:val="Normal"/>
    <w:pPr>
      <w:numPr>
        <w:numId w:val="22"/>
      </w:numPr>
    </w:pPr>
    <w:rPr>
      <w:szCs w:val="22"/>
      <w:lang w:eastAsia="de-DE"/>
    </w:rPr>
  </w:style>
  <w:style w:type="paragraph" w:customStyle="1" w:styleId="ListDash3">
    <w:name w:val="List Dash 3"/>
    <w:basedOn w:val="Normal"/>
    <w:pPr>
      <w:numPr>
        <w:numId w:val="23"/>
      </w:numPr>
    </w:pPr>
    <w:rPr>
      <w:szCs w:val="22"/>
      <w:lang w:eastAsia="de-DE"/>
    </w:rPr>
  </w:style>
  <w:style w:type="paragraph" w:customStyle="1" w:styleId="ListDash4">
    <w:name w:val="List Dash 4"/>
    <w:basedOn w:val="Normal"/>
    <w:pPr>
      <w:numPr>
        <w:numId w:val="24"/>
      </w:numPr>
    </w:pPr>
    <w:rPr>
      <w:szCs w:val="22"/>
      <w:lang w:eastAsia="de-DE"/>
    </w:rPr>
  </w:style>
  <w:style w:type="paragraph" w:customStyle="1" w:styleId="ListNumber1">
    <w:name w:val="List Number 1"/>
    <w:basedOn w:val="Text1"/>
    <w:pPr>
      <w:numPr>
        <w:numId w:val="25"/>
      </w:numPr>
    </w:pPr>
    <w:rPr>
      <w:szCs w:val="22"/>
      <w:lang w:eastAsia="de-DE"/>
    </w:rPr>
  </w:style>
  <w:style w:type="paragraph" w:customStyle="1" w:styleId="ListNumberLevel2">
    <w:name w:val="List Number (Level 2)"/>
    <w:basedOn w:val="Normal"/>
    <w:pPr>
      <w:numPr>
        <w:ilvl w:val="1"/>
        <w:numId w:val="30"/>
      </w:numPr>
    </w:pPr>
    <w:rPr>
      <w:szCs w:val="22"/>
      <w:lang w:eastAsia="de-DE"/>
    </w:rPr>
  </w:style>
  <w:style w:type="paragraph" w:customStyle="1" w:styleId="ListNumber1Level2">
    <w:name w:val="List Number 1 (Level 2)"/>
    <w:basedOn w:val="Text1"/>
    <w:pPr>
      <w:numPr>
        <w:ilvl w:val="1"/>
        <w:numId w:val="25"/>
      </w:numPr>
    </w:pPr>
    <w:rPr>
      <w:szCs w:val="22"/>
      <w:lang w:eastAsia="de-DE"/>
    </w:rPr>
  </w:style>
  <w:style w:type="paragraph" w:customStyle="1" w:styleId="ListNumber2Level2">
    <w:name w:val="List Number 2 (Level 2)"/>
    <w:basedOn w:val="Text2"/>
    <w:pPr>
      <w:numPr>
        <w:ilvl w:val="1"/>
        <w:numId w:val="29"/>
      </w:numPr>
    </w:pPr>
    <w:rPr>
      <w:szCs w:val="22"/>
      <w:lang w:eastAsia="de-DE"/>
    </w:rPr>
  </w:style>
  <w:style w:type="paragraph" w:customStyle="1" w:styleId="ListNumber3Level2">
    <w:name w:val="List Number 3 (Level 2)"/>
    <w:basedOn w:val="Text3"/>
    <w:pPr>
      <w:numPr>
        <w:ilvl w:val="1"/>
        <w:numId w:val="28"/>
      </w:numPr>
    </w:pPr>
    <w:rPr>
      <w:szCs w:val="22"/>
      <w:lang w:eastAsia="de-DE"/>
    </w:rPr>
  </w:style>
  <w:style w:type="paragraph" w:customStyle="1" w:styleId="ListNumber4Level2">
    <w:name w:val="List Number 4 (Level 2)"/>
    <w:basedOn w:val="Text4"/>
    <w:pPr>
      <w:numPr>
        <w:ilvl w:val="1"/>
        <w:numId w:val="27"/>
      </w:numPr>
    </w:pPr>
    <w:rPr>
      <w:szCs w:val="22"/>
      <w:lang w:eastAsia="de-DE"/>
    </w:rPr>
  </w:style>
  <w:style w:type="paragraph" w:customStyle="1" w:styleId="ListNumberLevel3">
    <w:name w:val="List Number (Level 3)"/>
    <w:basedOn w:val="Normal"/>
    <w:pPr>
      <w:numPr>
        <w:ilvl w:val="2"/>
        <w:numId w:val="30"/>
      </w:numPr>
    </w:pPr>
    <w:rPr>
      <w:szCs w:val="22"/>
      <w:lang w:eastAsia="de-DE"/>
    </w:rPr>
  </w:style>
  <w:style w:type="paragraph" w:customStyle="1" w:styleId="ListNumber1Level3">
    <w:name w:val="List Number 1 (Level 3)"/>
    <w:basedOn w:val="Text1"/>
    <w:pPr>
      <w:numPr>
        <w:ilvl w:val="2"/>
        <w:numId w:val="25"/>
      </w:numPr>
    </w:pPr>
    <w:rPr>
      <w:szCs w:val="22"/>
      <w:lang w:eastAsia="de-DE"/>
    </w:rPr>
  </w:style>
  <w:style w:type="paragraph" w:customStyle="1" w:styleId="ListNumber2Level3">
    <w:name w:val="List Number 2 (Level 3)"/>
    <w:basedOn w:val="Text2"/>
    <w:pPr>
      <w:numPr>
        <w:ilvl w:val="2"/>
        <w:numId w:val="29"/>
      </w:numPr>
    </w:pPr>
    <w:rPr>
      <w:szCs w:val="22"/>
      <w:lang w:eastAsia="de-DE"/>
    </w:rPr>
  </w:style>
  <w:style w:type="paragraph" w:customStyle="1" w:styleId="ListNumber3Level3">
    <w:name w:val="List Number 3 (Level 3)"/>
    <w:basedOn w:val="Text3"/>
    <w:pPr>
      <w:numPr>
        <w:ilvl w:val="2"/>
        <w:numId w:val="28"/>
      </w:numPr>
    </w:pPr>
    <w:rPr>
      <w:szCs w:val="22"/>
      <w:lang w:eastAsia="de-DE"/>
    </w:rPr>
  </w:style>
  <w:style w:type="paragraph" w:customStyle="1" w:styleId="ListNumber4Level3">
    <w:name w:val="List Number 4 (Level 3)"/>
    <w:basedOn w:val="Text4"/>
    <w:pPr>
      <w:numPr>
        <w:ilvl w:val="2"/>
        <w:numId w:val="27"/>
      </w:numPr>
    </w:pPr>
    <w:rPr>
      <w:szCs w:val="22"/>
      <w:lang w:eastAsia="de-DE"/>
    </w:rPr>
  </w:style>
  <w:style w:type="paragraph" w:customStyle="1" w:styleId="ListNumberLevel4">
    <w:name w:val="List Number (Level 4)"/>
    <w:basedOn w:val="Normal"/>
    <w:pPr>
      <w:numPr>
        <w:ilvl w:val="3"/>
        <w:numId w:val="30"/>
      </w:numPr>
    </w:pPr>
    <w:rPr>
      <w:szCs w:val="22"/>
      <w:lang w:eastAsia="de-DE"/>
    </w:rPr>
  </w:style>
  <w:style w:type="paragraph" w:customStyle="1" w:styleId="ListNumber1Level4">
    <w:name w:val="List Number 1 (Level 4)"/>
    <w:basedOn w:val="Text1"/>
    <w:pPr>
      <w:numPr>
        <w:ilvl w:val="3"/>
        <w:numId w:val="25"/>
      </w:numPr>
    </w:pPr>
    <w:rPr>
      <w:szCs w:val="22"/>
      <w:lang w:eastAsia="de-DE"/>
    </w:rPr>
  </w:style>
  <w:style w:type="paragraph" w:customStyle="1" w:styleId="ListNumber2Level4">
    <w:name w:val="List Number 2 (Level 4)"/>
    <w:basedOn w:val="Text2"/>
    <w:pPr>
      <w:numPr>
        <w:ilvl w:val="3"/>
        <w:numId w:val="29"/>
      </w:numPr>
    </w:pPr>
    <w:rPr>
      <w:szCs w:val="22"/>
      <w:lang w:eastAsia="de-DE"/>
    </w:rPr>
  </w:style>
  <w:style w:type="paragraph" w:customStyle="1" w:styleId="ListNumber3Level4">
    <w:name w:val="List Number 3 (Level 4)"/>
    <w:basedOn w:val="Text3"/>
    <w:pPr>
      <w:numPr>
        <w:ilvl w:val="3"/>
        <w:numId w:val="28"/>
      </w:numPr>
    </w:pPr>
    <w:rPr>
      <w:szCs w:val="22"/>
      <w:lang w:eastAsia="de-DE"/>
    </w:rPr>
  </w:style>
  <w:style w:type="paragraph" w:customStyle="1" w:styleId="ListNumber4Level4">
    <w:name w:val="List Number 4 (Level 4)"/>
    <w:basedOn w:val="Text4"/>
    <w:pPr>
      <w:numPr>
        <w:ilvl w:val="3"/>
        <w:numId w:val="27"/>
      </w:numPr>
    </w:pPr>
    <w:rPr>
      <w:szCs w:val="22"/>
      <w:lang w:eastAsia="de-DE"/>
    </w:rPr>
  </w:style>
  <w:style w:type="paragraph" w:customStyle="1" w:styleId="Annexetitreacte">
    <w:name w:val="Annexe titre (acte)"/>
    <w:basedOn w:val="Normal"/>
    <w:next w:val="Normal"/>
    <w:pPr>
      <w:jc w:val="center"/>
    </w:pPr>
    <w:rPr>
      <w:b/>
      <w:szCs w:val="22"/>
      <w:u w:val="single"/>
      <w:lang w:eastAsia="de-DE"/>
    </w:rPr>
  </w:style>
  <w:style w:type="paragraph" w:customStyle="1" w:styleId="Annexetitreexposglobal">
    <w:name w:val="Annexe titre (exposé global)"/>
    <w:basedOn w:val="Normal"/>
    <w:next w:val="Normal"/>
    <w:pPr>
      <w:jc w:val="center"/>
    </w:pPr>
    <w:rPr>
      <w:b/>
      <w:szCs w:val="22"/>
      <w:u w:val="single"/>
      <w:lang w:eastAsia="de-DE"/>
    </w:rPr>
  </w:style>
  <w:style w:type="paragraph" w:customStyle="1" w:styleId="Annexetitrefichefinacte">
    <w:name w:val="Annexe titre (fiche fin. acte)"/>
    <w:basedOn w:val="Normal"/>
    <w:next w:val="Normal"/>
    <w:pPr>
      <w:jc w:val="center"/>
    </w:pPr>
    <w:rPr>
      <w:b/>
      <w:szCs w:val="22"/>
      <w:u w:val="single"/>
      <w:lang w:eastAsia="de-DE"/>
    </w:rPr>
  </w:style>
  <w:style w:type="paragraph" w:customStyle="1" w:styleId="Annexetitrefichefinglobale">
    <w:name w:val="Annexe titre (fiche fin. globale)"/>
    <w:basedOn w:val="Normal"/>
    <w:next w:val="Normal"/>
    <w:pPr>
      <w:jc w:val="center"/>
    </w:pPr>
    <w:rPr>
      <w:b/>
      <w:szCs w:val="22"/>
      <w:u w:val="single"/>
      <w:lang w:eastAsia="de-DE"/>
    </w:rPr>
  </w:style>
  <w:style w:type="paragraph" w:customStyle="1" w:styleId="Annexetitreglobale">
    <w:name w:val="Annexe titre (globale)"/>
    <w:basedOn w:val="Normal"/>
    <w:next w:val="Normal"/>
    <w:pPr>
      <w:jc w:val="center"/>
    </w:pPr>
    <w:rPr>
      <w:b/>
      <w:szCs w:val="22"/>
      <w:u w:val="single"/>
      <w:lang w:eastAsia="de-DE"/>
    </w:rPr>
  </w:style>
  <w:style w:type="paragraph" w:customStyle="1" w:styleId="Rfrenceinstitutionelle">
    <w:name w:val="Référence institutionelle"/>
    <w:basedOn w:val="Normal"/>
    <w:next w:val="Statut"/>
    <w:pPr>
      <w:spacing w:before="0" w:after="240"/>
      <w:ind w:left="5103"/>
      <w:jc w:val="left"/>
    </w:pPr>
    <w:rPr>
      <w:szCs w:val="22"/>
      <w:lang w:eastAsia="de-DE"/>
    </w:rPr>
  </w:style>
  <w:style w:type="paragraph" w:customStyle="1" w:styleId="Exposdesmotifstitreglobal">
    <w:name w:val="Exposé des motifs titre (global)"/>
    <w:basedOn w:val="Normal"/>
    <w:next w:val="Normal"/>
    <w:pPr>
      <w:jc w:val="center"/>
    </w:pPr>
    <w:rPr>
      <w:b/>
      <w:szCs w:val="22"/>
      <w:u w:val="single"/>
      <w:lang w:eastAsia="de-DE"/>
    </w:rPr>
  </w:style>
  <w:style w:type="paragraph" w:customStyle="1" w:styleId="Langueoriginale">
    <w:name w:val="Langue originale"/>
    <w:basedOn w:val="Normal"/>
    <w:next w:val="Phrasefinale"/>
    <w:pPr>
      <w:spacing w:before="360"/>
      <w:jc w:val="center"/>
    </w:pPr>
    <w:rPr>
      <w:caps/>
      <w:szCs w:val="22"/>
      <w:lang w:eastAsia="de-DE"/>
    </w:rPr>
  </w:style>
  <w:style w:type="paragraph" w:customStyle="1" w:styleId="Phrasefinale">
    <w:name w:val="Phrase finale"/>
    <w:basedOn w:val="Normal"/>
    <w:next w:val="Normal"/>
    <w:pPr>
      <w:spacing w:before="360" w:after="0"/>
      <w:jc w:val="center"/>
    </w:pPr>
    <w:rPr>
      <w:szCs w:val="22"/>
      <w:lang w:eastAsia="de-DE"/>
    </w:rPr>
  </w:style>
  <w:style w:type="paragraph" w:customStyle="1" w:styleId="Prliminairetitre">
    <w:name w:val="Préliminaire titre"/>
    <w:basedOn w:val="Normal"/>
    <w:next w:val="Normal"/>
    <w:pPr>
      <w:spacing w:before="360" w:after="360"/>
      <w:jc w:val="center"/>
    </w:pPr>
    <w:rPr>
      <w:b/>
      <w:szCs w:val="22"/>
      <w:lang w:eastAsia="de-DE"/>
    </w:rPr>
  </w:style>
  <w:style w:type="paragraph" w:customStyle="1" w:styleId="Prliminairetype">
    <w:name w:val="Préliminaire type"/>
    <w:basedOn w:val="Normal"/>
    <w:next w:val="Normal"/>
    <w:pPr>
      <w:spacing w:before="360" w:after="0"/>
      <w:jc w:val="center"/>
    </w:pPr>
    <w:rPr>
      <w:b/>
      <w:szCs w:val="22"/>
      <w:lang w:eastAsia="de-DE"/>
    </w:rPr>
  </w:style>
  <w:style w:type="paragraph" w:customStyle="1" w:styleId="Rfrenceinterinstitutionelle">
    <w:name w:val="Référence interinstitutionelle"/>
    <w:basedOn w:val="Normal"/>
    <w:next w:val="Statut"/>
    <w:pPr>
      <w:spacing w:before="0" w:after="0"/>
      <w:ind w:left="5103"/>
      <w:jc w:val="left"/>
    </w:pPr>
    <w:rPr>
      <w:szCs w:val="22"/>
      <w:lang w:eastAsia="de-DE"/>
    </w:rPr>
  </w:style>
  <w:style w:type="paragraph" w:customStyle="1" w:styleId="Rfrenceinterinstitutionelleprliminaire">
    <w:name w:val="Référence interinstitutionelle (préliminaire)"/>
    <w:basedOn w:val="Normal"/>
    <w:next w:val="Normal"/>
    <w:pPr>
      <w:spacing w:before="0" w:after="0"/>
      <w:ind w:left="5103"/>
      <w:jc w:val="left"/>
    </w:pPr>
    <w:rPr>
      <w:szCs w:val="22"/>
      <w:lang w:eastAsia="de-DE"/>
    </w:rPr>
  </w:style>
  <w:style w:type="paragraph" w:customStyle="1" w:styleId="Sous-titreobjetprliminaire">
    <w:name w:val="Sous-titre objet (préliminaire)"/>
    <w:basedOn w:val="Normal"/>
    <w:pPr>
      <w:spacing w:before="0" w:after="0"/>
      <w:jc w:val="center"/>
    </w:pPr>
    <w:rPr>
      <w:b/>
      <w:szCs w:val="22"/>
      <w:lang w:eastAsia="de-DE"/>
    </w:rPr>
  </w:style>
  <w:style w:type="paragraph" w:customStyle="1" w:styleId="Statutprliminaire">
    <w:name w:val="Statut (préliminaire)"/>
    <w:basedOn w:val="Normal"/>
    <w:next w:val="Normal"/>
    <w:pPr>
      <w:spacing w:before="360" w:after="0"/>
      <w:jc w:val="center"/>
    </w:pPr>
    <w:rPr>
      <w:szCs w:val="22"/>
      <w:lang w:eastAsia="de-DE"/>
    </w:rPr>
  </w:style>
  <w:style w:type="paragraph" w:customStyle="1" w:styleId="Titreobjetprliminaire">
    <w:name w:val="Titre objet (préliminaire)"/>
    <w:basedOn w:val="Normal"/>
    <w:next w:val="Normal"/>
    <w:pPr>
      <w:spacing w:before="360" w:after="360"/>
      <w:jc w:val="center"/>
    </w:pPr>
    <w:rPr>
      <w:b/>
      <w:szCs w:val="22"/>
      <w:lang w:eastAsia="de-DE"/>
    </w:rPr>
  </w:style>
  <w:style w:type="paragraph" w:customStyle="1" w:styleId="Typedudocumentprliminaire">
    <w:name w:val="Type du document (préliminaire)"/>
    <w:basedOn w:val="Normal"/>
    <w:next w:val="Normal"/>
    <w:pPr>
      <w:spacing w:before="360" w:after="0"/>
      <w:jc w:val="center"/>
    </w:pPr>
    <w:rPr>
      <w:b/>
      <w:szCs w:val="22"/>
      <w:lang w:eastAsia="de-DE"/>
    </w:rPr>
  </w:style>
  <w:style w:type="paragraph" w:customStyle="1" w:styleId="Fichefinancirestandardtitre">
    <w:name w:val="Fiche financière (standard) titre"/>
    <w:basedOn w:val="Normal"/>
    <w:next w:val="Normal"/>
    <w:pPr>
      <w:jc w:val="center"/>
    </w:pPr>
    <w:rPr>
      <w:b/>
      <w:szCs w:val="22"/>
      <w:u w:val="single"/>
      <w:lang w:eastAsia="de-DE"/>
    </w:rPr>
  </w:style>
  <w:style w:type="paragraph" w:customStyle="1" w:styleId="Fichefinancirestandardtitreacte">
    <w:name w:val="Fiche financière (standard) titre (acte)"/>
    <w:basedOn w:val="Normal"/>
    <w:next w:val="Normal"/>
    <w:pPr>
      <w:jc w:val="center"/>
    </w:pPr>
    <w:rPr>
      <w:b/>
      <w:szCs w:val="22"/>
      <w:u w:val="single"/>
      <w:lang w:eastAsia="de-DE"/>
    </w:rPr>
  </w:style>
  <w:style w:type="paragraph" w:customStyle="1" w:styleId="Fichefinanciretravailtitre">
    <w:name w:val="Fiche financière (travail) titre"/>
    <w:basedOn w:val="Normal"/>
    <w:next w:val="Normal"/>
    <w:pPr>
      <w:jc w:val="center"/>
    </w:pPr>
    <w:rPr>
      <w:b/>
      <w:szCs w:val="22"/>
      <w:u w:val="single"/>
      <w:lang w:eastAsia="de-DE"/>
    </w:rPr>
  </w:style>
  <w:style w:type="paragraph" w:customStyle="1" w:styleId="Fichefinanciretravailtitreacte">
    <w:name w:val="Fiche financière (travail) titre (acte)"/>
    <w:basedOn w:val="Normal"/>
    <w:next w:val="Normal"/>
    <w:pPr>
      <w:jc w:val="center"/>
    </w:pPr>
    <w:rPr>
      <w:b/>
      <w:szCs w:val="22"/>
      <w:u w:val="single"/>
      <w:lang w:eastAsia="de-DE"/>
    </w:rPr>
  </w:style>
  <w:style w:type="paragraph" w:customStyle="1" w:styleId="Fichefinancireattributiontitre">
    <w:name w:val="Fiche financière (attribution) titre"/>
    <w:basedOn w:val="Normal"/>
    <w:next w:val="Normal"/>
    <w:pPr>
      <w:jc w:val="center"/>
    </w:pPr>
    <w:rPr>
      <w:b/>
      <w:szCs w:val="22"/>
      <w:u w:val="single"/>
      <w:lang w:eastAsia="de-DE"/>
    </w:rPr>
  </w:style>
  <w:style w:type="paragraph" w:customStyle="1" w:styleId="Fichefinancireattributiontitreacte">
    <w:name w:val="Fiche financière (attribution) titre (acte)"/>
    <w:basedOn w:val="Normal"/>
    <w:next w:val="Normal"/>
    <w:pPr>
      <w:jc w:val="center"/>
    </w:pPr>
    <w:rPr>
      <w:b/>
      <w:szCs w:val="22"/>
      <w:u w:val="single"/>
      <w:lang w:eastAsia="de-DE"/>
    </w:rPr>
  </w:style>
  <w:style w:type="character" w:styleId="Hyperlink">
    <w:name w:val="Hyperlink"/>
    <w:uiPriority w:val="99"/>
    <w:rPr>
      <w:rFonts w:cs="Times New Roman"/>
      <w:color w:val="0000FF"/>
      <w:u w:val="single"/>
      <w:shd w:val="clear" w:color="auto" w:fill="auto"/>
    </w:rPr>
  </w:style>
  <w:style w:type="character" w:styleId="EndnoteReference">
    <w:name w:val="endnote reference"/>
    <w:uiPriority w:val="99"/>
    <w:rPr>
      <w:rFonts w:cs="Times New Roman"/>
      <w:shd w:val="clear" w:color="auto" w:fill="auto"/>
      <w:vertAlign w:val="superscript"/>
    </w:rPr>
  </w:style>
  <w:style w:type="paragraph" w:styleId="BodyText">
    <w:name w:val="Body Text"/>
    <w:basedOn w:val="Normal"/>
    <w:link w:val="BodyTextChar"/>
    <w:uiPriority w:val="99"/>
    <w:pPr>
      <w:tabs>
        <w:tab w:val="left" w:pos="3960"/>
      </w:tabs>
      <w:spacing w:before="0" w:after="240"/>
      <w:jc w:val="left"/>
    </w:pPr>
    <w:rPr>
      <w:rFonts w:ascii="Palatino Linotype" w:hAnsi="Palatino Linotype"/>
      <w:sz w:val="22"/>
      <w:lang w:val="x-none" w:eastAsia="de-DE"/>
    </w:rPr>
  </w:style>
  <w:style w:type="character" w:customStyle="1" w:styleId="BodyTextChar">
    <w:name w:val="Body Text Char"/>
    <w:link w:val="BodyText"/>
    <w:uiPriority w:val="99"/>
    <w:rPr>
      <w:rFonts w:ascii="Palatino Linotype" w:hAnsi="Palatino Linotype"/>
      <w:sz w:val="22"/>
      <w:szCs w:val="24"/>
      <w:shd w:val="clear" w:color="auto" w:fill="auto"/>
      <w:lang w:val="x-none" w:eastAsia="de-DE"/>
    </w:rPr>
  </w:style>
  <w:style w:type="character" w:styleId="Strong">
    <w:name w:val="Strong"/>
    <w:uiPriority w:val="22"/>
    <w:qFormat/>
    <w:rPr>
      <w:rFonts w:cs="Times New Roman"/>
      <w:b/>
      <w:bCs/>
      <w:shd w:val="clear" w:color="auto" w:fill="auto"/>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76" w:lineRule="auto"/>
      <w:jc w:val="both"/>
    </w:pPr>
    <w:rPr>
      <w:rFonts w:ascii="Arial" w:hAnsi="Arial"/>
      <w:spacing w:val="-2"/>
      <w:sz w:val="22"/>
      <w:szCs w:val="22"/>
      <w:lang w:eastAsia="en-GB"/>
    </w:rPr>
  </w:style>
  <w:style w:type="paragraph" w:styleId="NormalWeb">
    <w:name w:val="Normal (Web)"/>
    <w:aliases w:val="webb"/>
    <w:basedOn w:val="Normal"/>
    <w:uiPriority w:val="99"/>
    <w:pPr>
      <w:spacing w:before="150" w:after="150"/>
      <w:ind w:left="675" w:right="525"/>
      <w:jc w:val="left"/>
    </w:pPr>
    <w:rPr>
      <w:sz w:val="19"/>
      <w:szCs w:val="19"/>
      <w:lang w:eastAsia="en-GB"/>
    </w:rPr>
  </w:style>
  <w:style w:type="paragraph" w:customStyle="1" w:styleId="Tyret1">
    <w:name w:val="Tyret 1"/>
    <w:basedOn w:val="ListDash"/>
    <w:pPr>
      <w:numPr>
        <w:numId w:val="26"/>
      </w:numPr>
      <w:tabs>
        <w:tab w:val="num" w:pos="1134"/>
      </w:tabs>
      <w:ind w:left="1134"/>
    </w:pPr>
  </w:style>
  <w:style w:type="character" w:styleId="FollowedHyperlink">
    <w:name w:val="FollowedHyperlink"/>
    <w:uiPriority w:val="99"/>
    <w:rPr>
      <w:rFonts w:cs="Times New Roman"/>
      <w:color w:val="800080"/>
      <w:u w:val="single"/>
      <w:shd w:val="clear" w:color="auto" w:fill="auto"/>
    </w:rPr>
  </w:style>
  <w:style w:type="paragraph" w:customStyle="1" w:styleId="4Chapeau">
    <w:name w:val="4 Chapeau"/>
    <w:basedOn w:val="Normal"/>
    <w:next w:val="Normal"/>
    <w:autoRedefin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600" w:after="240"/>
    </w:pPr>
    <w:rPr>
      <w:szCs w:val="22"/>
      <w:lang w:eastAsia="en-GB"/>
    </w:rPr>
  </w:style>
  <w:style w:type="paragraph" w:customStyle="1" w:styleId="Default">
    <w:name w:val="Default"/>
    <w:pPr>
      <w:autoSpaceDE w:val="0"/>
      <w:autoSpaceDN w:val="0"/>
      <w:adjustRightInd w:val="0"/>
      <w:spacing w:after="200" w:line="276" w:lineRule="auto"/>
    </w:pPr>
    <w:rPr>
      <w:rFonts w:ascii="EUAlbertina" w:hAnsi="EUAlbertina" w:cs="EUAlbertina"/>
      <w:color w:val="000000"/>
      <w:sz w:val="24"/>
      <w:szCs w:val="24"/>
      <w:lang w:eastAsia="en-GB"/>
    </w:rPr>
  </w:style>
  <w:style w:type="table" w:styleId="TableGrid">
    <w:name w:val="Table Grid"/>
    <w:basedOn w:val="TableNormal"/>
    <w:uiPriority w:val="59"/>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4">
    <w:name w:val="CM4"/>
    <w:basedOn w:val="Default"/>
    <w:next w:val="Default"/>
    <w:uiPriority w:val="99"/>
    <w:rPr>
      <w:rFonts w:cs="Times New Roman"/>
      <w:color w:val="auto"/>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character" w:styleId="CommentReference">
    <w:name w:val="annotation reference"/>
    <w:uiPriority w:val="99"/>
    <w:rPr>
      <w:sz w:val="16"/>
      <w:szCs w:val="16"/>
      <w:shd w:val="clear" w:color="auto" w:fill="auto"/>
    </w:rPr>
  </w:style>
  <w:style w:type="paragraph" w:styleId="CommentText">
    <w:name w:val="annotation text"/>
    <w:basedOn w:val="Normal"/>
    <w:link w:val="CommentTextChar1"/>
    <w:rPr>
      <w:sz w:val="20"/>
      <w:szCs w:val="20"/>
      <w:lang w:val="x-none"/>
    </w:rPr>
  </w:style>
  <w:style w:type="character" w:customStyle="1" w:styleId="CommentTextChar">
    <w:name w:val="Comment Text Char"/>
    <w:uiPriority w:val="99"/>
    <w:rPr>
      <w:shd w:val="clear" w:color="auto" w:fill="auto"/>
      <w:lang w:eastAsia="en-US"/>
    </w:rPr>
  </w:style>
  <w:style w:type="paragraph" w:styleId="CommentSubject">
    <w:name w:val="annotation subject"/>
    <w:basedOn w:val="Normal"/>
    <w:next w:val="CommentText"/>
    <w:link w:val="CommentSubjectChar"/>
    <w:uiPriority w:val="99"/>
    <w:rPr>
      <w:b/>
      <w:bCs/>
      <w:lang w:val="x-none"/>
    </w:rPr>
  </w:style>
  <w:style w:type="character" w:customStyle="1" w:styleId="CommentSubjectChar">
    <w:name w:val="Comment Subject Char"/>
    <w:link w:val="CommentSubject"/>
    <w:uiPriority w:val="99"/>
    <w:rPr>
      <w:b/>
      <w:bCs/>
      <w:sz w:val="24"/>
      <w:szCs w:val="24"/>
      <w:shd w:val="clear" w:color="auto" w:fill="auto"/>
      <w:lang w:val="x-none" w:eastAsia="en-US"/>
    </w:rPr>
  </w:style>
  <w:style w:type="paragraph" w:styleId="BalloonText">
    <w:name w:val="Balloon Text"/>
    <w:basedOn w:val="Normal"/>
    <w:link w:val="BalloonTextChar"/>
    <w:uiPriority w:val="99"/>
    <w:rPr>
      <w:rFonts w:ascii="Tahoma" w:hAnsi="Tahoma"/>
      <w:sz w:val="16"/>
      <w:szCs w:val="16"/>
      <w:lang w:val="x-none"/>
    </w:rPr>
  </w:style>
  <w:style w:type="character" w:customStyle="1" w:styleId="BalloonTextChar">
    <w:name w:val="Balloon Text Char"/>
    <w:link w:val="BalloonText"/>
    <w:uiPriority w:val="99"/>
    <w:rPr>
      <w:rFonts w:ascii="Tahoma" w:hAnsi="Tahoma"/>
      <w:sz w:val="16"/>
      <w:szCs w:val="16"/>
      <w:shd w:val="clear" w:color="auto" w:fill="auto"/>
      <w:lang w:val="x-none" w:eastAsia="en-US"/>
    </w:rPr>
  </w:style>
  <w:style w:type="paragraph" w:styleId="Caption">
    <w:name w:val="caption"/>
    <w:basedOn w:val="Normal"/>
    <w:next w:val="Normal"/>
    <w:uiPriority w:val="35"/>
    <w:qFormat/>
    <w:rPr>
      <w:b/>
      <w:bCs/>
      <w:sz w:val="20"/>
      <w:szCs w:val="20"/>
      <w:lang w:eastAsia="en-GB"/>
    </w:rPr>
  </w:style>
  <w:style w:type="paragraph" w:styleId="TableofFigures">
    <w:name w:val="table of figures"/>
    <w:basedOn w:val="Normal"/>
    <w:next w:val="Normal"/>
    <w:uiPriority w:val="99"/>
    <w:rPr>
      <w:szCs w:val="22"/>
      <w:lang w:eastAsia="en-GB"/>
    </w:rPr>
  </w:style>
  <w:style w:type="paragraph" w:customStyle="1" w:styleId="Pa14">
    <w:name w:val="Pa14"/>
    <w:basedOn w:val="Default"/>
    <w:next w:val="Default"/>
    <w:pPr>
      <w:spacing w:line="201" w:lineRule="atLeast"/>
    </w:pPr>
    <w:rPr>
      <w:rFonts w:ascii="Palatino Linotype" w:hAnsi="Palatino Linotype" w:cs="Times New Roman"/>
      <w:color w:val="auto"/>
    </w:rPr>
  </w:style>
  <w:style w:type="character" w:customStyle="1" w:styleId="A10">
    <w:name w:val="A10"/>
    <w:rPr>
      <w:rFonts w:cs="Palatino Linotype"/>
      <w:color w:val="000000"/>
      <w:sz w:val="11"/>
      <w:szCs w:val="11"/>
    </w:rPr>
  </w:style>
  <w:style w:type="paragraph" w:styleId="Revision">
    <w:name w:val="Revision"/>
    <w:hidden/>
    <w:uiPriority w:val="99"/>
    <w:semiHidden/>
    <w:pPr>
      <w:spacing w:after="200" w:line="276" w:lineRule="auto"/>
    </w:pPr>
    <w:rPr>
      <w:sz w:val="24"/>
      <w:szCs w:val="24"/>
      <w:lang w:eastAsia="en-US"/>
    </w:rPr>
  </w:style>
  <w:style w:type="paragraph" w:styleId="ListParagraph">
    <w:name w:val="List Paragraph"/>
    <w:aliases w:val="Head 2"/>
    <w:basedOn w:val="Normal"/>
    <w:link w:val="ListParagraphChar"/>
    <w:autoRedefine/>
    <w:uiPriority w:val="34"/>
    <w:qFormat/>
    <w:pPr>
      <w:numPr>
        <w:numId w:val="39"/>
      </w:numPr>
      <w:spacing w:before="0" w:after="0"/>
    </w:pPr>
    <w:rPr>
      <w:rFonts w:eastAsia="Calibri"/>
      <w:szCs w:val="22"/>
      <w:lang w:val="x-none" w:eastAsia="x-none"/>
    </w:rPr>
  </w:style>
  <w:style w:type="paragraph" w:customStyle="1" w:styleId="astandard3520normal">
    <w:name w:val="a_standard__35__20_normal"/>
    <w:basedOn w:val="Normal"/>
    <w:pPr>
      <w:spacing w:before="0"/>
      <w:ind w:right="57"/>
    </w:pPr>
    <w:rPr>
      <w:szCs w:val="22"/>
      <w:lang w:eastAsia="en-GB"/>
    </w:rPr>
  </w:style>
  <w:style w:type="paragraph" w:customStyle="1" w:styleId="astandardsous-titre201">
    <w:name w:val="a_standard_sous-titre_20_1"/>
    <w:basedOn w:val="Normal"/>
    <w:pPr>
      <w:spacing w:before="240" w:after="80"/>
      <w:ind w:right="57"/>
      <w:jc w:val="left"/>
    </w:pPr>
    <w:rPr>
      <w:b/>
      <w:bCs/>
      <w:szCs w:val="22"/>
      <w:lang w:eastAsia="en-GB"/>
    </w:rPr>
  </w:style>
  <w:style w:type="paragraph" w:customStyle="1" w:styleId="a3520normalp9">
    <w:name w:val="a__35__20_normal_p9"/>
    <w:basedOn w:val="Normal"/>
    <w:pPr>
      <w:spacing w:before="0"/>
      <w:ind w:right="57"/>
    </w:pPr>
    <w:rPr>
      <w:szCs w:val="22"/>
      <w:lang w:eastAsia="en-GB"/>
    </w:rPr>
  </w:style>
  <w:style w:type="character" w:customStyle="1" w:styleId="at12">
    <w:name w:val="a__t12"/>
    <w:rPr>
      <w:i/>
      <w:iCs/>
    </w:rPr>
  </w:style>
  <w:style w:type="character" w:customStyle="1" w:styleId="at61">
    <w:name w:val="a__t61"/>
    <w:rPr>
      <w:b/>
      <w:bCs/>
    </w:rPr>
  </w:style>
  <w:style w:type="character" w:customStyle="1" w:styleId="at8">
    <w:name w:val="a__t8"/>
  </w:style>
  <w:style w:type="character" w:customStyle="1" w:styleId="afootnote20symbol1">
    <w:name w:val="a__footnote_20_symbol1"/>
    <w:rPr>
      <w:b/>
      <w:bCs/>
    </w:rPr>
  </w:style>
  <w:style w:type="character" w:customStyle="1" w:styleId="CommentTextChar1">
    <w:name w:val="Comment Text Char1"/>
    <w:link w:val="CommentText"/>
    <w:rPr>
      <w:lang w:val="x-none" w:eastAsia="en-US"/>
    </w:rPr>
  </w:style>
  <w:style w:type="paragraph" w:styleId="EndnoteText">
    <w:name w:val="endnote text"/>
    <w:basedOn w:val="Normal"/>
    <w:link w:val="EndnoteTextChar"/>
    <w:uiPriority w:val="99"/>
    <w:rPr>
      <w:sz w:val="20"/>
      <w:szCs w:val="20"/>
      <w:lang w:val="x-none"/>
    </w:rPr>
  </w:style>
  <w:style w:type="character" w:customStyle="1" w:styleId="EndnoteTextChar">
    <w:name w:val="Endnote Text Char"/>
    <w:link w:val="EndnoteText"/>
    <w:uiPriority w:val="99"/>
    <w:rPr>
      <w:shd w:val="clear" w:color="auto" w:fill="auto"/>
      <w:lang w:val="x-none" w:eastAsia="en-US"/>
    </w:rPr>
  </w:style>
  <w:style w:type="character" w:customStyle="1" w:styleId="FootnoteTextChar3">
    <w:name w:val="Footnote Text Char3"/>
    <w:aliases w:val="Footnote Char2,-E Fußnotentext Char2,Fußnotentext Ursprung Char2,Fußnote Char2,footnote text Char2,(Diplomarbeit) Char,(Diplomarbeit)1 Char,(Diplomarbeit)2 Char,(Diplomarbeit)3 Char,(Diplomarbeit)4 Char,(Diplomarbeit)5 Char"/>
    <w:locked/>
    <w:rPr>
      <w:rFonts w:ascii="Verdana" w:eastAsia="Times New Roman" w:hAnsi="Verdana"/>
      <w:sz w:val="16"/>
      <w:lang w:eastAsia="en-US"/>
    </w:rPr>
  </w:style>
  <w:style w:type="character" w:customStyle="1" w:styleId="Text1Char">
    <w:name w:val="Text 1 Char"/>
    <w:rPr>
      <w:sz w:val="24"/>
      <w:szCs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szCs w:val="22"/>
      <w:lang w:val="x-none"/>
    </w:rPr>
  </w:style>
  <w:style w:type="character" w:customStyle="1" w:styleId="FooterCoverPageChar">
    <w:name w:val="Footer Cover Page Char"/>
    <w:link w:val="FooterCoverPage"/>
    <w:rPr>
      <w:rFonts w:eastAsia="Calibri"/>
      <w:sz w:val="24"/>
      <w:szCs w:val="22"/>
      <w:lang w:val="x-none" w:eastAsia="en-US"/>
    </w:rPr>
  </w:style>
  <w:style w:type="paragraph" w:customStyle="1" w:styleId="HeaderCoverPage">
    <w:name w:val="Header Cover Page"/>
    <w:basedOn w:val="Normal"/>
    <w:link w:val="HeaderCoverPageChar"/>
    <w:pPr>
      <w:tabs>
        <w:tab w:val="center" w:pos="4535"/>
        <w:tab w:val="right" w:pos="9071"/>
      </w:tabs>
      <w:spacing w:before="0"/>
    </w:pPr>
    <w:rPr>
      <w:rFonts w:eastAsia="Calibri"/>
      <w:szCs w:val="22"/>
      <w:lang w:val="x-none"/>
    </w:rPr>
  </w:style>
  <w:style w:type="character" w:customStyle="1" w:styleId="HeaderCoverPageChar">
    <w:name w:val="Header Cover Page Char"/>
    <w:link w:val="HeaderCoverPage"/>
    <w:rPr>
      <w:rFonts w:eastAsia="Calibri"/>
      <w:sz w:val="24"/>
      <w:szCs w:val="22"/>
      <w:lang w:val="x-none" w:eastAsia="en-US"/>
    </w:rPr>
  </w:style>
  <w:style w:type="numbering" w:customStyle="1" w:styleId="NoList1">
    <w:name w:val="No List1"/>
    <w:next w:val="NoList"/>
    <w:uiPriority w:val="99"/>
    <w:semiHidden/>
    <w:unhideWhenUsed/>
  </w:style>
  <w:style w:type="paragraph" w:customStyle="1" w:styleId="FoonoteText">
    <w:name w:val="Foonote Text"/>
    <w:basedOn w:val="Normal"/>
    <w:autoRedefine/>
    <w:pPr>
      <w:tabs>
        <w:tab w:val="left" w:pos="425"/>
      </w:tabs>
      <w:autoSpaceDE w:val="0"/>
      <w:autoSpaceDN w:val="0"/>
      <w:adjustRightInd w:val="0"/>
      <w:spacing w:before="40" w:after="40"/>
      <w:ind w:left="425" w:hanging="425"/>
    </w:pPr>
    <w:rPr>
      <w:sz w:val="16"/>
      <w:szCs w:val="16"/>
      <w:lang w:eastAsia="en-GB"/>
    </w:rPr>
  </w:style>
  <w:style w:type="character" w:styleId="PageNumber">
    <w:name w:val="page number"/>
    <w:uiPriority w:val="99"/>
    <w:rPr>
      <w:shd w:val="clear" w:color="auto" w:fill="auto"/>
    </w:rPr>
  </w:style>
  <w:style w:type="paragraph" w:customStyle="1" w:styleId="Source">
    <w:name w:val="Source"/>
    <w:basedOn w:val="Normal"/>
    <w:next w:val="Normal"/>
    <w:pPr>
      <w:keepLines/>
      <w:tabs>
        <w:tab w:val="left" w:pos="1134"/>
      </w:tabs>
      <w:spacing w:before="60" w:after="240"/>
      <w:ind w:left="1134" w:hanging="1134"/>
      <w:jc w:val="left"/>
    </w:pPr>
    <w:rPr>
      <w:rFonts w:ascii="Arial" w:hAnsi="Arial"/>
      <w:sz w:val="18"/>
      <w:szCs w:val="22"/>
      <w:lang w:eastAsia="en-GB"/>
    </w:rPr>
  </w:style>
  <w:style w:type="paragraph" w:customStyle="1" w:styleId="Annex">
    <w:name w:val="Annex"/>
    <w:basedOn w:val="Heading1"/>
    <w:next w:val="Normal"/>
    <w:pPr>
      <w:pageBreakBefore/>
      <w:numPr>
        <w:numId w:val="0"/>
      </w:numPr>
      <w:tabs>
        <w:tab w:val="num" w:pos="283"/>
        <w:tab w:val="num" w:pos="709"/>
        <w:tab w:val="num" w:pos="926"/>
        <w:tab w:val="num" w:pos="1134"/>
        <w:tab w:val="num" w:pos="1984"/>
        <w:tab w:val="num" w:pos="2517"/>
      </w:tabs>
      <w:spacing w:before="0" w:after="480"/>
      <w:ind w:left="717" w:hanging="283"/>
      <w:jc w:val="left"/>
    </w:pPr>
    <w:rPr>
      <w:rFonts w:ascii="Verdana" w:hAnsi="Verdana" w:cs="Arial"/>
      <w:smallCaps w:val="0"/>
      <w:kern w:val="32"/>
      <w:sz w:val="44"/>
      <w:szCs w:val="28"/>
      <w:lang w:eastAsia="en-GB"/>
    </w:rPr>
  </w:style>
  <w:style w:type="paragraph" w:customStyle="1" w:styleId="BoxTitle">
    <w:name w:val="Box Title"/>
    <w:basedOn w:val="Heading2"/>
    <w:next w:val="Normal"/>
    <w:pPr>
      <w:numPr>
        <w:ilvl w:val="0"/>
        <w:numId w:val="31"/>
      </w:numPr>
      <w:pBdr>
        <w:top w:val="single" w:sz="4" w:space="1" w:color="auto"/>
        <w:left w:val="single" w:sz="4" w:space="4" w:color="auto"/>
        <w:bottom w:val="single" w:sz="4" w:space="1" w:color="auto"/>
        <w:right w:val="single" w:sz="4" w:space="4" w:color="auto"/>
      </w:pBdr>
      <w:shd w:val="clear" w:color="auto" w:fill="CCCCCC"/>
      <w:tabs>
        <w:tab w:val="clear" w:pos="2520"/>
        <w:tab w:val="num" w:pos="643"/>
        <w:tab w:val="num" w:pos="709"/>
        <w:tab w:val="num" w:pos="1134"/>
      </w:tabs>
      <w:spacing w:before="240" w:after="240"/>
      <w:ind w:left="1151" w:hanging="794"/>
      <w:jc w:val="left"/>
    </w:pPr>
    <w:rPr>
      <w:rFonts w:ascii="Arial" w:hAnsi="Arial" w:cs="Arial"/>
      <w:iCs w:val="0"/>
      <w:sz w:val="22"/>
      <w:szCs w:val="26"/>
      <w:lang w:eastAsia="en-GB"/>
    </w:rPr>
  </w:style>
  <w:style w:type="paragraph" w:customStyle="1" w:styleId="FigureTitle">
    <w:name w:val="Figure Title"/>
    <w:basedOn w:val="Heading2"/>
    <w:next w:val="Normal"/>
    <w:pPr>
      <w:numPr>
        <w:ilvl w:val="0"/>
        <w:numId w:val="0"/>
      </w:numPr>
      <w:tabs>
        <w:tab w:val="num" w:pos="850"/>
        <w:tab w:val="num" w:pos="1134"/>
        <w:tab w:val="num" w:pos="1560"/>
        <w:tab w:val="num" w:pos="1984"/>
      </w:tabs>
      <w:spacing w:before="240" w:after="240"/>
      <w:ind w:left="1151" w:hanging="794"/>
      <w:jc w:val="left"/>
    </w:pPr>
    <w:rPr>
      <w:rFonts w:ascii="Arial" w:hAnsi="Arial" w:cs="Arial"/>
      <w:iCs w:val="0"/>
      <w:sz w:val="22"/>
      <w:szCs w:val="26"/>
      <w:lang w:eastAsia="en-GB"/>
    </w:rPr>
  </w:style>
  <w:style w:type="paragraph" w:customStyle="1" w:styleId="MapTitle">
    <w:name w:val="Map Title"/>
    <w:basedOn w:val="Heading2"/>
    <w:next w:val="Normal"/>
    <w:pPr>
      <w:numPr>
        <w:ilvl w:val="0"/>
        <w:numId w:val="0"/>
      </w:numPr>
      <w:tabs>
        <w:tab w:val="num" w:pos="283"/>
        <w:tab w:val="num" w:pos="1417"/>
        <w:tab w:val="num" w:pos="2268"/>
        <w:tab w:val="num" w:pos="3118"/>
      </w:tabs>
      <w:spacing w:before="240" w:after="240"/>
      <w:ind w:left="1151" w:hanging="794"/>
      <w:jc w:val="left"/>
    </w:pPr>
    <w:rPr>
      <w:rFonts w:ascii="Arial" w:hAnsi="Arial" w:cs="Arial"/>
      <w:iCs w:val="0"/>
      <w:sz w:val="22"/>
      <w:szCs w:val="26"/>
      <w:lang w:eastAsia="en-GB"/>
    </w:rPr>
  </w:style>
  <w:style w:type="paragraph" w:customStyle="1" w:styleId="Smiley-Negative">
    <w:name w:val="Smiley - Negative"/>
    <w:basedOn w:val="Normal"/>
    <w:pPr>
      <w:tabs>
        <w:tab w:val="num" w:pos="1134"/>
        <w:tab w:val="num" w:pos="1560"/>
        <w:tab w:val="num" w:pos="1984"/>
      </w:tabs>
      <w:spacing w:before="0" w:after="0"/>
      <w:ind w:left="360" w:hanging="567"/>
      <w:jc w:val="left"/>
    </w:pPr>
    <w:rPr>
      <w:sz w:val="22"/>
      <w:szCs w:val="22"/>
      <w:lang w:eastAsia="en-GB"/>
    </w:rPr>
  </w:style>
  <w:style w:type="paragraph" w:customStyle="1" w:styleId="Smiley-Neutral">
    <w:name w:val="Smiley - Neutral"/>
    <w:basedOn w:val="Normal"/>
    <w:pPr>
      <w:tabs>
        <w:tab w:val="num" w:pos="709"/>
        <w:tab w:val="num" w:pos="1134"/>
        <w:tab w:val="num" w:pos="2551"/>
      </w:tabs>
      <w:spacing w:before="0" w:after="0"/>
      <w:ind w:left="360" w:hanging="567"/>
      <w:jc w:val="left"/>
    </w:pPr>
    <w:rPr>
      <w:sz w:val="22"/>
      <w:szCs w:val="22"/>
      <w:lang w:eastAsia="en-GB"/>
    </w:rPr>
  </w:style>
  <w:style w:type="paragraph" w:customStyle="1" w:styleId="Smiley-Positive">
    <w:name w:val="Smiley - Positive"/>
    <w:basedOn w:val="Normal"/>
    <w:pPr>
      <w:tabs>
        <w:tab w:val="num" w:pos="283"/>
        <w:tab w:val="num" w:pos="1134"/>
        <w:tab w:val="num" w:pos="1209"/>
        <w:tab w:val="num" w:pos="3118"/>
      </w:tabs>
      <w:spacing w:before="0" w:after="0"/>
      <w:ind w:left="3118" w:hanging="283"/>
      <w:jc w:val="left"/>
    </w:pPr>
    <w:rPr>
      <w:sz w:val="22"/>
      <w:szCs w:val="22"/>
      <w:lang w:eastAsia="en-GB"/>
    </w:rPr>
  </w:style>
  <w:style w:type="paragraph" w:customStyle="1" w:styleId="TableText">
    <w:name w:val="Table Text"/>
    <w:basedOn w:val="Normal"/>
    <w:next w:val="Normal"/>
    <w:pPr>
      <w:overflowPunct w:val="0"/>
      <w:autoSpaceDE w:val="0"/>
      <w:autoSpaceDN w:val="0"/>
      <w:adjustRightInd w:val="0"/>
      <w:spacing w:before="0" w:after="0"/>
      <w:ind w:left="357"/>
      <w:jc w:val="left"/>
      <w:textAlignment w:val="baseline"/>
    </w:pPr>
    <w:rPr>
      <w:rFonts w:ascii="Arial" w:hAnsi="Arial"/>
      <w:sz w:val="18"/>
      <w:szCs w:val="20"/>
      <w:lang w:eastAsia="en-GB"/>
    </w:rPr>
  </w:style>
  <w:style w:type="paragraph" w:customStyle="1" w:styleId="Cover-title3">
    <w:name w:val="Cover - title 3"/>
    <w:basedOn w:val="Normal"/>
    <w:next w:val="Normal"/>
    <w:pPr>
      <w:overflowPunct w:val="0"/>
      <w:autoSpaceDE w:val="0"/>
      <w:autoSpaceDN w:val="0"/>
      <w:adjustRightInd w:val="0"/>
      <w:spacing w:before="60" w:after="80"/>
      <w:jc w:val="right"/>
      <w:textAlignment w:val="baseline"/>
    </w:pPr>
    <w:rPr>
      <w:rFonts w:ascii="Avenir 55" w:hAnsi="Avenir 55"/>
      <w:b/>
      <w:sz w:val="22"/>
      <w:szCs w:val="20"/>
      <w:lang w:eastAsia="en-GB"/>
    </w:rPr>
  </w:style>
  <w:style w:type="paragraph" w:customStyle="1" w:styleId="KeyMessage0">
    <w:name w:val="KeyMessage"/>
    <w:basedOn w:val="Normal"/>
    <w:next w:val="Normal"/>
    <w:pPr>
      <w:keepLines/>
      <w:shd w:val="clear" w:color="auto" w:fill="F3F3F3"/>
      <w:tabs>
        <w:tab w:val="left" w:pos="540"/>
      </w:tabs>
      <w:spacing w:before="80" w:after="80"/>
      <w:ind w:left="540" w:hanging="540"/>
      <w:jc w:val="left"/>
    </w:pPr>
    <w:rPr>
      <w:rFonts w:ascii="Verdana" w:hAnsi="Verdana"/>
      <w:noProof/>
      <w:sz w:val="20"/>
      <w:szCs w:val="22"/>
      <w:lang w:eastAsia="en-GB"/>
    </w:rPr>
  </w:style>
  <w:style w:type="paragraph" w:customStyle="1" w:styleId="punkte">
    <w:name w:val="punkte"/>
    <w:basedOn w:val="Normal"/>
    <w:pPr>
      <w:tabs>
        <w:tab w:val="num" w:pos="850"/>
        <w:tab w:val="num" w:pos="1134"/>
        <w:tab w:val="num" w:pos="2517"/>
      </w:tabs>
      <w:spacing w:before="0" w:after="0"/>
      <w:ind w:left="360" w:hanging="850"/>
      <w:jc w:val="left"/>
    </w:pPr>
    <w:rPr>
      <w:szCs w:val="20"/>
      <w:lang w:eastAsia="en-GB"/>
    </w:rPr>
  </w:style>
  <w:style w:type="paragraph" w:customStyle="1" w:styleId="FormatvorlageBeschriftungPalatinoLinotype">
    <w:name w:val="Formatvorlage Beschriftung + Palatino Linotype"/>
    <w:basedOn w:val="Caption"/>
    <w:autoRedefine/>
    <w:pPr>
      <w:keepNext/>
      <w:keepLines/>
      <w:pBdr>
        <w:top w:val="single" w:sz="4" w:space="1" w:color="auto"/>
        <w:bottom w:val="single" w:sz="4" w:space="1" w:color="auto"/>
      </w:pBdr>
      <w:shd w:val="clear" w:color="auto" w:fill="E6E6E6"/>
      <w:tabs>
        <w:tab w:val="left" w:pos="1418"/>
      </w:tabs>
      <w:spacing w:before="240" w:after="80"/>
      <w:ind w:left="1440" w:hanging="1440"/>
      <w:jc w:val="left"/>
    </w:pPr>
    <w:rPr>
      <w:rFonts w:ascii="Verdana" w:hAnsi="Verdana"/>
    </w:rPr>
  </w:style>
  <w:style w:type="paragraph" w:customStyle="1" w:styleId="font5">
    <w:name w:val="font5"/>
    <w:basedOn w:val="Normal"/>
    <w:pPr>
      <w:spacing w:before="100" w:beforeAutospacing="1" w:after="100" w:afterAutospacing="1"/>
      <w:jc w:val="left"/>
    </w:pPr>
    <w:rPr>
      <w:sz w:val="16"/>
      <w:szCs w:val="16"/>
      <w:lang w:val="en-US" w:eastAsia="en-GB"/>
    </w:rPr>
  </w:style>
  <w:style w:type="paragraph" w:customStyle="1" w:styleId="xl45">
    <w:name w:val="xl45"/>
    <w:basedOn w:val="Normal"/>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left"/>
    </w:pPr>
    <w:rPr>
      <w:b/>
      <w:bCs/>
      <w:sz w:val="16"/>
      <w:szCs w:val="16"/>
      <w:lang w:val="en-US" w:eastAsia="en-GB"/>
    </w:rPr>
  </w:style>
  <w:style w:type="paragraph" w:customStyle="1" w:styleId="xl46">
    <w:name w:val="xl4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US" w:eastAsia="en-GB"/>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2"/>
      <w:lang w:val="en-US" w:eastAsia="en-GB"/>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2"/>
      <w:lang w:val="en-US" w:eastAsia="en-GB"/>
    </w:rPr>
  </w:style>
  <w:style w:type="paragraph" w:customStyle="1" w:styleId="xl49">
    <w:name w:val="xl49"/>
    <w:basedOn w:val="Normal"/>
    <w:pPr>
      <w:pBdr>
        <w:top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1">
    <w:name w:val="xl51"/>
    <w:basedOn w:val="Normal"/>
    <w:pPr>
      <w:pBdr>
        <w:top w:val="single" w:sz="4" w:space="0" w:color="auto"/>
        <w:left w:val="single" w:sz="4" w:space="0" w:color="auto"/>
        <w:bottom w:val="single" w:sz="4"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2">
    <w:name w:val="xl52"/>
    <w:basedOn w:val="Normal"/>
    <w:pPr>
      <w:pBdr>
        <w:left w:val="single" w:sz="8" w:space="0" w:color="auto"/>
        <w:bottom w:val="single" w:sz="4"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3">
    <w:name w:val="xl53"/>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4">
    <w:name w:val="xl54"/>
    <w:basedOn w:val="Normal"/>
    <w:pPr>
      <w:pBdr>
        <w:left w:val="single" w:sz="8" w:space="0" w:color="auto"/>
        <w:bottom w:val="single" w:sz="8"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5">
    <w:name w:val="xl55"/>
    <w:basedOn w:val="Normal"/>
    <w:pPr>
      <w:pBdr>
        <w:top w:val="single" w:sz="4" w:space="0" w:color="auto"/>
        <w:left w:val="single" w:sz="4" w:space="0" w:color="auto"/>
        <w:bottom w:val="single" w:sz="8"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6">
    <w:name w:val="xl56"/>
    <w:basedOn w:val="Normal"/>
    <w:pPr>
      <w:pBdr>
        <w:top w:val="single" w:sz="4" w:space="0" w:color="auto"/>
        <w:left w:val="single" w:sz="4" w:space="0" w:color="auto"/>
        <w:bottom w:val="single" w:sz="8"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7">
    <w:name w:val="xl57"/>
    <w:basedOn w:val="Normal"/>
    <w:pPr>
      <w:pBdr>
        <w:top w:val="single" w:sz="8" w:space="0" w:color="auto"/>
        <w:left w:val="single" w:sz="8"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58">
    <w:name w:val="xl58"/>
    <w:basedOn w:val="Normal"/>
    <w:pPr>
      <w:pBdr>
        <w:top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59">
    <w:name w:val="xl59"/>
    <w:basedOn w:val="Normal"/>
    <w:pPr>
      <w:pBdr>
        <w:top w:val="single" w:sz="8"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0">
    <w:name w:val="xl60"/>
    <w:basedOn w:val="Normal"/>
    <w:pPr>
      <w:pBdr>
        <w:left w:val="single" w:sz="8" w:space="0" w:color="auto"/>
        <w:bottom w:val="single" w:sz="4"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61">
    <w:name w:val="xl61"/>
    <w:basedOn w:val="Normal"/>
    <w:pPr>
      <w:pBdr>
        <w:bottom w:val="single" w:sz="4"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2">
    <w:name w:val="xl62"/>
    <w:basedOn w:val="Normal"/>
    <w:pPr>
      <w:pBdr>
        <w:bottom w:val="single" w:sz="4"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sz w:val="16"/>
      <w:szCs w:val="16"/>
      <w:lang w:val="en-US" w:eastAsia="en-GB"/>
    </w:rPr>
  </w:style>
  <w:style w:type="paragraph" w:customStyle="1" w:styleId="font6">
    <w:name w:val="font6"/>
    <w:basedOn w:val="Normal"/>
    <w:pPr>
      <w:spacing w:before="100" w:beforeAutospacing="1" w:after="100" w:afterAutospacing="1"/>
      <w:jc w:val="left"/>
    </w:pPr>
    <w:rPr>
      <w:rFonts w:eastAsia="Arial Unicode MS"/>
      <w:b/>
      <w:bCs/>
      <w:sz w:val="16"/>
      <w:szCs w:val="16"/>
      <w:lang w:val="en-US" w:eastAsia="en-GB"/>
    </w:rPr>
  </w:style>
  <w:style w:type="paragraph" w:customStyle="1" w:styleId="xl44">
    <w:name w:val="xl44"/>
    <w:basedOn w:val="Normal"/>
    <w:pPr>
      <w:pBdr>
        <w:top w:val="single" w:sz="8" w:space="0" w:color="auto"/>
        <w:left w:val="single" w:sz="8" w:space="0" w:color="auto"/>
        <w:bottom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4">
    <w:name w:val="xl64"/>
    <w:basedOn w:val="Normal"/>
    <w:pPr>
      <w:pBdr>
        <w:top w:val="single" w:sz="8" w:space="0" w:color="auto"/>
        <w:left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5">
    <w:name w:val="xl65"/>
    <w:basedOn w:val="Normal"/>
    <w:pPr>
      <w:pBdr>
        <w:left w:val="single" w:sz="8" w:space="0" w:color="auto"/>
        <w:bottom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6">
    <w:name w:val="xl66"/>
    <w:basedOn w:val="Normal"/>
    <w:pPr>
      <w:pBdr>
        <w:left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7">
    <w:name w:val="xl67"/>
    <w:basedOn w:val="Normal"/>
    <w:pPr>
      <w:pBdr>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8">
    <w:name w:val="xl68"/>
    <w:basedOn w:val="Normal"/>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9">
    <w:name w:val="xl69"/>
    <w:basedOn w:val="Normal"/>
    <w:pPr>
      <w:pBdr>
        <w:top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0">
    <w:name w:val="xl70"/>
    <w:basedOn w:val="Normal"/>
    <w:pPr>
      <w:pBdr>
        <w:top w:val="single" w:sz="8" w:space="0" w:color="auto"/>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1">
    <w:name w:val="xl71"/>
    <w:basedOn w:val="Normal"/>
    <w:pPr>
      <w:pBdr>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2">
    <w:name w:val="xl72"/>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3">
    <w:name w:val="xl73"/>
    <w:basedOn w:val="Normal"/>
    <w:pPr>
      <w:pBdr>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4">
    <w:name w:val="xl74"/>
    <w:basedOn w:val="Normal"/>
    <w:pPr>
      <w:pBdr>
        <w:bottom w:val="single" w:sz="8"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5">
    <w:name w:val="xl75"/>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lang w:val="en-US" w:eastAsia="en-GB"/>
    </w:rPr>
  </w:style>
  <w:style w:type="paragraph" w:customStyle="1" w:styleId="xl76">
    <w:name w:val="xl76"/>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7">
    <w:name w:val="xl77"/>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8">
    <w:name w:val="xl78"/>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9">
    <w:name w:val="xl79"/>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EntInstit">
    <w:name w:val="EntInstit"/>
    <w:pPr>
      <w:spacing w:after="200" w:line="276" w:lineRule="auto"/>
      <w:jc w:val="right"/>
    </w:pPr>
    <w:rPr>
      <w:b/>
      <w:sz w:val="24"/>
      <w:szCs w:val="22"/>
      <w:lang w:eastAsia="fr-BE"/>
    </w:rPr>
  </w:style>
  <w:style w:type="paragraph" w:customStyle="1" w:styleId="NormalConseil">
    <w:name w:val="NormalConseil"/>
    <w:basedOn w:val="Normal"/>
    <w:pPr>
      <w:spacing w:before="0" w:after="0"/>
      <w:jc w:val="left"/>
    </w:pPr>
    <w:rPr>
      <w:szCs w:val="20"/>
      <w:lang w:eastAsia="fr-BE"/>
    </w:rPr>
  </w:style>
  <w:style w:type="paragraph" w:customStyle="1" w:styleId="EntRefer">
    <w:name w:val="EntRefer"/>
    <w:pPr>
      <w:spacing w:after="200" w:line="276" w:lineRule="auto"/>
    </w:pPr>
    <w:rPr>
      <w:b/>
      <w:sz w:val="24"/>
      <w:szCs w:val="22"/>
      <w:lang w:eastAsia="fr-BE"/>
    </w:rPr>
  </w:style>
  <w:style w:type="paragraph" w:customStyle="1" w:styleId="EntEmet">
    <w:name w:val="EntEmet"/>
    <w:pPr>
      <w:tabs>
        <w:tab w:val="left" w:pos="284"/>
        <w:tab w:val="left" w:pos="567"/>
        <w:tab w:val="left" w:pos="851"/>
        <w:tab w:val="left" w:pos="1134"/>
        <w:tab w:val="left" w:pos="1418"/>
      </w:tabs>
      <w:spacing w:before="40" w:after="200" w:line="276" w:lineRule="auto"/>
    </w:pPr>
    <w:rPr>
      <w:sz w:val="24"/>
      <w:szCs w:val="22"/>
      <w:lang w:eastAsia="fr-BE"/>
    </w:rPr>
  </w:style>
  <w:style w:type="paragraph" w:customStyle="1" w:styleId="EntLogo">
    <w:name w:val="EntLogo"/>
    <w:next w:val="EntInstit"/>
    <w:pPr>
      <w:spacing w:after="200" w:line="360" w:lineRule="auto"/>
    </w:pPr>
    <w:rPr>
      <w:b/>
      <w:sz w:val="24"/>
      <w:szCs w:val="22"/>
      <w:lang w:eastAsia="fr-BE"/>
    </w:rPr>
  </w:style>
  <w:style w:type="paragraph" w:customStyle="1" w:styleId="FooterConseil">
    <w:name w:val="FooterConseil"/>
    <w:pPr>
      <w:tabs>
        <w:tab w:val="center" w:pos="4820"/>
        <w:tab w:val="center" w:pos="7371"/>
        <w:tab w:val="right" w:pos="9639"/>
      </w:tabs>
      <w:spacing w:after="200" w:line="276" w:lineRule="auto"/>
    </w:pPr>
    <w:rPr>
      <w:sz w:val="24"/>
      <w:szCs w:val="22"/>
      <w:lang w:eastAsia="fr-BE"/>
    </w:rPr>
  </w:style>
  <w:style w:type="paragraph" w:customStyle="1" w:styleId="FigureCaption">
    <w:name w:val="Figure Caption"/>
    <w:basedOn w:val="Normal"/>
    <w:pPr>
      <w:spacing w:before="0" w:after="0"/>
      <w:jc w:val="left"/>
    </w:pPr>
    <w:rPr>
      <w:rFonts w:ascii="Arial" w:hAnsi="Arial"/>
      <w:sz w:val="22"/>
      <w:szCs w:val="22"/>
      <w:lang w:val="da-DK" w:eastAsia="en-GB"/>
    </w:rPr>
  </w:style>
  <w:style w:type="paragraph" w:customStyle="1" w:styleId="Question">
    <w:name w:val="Question"/>
    <w:basedOn w:val="Normal"/>
    <w:pPr>
      <w:pBdr>
        <w:top w:val="single" w:sz="4" w:space="1" w:color="auto"/>
        <w:left w:val="single" w:sz="4" w:space="4" w:color="auto"/>
        <w:bottom w:val="single" w:sz="4" w:space="1" w:color="auto"/>
        <w:right w:val="single" w:sz="4" w:space="4" w:color="auto"/>
      </w:pBdr>
      <w:spacing w:before="60" w:after="80"/>
      <w:jc w:val="left"/>
    </w:pPr>
    <w:rPr>
      <w:rFonts w:ascii="Arial Black" w:hAnsi="Arial Black"/>
      <w:sz w:val="22"/>
      <w:szCs w:val="22"/>
      <w:lang w:eastAsia="de-DE"/>
    </w:rPr>
  </w:style>
  <w:style w:type="paragraph" w:customStyle="1" w:styleId="Keymessage">
    <w:name w:val="Key message"/>
    <w:basedOn w:val="Normal"/>
    <w:pPr>
      <w:numPr>
        <w:numId w:val="33"/>
      </w:numPr>
      <w:pBdr>
        <w:top w:val="single" w:sz="4" w:space="1" w:color="auto"/>
        <w:left w:val="single" w:sz="4" w:space="4" w:color="auto"/>
        <w:bottom w:val="single" w:sz="4" w:space="1" w:color="auto"/>
        <w:right w:val="single" w:sz="4" w:space="4" w:color="auto"/>
      </w:pBdr>
      <w:shd w:val="clear" w:color="auto" w:fill="F3F3F3"/>
      <w:spacing w:before="60" w:after="60"/>
      <w:ind w:left="357" w:hanging="357"/>
      <w:jc w:val="left"/>
    </w:pPr>
    <w:rPr>
      <w:rFonts w:ascii="Palatino Linotype" w:hAnsi="Palatino Linotype"/>
      <w:sz w:val="22"/>
      <w:szCs w:val="20"/>
      <w:lang w:eastAsia="de-DE"/>
    </w:rPr>
  </w:style>
  <w:style w:type="paragraph" w:customStyle="1" w:styleId="graph">
    <w:name w:val="graph"/>
    <w:basedOn w:val="Normal"/>
    <w:pPr>
      <w:spacing w:before="0" w:after="0"/>
      <w:ind w:left="6158" w:hanging="6158"/>
      <w:jc w:val="left"/>
    </w:pPr>
    <w:rPr>
      <w:rFonts w:ascii="Palatino Linotype" w:hAnsi="Palatino Linotype"/>
      <w:sz w:val="22"/>
      <w:szCs w:val="22"/>
      <w:lang w:eastAsia="de-DE"/>
    </w:rPr>
  </w:style>
  <w:style w:type="paragraph" w:customStyle="1" w:styleId="FormatvorlageSource8ptFett">
    <w:name w:val="Formatvorlage Source + 8 pt Fett"/>
    <w:basedOn w:val="Normal"/>
    <w:pPr>
      <w:keepNext/>
      <w:keepLines/>
      <w:spacing w:before="60" w:after="0"/>
      <w:ind w:left="1134" w:hanging="1134"/>
      <w:jc w:val="left"/>
    </w:pPr>
    <w:rPr>
      <w:rFonts w:ascii="Arial" w:hAnsi="Arial"/>
      <w:b/>
      <w:bCs/>
      <w:sz w:val="16"/>
      <w:szCs w:val="16"/>
      <w:lang w:eastAsia="en-GB"/>
    </w:rPr>
  </w:style>
  <w:style w:type="paragraph" w:customStyle="1" w:styleId="source0">
    <w:name w:val="source"/>
    <w:basedOn w:val="Normal"/>
    <w:pPr>
      <w:keepLines/>
      <w:spacing w:before="0" w:after="0"/>
      <w:jc w:val="left"/>
    </w:pPr>
    <w:rPr>
      <w:rFonts w:ascii="Arial" w:hAnsi="Arial"/>
      <w:sz w:val="16"/>
      <w:szCs w:val="16"/>
      <w:lang w:eastAsia="de-DE"/>
    </w:rPr>
  </w:style>
  <w:style w:type="paragraph" w:styleId="BodyText3">
    <w:name w:val="Body Text 3"/>
    <w:basedOn w:val="Normal"/>
    <w:link w:val="BodyText3Char"/>
    <w:uiPriority w:val="99"/>
    <w:pPr>
      <w:widowControl w:val="0"/>
      <w:adjustRightInd w:val="0"/>
      <w:jc w:val="left"/>
      <w:textAlignment w:val="baseline"/>
    </w:pPr>
    <w:rPr>
      <w:rFonts w:ascii="NewBskvll BT" w:hAnsi="NewBskvll BT"/>
      <w:sz w:val="22"/>
      <w:szCs w:val="20"/>
      <w:lang w:val="x-none"/>
    </w:rPr>
  </w:style>
  <w:style w:type="character" w:customStyle="1" w:styleId="BodyText3Char">
    <w:name w:val="Body Text 3 Char"/>
    <w:link w:val="BodyText3"/>
    <w:uiPriority w:val="99"/>
    <w:rPr>
      <w:rFonts w:ascii="NewBskvll BT" w:hAnsi="NewBskvll BT"/>
      <w:sz w:val="22"/>
      <w:shd w:val="clear" w:color="auto" w:fill="auto"/>
      <w:lang w:val="x-none" w:eastAsia="en-US"/>
    </w:rPr>
  </w:style>
  <w:style w:type="paragraph" w:customStyle="1" w:styleId="StandardEC-NIR">
    <w:name w:val="Standard_EC-NIR"/>
    <w:basedOn w:val="Normal"/>
    <w:pPr>
      <w:widowControl w:val="0"/>
      <w:adjustRightInd w:val="0"/>
      <w:textAlignment w:val="baseline"/>
    </w:pPr>
    <w:rPr>
      <w:sz w:val="20"/>
      <w:szCs w:val="20"/>
      <w:lang w:val="de-DE" w:eastAsia="en-GB"/>
    </w:rPr>
  </w:style>
  <w:style w:type="character" w:customStyle="1" w:styleId="Table-ContentsCTChar">
    <w:name w:val="Table - Contents (CT) Char"/>
    <w:link w:val="Table-ContentsCT"/>
    <w:locked/>
    <w:rPr>
      <w:rFonts w:ascii="Arial" w:hAnsi="Arial"/>
      <w:sz w:val="16"/>
      <w:szCs w:val="22"/>
      <w:lang w:eastAsia="en-US"/>
    </w:rPr>
  </w:style>
  <w:style w:type="paragraph" w:customStyle="1" w:styleId="Table-ContentsCT">
    <w:name w:val="Table - Contents (CT)"/>
    <w:link w:val="Table-ContentsCTChar"/>
    <w:qFormat/>
    <w:pPr>
      <w:spacing w:before="80" w:after="80" w:line="276" w:lineRule="auto"/>
    </w:pPr>
    <w:rPr>
      <w:rFonts w:ascii="Arial" w:hAnsi="Arial"/>
      <w:sz w:val="16"/>
      <w:szCs w:val="22"/>
      <w:lang w:eastAsia="en-US"/>
    </w:rPr>
  </w:style>
  <w:style w:type="paragraph" w:customStyle="1" w:styleId="Maualheading">
    <w:name w:val="Maual heading"/>
    <w:basedOn w:val="Objetacteprincipal"/>
    <w:pPr>
      <w:jc w:val="both"/>
    </w:pPr>
    <w:rPr>
      <w:noProof/>
      <w:szCs w:val="22"/>
      <w:lang w:eastAsia="en-GB"/>
    </w:rPr>
  </w:style>
  <w:style w:type="character" w:customStyle="1" w:styleId="ListParagraphChar">
    <w:name w:val="List Paragraph Char"/>
    <w:aliases w:val="Head 2 Char"/>
    <w:link w:val="ListParagraph"/>
    <w:uiPriority w:val="34"/>
    <w:locked/>
    <w:rPr>
      <w:rFonts w:eastAsia="Calibri"/>
      <w:sz w:val="24"/>
      <w:szCs w:val="22"/>
      <w:lang w:val="x-none" w:eastAsia="x-none"/>
    </w:rPr>
  </w:style>
  <w:style w:type="paragraph" w:customStyle="1" w:styleId="font7">
    <w:name w:val="font7"/>
    <w:basedOn w:val="Normal"/>
    <w:pPr>
      <w:spacing w:before="100" w:beforeAutospacing="1" w:after="100" w:afterAutospacing="1"/>
      <w:jc w:val="left"/>
    </w:pPr>
    <w:rPr>
      <w:rFonts w:ascii="Calibri" w:hAnsi="Calibri" w:cs="Calibri"/>
      <w:b/>
      <w:bCs/>
      <w:sz w:val="22"/>
      <w:szCs w:val="22"/>
      <w:lang w:eastAsia="en-GB"/>
    </w:rPr>
  </w:style>
  <w:style w:type="paragraph" w:customStyle="1" w:styleId="font8">
    <w:name w:val="font8"/>
    <w:basedOn w:val="Normal"/>
    <w:pPr>
      <w:spacing w:before="100" w:beforeAutospacing="1" w:after="100" w:afterAutospacing="1"/>
      <w:jc w:val="left"/>
    </w:pPr>
    <w:rPr>
      <w:rFonts w:ascii="Calibri" w:hAnsi="Calibri" w:cs="Calibri"/>
      <w:sz w:val="22"/>
      <w:szCs w:val="22"/>
      <w:lang w:eastAsia="en-GB"/>
    </w:rPr>
  </w:style>
  <w:style w:type="paragraph" w:customStyle="1" w:styleId="font9">
    <w:name w:val="font9"/>
    <w:basedOn w:val="Normal"/>
    <w:pPr>
      <w:spacing w:before="100" w:beforeAutospacing="1" w:after="100" w:afterAutospacing="1"/>
      <w:jc w:val="left"/>
    </w:pPr>
    <w:rPr>
      <w:rFonts w:ascii="Calibri" w:hAnsi="Calibri" w:cs="Calibri"/>
      <w:color w:val="000000"/>
      <w:sz w:val="22"/>
      <w:szCs w:val="22"/>
      <w:lang w:eastAsia="en-GB"/>
    </w:rPr>
  </w:style>
  <w:style w:type="paragraph" w:customStyle="1" w:styleId="font10">
    <w:name w:val="font10"/>
    <w:basedOn w:val="Normal"/>
    <w:pPr>
      <w:spacing w:before="100" w:beforeAutospacing="1" w:after="100" w:afterAutospacing="1"/>
      <w:jc w:val="left"/>
    </w:pPr>
    <w:rPr>
      <w:rFonts w:ascii="Calibri" w:hAnsi="Calibri" w:cs="Calibri"/>
      <w:sz w:val="22"/>
      <w:szCs w:val="22"/>
      <w:lang w:eastAsia="en-GB"/>
    </w:rPr>
  </w:style>
  <w:style w:type="paragraph" w:customStyle="1" w:styleId="font11">
    <w:name w:val="font11"/>
    <w:basedOn w:val="Normal"/>
    <w:pPr>
      <w:spacing w:before="100" w:beforeAutospacing="1" w:after="100" w:afterAutospacing="1"/>
      <w:jc w:val="left"/>
    </w:pPr>
    <w:rPr>
      <w:rFonts w:ascii="Calibri" w:hAnsi="Calibri" w:cs="Calibri"/>
      <w:i/>
      <w:iCs/>
      <w:sz w:val="22"/>
      <w:szCs w:val="22"/>
      <w:lang w:eastAsia="en-GB"/>
    </w:rPr>
  </w:style>
  <w:style w:type="paragraph" w:customStyle="1" w:styleId="font12">
    <w:name w:val="font12"/>
    <w:basedOn w:val="Normal"/>
    <w:pPr>
      <w:spacing w:before="100" w:beforeAutospacing="1" w:after="100" w:afterAutospacing="1"/>
      <w:jc w:val="left"/>
    </w:pPr>
    <w:rPr>
      <w:rFonts w:ascii="Calibri" w:hAnsi="Calibri" w:cs="Calibri"/>
      <w:i/>
      <w:iCs/>
      <w:sz w:val="22"/>
      <w:szCs w:val="22"/>
      <w:lang w:eastAsia="en-GB"/>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197">
    <w:name w:val="xl197"/>
    <w:basedOn w:val="Normal"/>
    <w:pPr>
      <w:spacing w:before="100" w:beforeAutospacing="1" w:after="100" w:afterAutospacing="1"/>
      <w:jc w:val="left"/>
    </w:pPr>
    <w:rPr>
      <w:rFonts w:ascii="Calibri" w:hAnsi="Calibri" w:cs="Calibri"/>
      <w:sz w:val="22"/>
      <w:szCs w:val="22"/>
      <w:lang w:eastAsia="en-GB"/>
    </w:rPr>
  </w:style>
  <w:style w:type="paragraph" w:customStyle="1" w:styleId="xl198">
    <w:name w:val="xl198"/>
    <w:basedOn w:val="Normal"/>
    <w:pPr>
      <w:spacing w:before="100" w:beforeAutospacing="1" w:after="100" w:afterAutospacing="1"/>
      <w:jc w:val="left"/>
    </w:pPr>
    <w:rPr>
      <w:rFonts w:ascii="Calibri" w:hAnsi="Calibri" w:cs="Calibri"/>
      <w:sz w:val="22"/>
      <w:szCs w:val="22"/>
      <w:lang w:eastAsia="en-GB"/>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00">
    <w:name w:val="xl20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color w:val="000000"/>
      <w:sz w:val="22"/>
      <w:szCs w:val="22"/>
      <w:lang w:eastAsia="en-GB"/>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color w:val="000000"/>
      <w:sz w:val="22"/>
      <w:szCs w:val="22"/>
      <w:lang w:eastAsia="en-GB"/>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3">
    <w:name w:val="xl203"/>
    <w:basedOn w:val="Normal"/>
    <w:pPr>
      <w:pBdr>
        <w:top w:val="single" w:sz="4" w:space="0" w:color="auto"/>
        <w:left w:val="single" w:sz="4" w:space="0" w:color="auto"/>
        <w:bottom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sz w:val="22"/>
      <w:szCs w:val="22"/>
      <w:lang w:eastAsia="en-GB"/>
    </w:r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2">
    <w:name w:val="xl212"/>
    <w:basedOn w:val="Normal"/>
    <w:pPr>
      <w:spacing w:before="100" w:beforeAutospacing="1" w:after="100" w:afterAutospacing="1"/>
      <w:jc w:val="left"/>
    </w:pPr>
    <w:rPr>
      <w:rFonts w:ascii="Calibri" w:hAnsi="Calibri" w:cs="Calibri"/>
      <w:b/>
      <w:bCs/>
      <w:sz w:val="22"/>
      <w:szCs w:val="22"/>
      <w:lang w:eastAsia="en-GB"/>
    </w:rPr>
  </w:style>
  <w:style w:type="paragraph" w:customStyle="1" w:styleId="xl213">
    <w:name w:val="xl21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8">
    <w:name w:val="xl218"/>
    <w:basedOn w:val="Normal"/>
    <w:pPr>
      <w:spacing w:before="100" w:beforeAutospacing="1" w:after="100" w:afterAutospacing="1"/>
      <w:jc w:val="left"/>
    </w:pPr>
    <w:rPr>
      <w:rFonts w:ascii="Calibri" w:hAnsi="Calibri" w:cs="Calibri"/>
      <w:color w:val="FF00FF"/>
      <w:sz w:val="22"/>
      <w:szCs w:val="22"/>
      <w:lang w:eastAsia="en-GB"/>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4">
    <w:name w:val="xl224"/>
    <w:basedOn w:val="Normal"/>
    <w:pPr>
      <w:shd w:val="clear" w:color="000000" w:fill="DDD9C4"/>
      <w:spacing w:before="100" w:beforeAutospacing="1" w:after="100" w:afterAutospacing="1"/>
      <w:jc w:val="left"/>
    </w:pPr>
    <w:rPr>
      <w:rFonts w:ascii="Calibri" w:hAnsi="Calibri" w:cs="Calibri"/>
      <w:sz w:val="22"/>
      <w:szCs w:val="22"/>
      <w:lang w:eastAsia="en-GB"/>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pPr>
    <w:rPr>
      <w:rFonts w:ascii="Calibri" w:hAnsi="Calibri" w:cs="Calibri"/>
      <w:sz w:val="22"/>
      <w:szCs w:val="22"/>
      <w:lang w:eastAsia="en-GB"/>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9">
    <w:name w:val="xl229"/>
    <w:basedOn w:val="Normal"/>
    <w:pPr>
      <w:shd w:val="clear" w:color="000000" w:fill="DDD9C4"/>
      <w:spacing w:before="100" w:beforeAutospacing="1" w:after="100" w:afterAutospacing="1"/>
      <w:jc w:val="left"/>
    </w:pPr>
    <w:rPr>
      <w:rFonts w:ascii="Calibri" w:hAnsi="Calibri" w:cs="Calibri"/>
      <w:b/>
      <w:bCs/>
      <w:sz w:val="22"/>
      <w:szCs w:val="22"/>
      <w:lang w:eastAsia="en-GB"/>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i/>
      <w:iCs/>
      <w:sz w:val="22"/>
      <w:szCs w:val="22"/>
      <w:lang w:eastAsia="en-GB"/>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i/>
      <w:iCs/>
      <w:sz w:val="22"/>
      <w:szCs w:val="22"/>
      <w:lang w:eastAsia="en-GB"/>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i/>
      <w:iCs/>
      <w:sz w:val="22"/>
      <w:szCs w:val="22"/>
      <w:lang w:eastAsia="en-GB"/>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40">
    <w:name w:val="xl240"/>
    <w:basedOn w:val="Normal"/>
    <w:pPr>
      <w:spacing w:before="100" w:beforeAutospacing="1" w:after="100" w:afterAutospacing="1"/>
      <w:jc w:val="right"/>
    </w:pPr>
    <w:rPr>
      <w:rFonts w:ascii="Calibri" w:hAnsi="Calibri" w:cs="Calibri"/>
      <w:sz w:val="22"/>
      <w:szCs w:val="22"/>
      <w:lang w:eastAsia="en-GB"/>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44">
    <w:name w:val="xl244"/>
    <w:basedOn w:val="Normal"/>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5">
    <w:name w:val="xl245"/>
    <w:basedOn w:val="Normal"/>
    <w:pPr>
      <w:pBdr>
        <w:top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6">
    <w:name w:val="xl246"/>
    <w:basedOn w:val="Normal"/>
    <w:pPr>
      <w:pBdr>
        <w:top w:val="single" w:sz="4" w:space="0" w:color="auto"/>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7">
    <w:name w:val="xl247"/>
    <w:basedOn w:val="Normal"/>
    <w:pPr>
      <w:pBdr>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8">
    <w:name w:val="xl248"/>
    <w:basedOn w:val="Normal"/>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9">
    <w:name w:val="xl249"/>
    <w:basedOn w:val="Normal"/>
    <w:pPr>
      <w:pBdr>
        <w:top w:val="single" w:sz="4" w:space="0" w:color="auto"/>
        <w:lef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0">
    <w:name w:val="xl250"/>
    <w:basedOn w:val="Normal"/>
    <w:pPr>
      <w:pBdr>
        <w:top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1">
    <w:name w:val="xl251"/>
    <w:basedOn w:val="Normal"/>
    <w:pPr>
      <w:pBdr>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2">
    <w:name w:val="xl252"/>
    <w:basedOn w:val="Normal"/>
    <w:pPr>
      <w:pBdr>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i/>
      <w:iCs/>
      <w:sz w:val="22"/>
      <w:szCs w:val="22"/>
      <w:lang w:eastAsia="en-GB"/>
    </w:rPr>
  </w:style>
  <w:style w:type="character" w:customStyle="1" w:styleId="link-size">
    <w:name w:val="link-size"/>
  </w:style>
  <w:style w:type="paragraph" w:styleId="PlainText">
    <w:name w:val="Plain Text"/>
    <w:basedOn w:val="Normal"/>
    <w:link w:val="PlainTextChar"/>
    <w:unhideWhenUsed/>
    <w:pPr>
      <w:spacing w:before="0" w:after="0"/>
      <w:jc w:val="left"/>
    </w:pPr>
    <w:rPr>
      <w:rFonts w:ascii="Calibri" w:eastAsia="Calibri" w:hAnsi="Calibri"/>
      <w:sz w:val="22"/>
      <w:szCs w:val="21"/>
      <w:lang w:eastAsia="x-none"/>
    </w:rPr>
  </w:style>
  <w:style w:type="character" w:customStyle="1" w:styleId="PlainTextChar">
    <w:name w:val="Plain Text Char"/>
    <w:link w:val="PlainText"/>
    <w:rPr>
      <w:rFonts w:ascii="Calibri" w:eastAsia="Calibri" w:hAnsi="Calibri"/>
      <w:sz w:val="22"/>
      <w:szCs w:val="21"/>
      <w:shd w:val="clear" w:color="auto" w:fill="auto"/>
      <w:lang w:eastAsia="x-none"/>
    </w:rPr>
  </w:style>
  <w:style w:type="character" w:customStyle="1" w:styleId="HeaderChar">
    <w:name w:val="Header Char"/>
    <w:link w:val="Header"/>
    <w:uiPriority w:val="99"/>
    <w:rPr>
      <w:sz w:val="24"/>
      <w:szCs w:val="24"/>
      <w:lang w:eastAsia="en-US"/>
    </w:rPr>
  </w:style>
  <w:style w:type="character" w:customStyle="1" w:styleId="FooterChar">
    <w:name w:val="Footer Char"/>
    <w:link w:val="Footer"/>
    <w:uiPriority w:val="99"/>
    <w:rPr>
      <w:sz w:val="24"/>
      <w:szCs w:val="24"/>
      <w:lang w:eastAsia="en-US"/>
    </w:rPr>
  </w:style>
  <w:style w:type="character" w:customStyle="1" w:styleId="FootnoteTextChar">
    <w:name w:val="Footnote Text Char"/>
    <w:link w:val="FootnoteText"/>
    <w:uiPriority w:val="99"/>
    <w:rPr>
      <w:lang w:eastAsia="en-US"/>
    </w:rPr>
  </w:style>
  <w:style w:type="character" w:customStyle="1" w:styleId="Heading1Char">
    <w:name w:val="Heading 1 Char"/>
    <w:link w:val="Heading1"/>
    <w:uiPriority w:val="9"/>
    <w:rPr>
      <w:b/>
      <w:bCs/>
      <w:smallCaps/>
      <w:sz w:val="24"/>
      <w:szCs w:val="32"/>
      <w:lang w:eastAsia="en-US"/>
    </w:rPr>
  </w:style>
  <w:style w:type="character" w:customStyle="1" w:styleId="Heading2Char">
    <w:name w:val="Heading 2 Char"/>
    <w:link w:val="Heading2"/>
    <w:uiPriority w:val="9"/>
    <w:rPr>
      <w:b/>
      <w:bCs/>
      <w:iCs/>
      <w:sz w:val="24"/>
      <w:szCs w:val="28"/>
      <w:lang w:eastAsia="en-US"/>
    </w:rPr>
  </w:style>
  <w:style w:type="character" w:customStyle="1" w:styleId="Heading3Char">
    <w:name w:val="Heading 3 Char"/>
    <w:link w:val="Heading3"/>
    <w:uiPriority w:val="9"/>
    <w:rPr>
      <w:bCs/>
      <w:i/>
      <w:sz w:val="24"/>
      <w:szCs w:val="26"/>
      <w:lang w:eastAsia="en-US"/>
    </w:rPr>
  </w:style>
  <w:style w:type="character" w:customStyle="1" w:styleId="Heading4Char">
    <w:name w:val="Heading 4 Char"/>
    <w:link w:val="Heading4"/>
    <w:uiPriority w:val="9"/>
    <w:rPr>
      <w:bCs/>
      <w:sz w:val="24"/>
      <w:szCs w:val="28"/>
      <w:lang w:eastAsia="en-US"/>
    </w:rPr>
  </w:style>
  <w:style w:type="paragraph" w:customStyle="1" w:styleId="Normale">
    <w:name w:val="Normale"/>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en-GB"/>
    </w:rPr>
  </w:style>
  <w:style w:type="paragraph" w:customStyle="1" w:styleId="Paragrafoelenco">
    <w:name w:val="Paragrafo elenco"/>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en-GB"/>
    </w:rPr>
  </w:style>
  <w:style w:type="numbering" w:customStyle="1" w:styleId="List13">
    <w:name w:val="List 13"/>
    <w:basedOn w:val="NoList"/>
    <w:pPr>
      <w:numPr>
        <w:numId w:val="36"/>
      </w:numPr>
    </w:pPr>
  </w:style>
  <w:style w:type="paragraph" w:customStyle="1" w:styleId="default0">
    <w:name w:val="default"/>
    <w:basedOn w:val="Normal"/>
    <w:pPr>
      <w:spacing w:before="100" w:beforeAutospacing="1" w:after="100" w:afterAutospacing="1"/>
      <w:jc w:val="left"/>
    </w:pPr>
    <w:rPr>
      <w:lang w:eastAsia="en-GB"/>
    </w:rPr>
  </w:style>
  <w:style w:type="character" w:customStyle="1" w:styleId="en">
    <w:name w:val="en"/>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page number"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Body Text 3" w:uiPriority="99"/>
    <w:lsdException w:name="Hyperlink" w:uiPriority="99"/>
    <w:lsdException w:name="FollowedHyperlink" w:uiPriority="99"/>
    <w:lsdException w:name="Strong" w:uiPriority="22" w:qFormat="1"/>
    <w:lsdException w:name="Emphasis"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lang w:eastAsia="en-US"/>
    </w:rPr>
  </w:style>
  <w:style w:type="paragraph" w:styleId="Heading1">
    <w:name w:val="heading 1"/>
    <w:basedOn w:val="Normal"/>
    <w:next w:val="Normal"/>
    <w:link w:val="Heading1Char"/>
    <w:uiPriority w:val="9"/>
    <w:qFormat/>
    <w:pPr>
      <w:keepNext/>
      <w:numPr>
        <w:numId w:val="7"/>
      </w:numPr>
      <w:spacing w:before="360"/>
      <w:outlineLvl w:val="0"/>
    </w:pPr>
    <w:rPr>
      <w:b/>
      <w:bCs/>
      <w:smallCaps/>
      <w:szCs w:val="32"/>
    </w:rPr>
  </w:style>
  <w:style w:type="paragraph" w:styleId="Heading2">
    <w:name w:val="heading 2"/>
    <w:basedOn w:val="Normal"/>
    <w:next w:val="Normal"/>
    <w:link w:val="Heading2Char"/>
    <w:uiPriority w:val="9"/>
    <w:qFormat/>
    <w:pPr>
      <w:keepNext/>
      <w:numPr>
        <w:ilvl w:val="1"/>
        <w:numId w:val="7"/>
      </w:numPr>
      <w:outlineLvl w:val="1"/>
    </w:pPr>
    <w:rPr>
      <w:b/>
      <w:bCs/>
      <w:iCs/>
      <w:szCs w:val="28"/>
    </w:rPr>
  </w:style>
  <w:style w:type="paragraph" w:styleId="Heading3">
    <w:name w:val="heading 3"/>
    <w:basedOn w:val="Normal"/>
    <w:next w:val="Normal"/>
    <w:link w:val="Heading3Char"/>
    <w:uiPriority w:val="9"/>
    <w:qFormat/>
    <w:pPr>
      <w:keepNext/>
      <w:numPr>
        <w:ilvl w:val="2"/>
        <w:numId w:val="7"/>
      </w:numPr>
      <w:outlineLvl w:val="2"/>
    </w:pPr>
    <w:rPr>
      <w:bCs/>
      <w:i/>
      <w:szCs w:val="26"/>
    </w:rPr>
  </w:style>
  <w:style w:type="paragraph" w:styleId="Heading4">
    <w:name w:val="heading 4"/>
    <w:basedOn w:val="Normal"/>
    <w:next w:val="Normal"/>
    <w:link w:val="Heading4Char"/>
    <w:uiPriority w:val="9"/>
    <w:qFormat/>
    <w:pPr>
      <w:keepNext/>
      <w:numPr>
        <w:ilvl w:val="3"/>
        <w:numId w:val="7"/>
      </w:numPr>
      <w:outlineLvl w:val="3"/>
    </w:pPr>
    <w:rPr>
      <w:bCs/>
      <w:szCs w:val="28"/>
    </w:rPr>
  </w:style>
  <w:style w:type="paragraph" w:styleId="Heading5">
    <w:name w:val="heading 5"/>
    <w:basedOn w:val="Normal"/>
    <w:next w:val="Normal"/>
    <w:link w:val="Heading5Char"/>
    <w:uiPriority w:val="9"/>
    <w:qFormat/>
    <w:pPr>
      <w:numPr>
        <w:ilvl w:val="4"/>
        <w:numId w:val="32"/>
      </w:numPr>
      <w:tabs>
        <w:tab w:val="clear" w:pos="1728"/>
        <w:tab w:val="num" w:pos="1368"/>
      </w:tabs>
      <w:spacing w:before="240" w:after="60"/>
      <w:ind w:left="1368"/>
      <w:jc w:val="left"/>
      <w:outlineLvl w:val="4"/>
    </w:pPr>
    <w:rPr>
      <w:b/>
      <w:bCs/>
      <w:i/>
      <w:iCs/>
      <w:sz w:val="26"/>
      <w:szCs w:val="26"/>
      <w:lang w:val="x-none" w:eastAsia="en-GB"/>
    </w:rPr>
  </w:style>
  <w:style w:type="paragraph" w:styleId="Heading6">
    <w:name w:val="heading 6"/>
    <w:basedOn w:val="Normal"/>
    <w:next w:val="Normal"/>
    <w:link w:val="Heading6Char"/>
    <w:uiPriority w:val="9"/>
    <w:qFormat/>
    <w:pPr>
      <w:numPr>
        <w:ilvl w:val="5"/>
        <w:numId w:val="32"/>
      </w:numPr>
      <w:tabs>
        <w:tab w:val="clear" w:pos="1872"/>
        <w:tab w:val="num" w:pos="1512"/>
      </w:tabs>
      <w:spacing w:before="240" w:after="60"/>
      <w:ind w:left="1512"/>
      <w:jc w:val="left"/>
      <w:outlineLvl w:val="5"/>
    </w:pPr>
    <w:rPr>
      <w:b/>
      <w:bCs/>
      <w:sz w:val="22"/>
      <w:szCs w:val="22"/>
      <w:lang w:val="x-none" w:eastAsia="en-GB"/>
    </w:rPr>
  </w:style>
  <w:style w:type="paragraph" w:styleId="Heading7">
    <w:name w:val="heading 7"/>
    <w:basedOn w:val="Normal"/>
    <w:next w:val="Normal"/>
    <w:link w:val="Heading7Char"/>
    <w:uiPriority w:val="9"/>
    <w:qFormat/>
    <w:pPr>
      <w:keepNext/>
      <w:spacing w:before="0" w:after="0"/>
      <w:outlineLvl w:val="6"/>
    </w:pPr>
    <w:rPr>
      <w:b/>
      <w:bCs/>
      <w:sz w:val="18"/>
      <w:szCs w:val="20"/>
      <w:lang w:val="en-US" w:eastAsia="zh-CN"/>
    </w:rPr>
  </w:style>
  <w:style w:type="paragraph" w:styleId="Heading8">
    <w:name w:val="heading 8"/>
    <w:basedOn w:val="Normal"/>
    <w:next w:val="Normal"/>
    <w:link w:val="Heading8Char"/>
    <w:uiPriority w:val="9"/>
    <w:qFormat/>
    <w:pPr>
      <w:tabs>
        <w:tab w:val="num" w:pos="2700"/>
      </w:tabs>
      <w:spacing w:before="240" w:after="60"/>
      <w:ind w:left="2700" w:hanging="1440"/>
      <w:jc w:val="left"/>
      <w:outlineLvl w:val="7"/>
    </w:pPr>
    <w:rPr>
      <w:rFonts w:ascii="Palatino Linotype" w:hAnsi="Palatino Linotype"/>
      <w:i/>
      <w:iCs/>
      <w:sz w:val="22"/>
      <w:lang w:val="x-none" w:eastAsia="de-DE"/>
    </w:rPr>
  </w:style>
  <w:style w:type="paragraph" w:styleId="Heading9">
    <w:name w:val="heading 9"/>
    <w:basedOn w:val="Normal"/>
    <w:next w:val="Normal"/>
    <w:link w:val="Heading9Char"/>
    <w:uiPriority w:val="9"/>
    <w:qFormat/>
    <w:pPr>
      <w:tabs>
        <w:tab w:val="num" w:pos="2844"/>
      </w:tabs>
      <w:spacing w:before="240" w:after="60"/>
      <w:ind w:left="2844" w:hanging="1584"/>
      <w:jc w:val="left"/>
      <w:outlineLvl w:val="8"/>
    </w:pPr>
    <w:rPr>
      <w:rFonts w:ascii="Arial" w:hAnsi="Arial"/>
      <w:sz w:val="22"/>
      <w:szCs w:val="22"/>
      <w:lang w:val="x-non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pPr>
      <w:spacing w:before="0" w:after="240"/>
      <w:jc w:val="center"/>
    </w:pPr>
    <w:rPr>
      <w:b/>
      <w:i/>
    </w:rPr>
  </w:style>
  <w:style w:type="paragraph" w:customStyle="1" w:styleId="AccompagnantPagedecouverture">
    <w:name w:val="Accompagnant (Page de couverture)"/>
    <w:basedOn w:val="Accompagnant"/>
    <w:next w:val="Normal"/>
  </w:style>
  <w:style w:type="character" w:customStyle="1" w:styleId="Added">
    <w:name w:val="Added"/>
    <w:rPr>
      <w:b/>
      <w:u w:val="single"/>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Annexetitre">
    <w:name w:val="Annexe titre"/>
    <w:basedOn w:val="Normal"/>
    <w:next w:val="Normal"/>
    <w:pPr>
      <w:jc w:val="center"/>
    </w:pPr>
    <w:rPr>
      <w:b/>
      <w:u w:val="single"/>
    </w:rPr>
  </w:style>
  <w:style w:type="paragraph" w:customStyle="1" w:styleId="Annexetitreexpos">
    <w:name w:val="Annexe titre (exposé)"/>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Normal"/>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Bullet0">
    <w:name w:val="Bullet 0"/>
    <w:basedOn w:val="Normal"/>
    <w:pPr>
      <w:numPr>
        <w:numId w:val="1"/>
      </w:numPr>
    </w:pPr>
  </w:style>
  <w:style w:type="paragraph" w:customStyle="1" w:styleId="Bullet1">
    <w:name w:val="Bullet 1"/>
    <w:basedOn w:val="Normal"/>
    <w:pPr>
      <w:numPr>
        <w:numId w:val="2"/>
      </w:numPr>
    </w:pPr>
  </w:style>
  <w:style w:type="paragraph" w:customStyle="1" w:styleId="Bullet2">
    <w:name w:val="Bullet 2"/>
    <w:basedOn w:val="Normal"/>
    <w:pPr>
      <w:numPr>
        <w:numId w:val="3"/>
      </w:numPr>
    </w:pPr>
  </w:style>
  <w:style w:type="paragraph" w:customStyle="1" w:styleId="Bullet3">
    <w:name w:val="Bullet 3"/>
    <w:basedOn w:val="Normal"/>
    <w:pPr>
      <w:numPr>
        <w:numId w:val="4"/>
      </w:numPr>
    </w:pPr>
  </w:style>
  <w:style w:type="paragraph" w:customStyle="1" w:styleId="Bullet4">
    <w:name w:val="Bullet 4"/>
    <w:basedOn w:val="Normal"/>
    <w:pPr>
      <w:numPr>
        <w:numId w:val="5"/>
      </w:numPr>
    </w:pPr>
  </w:style>
  <w:style w:type="paragraph" w:customStyle="1" w:styleId="ChapterTitle">
    <w:name w:val="ChapterTitle"/>
    <w:basedOn w:val="Normal"/>
    <w:next w:val="Normal"/>
    <w:pPr>
      <w:keepNext/>
      <w:spacing w:after="360"/>
      <w:jc w:val="center"/>
    </w:pPr>
    <w:rPr>
      <w:b/>
      <w:sz w:val="32"/>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Normal"/>
    <w:pPr>
      <w:spacing w:before="240" w:after="240"/>
      <w:ind w:left="5103"/>
    </w:pPr>
    <w:rPr>
      <w:u w:val="single"/>
    </w:rPr>
  </w:style>
  <w:style w:type="paragraph" w:customStyle="1" w:styleId="Considrant">
    <w:name w:val="Considérant"/>
    <w:basedOn w:val="Normal"/>
    <w:pPr>
      <w:numPr>
        <w:numId w:val="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Normal"/>
    <w:pPr>
      <w:spacing w:before="360" w:after="0"/>
      <w:jc w:val="center"/>
    </w:pPr>
    <w:rPr>
      <w:b/>
    </w:rPr>
  </w:style>
  <w:style w:type="paragraph" w:customStyle="1" w:styleId="DatedadoptionPagedecouverture">
    <w:name w:val="Date d'adoption (Page de couverture)"/>
    <w:basedOn w:val="Datedadoption"/>
    <w:next w:val="Normal"/>
  </w:style>
  <w:style w:type="character" w:customStyle="1" w:styleId="Deleted">
    <w:name w:val="Deleted"/>
    <w:rPr>
      <w:strike/>
      <w:shd w:val="clear" w:color="auto" w:fill="auto"/>
    </w:rPr>
  </w:style>
  <w:style w:type="paragraph" w:customStyle="1" w:styleId="Emission">
    <w:name w:val="Emission"/>
    <w:basedOn w:val="Normal"/>
    <w:next w:val="Normal"/>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Normal"/>
    <w:pPr>
      <w:keepNext/>
      <w:spacing w:after="0"/>
    </w:pPr>
  </w:style>
  <w:style w:type="paragraph" w:customStyle="1" w:styleId="Fichefinanciretitre">
    <w:name w:val="Fiche financière titre"/>
    <w:basedOn w:val="Normal"/>
    <w:next w:val="Normal"/>
    <w:pPr>
      <w:jc w:val="center"/>
    </w:pPr>
    <w:rPr>
      <w:b/>
      <w:u w:val="single"/>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rPr>
      <w:shd w:val="clear" w:color="auto" w:fill="auto"/>
      <w:vertAlign w:val="superscript"/>
    </w:rPr>
  </w:style>
  <w:style w:type="paragraph" w:styleId="FootnoteText">
    <w:name w:val="footnote text"/>
    <w:basedOn w:val="Normal"/>
    <w:link w:val="FootnoteTextChar"/>
    <w:uiPriority w:val="99"/>
    <w:pPr>
      <w:spacing w:before="0" w:after="0"/>
      <w:ind w:left="720" w:hanging="720"/>
    </w:pPr>
    <w:rPr>
      <w:sz w:val="20"/>
      <w:szCs w:val="20"/>
    </w:rPr>
  </w:style>
  <w:style w:type="paragraph" w:customStyle="1" w:styleId="Formuledadoption">
    <w:name w:val="Formule d'adoption"/>
    <w:basedOn w:val="Normal"/>
    <w:next w:val="Normal"/>
    <w:pPr>
      <w:keepNext/>
    </w:pPr>
  </w:style>
  <w:style w:type="paragraph" w:styleId="Header">
    <w:name w:val="header"/>
    <w:basedOn w:val="Normal"/>
    <w:link w:val="HeaderChar"/>
    <w:uiPriority w:val="99"/>
    <w:pPr>
      <w:tabs>
        <w:tab w:val="center" w:pos="4535"/>
        <w:tab w:val="right" w:pos="9071"/>
      </w:tabs>
    </w:pPr>
  </w:style>
  <w:style w:type="paragraph" w:customStyle="1" w:styleId="HeaderLandscape">
    <w:name w:val="HeaderLandscape"/>
    <w:basedOn w:val="Normal"/>
    <w:pPr>
      <w:tabs>
        <w:tab w:val="center" w:pos="7285"/>
        <w:tab w:val="right" w:pos="14003"/>
      </w:tabs>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Languesfaisantfoi">
    <w:name w:val="Langues faisant foi"/>
    <w:basedOn w:val="Normal"/>
    <w:next w:val="Normal"/>
    <w:pPr>
      <w:spacing w:before="360" w:after="0"/>
      <w:jc w:val="center"/>
    </w:pPr>
  </w:style>
  <w:style w:type="paragraph" w:customStyle="1" w:styleId="IntrtEEE">
    <w:name w:val="Intérêt EEE"/>
    <w:basedOn w:val="Languesfaisantfoi"/>
    <w:next w:val="Normal"/>
    <w:pPr>
      <w:spacing w:after="240"/>
    </w:pPr>
  </w:style>
  <w:style w:type="paragraph" w:customStyle="1" w:styleId="IntrtEEEPagedecouverture">
    <w:name w:val="Intérêt EEE (Page de couverture)"/>
    <w:basedOn w:val="IntrtEEE"/>
    <w:next w:val="Normal"/>
  </w:style>
  <w:style w:type="paragraph" w:customStyle="1" w:styleId="Langue">
    <w:name w:val="Langue"/>
    <w:basedOn w:val="Normal"/>
    <w:next w:val="Normal"/>
    <w:pPr>
      <w:framePr w:wrap="around" w:vAnchor="page" w:hAnchor="text" w:xAlign="center" w:y="14741"/>
      <w:spacing w:before="0" w:after="600"/>
      <w:jc w:val="center"/>
    </w:pPr>
    <w:rPr>
      <w:b/>
      <w:caps/>
    </w:rPr>
  </w:style>
  <w:style w:type="paragraph" w:customStyle="1" w:styleId="LanguesfaisantfoiPagedecouverture">
    <w:name w:val="Langues faisant foi (Page de couverture)"/>
    <w:basedOn w:val="Normal"/>
    <w:next w:val="Normal"/>
    <w:pPr>
      <w:spacing w:before="360" w:after="0"/>
      <w:jc w:val="center"/>
    </w:pPr>
  </w:style>
  <w:style w:type="paragraph" w:customStyle="1" w:styleId="ManualConsidrant">
    <w:name w:val="Manual Considérant"/>
    <w:basedOn w:val="Normal"/>
    <w:pPr>
      <w:ind w:left="709" w:hanging="709"/>
    </w:pPr>
  </w:style>
  <w:style w:type="paragraph" w:customStyle="1" w:styleId="ManualHeading1">
    <w:name w:val="Manual Heading 1"/>
    <w:basedOn w:val="Normal"/>
    <w:next w:val="Normal"/>
    <w:pPr>
      <w:keepNext/>
      <w:tabs>
        <w:tab w:val="left" w:pos="850"/>
      </w:tabs>
      <w:spacing w:before="360"/>
      <w:ind w:left="850" w:hanging="850"/>
      <w:outlineLvl w:val="0"/>
    </w:pPr>
    <w:rPr>
      <w:b/>
      <w:smallCaps/>
    </w:rPr>
  </w:style>
  <w:style w:type="paragraph" w:customStyle="1" w:styleId="ManualHeading2">
    <w:name w:val="Manual Heading 2"/>
    <w:basedOn w:val="Normal"/>
    <w:next w:val="Normal"/>
    <w:pPr>
      <w:keepNext/>
      <w:tabs>
        <w:tab w:val="left" w:pos="850"/>
      </w:tabs>
      <w:ind w:left="850" w:hanging="850"/>
      <w:outlineLvl w:val="1"/>
    </w:pPr>
    <w:rPr>
      <w:b/>
    </w:rPr>
  </w:style>
  <w:style w:type="paragraph" w:customStyle="1" w:styleId="ManualHeading3">
    <w:name w:val="Manual Heading 3"/>
    <w:basedOn w:val="Normal"/>
    <w:next w:val="Normal"/>
    <w:pPr>
      <w:keepNext/>
      <w:tabs>
        <w:tab w:val="left" w:pos="850"/>
      </w:tabs>
      <w:ind w:left="850" w:hanging="850"/>
      <w:outlineLvl w:val="2"/>
    </w:pPr>
    <w:rPr>
      <w:i/>
    </w:rPr>
  </w:style>
  <w:style w:type="paragraph" w:customStyle="1" w:styleId="ManualHeading4">
    <w:name w:val="Manual Heading 4"/>
    <w:basedOn w:val="Normal"/>
    <w:next w:val="Normal"/>
    <w:pPr>
      <w:keepNext/>
      <w:tabs>
        <w:tab w:val="left" w:pos="850"/>
      </w:tabs>
      <w:ind w:left="850" w:hanging="850"/>
      <w:outlineLvl w:val="3"/>
    </w:pPr>
  </w:style>
  <w:style w:type="paragraph" w:customStyle="1" w:styleId="ManualNumPar1">
    <w:name w:val="Manual NumPar 1"/>
    <w:basedOn w:val="Normal"/>
    <w:next w:val="Normal"/>
    <w:pPr>
      <w:ind w:left="850" w:hanging="850"/>
    </w:pPr>
  </w:style>
  <w:style w:type="paragraph" w:customStyle="1" w:styleId="ManualNumPar2">
    <w:name w:val="Manual NumPar 2"/>
    <w:basedOn w:val="Normal"/>
    <w:next w:val="Normal"/>
    <w:pPr>
      <w:ind w:left="850" w:hanging="850"/>
    </w:pPr>
  </w:style>
  <w:style w:type="paragraph" w:customStyle="1" w:styleId="ManualNumPar3">
    <w:name w:val="Manual NumPar 3"/>
    <w:basedOn w:val="Normal"/>
    <w:next w:val="Normal"/>
    <w:pPr>
      <w:ind w:left="850" w:hanging="850"/>
    </w:pPr>
  </w:style>
  <w:style w:type="paragraph" w:customStyle="1" w:styleId="ManualNumPar4">
    <w:name w:val="Manual NumPar 4"/>
    <w:basedOn w:val="Normal"/>
    <w:next w:val="Normal"/>
    <w:pPr>
      <w:ind w:left="850" w:hanging="850"/>
    </w:pPr>
  </w:style>
  <w:style w:type="character" w:customStyle="1" w:styleId="Marker">
    <w:name w:val="Marker"/>
    <w:rPr>
      <w:color w:val="0000FF"/>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NumPar1">
    <w:name w:val="NumPar 1"/>
    <w:basedOn w:val="Normal"/>
    <w:next w:val="Normal"/>
    <w:pPr>
      <w:numPr>
        <w:numId w:val="8"/>
      </w:numPr>
    </w:pPr>
  </w:style>
  <w:style w:type="paragraph" w:customStyle="1" w:styleId="NumPar2">
    <w:name w:val="NumPar 2"/>
    <w:basedOn w:val="Normal"/>
    <w:next w:val="Normal"/>
    <w:pPr>
      <w:numPr>
        <w:ilvl w:val="1"/>
        <w:numId w:val="8"/>
      </w:numPr>
    </w:pPr>
  </w:style>
  <w:style w:type="paragraph" w:customStyle="1" w:styleId="NumPar3">
    <w:name w:val="NumPar 3"/>
    <w:basedOn w:val="Normal"/>
    <w:next w:val="Normal"/>
    <w:pPr>
      <w:numPr>
        <w:ilvl w:val="2"/>
        <w:numId w:val="8"/>
      </w:numPr>
    </w:pPr>
  </w:style>
  <w:style w:type="paragraph" w:customStyle="1" w:styleId="NumPar4">
    <w:name w:val="NumPar 4"/>
    <w:basedOn w:val="Normal"/>
    <w:next w:val="Normal"/>
    <w:pPr>
      <w:numPr>
        <w:ilvl w:val="3"/>
        <w:numId w:val="8"/>
      </w:numPr>
    </w:pPr>
  </w:style>
  <w:style w:type="paragraph" w:customStyle="1" w:styleId="Objetacteprincipal">
    <w:name w:val="Objet acte principal"/>
    <w:basedOn w:val="Normal"/>
    <w:next w:val="Normal"/>
    <w:pPr>
      <w:spacing w:before="0" w:after="360"/>
      <w:jc w:val="center"/>
    </w:pPr>
    <w:rPr>
      <w:b/>
    </w:rPr>
  </w:style>
  <w:style w:type="paragraph" w:customStyle="1" w:styleId="ObjetacteprincipalPagedecouverture">
    <w:name w:val="Objet acte principal (Page de couverture)"/>
    <w:basedOn w:val="Objetacteprincipal"/>
    <w:next w:val="Normal"/>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style>
  <w:style w:type="paragraph" w:customStyle="1" w:styleId="PartTitle">
    <w:name w:val="PartTitle"/>
    <w:basedOn w:val="Normal"/>
    <w:next w:val="ChapterTitle"/>
    <w:pPr>
      <w:keepNext/>
      <w:pageBreakBefore/>
      <w:spacing w:after="360"/>
      <w:jc w:val="center"/>
    </w:pPr>
    <w:rPr>
      <w:b/>
      <w:sz w:val="36"/>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Point0">
    <w:name w:val="Point 0"/>
    <w:basedOn w:val="Normal"/>
    <w:pPr>
      <w:ind w:left="850" w:hanging="850"/>
    </w:pPr>
  </w:style>
  <w:style w:type="paragraph" w:customStyle="1" w:styleId="Point0letter">
    <w:name w:val="Point 0 (letter)"/>
    <w:basedOn w:val="Normal"/>
    <w:pPr>
      <w:numPr>
        <w:ilvl w:val="1"/>
        <w:numId w:val="9"/>
      </w:numPr>
    </w:pPr>
  </w:style>
  <w:style w:type="paragraph" w:customStyle="1" w:styleId="Point0number">
    <w:name w:val="Point 0 (number)"/>
    <w:basedOn w:val="Normal"/>
    <w:pPr>
      <w:numPr>
        <w:numId w:val="9"/>
      </w:numPr>
    </w:pPr>
  </w:style>
  <w:style w:type="paragraph" w:customStyle="1" w:styleId="Point1">
    <w:name w:val="Point 1"/>
    <w:basedOn w:val="Normal"/>
    <w:pPr>
      <w:ind w:left="1417" w:hanging="567"/>
    </w:pPr>
  </w:style>
  <w:style w:type="paragraph" w:customStyle="1" w:styleId="Point1letter">
    <w:name w:val="Point 1 (letter)"/>
    <w:basedOn w:val="Normal"/>
    <w:pPr>
      <w:numPr>
        <w:ilvl w:val="3"/>
        <w:numId w:val="9"/>
      </w:numPr>
    </w:pPr>
  </w:style>
  <w:style w:type="paragraph" w:customStyle="1" w:styleId="Point1number">
    <w:name w:val="Point 1 (number)"/>
    <w:basedOn w:val="Normal"/>
    <w:pPr>
      <w:numPr>
        <w:ilvl w:val="2"/>
        <w:numId w:val="9"/>
      </w:numPr>
    </w:pPr>
  </w:style>
  <w:style w:type="paragraph" w:customStyle="1" w:styleId="Point2">
    <w:name w:val="Point 2"/>
    <w:basedOn w:val="Normal"/>
    <w:pPr>
      <w:ind w:left="1984" w:hanging="567"/>
    </w:pPr>
  </w:style>
  <w:style w:type="paragraph" w:customStyle="1" w:styleId="Point2letter">
    <w:name w:val="Point 2 (letter)"/>
    <w:basedOn w:val="Normal"/>
    <w:pPr>
      <w:numPr>
        <w:ilvl w:val="5"/>
        <w:numId w:val="9"/>
      </w:numPr>
    </w:pPr>
  </w:style>
  <w:style w:type="paragraph" w:customStyle="1" w:styleId="Point2number">
    <w:name w:val="Point 2 (number)"/>
    <w:basedOn w:val="Normal"/>
    <w:pPr>
      <w:numPr>
        <w:ilvl w:val="4"/>
        <w:numId w:val="9"/>
      </w:numPr>
    </w:pPr>
  </w:style>
  <w:style w:type="paragraph" w:customStyle="1" w:styleId="Point3">
    <w:name w:val="Point 3"/>
    <w:basedOn w:val="Normal"/>
    <w:pPr>
      <w:ind w:left="2551" w:hanging="567"/>
    </w:pPr>
  </w:style>
  <w:style w:type="paragraph" w:customStyle="1" w:styleId="Point3letter">
    <w:name w:val="Point 3 (letter)"/>
    <w:basedOn w:val="Normal"/>
    <w:pPr>
      <w:numPr>
        <w:ilvl w:val="7"/>
        <w:numId w:val="9"/>
      </w:numPr>
    </w:pPr>
  </w:style>
  <w:style w:type="paragraph" w:customStyle="1" w:styleId="Point3number">
    <w:name w:val="Point 3 (number)"/>
    <w:basedOn w:val="Normal"/>
    <w:pPr>
      <w:numPr>
        <w:ilvl w:val="6"/>
        <w:numId w:val="9"/>
      </w:numPr>
    </w:pPr>
  </w:style>
  <w:style w:type="paragraph" w:customStyle="1" w:styleId="Point4">
    <w:name w:val="Point 4"/>
    <w:basedOn w:val="Normal"/>
    <w:pPr>
      <w:ind w:left="3118" w:hanging="567"/>
    </w:pPr>
  </w:style>
  <w:style w:type="paragraph" w:customStyle="1" w:styleId="Point4letter">
    <w:name w:val="Point 4 (letter)"/>
    <w:basedOn w:val="Normal"/>
    <w:pPr>
      <w:numPr>
        <w:ilvl w:val="8"/>
        <w:numId w:val="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QuotedNumPar">
    <w:name w:val="Quoted NumPar"/>
    <w:basedOn w:val="Normal"/>
    <w:pPr>
      <w:ind w:left="1417" w:hanging="567"/>
    </w:pPr>
  </w:style>
  <w:style w:type="paragraph" w:customStyle="1" w:styleId="QuotedText">
    <w:name w:val="Quoted Text"/>
    <w:basedOn w:val="Normal"/>
    <w:pPr>
      <w:ind w:left="1417"/>
    </w:pPr>
  </w:style>
  <w:style w:type="paragraph" w:customStyle="1" w:styleId="Rfrencecroise">
    <w:name w:val="Référence croisée"/>
    <w:basedOn w:val="Normal"/>
    <w:pPr>
      <w:spacing w:before="0" w:after="0"/>
      <w:jc w:val="center"/>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Normal"/>
    <w:pPr>
      <w:spacing w:before="0" w:after="0"/>
      <w:ind w:left="5103"/>
      <w:jc w:val="left"/>
    </w:pPr>
  </w:style>
  <w:style w:type="paragraph" w:customStyle="1" w:styleId="RfrenceinterinstitutionnellePagedecouverture">
    <w:name w:val="Référence interinstitutionnelle (Page de couverture)"/>
    <w:basedOn w:val="Rfrenceinterinstitutionnelle"/>
    <w:next w:val="Confidentialit"/>
  </w:style>
  <w:style w:type="paragraph" w:customStyle="1" w:styleId="Rfrenceinterne">
    <w:name w:val="Référence interne"/>
    <w:basedOn w:val="Normal"/>
    <w:next w:val="Rfrenceinterinstitutionnelle"/>
    <w:pPr>
      <w:spacing w:before="0" w:after="0"/>
      <w:ind w:left="5103"/>
      <w:jc w:val="left"/>
    </w:pPr>
  </w:style>
  <w:style w:type="paragraph" w:customStyle="1" w:styleId="SectionTitle">
    <w:name w:val="SectionTitle"/>
    <w:basedOn w:val="Normal"/>
    <w:next w:val="Heading1"/>
    <w:pPr>
      <w:keepNext/>
      <w:spacing w:after="360"/>
      <w:jc w:val="center"/>
    </w:pPr>
    <w:rPr>
      <w:b/>
      <w:smallCaps/>
      <w:sz w:val="28"/>
    </w:r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paragraph" w:customStyle="1" w:styleId="Statut">
    <w:name w:val="Statut"/>
    <w:basedOn w:val="Normal"/>
    <w:next w:val="Normal"/>
    <w:pPr>
      <w:spacing w:before="360" w:after="0"/>
      <w:jc w:val="center"/>
    </w:pPr>
  </w:style>
  <w:style w:type="paragraph" w:customStyle="1" w:styleId="StatutPagedecouverture">
    <w:name w:val="Statut (Page de couverture)"/>
    <w:basedOn w:val="Statut"/>
    <w:next w:val="Normal"/>
  </w:style>
  <w:style w:type="paragraph" w:customStyle="1" w:styleId="Supertitre">
    <w:name w:val="Supertitre"/>
    <w:basedOn w:val="Normal"/>
    <w:next w:val="Normal"/>
    <w:pPr>
      <w:spacing w:before="0" w:after="600"/>
      <w:jc w:val="center"/>
    </w:pPr>
    <w:rPr>
      <w:b/>
    </w:rPr>
  </w:style>
  <w:style w:type="paragraph" w:customStyle="1" w:styleId="TableTitle">
    <w:name w:val="Table Title"/>
    <w:basedOn w:val="Normal"/>
    <w:next w:val="Normal"/>
    <w:pPr>
      <w:jc w:val="center"/>
    </w:pPr>
    <w:rPr>
      <w:b/>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itreobjetPagedecouverture">
    <w:name w:val="Titre objet (Page de couverture)"/>
    <w:basedOn w:val="Titreobjet"/>
    <w:next w:val="Sous-titreobjetPagedecouverture"/>
  </w:style>
  <w:style w:type="paragraph" w:styleId="TOC1">
    <w:name w:val="toc 1"/>
    <w:basedOn w:val="Normal"/>
    <w:next w:val="Normal"/>
    <w:uiPriority w:val="39"/>
    <w:pPr>
      <w:tabs>
        <w:tab w:val="right" w:leader="dot" w:pos="9071"/>
      </w:tabs>
      <w:spacing w:before="60"/>
      <w:ind w:left="850" w:hanging="850"/>
      <w:jc w:val="left"/>
    </w:pPr>
  </w:style>
  <w:style w:type="paragraph" w:styleId="TOC2">
    <w:name w:val="toc 2"/>
    <w:basedOn w:val="Normal"/>
    <w:next w:val="Normal"/>
    <w:uiPriority w:val="39"/>
    <w:pPr>
      <w:tabs>
        <w:tab w:val="right" w:leader="dot" w:pos="9071"/>
      </w:tabs>
      <w:spacing w:before="60"/>
      <w:ind w:left="850" w:hanging="850"/>
      <w:jc w:val="left"/>
    </w:pPr>
  </w:style>
  <w:style w:type="paragraph" w:styleId="TOC3">
    <w:name w:val="toc 3"/>
    <w:basedOn w:val="Normal"/>
    <w:next w:val="Normal"/>
    <w:uiPriority w:val="39"/>
    <w:pPr>
      <w:tabs>
        <w:tab w:val="right" w:leader="dot" w:pos="9071"/>
      </w:tabs>
      <w:spacing w:before="60"/>
      <w:ind w:left="850" w:hanging="850"/>
      <w:jc w:val="left"/>
    </w:pPr>
  </w:style>
  <w:style w:type="paragraph" w:styleId="TOC4">
    <w:name w:val="toc 4"/>
    <w:basedOn w:val="Normal"/>
    <w:next w:val="Normal"/>
    <w:uiPriority w:val="39"/>
    <w:semiHidden/>
    <w:pPr>
      <w:tabs>
        <w:tab w:val="right" w:leader="dot" w:pos="9071"/>
      </w:tabs>
      <w:spacing w:before="60"/>
      <w:ind w:left="850" w:hanging="850"/>
      <w:jc w:val="left"/>
    </w:pPr>
  </w:style>
  <w:style w:type="paragraph" w:styleId="TOC5">
    <w:name w:val="toc 5"/>
    <w:basedOn w:val="Normal"/>
    <w:next w:val="Normal"/>
    <w:uiPriority w:val="39"/>
    <w:semiHidden/>
    <w:pPr>
      <w:tabs>
        <w:tab w:val="right" w:leader="dot" w:pos="9071"/>
      </w:tabs>
      <w:spacing w:before="300"/>
      <w:jc w:val="left"/>
    </w:pPr>
  </w:style>
  <w:style w:type="paragraph" w:styleId="TOC6">
    <w:name w:val="toc 6"/>
    <w:basedOn w:val="Normal"/>
    <w:next w:val="Normal"/>
    <w:uiPriority w:val="39"/>
    <w:semiHidden/>
    <w:pPr>
      <w:tabs>
        <w:tab w:val="right" w:leader="dot" w:pos="9071"/>
      </w:tabs>
      <w:spacing w:before="240"/>
      <w:jc w:val="left"/>
    </w:pPr>
  </w:style>
  <w:style w:type="paragraph" w:styleId="TOC7">
    <w:name w:val="toc 7"/>
    <w:basedOn w:val="Normal"/>
    <w:next w:val="Normal"/>
    <w:uiPriority w:val="39"/>
    <w:semiHidden/>
    <w:pPr>
      <w:tabs>
        <w:tab w:val="right" w:leader="dot" w:pos="9071"/>
      </w:tabs>
      <w:spacing w:before="180"/>
      <w:jc w:val="left"/>
    </w:pPr>
  </w:style>
  <w:style w:type="paragraph" w:styleId="TOC8">
    <w:name w:val="toc 8"/>
    <w:basedOn w:val="Normal"/>
    <w:next w:val="Normal"/>
    <w:uiPriority w:val="39"/>
    <w:semiHidden/>
    <w:pPr>
      <w:tabs>
        <w:tab w:val="right" w:leader="dot" w:pos="9071"/>
      </w:tabs>
      <w:jc w:val="left"/>
    </w:pPr>
  </w:style>
  <w:style w:type="paragraph" w:styleId="TOC9">
    <w:name w:val="toc 9"/>
    <w:basedOn w:val="Normal"/>
    <w:next w:val="Normal"/>
    <w:uiPriority w:val="39"/>
    <w:semiHidden/>
    <w:pPr>
      <w:tabs>
        <w:tab w:val="right" w:leader="dot" w:pos="9071"/>
      </w:tabs>
    </w:pPr>
  </w:style>
  <w:style w:type="paragraph" w:styleId="TOCHeading">
    <w:name w:val="TOC Heading"/>
    <w:basedOn w:val="Normal"/>
    <w:next w:val="Normal"/>
    <w:uiPriority w:val="39"/>
    <w:qFormat/>
    <w:pPr>
      <w:spacing w:after="240"/>
      <w:jc w:val="center"/>
    </w:pPr>
    <w:rPr>
      <w:b/>
      <w:sz w:val="28"/>
    </w:rPr>
  </w:style>
  <w:style w:type="paragraph" w:customStyle="1" w:styleId="Typeacteprincipal">
    <w:name w:val="Type acte principal"/>
    <w:basedOn w:val="Normal"/>
    <w:next w:val="Objetacteprincipal"/>
    <w:pPr>
      <w:spacing w:before="0" w:after="240"/>
      <w:jc w:val="center"/>
    </w:pPr>
    <w:rPr>
      <w:b/>
    </w:rPr>
  </w:style>
  <w:style w:type="paragraph" w:customStyle="1" w:styleId="TypeacteprincipalPagedecouverture">
    <w:name w:val="Type acte principal (Page de couverture)"/>
    <w:basedOn w:val="Typeacteprincipal"/>
    <w:next w:val="ObjetacteprincipalPagedecouverture"/>
  </w:style>
  <w:style w:type="paragraph" w:customStyle="1" w:styleId="Typedudocument">
    <w:name w:val="Type du document"/>
    <w:basedOn w:val="Normal"/>
    <w:next w:val="Titreobjet"/>
    <w:pPr>
      <w:spacing w:before="360" w:after="0"/>
      <w:jc w:val="center"/>
    </w:pPr>
    <w:rPr>
      <w:b/>
    </w:rPr>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character" w:customStyle="1" w:styleId="Heading5Char">
    <w:name w:val="Heading 5 Char"/>
    <w:link w:val="Heading5"/>
    <w:uiPriority w:val="9"/>
    <w:rPr>
      <w:b/>
      <w:bCs/>
      <w:i/>
      <w:iCs/>
      <w:sz w:val="26"/>
      <w:szCs w:val="26"/>
      <w:lang w:val="x-none"/>
    </w:rPr>
  </w:style>
  <w:style w:type="character" w:customStyle="1" w:styleId="Heading6Char">
    <w:name w:val="Heading 6 Char"/>
    <w:link w:val="Heading6"/>
    <w:uiPriority w:val="9"/>
    <w:rPr>
      <w:b/>
      <w:bCs/>
      <w:sz w:val="22"/>
      <w:szCs w:val="22"/>
      <w:lang w:val="x-none"/>
    </w:rPr>
  </w:style>
  <w:style w:type="character" w:customStyle="1" w:styleId="Heading7Char">
    <w:name w:val="Heading 7 Char"/>
    <w:link w:val="Heading7"/>
    <w:uiPriority w:val="9"/>
    <w:rPr>
      <w:b/>
      <w:bCs/>
      <w:sz w:val="18"/>
      <w:shd w:val="clear" w:color="auto" w:fill="auto"/>
      <w:lang w:val="en-US" w:eastAsia="zh-CN"/>
    </w:rPr>
  </w:style>
  <w:style w:type="character" w:customStyle="1" w:styleId="Heading8Char">
    <w:name w:val="Heading 8 Char"/>
    <w:link w:val="Heading8"/>
    <w:uiPriority w:val="9"/>
    <w:rPr>
      <w:rFonts w:ascii="Palatino Linotype" w:hAnsi="Palatino Linotype"/>
      <w:i/>
      <w:iCs/>
      <w:sz w:val="22"/>
      <w:szCs w:val="24"/>
      <w:shd w:val="clear" w:color="auto" w:fill="auto"/>
      <w:lang w:val="x-none" w:eastAsia="de-DE"/>
    </w:rPr>
  </w:style>
  <w:style w:type="character" w:customStyle="1" w:styleId="Heading9Char">
    <w:name w:val="Heading 9 Char"/>
    <w:link w:val="Heading9"/>
    <w:uiPriority w:val="9"/>
    <w:rPr>
      <w:rFonts w:ascii="Arial" w:hAnsi="Arial"/>
      <w:sz w:val="22"/>
      <w:szCs w:val="22"/>
      <w:shd w:val="clear" w:color="auto" w:fill="auto"/>
      <w:lang w:val="x-none" w:eastAsia="de-DE"/>
    </w:rPr>
  </w:style>
  <w:style w:type="paragraph" w:styleId="ListBullet">
    <w:name w:val="List Bullet"/>
    <w:basedOn w:val="Normal"/>
    <w:uiPriority w:val="99"/>
    <w:pPr>
      <w:numPr>
        <w:numId w:val="15"/>
      </w:numPr>
    </w:pPr>
    <w:rPr>
      <w:szCs w:val="22"/>
      <w:lang w:eastAsia="en-GB"/>
    </w:rPr>
  </w:style>
  <w:style w:type="paragraph" w:styleId="ListBullet2">
    <w:name w:val="List Bullet 2"/>
    <w:basedOn w:val="Normal"/>
    <w:uiPriority w:val="99"/>
    <w:pPr>
      <w:numPr>
        <w:numId w:val="16"/>
      </w:numPr>
    </w:pPr>
    <w:rPr>
      <w:szCs w:val="22"/>
      <w:lang w:eastAsia="en-GB"/>
    </w:rPr>
  </w:style>
  <w:style w:type="paragraph" w:styleId="ListBullet3">
    <w:name w:val="List Bullet 3"/>
    <w:basedOn w:val="Normal"/>
    <w:uiPriority w:val="99"/>
    <w:pPr>
      <w:numPr>
        <w:numId w:val="17"/>
      </w:numPr>
    </w:pPr>
    <w:rPr>
      <w:szCs w:val="22"/>
      <w:lang w:eastAsia="en-GB"/>
    </w:rPr>
  </w:style>
  <w:style w:type="paragraph" w:styleId="ListBullet4">
    <w:name w:val="List Bullet 4"/>
    <w:basedOn w:val="Normal"/>
    <w:uiPriority w:val="99"/>
    <w:pPr>
      <w:numPr>
        <w:numId w:val="18"/>
      </w:numPr>
    </w:pPr>
    <w:rPr>
      <w:szCs w:val="22"/>
      <w:lang w:eastAsia="en-GB"/>
    </w:rPr>
  </w:style>
  <w:style w:type="paragraph" w:styleId="ListNumber">
    <w:name w:val="List Number"/>
    <w:basedOn w:val="Normal"/>
    <w:uiPriority w:val="99"/>
    <w:pPr>
      <w:numPr>
        <w:numId w:val="30"/>
      </w:numPr>
    </w:pPr>
    <w:rPr>
      <w:szCs w:val="22"/>
      <w:lang w:eastAsia="de-DE"/>
    </w:rPr>
  </w:style>
  <w:style w:type="paragraph" w:styleId="ListNumber2">
    <w:name w:val="List Number 2"/>
    <w:basedOn w:val="Normal"/>
    <w:uiPriority w:val="99"/>
    <w:pPr>
      <w:numPr>
        <w:numId w:val="29"/>
      </w:numPr>
    </w:pPr>
    <w:rPr>
      <w:szCs w:val="22"/>
      <w:lang w:eastAsia="de-DE"/>
    </w:rPr>
  </w:style>
  <w:style w:type="paragraph" w:styleId="ListNumber3">
    <w:name w:val="List Number 3"/>
    <w:basedOn w:val="Normal"/>
    <w:uiPriority w:val="99"/>
    <w:pPr>
      <w:numPr>
        <w:numId w:val="28"/>
      </w:numPr>
    </w:pPr>
    <w:rPr>
      <w:szCs w:val="22"/>
      <w:lang w:eastAsia="de-DE"/>
    </w:rPr>
  </w:style>
  <w:style w:type="paragraph" w:styleId="ListNumber4">
    <w:name w:val="List Number 4"/>
    <w:basedOn w:val="Normal"/>
    <w:uiPriority w:val="99"/>
    <w:pPr>
      <w:numPr>
        <w:numId w:val="27"/>
      </w:numPr>
    </w:pPr>
    <w:rPr>
      <w:szCs w:val="22"/>
      <w:lang w:eastAsia="de-DE"/>
    </w:rPr>
  </w:style>
  <w:style w:type="paragraph" w:customStyle="1" w:styleId="ListBullet1">
    <w:name w:val="List Bullet 1"/>
    <w:basedOn w:val="Normal"/>
    <w:pPr>
      <w:numPr>
        <w:numId w:val="19"/>
      </w:numPr>
    </w:pPr>
    <w:rPr>
      <w:szCs w:val="22"/>
      <w:lang w:eastAsia="de-DE"/>
    </w:rPr>
  </w:style>
  <w:style w:type="paragraph" w:customStyle="1" w:styleId="ListDash">
    <w:name w:val="List Dash"/>
    <w:basedOn w:val="Normal"/>
    <w:pPr>
      <w:numPr>
        <w:numId w:val="20"/>
      </w:numPr>
    </w:pPr>
    <w:rPr>
      <w:szCs w:val="22"/>
      <w:lang w:eastAsia="de-DE"/>
    </w:rPr>
  </w:style>
  <w:style w:type="paragraph" w:customStyle="1" w:styleId="ListDash1">
    <w:name w:val="List Dash 1"/>
    <w:basedOn w:val="Normal"/>
    <w:pPr>
      <w:numPr>
        <w:numId w:val="21"/>
      </w:numPr>
    </w:pPr>
    <w:rPr>
      <w:szCs w:val="22"/>
      <w:lang w:eastAsia="de-DE"/>
    </w:rPr>
  </w:style>
  <w:style w:type="paragraph" w:customStyle="1" w:styleId="ListDash2">
    <w:name w:val="List Dash 2"/>
    <w:basedOn w:val="Normal"/>
    <w:pPr>
      <w:numPr>
        <w:numId w:val="22"/>
      </w:numPr>
    </w:pPr>
    <w:rPr>
      <w:szCs w:val="22"/>
      <w:lang w:eastAsia="de-DE"/>
    </w:rPr>
  </w:style>
  <w:style w:type="paragraph" w:customStyle="1" w:styleId="ListDash3">
    <w:name w:val="List Dash 3"/>
    <w:basedOn w:val="Normal"/>
    <w:pPr>
      <w:numPr>
        <w:numId w:val="23"/>
      </w:numPr>
    </w:pPr>
    <w:rPr>
      <w:szCs w:val="22"/>
      <w:lang w:eastAsia="de-DE"/>
    </w:rPr>
  </w:style>
  <w:style w:type="paragraph" w:customStyle="1" w:styleId="ListDash4">
    <w:name w:val="List Dash 4"/>
    <w:basedOn w:val="Normal"/>
    <w:pPr>
      <w:numPr>
        <w:numId w:val="24"/>
      </w:numPr>
    </w:pPr>
    <w:rPr>
      <w:szCs w:val="22"/>
      <w:lang w:eastAsia="de-DE"/>
    </w:rPr>
  </w:style>
  <w:style w:type="paragraph" w:customStyle="1" w:styleId="ListNumber1">
    <w:name w:val="List Number 1"/>
    <w:basedOn w:val="Text1"/>
    <w:pPr>
      <w:numPr>
        <w:numId w:val="25"/>
      </w:numPr>
    </w:pPr>
    <w:rPr>
      <w:szCs w:val="22"/>
      <w:lang w:eastAsia="de-DE"/>
    </w:rPr>
  </w:style>
  <w:style w:type="paragraph" w:customStyle="1" w:styleId="ListNumberLevel2">
    <w:name w:val="List Number (Level 2)"/>
    <w:basedOn w:val="Normal"/>
    <w:pPr>
      <w:numPr>
        <w:ilvl w:val="1"/>
        <w:numId w:val="30"/>
      </w:numPr>
    </w:pPr>
    <w:rPr>
      <w:szCs w:val="22"/>
      <w:lang w:eastAsia="de-DE"/>
    </w:rPr>
  </w:style>
  <w:style w:type="paragraph" w:customStyle="1" w:styleId="ListNumber1Level2">
    <w:name w:val="List Number 1 (Level 2)"/>
    <w:basedOn w:val="Text1"/>
    <w:pPr>
      <w:numPr>
        <w:ilvl w:val="1"/>
        <w:numId w:val="25"/>
      </w:numPr>
    </w:pPr>
    <w:rPr>
      <w:szCs w:val="22"/>
      <w:lang w:eastAsia="de-DE"/>
    </w:rPr>
  </w:style>
  <w:style w:type="paragraph" w:customStyle="1" w:styleId="ListNumber2Level2">
    <w:name w:val="List Number 2 (Level 2)"/>
    <w:basedOn w:val="Text2"/>
    <w:pPr>
      <w:numPr>
        <w:ilvl w:val="1"/>
        <w:numId w:val="29"/>
      </w:numPr>
    </w:pPr>
    <w:rPr>
      <w:szCs w:val="22"/>
      <w:lang w:eastAsia="de-DE"/>
    </w:rPr>
  </w:style>
  <w:style w:type="paragraph" w:customStyle="1" w:styleId="ListNumber3Level2">
    <w:name w:val="List Number 3 (Level 2)"/>
    <w:basedOn w:val="Text3"/>
    <w:pPr>
      <w:numPr>
        <w:ilvl w:val="1"/>
        <w:numId w:val="28"/>
      </w:numPr>
    </w:pPr>
    <w:rPr>
      <w:szCs w:val="22"/>
      <w:lang w:eastAsia="de-DE"/>
    </w:rPr>
  </w:style>
  <w:style w:type="paragraph" w:customStyle="1" w:styleId="ListNumber4Level2">
    <w:name w:val="List Number 4 (Level 2)"/>
    <w:basedOn w:val="Text4"/>
    <w:pPr>
      <w:numPr>
        <w:ilvl w:val="1"/>
        <w:numId w:val="27"/>
      </w:numPr>
    </w:pPr>
    <w:rPr>
      <w:szCs w:val="22"/>
      <w:lang w:eastAsia="de-DE"/>
    </w:rPr>
  </w:style>
  <w:style w:type="paragraph" w:customStyle="1" w:styleId="ListNumberLevel3">
    <w:name w:val="List Number (Level 3)"/>
    <w:basedOn w:val="Normal"/>
    <w:pPr>
      <w:numPr>
        <w:ilvl w:val="2"/>
        <w:numId w:val="30"/>
      </w:numPr>
    </w:pPr>
    <w:rPr>
      <w:szCs w:val="22"/>
      <w:lang w:eastAsia="de-DE"/>
    </w:rPr>
  </w:style>
  <w:style w:type="paragraph" w:customStyle="1" w:styleId="ListNumber1Level3">
    <w:name w:val="List Number 1 (Level 3)"/>
    <w:basedOn w:val="Text1"/>
    <w:pPr>
      <w:numPr>
        <w:ilvl w:val="2"/>
        <w:numId w:val="25"/>
      </w:numPr>
    </w:pPr>
    <w:rPr>
      <w:szCs w:val="22"/>
      <w:lang w:eastAsia="de-DE"/>
    </w:rPr>
  </w:style>
  <w:style w:type="paragraph" w:customStyle="1" w:styleId="ListNumber2Level3">
    <w:name w:val="List Number 2 (Level 3)"/>
    <w:basedOn w:val="Text2"/>
    <w:pPr>
      <w:numPr>
        <w:ilvl w:val="2"/>
        <w:numId w:val="29"/>
      </w:numPr>
    </w:pPr>
    <w:rPr>
      <w:szCs w:val="22"/>
      <w:lang w:eastAsia="de-DE"/>
    </w:rPr>
  </w:style>
  <w:style w:type="paragraph" w:customStyle="1" w:styleId="ListNumber3Level3">
    <w:name w:val="List Number 3 (Level 3)"/>
    <w:basedOn w:val="Text3"/>
    <w:pPr>
      <w:numPr>
        <w:ilvl w:val="2"/>
        <w:numId w:val="28"/>
      </w:numPr>
    </w:pPr>
    <w:rPr>
      <w:szCs w:val="22"/>
      <w:lang w:eastAsia="de-DE"/>
    </w:rPr>
  </w:style>
  <w:style w:type="paragraph" w:customStyle="1" w:styleId="ListNumber4Level3">
    <w:name w:val="List Number 4 (Level 3)"/>
    <w:basedOn w:val="Text4"/>
    <w:pPr>
      <w:numPr>
        <w:ilvl w:val="2"/>
        <w:numId w:val="27"/>
      </w:numPr>
    </w:pPr>
    <w:rPr>
      <w:szCs w:val="22"/>
      <w:lang w:eastAsia="de-DE"/>
    </w:rPr>
  </w:style>
  <w:style w:type="paragraph" w:customStyle="1" w:styleId="ListNumberLevel4">
    <w:name w:val="List Number (Level 4)"/>
    <w:basedOn w:val="Normal"/>
    <w:pPr>
      <w:numPr>
        <w:ilvl w:val="3"/>
        <w:numId w:val="30"/>
      </w:numPr>
    </w:pPr>
    <w:rPr>
      <w:szCs w:val="22"/>
      <w:lang w:eastAsia="de-DE"/>
    </w:rPr>
  </w:style>
  <w:style w:type="paragraph" w:customStyle="1" w:styleId="ListNumber1Level4">
    <w:name w:val="List Number 1 (Level 4)"/>
    <w:basedOn w:val="Text1"/>
    <w:pPr>
      <w:numPr>
        <w:ilvl w:val="3"/>
        <w:numId w:val="25"/>
      </w:numPr>
    </w:pPr>
    <w:rPr>
      <w:szCs w:val="22"/>
      <w:lang w:eastAsia="de-DE"/>
    </w:rPr>
  </w:style>
  <w:style w:type="paragraph" w:customStyle="1" w:styleId="ListNumber2Level4">
    <w:name w:val="List Number 2 (Level 4)"/>
    <w:basedOn w:val="Text2"/>
    <w:pPr>
      <w:numPr>
        <w:ilvl w:val="3"/>
        <w:numId w:val="29"/>
      </w:numPr>
    </w:pPr>
    <w:rPr>
      <w:szCs w:val="22"/>
      <w:lang w:eastAsia="de-DE"/>
    </w:rPr>
  </w:style>
  <w:style w:type="paragraph" w:customStyle="1" w:styleId="ListNumber3Level4">
    <w:name w:val="List Number 3 (Level 4)"/>
    <w:basedOn w:val="Text3"/>
    <w:pPr>
      <w:numPr>
        <w:ilvl w:val="3"/>
        <w:numId w:val="28"/>
      </w:numPr>
    </w:pPr>
    <w:rPr>
      <w:szCs w:val="22"/>
      <w:lang w:eastAsia="de-DE"/>
    </w:rPr>
  </w:style>
  <w:style w:type="paragraph" w:customStyle="1" w:styleId="ListNumber4Level4">
    <w:name w:val="List Number 4 (Level 4)"/>
    <w:basedOn w:val="Text4"/>
    <w:pPr>
      <w:numPr>
        <w:ilvl w:val="3"/>
        <w:numId w:val="27"/>
      </w:numPr>
    </w:pPr>
    <w:rPr>
      <w:szCs w:val="22"/>
      <w:lang w:eastAsia="de-DE"/>
    </w:rPr>
  </w:style>
  <w:style w:type="paragraph" w:customStyle="1" w:styleId="Annexetitreacte">
    <w:name w:val="Annexe titre (acte)"/>
    <w:basedOn w:val="Normal"/>
    <w:next w:val="Normal"/>
    <w:pPr>
      <w:jc w:val="center"/>
    </w:pPr>
    <w:rPr>
      <w:b/>
      <w:szCs w:val="22"/>
      <w:u w:val="single"/>
      <w:lang w:eastAsia="de-DE"/>
    </w:rPr>
  </w:style>
  <w:style w:type="paragraph" w:customStyle="1" w:styleId="Annexetitreexposglobal">
    <w:name w:val="Annexe titre (exposé global)"/>
    <w:basedOn w:val="Normal"/>
    <w:next w:val="Normal"/>
    <w:pPr>
      <w:jc w:val="center"/>
    </w:pPr>
    <w:rPr>
      <w:b/>
      <w:szCs w:val="22"/>
      <w:u w:val="single"/>
      <w:lang w:eastAsia="de-DE"/>
    </w:rPr>
  </w:style>
  <w:style w:type="paragraph" w:customStyle="1" w:styleId="Annexetitrefichefinacte">
    <w:name w:val="Annexe titre (fiche fin. acte)"/>
    <w:basedOn w:val="Normal"/>
    <w:next w:val="Normal"/>
    <w:pPr>
      <w:jc w:val="center"/>
    </w:pPr>
    <w:rPr>
      <w:b/>
      <w:szCs w:val="22"/>
      <w:u w:val="single"/>
      <w:lang w:eastAsia="de-DE"/>
    </w:rPr>
  </w:style>
  <w:style w:type="paragraph" w:customStyle="1" w:styleId="Annexetitrefichefinglobale">
    <w:name w:val="Annexe titre (fiche fin. globale)"/>
    <w:basedOn w:val="Normal"/>
    <w:next w:val="Normal"/>
    <w:pPr>
      <w:jc w:val="center"/>
    </w:pPr>
    <w:rPr>
      <w:b/>
      <w:szCs w:val="22"/>
      <w:u w:val="single"/>
      <w:lang w:eastAsia="de-DE"/>
    </w:rPr>
  </w:style>
  <w:style w:type="paragraph" w:customStyle="1" w:styleId="Annexetitreglobale">
    <w:name w:val="Annexe titre (globale)"/>
    <w:basedOn w:val="Normal"/>
    <w:next w:val="Normal"/>
    <w:pPr>
      <w:jc w:val="center"/>
    </w:pPr>
    <w:rPr>
      <w:b/>
      <w:szCs w:val="22"/>
      <w:u w:val="single"/>
      <w:lang w:eastAsia="de-DE"/>
    </w:rPr>
  </w:style>
  <w:style w:type="paragraph" w:customStyle="1" w:styleId="Rfrenceinstitutionelle">
    <w:name w:val="Référence institutionelle"/>
    <w:basedOn w:val="Normal"/>
    <w:next w:val="Statut"/>
    <w:pPr>
      <w:spacing w:before="0" w:after="240"/>
      <w:ind w:left="5103"/>
      <w:jc w:val="left"/>
    </w:pPr>
    <w:rPr>
      <w:szCs w:val="22"/>
      <w:lang w:eastAsia="de-DE"/>
    </w:rPr>
  </w:style>
  <w:style w:type="paragraph" w:customStyle="1" w:styleId="Exposdesmotifstitreglobal">
    <w:name w:val="Exposé des motifs titre (global)"/>
    <w:basedOn w:val="Normal"/>
    <w:next w:val="Normal"/>
    <w:pPr>
      <w:jc w:val="center"/>
    </w:pPr>
    <w:rPr>
      <w:b/>
      <w:szCs w:val="22"/>
      <w:u w:val="single"/>
      <w:lang w:eastAsia="de-DE"/>
    </w:rPr>
  </w:style>
  <w:style w:type="paragraph" w:customStyle="1" w:styleId="Langueoriginale">
    <w:name w:val="Langue originale"/>
    <w:basedOn w:val="Normal"/>
    <w:next w:val="Phrasefinale"/>
    <w:pPr>
      <w:spacing w:before="360"/>
      <w:jc w:val="center"/>
    </w:pPr>
    <w:rPr>
      <w:caps/>
      <w:szCs w:val="22"/>
      <w:lang w:eastAsia="de-DE"/>
    </w:rPr>
  </w:style>
  <w:style w:type="paragraph" w:customStyle="1" w:styleId="Phrasefinale">
    <w:name w:val="Phrase finale"/>
    <w:basedOn w:val="Normal"/>
    <w:next w:val="Normal"/>
    <w:pPr>
      <w:spacing w:before="360" w:after="0"/>
      <w:jc w:val="center"/>
    </w:pPr>
    <w:rPr>
      <w:szCs w:val="22"/>
      <w:lang w:eastAsia="de-DE"/>
    </w:rPr>
  </w:style>
  <w:style w:type="paragraph" w:customStyle="1" w:styleId="Prliminairetitre">
    <w:name w:val="Préliminaire titre"/>
    <w:basedOn w:val="Normal"/>
    <w:next w:val="Normal"/>
    <w:pPr>
      <w:spacing w:before="360" w:after="360"/>
      <w:jc w:val="center"/>
    </w:pPr>
    <w:rPr>
      <w:b/>
      <w:szCs w:val="22"/>
      <w:lang w:eastAsia="de-DE"/>
    </w:rPr>
  </w:style>
  <w:style w:type="paragraph" w:customStyle="1" w:styleId="Prliminairetype">
    <w:name w:val="Préliminaire type"/>
    <w:basedOn w:val="Normal"/>
    <w:next w:val="Normal"/>
    <w:pPr>
      <w:spacing w:before="360" w:after="0"/>
      <w:jc w:val="center"/>
    </w:pPr>
    <w:rPr>
      <w:b/>
      <w:szCs w:val="22"/>
      <w:lang w:eastAsia="de-DE"/>
    </w:rPr>
  </w:style>
  <w:style w:type="paragraph" w:customStyle="1" w:styleId="Rfrenceinterinstitutionelle">
    <w:name w:val="Référence interinstitutionelle"/>
    <w:basedOn w:val="Normal"/>
    <w:next w:val="Statut"/>
    <w:pPr>
      <w:spacing w:before="0" w:after="0"/>
      <w:ind w:left="5103"/>
      <w:jc w:val="left"/>
    </w:pPr>
    <w:rPr>
      <w:szCs w:val="22"/>
      <w:lang w:eastAsia="de-DE"/>
    </w:rPr>
  </w:style>
  <w:style w:type="paragraph" w:customStyle="1" w:styleId="Rfrenceinterinstitutionelleprliminaire">
    <w:name w:val="Référence interinstitutionelle (préliminaire)"/>
    <w:basedOn w:val="Normal"/>
    <w:next w:val="Normal"/>
    <w:pPr>
      <w:spacing w:before="0" w:after="0"/>
      <w:ind w:left="5103"/>
      <w:jc w:val="left"/>
    </w:pPr>
    <w:rPr>
      <w:szCs w:val="22"/>
      <w:lang w:eastAsia="de-DE"/>
    </w:rPr>
  </w:style>
  <w:style w:type="paragraph" w:customStyle="1" w:styleId="Sous-titreobjetprliminaire">
    <w:name w:val="Sous-titre objet (préliminaire)"/>
    <w:basedOn w:val="Normal"/>
    <w:pPr>
      <w:spacing w:before="0" w:after="0"/>
      <w:jc w:val="center"/>
    </w:pPr>
    <w:rPr>
      <w:b/>
      <w:szCs w:val="22"/>
      <w:lang w:eastAsia="de-DE"/>
    </w:rPr>
  </w:style>
  <w:style w:type="paragraph" w:customStyle="1" w:styleId="Statutprliminaire">
    <w:name w:val="Statut (préliminaire)"/>
    <w:basedOn w:val="Normal"/>
    <w:next w:val="Normal"/>
    <w:pPr>
      <w:spacing w:before="360" w:after="0"/>
      <w:jc w:val="center"/>
    </w:pPr>
    <w:rPr>
      <w:szCs w:val="22"/>
      <w:lang w:eastAsia="de-DE"/>
    </w:rPr>
  </w:style>
  <w:style w:type="paragraph" w:customStyle="1" w:styleId="Titreobjetprliminaire">
    <w:name w:val="Titre objet (préliminaire)"/>
    <w:basedOn w:val="Normal"/>
    <w:next w:val="Normal"/>
    <w:pPr>
      <w:spacing w:before="360" w:after="360"/>
      <w:jc w:val="center"/>
    </w:pPr>
    <w:rPr>
      <w:b/>
      <w:szCs w:val="22"/>
      <w:lang w:eastAsia="de-DE"/>
    </w:rPr>
  </w:style>
  <w:style w:type="paragraph" w:customStyle="1" w:styleId="Typedudocumentprliminaire">
    <w:name w:val="Type du document (préliminaire)"/>
    <w:basedOn w:val="Normal"/>
    <w:next w:val="Normal"/>
    <w:pPr>
      <w:spacing w:before="360" w:after="0"/>
      <w:jc w:val="center"/>
    </w:pPr>
    <w:rPr>
      <w:b/>
      <w:szCs w:val="22"/>
      <w:lang w:eastAsia="de-DE"/>
    </w:rPr>
  </w:style>
  <w:style w:type="paragraph" w:customStyle="1" w:styleId="Fichefinancirestandardtitre">
    <w:name w:val="Fiche financière (standard) titre"/>
    <w:basedOn w:val="Normal"/>
    <w:next w:val="Normal"/>
    <w:pPr>
      <w:jc w:val="center"/>
    </w:pPr>
    <w:rPr>
      <w:b/>
      <w:szCs w:val="22"/>
      <w:u w:val="single"/>
      <w:lang w:eastAsia="de-DE"/>
    </w:rPr>
  </w:style>
  <w:style w:type="paragraph" w:customStyle="1" w:styleId="Fichefinancirestandardtitreacte">
    <w:name w:val="Fiche financière (standard) titre (acte)"/>
    <w:basedOn w:val="Normal"/>
    <w:next w:val="Normal"/>
    <w:pPr>
      <w:jc w:val="center"/>
    </w:pPr>
    <w:rPr>
      <w:b/>
      <w:szCs w:val="22"/>
      <w:u w:val="single"/>
      <w:lang w:eastAsia="de-DE"/>
    </w:rPr>
  </w:style>
  <w:style w:type="paragraph" w:customStyle="1" w:styleId="Fichefinanciretravailtitre">
    <w:name w:val="Fiche financière (travail) titre"/>
    <w:basedOn w:val="Normal"/>
    <w:next w:val="Normal"/>
    <w:pPr>
      <w:jc w:val="center"/>
    </w:pPr>
    <w:rPr>
      <w:b/>
      <w:szCs w:val="22"/>
      <w:u w:val="single"/>
      <w:lang w:eastAsia="de-DE"/>
    </w:rPr>
  </w:style>
  <w:style w:type="paragraph" w:customStyle="1" w:styleId="Fichefinanciretravailtitreacte">
    <w:name w:val="Fiche financière (travail) titre (acte)"/>
    <w:basedOn w:val="Normal"/>
    <w:next w:val="Normal"/>
    <w:pPr>
      <w:jc w:val="center"/>
    </w:pPr>
    <w:rPr>
      <w:b/>
      <w:szCs w:val="22"/>
      <w:u w:val="single"/>
      <w:lang w:eastAsia="de-DE"/>
    </w:rPr>
  </w:style>
  <w:style w:type="paragraph" w:customStyle="1" w:styleId="Fichefinancireattributiontitre">
    <w:name w:val="Fiche financière (attribution) titre"/>
    <w:basedOn w:val="Normal"/>
    <w:next w:val="Normal"/>
    <w:pPr>
      <w:jc w:val="center"/>
    </w:pPr>
    <w:rPr>
      <w:b/>
      <w:szCs w:val="22"/>
      <w:u w:val="single"/>
      <w:lang w:eastAsia="de-DE"/>
    </w:rPr>
  </w:style>
  <w:style w:type="paragraph" w:customStyle="1" w:styleId="Fichefinancireattributiontitreacte">
    <w:name w:val="Fiche financière (attribution) titre (acte)"/>
    <w:basedOn w:val="Normal"/>
    <w:next w:val="Normal"/>
    <w:pPr>
      <w:jc w:val="center"/>
    </w:pPr>
    <w:rPr>
      <w:b/>
      <w:szCs w:val="22"/>
      <w:u w:val="single"/>
      <w:lang w:eastAsia="de-DE"/>
    </w:rPr>
  </w:style>
  <w:style w:type="character" w:styleId="Hyperlink">
    <w:name w:val="Hyperlink"/>
    <w:uiPriority w:val="99"/>
    <w:rPr>
      <w:rFonts w:cs="Times New Roman"/>
      <w:color w:val="0000FF"/>
      <w:u w:val="single"/>
      <w:shd w:val="clear" w:color="auto" w:fill="auto"/>
    </w:rPr>
  </w:style>
  <w:style w:type="character" w:styleId="EndnoteReference">
    <w:name w:val="endnote reference"/>
    <w:uiPriority w:val="99"/>
    <w:rPr>
      <w:rFonts w:cs="Times New Roman"/>
      <w:shd w:val="clear" w:color="auto" w:fill="auto"/>
      <w:vertAlign w:val="superscript"/>
    </w:rPr>
  </w:style>
  <w:style w:type="paragraph" w:styleId="BodyText">
    <w:name w:val="Body Text"/>
    <w:basedOn w:val="Normal"/>
    <w:link w:val="BodyTextChar"/>
    <w:uiPriority w:val="99"/>
    <w:pPr>
      <w:tabs>
        <w:tab w:val="left" w:pos="3960"/>
      </w:tabs>
      <w:spacing w:before="0" w:after="240"/>
      <w:jc w:val="left"/>
    </w:pPr>
    <w:rPr>
      <w:rFonts w:ascii="Palatino Linotype" w:hAnsi="Palatino Linotype"/>
      <w:sz w:val="22"/>
      <w:lang w:val="x-none" w:eastAsia="de-DE"/>
    </w:rPr>
  </w:style>
  <w:style w:type="character" w:customStyle="1" w:styleId="BodyTextChar">
    <w:name w:val="Body Text Char"/>
    <w:link w:val="BodyText"/>
    <w:uiPriority w:val="99"/>
    <w:rPr>
      <w:rFonts w:ascii="Palatino Linotype" w:hAnsi="Palatino Linotype"/>
      <w:sz w:val="22"/>
      <w:szCs w:val="24"/>
      <w:shd w:val="clear" w:color="auto" w:fill="auto"/>
      <w:lang w:val="x-none" w:eastAsia="de-DE"/>
    </w:rPr>
  </w:style>
  <w:style w:type="character" w:styleId="Strong">
    <w:name w:val="Strong"/>
    <w:uiPriority w:val="22"/>
    <w:qFormat/>
    <w:rPr>
      <w:rFonts w:cs="Times New Roman"/>
      <w:b/>
      <w:bCs/>
      <w:shd w:val="clear" w:color="auto" w:fill="auto"/>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76" w:lineRule="auto"/>
      <w:jc w:val="both"/>
    </w:pPr>
    <w:rPr>
      <w:rFonts w:ascii="Arial" w:hAnsi="Arial"/>
      <w:spacing w:val="-2"/>
      <w:sz w:val="22"/>
      <w:szCs w:val="22"/>
      <w:lang w:eastAsia="en-GB"/>
    </w:rPr>
  </w:style>
  <w:style w:type="paragraph" w:styleId="NormalWeb">
    <w:name w:val="Normal (Web)"/>
    <w:aliases w:val="webb"/>
    <w:basedOn w:val="Normal"/>
    <w:uiPriority w:val="99"/>
    <w:pPr>
      <w:spacing w:before="150" w:after="150"/>
      <w:ind w:left="675" w:right="525"/>
      <w:jc w:val="left"/>
    </w:pPr>
    <w:rPr>
      <w:sz w:val="19"/>
      <w:szCs w:val="19"/>
      <w:lang w:eastAsia="en-GB"/>
    </w:rPr>
  </w:style>
  <w:style w:type="paragraph" w:customStyle="1" w:styleId="Tyret1">
    <w:name w:val="Tyret 1"/>
    <w:basedOn w:val="ListDash"/>
    <w:pPr>
      <w:numPr>
        <w:numId w:val="26"/>
      </w:numPr>
      <w:tabs>
        <w:tab w:val="num" w:pos="1134"/>
      </w:tabs>
      <w:ind w:left="1134"/>
    </w:pPr>
  </w:style>
  <w:style w:type="character" w:styleId="FollowedHyperlink">
    <w:name w:val="FollowedHyperlink"/>
    <w:uiPriority w:val="99"/>
    <w:rPr>
      <w:rFonts w:cs="Times New Roman"/>
      <w:color w:val="800080"/>
      <w:u w:val="single"/>
      <w:shd w:val="clear" w:color="auto" w:fill="auto"/>
    </w:rPr>
  </w:style>
  <w:style w:type="paragraph" w:customStyle="1" w:styleId="4Chapeau">
    <w:name w:val="4 Chapeau"/>
    <w:basedOn w:val="Normal"/>
    <w:next w:val="Normal"/>
    <w:autoRedefine/>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600" w:after="240"/>
    </w:pPr>
    <w:rPr>
      <w:szCs w:val="22"/>
      <w:lang w:eastAsia="en-GB"/>
    </w:rPr>
  </w:style>
  <w:style w:type="paragraph" w:customStyle="1" w:styleId="Default">
    <w:name w:val="Default"/>
    <w:pPr>
      <w:autoSpaceDE w:val="0"/>
      <w:autoSpaceDN w:val="0"/>
      <w:adjustRightInd w:val="0"/>
      <w:spacing w:after="200" w:line="276" w:lineRule="auto"/>
    </w:pPr>
    <w:rPr>
      <w:rFonts w:ascii="EUAlbertina" w:hAnsi="EUAlbertina" w:cs="EUAlbertina"/>
      <w:color w:val="000000"/>
      <w:sz w:val="24"/>
      <w:szCs w:val="24"/>
      <w:lang w:eastAsia="en-GB"/>
    </w:rPr>
  </w:style>
  <w:style w:type="table" w:styleId="TableGrid">
    <w:name w:val="Table Grid"/>
    <w:basedOn w:val="TableNormal"/>
    <w:uiPriority w:val="59"/>
    <w:pPr>
      <w:spacing w:before="120" w:after="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4">
    <w:name w:val="CM4"/>
    <w:basedOn w:val="Default"/>
    <w:next w:val="Default"/>
    <w:uiPriority w:val="99"/>
    <w:rPr>
      <w:rFonts w:cs="Times New Roman"/>
      <w:color w:val="auto"/>
    </w:rPr>
  </w:style>
  <w:style w:type="paragraph" w:customStyle="1" w:styleId="CM1">
    <w:name w:val="CM1"/>
    <w:basedOn w:val="Default"/>
    <w:next w:val="Default"/>
    <w:uiPriority w:val="99"/>
    <w:rPr>
      <w:rFonts w:cs="Times New Roman"/>
      <w:color w:val="auto"/>
    </w:rPr>
  </w:style>
  <w:style w:type="paragraph" w:customStyle="1" w:styleId="CM3">
    <w:name w:val="CM3"/>
    <w:basedOn w:val="Default"/>
    <w:next w:val="Default"/>
    <w:uiPriority w:val="99"/>
    <w:rPr>
      <w:rFonts w:cs="Times New Roman"/>
      <w:color w:val="auto"/>
    </w:rPr>
  </w:style>
  <w:style w:type="character" w:styleId="CommentReference">
    <w:name w:val="annotation reference"/>
    <w:uiPriority w:val="99"/>
    <w:rPr>
      <w:sz w:val="16"/>
      <w:szCs w:val="16"/>
      <w:shd w:val="clear" w:color="auto" w:fill="auto"/>
    </w:rPr>
  </w:style>
  <w:style w:type="paragraph" w:styleId="CommentText">
    <w:name w:val="annotation text"/>
    <w:basedOn w:val="Normal"/>
    <w:link w:val="CommentTextChar1"/>
    <w:rPr>
      <w:sz w:val="20"/>
      <w:szCs w:val="20"/>
      <w:lang w:val="x-none"/>
    </w:rPr>
  </w:style>
  <w:style w:type="character" w:customStyle="1" w:styleId="CommentTextChar">
    <w:name w:val="Comment Text Char"/>
    <w:uiPriority w:val="99"/>
    <w:rPr>
      <w:shd w:val="clear" w:color="auto" w:fill="auto"/>
      <w:lang w:eastAsia="en-US"/>
    </w:rPr>
  </w:style>
  <w:style w:type="paragraph" w:styleId="CommentSubject">
    <w:name w:val="annotation subject"/>
    <w:basedOn w:val="Normal"/>
    <w:next w:val="CommentText"/>
    <w:link w:val="CommentSubjectChar"/>
    <w:uiPriority w:val="99"/>
    <w:rPr>
      <w:b/>
      <w:bCs/>
      <w:lang w:val="x-none"/>
    </w:rPr>
  </w:style>
  <w:style w:type="character" w:customStyle="1" w:styleId="CommentSubjectChar">
    <w:name w:val="Comment Subject Char"/>
    <w:link w:val="CommentSubject"/>
    <w:uiPriority w:val="99"/>
    <w:rPr>
      <w:b/>
      <w:bCs/>
      <w:sz w:val="24"/>
      <w:szCs w:val="24"/>
      <w:shd w:val="clear" w:color="auto" w:fill="auto"/>
      <w:lang w:val="x-none" w:eastAsia="en-US"/>
    </w:rPr>
  </w:style>
  <w:style w:type="paragraph" w:styleId="BalloonText">
    <w:name w:val="Balloon Text"/>
    <w:basedOn w:val="Normal"/>
    <w:link w:val="BalloonTextChar"/>
    <w:uiPriority w:val="99"/>
    <w:rPr>
      <w:rFonts w:ascii="Tahoma" w:hAnsi="Tahoma"/>
      <w:sz w:val="16"/>
      <w:szCs w:val="16"/>
      <w:lang w:val="x-none"/>
    </w:rPr>
  </w:style>
  <w:style w:type="character" w:customStyle="1" w:styleId="BalloonTextChar">
    <w:name w:val="Balloon Text Char"/>
    <w:link w:val="BalloonText"/>
    <w:uiPriority w:val="99"/>
    <w:rPr>
      <w:rFonts w:ascii="Tahoma" w:hAnsi="Tahoma"/>
      <w:sz w:val="16"/>
      <w:szCs w:val="16"/>
      <w:shd w:val="clear" w:color="auto" w:fill="auto"/>
      <w:lang w:val="x-none" w:eastAsia="en-US"/>
    </w:rPr>
  </w:style>
  <w:style w:type="paragraph" w:styleId="Caption">
    <w:name w:val="caption"/>
    <w:basedOn w:val="Normal"/>
    <w:next w:val="Normal"/>
    <w:uiPriority w:val="35"/>
    <w:qFormat/>
    <w:rPr>
      <w:b/>
      <w:bCs/>
      <w:sz w:val="20"/>
      <w:szCs w:val="20"/>
      <w:lang w:eastAsia="en-GB"/>
    </w:rPr>
  </w:style>
  <w:style w:type="paragraph" w:styleId="TableofFigures">
    <w:name w:val="table of figures"/>
    <w:basedOn w:val="Normal"/>
    <w:next w:val="Normal"/>
    <w:uiPriority w:val="99"/>
    <w:rPr>
      <w:szCs w:val="22"/>
      <w:lang w:eastAsia="en-GB"/>
    </w:rPr>
  </w:style>
  <w:style w:type="paragraph" w:customStyle="1" w:styleId="Pa14">
    <w:name w:val="Pa14"/>
    <w:basedOn w:val="Default"/>
    <w:next w:val="Default"/>
    <w:pPr>
      <w:spacing w:line="201" w:lineRule="atLeast"/>
    </w:pPr>
    <w:rPr>
      <w:rFonts w:ascii="Palatino Linotype" w:hAnsi="Palatino Linotype" w:cs="Times New Roman"/>
      <w:color w:val="auto"/>
    </w:rPr>
  </w:style>
  <w:style w:type="character" w:customStyle="1" w:styleId="A10">
    <w:name w:val="A10"/>
    <w:rPr>
      <w:rFonts w:cs="Palatino Linotype"/>
      <w:color w:val="000000"/>
      <w:sz w:val="11"/>
      <w:szCs w:val="11"/>
    </w:rPr>
  </w:style>
  <w:style w:type="paragraph" w:styleId="Revision">
    <w:name w:val="Revision"/>
    <w:hidden/>
    <w:uiPriority w:val="99"/>
    <w:semiHidden/>
    <w:pPr>
      <w:spacing w:after="200" w:line="276" w:lineRule="auto"/>
    </w:pPr>
    <w:rPr>
      <w:sz w:val="24"/>
      <w:szCs w:val="24"/>
      <w:lang w:eastAsia="en-US"/>
    </w:rPr>
  </w:style>
  <w:style w:type="paragraph" w:styleId="ListParagraph">
    <w:name w:val="List Paragraph"/>
    <w:aliases w:val="Head 2"/>
    <w:basedOn w:val="Normal"/>
    <w:link w:val="ListParagraphChar"/>
    <w:autoRedefine/>
    <w:uiPriority w:val="34"/>
    <w:qFormat/>
    <w:pPr>
      <w:numPr>
        <w:numId w:val="39"/>
      </w:numPr>
      <w:spacing w:before="0" w:after="0"/>
    </w:pPr>
    <w:rPr>
      <w:rFonts w:eastAsia="Calibri"/>
      <w:szCs w:val="22"/>
      <w:lang w:val="x-none" w:eastAsia="x-none"/>
    </w:rPr>
  </w:style>
  <w:style w:type="paragraph" w:customStyle="1" w:styleId="astandard3520normal">
    <w:name w:val="a_standard__35__20_normal"/>
    <w:basedOn w:val="Normal"/>
    <w:pPr>
      <w:spacing w:before="0"/>
      <w:ind w:right="57"/>
    </w:pPr>
    <w:rPr>
      <w:szCs w:val="22"/>
      <w:lang w:eastAsia="en-GB"/>
    </w:rPr>
  </w:style>
  <w:style w:type="paragraph" w:customStyle="1" w:styleId="astandardsous-titre201">
    <w:name w:val="a_standard_sous-titre_20_1"/>
    <w:basedOn w:val="Normal"/>
    <w:pPr>
      <w:spacing w:before="240" w:after="80"/>
      <w:ind w:right="57"/>
      <w:jc w:val="left"/>
    </w:pPr>
    <w:rPr>
      <w:b/>
      <w:bCs/>
      <w:szCs w:val="22"/>
      <w:lang w:eastAsia="en-GB"/>
    </w:rPr>
  </w:style>
  <w:style w:type="paragraph" w:customStyle="1" w:styleId="a3520normalp9">
    <w:name w:val="a__35__20_normal_p9"/>
    <w:basedOn w:val="Normal"/>
    <w:pPr>
      <w:spacing w:before="0"/>
      <w:ind w:right="57"/>
    </w:pPr>
    <w:rPr>
      <w:szCs w:val="22"/>
      <w:lang w:eastAsia="en-GB"/>
    </w:rPr>
  </w:style>
  <w:style w:type="character" w:customStyle="1" w:styleId="at12">
    <w:name w:val="a__t12"/>
    <w:rPr>
      <w:i/>
      <w:iCs/>
    </w:rPr>
  </w:style>
  <w:style w:type="character" w:customStyle="1" w:styleId="at61">
    <w:name w:val="a__t61"/>
    <w:rPr>
      <w:b/>
      <w:bCs/>
    </w:rPr>
  </w:style>
  <w:style w:type="character" w:customStyle="1" w:styleId="at8">
    <w:name w:val="a__t8"/>
  </w:style>
  <w:style w:type="character" w:customStyle="1" w:styleId="afootnote20symbol1">
    <w:name w:val="a__footnote_20_symbol1"/>
    <w:rPr>
      <w:b/>
      <w:bCs/>
    </w:rPr>
  </w:style>
  <w:style w:type="character" w:customStyle="1" w:styleId="CommentTextChar1">
    <w:name w:val="Comment Text Char1"/>
    <w:link w:val="CommentText"/>
    <w:rPr>
      <w:lang w:val="x-none" w:eastAsia="en-US"/>
    </w:rPr>
  </w:style>
  <w:style w:type="paragraph" w:styleId="EndnoteText">
    <w:name w:val="endnote text"/>
    <w:basedOn w:val="Normal"/>
    <w:link w:val="EndnoteTextChar"/>
    <w:uiPriority w:val="99"/>
    <w:rPr>
      <w:sz w:val="20"/>
      <w:szCs w:val="20"/>
      <w:lang w:val="x-none"/>
    </w:rPr>
  </w:style>
  <w:style w:type="character" w:customStyle="1" w:styleId="EndnoteTextChar">
    <w:name w:val="Endnote Text Char"/>
    <w:link w:val="EndnoteText"/>
    <w:uiPriority w:val="99"/>
    <w:rPr>
      <w:shd w:val="clear" w:color="auto" w:fill="auto"/>
      <w:lang w:val="x-none" w:eastAsia="en-US"/>
    </w:rPr>
  </w:style>
  <w:style w:type="character" w:customStyle="1" w:styleId="FootnoteTextChar3">
    <w:name w:val="Footnote Text Char3"/>
    <w:aliases w:val="Footnote Char2,-E Fußnotentext Char2,Fußnotentext Ursprung Char2,Fußnote Char2,footnote text Char2,(Diplomarbeit) Char,(Diplomarbeit)1 Char,(Diplomarbeit)2 Char,(Diplomarbeit)3 Char,(Diplomarbeit)4 Char,(Diplomarbeit)5 Char"/>
    <w:locked/>
    <w:rPr>
      <w:rFonts w:ascii="Verdana" w:eastAsia="Times New Roman" w:hAnsi="Verdana"/>
      <w:sz w:val="16"/>
      <w:lang w:eastAsia="en-US"/>
    </w:rPr>
  </w:style>
  <w:style w:type="character" w:customStyle="1" w:styleId="Text1Char">
    <w:name w:val="Text 1 Char"/>
    <w:rPr>
      <w:sz w:val="24"/>
      <w:szCs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szCs w:val="22"/>
      <w:lang w:val="x-none"/>
    </w:rPr>
  </w:style>
  <w:style w:type="character" w:customStyle="1" w:styleId="FooterCoverPageChar">
    <w:name w:val="Footer Cover Page Char"/>
    <w:link w:val="FooterCoverPage"/>
    <w:rPr>
      <w:rFonts w:eastAsia="Calibri"/>
      <w:sz w:val="24"/>
      <w:szCs w:val="22"/>
      <w:lang w:val="x-none" w:eastAsia="en-US"/>
    </w:rPr>
  </w:style>
  <w:style w:type="paragraph" w:customStyle="1" w:styleId="HeaderCoverPage">
    <w:name w:val="Header Cover Page"/>
    <w:basedOn w:val="Normal"/>
    <w:link w:val="HeaderCoverPageChar"/>
    <w:pPr>
      <w:tabs>
        <w:tab w:val="center" w:pos="4535"/>
        <w:tab w:val="right" w:pos="9071"/>
      </w:tabs>
      <w:spacing w:before="0"/>
    </w:pPr>
    <w:rPr>
      <w:rFonts w:eastAsia="Calibri"/>
      <w:szCs w:val="22"/>
      <w:lang w:val="x-none"/>
    </w:rPr>
  </w:style>
  <w:style w:type="character" w:customStyle="1" w:styleId="HeaderCoverPageChar">
    <w:name w:val="Header Cover Page Char"/>
    <w:link w:val="HeaderCoverPage"/>
    <w:rPr>
      <w:rFonts w:eastAsia="Calibri"/>
      <w:sz w:val="24"/>
      <w:szCs w:val="22"/>
      <w:lang w:val="x-none" w:eastAsia="en-US"/>
    </w:rPr>
  </w:style>
  <w:style w:type="numbering" w:customStyle="1" w:styleId="NoList1">
    <w:name w:val="No List1"/>
    <w:next w:val="NoList"/>
    <w:uiPriority w:val="99"/>
    <w:semiHidden/>
    <w:unhideWhenUsed/>
  </w:style>
  <w:style w:type="paragraph" w:customStyle="1" w:styleId="FoonoteText">
    <w:name w:val="Foonote Text"/>
    <w:basedOn w:val="Normal"/>
    <w:autoRedefine/>
    <w:pPr>
      <w:tabs>
        <w:tab w:val="left" w:pos="425"/>
      </w:tabs>
      <w:autoSpaceDE w:val="0"/>
      <w:autoSpaceDN w:val="0"/>
      <w:adjustRightInd w:val="0"/>
      <w:spacing w:before="40" w:after="40"/>
      <w:ind w:left="425" w:hanging="425"/>
    </w:pPr>
    <w:rPr>
      <w:sz w:val="16"/>
      <w:szCs w:val="16"/>
      <w:lang w:eastAsia="en-GB"/>
    </w:rPr>
  </w:style>
  <w:style w:type="character" w:styleId="PageNumber">
    <w:name w:val="page number"/>
    <w:uiPriority w:val="99"/>
    <w:rPr>
      <w:shd w:val="clear" w:color="auto" w:fill="auto"/>
    </w:rPr>
  </w:style>
  <w:style w:type="paragraph" w:customStyle="1" w:styleId="Source">
    <w:name w:val="Source"/>
    <w:basedOn w:val="Normal"/>
    <w:next w:val="Normal"/>
    <w:pPr>
      <w:keepLines/>
      <w:tabs>
        <w:tab w:val="left" w:pos="1134"/>
      </w:tabs>
      <w:spacing w:before="60" w:after="240"/>
      <w:ind w:left="1134" w:hanging="1134"/>
      <w:jc w:val="left"/>
    </w:pPr>
    <w:rPr>
      <w:rFonts w:ascii="Arial" w:hAnsi="Arial"/>
      <w:sz w:val="18"/>
      <w:szCs w:val="22"/>
      <w:lang w:eastAsia="en-GB"/>
    </w:rPr>
  </w:style>
  <w:style w:type="paragraph" w:customStyle="1" w:styleId="Annex">
    <w:name w:val="Annex"/>
    <w:basedOn w:val="Heading1"/>
    <w:next w:val="Normal"/>
    <w:pPr>
      <w:pageBreakBefore/>
      <w:numPr>
        <w:numId w:val="0"/>
      </w:numPr>
      <w:tabs>
        <w:tab w:val="num" w:pos="283"/>
        <w:tab w:val="num" w:pos="709"/>
        <w:tab w:val="num" w:pos="926"/>
        <w:tab w:val="num" w:pos="1134"/>
        <w:tab w:val="num" w:pos="1984"/>
        <w:tab w:val="num" w:pos="2517"/>
      </w:tabs>
      <w:spacing w:before="0" w:after="480"/>
      <w:ind w:left="717" w:hanging="283"/>
      <w:jc w:val="left"/>
    </w:pPr>
    <w:rPr>
      <w:rFonts w:ascii="Verdana" w:hAnsi="Verdana" w:cs="Arial"/>
      <w:smallCaps w:val="0"/>
      <w:kern w:val="32"/>
      <w:sz w:val="44"/>
      <w:szCs w:val="28"/>
      <w:lang w:eastAsia="en-GB"/>
    </w:rPr>
  </w:style>
  <w:style w:type="paragraph" w:customStyle="1" w:styleId="BoxTitle">
    <w:name w:val="Box Title"/>
    <w:basedOn w:val="Heading2"/>
    <w:next w:val="Normal"/>
    <w:pPr>
      <w:numPr>
        <w:ilvl w:val="0"/>
        <w:numId w:val="31"/>
      </w:numPr>
      <w:pBdr>
        <w:top w:val="single" w:sz="4" w:space="1" w:color="auto"/>
        <w:left w:val="single" w:sz="4" w:space="4" w:color="auto"/>
        <w:bottom w:val="single" w:sz="4" w:space="1" w:color="auto"/>
        <w:right w:val="single" w:sz="4" w:space="4" w:color="auto"/>
      </w:pBdr>
      <w:shd w:val="clear" w:color="auto" w:fill="CCCCCC"/>
      <w:tabs>
        <w:tab w:val="clear" w:pos="2520"/>
        <w:tab w:val="num" w:pos="643"/>
        <w:tab w:val="num" w:pos="709"/>
        <w:tab w:val="num" w:pos="1134"/>
      </w:tabs>
      <w:spacing w:before="240" w:after="240"/>
      <w:ind w:left="1151" w:hanging="794"/>
      <w:jc w:val="left"/>
    </w:pPr>
    <w:rPr>
      <w:rFonts w:ascii="Arial" w:hAnsi="Arial" w:cs="Arial"/>
      <w:iCs w:val="0"/>
      <w:sz w:val="22"/>
      <w:szCs w:val="26"/>
      <w:lang w:eastAsia="en-GB"/>
    </w:rPr>
  </w:style>
  <w:style w:type="paragraph" w:customStyle="1" w:styleId="FigureTitle">
    <w:name w:val="Figure Title"/>
    <w:basedOn w:val="Heading2"/>
    <w:next w:val="Normal"/>
    <w:pPr>
      <w:numPr>
        <w:ilvl w:val="0"/>
        <w:numId w:val="0"/>
      </w:numPr>
      <w:tabs>
        <w:tab w:val="num" w:pos="850"/>
        <w:tab w:val="num" w:pos="1134"/>
        <w:tab w:val="num" w:pos="1560"/>
        <w:tab w:val="num" w:pos="1984"/>
      </w:tabs>
      <w:spacing w:before="240" w:after="240"/>
      <w:ind w:left="1151" w:hanging="794"/>
      <w:jc w:val="left"/>
    </w:pPr>
    <w:rPr>
      <w:rFonts w:ascii="Arial" w:hAnsi="Arial" w:cs="Arial"/>
      <w:iCs w:val="0"/>
      <w:sz w:val="22"/>
      <w:szCs w:val="26"/>
      <w:lang w:eastAsia="en-GB"/>
    </w:rPr>
  </w:style>
  <w:style w:type="paragraph" w:customStyle="1" w:styleId="MapTitle">
    <w:name w:val="Map Title"/>
    <w:basedOn w:val="Heading2"/>
    <w:next w:val="Normal"/>
    <w:pPr>
      <w:numPr>
        <w:ilvl w:val="0"/>
        <w:numId w:val="0"/>
      </w:numPr>
      <w:tabs>
        <w:tab w:val="num" w:pos="283"/>
        <w:tab w:val="num" w:pos="1417"/>
        <w:tab w:val="num" w:pos="2268"/>
        <w:tab w:val="num" w:pos="3118"/>
      </w:tabs>
      <w:spacing w:before="240" w:after="240"/>
      <w:ind w:left="1151" w:hanging="794"/>
      <w:jc w:val="left"/>
    </w:pPr>
    <w:rPr>
      <w:rFonts w:ascii="Arial" w:hAnsi="Arial" w:cs="Arial"/>
      <w:iCs w:val="0"/>
      <w:sz w:val="22"/>
      <w:szCs w:val="26"/>
      <w:lang w:eastAsia="en-GB"/>
    </w:rPr>
  </w:style>
  <w:style w:type="paragraph" w:customStyle="1" w:styleId="Smiley-Negative">
    <w:name w:val="Smiley - Negative"/>
    <w:basedOn w:val="Normal"/>
    <w:pPr>
      <w:tabs>
        <w:tab w:val="num" w:pos="1134"/>
        <w:tab w:val="num" w:pos="1560"/>
        <w:tab w:val="num" w:pos="1984"/>
      </w:tabs>
      <w:spacing w:before="0" w:after="0"/>
      <w:ind w:left="360" w:hanging="567"/>
      <w:jc w:val="left"/>
    </w:pPr>
    <w:rPr>
      <w:sz w:val="22"/>
      <w:szCs w:val="22"/>
      <w:lang w:eastAsia="en-GB"/>
    </w:rPr>
  </w:style>
  <w:style w:type="paragraph" w:customStyle="1" w:styleId="Smiley-Neutral">
    <w:name w:val="Smiley - Neutral"/>
    <w:basedOn w:val="Normal"/>
    <w:pPr>
      <w:tabs>
        <w:tab w:val="num" w:pos="709"/>
        <w:tab w:val="num" w:pos="1134"/>
        <w:tab w:val="num" w:pos="2551"/>
      </w:tabs>
      <w:spacing w:before="0" w:after="0"/>
      <w:ind w:left="360" w:hanging="567"/>
      <w:jc w:val="left"/>
    </w:pPr>
    <w:rPr>
      <w:sz w:val="22"/>
      <w:szCs w:val="22"/>
      <w:lang w:eastAsia="en-GB"/>
    </w:rPr>
  </w:style>
  <w:style w:type="paragraph" w:customStyle="1" w:styleId="Smiley-Positive">
    <w:name w:val="Smiley - Positive"/>
    <w:basedOn w:val="Normal"/>
    <w:pPr>
      <w:tabs>
        <w:tab w:val="num" w:pos="283"/>
        <w:tab w:val="num" w:pos="1134"/>
        <w:tab w:val="num" w:pos="1209"/>
        <w:tab w:val="num" w:pos="3118"/>
      </w:tabs>
      <w:spacing w:before="0" w:after="0"/>
      <w:ind w:left="3118" w:hanging="283"/>
      <w:jc w:val="left"/>
    </w:pPr>
    <w:rPr>
      <w:sz w:val="22"/>
      <w:szCs w:val="22"/>
      <w:lang w:eastAsia="en-GB"/>
    </w:rPr>
  </w:style>
  <w:style w:type="paragraph" w:customStyle="1" w:styleId="TableText">
    <w:name w:val="Table Text"/>
    <w:basedOn w:val="Normal"/>
    <w:next w:val="Normal"/>
    <w:pPr>
      <w:overflowPunct w:val="0"/>
      <w:autoSpaceDE w:val="0"/>
      <w:autoSpaceDN w:val="0"/>
      <w:adjustRightInd w:val="0"/>
      <w:spacing w:before="0" w:after="0"/>
      <w:ind w:left="357"/>
      <w:jc w:val="left"/>
      <w:textAlignment w:val="baseline"/>
    </w:pPr>
    <w:rPr>
      <w:rFonts w:ascii="Arial" w:hAnsi="Arial"/>
      <w:sz w:val="18"/>
      <w:szCs w:val="20"/>
      <w:lang w:eastAsia="en-GB"/>
    </w:rPr>
  </w:style>
  <w:style w:type="paragraph" w:customStyle="1" w:styleId="Cover-title3">
    <w:name w:val="Cover - title 3"/>
    <w:basedOn w:val="Normal"/>
    <w:next w:val="Normal"/>
    <w:pPr>
      <w:overflowPunct w:val="0"/>
      <w:autoSpaceDE w:val="0"/>
      <w:autoSpaceDN w:val="0"/>
      <w:adjustRightInd w:val="0"/>
      <w:spacing w:before="60" w:after="80"/>
      <w:jc w:val="right"/>
      <w:textAlignment w:val="baseline"/>
    </w:pPr>
    <w:rPr>
      <w:rFonts w:ascii="Avenir 55" w:hAnsi="Avenir 55"/>
      <w:b/>
      <w:sz w:val="22"/>
      <w:szCs w:val="20"/>
      <w:lang w:eastAsia="en-GB"/>
    </w:rPr>
  </w:style>
  <w:style w:type="paragraph" w:customStyle="1" w:styleId="KeyMessage0">
    <w:name w:val="KeyMessage"/>
    <w:basedOn w:val="Normal"/>
    <w:next w:val="Normal"/>
    <w:pPr>
      <w:keepLines/>
      <w:shd w:val="clear" w:color="auto" w:fill="F3F3F3"/>
      <w:tabs>
        <w:tab w:val="left" w:pos="540"/>
      </w:tabs>
      <w:spacing w:before="80" w:after="80"/>
      <w:ind w:left="540" w:hanging="540"/>
      <w:jc w:val="left"/>
    </w:pPr>
    <w:rPr>
      <w:rFonts w:ascii="Verdana" w:hAnsi="Verdana"/>
      <w:noProof/>
      <w:sz w:val="20"/>
      <w:szCs w:val="22"/>
      <w:lang w:eastAsia="en-GB"/>
    </w:rPr>
  </w:style>
  <w:style w:type="paragraph" w:customStyle="1" w:styleId="punkte">
    <w:name w:val="punkte"/>
    <w:basedOn w:val="Normal"/>
    <w:pPr>
      <w:tabs>
        <w:tab w:val="num" w:pos="850"/>
        <w:tab w:val="num" w:pos="1134"/>
        <w:tab w:val="num" w:pos="2517"/>
      </w:tabs>
      <w:spacing w:before="0" w:after="0"/>
      <w:ind w:left="360" w:hanging="850"/>
      <w:jc w:val="left"/>
    </w:pPr>
    <w:rPr>
      <w:szCs w:val="20"/>
      <w:lang w:eastAsia="en-GB"/>
    </w:rPr>
  </w:style>
  <w:style w:type="paragraph" w:customStyle="1" w:styleId="FormatvorlageBeschriftungPalatinoLinotype">
    <w:name w:val="Formatvorlage Beschriftung + Palatino Linotype"/>
    <w:basedOn w:val="Caption"/>
    <w:autoRedefine/>
    <w:pPr>
      <w:keepNext/>
      <w:keepLines/>
      <w:pBdr>
        <w:top w:val="single" w:sz="4" w:space="1" w:color="auto"/>
        <w:bottom w:val="single" w:sz="4" w:space="1" w:color="auto"/>
      </w:pBdr>
      <w:shd w:val="clear" w:color="auto" w:fill="E6E6E6"/>
      <w:tabs>
        <w:tab w:val="left" w:pos="1418"/>
      </w:tabs>
      <w:spacing w:before="240" w:after="80"/>
      <w:ind w:left="1440" w:hanging="1440"/>
      <w:jc w:val="left"/>
    </w:pPr>
    <w:rPr>
      <w:rFonts w:ascii="Verdana" w:hAnsi="Verdana"/>
    </w:rPr>
  </w:style>
  <w:style w:type="paragraph" w:customStyle="1" w:styleId="font5">
    <w:name w:val="font5"/>
    <w:basedOn w:val="Normal"/>
    <w:pPr>
      <w:spacing w:before="100" w:beforeAutospacing="1" w:after="100" w:afterAutospacing="1"/>
      <w:jc w:val="left"/>
    </w:pPr>
    <w:rPr>
      <w:sz w:val="16"/>
      <w:szCs w:val="16"/>
      <w:lang w:val="en-US" w:eastAsia="en-GB"/>
    </w:rPr>
  </w:style>
  <w:style w:type="paragraph" w:customStyle="1" w:styleId="xl45">
    <w:name w:val="xl45"/>
    <w:basedOn w:val="Normal"/>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left"/>
    </w:pPr>
    <w:rPr>
      <w:b/>
      <w:bCs/>
      <w:sz w:val="16"/>
      <w:szCs w:val="16"/>
      <w:lang w:val="en-US" w:eastAsia="en-GB"/>
    </w:rPr>
  </w:style>
  <w:style w:type="paragraph" w:customStyle="1" w:styleId="xl46">
    <w:name w:val="xl4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n-US" w:eastAsia="en-GB"/>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2"/>
      <w:lang w:val="en-US" w:eastAsia="en-GB"/>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2"/>
      <w:lang w:val="en-US" w:eastAsia="en-GB"/>
    </w:rPr>
  </w:style>
  <w:style w:type="paragraph" w:customStyle="1" w:styleId="xl49">
    <w:name w:val="xl49"/>
    <w:basedOn w:val="Normal"/>
    <w:pPr>
      <w:pBdr>
        <w:top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1">
    <w:name w:val="xl51"/>
    <w:basedOn w:val="Normal"/>
    <w:pPr>
      <w:pBdr>
        <w:top w:val="single" w:sz="4" w:space="0" w:color="auto"/>
        <w:left w:val="single" w:sz="4" w:space="0" w:color="auto"/>
        <w:bottom w:val="single" w:sz="4"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2">
    <w:name w:val="xl52"/>
    <w:basedOn w:val="Normal"/>
    <w:pPr>
      <w:pBdr>
        <w:left w:val="single" w:sz="8" w:space="0" w:color="auto"/>
        <w:bottom w:val="single" w:sz="4"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3">
    <w:name w:val="xl53"/>
    <w:basedOn w:val="Normal"/>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4">
    <w:name w:val="xl54"/>
    <w:basedOn w:val="Normal"/>
    <w:pPr>
      <w:pBdr>
        <w:left w:val="single" w:sz="8" w:space="0" w:color="auto"/>
        <w:bottom w:val="single" w:sz="8" w:space="0" w:color="auto"/>
      </w:pBdr>
      <w:shd w:val="clear" w:color="auto" w:fill="C0C0C0"/>
      <w:spacing w:before="100" w:beforeAutospacing="1" w:after="100" w:afterAutospacing="1"/>
      <w:jc w:val="left"/>
      <w:textAlignment w:val="center"/>
    </w:pPr>
    <w:rPr>
      <w:b/>
      <w:bCs/>
      <w:sz w:val="16"/>
      <w:szCs w:val="16"/>
      <w:lang w:val="en-US" w:eastAsia="en-GB"/>
    </w:rPr>
  </w:style>
  <w:style w:type="paragraph" w:customStyle="1" w:styleId="xl55">
    <w:name w:val="xl55"/>
    <w:basedOn w:val="Normal"/>
    <w:pPr>
      <w:pBdr>
        <w:top w:val="single" w:sz="4" w:space="0" w:color="auto"/>
        <w:left w:val="single" w:sz="4" w:space="0" w:color="auto"/>
        <w:bottom w:val="single" w:sz="8" w:space="0" w:color="auto"/>
        <w:right w:val="single" w:sz="4"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6">
    <w:name w:val="xl56"/>
    <w:basedOn w:val="Normal"/>
    <w:pPr>
      <w:pBdr>
        <w:top w:val="single" w:sz="4" w:space="0" w:color="auto"/>
        <w:left w:val="single" w:sz="4" w:space="0" w:color="auto"/>
        <w:bottom w:val="single" w:sz="8" w:space="0" w:color="auto"/>
        <w:right w:val="single" w:sz="8" w:space="0" w:color="auto"/>
      </w:pBdr>
      <w:shd w:val="clear" w:color="auto" w:fill="FFCC00"/>
      <w:spacing w:before="100" w:beforeAutospacing="1" w:after="100" w:afterAutospacing="1"/>
      <w:jc w:val="center"/>
      <w:textAlignment w:val="center"/>
    </w:pPr>
    <w:rPr>
      <w:b/>
      <w:bCs/>
      <w:sz w:val="16"/>
      <w:szCs w:val="16"/>
      <w:lang w:val="en-US" w:eastAsia="en-GB"/>
    </w:rPr>
  </w:style>
  <w:style w:type="paragraph" w:customStyle="1" w:styleId="xl57">
    <w:name w:val="xl57"/>
    <w:basedOn w:val="Normal"/>
    <w:pPr>
      <w:pBdr>
        <w:top w:val="single" w:sz="8" w:space="0" w:color="auto"/>
        <w:left w:val="single" w:sz="8"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58">
    <w:name w:val="xl58"/>
    <w:basedOn w:val="Normal"/>
    <w:pPr>
      <w:pBdr>
        <w:top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59">
    <w:name w:val="xl59"/>
    <w:basedOn w:val="Normal"/>
    <w:pPr>
      <w:pBdr>
        <w:top w:val="single" w:sz="8"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0">
    <w:name w:val="xl60"/>
    <w:basedOn w:val="Normal"/>
    <w:pPr>
      <w:pBdr>
        <w:left w:val="single" w:sz="8" w:space="0" w:color="auto"/>
        <w:bottom w:val="single" w:sz="4" w:space="0" w:color="auto"/>
      </w:pBdr>
      <w:shd w:val="clear" w:color="auto" w:fill="C0C0C0"/>
      <w:spacing w:before="100" w:beforeAutospacing="1" w:after="100" w:afterAutospacing="1"/>
      <w:jc w:val="center"/>
      <w:textAlignment w:val="center"/>
    </w:pPr>
    <w:rPr>
      <w:sz w:val="16"/>
      <w:szCs w:val="16"/>
      <w:lang w:val="en-US" w:eastAsia="en-GB"/>
    </w:rPr>
  </w:style>
  <w:style w:type="paragraph" w:customStyle="1" w:styleId="xl61">
    <w:name w:val="xl61"/>
    <w:basedOn w:val="Normal"/>
    <w:pPr>
      <w:pBdr>
        <w:bottom w:val="single" w:sz="4"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2">
    <w:name w:val="xl62"/>
    <w:basedOn w:val="Normal"/>
    <w:pPr>
      <w:pBdr>
        <w:bottom w:val="single" w:sz="4" w:space="0" w:color="auto"/>
        <w:right w:val="single" w:sz="8" w:space="0" w:color="auto"/>
      </w:pBdr>
      <w:shd w:val="clear" w:color="auto" w:fill="FFCC99"/>
      <w:spacing w:before="100" w:beforeAutospacing="1" w:after="100" w:afterAutospacing="1"/>
      <w:jc w:val="center"/>
      <w:textAlignment w:val="center"/>
    </w:pPr>
    <w:rPr>
      <w:sz w:val="16"/>
      <w:szCs w:val="16"/>
      <w:lang w:val="en-US" w:eastAsia="en-GB"/>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sz w:val="16"/>
      <w:szCs w:val="16"/>
      <w:lang w:val="en-US" w:eastAsia="en-GB"/>
    </w:rPr>
  </w:style>
  <w:style w:type="paragraph" w:customStyle="1" w:styleId="font6">
    <w:name w:val="font6"/>
    <w:basedOn w:val="Normal"/>
    <w:pPr>
      <w:spacing w:before="100" w:beforeAutospacing="1" w:after="100" w:afterAutospacing="1"/>
      <w:jc w:val="left"/>
    </w:pPr>
    <w:rPr>
      <w:rFonts w:eastAsia="Arial Unicode MS"/>
      <w:b/>
      <w:bCs/>
      <w:sz w:val="16"/>
      <w:szCs w:val="16"/>
      <w:lang w:val="en-US" w:eastAsia="en-GB"/>
    </w:rPr>
  </w:style>
  <w:style w:type="paragraph" w:customStyle="1" w:styleId="xl44">
    <w:name w:val="xl44"/>
    <w:basedOn w:val="Normal"/>
    <w:pPr>
      <w:pBdr>
        <w:top w:val="single" w:sz="8" w:space="0" w:color="auto"/>
        <w:left w:val="single" w:sz="8" w:space="0" w:color="auto"/>
        <w:bottom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4">
    <w:name w:val="xl64"/>
    <w:basedOn w:val="Normal"/>
    <w:pPr>
      <w:pBdr>
        <w:top w:val="single" w:sz="8" w:space="0" w:color="auto"/>
        <w:left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5">
    <w:name w:val="xl65"/>
    <w:basedOn w:val="Normal"/>
    <w:pPr>
      <w:pBdr>
        <w:left w:val="single" w:sz="8" w:space="0" w:color="auto"/>
        <w:bottom w:val="single" w:sz="8" w:space="0" w:color="auto"/>
        <w:right w:val="single" w:sz="8" w:space="0" w:color="auto"/>
      </w:pBdr>
      <w:shd w:val="clear" w:color="auto" w:fill="CCCCFF"/>
      <w:spacing w:before="100" w:beforeAutospacing="1" w:after="100" w:afterAutospacing="1"/>
      <w:jc w:val="left"/>
      <w:textAlignment w:val="top"/>
    </w:pPr>
    <w:rPr>
      <w:rFonts w:eastAsia="Arial Unicode MS"/>
      <w:sz w:val="16"/>
      <w:szCs w:val="16"/>
      <w:lang w:val="en-US" w:eastAsia="en-GB"/>
    </w:rPr>
  </w:style>
  <w:style w:type="paragraph" w:customStyle="1" w:styleId="xl66">
    <w:name w:val="xl66"/>
    <w:basedOn w:val="Normal"/>
    <w:pPr>
      <w:pBdr>
        <w:left w:val="single" w:sz="8" w:space="0" w:color="auto"/>
        <w:right w:val="single" w:sz="8" w:space="0" w:color="auto"/>
      </w:pBdr>
      <w:shd w:val="clear" w:color="auto" w:fill="CCCCFF"/>
      <w:spacing w:before="100" w:beforeAutospacing="1" w:after="100" w:afterAutospacing="1"/>
      <w:jc w:val="center"/>
      <w:textAlignment w:val="top"/>
    </w:pPr>
    <w:rPr>
      <w:rFonts w:eastAsia="Arial Unicode MS"/>
      <w:sz w:val="16"/>
      <w:szCs w:val="16"/>
      <w:lang w:val="en-US" w:eastAsia="en-GB"/>
    </w:rPr>
  </w:style>
  <w:style w:type="paragraph" w:customStyle="1" w:styleId="xl67">
    <w:name w:val="xl67"/>
    <w:basedOn w:val="Normal"/>
    <w:pPr>
      <w:pBdr>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8">
    <w:name w:val="xl68"/>
    <w:basedOn w:val="Normal"/>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69">
    <w:name w:val="xl69"/>
    <w:basedOn w:val="Normal"/>
    <w:pPr>
      <w:pBdr>
        <w:top w:val="single" w:sz="8" w:space="0" w:color="auto"/>
        <w:bottom w:val="single" w:sz="4"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0">
    <w:name w:val="xl70"/>
    <w:basedOn w:val="Normal"/>
    <w:pPr>
      <w:pBdr>
        <w:top w:val="single" w:sz="8" w:space="0" w:color="auto"/>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1">
    <w:name w:val="xl71"/>
    <w:basedOn w:val="Normal"/>
    <w:pPr>
      <w:pBdr>
        <w:bottom w:val="single" w:sz="4"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2">
    <w:name w:val="xl72"/>
    <w:basedOn w:val="Normal"/>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3">
    <w:name w:val="xl73"/>
    <w:basedOn w:val="Normal"/>
    <w:pPr>
      <w:pBdr>
        <w:bottom w:val="single" w:sz="8" w:space="0" w:color="auto"/>
        <w:right w:val="single" w:sz="4" w:space="0" w:color="auto"/>
      </w:pBdr>
      <w:spacing w:before="100" w:beforeAutospacing="1" w:after="100" w:afterAutospacing="1"/>
      <w:jc w:val="center"/>
    </w:pPr>
    <w:rPr>
      <w:rFonts w:eastAsia="Arial Unicode MS"/>
      <w:sz w:val="16"/>
      <w:szCs w:val="16"/>
      <w:lang w:val="en-US" w:eastAsia="en-GB"/>
    </w:rPr>
  </w:style>
  <w:style w:type="paragraph" w:customStyle="1" w:styleId="xl74">
    <w:name w:val="xl74"/>
    <w:basedOn w:val="Normal"/>
    <w:pPr>
      <w:pBdr>
        <w:bottom w:val="single" w:sz="8" w:space="0" w:color="auto"/>
        <w:right w:val="single" w:sz="8" w:space="0" w:color="auto"/>
      </w:pBdr>
      <w:spacing w:before="100" w:beforeAutospacing="1" w:after="100" w:afterAutospacing="1"/>
      <w:jc w:val="center"/>
    </w:pPr>
    <w:rPr>
      <w:rFonts w:eastAsia="Arial Unicode MS"/>
      <w:sz w:val="16"/>
      <w:szCs w:val="16"/>
      <w:lang w:val="en-US" w:eastAsia="en-GB"/>
    </w:rPr>
  </w:style>
  <w:style w:type="paragraph" w:customStyle="1" w:styleId="xl75">
    <w:name w:val="xl75"/>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lang w:val="en-US" w:eastAsia="en-GB"/>
    </w:rPr>
  </w:style>
  <w:style w:type="paragraph" w:customStyle="1" w:styleId="xl76">
    <w:name w:val="xl76"/>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7">
    <w:name w:val="xl77"/>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8">
    <w:name w:val="xl78"/>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xl79">
    <w:name w:val="xl79"/>
    <w:basedOn w:val="Normal"/>
    <w:pPr>
      <w:pBdr>
        <w:left w:val="single" w:sz="4" w:space="0" w:color="auto"/>
        <w:bottom w:val="single" w:sz="8" w:space="0" w:color="auto"/>
        <w:right w:val="single" w:sz="4" w:space="0" w:color="auto"/>
      </w:pBdr>
      <w:spacing w:before="100" w:beforeAutospacing="1" w:after="100" w:afterAutospacing="1"/>
      <w:jc w:val="center"/>
      <w:textAlignment w:val="center"/>
    </w:pPr>
    <w:rPr>
      <w:rFonts w:eastAsia="Arial Unicode MS"/>
      <w:b/>
      <w:bCs/>
      <w:sz w:val="16"/>
      <w:szCs w:val="16"/>
      <w:lang w:val="en-US" w:eastAsia="en-GB"/>
    </w:rPr>
  </w:style>
  <w:style w:type="paragraph" w:customStyle="1" w:styleId="EntInstit">
    <w:name w:val="EntInstit"/>
    <w:pPr>
      <w:spacing w:after="200" w:line="276" w:lineRule="auto"/>
      <w:jc w:val="right"/>
    </w:pPr>
    <w:rPr>
      <w:b/>
      <w:sz w:val="24"/>
      <w:szCs w:val="22"/>
      <w:lang w:eastAsia="fr-BE"/>
    </w:rPr>
  </w:style>
  <w:style w:type="paragraph" w:customStyle="1" w:styleId="NormalConseil">
    <w:name w:val="NormalConseil"/>
    <w:basedOn w:val="Normal"/>
    <w:pPr>
      <w:spacing w:before="0" w:after="0"/>
      <w:jc w:val="left"/>
    </w:pPr>
    <w:rPr>
      <w:szCs w:val="20"/>
      <w:lang w:eastAsia="fr-BE"/>
    </w:rPr>
  </w:style>
  <w:style w:type="paragraph" w:customStyle="1" w:styleId="EntRefer">
    <w:name w:val="EntRefer"/>
    <w:pPr>
      <w:spacing w:after="200" w:line="276" w:lineRule="auto"/>
    </w:pPr>
    <w:rPr>
      <w:b/>
      <w:sz w:val="24"/>
      <w:szCs w:val="22"/>
      <w:lang w:eastAsia="fr-BE"/>
    </w:rPr>
  </w:style>
  <w:style w:type="paragraph" w:customStyle="1" w:styleId="EntEmet">
    <w:name w:val="EntEmet"/>
    <w:pPr>
      <w:tabs>
        <w:tab w:val="left" w:pos="284"/>
        <w:tab w:val="left" w:pos="567"/>
        <w:tab w:val="left" w:pos="851"/>
        <w:tab w:val="left" w:pos="1134"/>
        <w:tab w:val="left" w:pos="1418"/>
      </w:tabs>
      <w:spacing w:before="40" w:after="200" w:line="276" w:lineRule="auto"/>
    </w:pPr>
    <w:rPr>
      <w:sz w:val="24"/>
      <w:szCs w:val="22"/>
      <w:lang w:eastAsia="fr-BE"/>
    </w:rPr>
  </w:style>
  <w:style w:type="paragraph" w:customStyle="1" w:styleId="EntLogo">
    <w:name w:val="EntLogo"/>
    <w:next w:val="EntInstit"/>
    <w:pPr>
      <w:spacing w:after="200" w:line="360" w:lineRule="auto"/>
    </w:pPr>
    <w:rPr>
      <w:b/>
      <w:sz w:val="24"/>
      <w:szCs w:val="22"/>
      <w:lang w:eastAsia="fr-BE"/>
    </w:rPr>
  </w:style>
  <w:style w:type="paragraph" w:customStyle="1" w:styleId="FooterConseil">
    <w:name w:val="FooterConseil"/>
    <w:pPr>
      <w:tabs>
        <w:tab w:val="center" w:pos="4820"/>
        <w:tab w:val="center" w:pos="7371"/>
        <w:tab w:val="right" w:pos="9639"/>
      </w:tabs>
      <w:spacing w:after="200" w:line="276" w:lineRule="auto"/>
    </w:pPr>
    <w:rPr>
      <w:sz w:val="24"/>
      <w:szCs w:val="22"/>
      <w:lang w:eastAsia="fr-BE"/>
    </w:rPr>
  </w:style>
  <w:style w:type="paragraph" w:customStyle="1" w:styleId="FigureCaption">
    <w:name w:val="Figure Caption"/>
    <w:basedOn w:val="Normal"/>
    <w:pPr>
      <w:spacing w:before="0" w:after="0"/>
      <w:jc w:val="left"/>
    </w:pPr>
    <w:rPr>
      <w:rFonts w:ascii="Arial" w:hAnsi="Arial"/>
      <w:sz w:val="22"/>
      <w:szCs w:val="22"/>
      <w:lang w:val="da-DK" w:eastAsia="en-GB"/>
    </w:rPr>
  </w:style>
  <w:style w:type="paragraph" w:customStyle="1" w:styleId="Question">
    <w:name w:val="Question"/>
    <w:basedOn w:val="Normal"/>
    <w:pPr>
      <w:pBdr>
        <w:top w:val="single" w:sz="4" w:space="1" w:color="auto"/>
        <w:left w:val="single" w:sz="4" w:space="4" w:color="auto"/>
        <w:bottom w:val="single" w:sz="4" w:space="1" w:color="auto"/>
        <w:right w:val="single" w:sz="4" w:space="4" w:color="auto"/>
      </w:pBdr>
      <w:spacing w:before="60" w:after="80"/>
      <w:jc w:val="left"/>
    </w:pPr>
    <w:rPr>
      <w:rFonts w:ascii="Arial Black" w:hAnsi="Arial Black"/>
      <w:sz w:val="22"/>
      <w:szCs w:val="22"/>
      <w:lang w:eastAsia="de-DE"/>
    </w:rPr>
  </w:style>
  <w:style w:type="paragraph" w:customStyle="1" w:styleId="Keymessage">
    <w:name w:val="Key message"/>
    <w:basedOn w:val="Normal"/>
    <w:pPr>
      <w:numPr>
        <w:numId w:val="33"/>
      </w:numPr>
      <w:pBdr>
        <w:top w:val="single" w:sz="4" w:space="1" w:color="auto"/>
        <w:left w:val="single" w:sz="4" w:space="4" w:color="auto"/>
        <w:bottom w:val="single" w:sz="4" w:space="1" w:color="auto"/>
        <w:right w:val="single" w:sz="4" w:space="4" w:color="auto"/>
      </w:pBdr>
      <w:shd w:val="clear" w:color="auto" w:fill="F3F3F3"/>
      <w:spacing w:before="60" w:after="60"/>
      <w:ind w:left="357" w:hanging="357"/>
      <w:jc w:val="left"/>
    </w:pPr>
    <w:rPr>
      <w:rFonts w:ascii="Palatino Linotype" w:hAnsi="Palatino Linotype"/>
      <w:sz w:val="22"/>
      <w:szCs w:val="20"/>
      <w:lang w:eastAsia="de-DE"/>
    </w:rPr>
  </w:style>
  <w:style w:type="paragraph" w:customStyle="1" w:styleId="graph">
    <w:name w:val="graph"/>
    <w:basedOn w:val="Normal"/>
    <w:pPr>
      <w:spacing w:before="0" w:after="0"/>
      <w:ind w:left="6158" w:hanging="6158"/>
      <w:jc w:val="left"/>
    </w:pPr>
    <w:rPr>
      <w:rFonts w:ascii="Palatino Linotype" w:hAnsi="Palatino Linotype"/>
      <w:sz w:val="22"/>
      <w:szCs w:val="22"/>
      <w:lang w:eastAsia="de-DE"/>
    </w:rPr>
  </w:style>
  <w:style w:type="paragraph" w:customStyle="1" w:styleId="FormatvorlageSource8ptFett">
    <w:name w:val="Formatvorlage Source + 8 pt Fett"/>
    <w:basedOn w:val="Normal"/>
    <w:pPr>
      <w:keepNext/>
      <w:keepLines/>
      <w:spacing w:before="60" w:after="0"/>
      <w:ind w:left="1134" w:hanging="1134"/>
      <w:jc w:val="left"/>
    </w:pPr>
    <w:rPr>
      <w:rFonts w:ascii="Arial" w:hAnsi="Arial"/>
      <w:b/>
      <w:bCs/>
      <w:sz w:val="16"/>
      <w:szCs w:val="16"/>
      <w:lang w:eastAsia="en-GB"/>
    </w:rPr>
  </w:style>
  <w:style w:type="paragraph" w:customStyle="1" w:styleId="source0">
    <w:name w:val="source"/>
    <w:basedOn w:val="Normal"/>
    <w:pPr>
      <w:keepLines/>
      <w:spacing w:before="0" w:after="0"/>
      <w:jc w:val="left"/>
    </w:pPr>
    <w:rPr>
      <w:rFonts w:ascii="Arial" w:hAnsi="Arial"/>
      <w:sz w:val="16"/>
      <w:szCs w:val="16"/>
      <w:lang w:eastAsia="de-DE"/>
    </w:rPr>
  </w:style>
  <w:style w:type="paragraph" w:styleId="BodyText3">
    <w:name w:val="Body Text 3"/>
    <w:basedOn w:val="Normal"/>
    <w:link w:val="BodyText3Char"/>
    <w:uiPriority w:val="99"/>
    <w:pPr>
      <w:widowControl w:val="0"/>
      <w:adjustRightInd w:val="0"/>
      <w:jc w:val="left"/>
      <w:textAlignment w:val="baseline"/>
    </w:pPr>
    <w:rPr>
      <w:rFonts w:ascii="NewBskvll BT" w:hAnsi="NewBskvll BT"/>
      <w:sz w:val="22"/>
      <w:szCs w:val="20"/>
      <w:lang w:val="x-none"/>
    </w:rPr>
  </w:style>
  <w:style w:type="character" w:customStyle="1" w:styleId="BodyText3Char">
    <w:name w:val="Body Text 3 Char"/>
    <w:link w:val="BodyText3"/>
    <w:uiPriority w:val="99"/>
    <w:rPr>
      <w:rFonts w:ascii="NewBskvll BT" w:hAnsi="NewBskvll BT"/>
      <w:sz w:val="22"/>
      <w:shd w:val="clear" w:color="auto" w:fill="auto"/>
      <w:lang w:val="x-none" w:eastAsia="en-US"/>
    </w:rPr>
  </w:style>
  <w:style w:type="paragraph" w:customStyle="1" w:styleId="StandardEC-NIR">
    <w:name w:val="Standard_EC-NIR"/>
    <w:basedOn w:val="Normal"/>
    <w:pPr>
      <w:widowControl w:val="0"/>
      <w:adjustRightInd w:val="0"/>
      <w:textAlignment w:val="baseline"/>
    </w:pPr>
    <w:rPr>
      <w:sz w:val="20"/>
      <w:szCs w:val="20"/>
      <w:lang w:val="de-DE" w:eastAsia="en-GB"/>
    </w:rPr>
  </w:style>
  <w:style w:type="character" w:customStyle="1" w:styleId="Table-ContentsCTChar">
    <w:name w:val="Table - Contents (CT) Char"/>
    <w:link w:val="Table-ContentsCT"/>
    <w:locked/>
    <w:rPr>
      <w:rFonts w:ascii="Arial" w:hAnsi="Arial"/>
      <w:sz w:val="16"/>
      <w:szCs w:val="22"/>
      <w:lang w:eastAsia="en-US"/>
    </w:rPr>
  </w:style>
  <w:style w:type="paragraph" w:customStyle="1" w:styleId="Table-ContentsCT">
    <w:name w:val="Table - Contents (CT)"/>
    <w:link w:val="Table-ContentsCTChar"/>
    <w:qFormat/>
    <w:pPr>
      <w:spacing w:before="80" w:after="80" w:line="276" w:lineRule="auto"/>
    </w:pPr>
    <w:rPr>
      <w:rFonts w:ascii="Arial" w:hAnsi="Arial"/>
      <w:sz w:val="16"/>
      <w:szCs w:val="22"/>
      <w:lang w:eastAsia="en-US"/>
    </w:rPr>
  </w:style>
  <w:style w:type="paragraph" w:customStyle="1" w:styleId="Maualheading">
    <w:name w:val="Maual heading"/>
    <w:basedOn w:val="Objetacteprincipal"/>
    <w:pPr>
      <w:jc w:val="both"/>
    </w:pPr>
    <w:rPr>
      <w:noProof/>
      <w:szCs w:val="22"/>
      <w:lang w:eastAsia="en-GB"/>
    </w:rPr>
  </w:style>
  <w:style w:type="character" w:customStyle="1" w:styleId="ListParagraphChar">
    <w:name w:val="List Paragraph Char"/>
    <w:aliases w:val="Head 2 Char"/>
    <w:link w:val="ListParagraph"/>
    <w:uiPriority w:val="34"/>
    <w:locked/>
    <w:rPr>
      <w:rFonts w:eastAsia="Calibri"/>
      <w:sz w:val="24"/>
      <w:szCs w:val="22"/>
      <w:lang w:val="x-none" w:eastAsia="x-none"/>
    </w:rPr>
  </w:style>
  <w:style w:type="paragraph" w:customStyle="1" w:styleId="font7">
    <w:name w:val="font7"/>
    <w:basedOn w:val="Normal"/>
    <w:pPr>
      <w:spacing w:before="100" w:beforeAutospacing="1" w:after="100" w:afterAutospacing="1"/>
      <w:jc w:val="left"/>
    </w:pPr>
    <w:rPr>
      <w:rFonts w:ascii="Calibri" w:hAnsi="Calibri" w:cs="Calibri"/>
      <w:b/>
      <w:bCs/>
      <w:sz w:val="22"/>
      <w:szCs w:val="22"/>
      <w:lang w:eastAsia="en-GB"/>
    </w:rPr>
  </w:style>
  <w:style w:type="paragraph" w:customStyle="1" w:styleId="font8">
    <w:name w:val="font8"/>
    <w:basedOn w:val="Normal"/>
    <w:pPr>
      <w:spacing w:before="100" w:beforeAutospacing="1" w:after="100" w:afterAutospacing="1"/>
      <w:jc w:val="left"/>
    </w:pPr>
    <w:rPr>
      <w:rFonts w:ascii="Calibri" w:hAnsi="Calibri" w:cs="Calibri"/>
      <w:sz w:val="22"/>
      <w:szCs w:val="22"/>
      <w:lang w:eastAsia="en-GB"/>
    </w:rPr>
  </w:style>
  <w:style w:type="paragraph" w:customStyle="1" w:styleId="font9">
    <w:name w:val="font9"/>
    <w:basedOn w:val="Normal"/>
    <w:pPr>
      <w:spacing w:before="100" w:beforeAutospacing="1" w:after="100" w:afterAutospacing="1"/>
      <w:jc w:val="left"/>
    </w:pPr>
    <w:rPr>
      <w:rFonts w:ascii="Calibri" w:hAnsi="Calibri" w:cs="Calibri"/>
      <w:color w:val="000000"/>
      <w:sz w:val="22"/>
      <w:szCs w:val="22"/>
      <w:lang w:eastAsia="en-GB"/>
    </w:rPr>
  </w:style>
  <w:style w:type="paragraph" w:customStyle="1" w:styleId="font10">
    <w:name w:val="font10"/>
    <w:basedOn w:val="Normal"/>
    <w:pPr>
      <w:spacing w:before="100" w:beforeAutospacing="1" w:after="100" w:afterAutospacing="1"/>
      <w:jc w:val="left"/>
    </w:pPr>
    <w:rPr>
      <w:rFonts w:ascii="Calibri" w:hAnsi="Calibri" w:cs="Calibri"/>
      <w:sz w:val="22"/>
      <w:szCs w:val="22"/>
      <w:lang w:eastAsia="en-GB"/>
    </w:rPr>
  </w:style>
  <w:style w:type="paragraph" w:customStyle="1" w:styleId="font11">
    <w:name w:val="font11"/>
    <w:basedOn w:val="Normal"/>
    <w:pPr>
      <w:spacing w:before="100" w:beforeAutospacing="1" w:after="100" w:afterAutospacing="1"/>
      <w:jc w:val="left"/>
    </w:pPr>
    <w:rPr>
      <w:rFonts w:ascii="Calibri" w:hAnsi="Calibri" w:cs="Calibri"/>
      <w:i/>
      <w:iCs/>
      <w:sz w:val="22"/>
      <w:szCs w:val="22"/>
      <w:lang w:eastAsia="en-GB"/>
    </w:rPr>
  </w:style>
  <w:style w:type="paragraph" w:customStyle="1" w:styleId="font12">
    <w:name w:val="font12"/>
    <w:basedOn w:val="Normal"/>
    <w:pPr>
      <w:spacing w:before="100" w:beforeAutospacing="1" w:after="100" w:afterAutospacing="1"/>
      <w:jc w:val="left"/>
    </w:pPr>
    <w:rPr>
      <w:rFonts w:ascii="Calibri" w:hAnsi="Calibri" w:cs="Calibri"/>
      <w:i/>
      <w:iCs/>
      <w:sz w:val="22"/>
      <w:szCs w:val="22"/>
      <w:lang w:eastAsia="en-GB"/>
    </w:rPr>
  </w:style>
  <w:style w:type="paragraph" w:customStyle="1" w:styleId="xl196">
    <w:name w:val="xl19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197">
    <w:name w:val="xl197"/>
    <w:basedOn w:val="Normal"/>
    <w:pPr>
      <w:spacing w:before="100" w:beforeAutospacing="1" w:after="100" w:afterAutospacing="1"/>
      <w:jc w:val="left"/>
    </w:pPr>
    <w:rPr>
      <w:rFonts w:ascii="Calibri" w:hAnsi="Calibri" w:cs="Calibri"/>
      <w:sz w:val="22"/>
      <w:szCs w:val="22"/>
      <w:lang w:eastAsia="en-GB"/>
    </w:rPr>
  </w:style>
  <w:style w:type="paragraph" w:customStyle="1" w:styleId="xl198">
    <w:name w:val="xl198"/>
    <w:basedOn w:val="Normal"/>
    <w:pPr>
      <w:spacing w:before="100" w:beforeAutospacing="1" w:after="100" w:afterAutospacing="1"/>
      <w:jc w:val="left"/>
    </w:pPr>
    <w:rPr>
      <w:rFonts w:ascii="Calibri" w:hAnsi="Calibri" w:cs="Calibri"/>
      <w:sz w:val="22"/>
      <w:szCs w:val="22"/>
      <w:lang w:eastAsia="en-GB"/>
    </w:rPr>
  </w:style>
  <w:style w:type="paragraph" w:customStyle="1" w:styleId="xl199">
    <w:name w:val="xl199"/>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00">
    <w:name w:val="xl20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color w:val="000000"/>
      <w:sz w:val="22"/>
      <w:szCs w:val="22"/>
      <w:lang w:eastAsia="en-GB"/>
    </w:rPr>
  </w:style>
  <w:style w:type="paragraph" w:customStyle="1" w:styleId="xl201">
    <w:name w:val="xl20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color w:val="000000"/>
      <w:sz w:val="22"/>
      <w:szCs w:val="22"/>
      <w:lang w:eastAsia="en-GB"/>
    </w:rPr>
  </w:style>
  <w:style w:type="paragraph" w:customStyle="1" w:styleId="xl202">
    <w:name w:val="xl202"/>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3">
    <w:name w:val="xl203"/>
    <w:basedOn w:val="Normal"/>
    <w:pPr>
      <w:pBdr>
        <w:top w:val="single" w:sz="4" w:space="0" w:color="auto"/>
        <w:left w:val="single" w:sz="4" w:space="0" w:color="auto"/>
        <w:bottom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4">
    <w:name w:val="xl204"/>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sz w:val="22"/>
      <w:szCs w:val="22"/>
      <w:lang w:eastAsia="en-GB"/>
    </w:rPr>
  </w:style>
  <w:style w:type="paragraph" w:customStyle="1" w:styleId="xl205">
    <w:name w:val="xl205"/>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sz w:val="22"/>
      <w:szCs w:val="22"/>
      <w:lang w:eastAsia="en-GB"/>
    </w:rPr>
  </w:style>
  <w:style w:type="paragraph" w:customStyle="1" w:styleId="xl206">
    <w:name w:val="xl20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7">
    <w:name w:val="xl20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08">
    <w:name w:val="xl20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09">
    <w:name w:val="xl20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0">
    <w:name w:val="xl210"/>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11">
    <w:name w:val="xl211"/>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12">
    <w:name w:val="xl212"/>
    <w:basedOn w:val="Normal"/>
    <w:pPr>
      <w:spacing w:before="100" w:beforeAutospacing="1" w:after="100" w:afterAutospacing="1"/>
      <w:jc w:val="left"/>
    </w:pPr>
    <w:rPr>
      <w:rFonts w:ascii="Calibri" w:hAnsi="Calibri" w:cs="Calibri"/>
      <w:b/>
      <w:bCs/>
      <w:sz w:val="22"/>
      <w:szCs w:val="22"/>
      <w:lang w:eastAsia="en-GB"/>
    </w:rPr>
  </w:style>
  <w:style w:type="paragraph" w:customStyle="1" w:styleId="xl213">
    <w:name w:val="xl21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4">
    <w:name w:val="xl21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5">
    <w:name w:val="xl21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16">
    <w:name w:val="xl21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7">
    <w:name w:val="xl217"/>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sz w:val="22"/>
      <w:szCs w:val="22"/>
      <w:lang w:eastAsia="en-GB"/>
    </w:rPr>
  </w:style>
  <w:style w:type="paragraph" w:customStyle="1" w:styleId="xl218">
    <w:name w:val="xl218"/>
    <w:basedOn w:val="Normal"/>
    <w:pPr>
      <w:spacing w:before="100" w:beforeAutospacing="1" w:after="100" w:afterAutospacing="1"/>
      <w:jc w:val="left"/>
    </w:pPr>
    <w:rPr>
      <w:rFonts w:ascii="Calibri" w:hAnsi="Calibri" w:cs="Calibri"/>
      <w:color w:val="FF00FF"/>
      <w:sz w:val="22"/>
      <w:szCs w:val="22"/>
      <w:lang w:eastAsia="en-GB"/>
    </w:rPr>
  </w:style>
  <w:style w:type="paragraph" w:customStyle="1" w:styleId="xl219">
    <w:name w:val="xl21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0">
    <w:name w:val="xl220"/>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1">
    <w:name w:val="xl22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2">
    <w:name w:val="xl22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3">
    <w:name w:val="xl22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24">
    <w:name w:val="xl224"/>
    <w:basedOn w:val="Normal"/>
    <w:pPr>
      <w:shd w:val="clear" w:color="000000" w:fill="DDD9C4"/>
      <w:spacing w:before="100" w:beforeAutospacing="1" w:after="100" w:afterAutospacing="1"/>
      <w:jc w:val="left"/>
    </w:pPr>
    <w:rPr>
      <w:rFonts w:ascii="Calibri" w:hAnsi="Calibri" w:cs="Calibri"/>
      <w:sz w:val="22"/>
      <w:szCs w:val="22"/>
      <w:lang w:eastAsia="en-GB"/>
    </w:rPr>
  </w:style>
  <w:style w:type="paragraph" w:customStyle="1" w:styleId="xl225">
    <w:name w:val="xl225"/>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pPr>
    <w:rPr>
      <w:rFonts w:ascii="Calibri" w:hAnsi="Calibri" w:cs="Calibri"/>
      <w:sz w:val="22"/>
      <w:szCs w:val="22"/>
      <w:lang w:eastAsia="en-GB"/>
    </w:rPr>
  </w:style>
  <w:style w:type="paragraph" w:customStyle="1" w:styleId="xl226">
    <w:name w:val="xl226"/>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color w:val="000000"/>
      <w:sz w:val="22"/>
      <w:szCs w:val="22"/>
      <w:lang w:eastAsia="en-GB"/>
    </w:rPr>
  </w:style>
  <w:style w:type="paragraph" w:customStyle="1" w:styleId="xl227">
    <w:name w:val="xl22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8">
    <w:name w:val="xl22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29">
    <w:name w:val="xl229"/>
    <w:basedOn w:val="Normal"/>
    <w:pPr>
      <w:shd w:val="clear" w:color="000000" w:fill="DDD9C4"/>
      <w:spacing w:before="100" w:beforeAutospacing="1" w:after="100" w:afterAutospacing="1"/>
      <w:jc w:val="left"/>
    </w:pPr>
    <w:rPr>
      <w:rFonts w:ascii="Calibri" w:hAnsi="Calibri" w:cs="Calibri"/>
      <w:b/>
      <w:bCs/>
      <w:sz w:val="22"/>
      <w:szCs w:val="22"/>
      <w:lang w:eastAsia="en-GB"/>
    </w:rPr>
  </w:style>
  <w:style w:type="paragraph" w:customStyle="1" w:styleId="xl230">
    <w:name w:val="xl230"/>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left"/>
      <w:textAlignment w:val="center"/>
    </w:pPr>
    <w:rPr>
      <w:rFonts w:ascii="Calibri" w:hAnsi="Calibri" w:cs="Calibri"/>
      <w:i/>
      <w:iCs/>
      <w:sz w:val="22"/>
      <w:szCs w:val="22"/>
      <w:lang w:eastAsia="en-GB"/>
    </w:rPr>
  </w:style>
  <w:style w:type="paragraph" w:customStyle="1" w:styleId="xl231">
    <w:name w:val="xl231"/>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i/>
      <w:iCs/>
      <w:sz w:val="22"/>
      <w:szCs w:val="22"/>
      <w:lang w:eastAsia="en-GB"/>
    </w:rPr>
  </w:style>
  <w:style w:type="paragraph" w:customStyle="1" w:styleId="xl232">
    <w:name w:val="xl232"/>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3">
    <w:name w:val="xl23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i/>
      <w:iCs/>
      <w:sz w:val="22"/>
      <w:szCs w:val="22"/>
      <w:lang w:eastAsia="en-GB"/>
    </w:rPr>
  </w:style>
  <w:style w:type="paragraph" w:customStyle="1" w:styleId="xl234">
    <w:name w:val="xl23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5">
    <w:name w:val="xl23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i/>
      <w:iCs/>
      <w:sz w:val="22"/>
      <w:szCs w:val="22"/>
      <w:lang w:eastAsia="en-GB"/>
    </w:rPr>
  </w:style>
  <w:style w:type="paragraph" w:customStyle="1" w:styleId="xl236">
    <w:name w:val="xl23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b/>
      <w:bCs/>
      <w:i/>
      <w:iCs/>
      <w:sz w:val="22"/>
      <w:szCs w:val="22"/>
      <w:lang w:eastAsia="en-GB"/>
    </w:rPr>
  </w:style>
  <w:style w:type="paragraph" w:customStyle="1" w:styleId="xl237">
    <w:name w:val="xl237"/>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8">
    <w:name w:val="xl238"/>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39">
    <w:name w:val="xl239"/>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color w:val="000000"/>
      <w:sz w:val="22"/>
      <w:szCs w:val="22"/>
      <w:lang w:eastAsia="en-GB"/>
    </w:rPr>
  </w:style>
  <w:style w:type="paragraph" w:customStyle="1" w:styleId="xl240">
    <w:name w:val="xl240"/>
    <w:basedOn w:val="Normal"/>
    <w:pPr>
      <w:spacing w:before="100" w:beforeAutospacing="1" w:after="100" w:afterAutospacing="1"/>
      <w:jc w:val="right"/>
    </w:pPr>
    <w:rPr>
      <w:rFonts w:ascii="Calibri" w:hAnsi="Calibri" w:cs="Calibri"/>
      <w:sz w:val="22"/>
      <w:szCs w:val="22"/>
      <w:lang w:eastAsia="en-GB"/>
    </w:rPr>
  </w:style>
  <w:style w:type="paragraph" w:customStyle="1" w:styleId="xl241">
    <w:name w:val="xl241"/>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sz w:val="22"/>
      <w:szCs w:val="22"/>
      <w:lang w:eastAsia="en-GB"/>
    </w:rPr>
  </w:style>
  <w:style w:type="paragraph" w:customStyle="1" w:styleId="xl242">
    <w:name w:val="xl242"/>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cs="Calibri"/>
      <w:sz w:val="22"/>
      <w:szCs w:val="22"/>
      <w:lang w:eastAsia="en-GB"/>
    </w:rPr>
  </w:style>
  <w:style w:type="paragraph" w:customStyle="1" w:styleId="xl243">
    <w:name w:val="xl243"/>
    <w:basedOn w:val="Normal"/>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rFonts w:ascii="Calibri" w:hAnsi="Calibri" w:cs="Calibri"/>
      <w:b/>
      <w:bCs/>
      <w:sz w:val="22"/>
      <w:szCs w:val="22"/>
      <w:lang w:eastAsia="en-GB"/>
    </w:rPr>
  </w:style>
  <w:style w:type="paragraph" w:customStyle="1" w:styleId="xl244">
    <w:name w:val="xl244"/>
    <w:basedOn w:val="Normal"/>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5">
    <w:name w:val="xl245"/>
    <w:basedOn w:val="Normal"/>
    <w:pPr>
      <w:pBdr>
        <w:top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sz w:val="22"/>
      <w:szCs w:val="22"/>
      <w:lang w:eastAsia="en-GB"/>
    </w:rPr>
  </w:style>
  <w:style w:type="paragraph" w:customStyle="1" w:styleId="xl246">
    <w:name w:val="xl246"/>
    <w:basedOn w:val="Normal"/>
    <w:pPr>
      <w:pBdr>
        <w:top w:val="single" w:sz="4" w:space="0" w:color="auto"/>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7">
    <w:name w:val="xl247"/>
    <w:basedOn w:val="Normal"/>
    <w:pPr>
      <w:pBdr>
        <w:left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8">
    <w:name w:val="xl248"/>
    <w:basedOn w:val="Normal"/>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49">
    <w:name w:val="xl249"/>
    <w:basedOn w:val="Normal"/>
    <w:pPr>
      <w:pBdr>
        <w:top w:val="single" w:sz="4" w:space="0" w:color="auto"/>
        <w:lef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0">
    <w:name w:val="xl250"/>
    <w:basedOn w:val="Normal"/>
    <w:pPr>
      <w:pBdr>
        <w:top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1">
    <w:name w:val="xl251"/>
    <w:basedOn w:val="Normal"/>
    <w:pPr>
      <w:pBdr>
        <w:left w:val="single" w:sz="4" w:space="0" w:color="auto"/>
        <w:bottom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2">
    <w:name w:val="xl252"/>
    <w:basedOn w:val="Normal"/>
    <w:pPr>
      <w:pBdr>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color w:val="000000"/>
      <w:sz w:val="22"/>
      <w:szCs w:val="22"/>
      <w:lang w:eastAsia="en-GB"/>
    </w:rPr>
  </w:style>
  <w:style w:type="paragraph" w:customStyle="1" w:styleId="xl253">
    <w:name w:val="xl253"/>
    <w:basedOn w:val="Normal"/>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Calibri" w:hAnsi="Calibri" w:cs="Calibri"/>
      <w:b/>
      <w:bCs/>
      <w:i/>
      <w:iCs/>
      <w:sz w:val="22"/>
      <w:szCs w:val="22"/>
      <w:lang w:eastAsia="en-GB"/>
    </w:rPr>
  </w:style>
  <w:style w:type="character" w:customStyle="1" w:styleId="link-size">
    <w:name w:val="link-size"/>
  </w:style>
  <w:style w:type="paragraph" w:styleId="PlainText">
    <w:name w:val="Plain Text"/>
    <w:basedOn w:val="Normal"/>
    <w:link w:val="PlainTextChar"/>
    <w:unhideWhenUsed/>
    <w:pPr>
      <w:spacing w:before="0" w:after="0"/>
      <w:jc w:val="left"/>
    </w:pPr>
    <w:rPr>
      <w:rFonts w:ascii="Calibri" w:eastAsia="Calibri" w:hAnsi="Calibri"/>
      <w:sz w:val="22"/>
      <w:szCs w:val="21"/>
      <w:lang w:eastAsia="x-none"/>
    </w:rPr>
  </w:style>
  <w:style w:type="character" w:customStyle="1" w:styleId="PlainTextChar">
    <w:name w:val="Plain Text Char"/>
    <w:link w:val="PlainText"/>
    <w:rPr>
      <w:rFonts w:ascii="Calibri" w:eastAsia="Calibri" w:hAnsi="Calibri"/>
      <w:sz w:val="22"/>
      <w:szCs w:val="21"/>
      <w:shd w:val="clear" w:color="auto" w:fill="auto"/>
      <w:lang w:eastAsia="x-none"/>
    </w:rPr>
  </w:style>
  <w:style w:type="character" w:customStyle="1" w:styleId="HeaderChar">
    <w:name w:val="Header Char"/>
    <w:link w:val="Header"/>
    <w:uiPriority w:val="99"/>
    <w:rPr>
      <w:sz w:val="24"/>
      <w:szCs w:val="24"/>
      <w:lang w:eastAsia="en-US"/>
    </w:rPr>
  </w:style>
  <w:style w:type="character" w:customStyle="1" w:styleId="FooterChar">
    <w:name w:val="Footer Char"/>
    <w:link w:val="Footer"/>
    <w:uiPriority w:val="99"/>
    <w:rPr>
      <w:sz w:val="24"/>
      <w:szCs w:val="24"/>
      <w:lang w:eastAsia="en-US"/>
    </w:rPr>
  </w:style>
  <w:style w:type="character" w:customStyle="1" w:styleId="FootnoteTextChar">
    <w:name w:val="Footnote Text Char"/>
    <w:link w:val="FootnoteText"/>
    <w:uiPriority w:val="99"/>
    <w:rPr>
      <w:lang w:eastAsia="en-US"/>
    </w:rPr>
  </w:style>
  <w:style w:type="character" w:customStyle="1" w:styleId="Heading1Char">
    <w:name w:val="Heading 1 Char"/>
    <w:link w:val="Heading1"/>
    <w:uiPriority w:val="9"/>
    <w:rPr>
      <w:b/>
      <w:bCs/>
      <w:smallCaps/>
      <w:sz w:val="24"/>
      <w:szCs w:val="32"/>
      <w:lang w:eastAsia="en-US"/>
    </w:rPr>
  </w:style>
  <w:style w:type="character" w:customStyle="1" w:styleId="Heading2Char">
    <w:name w:val="Heading 2 Char"/>
    <w:link w:val="Heading2"/>
    <w:uiPriority w:val="9"/>
    <w:rPr>
      <w:b/>
      <w:bCs/>
      <w:iCs/>
      <w:sz w:val="24"/>
      <w:szCs w:val="28"/>
      <w:lang w:eastAsia="en-US"/>
    </w:rPr>
  </w:style>
  <w:style w:type="character" w:customStyle="1" w:styleId="Heading3Char">
    <w:name w:val="Heading 3 Char"/>
    <w:link w:val="Heading3"/>
    <w:uiPriority w:val="9"/>
    <w:rPr>
      <w:bCs/>
      <w:i/>
      <w:sz w:val="24"/>
      <w:szCs w:val="26"/>
      <w:lang w:eastAsia="en-US"/>
    </w:rPr>
  </w:style>
  <w:style w:type="character" w:customStyle="1" w:styleId="Heading4Char">
    <w:name w:val="Heading 4 Char"/>
    <w:link w:val="Heading4"/>
    <w:uiPriority w:val="9"/>
    <w:rPr>
      <w:bCs/>
      <w:sz w:val="24"/>
      <w:szCs w:val="28"/>
      <w:lang w:eastAsia="en-US"/>
    </w:rPr>
  </w:style>
  <w:style w:type="paragraph" w:customStyle="1" w:styleId="Normale">
    <w:name w:val="Normale"/>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eastAsia="en-GB"/>
    </w:rPr>
  </w:style>
  <w:style w:type="paragraph" w:customStyle="1" w:styleId="Paragrafoelenco">
    <w:name w:val="Paragrafo elenco"/>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en-GB"/>
    </w:rPr>
  </w:style>
  <w:style w:type="numbering" w:customStyle="1" w:styleId="List13">
    <w:name w:val="List 13"/>
    <w:basedOn w:val="NoList"/>
    <w:pPr>
      <w:numPr>
        <w:numId w:val="36"/>
      </w:numPr>
    </w:pPr>
  </w:style>
  <w:style w:type="paragraph" w:customStyle="1" w:styleId="default0">
    <w:name w:val="default"/>
    <w:basedOn w:val="Normal"/>
    <w:pPr>
      <w:spacing w:before="100" w:beforeAutospacing="1" w:after="100" w:afterAutospacing="1"/>
      <w:jc w:val="left"/>
    </w:pPr>
    <w:rPr>
      <w:lang w:eastAsia="en-GB"/>
    </w:rPr>
  </w:style>
  <w:style w:type="character" w:customStyle="1" w:styleId="en">
    <w:name w:val="en"/>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28997-178D-42DA-9B1D-FB313300D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4660</Words>
  <Characters>32576</Characters>
  <Application>Microsoft Office Word</Application>
  <DocSecurity>0</DocSecurity>
  <Lines>3257</Lines>
  <Paragraphs>1618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35618</CharactersWithSpaces>
  <SharedDoc>false</SharedDoc>
  <HLinks>
    <vt:vector size="90" baseType="variant">
      <vt:variant>
        <vt:i4>1966140</vt:i4>
      </vt:variant>
      <vt:variant>
        <vt:i4>86</vt:i4>
      </vt:variant>
      <vt:variant>
        <vt:i4>0</vt:i4>
      </vt:variant>
      <vt:variant>
        <vt:i4>5</vt:i4>
      </vt:variant>
      <vt:variant>
        <vt:lpwstr/>
      </vt:variant>
      <vt:variant>
        <vt:lpwstr>_Toc410993128</vt:lpwstr>
      </vt:variant>
      <vt:variant>
        <vt:i4>1966140</vt:i4>
      </vt:variant>
      <vt:variant>
        <vt:i4>80</vt:i4>
      </vt:variant>
      <vt:variant>
        <vt:i4>0</vt:i4>
      </vt:variant>
      <vt:variant>
        <vt:i4>5</vt:i4>
      </vt:variant>
      <vt:variant>
        <vt:lpwstr/>
      </vt:variant>
      <vt:variant>
        <vt:lpwstr>_Toc410993127</vt:lpwstr>
      </vt:variant>
      <vt:variant>
        <vt:i4>1966140</vt:i4>
      </vt:variant>
      <vt:variant>
        <vt:i4>74</vt:i4>
      </vt:variant>
      <vt:variant>
        <vt:i4>0</vt:i4>
      </vt:variant>
      <vt:variant>
        <vt:i4>5</vt:i4>
      </vt:variant>
      <vt:variant>
        <vt:lpwstr/>
      </vt:variant>
      <vt:variant>
        <vt:lpwstr>_Toc410993126</vt:lpwstr>
      </vt:variant>
      <vt:variant>
        <vt:i4>1966140</vt:i4>
      </vt:variant>
      <vt:variant>
        <vt:i4>68</vt:i4>
      </vt:variant>
      <vt:variant>
        <vt:i4>0</vt:i4>
      </vt:variant>
      <vt:variant>
        <vt:i4>5</vt:i4>
      </vt:variant>
      <vt:variant>
        <vt:lpwstr/>
      </vt:variant>
      <vt:variant>
        <vt:lpwstr>_Toc410993125</vt:lpwstr>
      </vt:variant>
      <vt:variant>
        <vt:i4>1966140</vt:i4>
      </vt:variant>
      <vt:variant>
        <vt:i4>62</vt:i4>
      </vt:variant>
      <vt:variant>
        <vt:i4>0</vt:i4>
      </vt:variant>
      <vt:variant>
        <vt:i4>5</vt:i4>
      </vt:variant>
      <vt:variant>
        <vt:lpwstr/>
      </vt:variant>
      <vt:variant>
        <vt:lpwstr>_Toc410993124</vt:lpwstr>
      </vt:variant>
      <vt:variant>
        <vt:i4>1966140</vt:i4>
      </vt:variant>
      <vt:variant>
        <vt:i4>56</vt:i4>
      </vt:variant>
      <vt:variant>
        <vt:i4>0</vt:i4>
      </vt:variant>
      <vt:variant>
        <vt:i4>5</vt:i4>
      </vt:variant>
      <vt:variant>
        <vt:lpwstr/>
      </vt:variant>
      <vt:variant>
        <vt:lpwstr>_Toc410993123</vt:lpwstr>
      </vt:variant>
      <vt:variant>
        <vt:i4>1966140</vt:i4>
      </vt:variant>
      <vt:variant>
        <vt:i4>50</vt:i4>
      </vt:variant>
      <vt:variant>
        <vt:i4>0</vt:i4>
      </vt:variant>
      <vt:variant>
        <vt:i4>5</vt:i4>
      </vt:variant>
      <vt:variant>
        <vt:lpwstr/>
      </vt:variant>
      <vt:variant>
        <vt:lpwstr>_Toc410993122</vt:lpwstr>
      </vt:variant>
      <vt:variant>
        <vt:i4>1966140</vt:i4>
      </vt:variant>
      <vt:variant>
        <vt:i4>44</vt:i4>
      </vt:variant>
      <vt:variant>
        <vt:i4>0</vt:i4>
      </vt:variant>
      <vt:variant>
        <vt:i4>5</vt:i4>
      </vt:variant>
      <vt:variant>
        <vt:lpwstr/>
      </vt:variant>
      <vt:variant>
        <vt:lpwstr>_Toc410993121</vt:lpwstr>
      </vt:variant>
      <vt:variant>
        <vt:i4>1966140</vt:i4>
      </vt:variant>
      <vt:variant>
        <vt:i4>38</vt:i4>
      </vt:variant>
      <vt:variant>
        <vt:i4>0</vt:i4>
      </vt:variant>
      <vt:variant>
        <vt:i4>5</vt:i4>
      </vt:variant>
      <vt:variant>
        <vt:lpwstr/>
      </vt:variant>
      <vt:variant>
        <vt:lpwstr>_Toc410993120</vt:lpwstr>
      </vt:variant>
      <vt:variant>
        <vt:i4>1900604</vt:i4>
      </vt:variant>
      <vt:variant>
        <vt:i4>32</vt:i4>
      </vt:variant>
      <vt:variant>
        <vt:i4>0</vt:i4>
      </vt:variant>
      <vt:variant>
        <vt:i4>5</vt:i4>
      </vt:variant>
      <vt:variant>
        <vt:lpwstr/>
      </vt:variant>
      <vt:variant>
        <vt:lpwstr>_Toc410993119</vt:lpwstr>
      </vt:variant>
      <vt:variant>
        <vt:i4>1900604</vt:i4>
      </vt:variant>
      <vt:variant>
        <vt:i4>26</vt:i4>
      </vt:variant>
      <vt:variant>
        <vt:i4>0</vt:i4>
      </vt:variant>
      <vt:variant>
        <vt:i4>5</vt:i4>
      </vt:variant>
      <vt:variant>
        <vt:lpwstr/>
      </vt:variant>
      <vt:variant>
        <vt:lpwstr>_Toc410993118</vt:lpwstr>
      </vt:variant>
      <vt:variant>
        <vt:i4>1900604</vt:i4>
      </vt:variant>
      <vt:variant>
        <vt:i4>20</vt:i4>
      </vt:variant>
      <vt:variant>
        <vt:i4>0</vt:i4>
      </vt:variant>
      <vt:variant>
        <vt:i4>5</vt:i4>
      </vt:variant>
      <vt:variant>
        <vt:lpwstr/>
      </vt:variant>
      <vt:variant>
        <vt:lpwstr>_Toc410993117</vt:lpwstr>
      </vt:variant>
      <vt:variant>
        <vt:i4>1900604</vt:i4>
      </vt:variant>
      <vt:variant>
        <vt:i4>14</vt:i4>
      </vt:variant>
      <vt:variant>
        <vt:i4>0</vt:i4>
      </vt:variant>
      <vt:variant>
        <vt:i4>5</vt:i4>
      </vt:variant>
      <vt:variant>
        <vt:lpwstr/>
      </vt:variant>
      <vt:variant>
        <vt:lpwstr>_Toc410993116</vt:lpwstr>
      </vt:variant>
      <vt:variant>
        <vt:i4>1900604</vt:i4>
      </vt:variant>
      <vt:variant>
        <vt:i4>8</vt:i4>
      </vt:variant>
      <vt:variant>
        <vt:i4>0</vt:i4>
      </vt:variant>
      <vt:variant>
        <vt:i4>5</vt:i4>
      </vt:variant>
      <vt:variant>
        <vt:lpwstr/>
      </vt:variant>
      <vt:variant>
        <vt:lpwstr>_Toc410993115</vt:lpwstr>
      </vt:variant>
      <vt:variant>
        <vt:i4>1900604</vt:i4>
      </vt:variant>
      <vt:variant>
        <vt:i4>2</vt:i4>
      </vt:variant>
      <vt:variant>
        <vt:i4>0</vt:i4>
      </vt:variant>
      <vt:variant>
        <vt:i4>5</vt:i4>
      </vt:variant>
      <vt:variant>
        <vt:lpwstr/>
      </vt:variant>
      <vt:variant>
        <vt:lpwstr>_Toc410993114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17</cp:revision>
  <cp:lastPrinted>2015-02-23T09:08:00Z</cp:lastPrinted>
  <dcterms:created xsi:type="dcterms:W3CDTF">2015-02-23T17:08:00Z</dcterms:created>
  <dcterms:modified xsi:type="dcterms:W3CDTF">2015-02-24T17:31:00Z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