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5DE" w:rsidRDefault="00C07CCA" w:rsidP="00C07CCA">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7AE78A46050843688234185E09F192C2" style="width:450.6pt;height:363.7pt">
            <v:imagedata r:id="rId9" o:title=""/>
          </v:shape>
        </w:pict>
      </w:r>
    </w:p>
    <w:bookmarkEnd w:id="0"/>
    <w:p w:rsidR="000A45DE" w:rsidRDefault="000A45DE">
      <w:pPr>
        <w:rPr>
          <w:noProof/>
        </w:rPr>
        <w:sectPr w:rsidR="000A45DE" w:rsidSect="00C07CCA">
          <w:headerReference w:type="even" r:id="rId10"/>
          <w:headerReference w:type="default" r:id="rId11"/>
          <w:footerReference w:type="even" r:id="rId12"/>
          <w:footerReference w:type="default" r:id="rId13"/>
          <w:headerReference w:type="first" r:id="rId14"/>
          <w:footerReference w:type="first" r:id="rId15"/>
          <w:pgSz w:w="11907" w:h="16839" w:code="9"/>
          <w:pgMar w:top="1134" w:right="1417" w:bottom="1134" w:left="1417" w:header="709" w:footer="709" w:gutter="0"/>
          <w:pgNumType w:start="1"/>
          <w:cols w:space="720"/>
          <w:docGrid w:linePitch="360"/>
        </w:sectPr>
      </w:pPr>
    </w:p>
    <w:p w:rsidR="000A45DE" w:rsidRDefault="00C07CCA">
      <w:pPr>
        <w:pStyle w:val="TOCHeading"/>
        <w:rPr>
          <w:noProof/>
          <w:lang w:val="ro-RO"/>
        </w:rPr>
      </w:pPr>
      <w:bookmarkStart w:id="1" w:name="_Toc409416904"/>
      <w:bookmarkStart w:id="2" w:name="_Toc409417174"/>
      <w:bookmarkStart w:id="3" w:name="_Toc409417440"/>
      <w:bookmarkStart w:id="4" w:name="_Toc390936607"/>
      <w:bookmarkStart w:id="5" w:name="_Toc390942387"/>
      <w:bookmarkStart w:id="6" w:name="_Toc387919751"/>
      <w:bookmarkStart w:id="7" w:name="_Toc390936614"/>
      <w:bookmarkStart w:id="8" w:name="_Toc390942394"/>
      <w:bookmarkStart w:id="9" w:name="_Toc390936615"/>
      <w:bookmarkStart w:id="10" w:name="_Toc390942395"/>
      <w:bookmarkStart w:id="11" w:name="_Toc388286936"/>
      <w:bookmarkStart w:id="12" w:name="_Toc388288218"/>
      <w:bookmarkStart w:id="13" w:name="_Toc388288306"/>
      <w:bookmarkStart w:id="14" w:name="_Toc388288333"/>
      <w:bookmarkStart w:id="15" w:name="_Toc388288444"/>
      <w:bookmarkStart w:id="16" w:name="_Toc388288497"/>
      <w:bookmarkStart w:id="17" w:name="_Toc388289815"/>
      <w:bookmarkStart w:id="18" w:name="_Toc390936624"/>
      <w:bookmarkStart w:id="19" w:name="_Toc390942404"/>
      <w:bookmarkStart w:id="20" w:name="_Toc390936627"/>
      <w:bookmarkStart w:id="21" w:name="_Toc390942408"/>
      <w:bookmarkStart w:id="22" w:name="_Toc390936628"/>
      <w:bookmarkStart w:id="23" w:name="_Toc390942409"/>
      <w:bookmarkStart w:id="24" w:name="_Toc390936632"/>
      <w:bookmarkStart w:id="25" w:name="_Toc390942413"/>
      <w:bookmarkStart w:id="26" w:name="_Toc391369940"/>
      <w:bookmarkStart w:id="27" w:name="_Toc391487176"/>
      <w:bookmarkStart w:id="28" w:name="_Toc391487825"/>
      <w:bookmarkStart w:id="29" w:name="_Toc391487917"/>
      <w:bookmarkStart w:id="30" w:name="_Toc391487178"/>
      <w:bookmarkStart w:id="31" w:name="_Toc391487827"/>
      <w:bookmarkStart w:id="32" w:name="_Toc391487919"/>
      <w:bookmarkStart w:id="33" w:name="_Toc391487179"/>
      <w:bookmarkStart w:id="34" w:name="_Toc391487828"/>
      <w:bookmarkStart w:id="35" w:name="_Toc391487920"/>
      <w:bookmarkStart w:id="36" w:name="_Toc409641549"/>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noProof/>
          <w:lang w:val="ro-RO"/>
        </w:rPr>
        <w:lastRenderedPageBreak/>
        <w:t>Cuprins</w:t>
      </w:r>
    </w:p>
    <w:bookmarkStart w:id="37" w:name="_GoBack"/>
    <w:bookmarkEnd w:id="37"/>
    <w:p w:rsidR="000A45DE" w:rsidRDefault="00C07CCA">
      <w:pPr>
        <w:pStyle w:val="TOC1"/>
        <w:rPr>
          <w:rFonts w:asciiTheme="minorHAnsi" w:eastAsiaTheme="minorEastAsia" w:hAnsiTheme="minorHAnsi" w:cstheme="minorBidi"/>
          <w:noProof/>
          <w:sz w:val="22"/>
          <w:szCs w:val="22"/>
          <w:lang w:eastAsia="en-GB"/>
        </w:rPr>
      </w:pPr>
      <w:r>
        <w:rPr>
          <w:noProof/>
          <w:lang w:val="ro-RO"/>
        </w:rPr>
        <w:fldChar w:fldCharType="begin"/>
      </w:r>
      <w:r>
        <w:rPr>
          <w:noProof/>
          <w:lang w:val="ro-RO"/>
        </w:rPr>
        <w:instrText xml:space="preserve"> TOC \o "1-3" \h \z \u </w:instrText>
      </w:r>
      <w:r>
        <w:rPr>
          <w:noProof/>
          <w:lang w:val="ro-RO"/>
        </w:rPr>
        <w:fldChar w:fldCharType="separate"/>
      </w:r>
      <w:hyperlink w:anchor="_Toc413156267" w:history="1">
        <w:r>
          <w:rPr>
            <w:rStyle w:val="Hyperlink"/>
            <w:noProof/>
            <w:lang w:val="ro-RO"/>
          </w:rPr>
          <w:t>1.</w:t>
        </w:r>
        <w:r>
          <w:rPr>
            <w:rFonts w:asciiTheme="minorHAnsi" w:eastAsiaTheme="minorEastAsia" w:hAnsiTheme="minorHAnsi" w:cstheme="minorBidi"/>
            <w:noProof/>
            <w:sz w:val="22"/>
            <w:szCs w:val="22"/>
            <w:lang w:eastAsia="en-GB"/>
          </w:rPr>
          <w:tab/>
        </w:r>
        <w:r>
          <w:rPr>
            <w:rStyle w:val="Hyperlink"/>
            <w:noProof/>
            <w:lang w:val="ro-RO"/>
          </w:rPr>
          <w:t>Rezumat</w:t>
        </w:r>
        <w:r>
          <w:rPr>
            <w:noProof/>
            <w:webHidden/>
          </w:rPr>
          <w:tab/>
        </w:r>
        <w:r>
          <w:rPr>
            <w:noProof/>
            <w:webHidden/>
          </w:rPr>
          <w:fldChar w:fldCharType="begin"/>
        </w:r>
        <w:r>
          <w:rPr>
            <w:noProof/>
            <w:webHidden/>
          </w:rPr>
          <w:instrText xml:space="preserve"> PAGEREF _Toc413156267 \h </w:instrText>
        </w:r>
        <w:r>
          <w:rPr>
            <w:noProof/>
            <w:webHidden/>
          </w:rPr>
        </w:r>
        <w:r>
          <w:rPr>
            <w:noProof/>
            <w:webHidden/>
          </w:rPr>
          <w:fldChar w:fldCharType="separate"/>
        </w:r>
        <w:r>
          <w:rPr>
            <w:noProof/>
            <w:webHidden/>
          </w:rPr>
          <w:t>3</w:t>
        </w:r>
        <w:r>
          <w:rPr>
            <w:noProof/>
            <w:webHidden/>
          </w:rPr>
          <w:fldChar w:fldCharType="end"/>
        </w:r>
      </w:hyperlink>
    </w:p>
    <w:p w:rsidR="000A45DE" w:rsidRDefault="00C07CCA">
      <w:pPr>
        <w:pStyle w:val="TOC1"/>
        <w:rPr>
          <w:rFonts w:asciiTheme="minorHAnsi" w:eastAsiaTheme="minorEastAsia" w:hAnsiTheme="minorHAnsi" w:cstheme="minorBidi"/>
          <w:noProof/>
          <w:sz w:val="22"/>
          <w:szCs w:val="22"/>
          <w:lang w:eastAsia="en-GB"/>
        </w:rPr>
      </w:pPr>
      <w:hyperlink w:anchor="_Toc413156268" w:history="1">
        <w:r>
          <w:rPr>
            <w:rStyle w:val="Hyperlink"/>
            <w:noProof/>
            <w:lang w:val="ro-RO"/>
          </w:rPr>
          <w:t>2.</w:t>
        </w:r>
        <w:r>
          <w:rPr>
            <w:rFonts w:asciiTheme="minorHAnsi" w:eastAsiaTheme="minorEastAsia" w:hAnsiTheme="minorHAnsi" w:cstheme="minorBidi"/>
            <w:noProof/>
            <w:sz w:val="22"/>
            <w:szCs w:val="22"/>
            <w:lang w:eastAsia="en-GB"/>
          </w:rPr>
          <w:tab/>
        </w:r>
        <w:r>
          <w:rPr>
            <w:rStyle w:val="Hyperlink"/>
            <w:noProof/>
            <w:lang w:val="ro-RO"/>
          </w:rPr>
          <w:t>Protocolul de la Paris</w:t>
        </w:r>
        <w:r>
          <w:rPr>
            <w:noProof/>
            <w:webHidden/>
          </w:rPr>
          <w:tab/>
        </w:r>
        <w:r>
          <w:rPr>
            <w:noProof/>
            <w:webHidden/>
          </w:rPr>
          <w:fldChar w:fldCharType="begin"/>
        </w:r>
        <w:r>
          <w:rPr>
            <w:noProof/>
            <w:webHidden/>
          </w:rPr>
          <w:instrText xml:space="preserve"> PAGEREF _Toc413156268 \h </w:instrText>
        </w:r>
        <w:r>
          <w:rPr>
            <w:noProof/>
            <w:webHidden/>
          </w:rPr>
        </w:r>
        <w:r>
          <w:rPr>
            <w:noProof/>
            <w:webHidden/>
          </w:rPr>
          <w:fldChar w:fldCharType="separate"/>
        </w:r>
        <w:r>
          <w:rPr>
            <w:noProof/>
            <w:webHidden/>
          </w:rPr>
          <w:t>5</w:t>
        </w:r>
        <w:r>
          <w:rPr>
            <w:noProof/>
            <w:webHidden/>
          </w:rPr>
          <w:fldChar w:fldCharType="end"/>
        </w:r>
      </w:hyperlink>
    </w:p>
    <w:p w:rsidR="000A45DE" w:rsidRDefault="00C07CCA">
      <w:pPr>
        <w:pStyle w:val="TOC1"/>
        <w:rPr>
          <w:rFonts w:asciiTheme="minorHAnsi" w:eastAsiaTheme="minorEastAsia" w:hAnsiTheme="minorHAnsi" w:cstheme="minorBidi"/>
          <w:noProof/>
          <w:sz w:val="22"/>
          <w:szCs w:val="22"/>
          <w:lang w:eastAsia="en-GB"/>
        </w:rPr>
      </w:pPr>
      <w:hyperlink w:anchor="_Toc413156269" w:history="1">
        <w:r>
          <w:rPr>
            <w:rStyle w:val="Hyperlink"/>
            <w:noProof/>
            <w:lang w:val="ro-RO"/>
          </w:rPr>
          <w:t>3.</w:t>
        </w:r>
        <w:r>
          <w:rPr>
            <w:rFonts w:asciiTheme="minorHAnsi" w:eastAsiaTheme="minorEastAsia" w:hAnsiTheme="minorHAnsi" w:cstheme="minorBidi"/>
            <w:noProof/>
            <w:sz w:val="22"/>
            <w:szCs w:val="22"/>
            <w:lang w:eastAsia="en-GB"/>
          </w:rPr>
          <w:tab/>
        </w:r>
        <w:r>
          <w:rPr>
            <w:rStyle w:val="Hyperlink"/>
            <w:noProof/>
            <w:lang w:val="ro-RO"/>
          </w:rPr>
          <w:t>Garantarea unor reduceri ambițioase a emisiilor de gaze cu efect de seră</w:t>
        </w:r>
        <w:r>
          <w:rPr>
            <w:noProof/>
            <w:webHidden/>
          </w:rPr>
          <w:tab/>
        </w:r>
        <w:r>
          <w:rPr>
            <w:noProof/>
            <w:webHidden/>
          </w:rPr>
          <w:fldChar w:fldCharType="begin"/>
        </w:r>
        <w:r>
          <w:rPr>
            <w:noProof/>
            <w:webHidden/>
          </w:rPr>
          <w:instrText xml:space="preserve"> PAGEREF _Toc413156269 \h </w:instrText>
        </w:r>
        <w:r>
          <w:rPr>
            <w:noProof/>
            <w:webHidden/>
          </w:rPr>
        </w:r>
        <w:r>
          <w:rPr>
            <w:noProof/>
            <w:webHidden/>
          </w:rPr>
          <w:fldChar w:fldCharType="separate"/>
        </w:r>
        <w:r>
          <w:rPr>
            <w:noProof/>
            <w:webHidden/>
          </w:rPr>
          <w:t>6</w:t>
        </w:r>
        <w:r>
          <w:rPr>
            <w:noProof/>
            <w:webHidden/>
          </w:rPr>
          <w:fldChar w:fldCharType="end"/>
        </w:r>
      </w:hyperlink>
    </w:p>
    <w:p w:rsidR="000A45DE" w:rsidRDefault="00C07CCA">
      <w:pPr>
        <w:pStyle w:val="TOC2"/>
        <w:rPr>
          <w:rFonts w:asciiTheme="minorHAnsi" w:eastAsiaTheme="minorEastAsia" w:hAnsiTheme="minorHAnsi" w:cstheme="minorBidi"/>
          <w:noProof/>
          <w:sz w:val="22"/>
          <w:szCs w:val="22"/>
          <w:lang w:eastAsia="en-GB"/>
        </w:rPr>
      </w:pPr>
      <w:hyperlink w:anchor="_Toc413156270" w:history="1">
        <w:r>
          <w:rPr>
            <w:rStyle w:val="Hyperlink"/>
            <w:noProof/>
            <w:lang w:val="ro-RO"/>
          </w:rPr>
          <w:t>3.1.</w:t>
        </w:r>
        <w:r>
          <w:rPr>
            <w:rFonts w:asciiTheme="minorHAnsi" w:eastAsiaTheme="minorEastAsia" w:hAnsiTheme="minorHAnsi" w:cstheme="minorBidi"/>
            <w:noProof/>
            <w:sz w:val="22"/>
            <w:szCs w:val="22"/>
            <w:lang w:eastAsia="en-GB"/>
          </w:rPr>
          <w:tab/>
        </w:r>
        <w:r>
          <w:rPr>
            <w:rStyle w:val="Hyperlink"/>
            <w:noProof/>
            <w:lang w:val="ro-RO"/>
          </w:rPr>
          <w:t>Obiectivul UE p</w:t>
        </w:r>
        <w:r>
          <w:rPr>
            <w:rStyle w:val="Hyperlink"/>
            <w:noProof/>
            <w:lang w:val="ro-RO"/>
          </w:rPr>
          <w:t>entru 2030 și contribuția preconizată stabilită la nivel național</w:t>
        </w:r>
        <w:r>
          <w:rPr>
            <w:noProof/>
            <w:webHidden/>
          </w:rPr>
          <w:tab/>
        </w:r>
        <w:r>
          <w:rPr>
            <w:noProof/>
            <w:webHidden/>
          </w:rPr>
          <w:fldChar w:fldCharType="begin"/>
        </w:r>
        <w:r>
          <w:rPr>
            <w:noProof/>
            <w:webHidden/>
          </w:rPr>
          <w:instrText xml:space="preserve"> PAGEREF _Toc413156270 \h </w:instrText>
        </w:r>
        <w:r>
          <w:rPr>
            <w:noProof/>
            <w:webHidden/>
          </w:rPr>
        </w:r>
        <w:r>
          <w:rPr>
            <w:noProof/>
            <w:webHidden/>
          </w:rPr>
          <w:fldChar w:fldCharType="separate"/>
        </w:r>
        <w:r>
          <w:rPr>
            <w:noProof/>
            <w:webHidden/>
          </w:rPr>
          <w:t>6</w:t>
        </w:r>
        <w:r>
          <w:rPr>
            <w:noProof/>
            <w:webHidden/>
          </w:rPr>
          <w:fldChar w:fldCharType="end"/>
        </w:r>
      </w:hyperlink>
    </w:p>
    <w:p w:rsidR="000A45DE" w:rsidRDefault="00C07CCA">
      <w:pPr>
        <w:pStyle w:val="TOC2"/>
        <w:rPr>
          <w:rFonts w:asciiTheme="minorHAnsi" w:eastAsiaTheme="minorEastAsia" w:hAnsiTheme="minorHAnsi" w:cstheme="minorBidi"/>
          <w:noProof/>
          <w:sz w:val="22"/>
          <w:szCs w:val="22"/>
          <w:lang w:eastAsia="en-GB"/>
        </w:rPr>
      </w:pPr>
      <w:hyperlink w:anchor="_Toc413156271" w:history="1">
        <w:r>
          <w:rPr>
            <w:rStyle w:val="Hyperlink"/>
            <w:noProof/>
            <w:lang w:val="ro-RO"/>
          </w:rPr>
          <w:t>3.2.</w:t>
        </w:r>
        <w:r>
          <w:rPr>
            <w:rFonts w:asciiTheme="minorHAnsi" w:eastAsiaTheme="minorEastAsia" w:hAnsiTheme="minorHAnsi" w:cstheme="minorBidi"/>
            <w:noProof/>
            <w:sz w:val="22"/>
            <w:szCs w:val="22"/>
            <w:lang w:eastAsia="en-GB"/>
          </w:rPr>
          <w:tab/>
        </w:r>
        <w:r>
          <w:rPr>
            <w:rStyle w:val="Hyperlink"/>
            <w:noProof/>
            <w:lang w:val="ro-RO"/>
          </w:rPr>
          <w:t>Partajarea efortului global</w:t>
        </w:r>
        <w:r>
          <w:rPr>
            <w:noProof/>
            <w:webHidden/>
          </w:rPr>
          <w:tab/>
        </w:r>
        <w:r>
          <w:rPr>
            <w:noProof/>
            <w:webHidden/>
          </w:rPr>
          <w:fldChar w:fldCharType="begin"/>
        </w:r>
        <w:r>
          <w:rPr>
            <w:noProof/>
            <w:webHidden/>
          </w:rPr>
          <w:instrText xml:space="preserve"> PAGEREF _Toc413156271 \h </w:instrText>
        </w:r>
        <w:r>
          <w:rPr>
            <w:noProof/>
            <w:webHidden/>
          </w:rPr>
        </w:r>
        <w:r>
          <w:rPr>
            <w:noProof/>
            <w:webHidden/>
          </w:rPr>
          <w:fldChar w:fldCharType="separate"/>
        </w:r>
        <w:r>
          <w:rPr>
            <w:noProof/>
            <w:webHidden/>
          </w:rPr>
          <w:t>7</w:t>
        </w:r>
        <w:r>
          <w:rPr>
            <w:noProof/>
            <w:webHidden/>
          </w:rPr>
          <w:fldChar w:fldCharType="end"/>
        </w:r>
      </w:hyperlink>
    </w:p>
    <w:p w:rsidR="000A45DE" w:rsidRDefault="00C07CCA">
      <w:pPr>
        <w:pStyle w:val="TOC1"/>
        <w:rPr>
          <w:rFonts w:asciiTheme="minorHAnsi" w:eastAsiaTheme="minorEastAsia" w:hAnsiTheme="minorHAnsi" w:cstheme="minorBidi"/>
          <w:noProof/>
          <w:sz w:val="22"/>
          <w:szCs w:val="22"/>
          <w:lang w:eastAsia="en-GB"/>
        </w:rPr>
      </w:pPr>
      <w:hyperlink w:anchor="_Toc413156272" w:history="1">
        <w:r>
          <w:rPr>
            <w:rStyle w:val="Hyperlink"/>
            <w:noProof/>
            <w:lang w:val="ro-RO"/>
          </w:rPr>
          <w:t>4.</w:t>
        </w:r>
        <w:r>
          <w:rPr>
            <w:rFonts w:asciiTheme="minorHAnsi" w:eastAsiaTheme="minorEastAsia" w:hAnsiTheme="minorHAnsi" w:cstheme="minorBidi"/>
            <w:noProof/>
            <w:sz w:val="22"/>
            <w:szCs w:val="22"/>
            <w:lang w:eastAsia="en-GB"/>
          </w:rPr>
          <w:tab/>
        </w:r>
        <w:r>
          <w:rPr>
            <w:rStyle w:val="Hyperlink"/>
            <w:noProof/>
            <w:lang w:val="ro-RO"/>
          </w:rPr>
          <w:t>Garantarea dinamismului prin revizuirea periodică a obiectivelor</w:t>
        </w:r>
        <w:r>
          <w:rPr>
            <w:noProof/>
            <w:webHidden/>
          </w:rPr>
          <w:tab/>
        </w:r>
        <w:r>
          <w:rPr>
            <w:noProof/>
            <w:webHidden/>
          </w:rPr>
          <w:fldChar w:fldCharType="begin"/>
        </w:r>
        <w:r>
          <w:rPr>
            <w:noProof/>
            <w:webHidden/>
          </w:rPr>
          <w:instrText xml:space="preserve"> PAGEREF _Toc413156272 \h </w:instrText>
        </w:r>
        <w:r>
          <w:rPr>
            <w:noProof/>
            <w:webHidden/>
          </w:rPr>
        </w:r>
        <w:r>
          <w:rPr>
            <w:noProof/>
            <w:webHidden/>
          </w:rPr>
          <w:fldChar w:fldCharType="separate"/>
        </w:r>
        <w:r>
          <w:rPr>
            <w:noProof/>
            <w:webHidden/>
          </w:rPr>
          <w:t>8</w:t>
        </w:r>
        <w:r>
          <w:rPr>
            <w:noProof/>
            <w:webHidden/>
          </w:rPr>
          <w:fldChar w:fldCharType="end"/>
        </w:r>
      </w:hyperlink>
    </w:p>
    <w:p w:rsidR="000A45DE" w:rsidRDefault="00C07CCA">
      <w:pPr>
        <w:pStyle w:val="TOC1"/>
        <w:rPr>
          <w:rFonts w:asciiTheme="minorHAnsi" w:eastAsiaTheme="minorEastAsia" w:hAnsiTheme="minorHAnsi" w:cstheme="minorBidi"/>
          <w:noProof/>
          <w:sz w:val="22"/>
          <w:szCs w:val="22"/>
          <w:lang w:eastAsia="en-GB"/>
        </w:rPr>
      </w:pPr>
      <w:hyperlink w:anchor="_Toc413156273" w:history="1">
        <w:r>
          <w:rPr>
            <w:rStyle w:val="Hyperlink"/>
            <w:noProof/>
            <w:lang w:val="ro-RO"/>
          </w:rPr>
          <w:t>5.</w:t>
        </w:r>
        <w:r>
          <w:rPr>
            <w:rFonts w:asciiTheme="minorHAnsi" w:eastAsiaTheme="minorEastAsia" w:hAnsiTheme="minorHAnsi" w:cstheme="minorBidi"/>
            <w:noProof/>
            <w:sz w:val="22"/>
            <w:szCs w:val="22"/>
            <w:lang w:eastAsia="en-GB"/>
          </w:rPr>
          <w:tab/>
        </w:r>
        <w:r>
          <w:rPr>
            <w:rStyle w:val="Hyperlink"/>
            <w:noProof/>
            <w:lang w:val="ro-RO"/>
          </w:rPr>
          <w:t>Consolidarea transparenței și a responsabilității</w:t>
        </w:r>
        <w:r>
          <w:rPr>
            <w:noProof/>
            <w:webHidden/>
          </w:rPr>
          <w:tab/>
        </w:r>
        <w:r>
          <w:rPr>
            <w:noProof/>
            <w:webHidden/>
          </w:rPr>
          <w:fldChar w:fldCharType="begin"/>
        </w:r>
        <w:r>
          <w:rPr>
            <w:noProof/>
            <w:webHidden/>
          </w:rPr>
          <w:instrText xml:space="preserve"> PAGEREF _Toc413156273 \h </w:instrText>
        </w:r>
        <w:r>
          <w:rPr>
            <w:noProof/>
            <w:webHidden/>
          </w:rPr>
        </w:r>
        <w:r>
          <w:rPr>
            <w:noProof/>
            <w:webHidden/>
          </w:rPr>
          <w:fldChar w:fldCharType="separate"/>
        </w:r>
        <w:r>
          <w:rPr>
            <w:noProof/>
            <w:webHidden/>
          </w:rPr>
          <w:t>9</w:t>
        </w:r>
        <w:r>
          <w:rPr>
            <w:noProof/>
            <w:webHidden/>
          </w:rPr>
          <w:fldChar w:fldCharType="end"/>
        </w:r>
      </w:hyperlink>
    </w:p>
    <w:p w:rsidR="000A45DE" w:rsidRDefault="00C07CCA">
      <w:pPr>
        <w:pStyle w:val="TOC1"/>
        <w:rPr>
          <w:rFonts w:asciiTheme="minorHAnsi" w:eastAsiaTheme="minorEastAsia" w:hAnsiTheme="minorHAnsi" w:cstheme="minorBidi"/>
          <w:noProof/>
          <w:sz w:val="22"/>
          <w:szCs w:val="22"/>
          <w:lang w:eastAsia="en-GB"/>
        </w:rPr>
      </w:pPr>
      <w:hyperlink w:anchor="_Toc413156274" w:history="1">
        <w:r>
          <w:rPr>
            <w:rStyle w:val="Hyperlink"/>
            <w:noProof/>
            <w:lang w:val="ro-RO"/>
          </w:rPr>
          <w:t>6.</w:t>
        </w:r>
        <w:r>
          <w:rPr>
            <w:rFonts w:asciiTheme="minorHAnsi" w:eastAsiaTheme="minorEastAsia" w:hAnsiTheme="minorHAnsi" w:cstheme="minorBidi"/>
            <w:noProof/>
            <w:sz w:val="22"/>
            <w:szCs w:val="22"/>
            <w:lang w:eastAsia="en-GB"/>
          </w:rPr>
          <w:tab/>
        </w:r>
        <w:r>
          <w:rPr>
            <w:rStyle w:val="Hyperlink"/>
            <w:noProof/>
            <w:lang w:val="ro-RO"/>
          </w:rPr>
          <w:t>Rezistența la schimbările climatice prin adaptare</w:t>
        </w:r>
        <w:r>
          <w:rPr>
            <w:noProof/>
            <w:webHidden/>
          </w:rPr>
          <w:tab/>
        </w:r>
        <w:r>
          <w:rPr>
            <w:noProof/>
            <w:webHidden/>
          </w:rPr>
          <w:fldChar w:fldCharType="begin"/>
        </w:r>
        <w:r>
          <w:rPr>
            <w:noProof/>
            <w:webHidden/>
          </w:rPr>
          <w:instrText xml:space="preserve"> PAGEREF _Toc413156274 \h </w:instrText>
        </w:r>
        <w:r>
          <w:rPr>
            <w:noProof/>
            <w:webHidden/>
          </w:rPr>
        </w:r>
        <w:r>
          <w:rPr>
            <w:noProof/>
            <w:webHidden/>
          </w:rPr>
          <w:fldChar w:fldCharType="separate"/>
        </w:r>
        <w:r>
          <w:rPr>
            <w:noProof/>
            <w:webHidden/>
          </w:rPr>
          <w:t>9</w:t>
        </w:r>
        <w:r>
          <w:rPr>
            <w:noProof/>
            <w:webHidden/>
          </w:rPr>
          <w:fldChar w:fldCharType="end"/>
        </w:r>
      </w:hyperlink>
    </w:p>
    <w:p w:rsidR="000A45DE" w:rsidRDefault="00C07CCA">
      <w:pPr>
        <w:pStyle w:val="TOC1"/>
        <w:rPr>
          <w:rFonts w:asciiTheme="minorHAnsi" w:eastAsiaTheme="minorEastAsia" w:hAnsiTheme="minorHAnsi" w:cstheme="minorBidi"/>
          <w:noProof/>
          <w:sz w:val="22"/>
          <w:szCs w:val="22"/>
          <w:lang w:eastAsia="en-GB"/>
        </w:rPr>
      </w:pPr>
      <w:hyperlink w:anchor="_Toc413156275" w:history="1">
        <w:r>
          <w:rPr>
            <w:rStyle w:val="Hyperlink"/>
            <w:noProof/>
            <w:lang w:val="ro-RO"/>
          </w:rPr>
          <w:t>7.</w:t>
        </w:r>
        <w:r>
          <w:rPr>
            <w:rFonts w:asciiTheme="minorHAnsi" w:eastAsiaTheme="minorEastAsia" w:hAnsiTheme="minorHAnsi" w:cstheme="minorBidi"/>
            <w:noProof/>
            <w:sz w:val="22"/>
            <w:szCs w:val="22"/>
            <w:lang w:eastAsia="en-GB"/>
          </w:rPr>
          <w:tab/>
        </w:r>
        <w:r>
          <w:rPr>
            <w:rStyle w:val="Hyperlink"/>
            <w:noProof/>
            <w:lang w:val="ro-RO"/>
          </w:rPr>
          <w:t>Promovarea punerii în aplicare și a cooperării</w:t>
        </w:r>
        <w:r>
          <w:rPr>
            <w:noProof/>
            <w:webHidden/>
          </w:rPr>
          <w:tab/>
        </w:r>
        <w:r>
          <w:rPr>
            <w:noProof/>
            <w:webHidden/>
          </w:rPr>
          <w:fldChar w:fldCharType="begin"/>
        </w:r>
        <w:r>
          <w:rPr>
            <w:noProof/>
            <w:webHidden/>
          </w:rPr>
          <w:instrText xml:space="preserve"> PAGEREF _Toc413156275 \h </w:instrText>
        </w:r>
        <w:r>
          <w:rPr>
            <w:noProof/>
            <w:webHidden/>
          </w:rPr>
        </w:r>
        <w:r>
          <w:rPr>
            <w:noProof/>
            <w:webHidden/>
          </w:rPr>
          <w:fldChar w:fldCharType="separate"/>
        </w:r>
        <w:r>
          <w:rPr>
            <w:noProof/>
            <w:webHidden/>
          </w:rPr>
          <w:t>10</w:t>
        </w:r>
        <w:r>
          <w:rPr>
            <w:noProof/>
            <w:webHidden/>
          </w:rPr>
          <w:fldChar w:fldCharType="end"/>
        </w:r>
      </w:hyperlink>
    </w:p>
    <w:p w:rsidR="000A45DE" w:rsidRDefault="00C07CCA">
      <w:pPr>
        <w:pStyle w:val="TOC2"/>
        <w:rPr>
          <w:rFonts w:asciiTheme="minorHAnsi" w:eastAsiaTheme="minorEastAsia" w:hAnsiTheme="minorHAnsi" w:cstheme="minorBidi"/>
          <w:noProof/>
          <w:sz w:val="22"/>
          <w:szCs w:val="22"/>
          <w:lang w:eastAsia="en-GB"/>
        </w:rPr>
      </w:pPr>
      <w:hyperlink w:anchor="_Toc413156276" w:history="1">
        <w:r>
          <w:rPr>
            <w:rStyle w:val="Hyperlink"/>
            <w:noProof/>
            <w:lang w:val="ro-RO"/>
          </w:rPr>
          <w:t>7.1.</w:t>
        </w:r>
        <w:r>
          <w:rPr>
            <w:rFonts w:asciiTheme="minorHAnsi" w:eastAsiaTheme="minorEastAsia" w:hAnsiTheme="minorHAnsi" w:cstheme="minorBidi"/>
            <w:noProof/>
            <w:sz w:val="22"/>
            <w:szCs w:val="22"/>
            <w:lang w:eastAsia="en-GB"/>
          </w:rPr>
          <w:tab/>
        </w:r>
        <w:r>
          <w:rPr>
            <w:rStyle w:val="Hyperlink"/>
            <w:noProof/>
            <w:lang w:val="ro-RO"/>
          </w:rPr>
          <w:t xml:space="preserve">Mobilizarea de fonduri publice și private </w:t>
        </w:r>
        <w:r>
          <w:rPr>
            <w:rStyle w:val="Hyperlink"/>
            <w:noProof/>
            <w:lang w:val="ro-RO"/>
          </w:rPr>
          <w:t>pentru finanțarea combaterii schimbărilor climatice</w:t>
        </w:r>
        <w:r>
          <w:rPr>
            <w:noProof/>
            <w:webHidden/>
          </w:rPr>
          <w:tab/>
        </w:r>
        <w:r>
          <w:rPr>
            <w:noProof/>
            <w:webHidden/>
          </w:rPr>
          <w:fldChar w:fldCharType="begin"/>
        </w:r>
        <w:r>
          <w:rPr>
            <w:noProof/>
            <w:webHidden/>
          </w:rPr>
          <w:instrText xml:space="preserve"> PAGEREF _Toc413156276 \h </w:instrText>
        </w:r>
        <w:r>
          <w:rPr>
            <w:noProof/>
            <w:webHidden/>
          </w:rPr>
        </w:r>
        <w:r>
          <w:rPr>
            <w:noProof/>
            <w:webHidden/>
          </w:rPr>
          <w:fldChar w:fldCharType="separate"/>
        </w:r>
        <w:r>
          <w:rPr>
            <w:noProof/>
            <w:webHidden/>
          </w:rPr>
          <w:t>10</w:t>
        </w:r>
        <w:r>
          <w:rPr>
            <w:noProof/>
            <w:webHidden/>
          </w:rPr>
          <w:fldChar w:fldCharType="end"/>
        </w:r>
      </w:hyperlink>
    </w:p>
    <w:p w:rsidR="000A45DE" w:rsidRDefault="00C07CCA">
      <w:pPr>
        <w:pStyle w:val="TOC2"/>
        <w:rPr>
          <w:rFonts w:asciiTheme="minorHAnsi" w:eastAsiaTheme="minorEastAsia" w:hAnsiTheme="minorHAnsi" w:cstheme="minorBidi"/>
          <w:noProof/>
          <w:sz w:val="22"/>
          <w:szCs w:val="22"/>
          <w:lang w:eastAsia="en-GB"/>
        </w:rPr>
      </w:pPr>
      <w:hyperlink w:anchor="_Toc413156277" w:history="1">
        <w:r>
          <w:rPr>
            <w:rStyle w:val="Hyperlink"/>
            <w:noProof/>
            <w:lang w:val="ro-RO"/>
          </w:rPr>
          <w:t>7.2.</w:t>
        </w:r>
        <w:r>
          <w:rPr>
            <w:rFonts w:asciiTheme="minorHAnsi" w:eastAsiaTheme="minorEastAsia" w:hAnsiTheme="minorHAnsi" w:cstheme="minorBidi"/>
            <w:noProof/>
            <w:sz w:val="22"/>
            <w:szCs w:val="22"/>
            <w:lang w:eastAsia="en-GB"/>
          </w:rPr>
          <w:tab/>
        </w:r>
        <w:r>
          <w:rPr>
            <w:rStyle w:val="Hyperlink"/>
            <w:noProof/>
            <w:lang w:val="ro-RO"/>
          </w:rPr>
          <w:t>Intensificarea acțiunilor de cooperare internațională</w:t>
        </w:r>
        <w:r>
          <w:rPr>
            <w:noProof/>
            <w:webHidden/>
          </w:rPr>
          <w:tab/>
        </w:r>
        <w:r>
          <w:rPr>
            <w:noProof/>
            <w:webHidden/>
          </w:rPr>
          <w:fldChar w:fldCharType="begin"/>
        </w:r>
        <w:r>
          <w:rPr>
            <w:noProof/>
            <w:webHidden/>
          </w:rPr>
          <w:instrText xml:space="preserve"> PAGEREF _Toc41</w:instrText>
        </w:r>
        <w:r>
          <w:rPr>
            <w:noProof/>
            <w:webHidden/>
          </w:rPr>
          <w:instrText xml:space="preserve">3156277 \h </w:instrText>
        </w:r>
        <w:r>
          <w:rPr>
            <w:noProof/>
            <w:webHidden/>
          </w:rPr>
        </w:r>
        <w:r>
          <w:rPr>
            <w:noProof/>
            <w:webHidden/>
          </w:rPr>
          <w:fldChar w:fldCharType="separate"/>
        </w:r>
        <w:r>
          <w:rPr>
            <w:noProof/>
            <w:webHidden/>
          </w:rPr>
          <w:t>11</w:t>
        </w:r>
        <w:r>
          <w:rPr>
            <w:noProof/>
            <w:webHidden/>
          </w:rPr>
          <w:fldChar w:fldCharType="end"/>
        </w:r>
      </w:hyperlink>
    </w:p>
    <w:p w:rsidR="000A45DE" w:rsidRDefault="00C07CCA">
      <w:pPr>
        <w:pStyle w:val="TOC2"/>
        <w:rPr>
          <w:rFonts w:asciiTheme="minorHAnsi" w:eastAsiaTheme="minorEastAsia" w:hAnsiTheme="minorHAnsi" w:cstheme="minorBidi"/>
          <w:noProof/>
          <w:sz w:val="22"/>
          <w:szCs w:val="22"/>
          <w:lang w:eastAsia="en-GB"/>
        </w:rPr>
      </w:pPr>
      <w:hyperlink w:anchor="_Toc413156278" w:history="1">
        <w:r>
          <w:rPr>
            <w:rStyle w:val="Hyperlink"/>
            <w:noProof/>
            <w:lang w:val="ro-RO"/>
          </w:rPr>
          <w:t>7.3.</w:t>
        </w:r>
        <w:r>
          <w:rPr>
            <w:rFonts w:asciiTheme="minorHAnsi" w:eastAsiaTheme="minorEastAsia" w:hAnsiTheme="minorHAnsi" w:cstheme="minorBidi"/>
            <w:noProof/>
            <w:sz w:val="22"/>
            <w:szCs w:val="22"/>
            <w:lang w:eastAsia="en-GB"/>
          </w:rPr>
          <w:tab/>
        </w:r>
        <w:r>
          <w:rPr>
            <w:rStyle w:val="Hyperlink"/>
            <w:noProof/>
            <w:lang w:val="ro-RO"/>
          </w:rPr>
          <w:t>Sprijinirea dezvoltării și utilizării tehnologiilor legate de climă</w:t>
        </w:r>
        <w:r>
          <w:rPr>
            <w:noProof/>
            <w:webHidden/>
          </w:rPr>
          <w:tab/>
        </w:r>
        <w:r>
          <w:rPr>
            <w:noProof/>
            <w:webHidden/>
          </w:rPr>
          <w:fldChar w:fldCharType="begin"/>
        </w:r>
        <w:r>
          <w:rPr>
            <w:noProof/>
            <w:webHidden/>
          </w:rPr>
          <w:instrText xml:space="preserve"> PAGEREF _Toc413156278 \h </w:instrText>
        </w:r>
        <w:r>
          <w:rPr>
            <w:noProof/>
            <w:webHidden/>
          </w:rPr>
        </w:r>
        <w:r>
          <w:rPr>
            <w:noProof/>
            <w:webHidden/>
          </w:rPr>
          <w:fldChar w:fldCharType="separate"/>
        </w:r>
        <w:r>
          <w:rPr>
            <w:noProof/>
            <w:webHidden/>
          </w:rPr>
          <w:t>11</w:t>
        </w:r>
        <w:r>
          <w:rPr>
            <w:noProof/>
            <w:webHidden/>
          </w:rPr>
          <w:fldChar w:fldCharType="end"/>
        </w:r>
      </w:hyperlink>
    </w:p>
    <w:p w:rsidR="000A45DE" w:rsidRDefault="00C07CCA">
      <w:pPr>
        <w:pStyle w:val="TOC2"/>
        <w:rPr>
          <w:rFonts w:asciiTheme="minorHAnsi" w:eastAsiaTheme="minorEastAsia" w:hAnsiTheme="minorHAnsi" w:cstheme="minorBidi"/>
          <w:noProof/>
          <w:sz w:val="22"/>
          <w:szCs w:val="22"/>
          <w:lang w:eastAsia="en-GB"/>
        </w:rPr>
      </w:pPr>
      <w:hyperlink w:anchor="_Toc413156279" w:history="1">
        <w:r>
          <w:rPr>
            <w:rStyle w:val="Hyperlink"/>
            <w:noProof/>
            <w:lang w:val="ro-RO"/>
          </w:rPr>
          <w:t>7.4.</w:t>
        </w:r>
        <w:r>
          <w:rPr>
            <w:rFonts w:asciiTheme="minorHAnsi" w:eastAsiaTheme="minorEastAsia" w:hAnsiTheme="minorHAnsi" w:cstheme="minorBidi"/>
            <w:noProof/>
            <w:sz w:val="22"/>
            <w:szCs w:val="22"/>
            <w:lang w:eastAsia="en-GB"/>
          </w:rPr>
          <w:tab/>
        </w:r>
        <w:r>
          <w:rPr>
            <w:rStyle w:val="Hyperlink"/>
            <w:noProof/>
            <w:lang w:val="ro-RO"/>
          </w:rPr>
          <w:t>Dezvoltarea capacităților</w:t>
        </w:r>
        <w:r>
          <w:rPr>
            <w:noProof/>
            <w:webHidden/>
          </w:rPr>
          <w:tab/>
        </w:r>
        <w:r>
          <w:rPr>
            <w:noProof/>
            <w:webHidden/>
          </w:rPr>
          <w:fldChar w:fldCharType="begin"/>
        </w:r>
        <w:r>
          <w:rPr>
            <w:noProof/>
            <w:webHidden/>
          </w:rPr>
          <w:instrText xml:space="preserve"> PAGEREF _Toc413156279 \h </w:instrText>
        </w:r>
        <w:r>
          <w:rPr>
            <w:noProof/>
            <w:webHidden/>
          </w:rPr>
        </w:r>
        <w:r>
          <w:rPr>
            <w:noProof/>
            <w:webHidden/>
          </w:rPr>
          <w:fldChar w:fldCharType="separate"/>
        </w:r>
        <w:r>
          <w:rPr>
            <w:noProof/>
            <w:webHidden/>
          </w:rPr>
          <w:t>12</w:t>
        </w:r>
        <w:r>
          <w:rPr>
            <w:noProof/>
            <w:webHidden/>
          </w:rPr>
          <w:fldChar w:fldCharType="end"/>
        </w:r>
      </w:hyperlink>
    </w:p>
    <w:p w:rsidR="000A45DE" w:rsidRDefault="00C07CCA">
      <w:pPr>
        <w:pStyle w:val="TOC1"/>
        <w:rPr>
          <w:rFonts w:asciiTheme="minorHAnsi" w:eastAsiaTheme="minorEastAsia" w:hAnsiTheme="minorHAnsi" w:cstheme="minorBidi"/>
          <w:noProof/>
          <w:sz w:val="22"/>
          <w:szCs w:val="22"/>
          <w:lang w:eastAsia="en-GB"/>
        </w:rPr>
      </w:pPr>
      <w:hyperlink w:anchor="_Toc413156280" w:history="1">
        <w:r>
          <w:rPr>
            <w:rStyle w:val="Hyperlink"/>
            <w:noProof/>
            <w:lang w:val="ro-RO"/>
          </w:rPr>
          <w:t>8.</w:t>
        </w:r>
        <w:r>
          <w:rPr>
            <w:rFonts w:asciiTheme="minorHAnsi" w:eastAsiaTheme="minorEastAsia" w:hAnsiTheme="minorHAnsi" w:cstheme="minorBidi"/>
            <w:noProof/>
            <w:sz w:val="22"/>
            <w:szCs w:val="22"/>
            <w:lang w:eastAsia="en-GB"/>
          </w:rPr>
          <w:tab/>
        </w:r>
        <w:r>
          <w:rPr>
            <w:rStyle w:val="Hyperlink"/>
            <w:noProof/>
            <w:lang w:val="ro-RO"/>
          </w:rPr>
          <w:t>Mobilizarea altor politici ale UE</w:t>
        </w:r>
        <w:r>
          <w:rPr>
            <w:noProof/>
            <w:webHidden/>
          </w:rPr>
          <w:tab/>
        </w:r>
        <w:r>
          <w:rPr>
            <w:noProof/>
            <w:webHidden/>
          </w:rPr>
          <w:fldChar w:fldCharType="begin"/>
        </w:r>
        <w:r>
          <w:rPr>
            <w:noProof/>
            <w:webHidden/>
          </w:rPr>
          <w:instrText xml:space="preserve"> PAGEREF _Toc413156280 \h </w:instrText>
        </w:r>
        <w:r>
          <w:rPr>
            <w:noProof/>
            <w:webHidden/>
          </w:rPr>
        </w:r>
        <w:r>
          <w:rPr>
            <w:noProof/>
            <w:webHidden/>
          </w:rPr>
          <w:fldChar w:fldCharType="separate"/>
        </w:r>
        <w:r>
          <w:rPr>
            <w:noProof/>
            <w:webHidden/>
          </w:rPr>
          <w:t>12</w:t>
        </w:r>
        <w:r>
          <w:rPr>
            <w:noProof/>
            <w:webHidden/>
          </w:rPr>
          <w:fldChar w:fldCharType="end"/>
        </w:r>
      </w:hyperlink>
    </w:p>
    <w:p w:rsidR="000A45DE" w:rsidRDefault="00C07CCA">
      <w:pPr>
        <w:pStyle w:val="TOC1"/>
        <w:rPr>
          <w:rFonts w:asciiTheme="minorHAnsi" w:eastAsiaTheme="minorEastAsia" w:hAnsiTheme="minorHAnsi" w:cstheme="minorBidi"/>
          <w:noProof/>
          <w:sz w:val="22"/>
          <w:szCs w:val="22"/>
          <w:lang w:eastAsia="en-GB"/>
        </w:rPr>
      </w:pPr>
      <w:hyperlink w:anchor="_Toc413156281" w:history="1">
        <w:r>
          <w:rPr>
            <w:rStyle w:val="Hyperlink"/>
            <w:noProof/>
            <w:lang w:val="ro-RO"/>
          </w:rPr>
          <w:t>9.</w:t>
        </w:r>
        <w:r>
          <w:rPr>
            <w:rFonts w:asciiTheme="minorHAnsi" w:eastAsiaTheme="minorEastAsia" w:hAnsiTheme="minorHAnsi" w:cstheme="minorBidi"/>
            <w:noProof/>
            <w:sz w:val="22"/>
            <w:szCs w:val="22"/>
            <w:lang w:eastAsia="en-GB"/>
          </w:rPr>
          <w:tab/>
        </w:r>
        <w:r>
          <w:rPr>
            <w:rStyle w:val="Hyperlink"/>
            <w:noProof/>
            <w:lang w:val="ro-RO"/>
          </w:rPr>
          <w:t>Următoarele etape</w:t>
        </w:r>
        <w:r>
          <w:rPr>
            <w:noProof/>
            <w:webHidden/>
          </w:rPr>
          <w:tab/>
        </w:r>
        <w:r>
          <w:rPr>
            <w:noProof/>
            <w:webHidden/>
          </w:rPr>
          <w:fldChar w:fldCharType="begin"/>
        </w:r>
        <w:r>
          <w:rPr>
            <w:noProof/>
            <w:webHidden/>
          </w:rPr>
          <w:instrText xml:space="preserve"> PAGEREF _Toc413156281 \h </w:instrText>
        </w:r>
        <w:r>
          <w:rPr>
            <w:noProof/>
            <w:webHidden/>
          </w:rPr>
        </w:r>
        <w:r>
          <w:rPr>
            <w:noProof/>
            <w:webHidden/>
          </w:rPr>
          <w:fldChar w:fldCharType="separate"/>
        </w:r>
        <w:r>
          <w:rPr>
            <w:noProof/>
            <w:webHidden/>
          </w:rPr>
          <w:t>14</w:t>
        </w:r>
        <w:r>
          <w:rPr>
            <w:noProof/>
            <w:webHidden/>
          </w:rPr>
          <w:fldChar w:fldCharType="end"/>
        </w:r>
      </w:hyperlink>
    </w:p>
    <w:p w:rsidR="000A45DE" w:rsidRDefault="00C07CCA">
      <w:pPr>
        <w:rPr>
          <w:noProof/>
          <w:lang w:val="ro-RO"/>
        </w:rPr>
      </w:pPr>
      <w:r>
        <w:rPr>
          <w:b/>
          <w:bCs/>
          <w:noProof/>
          <w:lang w:val="ro-RO"/>
        </w:rPr>
        <w:fldChar w:fldCharType="end"/>
      </w:r>
    </w:p>
    <w:p w:rsidR="000A45DE" w:rsidRDefault="000A45DE">
      <w:pPr>
        <w:rPr>
          <w:noProof/>
          <w:lang w:val="ro-RO"/>
        </w:rPr>
        <w:sectPr w:rsidR="000A45DE">
          <w:headerReference w:type="even" r:id="rId16"/>
          <w:headerReference w:type="default" r:id="rId17"/>
          <w:footerReference w:type="even" r:id="rId18"/>
          <w:footerReference w:type="default" r:id="rId19"/>
          <w:headerReference w:type="first" r:id="rId20"/>
          <w:footerReference w:type="first" r:id="rId21"/>
          <w:pgSz w:w="11907" w:h="16839"/>
          <w:pgMar w:top="1440" w:right="1440" w:bottom="1440" w:left="1440" w:header="720" w:footer="720" w:gutter="0"/>
          <w:cols w:space="720"/>
          <w:docGrid w:linePitch="326"/>
        </w:sectPr>
      </w:pPr>
    </w:p>
    <w:p w:rsidR="000A45DE" w:rsidRDefault="00C07CCA">
      <w:pPr>
        <w:pStyle w:val="ManualHeading1"/>
        <w:rPr>
          <w:noProof/>
          <w:lang w:val="ro-RO"/>
        </w:rPr>
      </w:pPr>
      <w:bookmarkStart w:id="38" w:name="_Toc412130091"/>
      <w:bookmarkStart w:id="39" w:name="_Toc412815085"/>
      <w:bookmarkStart w:id="40" w:name="_Toc413156267"/>
      <w:bookmarkEnd w:id="36"/>
      <w:r w:rsidRPr="00C07CCA">
        <w:rPr>
          <w:lang w:val="ro-RO"/>
        </w:rPr>
        <w:lastRenderedPageBreak/>
        <w:t>1.</w:t>
      </w:r>
      <w:r w:rsidRPr="00C07CCA">
        <w:rPr>
          <w:lang w:val="ro-RO"/>
        </w:rPr>
        <w:tab/>
      </w:r>
      <w:r>
        <w:rPr>
          <w:noProof/>
          <w:lang w:val="ro-RO"/>
        </w:rPr>
        <w:t>Rezumat</w:t>
      </w:r>
      <w:bookmarkEnd w:id="38"/>
      <w:bookmarkEnd w:id="39"/>
      <w:bookmarkEnd w:id="40"/>
    </w:p>
    <w:p w:rsidR="000A45DE" w:rsidRDefault="00C07CCA">
      <w:pPr>
        <w:rPr>
          <w:noProof/>
          <w:lang w:val="ro-RO"/>
        </w:rPr>
      </w:pPr>
      <w:r>
        <w:rPr>
          <w:noProof/>
          <w:lang w:val="ro-RO"/>
        </w:rPr>
        <w:t xml:space="preserve">Potrivit celor mai recente constatări făcute de Grupul interguvernamental privind schimbările climatice (IPCC), în lipsa unor măsuri imediate, schimbările </w:t>
      </w:r>
      <w:r>
        <w:rPr>
          <w:noProof/>
          <w:lang w:val="ro-RO"/>
        </w:rPr>
        <w:t>climatice vor avea consecințe grave, generalizate și ireversibile pentru toți oamenii și toate ecosistemele din lume. Pentru a limita creșterea temperaturii medii globale la mai puțin de 2 °C în comparație cu nivelurile din perioada preindustrială (obiecti</w:t>
      </w:r>
      <w:r>
        <w:rPr>
          <w:noProof/>
          <w:lang w:val="ro-RO"/>
        </w:rPr>
        <w:t>vul „sub 2 °C”) și pentru a evita astfel o evoluție periculoasă, toate țările vor trebui să-și reducă în mod considerabil și durabil emisiile de gaze cu efect de seră.</w:t>
      </w:r>
    </w:p>
    <w:p w:rsidR="000A45DE" w:rsidRDefault="00C07CCA">
      <w:pPr>
        <w:rPr>
          <w:noProof/>
          <w:lang w:val="ro-RO"/>
        </w:rPr>
      </w:pPr>
      <w:r>
        <w:rPr>
          <w:noProof/>
          <w:lang w:val="ro-RO"/>
        </w:rPr>
        <w:t>Această tranziție globală către niveluri scăzute de emisii poate fi realizată fără a adu</w:t>
      </w:r>
      <w:r>
        <w:rPr>
          <w:noProof/>
          <w:lang w:val="ro-RO"/>
        </w:rPr>
        <w:t xml:space="preserve">ce atingere creșterii economice și creării de locuri de muncă și poate oferi oportunități semnificative de a revitaliza economiile în Europa și în restul lumii. De asemenea, acțiunile de combatere a schimbărilor climatice vor contribui în mod semnificativ </w:t>
      </w:r>
      <w:r>
        <w:rPr>
          <w:noProof/>
          <w:lang w:val="ro-RO"/>
        </w:rPr>
        <w:t>la bunăstarea publică. Dacă amânăm această tranziție, nu vom face altceva decât să creștem costurile globale și să limităm opțiunile menite să asigure o reducere eficientă a emisiilor și să ne permită să ne pregătim pentru efectele schimbărilor climatice.</w:t>
      </w:r>
    </w:p>
    <w:p w:rsidR="000A45DE" w:rsidRDefault="00C07CCA">
      <w:pPr>
        <w:rPr>
          <w:noProof/>
          <w:lang w:val="ro-RO"/>
        </w:rPr>
      </w:pPr>
      <w:r>
        <w:rPr>
          <w:noProof/>
          <w:lang w:val="ro-RO"/>
        </w:rPr>
        <w:t>Toate țările trebuie să acționeze de urgență și în mod colectiv. Începând din 1994, părțile la Convenția-cadru a Organizației Națiunilor Unite asupra schimbărilor climatice (CCONUSC) lucrează în această direcție: peste 90 de țări dezvoltate și în curs de d</w:t>
      </w:r>
      <w:r>
        <w:rPr>
          <w:noProof/>
          <w:lang w:val="ro-RO"/>
        </w:rPr>
        <w:t>ezvoltare s-au angajat să își reducă emisiile până în 2020. Însă, întrucât aceste angajamente nu sunt suficiente pentru a atinge obiectivul „sub 2 °C”</w:t>
      </w:r>
      <w:r>
        <w:rPr>
          <w:rStyle w:val="FootnoteReference"/>
          <w:noProof/>
          <w:lang w:val="ro-RO"/>
        </w:rPr>
        <w:footnoteReference w:id="2"/>
      </w:r>
      <w:r>
        <w:rPr>
          <w:noProof/>
          <w:lang w:val="ro-RO"/>
        </w:rPr>
        <w:t>, în 2012, părțile la CCONUSC au lansat negocieri privind încheierea unui nou acord obligatoriu din punct</w:t>
      </w:r>
      <w:r>
        <w:rPr>
          <w:noProof/>
          <w:lang w:val="ro-RO"/>
        </w:rPr>
        <w:t xml:space="preserve"> de vedere juridic aplicabil tuturor părților, care va pune lumea pe calea cea bună pentru atingerea acestui obiectiv. Acordul din 2015 urmează să fie finalizat la Paris în decembrie 2015 și să fie pus în aplicare începând cu 2020.</w:t>
      </w:r>
    </w:p>
    <w:p w:rsidR="000A45DE" w:rsidRDefault="00C07CCA">
      <w:pPr>
        <w:rPr>
          <w:noProof/>
          <w:lang w:val="ro-RO"/>
        </w:rPr>
      </w:pPr>
      <w:r>
        <w:rPr>
          <w:noProof/>
          <w:lang w:val="ro-RO"/>
        </w:rPr>
        <w:t xml:space="preserve">Progresele înregistrate </w:t>
      </w:r>
      <w:r>
        <w:rPr>
          <w:noProof/>
          <w:lang w:val="ro-RO"/>
        </w:rPr>
        <w:t>cu ocazia recentei conferințe de la Lima privind schimbările climatice ar trebui să faciliteze încheierea unui acord solid la Paris. Mai mult, s-a decis că țările trebuie să-și formuleze și să comunice obiectivele propuse de reducere a emisiilor, cu mult t</w:t>
      </w:r>
      <w:r>
        <w:rPr>
          <w:noProof/>
          <w:lang w:val="ro-RO"/>
        </w:rPr>
        <w:t>imp înainte de conferința de la Paris. Un prim proiect de text complet al acordului din 2015 a fost deja elaborat, reflectând pozițiile tuturor părților cu privire la toate elementele aflate în curs de negociere.</w:t>
      </w:r>
    </w:p>
    <w:p w:rsidR="000A45DE" w:rsidRDefault="00C07CCA">
      <w:pPr>
        <w:rPr>
          <w:noProof/>
          <w:color w:val="0D0D0D"/>
          <w:lang w:val="ro-RO"/>
        </w:rPr>
      </w:pPr>
      <w:r>
        <w:rPr>
          <w:noProof/>
          <w:lang w:val="ro-RO"/>
        </w:rPr>
        <w:t>Cu mult înainte de conferința de la Lima, U</w:t>
      </w:r>
      <w:r>
        <w:rPr>
          <w:noProof/>
          <w:lang w:val="ro-RO"/>
        </w:rPr>
        <w:t xml:space="preserve">E a dat dovadă de voință politică și de hotărâre în vederea combaterii schimbărilor climatice la nivel mondial. La summitul european din octombrie 2014, liderii europeni au convenit că UE ar trebui să își intensifice eforturile și să-și reducă emisiile pe </w:t>
      </w:r>
      <w:r>
        <w:rPr>
          <w:noProof/>
          <w:lang w:val="ro-RO"/>
        </w:rPr>
        <w:t>plan intern cu cel puțin 40 % până în 2030, comparativ cu 1990. Au urmat anunțuri făcute de China și SUA. La Lima, statele membre ale UE s-au angajat să verse aproximativ jumătate din capitalizarea inițială de 10 miliarde de dolari la Fondul verde pentru c</w:t>
      </w:r>
      <w:r>
        <w:rPr>
          <w:noProof/>
          <w:lang w:val="ro-RO"/>
        </w:rPr>
        <w:t xml:space="preserve">limă (GCF), pentru a ajuta țările în curs de dezvoltare. În cadrul UE, a fost adoptat un nou plan de investiții </w:t>
      </w:r>
      <w:r>
        <w:rPr>
          <w:noProof/>
          <w:color w:val="0D0D0D"/>
          <w:lang w:val="ro-RO"/>
        </w:rPr>
        <w:t>care va injecta în economia reală cel puțin 315 miliarde EUR sub formă de investiții publice și private în următorii trei ani (2015-2017). Acest</w:t>
      </w:r>
      <w:r>
        <w:rPr>
          <w:noProof/>
          <w:color w:val="0D0D0D"/>
          <w:lang w:val="ro-RO"/>
        </w:rPr>
        <w:t>e investiții vor contribui la modernizarea și la decarbonizarea economiei UE.</w:t>
      </w:r>
    </w:p>
    <w:p w:rsidR="000A45DE" w:rsidRDefault="00C07CCA">
      <w:pPr>
        <w:rPr>
          <w:noProof/>
          <w:lang w:val="ro-RO"/>
        </w:rPr>
      </w:pPr>
      <w:r>
        <w:rPr>
          <w:noProof/>
          <w:lang w:val="ro-RO"/>
        </w:rPr>
        <w:lastRenderedPageBreak/>
        <w:t>Prezenta comunicare constituie un răspuns la deciziile luate la Lima și reprezintă un element-cheie în implementarea priorității Comisiei de a construi o Uniune a energiei rezist</w:t>
      </w:r>
      <w:r>
        <w:rPr>
          <w:noProof/>
          <w:lang w:val="ro-RO"/>
        </w:rPr>
        <w:t>entă, cu o politică orientată spre viitor în privința schimbărilor climatice, care să urmeze direcția trasată în orientările politice ale președintelui Comisiei. Acest document pregătește UE pentru ultima rundă de negocieri care va avea loc înainte de Conf</w:t>
      </w:r>
      <w:r>
        <w:rPr>
          <w:noProof/>
          <w:lang w:val="ro-RO"/>
        </w:rPr>
        <w:t xml:space="preserve">erința de la Paris din decembrie 2015. </w:t>
      </w:r>
    </w:p>
    <w:p w:rsidR="000A45DE" w:rsidRDefault="00C07CCA">
      <w:pPr>
        <w:rPr>
          <w:noProof/>
          <w:lang w:val="ro-RO"/>
        </w:rPr>
      </w:pPr>
      <w:r>
        <w:rPr>
          <w:noProof/>
          <w:lang w:val="ro-RO"/>
        </w:rPr>
        <w:t xml:space="preserve">În special, prezenta comunicare: </w:t>
      </w:r>
    </w:p>
    <w:p w:rsidR="000A45DE" w:rsidRDefault="00C07CCA">
      <w:pPr>
        <w:numPr>
          <w:ilvl w:val="0"/>
          <w:numId w:val="46"/>
        </w:numPr>
        <w:rPr>
          <w:noProof/>
          <w:lang w:val="ro-RO"/>
        </w:rPr>
      </w:pPr>
      <w:r>
        <w:rPr>
          <w:noProof/>
          <w:lang w:val="ro-RO"/>
        </w:rPr>
        <w:t>transpune decizia luată la summitul european din octombrie 2014 într-un obiectiv de emisii pentru UE - contribuția sa preconizată stabilită la nivel național (INDC) urmează să fie pr</w:t>
      </w:r>
      <w:r>
        <w:rPr>
          <w:noProof/>
          <w:lang w:val="ro-RO"/>
        </w:rPr>
        <w:t>ezentată până la sfârșitul primului trimestru al anului 2015;</w:t>
      </w:r>
    </w:p>
    <w:p w:rsidR="000A45DE" w:rsidRDefault="00C07CCA">
      <w:pPr>
        <w:numPr>
          <w:ilvl w:val="0"/>
          <w:numId w:val="46"/>
        </w:numPr>
        <w:rPr>
          <w:noProof/>
          <w:lang w:val="ro-RO"/>
        </w:rPr>
      </w:pPr>
      <w:r>
        <w:rPr>
          <w:noProof/>
          <w:lang w:val="ro-RO"/>
        </w:rPr>
        <w:t>propune ca toate părțile la CCONUSC să își prezinte INDC-urile cu mult înainte de Conferința de la Paris. China, SUA și alte țări G20, precum și țări cu venituri medii și ridicate ar trebui să f</w:t>
      </w:r>
      <w:r>
        <w:rPr>
          <w:noProof/>
          <w:lang w:val="ro-RO"/>
        </w:rPr>
        <w:t>ie în măsură să facă acest lucru în primul trimestru al anului 2015. Ar trebui să se prevadă o mai mare flexibilitate pentru țările cel mai puțin dezvoltate (LDC);</w:t>
      </w:r>
    </w:p>
    <w:p w:rsidR="000A45DE" w:rsidRDefault="00C07CCA">
      <w:pPr>
        <w:numPr>
          <w:ilvl w:val="0"/>
          <w:numId w:val="46"/>
        </w:numPr>
        <w:rPr>
          <w:noProof/>
          <w:lang w:val="ro-RO"/>
        </w:rPr>
      </w:pPr>
      <w:r>
        <w:rPr>
          <w:noProof/>
          <w:lang w:val="ro-RO"/>
        </w:rPr>
        <w:t>stabilește o viziune pentru un acord transparent, dinamic și obligatoriu din punct de vedere</w:t>
      </w:r>
      <w:r>
        <w:rPr>
          <w:noProof/>
          <w:lang w:val="ro-RO"/>
        </w:rPr>
        <w:t xml:space="preserve"> juridic, care să conțină angajamente echitabile și ambițioase din partea tuturor părților, într-un context economic și geopolitic global în continuă evoluție. Datorită acestor angajamente cumulate, care se bazează pe dovezi științifice, planeta noastră ar</w:t>
      </w:r>
      <w:r>
        <w:rPr>
          <w:noProof/>
          <w:lang w:val="ro-RO"/>
        </w:rPr>
        <w:t xml:space="preserve"> trebui să fie în măsură să-și reducă emisiile globale cu cel puțin 60 % până în 2050, față de nivelurile din 2010. Dacă va exista un decalaj între nivelul de ambiție stabilit la Paris și nivelul necesar de reducere a emisiilor, această problemă va trebui </w:t>
      </w:r>
      <w:r>
        <w:rPr>
          <w:noProof/>
          <w:lang w:val="ro-RO"/>
        </w:rPr>
        <w:t>remediată prin elaborarea unui program de lucru care va începe în 2016, în strânsă colaborare cu GCF, pentru a identifica măsuri suplimentare de reducere a emisiilor;</w:t>
      </w:r>
    </w:p>
    <w:p w:rsidR="000A45DE" w:rsidRDefault="00C07CCA">
      <w:pPr>
        <w:numPr>
          <w:ilvl w:val="0"/>
          <w:numId w:val="46"/>
        </w:numPr>
        <w:rPr>
          <w:noProof/>
          <w:lang w:val="ro-RO"/>
        </w:rPr>
      </w:pPr>
      <w:r>
        <w:rPr>
          <w:noProof/>
          <w:lang w:val="ro-RO"/>
        </w:rPr>
        <w:t>propune ca acordul din 2015 să fie sub forma unui Protocol în temeiul CCONUSC. Economiile</w:t>
      </w:r>
      <w:r>
        <w:rPr>
          <w:noProof/>
          <w:lang w:val="ro-RO"/>
        </w:rPr>
        <w:t xml:space="preserve"> mari, în special UE, China și SUA, vor trebui să facă dovadă de voință politică prin aderarea la Protocol cât mai curând. Acesta ar trebui să intre în vigoare de îndată ce va fi ratificat de țările care reprezintă colectiv 80 % din totalul emisiilor la sc</w:t>
      </w:r>
      <w:r>
        <w:rPr>
          <w:noProof/>
          <w:lang w:val="ro-RO"/>
        </w:rPr>
        <w:t>ară globală. În temeiul noului Protocol, fondurile, precum și dezvoltarea și transferul de tehnologii privind combaterea schimbărilor climatice, alături de consolidarea capacităților, ar trebui să favorizeze participarea tuturor țărilor și punerea în aplic</w:t>
      </w:r>
      <w:r>
        <w:rPr>
          <w:noProof/>
          <w:lang w:val="ro-RO"/>
        </w:rPr>
        <w:t>are eficientă și eficace a unor strategii în vederea reducerii emisiilor și adaptării la efectele adverse ale schimbărilor climatice;</w:t>
      </w:r>
    </w:p>
    <w:p w:rsidR="000A45DE" w:rsidRDefault="00C07CCA">
      <w:pPr>
        <w:numPr>
          <w:ilvl w:val="0"/>
          <w:numId w:val="46"/>
        </w:numPr>
        <w:rPr>
          <w:noProof/>
          <w:lang w:val="ro-RO"/>
        </w:rPr>
      </w:pPr>
      <w:r>
        <w:rPr>
          <w:noProof/>
          <w:lang w:val="ro-RO"/>
        </w:rPr>
        <w:t>subliniază faptul că Organizația Aviației Civile Internaționale (OACI), Organizația Maritimă Internațională (OMI) și Proto</w:t>
      </w:r>
      <w:r>
        <w:rPr>
          <w:noProof/>
          <w:lang w:val="ro-RO"/>
        </w:rPr>
        <w:t>colul de la Montreal ar trebui să acționeze pentru a reglementa în mod eficient emisiile generate de transportul aerian și maritim internațional și de producția și consumul de gaze fluorurate înainte de sfârșitul anului 2016;</w:t>
      </w:r>
    </w:p>
    <w:p w:rsidR="000A45DE" w:rsidRDefault="00C07CCA">
      <w:pPr>
        <w:numPr>
          <w:ilvl w:val="0"/>
          <w:numId w:val="46"/>
        </w:numPr>
        <w:rPr>
          <w:noProof/>
          <w:lang w:val="ro-RO"/>
        </w:rPr>
      </w:pPr>
      <w:r>
        <w:rPr>
          <w:noProof/>
          <w:lang w:val="ro-RO"/>
        </w:rPr>
        <w:t>evidențiază modul în care alte politici ale UE, precum comerțul, cercetarea științifică, inovarea și cooperarea tehnologică, cooperarea economică și ajutorul pentru dezvoltare, reducerea riscurilor de dezastre și mediul, ar putea consolida politica interna</w:t>
      </w:r>
      <w:r>
        <w:rPr>
          <w:noProof/>
          <w:lang w:val="ro-RO"/>
        </w:rPr>
        <w:t xml:space="preserve">țională a UE în domeniul climei; </w:t>
      </w:r>
    </w:p>
    <w:p w:rsidR="000A45DE" w:rsidRDefault="00C07CCA">
      <w:pPr>
        <w:numPr>
          <w:ilvl w:val="0"/>
          <w:numId w:val="46"/>
        </w:numPr>
        <w:rPr>
          <w:noProof/>
          <w:lang w:val="ro-RO"/>
        </w:rPr>
      </w:pPr>
      <w:r>
        <w:rPr>
          <w:noProof/>
          <w:lang w:val="ro-RO"/>
        </w:rPr>
        <w:t xml:space="preserve">este însoțită de un plan de acțiune privind diplomația în domeniul climei, elaborat în comun de Serviciul European de Acțiune Externă și de Comisie. Acest plan are ca scop să lărgească aria de acțiune a UE și să-i permită </w:t>
      </w:r>
      <w:r>
        <w:rPr>
          <w:noProof/>
          <w:lang w:val="ro-RO"/>
        </w:rPr>
        <w:t>să construiască alianțe cu parteneri internaționali ambițioși în perioada premergătoare conferinței de la Paris.</w:t>
      </w:r>
    </w:p>
    <w:p w:rsidR="000A45DE" w:rsidRDefault="00C07CCA">
      <w:pPr>
        <w:rPr>
          <w:noProof/>
          <w:lang w:val="ro-RO"/>
        </w:rPr>
      </w:pPr>
      <w:r>
        <w:rPr>
          <w:noProof/>
          <w:lang w:val="ro-RO"/>
        </w:rPr>
        <w:t>Unele aspecte ale acestei comunicări sunt prezentate în detaliu în documentul de lucru al serviciilor Comisiei care însoțește comunicarea.</w:t>
      </w:r>
    </w:p>
    <w:p w:rsidR="000A45DE" w:rsidRDefault="00C07CCA">
      <w:pPr>
        <w:pStyle w:val="ManualHeading1"/>
        <w:rPr>
          <w:noProof/>
          <w:lang w:val="ro-RO"/>
        </w:rPr>
      </w:pPr>
      <w:bookmarkStart w:id="41" w:name="_Toc409641550"/>
      <w:bookmarkStart w:id="42" w:name="_Toc412130092"/>
      <w:bookmarkStart w:id="43" w:name="_Toc412815086"/>
      <w:bookmarkStart w:id="44" w:name="_Toc413156268"/>
      <w:r w:rsidRPr="00C07CCA">
        <w:rPr>
          <w:lang w:val="ro-RO"/>
        </w:rPr>
        <w:t>2.</w:t>
      </w:r>
      <w:r w:rsidRPr="00C07CCA">
        <w:rPr>
          <w:lang w:val="ro-RO"/>
        </w:rPr>
        <w:tab/>
      </w:r>
      <w:r>
        <w:rPr>
          <w:noProof/>
          <w:lang w:val="ro-RO"/>
        </w:rPr>
        <w:t>P</w:t>
      </w:r>
      <w:r>
        <w:rPr>
          <w:noProof/>
          <w:lang w:val="ro-RO"/>
        </w:rPr>
        <w:t>rotocolul de la Paris</w:t>
      </w:r>
      <w:bookmarkEnd w:id="41"/>
      <w:bookmarkEnd w:id="42"/>
      <w:bookmarkEnd w:id="43"/>
      <w:bookmarkEnd w:id="44"/>
    </w:p>
    <w:p w:rsidR="000A45DE" w:rsidRDefault="00C07CCA">
      <w:pPr>
        <w:rPr>
          <w:noProof/>
          <w:lang w:val="ro-RO"/>
        </w:rPr>
      </w:pPr>
      <w:r>
        <w:rPr>
          <w:noProof/>
          <w:lang w:val="ro-RO"/>
        </w:rPr>
        <w:t>Pentru a favoriza o acțiune colectivă în baza constatărilor făcute de IPCC, Protocolul de la Paris trebuie să permită îndeplinirea următoarelor obiective:</w:t>
      </w:r>
    </w:p>
    <w:p w:rsidR="000A45DE" w:rsidRDefault="00C07CCA">
      <w:pPr>
        <w:numPr>
          <w:ilvl w:val="0"/>
          <w:numId w:val="46"/>
        </w:numPr>
        <w:rPr>
          <w:noProof/>
          <w:lang w:val="ro-RO"/>
        </w:rPr>
      </w:pPr>
      <w:r>
        <w:rPr>
          <w:noProof/>
          <w:lang w:val="ro-RO"/>
        </w:rPr>
        <w:t>garantarea unor reduceri ambițioase de emisii prin:</w:t>
      </w:r>
    </w:p>
    <w:p w:rsidR="000A45DE" w:rsidRDefault="00C07CCA">
      <w:pPr>
        <w:numPr>
          <w:ilvl w:val="1"/>
          <w:numId w:val="37"/>
        </w:numPr>
        <w:spacing w:before="240" w:after="0"/>
        <w:rPr>
          <w:noProof/>
          <w:lang w:val="ro-RO"/>
        </w:rPr>
      </w:pPr>
      <w:r>
        <w:rPr>
          <w:noProof/>
          <w:lang w:val="ro-RO"/>
        </w:rPr>
        <w:t>stipularea faptului că obie</w:t>
      </w:r>
      <w:r>
        <w:rPr>
          <w:noProof/>
          <w:lang w:val="ro-RO"/>
        </w:rPr>
        <w:t>ctivul pe termen lung ar trebui să fie reducerea emisiilor globale cu cel puțin 60 % față de nivelurile din 2010, până în 2050</w:t>
      </w:r>
      <w:r>
        <w:rPr>
          <w:rStyle w:val="FootnoteReference"/>
          <w:noProof/>
          <w:lang w:val="ro-RO"/>
        </w:rPr>
        <w:footnoteReference w:id="3"/>
      </w:r>
      <w:r>
        <w:rPr>
          <w:noProof/>
          <w:lang w:val="ro-RO"/>
        </w:rPr>
        <w:t xml:space="preserve">; </w:t>
      </w:r>
    </w:p>
    <w:p w:rsidR="000A45DE" w:rsidRDefault="00C07CCA">
      <w:pPr>
        <w:numPr>
          <w:ilvl w:val="1"/>
          <w:numId w:val="37"/>
        </w:numPr>
        <w:spacing w:before="240" w:after="0"/>
        <w:rPr>
          <w:noProof/>
          <w:lang w:val="ro-RO"/>
        </w:rPr>
      </w:pPr>
      <w:r>
        <w:rPr>
          <w:noProof/>
          <w:lang w:val="ro-RO"/>
        </w:rPr>
        <w:t>formularea, în acest context, de angajamente de atenuare clare, specifice, ambițioase și obligatorii din punct de vedere jurid</w:t>
      </w:r>
      <w:r>
        <w:rPr>
          <w:noProof/>
          <w:lang w:val="ro-RO"/>
        </w:rPr>
        <w:t>ic, care să permită tuturor țărilor să atingă obiectivul de limitare a încălzirii globale sub 2 °C. Aceste angajamente trebuie să fie compatibile cu principiile CCONUSC aplicate în funcție de evoluția responsabilităților, a capacităților și a circumstanțel</w:t>
      </w:r>
      <w:r>
        <w:rPr>
          <w:noProof/>
          <w:lang w:val="ro-RO"/>
        </w:rPr>
        <w:t>or naționale diferite;</w:t>
      </w:r>
    </w:p>
    <w:p w:rsidR="000A45DE" w:rsidRDefault="00C07CCA">
      <w:pPr>
        <w:numPr>
          <w:ilvl w:val="0"/>
          <w:numId w:val="46"/>
        </w:numPr>
        <w:rPr>
          <w:noProof/>
          <w:lang w:val="ro-RO"/>
        </w:rPr>
      </w:pPr>
      <w:r>
        <w:rPr>
          <w:noProof/>
          <w:lang w:val="ro-RO"/>
        </w:rPr>
        <w:t xml:space="preserve">garantarea dinamismului, prin prevederea unei revizuiri globale, care să fie efectuată o dată la cinci ani, pentru a consolida nivelul de ambiție al acestor angajamente de atenuare în funcție de cele mai recente date științifice; </w:t>
      </w:r>
    </w:p>
    <w:p w:rsidR="000A45DE" w:rsidRDefault="00C07CCA">
      <w:pPr>
        <w:numPr>
          <w:ilvl w:val="0"/>
          <w:numId w:val="46"/>
        </w:numPr>
        <w:rPr>
          <w:noProof/>
          <w:lang w:val="ro-RO"/>
        </w:rPr>
      </w:pPr>
      <w:r>
        <w:rPr>
          <w:noProof/>
          <w:lang w:val="ro-RO"/>
        </w:rPr>
        <w:t>cr</w:t>
      </w:r>
      <w:r>
        <w:rPr>
          <w:noProof/>
          <w:lang w:val="ro-RO"/>
        </w:rPr>
        <w:t>eșterea transparenței și responsabilității, pentru a se putea evalua dacă obiectivele de reducere au fost atinse și dacă angajamentele aferente au fost respectate. Trebuie stabilit un set comun de reguli și proceduri pentru raportarea anuală, verificarea p</w:t>
      </w:r>
      <w:r>
        <w:rPr>
          <w:noProof/>
          <w:lang w:val="ro-RO"/>
        </w:rPr>
        <w:t>eriodică și examinarea inventarelor de emisii de către experți internaționali;</w:t>
      </w:r>
    </w:p>
    <w:p w:rsidR="000A45DE" w:rsidRDefault="00C07CCA">
      <w:pPr>
        <w:numPr>
          <w:ilvl w:val="0"/>
          <w:numId w:val="46"/>
        </w:numPr>
        <w:rPr>
          <w:noProof/>
          <w:lang w:val="ro-RO"/>
        </w:rPr>
      </w:pPr>
      <w:r>
        <w:rPr>
          <w:noProof/>
          <w:lang w:val="ro-RO"/>
        </w:rPr>
        <w:t>încurajarea unei dezvoltări durabile rezistente la schimbările climatice, prin promovarea cooperării internaționale și prin sprijinirea de politici care să permită reducerea vul</w:t>
      </w:r>
      <w:r>
        <w:rPr>
          <w:noProof/>
          <w:lang w:val="ro-RO"/>
        </w:rPr>
        <w:t xml:space="preserve">nerabilității și îmbunătățirea capacității țărilor de a se adapta la efectele schimbărilor climatice; </w:t>
      </w:r>
    </w:p>
    <w:p w:rsidR="000A45DE" w:rsidRDefault="00C07CCA">
      <w:pPr>
        <w:numPr>
          <w:ilvl w:val="0"/>
          <w:numId w:val="46"/>
        </w:numPr>
        <w:rPr>
          <w:noProof/>
          <w:lang w:val="ro-RO"/>
        </w:rPr>
      </w:pPr>
      <w:r>
        <w:rPr>
          <w:noProof/>
          <w:lang w:val="ro-RO"/>
        </w:rPr>
        <w:t>promovarea unei aplicări și a unei cooperări eficiente și efective, prin încurajarea politicilor care mobilizează investiții publice și private substanți</w:t>
      </w:r>
      <w:r>
        <w:rPr>
          <w:noProof/>
          <w:lang w:val="ro-RO"/>
        </w:rPr>
        <w:t>ale, transparente și previzibile, în favoarea unei dezvoltări cu emisii scăzute și rezistente la schimbările climatice.</w:t>
      </w:r>
    </w:p>
    <w:p w:rsidR="000A45DE" w:rsidRDefault="00C07CCA">
      <w:pPr>
        <w:rPr>
          <w:noProof/>
          <w:lang w:val="ro-RO"/>
        </w:rPr>
      </w:pPr>
      <w:r>
        <w:rPr>
          <w:noProof/>
          <w:lang w:val="ro-RO"/>
        </w:rPr>
        <w:t>Aceste obiective ar trebui să fie enunțate în Protocol. Un program de lucru tehnic, care să se finalizeze până în 2017, ar trebui să sta</w:t>
      </w:r>
      <w:r>
        <w:rPr>
          <w:noProof/>
          <w:lang w:val="ro-RO"/>
        </w:rPr>
        <w:t>bilească normele, procesele și instituțiile necesare pentru a atinge aceste obiective.</w:t>
      </w:r>
    </w:p>
    <w:p w:rsidR="000A45DE" w:rsidRDefault="00C07CCA">
      <w:pPr>
        <w:rPr>
          <w:noProof/>
          <w:lang w:val="ro-RO"/>
        </w:rPr>
      </w:pPr>
      <w:r>
        <w:rPr>
          <w:noProof/>
          <w:lang w:val="ro-RO"/>
        </w:rPr>
        <w:t>Pentru a adera la Protocol, părțile trebuie să-și ia un angajament de atenuare. Ele vor avea posibilitatea de a participa la procesul de luare a deciziilor în cadrul Pro</w:t>
      </w:r>
      <w:r>
        <w:rPr>
          <w:noProof/>
          <w:lang w:val="ro-RO"/>
        </w:rPr>
        <w:t>tocolului și de a avea acces la resurse financiare și de altă natură pentru a sprijini punerea în aplicare a Protocolului. Angajamentele de atenuare luate în temeiul Protocolului ar trebui să fie, de asemenea, obligatorii din punct de vedere juridic pentru</w:t>
      </w:r>
      <w:r>
        <w:rPr>
          <w:noProof/>
          <w:lang w:val="ro-RO"/>
        </w:rPr>
        <w:t xml:space="preserve"> toate părțile. </w:t>
      </w:r>
    </w:p>
    <w:p w:rsidR="000A45DE" w:rsidRDefault="00C07CCA">
      <w:pPr>
        <w:rPr>
          <w:noProof/>
          <w:lang w:val="ro-RO"/>
        </w:rPr>
      </w:pPr>
      <w:r>
        <w:rPr>
          <w:noProof/>
          <w:lang w:val="ro-RO"/>
        </w:rPr>
        <w:t xml:space="preserve">Va fi un semnal foarte clar pentru guverne, piețe și publicul larg în ceea ce privește angajamentul părților la Protocol în lupta împotriva schimbărilor climatice, întrucât: </w:t>
      </w:r>
    </w:p>
    <w:p w:rsidR="000A45DE" w:rsidRDefault="00C07CCA">
      <w:pPr>
        <w:numPr>
          <w:ilvl w:val="0"/>
          <w:numId w:val="48"/>
        </w:numPr>
        <w:rPr>
          <w:noProof/>
          <w:lang w:val="ro-RO"/>
        </w:rPr>
      </w:pPr>
      <w:r>
        <w:rPr>
          <w:noProof/>
          <w:lang w:val="ro-RO"/>
        </w:rPr>
        <w:t xml:space="preserve">este cea mai puternică manifestare a voinței politice a unei părți în ceea ce privește respectarea acestor angajamente; </w:t>
      </w:r>
    </w:p>
    <w:p w:rsidR="000A45DE" w:rsidRDefault="00C07CCA">
      <w:pPr>
        <w:numPr>
          <w:ilvl w:val="0"/>
          <w:numId w:val="48"/>
        </w:numPr>
        <w:rPr>
          <w:noProof/>
          <w:lang w:val="ro-RO"/>
        </w:rPr>
      </w:pPr>
      <w:r>
        <w:rPr>
          <w:noProof/>
          <w:lang w:val="ro-RO"/>
        </w:rPr>
        <w:t xml:space="preserve">oferă previzibilitatea și securitatea juridică necesară pentru toți actorii din sectoarele public și privat; </w:t>
      </w:r>
    </w:p>
    <w:p w:rsidR="000A45DE" w:rsidRDefault="00C07CCA">
      <w:pPr>
        <w:numPr>
          <w:ilvl w:val="0"/>
          <w:numId w:val="48"/>
        </w:numPr>
        <w:rPr>
          <w:noProof/>
          <w:lang w:val="ro-RO"/>
        </w:rPr>
      </w:pPr>
      <w:r>
        <w:rPr>
          <w:noProof/>
          <w:lang w:val="ro-RO"/>
        </w:rPr>
        <w:t xml:space="preserve">garantează durabilitatea </w:t>
      </w:r>
      <w:r>
        <w:rPr>
          <w:noProof/>
          <w:lang w:val="ro-RO"/>
        </w:rPr>
        <w:t xml:space="preserve">în contextul unor schimbări politice interne. </w:t>
      </w:r>
    </w:p>
    <w:p w:rsidR="000A45DE" w:rsidRDefault="00C07CCA">
      <w:pPr>
        <w:rPr>
          <w:noProof/>
          <w:lang w:val="ro-RO"/>
        </w:rPr>
      </w:pPr>
      <w:r>
        <w:rPr>
          <w:noProof/>
          <w:lang w:val="ro-RO"/>
        </w:rPr>
        <w:t>Țările care susțin că angajamentele de atenuare nu ar trebui să fie obligatorii la nivel internațional au sarcina să arate că putem obține aceleași avantaje alegând o altă abordare.</w:t>
      </w:r>
    </w:p>
    <w:p w:rsidR="000A45DE" w:rsidRDefault="00C07CCA">
      <w:pPr>
        <w:rPr>
          <w:noProof/>
          <w:lang w:val="ro-RO"/>
        </w:rPr>
      </w:pPr>
      <w:r>
        <w:rPr>
          <w:noProof/>
          <w:lang w:val="ro-RO"/>
        </w:rPr>
        <w:t>Toate țările membre G20, ca</w:t>
      </w:r>
      <w:r>
        <w:rPr>
          <w:noProof/>
          <w:lang w:val="ro-RO"/>
        </w:rPr>
        <w:t>re reprezintă aproximativ 75 % din emisiile globale, precum și alte țări cu venituri medii și ridicate ar trebui să ratifice Protocolul în timp util și să îl pună în aplicare începând din 2020. Aderând la Protocol cât mai curând posibil, UE, China și SUA a</w:t>
      </w:r>
      <w:r>
        <w:rPr>
          <w:noProof/>
          <w:lang w:val="ro-RO"/>
        </w:rPr>
        <w:t>r trimite un semnal puternic de voință politică. Protocolul ar trebui să intre în vigoare de îndată ce țările reprezentând peste 40 Gt de emisii în echivalent CO</w:t>
      </w:r>
      <w:r>
        <w:rPr>
          <w:noProof/>
          <w:vertAlign w:val="subscript"/>
          <w:lang w:val="ro-RO"/>
        </w:rPr>
        <w:t>2</w:t>
      </w:r>
      <w:r>
        <w:rPr>
          <w:noProof/>
          <w:lang w:val="ro-RO"/>
        </w:rPr>
        <w:t xml:space="preserve"> (aproximativ 80 % din totalul emisiilor globale actuale) în 2015 își depun instrumentul de ra</w:t>
      </w:r>
      <w:r>
        <w:rPr>
          <w:noProof/>
          <w:lang w:val="ro-RO"/>
        </w:rPr>
        <w:t>tificare.</w:t>
      </w:r>
    </w:p>
    <w:p w:rsidR="000A45DE" w:rsidRDefault="00C07CCA">
      <w:pPr>
        <w:pStyle w:val="ManualHeading1"/>
        <w:rPr>
          <w:noProof/>
          <w:lang w:val="ro-RO"/>
        </w:rPr>
      </w:pPr>
      <w:bookmarkStart w:id="45" w:name="_Toc409416907"/>
      <w:bookmarkStart w:id="46" w:name="_Toc409417177"/>
      <w:bookmarkStart w:id="47" w:name="_Toc409417443"/>
      <w:bookmarkStart w:id="48" w:name="_Toc409416908"/>
      <w:bookmarkStart w:id="49" w:name="_Toc409417178"/>
      <w:bookmarkStart w:id="50" w:name="_Toc409417444"/>
      <w:bookmarkStart w:id="51" w:name="_Ref390172683"/>
      <w:bookmarkStart w:id="52" w:name="_Toc395255550"/>
      <w:bookmarkStart w:id="53" w:name="_Toc392749498"/>
      <w:bookmarkStart w:id="54" w:name="_Toc401743269"/>
      <w:bookmarkStart w:id="55" w:name="_Toc408492785"/>
      <w:bookmarkStart w:id="56" w:name="_Toc409641551"/>
      <w:bookmarkStart w:id="57" w:name="_Toc412130093"/>
      <w:bookmarkStart w:id="58" w:name="_Toc412815087"/>
      <w:bookmarkStart w:id="59" w:name="_Toc413156269"/>
      <w:bookmarkEnd w:id="45"/>
      <w:bookmarkEnd w:id="46"/>
      <w:bookmarkEnd w:id="47"/>
      <w:bookmarkEnd w:id="48"/>
      <w:bookmarkEnd w:id="49"/>
      <w:bookmarkEnd w:id="50"/>
      <w:r w:rsidRPr="00C07CCA">
        <w:rPr>
          <w:lang w:val="ro-RO"/>
        </w:rPr>
        <w:t>3.</w:t>
      </w:r>
      <w:r w:rsidRPr="00C07CCA">
        <w:rPr>
          <w:lang w:val="ro-RO"/>
        </w:rPr>
        <w:tab/>
      </w:r>
      <w:r>
        <w:rPr>
          <w:noProof/>
          <w:lang w:val="ro-RO"/>
        </w:rPr>
        <w:t>Garantarea unor reduceri ambițioase a emisiilor de gaze cu efect de seră</w:t>
      </w:r>
      <w:bookmarkEnd w:id="51"/>
      <w:bookmarkEnd w:id="52"/>
      <w:bookmarkEnd w:id="53"/>
      <w:bookmarkEnd w:id="54"/>
      <w:bookmarkEnd w:id="55"/>
      <w:bookmarkEnd w:id="56"/>
      <w:bookmarkEnd w:id="57"/>
      <w:bookmarkEnd w:id="58"/>
      <w:bookmarkEnd w:id="59"/>
    </w:p>
    <w:p w:rsidR="000A45DE" w:rsidRDefault="00C07CCA">
      <w:pPr>
        <w:pStyle w:val="ManualHeading2"/>
        <w:rPr>
          <w:noProof/>
          <w:lang w:val="ro-RO"/>
        </w:rPr>
      </w:pPr>
      <w:bookmarkStart w:id="60" w:name="_Toc408492786"/>
      <w:bookmarkStart w:id="61" w:name="_Toc412130094"/>
      <w:bookmarkStart w:id="62" w:name="_Toc412815088"/>
      <w:bookmarkStart w:id="63" w:name="_Toc413156270"/>
      <w:bookmarkStart w:id="64" w:name="_Toc409641552"/>
      <w:bookmarkStart w:id="65" w:name="_Toc332363583"/>
      <w:bookmarkStart w:id="66" w:name="_Toc364158610"/>
      <w:r w:rsidRPr="00C07CCA">
        <w:rPr>
          <w:lang w:val="ro-RO"/>
        </w:rPr>
        <w:t>3.1.</w:t>
      </w:r>
      <w:r w:rsidRPr="00C07CCA">
        <w:rPr>
          <w:lang w:val="ro-RO"/>
        </w:rPr>
        <w:tab/>
      </w:r>
      <w:r>
        <w:rPr>
          <w:noProof/>
          <w:lang w:val="ro-RO"/>
        </w:rPr>
        <w:t>Obiectivul UE pentru 2030</w:t>
      </w:r>
      <w:bookmarkEnd w:id="60"/>
      <w:r>
        <w:rPr>
          <w:noProof/>
          <w:lang w:val="ro-RO"/>
        </w:rPr>
        <w:t xml:space="preserve"> și contribuția preconizată stabilită la nivel național</w:t>
      </w:r>
      <w:bookmarkEnd w:id="61"/>
      <w:bookmarkEnd w:id="62"/>
      <w:bookmarkEnd w:id="63"/>
      <w:r>
        <w:rPr>
          <w:noProof/>
          <w:lang w:val="ro-RO"/>
        </w:rPr>
        <w:t xml:space="preserve"> </w:t>
      </w:r>
      <w:bookmarkEnd w:id="64"/>
    </w:p>
    <w:p w:rsidR="000A45DE" w:rsidRDefault="00C07CCA">
      <w:pPr>
        <w:rPr>
          <w:noProof/>
          <w:lang w:val="ro-RO"/>
        </w:rPr>
      </w:pPr>
      <w:r>
        <w:rPr>
          <w:noProof/>
          <w:lang w:val="ro-RO"/>
        </w:rPr>
        <w:t>Eforturile UE în materie de politică privind schimbările climatice și energia dau r</w:t>
      </w:r>
      <w:r>
        <w:rPr>
          <w:noProof/>
          <w:lang w:val="ro-RO"/>
        </w:rPr>
        <w:t>ezultate. În perioada 1990-2013, emisiile UE au scăzut cu 19 %, în timp ce produsul intern brut al UE a crescut cu 45 %. Cadrul UE privind schimbările climatice și energia pentru 2030, așa cum a fost convenit de liderii UE în octombrie 2014, va consolida ș</w:t>
      </w:r>
      <w:r>
        <w:rPr>
          <w:noProof/>
          <w:lang w:val="ro-RO"/>
        </w:rPr>
        <w:t>i mai mult peisajul politic. Acesta stabilește un obiectiv obligatoriu de reducere a emisiilor la nivelul întregii economii, acoperind toate sectoarele și toate sursele de emisii, inclusiv agricultura, silvicultura și alte utilizări ale terenurilor, cu cel</w:t>
      </w:r>
      <w:r>
        <w:rPr>
          <w:noProof/>
          <w:lang w:val="ro-RO"/>
        </w:rPr>
        <w:t xml:space="preserve"> puțin 40 % pe plan intern până în 2030, comparativ cu 1990. Acest obiectiv este ambițios și echitabil și reprezintă o modalitate rentabilă de a ajunge la reduceri interne de cel puțin 80 % până în 2050</w:t>
      </w:r>
      <w:r>
        <w:rPr>
          <w:rStyle w:val="FootnoteReference"/>
          <w:noProof/>
          <w:lang w:val="ro-RO"/>
        </w:rPr>
        <w:footnoteReference w:id="4"/>
      </w:r>
      <w:r>
        <w:rPr>
          <w:noProof/>
          <w:lang w:val="ro-RO"/>
        </w:rPr>
        <w:t xml:space="preserve">. UE a făcut deja pași semnificativi pentru a deveni </w:t>
      </w:r>
      <w:r>
        <w:rPr>
          <w:noProof/>
          <w:lang w:val="ro-RO"/>
        </w:rPr>
        <w:t>cea mai eficientă economie pe plan mondial din punct de vedere al emisiilor. Obiectivul pentru 2030 va reduce intensitatea emisiilor economiei UE cu încă 50 %. UE a aprobat recent un plan de investiții care va debloca fonduri private considerabile pentru m</w:t>
      </w:r>
      <w:r>
        <w:rPr>
          <w:noProof/>
          <w:lang w:val="ro-RO"/>
        </w:rPr>
        <w:t>odernizarea și decarbonizarea economiei UE.</w:t>
      </w:r>
    </w:p>
    <w:p w:rsidR="000A45DE" w:rsidRDefault="00C07CCA">
      <w:pPr>
        <w:rPr>
          <w:noProof/>
          <w:lang w:val="ro-RO"/>
        </w:rPr>
      </w:pPr>
      <w:r>
        <w:rPr>
          <w:noProof/>
          <w:lang w:val="ro-RO"/>
        </w:rPr>
        <w:t>La ora actuală, nu este nevoie să se propună un obiectiv mai ambițios. În cazul în care rezultatul negocierilor justifică totuși un obiectiv mai ambițios, UE ar putea să întrevadă posibilitatea de a accepta credi</w:t>
      </w:r>
      <w:r>
        <w:rPr>
          <w:noProof/>
          <w:lang w:val="ro-RO"/>
        </w:rPr>
        <w:t>te internaționale pentru a completa angajamentele interne, atâta timp cât este integral garantată lipsa de nocivitate a acestora pentru mediu și se evită dubla contabilizare.</w:t>
      </w:r>
      <w:bookmarkStart w:id="67" w:name="_Toc408492787"/>
    </w:p>
    <w:p w:rsidR="000A45DE" w:rsidRDefault="00C07CCA">
      <w:pPr>
        <w:pStyle w:val="ManualHeading2"/>
        <w:rPr>
          <w:noProof/>
          <w:lang w:val="ro-RO"/>
        </w:rPr>
      </w:pPr>
      <w:bookmarkStart w:id="68" w:name="_Toc409641553"/>
      <w:bookmarkStart w:id="69" w:name="_Toc412130095"/>
      <w:bookmarkStart w:id="70" w:name="_Toc412815089"/>
      <w:bookmarkStart w:id="71" w:name="_Toc413156271"/>
      <w:r w:rsidRPr="00C07CCA">
        <w:rPr>
          <w:lang w:val="ro-RO"/>
        </w:rPr>
        <w:t>3.2.</w:t>
      </w:r>
      <w:r w:rsidRPr="00C07CCA">
        <w:rPr>
          <w:lang w:val="ro-RO"/>
        </w:rPr>
        <w:tab/>
      </w:r>
      <w:r>
        <w:rPr>
          <w:noProof/>
          <w:lang w:val="ro-RO"/>
        </w:rPr>
        <w:t>Partajarea efortului global</w:t>
      </w:r>
      <w:bookmarkEnd w:id="67"/>
      <w:bookmarkEnd w:id="68"/>
      <w:bookmarkEnd w:id="69"/>
      <w:bookmarkEnd w:id="70"/>
      <w:bookmarkEnd w:id="71"/>
    </w:p>
    <w:p w:rsidR="000A45DE" w:rsidRDefault="00C07CCA">
      <w:pPr>
        <w:pStyle w:val="Text1"/>
        <w:ind w:left="0"/>
        <w:rPr>
          <w:noProof/>
          <w:lang w:val="ro-RO"/>
        </w:rPr>
      </w:pPr>
      <w:r>
        <w:rPr>
          <w:noProof/>
          <w:lang w:val="ro-RO"/>
        </w:rPr>
        <w:t>UE generează 9 % din emisiile globale, iar acest</w:t>
      </w:r>
      <w:r>
        <w:rPr>
          <w:noProof/>
          <w:lang w:val="ro-RO"/>
        </w:rPr>
        <w:t xml:space="preserve"> procent este în scădere. În noiembrie 2014, cele două țări cu cele mai mari emisii din lume - China (25 % din emisiile mondiale) și Statele Unite (11 %) - au urmat exemplul UE și și-au anunțat obiectivele orientative pentru perioada de după 2020. Împreună</w:t>
      </w:r>
      <w:r>
        <w:rPr>
          <w:noProof/>
          <w:lang w:val="ro-RO"/>
        </w:rPr>
        <w:t>, aceste obiective ar acoperi aproape jumătate din emisiile globale. Pentru a fi eficient și pentru a crea condiții echitabile de concurență la nivel mondial, Protocolul trebuie să aibă următoarele caracteristici:</w:t>
      </w:r>
    </w:p>
    <w:p w:rsidR="000A45DE" w:rsidRDefault="00C07CCA">
      <w:pPr>
        <w:pStyle w:val="Text1"/>
        <w:numPr>
          <w:ilvl w:val="0"/>
          <w:numId w:val="47"/>
        </w:numPr>
        <w:rPr>
          <w:noProof/>
          <w:lang w:val="ro-RO"/>
        </w:rPr>
      </w:pPr>
      <w:r>
        <w:rPr>
          <w:noProof/>
          <w:lang w:val="ro-RO"/>
        </w:rPr>
        <w:t xml:space="preserve">O largă acoperire geografică. Pentru a </w:t>
      </w:r>
      <w:r>
        <w:rPr>
          <w:noProof/>
          <w:lang w:val="ro-RO"/>
        </w:rPr>
        <w:t xml:space="preserve">obține acoperirea necesară a emisiilor, toate părțile, cu excepția țărilor celor mai puțin dezvoltate, trebuie să își prezinte INDC-urile cât de repede în 2015. Toate țările G20, precum și țările cu venituri medii și ridicate ar trebui să fie în măsură să </w:t>
      </w:r>
      <w:r>
        <w:rPr>
          <w:noProof/>
          <w:lang w:val="ro-RO"/>
        </w:rPr>
        <w:t xml:space="preserve">facă acest lucru până la sfârșitul primului trimestru al anului 2015. Aceste INDC-uri trebuie să fie comunicate în conformitate cu cerințele în materie de informare convenite la Lima. Tabelul 1 ilustrează obiectivul național de reducere cu cel puțin 40 %, </w:t>
      </w:r>
      <w:r>
        <w:rPr>
          <w:noProof/>
          <w:lang w:val="ro-RO"/>
        </w:rPr>
        <w:t>așa cum a fost convenit de liderii UE în octombrie 2014, sub forma unui INDC conform cu cerințele de informare convenite la Lima, pentru a garanta că obiectivele sunt transparente, cuantificabile și comparabile. Acest tabel oferă un model simplu care le-ar</w:t>
      </w:r>
      <w:r>
        <w:rPr>
          <w:noProof/>
          <w:lang w:val="ro-RO"/>
        </w:rPr>
        <w:t xml:space="preserve"> putea fi util părților care încă își formulează INDC-ul. Pe bază de voluntariat, țările cel mai puțin dezvoltate pot prezenta INDC-uri care rezumă politicile și măsurile cu o estimare a reducerilor de emisii. Toate celelalte părți la Protocol trebuie în o</w:t>
      </w:r>
      <w:r>
        <w:rPr>
          <w:noProof/>
          <w:lang w:val="ro-RO"/>
        </w:rPr>
        <w:t>rice moment să-și mențină un angajament de atenuare. Aceste angajamente trebuie prezentate în ordine alfabetică după părți, într-o anexă la Protocol.</w:t>
      </w:r>
    </w:p>
    <w:p w:rsidR="000A45DE" w:rsidRDefault="00C07CCA">
      <w:pPr>
        <w:pStyle w:val="Text1"/>
        <w:numPr>
          <w:ilvl w:val="0"/>
          <w:numId w:val="47"/>
        </w:numPr>
        <w:rPr>
          <w:noProof/>
          <w:lang w:val="ro-RO"/>
        </w:rPr>
      </w:pPr>
      <w:r>
        <w:rPr>
          <w:noProof/>
          <w:lang w:val="ro-RO"/>
        </w:rPr>
        <w:t>O acoperire completă a sectoarelor și a emisiilor. Angajamentele părților trebuie să creeze stimulente put</w:t>
      </w:r>
      <w:r>
        <w:rPr>
          <w:noProof/>
          <w:lang w:val="ro-RO"/>
        </w:rPr>
        <w:t>ernice pentru ca toți actorii să continue să reducă și să limiteze emisiile globale. Protocolul ar trebui să impună reduceri ale emisiilor în toate sectoarele, inclusiv agricultură, silvicultură și alte utilizări ale terenurilor, transport aerian și mariti</w:t>
      </w:r>
      <w:r>
        <w:rPr>
          <w:noProof/>
          <w:lang w:val="ro-RO"/>
        </w:rPr>
        <w:t>m internațional și gaze fluorurate. Organizația Aviației Civile Internaționale (OACI), Organizația Maritimă Internațională (OMI) și Protocolul de la Montreal ar trebui să acționeze pentru a reglementa în mod eficient emisiile generate de transportul aerian</w:t>
      </w:r>
      <w:r>
        <w:rPr>
          <w:noProof/>
          <w:lang w:val="ro-RO"/>
        </w:rPr>
        <w:t xml:space="preserve"> și maritim internațional și de producția și consumul de gaze fluorurate, înainte de sfârșitul anului 2016.</w:t>
      </w:r>
    </w:p>
    <w:p w:rsidR="000A45DE" w:rsidRDefault="00C07CCA">
      <w:pPr>
        <w:pStyle w:val="Text1"/>
        <w:numPr>
          <w:ilvl w:val="0"/>
          <w:numId w:val="47"/>
        </w:numPr>
        <w:rPr>
          <w:noProof/>
          <w:lang w:val="ro-RO"/>
        </w:rPr>
      </w:pPr>
      <w:r>
        <w:rPr>
          <w:noProof/>
          <w:lang w:val="ro-RO"/>
        </w:rPr>
        <w:t>Cel mai înalt nivel de ambiție. Cu mult înainte de Conferința de la Paris, fiecare parte trebuie să aleagă tipul de angajament de atenuare și să def</w:t>
      </w:r>
      <w:r>
        <w:rPr>
          <w:noProof/>
          <w:lang w:val="ro-RO"/>
        </w:rPr>
        <w:t xml:space="preserve">inească nivelul de ambiție și domeniul de aplicare, având în vedere evoluția responsabilităților, capacitățile și diferitele circumstanțe naționale. Țările cu cel mai ridicat nivel de responsabilitate și cu cea mai mare capacitate trebuie să aibă cele mai </w:t>
      </w:r>
      <w:r>
        <w:rPr>
          <w:noProof/>
          <w:lang w:val="ro-RO"/>
        </w:rPr>
        <w:t>ambițioase angajamente de atenuare. INDC-ul fiecărei părți ar trebui să reprezinte o evoluție semnificativă în ceea ce privește nivelul de ambiție în materie de atenuare și domeniul de aplicare, în comparație cu angajamentul său actual. Acesta ar trebui să</w:t>
      </w:r>
      <w:r>
        <w:rPr>
          <w:noProof/>
          <w:lang w:val="ro-RO"/>
        </w:rPr>
        <w:t xml:space="preserve"> demonstreze convergența către niveluri scăzute de emisii totale și pe cap de locuitor și o îmbunătățire a intensității emisiilor de-a lungul timpului.</w:t>
      </w:r>
    </w:p>
    <w:p w:rsidR="000A45DE" w:rsidRDefault="00C07CCA">
      <w:pPr>
        <w:pStyle w:val="Text1"/>
        <w:numPr>
          <w:ilvl w:val="0"/>
          <w:numId w:val="47"/>
        </w:numPr>
        <w:rPr>
          <w:noProof/>
          <w:lang w:val="ro-RO"/>
        </w:rPr>
      </w:pPr>
      <w:r>
        <w:rPr>
          <w:noProof/>
          <w:lang w:val="ro-RO"/>
        </w:rPr>
        <w:t>Angajamente solide în materie de atenuare. Cel mai solid tip de angajament este reprezentat de obiective</w:t>
      </w:r>
      <w:r>
        <w:rPr>
          <w:noProof/>
          <w:lang w:val="ro-RO"/>
        </w:rPr>
        <w:t xml:space="preserve"> absolute la scara economiei, combinate cu bugete de emisii. Ele prezintă un număr de avantaje, inclusiv certitudine, transparență, flexibilitate și, dacă sunt utilizate pe scară largă, reducerea riscului de relocare a emisiilor de dioxid de carbon. În con</w:t>
      </w:r>
      <w:r>
        <w:rPr>
          <w:noProof/>
          <w:lang w:val="ro-RO"/>
        </w:rPr>
        <w:t>formitate cu ideea de progres de-a lungul timpului, toate țările care dispun deja de astfel de obiective ar trebui să le mențină și să le consolideze comparativ cu un an de referință sau cu o perioadă de referință. G 20 și alte țări cu venituri ridicate ca</w:t>
      </w:r>
      <w:r>
        <w:rPr>
          <w:noProof/>
          <w:lang w:val="ro-RO"/>
        </w:rPr>
        <w:t>re nu au obiective absolute în temeiul Protocolului din 2020 ar trebui să se angajeze să facă acest lucru până în 2025, cel târziu. Alte economii emergente și țările cu venituri medii sunt încurajate să facă acest lucru cât mai curând posibil și nu mai târ</w:t>
      </w:r>
      <w:r>
        <w:rPr>
          <w:noProof/>
          <w:lang w:val="ro-RO"/>
        </w:rPr>
        <w:t>ziu de 2030.</w:t>
      </w:r>
    </w:p>
    <w:p w:rsidR="000A45DE" w:rsidRDefault="00C07CCA">
      <w:pPr>
        <w:pStyle w:val="ManualHeading1"/>
        <w:rPr>
          <w:noProof/>
          <w:lang w:val="ro-RO"/>
        </w:rPr>
      </w:pPr>
      <w:bookmarkStart w:id="72" w:name="_Toc408492789"/>
      <w:bookmarkStart w:id="73" w:name="_Toc409641554"/>
      <w:bookmarkStart w:id="74" w:name="_Toc412130096"/>
      <w:bookmarkStart w:id="75" w:name="_Toc412815090"/>
      <w:bookmarkStart w:id="76" w:name="_Toc413156272"/>
      <w:r w:rsidRPr="00C07CCA">
        <w:rPr>
          <w:lang w:val="ro-RO"/>
        </w:rPr>
        <w:t>4.</w:t>
      </w:r>
      <w:r w:rsidRPr="00C07CCA">
        <w:rPr>
          <w:lang w:val="ro-RO"/>
        </w:rPr>
        <w:tab/>
      </w:r>
      <w:r>
        <w:rPr>
          <w:noProof/>
          <w:lang w:val="ro-RO"/>
        </w:rPr>
        <w:t xml:space="preserve">Garantarea dinamismului </w:t>
      </w:r>
      <w:bookmarkEnd w:id="72"/>
      <w:r>
        <w:rPr>
          <w:noProof/>
          <w:lang w:val="ro-RO"/>
        </w:rPr>
        <w:t>prin revizuirea periodică a obiectivelor</w:t>
      </w:r>
      <w:bookmarkEnd w:id="73"/>
      <w:bookmarkEnd w:id="74"/>
      <w:bookmarkEnd w:id="75"/>
      <w:bookmarkEnd w:id="76"/>
    </w:p>
    <w:p w:rsidR="000A45DE" w:rsidRDefault="00C07CCA">
      <w:pPr>
        <w:rPr>
          <w:noProof/>
          <w:lang w:val="ro-RO"/>
        </w:rPr>
      </w:pPr>
      <w:r>
        <w:rPr>
          <w:noProof/>
          <w:lang w:val="ro-RO"/>
        </w:rPr>
        <w:t>Protocolul ar trebui să stabilească o procedură, aplicabilă tuturor părților, pentru a revizui periodic și pentru a consolida angajamentele de atenuare, în conformitate cu obi</w:t>
      </w:r>
      <w:r>
        <w:rPr>
          <w:noProof/>
          <w:lang w:val="ro-RO"/>
        </w:rPr>
        <w:t>ectivul pe termen lung al Protocolului. Dacă eforturile colective ale părților nu se ridică la nivelul necesar, procesul ar trebui să încurajeze părțile să ridice nivelul de ambiție al angajamentelor existente și să formuleze obiective suficient de ambițio</w:t>
      </w:r>
      <w:r>
        <w:rPr>
          <w:noProof/>
          <w:lang w:val="ro-RO"/>
        </w:rPr>
        <w:t>ase pentru perioadele ulterioare.</w:t>
      </w:r>
    </w:p>
    <w:p w:rsidR="000A45DE" w:rsidRDefault="00C07CCA">
      <w:pPr>
        <w:rPr>
          <w:noProof/>
          <w:lang w:val="ro-RO"/>
        </w:rPr>
      </w:pPr>
      <w:r>
        <w:rPr>
          <w:noProof/>
          <w:lang w:val="ro-RO"/>
        </w:rPr>
        <w:t>Începând din 2020, revizuirea trebuie să fie repetată din cinci în cinci ani și să faciliteze transparența, claritatea și înțelegerea angajamentelor de atenuare în contextul contribuției la obiectivul de limitare a încălzi</w:t>
      </w:r>
      <w:r>
        <w:rPr>
          <w:noProof/>
          <w:lang w:val="ro-RO"/>
        </w:rPr>
        <w:t>rii globale sub 2 °C. Revizuirea ar trebui să invite părțile să explice progresele înregistrate cu privire la angajamentele de atenuare și motivele pentru care consideră că acțiunile lor au fost echitabile și ambițioase.</w:t>
      </w:r>
    </w:p>
    <w:p w:rsidR="000A45DE" w:rsidRDefault="00C07CCA">
      <w:pPr>
        <w:rPr>
          <w:noProof/>
          <w:lang w:val="ro-RO"/>
        </w:rPr>
      </w:pPr>
      <w:r>
        <w:rPr>
          <w:noProof/>
          <w:lang w:val="ro-RO"/>
        </w:rPr>
        <w:t>Acest proces ar trebui să se bazeze</w:t>
      </w:r>
      <w:r>
        <w:rPr>
          <w:noProof/>
          <w:lang w:val="ro-RO"/>
        </w:rPr>
        <w:t xml:space="preserve"> pe știință, pe elemente concrete și să fie ghidat de considerente legate de responsabilități și capacități în evoluție și de diferitele circumstanțe naționale. Trebuie să fie simplu, eficient și să evite suprapunerile cu alte procese. Modalitățile pentru </w:t>
      </w:r>
      <w:r>
        <w:rPr>
          <w:noProof/>
          <w:lang w:val="ro-RO"/>
        </w:rPr>
        <w:t>ciclul de revizuire ar trebui îmbunătățite de-a lungul timpului, pentru a rămâne pe drumul cel bun către atingerea obiectivului „sub 2 °C”.</w:t>
      </w:r>
      <w:bookmarkEnd w:id="65"/>
      <w:bookmarkEnd w:id="66"/>
    </w:p>
    <w:p w:rsidR="000A45DE" w:rsidRDefault="00C07CCA">
      <w:pPr>
        <w:rPr>
          <w:noProof/>
          <w:lang w:val="ro-RO"/>
        </w:rPr>
      </w:pPr>
      <w:r>
        <w:rPr>
          <w:noProof/>
          <w:lang w:val="ro-RO"/>
        </w:rPr>
        <w:t>Protocolul și deciziile aferente Conferinței părților (COP) trebuie să prevadă o mobilizare dinamică a finanțării pe</w:t>
      </w:r>
      <w:r>
        <w:rPr>
          <w:noProof/>
          <w:lang w:val="ro-RO"/>
        </w:rPr>
        <w:t>ntru combaterea schimbărilor climatice, transferul de tehnologie și consolidarea capacităților părților eligibile, în special a celor care dispun de mai puține mijloace. Aceasta va include procesele de evaluare periodică și de ameliorare a gradului de adec</w:t>
      </w:r>
      <w:r>
        <w:rPr>
          <w:noProof/>
          <w:lang w:val="ro-RO"/>
        </w:rPr>
        <w:t>vare și de eficiență a mijloacelor de punere în aplicare mobilizate prin Fondul verde pentru climă (GCF), Fondul global pentru mediu (GEF) și de alte instituții relevante. La Paris, va trebui, de asemenea, să se garanteze sprijinul în favoarea părților pen</w:t>
      </w:r>
      <w:r>
        <w:rPr>
          <w:noProof/>
          <w:lang w:val="ro-RO"/>
        </w:rPr>
        <w:t>tru revizuirea periodică și consolidarea abordărilor privind adaptarea în timp.</w:t>
      </w:r>
    </w:p>
    <w:p w:rsidR="000A45DE" w:rsidRDefault="00C07CCA">
      <w:pPr>
        <w:pStyle w:val="ManualHeading1"/>
        <w:rPr>
          <w:noProof/>
          <w:lang w:val="ro-RO"/>
        </w:rPr>
      </w:pPr>
      <w:bookmarkStart w:id="77" w:name="_Toc408490207"/>
      <w:bookmarkStart w:id="78" w:name="_Toc408002479"/>
      <w:bookmarkStart w:id="79" w:name="_Toc408492790"/>
      <w:bookmarkStart w:id="80" w:name="_Toc409641555"/>
      <w:bookmarkStart w:id="81" w:name="_Toc412130097"/>
      <w:bookmarkStart w:id="82" w:name="_Toc412815091"/>
      <w:bookmarkStart w:id="83" w:name="_Toc413156273"/>
      <w:bookmarkEnd w:id="77"/>
      <w:r w:rsidRPr="00C07CCA">
        <w:rPr>
          <w:lang w:val="ro-RO"/>
        </w:rPr>
        <w:t>5.</w:t>
      </w:r>
      <w:r w:rsidRPr="00C07CCA">
        <w:rPr>
          <w:lang w:val="ro-RO"/>
        </w:rPr>
        <w:tab/>
      </w:r>
      <w:r>
        <w:rPr>
          <w:noProof/>
          <w:lang w:val="ro-RO"/>
        </w:rPr>
        <w:t>Consolidarea transparenței și a responsabilității</w:t>
      </w:r>
      <w:bookmarkEnd w:id="78"/>
      <w:bookmarkEnd w:id="79"/>
      <w:bookmarkEnd w:id="80"/>
      <w:bookmarkEnd w:id="81"/>
      <w:bookmarkEnd w:id="82"/>
      <w:bookmarkEnd w:id="83"/>
    </w:p>
    <w:p w:rsidR="000A45DE" w:rsidRDefault="00C07CCA">
      <w:pPr>
        <w:rPr>
          <w:noProof/>
          <w:lang w:val="ro-RO"/>
        </w:rPr>
      </w:pPr>
      <w:r>
        <w:rPr>
          <w:noProof/>
          <w:lang w:val="ro-RO"/>
        </w:rPr>
        <w:t>Protocolul trebuie să stabilească elementele-cheie ale unui sistem comun în materie de responsabilitate și transparență, ap</w:t>
      </w:r>
      <w:r>
        <w:rPr>
          <w:noProof/>
          <w:lang w:val="ro-RO"/>
        </w:rPr>
        <w:t>licabil tuturor părților. Acesta trebuie să includă norme solide privind monitorizarea, raportarea, verificarea și contabilizarea, precum și un proces menit să responsabilizeze fiecare parte pentru realizarea angajamentelor asumate. Acest sistem va fi esen</w:t>
      </w:r>
      <w:r>
        <w:rPr>
          <w:noProof/>
          <w:lang w:val="ro-RO"/>
        </w:rPr>
        <w:t>țial pentru a garanta că fiecare parte își respectă angajamentele și este pe cale să își îndeplinească obiectivul. De asemenea, va fi crucial pentru instaurarea unui climat de încredere, încurajarea ambiției și asigurarea previzibilității și a siguranței j</w:t>
      </w:r>
      <w:r>
        <w:rPr>
          <w:noProof/>
          <w:lang w:val="ro-RO"/>
        </w:rPr>
        <w:t>uridice. Astfel, părțile ar trebui să prezinte, cel târziu la momentul ratificării, cel mai recent set de inventare privind emisiile anuale începând din 2010 până în 2015.</w:t>
      </w:r>
    </w:p>
    <w:p w:rsidR="000A45DE" w:rsidRDefault="00C07CCA">
      <w:pPr>
        <w:rPr>
          <w:noProof/>
          <w:lang w:val="ro-RO"/>
        </w:rPr>
      </w:pPr>
      <w:r>
        <w:rPr>
          <w:noProof/>
          <w:lang w:val="ro-RO"/>
        </w:rPr>
        <w:t>Este necesar ca acest sistem să fie adecvat pe termen lung. Trebuie să ofere suficie</w:t>
      </w:r>
      <w:r>
        <w:rPr>
          <w:noProof/>
          <w:lang w:val="ro-RO"/>
        </w:rPr>
        <w:t>ntă flexibilitate pentru a răspunde unei game variate de tipuri de angajamente, capacități naționale și circumstanțe, însă această flexibilitate nu ar trebui să submineze transparența, responsabilitatea și ambiția. Echipe de experți independenți vor trebui</w:t>
      </w:r>
      <w:r>
        <w:rPr>
          <w:noProof/>
          <w:lang w:val="ro-RO"/>
        </w:rPr>
        <w:t xml:space="preserve"> să efectueze revizuiri periodice. Noul Protocol ar trebui să recunoască transferurile nete între acele țări care au decis să își conecteze propriile piețe naționale ale carbonului, iar acest lucru trebuie avut în vedere în momentul evaluării conformității</w:t>
      </w:r>
      <w:r>
        <w:rPr>
          <w:noProof/>
          <w:lang w:val="ro-RO"/>
        </w:rPr>
        <w:t>.</w:t>
      </w:r>
    </w:p>
    <w:p w:rsidR="000A45DE" w:rsidRDefault="00C07CCA">
      <w:pPr>
        <w:rPr>
          <w:noProof/>
          <w:lang w:val="ro-RO"/>
        </w:rPr>
      </w:pPr>
      <w:r>
        <w:rPr>
          <w:noProof/>
          <w:lang w:val="ro-RO"/>
        </w:rPr>
        <w:t>Nu în ultimul rând, Protocolul ar trebui să instituie un organism care să faciliteze punerea în aplicare și să răspundă la întrebările legate de conformitate în ceea ce privește punerea în aplicare a angajamentelor părților. Acest organism ar trebui să s</w:t>
      </w:r>
      <w:r>
        <w:rPr>
          <w:noProof/>
          <w:lang w:val="ro-RO"/>
        </w:rPr>
        <w:t xml:space="preserve">e axeze pe angajamente legate de atenuare, inclusiv în materie de monitorizare, raportare și verificare și contabilizare. Organismul ar trebui să fie specializat și nepolitizat, mandatul său urmând să fie definit în Protocol. </w:t>
      </w:r>
    </w:p>
    <w:p w:rsidR="000A45DE" w:rsidRDefault="00C07CCA">
      <w:pPr>
        <w:pStyle w:val="ManualHeading1"/>
        <w:rPr>
          <w:noProof/>
          <w:lang w:val="ro-RO"/>
        </w:rPr>
      </w:pPr>
      <w:bookmarkStart w:id="84" w:name="_Toc408244452"/>
      <w:bookmarkStart w:id="85" w:name="_Toc408244454"/>
      <w:bookmarkStart w:id="86" w:name="_Toc408244458"/>
      <w:bookmarkStart w:id="87" w:name="_Toc408244459"/>
      <w:bookmarkStart w:id="88" w:name="_Toc408244464"/>
      <w:bookmarkStart w:id="89" w:name="_Toc408244467"/>
      <w:bookmarkStart w:id="90" w:name="_Toc408492791"/>
      <w:bookmarkStart w:id="91" w:name="_Toc409641556"/>
      <w:bookmarkStart w:id="92" w:name="_Toc412130098"/>
      <w:bookmarkStart w:id="93" w:name="_Toc412815092"/>
      <w:bookmarkStart w:id="94" w:name="_Toc413156274"/>
      <w:bookmarkEnd w:id="84"/>
      <w:bookmarkEnd w:id="85"/>
      <w:bookmarkEnd w:id="86"/>
      <w:bookmarkEnd w:id="87"/>
      <w:bookmarkEnd w:id="88"/>
      <w:bookmarkEnd w:id="89"/>
      <w:r w:rsidRPr="00C07CCA">
        <w:rPr>
          <w:lang w:val="it-IT"/>
        </w:rPr>
        <w:t>6.</w:t>
      </w:r>
      <w:r w:rsidRPr="00C07CCA">
        <w:rPr>
          <w:lang w:val="it-IT"/>
        </w:rPr>
        <w:tab/>
      </w:r>
      <w:r>
        <w:rPr>
          <w:noProof/>
          <w:lang w:val="ro-RO"/>
        </w:rPr>
        <w:t xml:space="preserve">Rezistența la schimbările </w:t>
      </w:r>
      <w:r>
        <w:rPr>
          <w:noProof/>
          <w:lang w:val="ro-RO"/>
        </w:rPr>
        <w:t xml:space="preserve">climatice </w:t>
      </w:r>
      <w:bookmarkEnd w:id="90"/>
      <w:r>
        <w:rPr>
          <w:noProof/>
          <w:lang w:val="ro-RO"/>
        </w:rPr>
        <w:t>prin adaptare</w:t>
      </w:r>
      <w:bookmarkEnd w:id="91"/>
      <w:bookmarkEnd w:id="92"/>
      <w:bookmarkEnd w:id="93"/>
      <w:bookmarkEnd w:id="94"/>
    </w:p>
    <w:p w:rsidR="000A45DE" w:rsidRDefault="00C07CCA">
      <w:pPr>
        <w:rPr>
          <w:noProof/>
          <w:lang w:val="ro-RO"/>
        </w:rPr>
      </w:pPr>
      <w:r>
        <w:rPr>
          <w:noProof/>
          <w:lang w:val="ro-RO"/>
        </w:rPr>
        <w:t>Deși este esențială luarea unor măsuri ambițioase de atenuare, la fel de importante vor fi încurajarea individuală și acțiunile de colaborare pentru pregătirea și adaptarea la efectele nocive ale schimbărilor climatice. Rolul sector</w:t>
      </w:r>
      <w:r>
        <w:rPr>
          <w:noProof/>
          <w:lang w:val="ro-RO"/>
        </w:rPr>
        <w:t xml:space="preserve">ului exploatării terenurilor în ceea ce privește reziliența pe planul securității alimentare și alte beneficii de mediu, sociale și economice sunt esențiale în acest sens. Strategia UE privind adaptarea, complementară strategiilor statelor membre, vizează </w:t>
      </w:r>
      <w:r>
        <w:rPr>
          <w:noProof/>
          <w:lang w:val="ro-RO"/>
        </w:rPr>
        <w:t>dezvoltarea unei Europe mai rezistente la schimbările climatice. Adaptarea bazată pe ecosisteme poate reduce riscul de inundații și de eroziune a solului și poate îmbunătăți calitatea apei și a aerului.</w:t>
      </w:r>
    </w:p>
    <w:p w:rsidR="000A45DE" w:rsidRDefault="00C07CCA">
      <w:pPr>
        <w:rPr>
          <w:noProof/>
          <w:lang w:val="ro-RO"/>
        </w:rPr>
      </w:pPr>
      <w:r>
        <w:rPr>
          <w:noProof/>
          <w:lang w:val="ro-RO"/>
        </w:rPr>
        <w:t>În contextul realizării dezvoltării durabile rezisten</w:t>
      </w:r>
      <w:r>
        <w:rPr>
          <w:noProof/>
          <w:lang w:val="ro-RO"/>
        </w:rPr>
        <w:t>te la schimbările climatice a tuturor părților, Protocolul ar trebui să consolideze angajamentele tuturor părților de a continua să formuleze, să planifice și să pună în aplicare măsuri care să faciliteze adaptarea și să raporteze cu privire la acestea pri</w:t>
      </w:r>
      <w:r>
        <w:rPr>
          <w:noProof/>
          <w:lang w:val="ro-RO"/>
        </w:rPr>
        <w:t>n intermediul comunicărilor lor naționale. Protocolul ar trebui să continue să faciliteze asistența pentru regiunile și țările care sunt deosebit de vulnerabile la efectele negative ale schimbărilor climatice, inclusiv prin asigurarea unui sprijin financia</w:t>
      </w:r>
      <w:r>
        <w:rPr>
          <w:noProof/>
          <w:lang w:val="ro-RO"/>
        </w:rPr>
        <w:t>r și tehnic și prin consolidarea capacităților.</w:t>
      </w:r>
    </w:p>
    <w:p w:rsidR="000A45DE" w:rsidRDefault="00C07CCA">
      <w:pPr>
        <w:rPr>
          <w:noProof/>
          <w:lang w:val="ro-RO"/>
        </w:rPr>
      </w:pPr>
      <w:r>
        <w:rPr>
          <w:noProof/>
          <w:lang w:val="ro-RO"/>
        </w:rPr>
        <w:t>În acest fel, Protocolul va oferi mai multă vizibilitate pentru acțiunile de adaptare și sprijin și va consolida dispozițiile referitoare la monitorizare și raportare în temeiul CCONUSC. De asemenea, va permi</w:t>
      </w:r>
      <w:r>
        <w:rPr>
          <w:noProof/>
          <w:lang w:val="ro-RO"/>
        </w:rPr>
        <w:t xml:space="preserve">te o mai bună înțelegere a eficienței măsurilor puse în aplicare pentru a facilita adaptarea adecvată pe baza rapoartelor naționale și a altor informații relevante, pentru a contribui la consolidarea ulterioară a acțiunilor care urmează să fie întreprinse </w:t>
      </w:r>
      <w:r>
        <w:rPr>
          <w:noProof/>
          <w:lang w:val="ro-RO"/>
        </w:rPr>
        <w:t>de către părți.</w:t>
      </w:r>
    </w:p>
    <w:p w:rsidR="000A45DE" w:rsidRDefault="00C07CCA">
      <w:pPr>
        <w:rPr>
          <w:noProof/>
          <w:lang w:val="ro-RO"/>
        </w:rPr>
      </w:pPr>
      <w:r>
        <w:rPr>
          <w:noProof/>
          <w:lang w:val="ro-RO"/>
        </w:rPr>
        <w:t>Odată cu adoptarea Protocolului, și alte decizii ale Conferinței părților ar trebui să consolideze punerea în aplicare a dispozițiilor, în baza cadrului de adaptare de la Cancun și a programului de lucru de la Nairobi.</w:t>
      </w:r>
    </w:p>
    <w:p w:rsidR="000A45DE" w:rsidRDefault="00C07CCA">
      <w:pPr>
        <w:pStyle w:val="ManualHeading1"/>
        <w:rPr>
          <w:noProof/>
          <w:lang w:val="ro-RO"/>
        </w:rPr>
      </w:pPr>
      <w:bookmarkStart w:id="95" w:name="_Toc408002481"/>
      <w:bookmarkStart w:id="96" w:name="_Toc408492792"/>
      <w:bookmarkStart w:id="97" w:name="_Toc409641557"/>
      <w:bookmarkStart w:id="98" w:name="_Toc412130099"/>
      <w:bookmarkStart w:id="99" w:name="_Toc412815093"/>
      <w:bookmarkStart w:id="100" w:name="_Toc413156275"/>
      <w:r w:rsidRPr="00C07CCA">
        <w:rPr>
          <w:lang w:val="ro-RO"/>
        </w:rPr>
        <w:t>7.</w:t>
      </w:r>
      <w:r w:rsidRPr="00C07CCA">
        <w:rPr>
          <w:lang w:val="ro-RO"/>
        </w:rPr>
        <w:tab/>
      </w:r>
      <w:r>
        <w:rPr>
          <w:noProof/>
          <w:lang w:val="ro-RO"/>
        </w:rPr>
        <w:t>Promovarea punerii</w:t>
      </w:r>
      <w:r>
        <w:rPr>
          <w:noProof/>
          <w:lang w:val="ro-RO"/>
        </w:rPr>
        <w:t xml:space="preserve"> în aplicare și a cooperării</w:t>
      </w:r>
      <w:bookmarkEnd w:id="95"/>
      <w:bookmarkEnd w:id="96"/>
      <w:bookmarkEnd w:id="97"/>
      <w:bookmarkEnd w:id="98"/>
      <w:bookmarkEnd w:id="99"/>
      <w:bookmarkEnd w:id="100"/>
    </w:p>
    <w:p w:rsidR="000A45DE" w:rsidRDefault="00C07CCA">
      <w:pPr>
        <w:pStyle w:val="ManualHeading2"/>
        <w:rPr>
          <w:noProof/>
          <w:lang w:val="ro-RO"/>
        </w:rPr>
      </w:pPr>
      <w:bookmarkStart w:id="101" w:name="_Toc408259322"/>
      <w:bookmarkStart w:id="102" w:name="_Toc408492793"/>
      <w:bookmarkStart w:id="103" w:name="_Toc409641558"/>
      <w:bookmarkStart w:id="104" w:name="_Toc412130100"/>
      <w:bookmarkStart w:id="105" w:name="_Toc412815094"/>
      <w:bookmarkStart w:id="106" w:name="_Toc413156276"/>
      <w:bookmarkStart w:id="107" w:name="_Toc408002482"/>
      <w:r w:rsidRPr="00C07CCA">
        <w:rPr>
          <w:lang w:val="ro-RO"/>
        </w:rPr>
        <w:t>7.1.</w:t>
      </w:r>
      <w:r w:rsidRPr="00C07CCA">
        <w:rPr>
          <w:lang w:val="ro-RO"/>
        </w:rPr>
        <w:tab/>
      </w:r>
      <w:r>
        <w:rPr>
          <w:noProof/>
          <w:lang w:val="ro-RO"/>
        </w:rPr>
        <w:t>Mobilizarea de fonduri publice și private pentru finanțarea combaterii schimbărilor climatice</w:t>
      </w:r>
      <w:bookmarkEnd w:id="101"/>
      <w:bookmarkEnd w:id="102"/>
      <w:bookmarkEnd w:id="103"/>
      <w:bookmarkEnd w:id="104"/>
      <w:bookmarkEnd w:id="105"/>
      <w:bookmarkEnd w:id="106"/>
    </w:p>
    <w:p w:rsidR="000A45DE" w:rsidRDefault="00C07CCA">
      <w:pPr>
        <w:rPr>
          <w:noProof/>
          <w:lang w:val="ro-RO"/>
        </w:rPr>
      </w:pPr>
      <w:r>
        <w:rPr>
          <w:noProof/>
          <w:lang w:val="ro-RO"/>
        </w:rPr>
        <w:t xml:space="preserve">Transformarea în economii cu emisii reduse de carbon, rezistente la schimbările climatice, va fi realizată numai prin schimbări </w:t>
      </w:r>
      <w:r>
        <w:rPr>
          <w:noProof/>
          <w:lang w:val="ro-RO"/>
        </w:rPr>
        <w:t>majore ale modelelor de investiții. Protocolul ar trebui să promoveze investițiile cu emisii scăzute, programe și politici rezistente la schimbările climatice. Toate țările ar trebui să se angajeze să ia măsuri pentru a crea condiții favorabile pentru atra</w:t>
      </w:r>
      <w:r>
        <w:rPr>
          <w:noProof/>
          <w:lang w:val="ro-RO"/>
        </w:rPr>
        <w:t>gerea investițiilor ecologice. În baza comunicării Comisiei „Un parteneriat global pentru eradicarea sărăciei și dezvoltarea durabilă după 2015”, toate resursele ar trebui să fie folosite în mod eficace pentru a atinge diferite obiective în materie de dezv</w:t>
      </w:r>
      <w:r>
        <w:rPr>
          <w:noProof/>
          <w:lang w:val="ro-RO"/>
        </w:rPr>
        <w:t>oltare durabilă și climă convenite la nivel internațional. Țările care sunt în măsură să facă acest lucru ar trebui să mobilizeze sprijin financiar pentru părțile la Protocol eligibile. Baza de sprijin financiar trebuie să fie extinsă pe parcurs, pe măsură</w:t>
      </w:r>
      <w:r>
        <w:rPr>
          <w:noProof/>
          <w:lang w:val="ro-RO"/>
        </w:rPr>
        <w:t xml:space="preserve"> ce se schimbă capacitățile Părților. De asemenea, toate părțile trebuie să ofere transparență privind impactul climatic al fluxurilor financiare care nu intră în cadrul finanțării combaterii schimbărilor climatice. Finanțarea pentru acțiunile de combatere</w:t>
      </w:r>
      <w:r>
        <w:rPr>
          <w:noProof/>
          <w:lang w:val="ro-RO"/>
        </w:rPr>
        <w:t xml:space="preserve"> a schimbărilor climatice ar trebui să reflecte angajamentele guvernelor naționale, favorizând crearea unor medii propice și a unor strategii de investiții după 2020. Cuantumul finanțării combaterii schimbărilor climatice care urmează să fie mobilizat va d</w:t>
      </w:r>
      <w:r>
        <w:rPr>
          <w:noProof/>
          <w:lang w:val="ro-RO"/>
        </w:rPr>
        <w:t>epinde, de asemenea, de nivelul de ambiție și de calitatea INDC-urilor, a planurilor de investiții ulterioare și a proceselor naționale de planificare a adaptării. În acest stadiu, întrucât INDC-urile și procesele naționale de planificare a adaptării nu su</w:t>
      </w:r>
      <w:r>
        <w:rPr>
          <w:noProof/>
          <w:lang w:val="ro-RO"/>
        </w:rPr>
        <w:t>nt pe deplin cunoscute, este prea devreme pentru a insista asupra importanței și tipului de finanțare necesară în materie de combatere a schimbărilor climatice după 2020.</w:t>
      </w:r>
    </w:p>
    <w:p w:rsidR="000A45DE" w:rsidRDefault="00C07CCA">
      <w:pPr>
        <w:rPr>
          <w:noProof/>
          <w:lang w:val="ro-RO"/>
        </w:rPr>
      </w:pPr>
      <w:r>
        <w:rPr>
          <w:noProof/>
          <w:lang w:val="ro-RO"/>
        </w:rPr>
        <w:t>Finanțarea combaterii schimbărilor climatice din sectorul public va continua să joace</w:t>
      </w:r>
      <w:r>
        <w:rPr>
          <w:noProof/>
          <w:lang w:val="ro-RO"/>
        </w:rPr>
        <w:t xml:space="preserve"> un rol important în mobilizarea resurselor după 2020. Protocolul ar trebui, de asemenea, să recunoască importanța sectorului privat ca sursă esențială pentru creșterea finanțării combaterii schimbărilor climatice. Protocolul ar trebui să clarifice rolul G</w:t>
      </w:r>
      <w:r>
        <w:rPr>
          <w:noProof/>
          <w:lang w:val="ro-RO"/>
        </w:rPr>
        <w:t>CF și GEF în furnizarea de sprijin pentru punerea în aplicare. Ar trebui să ofere garanții că țările cele mai sărace și mai vulnerabile în fața schimbărilor climatice vor continua să primească sprijin prioritar. Acest lucru poate fi realizat cel mai bine î</w:t>
      </w:r>
      <w:r>
        <w:rPr>
          <w:noProof/>
          <w:lang w:val="ro-RO"/>
        </w:rPr>
        <w:t>n cazul în care cadrul de finanțare prevăzut de Protocolul este în deplină concordanță cu procesul de finanțare pentru dezvoltare și cu agenda de dezvoltare de după 2015.</w:t>
      </w:r>
    </w:p>
    <w:p w:rsidR="000A45DE" w:rsidRDefault="00C07CCA">
      <w:pPr>
        <w:rPr>
          <w:noProof/>
          <w:lang w:val="ro-RO"/>
        </w:rPr>
      </w:pPr>
      <w:r>
        <w:rPr>
          <w:noProof/>
          <w:lang w:val="ro-RO"/>
        </w:rPr>
        <w:t>Protocolul ar trebui să promoveze formularea și aplicarea unor condiții favorabile pe</w:t>
      </w:r>
      <w:r>
        <w:rPr>
          <w:noProof/>
          <w:lang w:val="ro-RO"/>
        </w:rPr>
        <w:t xml:space="preserve">ntru tranziția către economii cu emisii reduse de carbon și rezistente la schimbările climatice, inclusiv: </w:t>
      </w:r>
    </w:p>
    <w:p w:rsidR="000A45DE" w:rsidRDefault="00C07CCA">
      <w:pPr>
        <w:numPr>
          <w:ilvl w:val="0"/>
          <w:numId w:val="49"/>
        </w:numPr>
        <w:rPr>
          <w:noProof/>
          <w:lang w:val="ro-RO"/>
        </w:rPr>
      </w:pPr>
      <w:r>
        <w:rPr>
          <w:noProof/>
          <w:lang w:val="ro-RO"/>
        </w:rPr>
        <w:t xml:space="preserve">politici climatice ambițioase la nivel național; </w:t>
      </w:r>
    </w:p>
    <w:p w:rsidR="000A45DE" w:rsidRDefault="00C07CCA">
      <w:pPr>
        <w:numPr>
          <w:ilvl w:val="0"/>
          <w:numId w:val="49"/>
        </w:numPr>
        <w:rPr>
          <w:noProof/>
          <w:lang w:val="ro-RO"/>
        </w:rPr>
      </w:pPr>
      <w:r>
        <w:rPr>
          <w:noProof/>
          <w:lang w:val="ro-RO"/>
        </w:rPr>
        <w:t>o guvernanță eficace, inclusiv cadre de investiții, stimulente și instrumente de finanțare care să</w:t>
      </w:r>
      <w:r>
        <w:rPr>
          <w:noProof/>
          <w:lang w:val="ro-RO"/>
        </w:rPr>
        <w:t xml:space="preserve"> favorizeze investiții cu emisii reduse de carbon și rezistente la schimbările climatice; </w:t>
      </w:r>
    </w:p>
    <w:p w:rsidR="000A45DE" w:rsidRDefault="00C07CCA">
      <w:pPr>
        <w:numPr>
          <w:ilvl w:val="0"/>
          <w:numId w:val="49"/>
        </w:numPr>
        <w:rPr>
          <w:noProof/>
          <w:lang w:val="ro-RO"/>
        </w:rPr>
      </w:pPr>
      <w:r>
        <w:rPr>
          <w:noProof/>
          <w:lang w:val="ro-RO"/>
        </w:rPr>
        <w:t xml:space="preserve">furnizarea de informații cu privire la abordarea schimbărilor climatice. </w:t>
      </w:r>
    </w:p>
    <w:p w:rsidR="000A45DE" w:rsidRDefault="00C07CCA">
      <w:pPr>
        <w:rPr>
          <w:noProof/>
          <w:lang w:val="ro-RO"/>
        </w:rPr>
      </w:pPr>
      <w:r>
        <w:rPr>
          <w:noProof/>
          <w:lang w:val="ro-RO"/>
        </w:rPr>
        <w:t>Stabilirea prețului la carbon și politicile de investiții ale băncilor publice de dezvoltar</w:t>
      </w:r>
      <w:r>
        <w:rPr>
          <w:noProof/>
          <w:lang w:val="ro-RO"/>
        </w:rPr>
        <w:t>e vor juca un rol central în acest sens. Integrarea considerentelor privind schimbările climatice în toate politicile, strategiile de dezvoltare și investițiile este esențială pentru a utiliza sinergiile dintre finanțarea pentru dezvoltare, atenuare și ada</w:t>
      </w:r>
      <w:r>
        <w:rPr>
          <w:noProof/>
          <w:lang w:val="ro-RO"/>
        </w:rPr>
        <w:t>ptare.</w:t>
      </w:r>
    </w:p>
    <w:p w:rsidR="000A45DE" w:rsidRDefault="00C07CCA">
      <w:pPr>
        <w:pStyle w:val="ManualHeading2"/>
        <w:rPr>
          <w:noProof/>
          <w:lang w:val="ro-RO"/>
        </w:rPr>
      </w:pPr>
      <w:bookmarkStart w:id="108" w:name="_Toc408492794"/>
      <w:bookmarkStart w:id="109" w:name="_Toc409641559"/>
      <w:bookmarkStart w:id="110" w:name="_Toc412130101"/>
      <w:bookmarkStart w:id="111" w:name="_Toc412815095"/>
      <w:bookmarkStart w:id="112" w:name="_Toc413156277"/>
      <w:r w:rsidRPr="00C07CCA">
        <w:rPr>
          <w:lang w:val="ro-RO"/>
        </w:rPr>
        <w:t>7.2.</w:t>
      </w:r>
      <w:r w:rsidRPr="00C07CCA">
        <w:rPr>
          <w:lang w:val="ro-RO"/>
        </w:rPr>
        <w:tab/>
      </w:r>
      <w:r>
        <w:rPr>
          <w:noProof/>
          <w:lang w:val="ro-RO"/>
        </w:rPr>
        <w:t>Intensificarea acțiunilor de cooperare internațională</w:t>
      </w:r>
      <w:bookmarkEnd w:id="107"/>
      <w:bookmarkEnd w:id="108"/>
      <w:bookmarkEnd w:id="109"/>
      <w:bookmarkEnd w:id="110"/>
      <w:bookmarkEnd w:id="111"/>
      <w:bookmarkEnd w:id="112"/>
    </w:p>
    <w:p w:rsidR="000A45DE" w:rsidRDefault="00C07CCA">
      <w:pPr>
        <w:rPr>
          <w:noProof/>
          <w:lang w:val="ro-RO"/>
        </w:rPr>
      </w:pPr>
      <w:r>
        <w:rPr>
          <w:noProof/>
          <w:lang w:val="ro-RO"/>
        </w:rPr>
        <w:t xml:space="preserve">Schimbul de informații cu privire la elaborarea politicilor și promovarea bunelor practici va accelera și extinde acțiunile de combatere a schimbărilor climatice. În ultimii ani, UE a fost </w:t>
      </w:r>
      <w:r>
        <w:rPr>
          <w:noProof/>
          <w:lang w:val="ro-RO"/>
        </w:rPr>
        <w:t xml:space="preserve">proactivă în inițiativele bilaterale și multilaterale în această direcție, de exemplu prin intermediul dialogurilor politice bilaterale privind comercializarea certificatelor de emisii, lansarea de inițiative în materie de energie durabilă care contribuie </w:t>
      </w:r>
      <w:r>
        <w:rPr>
          <w:noProof/>
          <w:lang w:val="ro-RO"/>
        </w:rPr>
        <w:t>la dezvoltarea unei economii cu emisii scăzute de carbon sau prin promovarea dezvoltării și implementării concrete a politicilor de adaptare prin intermediul Alianței mondiale împotriva schimbărilor climatice, care cuprinde în prezent 38 de țări în curs de</w:t>
      </w:r>
      <w:r>
        <w:rPr>
          <w:noProof/>
          <w:lang w:val="ro-RO"/>
        </w:rPr>
        <w:t xml:space="preserve"> dezvoltare vulnerabile și opt regiuni din Africa, Asia, zona Caraibilor și a Pacificului.</w:t>
      </w:r>
    </w:p>
    <w:p w:rsidR="000A45DE" w:rsidRDefault="00C07CCA">
      <w:pPr>
        <w:rPr>
          <w:noProof/>
          <w:lang w:val="ro-RO"/>
        </w:rPr>
      </w:pPr>
      <w:r>
        <w:rPr>
          <w:noProof/>
          <w:lang w:val="ro-RO"/>
        </w:rPr>
        <w:t>Protocolul ar trebui să încurajeze un schimb mai sistematic de experiență în și între regiunile geografice, reunind expertiza tehnică, inclusiv din partea unor organ</w:t>
      </w:r>
      <w:r>
        <w:rPr>
          <w:noProof/>
          <w:lang w:val="ro-RO"/>
        </w:rPr>
        <w:t>izații specializate, a sectorului privat, a mediului academic, a regiunilor și a municipalităților. Protocolul ar trebui să prevadă recunoașterea unor inițiative semnificative, care pun în aplicare și completează eforturile depuse la nivel național în vede</w:t>
      </w:r>
      <w:r>
        <w:rPr>
          <w:noProof/>
          <w:lang w:val="ro-RO"/>
        </w:rPr>
        <w:t>rea reducerii emisiilor și a adaptării la efectele adverse ale schimbărilor climatice. La Conferința de la Paris ar trebui, de asemenea, să fie decisă continuarea programului de lucru pentru a identifica acțiuni de atenuare suplimentare în 2016, în strânsă</w:t>
      </w:r>
      <w:r>
        <w:rPr>
          <w:noProof/>
          <w:lang w:val="ro-RO"/>
        </w:rPr>
        <w:t xml:space="preserve"> colaborare cu Fondul verde pentru climă și cu alte instituții financiare. Acest lucru poate fi deosebit de relevant în cazul în care există un decalaj între nivelul global de ambiție privind angajamentele de atenuare și nivelul necesar de reducere a emisi</w:t>
      </w:r>
      <w:r>
        <w:rPr>
          <w:noProof/>
          <w:lang w:val="ro-RO"/>
        </w:rPr>
        <w:t>ilor pentru a atinge obiectivul „sub 2 °C”.</w:t>
      </w:r>
    </w:p>
    <w:p w:rsidR="000A45DE" w:rsidRDefault="00C07CCA">
      <w:pPr>
        <w:pStyle w:val="ManualHeading2"/>
        <w:rPr>
          <w:noProof/>
          <w:lang w:val="ro-RO"/>
        </w:rPr>
      </w:pPr>
      <w:bookmarkStart w:id="113" w:name="_Toc408490216"/>
      <w:bookmarkStart w:id="114" w:name="_Toc408490219"/>
      <w:bookmarkStart w:id="115" w:name="_Toc408490220"/>
      <w:bookmarkStart w:id="116" w:name="_Toc408490221"/>
      <w:bookmarkStart w:id="117" w:name="_Toc408490222"/>
      <w:bookmarkStart w:id="118" w:name="_Toc408002483"/>
      <w:bookmarkStart w:id="119" w:name="_Toc408492795"/>
      <w:bookmarkStart w:id="120" w:name="_Toc409641560"/>
      <w:bookmarkStart w:id="121" w:name="_Toc412130102"/>
      <w:bookmarkStart w:id="122" w:name="_Toc412815096"/>
      <w:bookmarkStart w:id="123" w:name="_Toc413156278"/>
      <w:bookmarkEnd w:id="113"/>
      <w:bookmarkEnd w:id="114"/>
      <w:bookmarkEnd w:id="115"/>
      <w:bookmarkEnd w:id="116"/>
      <w:bookmarkEnd w:id="117"/>
      <w:r w:rsidRPr="00C07CCA">
        <w:rPr>
          <w:lang w:val="ro-RO"/>
        </w:rPr>
        <w:t>7.3.</w:t>
      </w:r>
      <w:r w:rsidRPr="00C07CCA">
        <w:rPr>
          <w:lang w:val="ro-RO"/>
        </w:rPr>
        <w:tab/>
      </w:r>
      <w:r>
        <w:rPr>
          <w:noProof/>
          <w:lang w:val="ro-RO"/>
        </w:rPr>
        <w:t xml:space="preserve">Sprijinirea dezvoltării și utilizării </w:t>
      </w:r>
      <w:bookmarkEnd w:id="118"/>
      <w:r>
        <w:rPr>
          <w:noProof/>
          <w:lang w:val="ro-RO"/>
        </w:rPr>
        <w:t xml:space="preserve">tehnologiilor </w:t>
      </w:r>
      <w:bookmarkEnd w:id="119"/>
      <w:bookmarkEnd w:id="120"/>
      <w:bookmarkEnd w:id="121"/>
      <w:r>
        <w:rPr>
          <w:noProof/>
          <w:lang w:val="ro-RO"/>
        </w:rPr>
        <w:t>legate de climă</w:t>
      </w:r>
      <w:bookmarkEnd w:id="122"/>
      <w:bookmarkEnd w:id="123"/>
    </w:p>
    <w:p w:rsidR="000A45DE" w:rsidRDefault="00C07CCA">
      <w:pPr>
        <w:rPr>
          <w:noProof/>
          <w:lang w:val="ro-RO"/>
        </w:rPr>
      </w:pPr>
      <w:r>
        <w:rPr>
          <w:noProof/>
          <w:lang w:val="ro-RO"/>
        </w:rPr>
        <w:t>Dezvoltarea și utilizarea tehnologiilor legate de climă au un rol esențial în atingerea obiectivelor în materie de combatere a schimbărilor</w:t>
      </w:r>
      <w:r>
        <w:rPr>
          <w:noProof/>
          <w:lang w:val="ro-RO"/>
        </w:rPr>
        <w:t xml:space="preserve"> climatice, precum și în crearea de locuri de muncă și în favorizarea unei creșteri economice durabile. Fondurile de cercetare, măsurile de introducere pe piață, programele de educație, finanțele și politicile care impun un preț asupra emisiilor creează la</w:t>
      </w:r>
      <w:r>
        <w:rPr>
          <w:noProof/>
          <w:lang w:val="ro-RO"/>
        </w:rPr>
        <w:t xml:space="preserve">olaltă un mediu propice pentru o gamă largă de tehnologii. Printre acestea se numără tehnologiile care favorizează rezistența la impactul fenomenelor meteorologice extreme, serviciile climatice și sistemele de gestionare a apei, precum și tehnologiile din </w:t>
      </w:r>
      <w:r>
        <w:rPr>
          <w:noProof/>
          <w:lang w:val="ro-RO"/>
        </w:rPr>
        <w:t>domeniul producerii de energie, proceselor industriale, transportului, agriculturii și reducerii defrișărilor.</w:t>
      </w:r>
    </w:p>
    <w:p w:rsidR="000A45DE" w:rsidRDefault="00C07CCA">
      <w:pPr>
        <w:rPr>
          <w:noProof/>
          <w:lang w:val="ro-RO"/>
        </w:rPr>
      </w:pPr>
      <w:r>
        <w:rPr>
          <w:noProof/>
          <w:lang w:val="ro-RO"/>
        </w:rPr>
        <w:t>Țările aleg opțiunile tehnologice cele mai adecvate pentru ele, sprijinindu-se adesea în alegerea lor pe evaluările privind necesitățile în mater</w:t>
      </w:r>
      <w:r>
        <w:rPr>
          <w:noProof/>
          <w:lang w:val="ro-RO"/>
        </w:rPr>
        <w:t>ie de tehnologie și pe Centrul și rețeaua pentru tehnologie în domeniul schimbărilor climatice (CTCN). Inovarea, inclusiv extrapolarea necesară a transferului de tehnologie, depinde de colaborarea voluntară cu actorii din sectorul privat pentru a dezvolta,</w:t>
      </w:r>
      <w:r>
        <w:rPr>
          <w:noProof/>
          <w:lang w:val="ro-RO"/>
        </w:rPr>
        <w:t xml:space="preserve"> finanța și aplica o tehnologie. Este esențial să se mențină actualele norme în materie de proprietate intelectuală.</w:t>
      </w:r>
    </w:p>
    <w:p w:rsidR="000A45DE" w:rsidRDefault="00C07CCA">
      <w:pPr>
        <w:rPr>
          <w:noProof/>
          <w:lang w:val="ro-RO"/>
        </w:rPr>
      </w:pPr>
      <w:r>
        <w:rPr>
          <w:noProof/>
          <w:lang w:val="ro-RO"/>
        </w:rPr>
        <w:t>Protocolul ar trebui să recunoască rolul jucat deja de Comitetul executiv tehnologic și de CTCN, în combinație cu o reformă a procesului de</w:t>
      </w:r>
      <w:r>
        <w:rPr>
          <w:noProof/>
          <w:lang w:val="ro-RO"/>
        </w:rPr>
        <w:t xml:space="preserve"> evaluare a nevoilor tehnologice. </w:t>
      </w:r>
    </w:p>
    <w:p w:rsidR="000A45DE" w:rsidRDefault="00C07CCA">
      <w:pPr>
        <w:pStyle w:val="ManualHeading2"/>
        <w:rPr>
          <w:noProof/>
          <w:lang w:val="ro-RO"/>
        </w:rPr>
      </w:pPr>
      <w:bookmarkStart w:id="124" w:name="_Toc408002484"/>
      <w:bookmarkStart w:id="125" w:name="_Toc408492796"/>
      <w:bookmarkStart w:id="126" w:name="_Toc409641561"/>
      <w:bookmarkStart w:id="127" w:name="_Toc412130103"/>
      <w:bookmarkStart w:id="128" w:name="_Toc412815097"/>
      <w:bookmarkStart w:id="129" w:name="_Toc413156279"/>
      <w:r w:rsidRPr="00C07CCA">
        <w:rPr>
          <w:lang w:val="ro-RO"/>
        </w:rPr>
        <w:t>7.4.</w:t>
      </w:r>
      <w:r w:rsidRPr="00C07CCA">
        <w:rPr>
          <w:lang w:val="ro-RO"/>
        </w:rPr>
        <w:tab/>
      </w:r>
      <w:r>
        <w:rPr>
          <w:noProof/>
          <w:lang w:val="ro-RO"/>
        </w:rPr>
        <w:t>Dezvoltarea capacităților</w:t>
      </w:r>
      <w:bookmarkEnd w:id="124"/>
      <w:bookmarkEnd w:id="125"/>
      <w:bookmarkEnd w:id="126"/>
      <w:bookmarkEnd w:id="127"/>
      <w:bookmarkEnd w:id="128"/>
      <w:bookmarkEnd w:id="129"/>
    </w:p>
    <w:p w:rsidR="000A45DE" w:rsidRDefault="00C07CCA">
      <w:pPr>
        <w:rPr>
          <w:noProof/>
          <w:lang w:val="ro-RO"/>
        </w:rPr>
      </w:pPr>
      <w:r>
        <w:rPr>
          <w:noProof/>
          <w:lang w:val="ro-RO"/>
        </w:rPr>
        <w:t>Consolidarea capacităților trebuie să fie parte integrantă din sprijinul oferit tuturor activităților legate de Protocol, inclusiv planificarea pentru adaptare, obligațiile de raportare, inv</w:t>
      </w:r>
      <w:r>
        <w:rPr>
          <w:noProof/>
          <w:lang w:val="ro-RO"/>
        </w:rPr>
        <w:t xml:space="preserve">entarierea emisiilor, transferul de tehnologie, precum și proiectele de atenuare a efectelor schimbărilor climatice. Această consolidare ar trebui, prin urmare, să fie realizată de instituțiile responsabile pentru activitățile de sprijin în aceste domenii </w:t>
      </w:r>
      <w:r>
        <w:rPr>
          <w:noProof/>
          <w:lang w:val="ro-RO"/>
        </w:rPr>
        <w:t>și să fie adaptată în funcție de nevoile țărilor.</w:t>
      </w:r>
    </w:p>
    <w:p w:rsidR="000A45DE" w:rsidRDefault="00C07CCA">
      <w:pPr>
        <w:rPr>
          <w:noProof/>
          <w:lang w:val="ro-RO"/>
        </w:rPr>
      </w:pPr>
      <w:r>
        <w:rPr>
          <w:noProof/>
          <w:lang w:val="ro-RO"/>
        </w:rPr>
        <w:t>Dispozițiile existente în temeiul Convenției ar putea fi consolidate, deși Forumul de la Durban privind consolidarea capacităților va rămâne un cadru corespunzător pentru discuții pe această temă. UE lucrea</w:t>
      </w:r>
      <w:r>
        <w:rPr>
          <w:noProof/>
          <w:lang w:val="ro-RO"/>
        </w:rPr>
        <w:t>ză la integrarea dezvoltării capacităților în sprijinul său pentru acțiunile de combatere a schimbărilor climatice în țările în curs de dezvoltare, inclusiv în ceea ce privește angajamentele de atenuare.</w:t>
      </w:r>
    </w:p>
    <w:p w:rsidR="000A45DE" w:rsidRDefault="00C07CCA">
      <w:pPr>
        <w:rPr>
          <w:noProof/>
          <w:lang w:val="ro-RO"/>
        </w:rPr>
      </w:pPr>
      <w:r>
        <w:rPr>
          <w:noProof/>
          <w:lang w:val="ro-RO"/>
        </w:rPr>
        <w:t>Conferința de la Paris ar trebui să accepte să sprij</w:t>
      </w:r>
      <w:r>
        <w:rPr>
          <w:noProof/>
          <w:lang w:val="ro-RO"/>
        </w:rPr>
        <w:t>ine țările care au nevoie de ajutor pentru a institui inventare de emisii, sisteme de monitorizare, raportare și verificare și pentru a elabora strategii de dezvoltare cu emisii reduse și rezistentă la schimbările climatice, cu structuri de stimulente adec</w:t>
      </w:r>
      <w:r>
        <w:rPr>
          <w:noProof/>
          <w:lang w:val="ro-RO"/>
        </w:rPr>
        <w:t>vate.</w:t>
      </w:r>
    </w:p>
    <w:p w:rsidR="000A45DE" w:rsidRDefault="00C07CCA">
      <w:pPr>
        <w:pStyle w:val="ManualHeading1"/>
        <w:rPr>
          <w:noProof/>
          <w:lang w:val="ro-RO"/>
        </w:rPr>
      </w:pPr>
      <w:bookmarkStart w:id="130" w:name="_Toc409641562"/>
      <w:bookmarkStart w:id="131" w:name="_Toc412130104"/>
      <w:bookmarkStart w:id="132" w:name="_Toc412815098"/>
      <w:bookmarkStart w:id="133" w:name="_Toc413156280"/>
      <w:bookmarkStart w:id="134" w:name="_Toc408492797"/>
      <w:r w:rsidRPr="00C07CCA">
        <w:rPr>
          <w:lang w:val="ro-RO"/>
        </w:rPr>
        <w:t>8.</w:t>
      </w:r>
      <w:r w:rsidRPr="00C07CCA">
        <w:rPr>
          <w:lang w:val="ro-RO"/>
        </w:rPr>
        <w:tab/>
      </w:r>
      <w:r>
        <w:rPr>
          <w:noProof/>
          <w:lang w:val="ro-RO"/>
        </w:rPr>
        <w:t>Mobilizarea altor politici ale UE</w:t>
      </w:r>
      <w:bookmarkEnd w:id="130"/>
      <w:bookmarkEnd w:id="131"/>
      <w:bookmarkEnd w:id="132"/>
      <w:bookmarkEnd w:id="133"/>
    </w:p>
    <w:p w:rsidR="000A45DE" w:rsidRDefault="00C07CCA">
      <w:pPr>
        <w:rPr>
          <w:noProof/>
          <w:lang w:val="ro-RO"/>
        </w:rPr>
      </w:pPr>
      <w:r>
        <w:rPr>
          <w:noProof/>
          <w:lang w:val="ro-RO"/>
        </w:rPr>
        <w:t>În lunile următoare, UE își va intensifica diplomația în domeniul climei în vederea Conferinței de la Paris. Miniștrii afacerilor externe din UE au adoptat un plan de acțiune privind diplomația în domeniul climei,</w:t>
      </w:r>
      <w:r>
        <w:rPr>
          <w:noProof/>
          <w:lang w:val="ro-RO"/>
        </w:rPr>
        <w:t xml:space="preserve"> elaborat în comun de Serviciul European de Acțiune Externă și de Comisie. </w:t>
      </w:r>
    </w:p>
    <w:p w:rsidR="000A45DE" w:rsidRDefault="00C07CCA">
      <w:pPr>
        <w:rPr>
          <w:noProof/>
          <w:lang w:val="ro-RO"/>
        </w:rPr>
      </w:pPr>
      <w:r>
        <w:rPr>
          <w:noProof/>
          <w:lang w:val="ro-RO"/>
        </w:rPr>
        <w:t>Acesta prevede următoarele acțiuni:</w:t>
      </w:r>
    </w:p>
    <w:p w:rsidR="000A45DE" w:rsidRDefault="00C07CCA">
      <w:pPr>
        <w:numPr>
          <w:ilvl w:val="0"/>
          <w:numId w:val="44"/>
        </w:numPr>
        <w:rPr>
          <w:noProof/>
          <w:lang w:val="ro-RO"/>
        </w:rPr>
      </w:pPr>
      <w:r>
        <w:rPr>
          <w:noProof/>
          <w:lang w:val="ro-RO"/>
        </w:rPr>
        <w:t>definirea schimbărilor climatice drept o prioritate strategică în dialogurile politice, inclusiv în cadrul reuniunilor G 7 și G 20 și al Adunări</w:t>
      </w:r>
      <w:r>
        <w:rPr>
          <w:noProof/>
          <w:lang w:val="ro-RO"/>
        </w:rPr>
        <w:t>i Generale a ONU;</w:t>
      </w:r>
    </w:p>
    <w:p w:rsidR="000A45DE" w:rsidRDefault="00C07CCA">
      <w:pPr>
        <w:numPr>
          <w:ilvl w:val="0"/>
          <w:numId w:val="44"/>
        </w:numPr>
        <w:rPr>
          <w:noProof/>
          <w:lang w:val="ro-RO"/>
        </w:rPr>
      </w:pPr>
      <w:r>
        <w:rPr>
          <w:noProof/>
          <w:lang w:val="ro-RO"/>
        </w:rPr>
        <w:t xml:space="preserve">sprijinirea unei dezvoltări cu emisii reduse și rezistente la schimbările climatice și la dezastre, prin cooperarea pentru dezvoltare a UE; </w:t>
      </w:r>
    </w:p>
    <w:p w:rsidR="000A45DE" w:rsidRDefault="00C07CCA">
      <w:pPr>
        <w:numPr>
          <w:ilvl w:val="0"/>
          <w:numId w:val="44"/>
        </w:numPr>
        <w:rPr>
          <w:noProof/>
          <w:lang w:val="ro-RO"/>
        </w:rPr>
      </w:pPr>
      <w:r>
        <w:rPr>
          <w:noProof/>
          <w:lang w:val="ro-RO"/>
        </w:rPr>
        <w:t>stabilirea unei legături între schimbările climatice și posibilele sale consecințe pe termen lung</w:t>
      </w:r>
      <w:r>
        <w:rPr>
          <w:noProof/>
          <w:lang w:val="ro-RO"/>
        </w:rPr>
        <w:t>, inclusiv provocările în materie de securitate.</w:t>
      </w:r>
    </w:p>
    <w:p w:rsidR="000A45DE" w:rsidRDefault="00C07CCA">
      <w:pPr>
        <w:rPr>
          <w:noProof/>
          <w:lang w:val="ro-RO"/>
        </w:rPr>
      </w:pPr>
      <w:r>
        <w:rPr>
          <w:noProof/>
          <w:lang w:val="ro-RO"/>
        </w:rPr>
        <w:t>În plus, alte politici ale UE pot sprijini în mod activ îndeplinirea obiectivelor UE în procesul de negociere internațională și punerea în aplicare a Protocolului în țările partenere. Ele pot ajuta țările pa</w:t>
      </w:r>
      <w:r>
        <w:rPr>
          <w:noProof/>
          <w:lang w:val="ro-RO"/>
        </w:rPr>
        <w:t>rtenere în faza pregătitoare a Protocolului și, ulterior, în momentul punerii sale în aplicare. Printre acestea se numără:</w:t>
      </w:r>
    </w:p>
    <w:p w:rsidR="000A45DE" w:rsidRDefault="00C07CCA">
      <w:pPr>
        <w:numPr>
          <w:ilvl w:val="0"/>
          <w:numId w:val="45"/>
        </w:numPr>
        <w:rPr>
          <w:noProof/>
          <w:lang w:val="ro-RO"/>
        </w:rPr>
      </w:pPr>
      <w:r>
        <w:rPr>
          <w:noProof/>
          <w:lang w:val="ro-RO"/>
        </w:rPr>
        <w:t>Cooperarea economică și pentru dezvoltare. UE și statele sale membre sunt deja principalii furnizori de ajutor public pentru dezvolta</w:t>
      </w:r>
      <w:r>
        <w:rPr>
          <w:noProof/>
          <w:lang w:val="ro-RO"/>
        </w:rPr>
        <w:t>re și de finanțare privind acțiunile de combatere a schimbărilor climatice în țările în curs de dezvoltare. UE a alocat finanțare în valoare de peste 9,5 miliarde EUR pentru combaterea schimbărilor climatice în 2013. UE ar trebui să continue să integreze o</w:t>
      </w:r>
      <w:r>
        <w:rPr>
          <w:noProof/>
          <w:lang w:val="ro-RO"/>
        </w:rPr>
        <w:t>biectivele privind schimbările climatice în cooperarea economică și pentru dezvoltare. În acest scop, în perioada 2014-2020 s-a convenit deja că cel puțin 20 % din ajutorul pentru dezvoltare acordat de UE va trebui să fie relevant din punct de vedere clima</w:t>
      </w:r>
      <w:r>
        <w:rPr>
          <w:noProof/>
          <w:lang w:val="ro-RO"/>
        </w:rPr>
        <w:t>tic (circa 14 miliarde EUR), iar statele membre ar trebui, de asemenea, să stabilească obiective clare de integrare. În plus, UE și statele membre ar trebui să își intensifice coordonarea privind finanțarea combaterii schimbărilor climatice la nivel global</w:t>
      </w:r>
      <w:r>
        <w:rPr>
          <w:noProof/>
          <w:lang w:val="ro-RO"/>
        </w:rPr>
        <w:t>, pentru a spori impactul și eficiența rezultatelor.</w:t>
      </w:r>
    </w:p>
    <w:p w:rsidR="000A45DE" w:rsidRDefault="00C07CCA">
      <w:pPr>
        <w:numPr>
          <w:ilvl w:val="0"/>
          <w:numId w:val="45"/>
        </w:numPr>
        <w:rPr>
          <w:noProof/>
          <w:lang w:val="ro-RO"/>
        </w:rPr>
      </w:pPr>
      <w:r>
        <w:rPr>
          <w:noProof/>
          <w:lang w:val="ro-RO"/>
        </w:rPr>
        <w:t>Cercetarea științifică, dezvoltarea tehnologică și politica în materie de inovare. UE va valorifica mai bine faptul că Programul-cadru pentru cercetare și inovare Orizont 2020 este întru totul deschis că</w:t>
      </w:r>
      <w:r>
        <w:rPr>
          <w:noProof/>
          <w:lang w:val="ro-RO"/>
        </w:rPr>
        <w:t>tre participarea țărilor terțe și oferă sprijin financiar țărilor mai puțin dezvoltate. UE își va face mai bine cunoscut angajamentul său de a investi în baza acestui program cel puțin 28 de miliarde EUR pentru acțiunile legate de climă. O parte dintre ace</w:t>
      </w:r>
      <w:r>
        <w:rPr>
          <w:noProof/>
          <w:lang w:val="ro-RO"/>
        </w:rPr>
        <w:t>ste fonduri vor permite o amplă colaborare internațională pentru a aduce pe piață tehnologiile legate de climă, pentru a sensibiliza oamenii de știință și antreprenorii și pentru a contribui la obiectivele diplomației europene a schimbărilor climatice.</w:t>
      </w:r>
    </w:p>
    <w:p w:rsidR="000A45DE" w:rsidRDefault="00C07CCA">
      <w:pPr>
        <w:numPr>
          <w:ilvl w:val="0"/>
          <w:numId w:val="45"/>
        </w:numPr>
        <w:rPr>
          <w:noProof/>
          <w:lang w:val="ro-RO"/>
        </w:rPr>
      </w:pPr>
      <w:r>
        <w:rPr>
          <w:noProof/>
          <w:lang w:val="ro-RO"/>
        </w:rPr>
        <w:t>Pol</w:t>
      </w:r>
      <w:r>
        <w:rPr>
          <w:noProof/>
          <w:lang w:val="ro-RO"/>
        </w:rPr>
        <w:t>itica comercială. În acordurile comerciale bilaterale cu partenerii săi de liber schimb, UE se angajează să promoveze obiectivele climatice și să pună efectiv în aplicare CCONUSC, inclusiv prin dialoguri structurate și periodice și prin cooperare în materi</w:t>
      </w:r>
      <w:r>
        <w:rPr>
          <w:noProof/>
          <w:lang w:val="ro-RO"/>
        </w:rPr>
        <w:t>e comercială și climatică. În cadrul sistemului SGP+, UE oferă un acces sporit la piață pentru țările în curs de dezvoltare care au ratificat și au pus efectiv în aplicare convenții internaționale, inclusiv în materie de schimbări climatice. În cadrul OMC,</w:t>
      </w:r>
      <w:r>
        <w:rPr>
          <w:noProof/>
          <w:lang w:val="ro-RO"/>
        </w:rPr>
        <w:t xml:space="preserve"> UE colaborează cu partenerii săi comerciali pentru încheierea unui acord internațional important cu privire la liberalizarea comerțului cu bunuri și servicii de mediu, înainte de sfârșitul anului 2015, cu scopul de a spori difuzarea și adoptarea unor tehn</w:t>
      </w:r>
      <w:r>
        <w:rPr>
          <w:noProof/>
          <w:lang w:val="ro-RO"/>
        </w:rPr>
        <w:t>ologii care reduc impactul asupra mediului.</w:t>
      </w:r>
    </w:p>
    <w:p w:rsidR="000A45DE" w:rsidRDefault="00C07CCA">
      <w:pPr>
        <w:numPr>
          <w:ilvl w:val="0"/>
          <w:numId w:val="45"/>
        </w:numPr>
        <w:rPr>
          <w:noProof/>
          <w:lang w:val="ro-RO"/>
        </w:rPr>
      </w:pPr>
      <w:r>
        <w:rPr>
          <w:noProof/>
          <w:lang w:val="ro-RO"/>
        </w:rPr>
        <w:t>Politica de mediu. Punerea în aplicare a angajamentelor UE în baza planului strategic mondial pentru biodiversitate, așa cum a fost aprobat prin Strategia UE în domeniul biodiversității, va fi esențială pentru ab</w:t>
      </w:r>
      <w:r>
        <w:rPr>
          <w:noProof/>
          <w:lang w:val="ro-RO"/>
        </w:rPr>
        <w:t>ordarea schimbărilor climatice, generând totodată beneficii sociale, economice și culturale conexe.</w:t>
      </w:r>
    </w:p>
    <w:p w:rsidR="000A45DE" w:rsidRDefault="00C07CCA">
      <w:pPr>
        <w:numPr>
          <w:ilvl w:val="0"/>
          <w:numId w:val="45"/>
        </w:numPr>
        <w:rPr>
          <w:noProof/>
          <w:lang w:val="ro-RO"/>
        </w:rPr>
      </w:pPr>
      <w:r>
        <w:rPr>
          <w:noProof/>
          <w:lang w:val="ro-RO"/>
        </w:rPr>
        <w:t>Reducerea riscului de dezastre. Cooperarea UE cu privire la managementul riscurilor de dezastre</w:t>
      </w:r>
      <w:r>
        <w:rPr>
          <w:rStyle w:val="FootnoteReference"/>
          <w:noProof/>
          <w:lang w:val="ro-RO"/>
        </w:rPr>
        <w:footnoteReference w:id="5"/>
      </w:r>
      <w:r>
        <w:rPr>
          <w:noProof/>
          <w:lang w:val="ro-RO"/>
        </w:rPr>
        <w:t>, care include elaborarea unor evaluări la nivel național al</w:t>
      </w:r>
      <w:r>
        <w:rPr>
          <w:noProof/>
          <w:lang w:val="ro-RO"/>
        </w:rPr>
        <w:t>e riscurilor, abordând, de asemenea, efectele schimbărilor climatice și îmbunătățirea managementului riscurilor, contribuie la consolidarea capacităților în vederea adaptării la schimbările climatice.</w:t>
      </w:r>
    </w:p>
    <w:p w:rsidR="000A45DE" w:rsidRDefault="00C07CCA">
      <w:pPr>
        <w:pStyle w:val="ManualHeading1"/>
        <w:rPr>
          <w:noProof/>
          <w:lang w:val="ro-RO"/>
        </w:rPr>
      </w:pPr>
      <w:bookmarkStart w:id="135" w:name="_Toc409641563"/>
      <w:bookmarkStart w:id="136" w:name="_Toc412130105"/>
      <w:bookmarkStart w:id="137" w:name="_Toc412815099"/>
      <w:bookmarkStart w:id="138" w:name="_Toc413156281"/>
      <w:r>
        <w:t>9.</w:t>
      </w:r>
      <w:r>
        <w:tab/>
      </w:r>
      <w:r>
        <w:rPr>
          <w:noProof/>
          <w:lang w:val="ro-RO"/>
        </w:rPr>
        <w:t>Următoarele</w:t>
      </w:r>
      <w:bookmarkEnd w:id="134"/>
      <w:r>
        <w:rPr>
          <w:noProof/>
          <w:lang w:val="ro-RO"/>
        </w:rPr>
        <w:t xml:space="preserve"> </w:t>
      </w:r>
      <w:bookmarkEnd w:id="135"/>
      <w:r>
        <w:rPr>
          <w:noProof/>
          <w:lang w:val="ro-RO"/>
        </w:rPr>
        <w:t>etape</w:t>
      </w:r>
      <w:bookmarkEnd w:id="136"/>
      <w:bookmarkEnd w:id="137"/>
      <w:bookmarkEnd w:id="138"/>
    </w:p>
    <w:p w:rsidR="000A45DE" w:rsidRDefault="00C07CCA">
      <w:pPr>
        <w:rPr>
          <w:noProof/>
          <w:lang w:val="ro-RO"/>
        </w:rPr>
      </w:pPr>
      <w:r>
        <w:rPr>
          <w:noProof/>
          <w:lang w:val="ro-RO"/>
        </w:rPr>
        <w:t>UE trebuie:</w:t>
      </w:r>
    </w:p>
    <w:p w:rsidR="000A45DE" w:rsidRDefault="00C07CCA">
      <w:pPr>
        <w:numPr>
          <w:ilvl w:val="0"/>
          <w:numId w:val="38"/>
        </w:numPr>
        <w:rPr>
          <w:noProof/>
          <w:lang w:val="ro-RO"/>
        </w:rPr>
      </w:pPr>
      <w:r>
        <w:rPr>
          <w:noProof/>
          <w:lang w:val="ro-RO"/>
        </w:rPr>
        <w:t>să prezinte propriul I</w:t>
      </w:r>
      <w:r>
        <w:rPr>
          <w:noProof/>
          <w:lang w:val="ro-RO"/>
        </w:rPr>
        <w:t>NDC până la sfârșitul primului trimestru al anului 2015;</w:t>
      </w:r>
    </w:p>
    <w:p w:rsidR="000A45DE" w:rsidRDefault="00C07CCA">
      <w:pPr>
        <w:numPr>
          <w:ilvl w:val="0"/>
          <w:numId w:val="38"/>
        </w:numPr>
        <w:rPr>
          <w:noProof/>
          <w:lang w:val="ro-RO"/>
        </w:rPr>
      </w:pPr>
      <w:r>
        <w:rPr>
          <w:noProof/>
          <w:lang w:val="ro-RO"/>
        </w:rPr>
        <w:t xml:space="preserve">să încurajeze economiile majore să preia inițiativa prin depunerea la timp a unor INDC-uri ambițioase, în special în cadrul Forumului economiilor majore, al G 20 și G 7; </w:t>
      </w:r>
    </w:p>
    <w:p w:rsidR="000A45DE" w:rsidRDefault="00C07CCA">
      <w:pPr>
        <w:numPr>
          <w:ilvl w:val="0"/>
          <w:numId w:val="38"/>
        </w:numPr>
        <w:rPr>
          <w:noProof/>
          <w:lang w:val="ro-RO"/>
        </w:rPr>
      </w:pPr>
      <w:r>
        <w:rPr>
          <w:noProof/>
          <w:lang w:val="ro-RO"/>
        </w:rPr>
        <w:t>să încurajeze și să susțină,</w:t>
      </w:r>
      <w:r>
        <w:rPr>
          <w:noProof/>
          <w:lang w:val="ro-RO"/>
        </w:rPr>
        <w:t xml:space="preserve"> după caz, elaborarea unor INDC-uri ambițioase de către cât mai multe părți;</w:t>
      </w:r>
    </w:p>
    <w:p w:rsidR="000A45DE" w:rsidRDefault="00C07CCA">
      <w:pPr>
        <w:numPr>
          <w:ilvl w:val="0"/>
          <w:numId w:val="38"/>
        </w:numPr>
        <w:rPr>
          <w:noProof/>
          <w:lang w:val="ro-RO"/>
        </w:rPr>
      </w:pPr>
      <w:r>
        <w:rPr>
          <w:noProof/>
          <w:lang w:val="ro-RO"/>
        </w:rPr>
        <w:t>să facă din promovarea unei acțiuni climatice ambițioase la nivel mondial o prioritate centrală a relațiilor sale diplomatice și a dialogului cu țările partenere;</w:t>
      </w:r>
    </w:p>
    <w:p w:rsidR="000A45DE" w:rsidRDefault="00C07CCA">
      <w:pPr>
        <w:numPr>
          <w:ilvl w:val="0"/>
          <w:numId w:val="38"/>
        </w:numPr>
        <w:rPr>
          <w:noProof/>
          <w:lang w:val="ro-RO"/>
        </w:rPr>
      </w:pPr>
      <w:r>
        <w:rPr>
          <w:noProof/>
          <w:lang w:val="ro-RO"/>
        </w:rPr>
        <w:t>să promoveze, pr</w:t>
      </w:r>
      <w:r>
        <w:rPr>
          <w:noProof/>
          <w:lang w:val="ro-RO"/>
        </w:rPr>
        <w:t>in intermediul CCONUSC și al altor discuții bilaterale și multilaterale, adoptarea unui protocol ambițios, transparent și dinamic, așa cum s-a indicat mai sus;</w:t>
      </w:r>
    </w:p>
    <w:p w:rsidR="000A45DE" w:rsidRDefault="00C07CCA">
      <w:pPr>
        <w:numPr>
          <w:ilvl w:val="0"/>
          <w:numId w:val="38"/>
        </w:numPr>
        <w:rPr>
          <w:noProof/>
          <w:lang w:val="ro-RO"/>
        </w:rPr>
      </w:pPr>
      <w:r>
        <w:rPr>
          <w:noProof/>
          <w:lang w:val="ro-RO"/>
        </w:rPr>
        <w:t>să demonstreze și să garanteze stabilitatea și predictibilitatea sprijinului financiar pe care U</w:t>
      </w:r>
      <w:r>
        <w:rPr>
          <w:noProof/>
          <w:lang w:val="ro-RO"/>
        </w:rPr>
        <w:t>E, în mod colectiv, îl furnizează partenerilor săi internaționali pentru o dezvoltare cu emisii reduse și rezistentă la schimbările climatice;</w:t>
      </w:r>
    </w:p>
    <w:p w:rsidR="000A45DE" w:rsidRDefault="00C07CCA">
      <w:pPr>
        <w:numPr>
          <w:ilvl w:val="0"/>
          <w:numId w:val="38"/>
        </w:numPr>
        <w:rPr>
          <w:noProof/>
          <w:lang w:val="ro-RO"/>
        </w:rPr>
      </w:pPr>
      <w:r>
        <w:rPr>
          <w:noProof/>
          <w:lang w:val="ro-RO"/>
        </w:rPr>
        <w:t>să facă presiuni pentru liberalizarea rapidă a comerțului cu bunuri și servicii de mediu, până la sfârșitul anulu</w:t>
      </w:r>
      <w:r>
        <w:rPr>
          <w:noProof/>
          <w:lang w:val="ro-RO"/>
        </w:rPr>
        <w:t>i 2015;</w:t>
      </w:r>
    </w:p>
    <w:p w:rsidR="000A45DE" w:rsidRDefault="00C07CCA">
      <w:pPr>
        <w:numPr>
          <w:ilvl w:val="0"/>
          <w:numId w:val="38"/>
        </w:numPr>
        <w:rPr>
          <w:noProof/>
          <w:lang w:val="ro-RO"/>
        </w:rPr>
      </w:pPr>
      <w:r>
        <w:rPr>
          <w:noProof/>
          <w:lang w:val="ro-RO"/>
        </w:rPr>
        <w:t xml:space="preserve">să garanteze că acțiunea climatică este coerentă cu negocierile ONU privind Obiectivele de dezvoltare durabilă și finanțarea dezvoltării durabile după 2015 și Cadrul pentru reducerea riscului de dezastre după 2015; </w:t>
      </w:r>
    </w:p>
    <w:p w:rsidR="000A45DE" w:rsidRDefault="00C07CCA">
      <w:pPr>
        <w:numPr>
          <w:ilvl w:val="0"/>
          <w:numId w:val="38"/>
        </w:numPr>
        <w:rPr>
          <w:noProof/>
          <w:lang w:val="ro-RO"/>
        </w:rPr>
      </w:pPr>
      <w:r>
        <w:rPr>
          <w:noProof/>
          <w:lang w:val="ro-RO"/>
        </w:rPr>
        <w:t>să se asigure că a doua perioadă</w:t>
      </w:r>
      <w:r>
        <w:rPr>
          <w:noProof/>
          <w:lang w:val="ro-RO"/>
        </w:rPr>
        <w:t xml:space="preserve"> de angajament din cadrul Protocolului de la Kyoto este ratificată până la sfârșitul lui 2015 de către UE și statele sale membre și de cât mai multe părți, așa cum este necesar pentru a garanta intrarea în vigoare.</w:t>
      </w:r>
    </w:p>
    <w:p w:rsidR="000A45DE" w:rsidRDefault="00C07CCA">
      <w:pPr>
        <w:rPr>
          <w:noProof/>
          <w:lang w:val="ro-RO"/>
        </w:rPr>
      </w:pPr>
      <w:r>
        <w:rPr>
          <w:noProof/>
          <w:lang w:val="ro-RO"/>
        </w:rPr>
        <w:t>Comisia va organiza o conferință internaț</w:t>
      </w:r>
      <w:r>
        <w:rPr>
          <w:noProof/>
          <w:lang w:val="ro-RO"/>
        </w:rPr>
        <w:t>ională pentru îmbunătățirea înțelegerii reciproce a gamei de INDC-uri și a gradului de adecvare al ambițiilor lor colective și pentru facilitarea unui schimb deschis de opinii înainte de Conferința de la Paris. Această conferință va avea ca scop reunirea ț</w:t>
      </w:r>
      <w:r>
        <w:rPr>
          <w:noProof/>
          <w:lang w:val="ro-RO"/>
        </w:rPr>
        <w:t xml:space="preserve">ărilor partenere, a experților din mediul academic, a grupurilor de reflecție și a organizațiilor internaționale și va avea loc cel târziu în noiembrie 2015. </w:t>
      </w:r>
    </w:p>
    <w:p w:rsidR="000A45DE" w:rsidRDefault="00C07CCA">
      <w:pPr>
        <w:rPr>
          <w:noProof/>
          <w:lang w:val="ro-RO"/>
        </w:rPr>
      </w:pPr>
      <w:r>
        <w:rPr>
          <w:noProof/>
          <w:lang w:val="ro-RO"/>
        </w:rPr>
        <w:t>Până la jumătatea anului 2015, Comisia va începe, de asemenea, să prezinte Parlamentului European</w:t>
      </w:r>
      <w:r>
        <w:rPr>
          <w:noProof/>
          <w:lang w:val="ro-RO"/>
        </w:rPr>
        <w:t xml:space="preserve"> și Consiliului propuneri legislative în vederea punerii în aplicare a Cadrului de politici privind clima și energia pentru 2030. </w:t>
      </w:r>
    </w:p>
    <w:p w:rsidR="000A45DE" w:rsidRDefault="00C07CCA">
      <w:pPr>
        <w:rPr>
          <w:noProof/>
          <w:lang w:val="ro-RO"/>
        </w:rPr>
      </w:pPr>
      <w:r>
        <w:rPr>
          <w:noProof/>
          <w:lang w:val="ro-RO"/>
        </w:rPr>
        <w:t>Comisia va continua să integreze acțiunile legate de schimbările climatice în cooperarea economică și pentru dezvoltare, să i</w:t>
      </w:r>
      <w:r>
        <w:rPr>
          <w:noProof/>
          <w:lang w:val="ro-RO"/>
        </w:rPr>
        <w:t>a inițiative pentru a colabora mai îndeaproape cu statele membre pentru furnizarea de asistență pentru dezvoltare relevantă legată de climă și să valorifice mai bine avantajele oferite de deschiderea programelor sale de cercetare și inovare științifică pen</w:t>
      </w:r>
      <w:r>
        <w:rPr>
          <w:noProof/>
          <w:lang w:val="ro-RO"/>
        </w:rPr>
        <w:t>tru a-și sprijini partenerii internaționali, ajutându-i să se pregătească în vederea îndeplinirii angajamentelor lor în cadrul noului Protocol.</w:t>
      </w:r>
    </w:p>
    <w:p w:rsidR="000A45DE" w:rsidRDefault="00C07CCA">
      <w:pPr>
        <w:rPr>
          <w:noProof/>
          <w:lang w:val="ro-RO"/>
        </w:rPr>
      </w:pPr>
      <w:r>
        <w:rPr>
          <w:noProof/>
          <w:lang w:val="ro-RO"/>
        </w:rPr>
        <w:t>Comisia invită Parlamentul European și Consiliul să aprobe abordarea propusă în cel mai scurt timp posibil.</w:t>
      </w:r>
    </w:p>
    <w:p w:rsidR="000A45DE" w:rsidRDefault="00C07CCA">
      <w:pPr>
        <w:spacing w:after="240"/>
        <w:rPr>
          <w:noProof/>
          <w:lang w:val="ro-RO"/>
        </w:rPr>
      </w:pPr>
      <w:r>
        <w:rPr>
          <w:noProof/>
          <w:lang w:val="ro-RO"/>
        </w:rPr>
        <w:br w:type="page"/>
      </w:r>
      <w:r>
        <w:rPr>
          <w:b/>
          <w:noProof/>
          <w:lang w:val="ro-RO"/>
        </w:rPr>
        <w:t>Tab</w:t>
      </w:r>
      <w:r>
        <w:rPr>
          <w:b/>
          <w:noProof/>
          <w:lang w:val="ro-RO"/>
        </w:rPr>
        <w:t>elul 1:</w:t>
      </w:r>
      <w:r>
        <w:rPr>
          <w:noProof/>
          <w:lang w:val="ro-RO"/>
        </w:rPr>
        <w:t xml:space="preserve"> </w:t>
      </w:r>
      <w:r>
        <w:rPr>
          <w:b/>
          <w:noProof/>
          <w:lang w:val="ro-RO"/>
        </w:rPr>
        <w:t>Contribuția preconizată stabilită la nivel național propusă de UE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725"/>
      </w:tblGrid>
      <w:tr w:rsidR="000A45DE">
        <w:tc>
          <w:tcPr>
            <w:tcW w:w="9243" w:type="dxa"/>
            <w:gridSpan w:val="2"/>
            <w:shd w:val="clear" w:color="auto" w:fill="DEEAF6"/>
          </w:tcPr>
          <w:p w:rsidR="000A45DE" w:rsidRDefault="00C07CCA">
            <w:pPr>
              <w:spacing w:after="0"/>
              <w:rPr>
                <w:b/>
                <w:noProof/>
                <w:lang w:val="ro-RO"/>
              </w:rPr>
            </w:pPr>
            <w:r>
              <w:rPr>
                <w:b/>
                <w:noProof/>
                <w:lang w:val="ro-RO"/>
              </w:rPr>
              <w:t>Angajament</w:t>
            </w:r>
          </w:p>
        </w:tc>
      </w:tr>
      <w:tr w:rsidR="000A45DE">
        <w:tc>
          <w:tcPr>
            <w:tcW w:w="2518" w:type="dxa"/>
            <w:shd w:val="clear" w:color="auto" w:fill="auto"/>
          </w:tcPr>
          <w:p w:rsidR="000A45DE" w:rsidRDefault="00C07CCA">
            <w:pPr>
              <w:spacing w:after="0"/>
              <w:rPr>
                <w:b/>
                <w:noProof/>
                <w:sz w:val="20"/>
                <w:szCs w:val="20"/>
                <w:lang w:val="ro-RO"/>
              </w:rPr>
            </w:pPr>
            <w:r>
              <w:rPr>
                <w:b/>
                <w:noProof/>
                <w:sz w:val="20"/>
                <w:lang w:val="ro-RO"/>
              </w:rPr>
              <w:t>Tip</w:t>
            </w:r>
          </w:p>
        </w:tc>
        <w:tc>
          <w:tcPr>
            <w:tcW w:w="6725" w:type="dxa"/>
            <w:shd w:val="clear" w:color="auto" w:fill="auto"/>
          </w:tcPr>
          <w:p w:rsidR="000A45DE" w:rsidRDefault="00C07CCA">
            <w:pPr>
              <w:spacing w:after="0"/>
              <w:rPr>
                <w:b/>
                <w:noProof/>
                <w:lang w:val="ro-RO"/>
              </w:rPr>
            </w:pPr>
            <w:r>
              <w:rPr>
                <w:noProof/>
                <w:sz w:val="20"/>
                <w:lang w:val="ro-RO"/>
              </w:rPr>
              <w:t>Reducere absolută față de emisiile din anul de referință.</w:t>
            </w:r>
          </w:p>
        </w:tc>
      </w:tr>
      <w:tr w:rsidR="000A45DE">
        <w:tc>
          <w:tcPr>
            <w:tcW w:w="2518" w:type="dxa"/>
            <w:shd w:val="clear" w:color="auto" w:fill="auto"/>
          </w:tcPr>
          <w:p w:rsidR="000A45DE" w:rsidRDefault="00C07CCA">
            <w:pPr>
              <w:spacing w:after="0"/>
              <w:rPr>
                <w:b/>
                <w:noProof/>
                <w:sz w:val="20"/>
                <w:szCs w:val="20"/>
                <w:lang w:val="ro-RO"/>
              </w:rPr>
            </w:pPr>
            <w:r>
              <w:rPr>
                <w:b/>
                <w:noProof/>
                <w:sz w:val="20"/>
                <w:lang w:val="ro-RO"/>
              </w:rPr>
              <w:t>Acoperire</w:t>
            </w:r>
          </w:p>
        </w:tc>
        <w:tc>
          <w:tcPr>
            <w:tcW w:w="6725" w:type="dxa"/>
            <w:shd w:val="clear" w:color="auto" w:fill="auto"/>
          </w:tcPr>
          <w:p w:rsidR="000A45DE" w:rsidRDefault="00C07CCA">
            <w:pPr>
              <w:spacing w:after="0"/>
              <w:rPr>
                <w:noProof/>
                <w:sz w:val="20"/>
                <w:lang w:val="ro-RO"/>
              </w:rPr>
            </w:pPr>
            <w:r>
              <w:rPr>
                <w:noProof/>
                <w:sz w:val="20"/>
                <w:lang w:val="ro-RO"/>
              </w:rPr>
              <w:t>La nivelul întregii economii.</w:t>
            </w:r>
          </w:p>
        </w:tc>
      </w:tr>
      <w:tr w:rsidR="000A45DE">
        <w:tc>
          <w:tcPr>
            <w:tcW w:w="2518" w:type="dxa"/>
            <w:shd w:val="clear" w:color="auto" w:fill="auto"/>
          </w:tcPr>
          <w:p w:rsidR="000A45DE" w:rsidRDefault="00C07CCA">
            <w:pPr>
              <w:spacing w:after="0"/>
              <w:rPr>
                <w:b/>
                <w:noProof/>
                <w:sz w:val="20"/>
                <w:szCs w:val="20"/>
                <w:lang w:val="ro-RO"/>
              </w:rPr>
            </w:pPr>
            <w:r>
              <w:rPr>
                <w:b/>
                <w:noProof/>
                <w:sz w:val="20"/>
                <w:lang w:val="ro-RO"/>
              </w:rPr>
              <w:t>Domeniu de aplicare</w:t>
            </w:r>
          </w:p>
        </w:tc>
        <w:tc>
          <w:tcPr>
            <w:tcW w:w="6725" w:type="dxa"/>
            <w:shd w:val="clear" w:color="auto" w:fill="auto"/>
          </w:tcPr>
          <w:p w:rsidR="000A45DE" w:rsidRDefault="00C07CCA">
            <w:pPr>
              <w:spacing w:after="0"/>
              <w:rPr>
                <w:noProof/>
                <w:sz w:val="20"/>
                <w:lang w:val="ro-RO"/>
              </w:rPr>
            </w:pPr>
            <w:r>
              <w:rPr>
                <w:noProof/>
                <w:sz w:val="20"/>
                <w:lang w:val="ro-RO"/>
              </w:rPr>
              <w:t xml:space="preserve">Toate gazele cu efect de seră care nu sunt </w:t>
            </w:r>
            <w:r>
              <w:rPr>
                <w:noProof/>
                <w:sz w:val="20"/>
                <w:lang w:val="ro-RO"/>
              </w:rPr>
              <w:t>incluse în Protocolul de la Montreal:</w:t>
            </w:r>
          </w:p>
          <w:p w:rsidR="000A45DE" w:rsidRDefault="00C07CCA">
            <w:pPr>
              <w:numPr>
                <w:ilvl w:val="0"/>
                <w:numId w:val="53"/>
              </w:numPr>
              <w:spacing w:after="0"/>
              <w:rPr>
                <w:noProof/>
                <w:sz w:val="20"/>
                <w:lang w:val="ro-RO"/>
              </w:rPr>
            </w:pPr>
            <w:r>
              <w:rPr>
                <w:noProof/>
                <w:sz w:val="20"/>
                <w:lang w:val="ro-RO"/>
              </w:rPr>
              <w:t>dioxid de carbon (CO</w:t>
            </w:r>
            <w:r>
              <w:rPr>
                <w:noProof/>
                <w:sz w:val="20"/>
                <w:vertAlign w:val="subscript"/>
                <w:lang w:val="ro-RO"/>
              </w:rPr>
              <w:t>2</w:t>
            </w:r>
            <w:r>
              <w:rPr>
                <w:noProof/>
                <w:sz w:val="20"/>
                <w:lang w:val="ro-RO"/>
              </w:rPr>
              <w:t>)</w:t>
            </w:r>
          </w:p>
          <w:p w:rsidR="000A45DE" w:rsidRDefault="00C07CCA">
            <w:pPr>
              <w:pStyle w:val="ListParagraph"/>
              <w:numPr>
                <w:ilvl w:val="0"/>
                <w:numId w:val="41"/>
              </w:numPr>
              <w:rPr>
                <w:rFonts w:cs="Calibri"/>
                <w:noProof/>
                <w:sz w:val="20"/>
                <w:szCs w:val="20"/>
                <w:lang w:val="ro-RO"/>
              </w:rPr>
            </w:pPr>
            <w:r>
              <w:rPr>
                <w:noProof/>
                <w:sz w:val="20"/>
                <w:lang w:val="ro-RO"/>
              </w:rPr>
              <w:t>metan (CH</w:t>
            </w:r>
            <w:r>
              <w:rPr>
                <w:noProof/>
                <w:sz w:val="20"/>
                <w:vertAlign w:val="subscript"/>
                <w:lang w:val="ro-RO"/>
              </w:rPr>
              <w:t>4</w:t>
            </w:r>
            <w:r>
              <w:rPr>
                <w:noProof/>
                <w:sz w:val="20"/>
                <w:lang w:val="ro-RO"/>
              </w:rPr>
              <w:t>)</w:t>
            </w:r>
          </w:p>
          <w:p w:rsidR="000A45DE" w:rsidRDefault="00C07CCA">
            <w:pPr>
              <w:pStyle w:val="ListParagraph"/>
              <w:numPr>
                <w:ilvl w:val="0"/>
                <w:numId w:val="41"/>
              </w:numPr>
              <w:rPr>
                <w:rFonts w:cs="Calibri"/>
                <w:noProof/>
                <w:sz w:val="20"/>
                <w:szCs w:val="20"/>
                <w:lang w:val="ro-RO"/>
              </w:rPr>
            </w:pPr>
            <w:r>
              <w:rPr>
                <w:noProof/>
                <w:sz w:val="20"/>
                <w:lang w:val="ro-RO"/>
              </w:rPr>
              <w:t>protoxid de azot (N</w:t>
            </w:r>
            <w:r>
              <w:rPr>
                <w:noProof/>
                <w:sz w:val="20"/>
                <w:vertAlign w:val="subscript"/>
                <w:lang w:val="ro-RO"/>
              </w:rPr>
              <w:t>2</w:t>
            </w:r>
            <w:r>
              <w:rPr>
                <w:noProof/>
                <w:sz w:val="20"/>
                <w:lang w:val="ro-RO"/>
              </w:rPr>
              <w:t>O)</w:t>
            </w:r>
          </w:p>
          <w:p w:rsidR="000A45DE" w:rsidRDefault="00C07CCA">
            <w:pPr>
              <w:pStyle w:val="ListParagraph"/>
              <w:numPr>
                <w:ilvl w:val="0"/>
                <w:numId w:val="41"/>
              </w:numPr>
              <w:rPr>
                <w:rFonts w:cs="Calibri"/>
                <w:noProof/>
                <w:sz w:val="20"/>
                <w:szCs w:val="20"/>
                <w:lang w:val="ro-RO"/>
              </w:rPr>
            </w:pPr>
            <w:r>
              <w:rPr>
                <w:noProof/>
                <w:sz w:val="20"/>
                <w:lang w:val="ro-RO"/>
              </w:rPr>
              <w:t>hidrofluorocarburi (HFCs)</w:t>
            </w:r>
          </w:p>
          <w:p w:rsidR="000A45DE" w:rsidRDefault="00C07CCA">
            <w:pPr>
              <w:pStyle w:val="ListParagraph"/>
              <w:numPr>
                <w:ilvl w:val="0"/>
                <w:numId w:val="41"/>
              </w:numPr>
              <w:rPr>
                <w:rFonts w:cs="Calibri"/>
                <w:noProof/>
                <w:sz w:val="20"/>
                <w:szCs w:val="20"/>
                <w:lang w:val="ro-RO"/>
              </w:rPr>
            </w:pPr>
            <w:r>
              <w:rPr>
                <w:noProof/>
                <w:sz w:val="20"/>
                <w:lang w:val="ro-RO"/>
              </w:rPr>
              <w:t>perfluorocarburi (PFC)</w:t>
            </w:r>
          </w:p>
          <w:p w:rsidR="000A45DE" w:rsidRDefault="00C07CCA">
            <w:pPr>
              <w:pStyle w:val="ListParagraph"/>
              <w:numPr>
                <w:ilvl w:val="0"/>
                <w:numId w:val="41"/>
              </w:numPr>
              <w:rPr>
                <w:rFonts w:cs="Calibri"/>
                <w:noProof/>
                <w:sz w:val="20"/>
                <w:szCs w:val="20"/>
                <w:lang w:val="ro-RO"/>
              </w:rPr>
            </w:pPr>
            <w:r>
              <w:rPr>
                <w:noProof/>
                <w:sz w:val="20"/>
                <w:lang w:val="ro-RO"/>
              </w:rPr>
              <w:t>hexafluorură de surf (SF</w:t>
            </w:r>
            <w:r>
              <w:rPr>
                <w:noProof/>
                <w:sz w:val="20"/>
                <w:vertAlign w:val="subscript"/>
                <w:lang w:val="ro-RO"/>
              </w:rPr>
              <w:t>6</w:t>
            </w:r>
            <w:r>
              <w:rPr>
                <w:noProof/>
                <w:sz w:val="20"/>
                <w:lang w:val="ro-RO"/>
              </w:rPr>
              <w:t>)</w:t>
            </w:r>
          </w:p>
          <w:p w:rsidR="000A45DE" w:rsidRDefault="00C07CCA">
            <w:pPr>
              <w:pStyle w:val="ListParagraph"/>
              <w:numPr>
                <w:ilvl w:val="0"/>
                <w:numId w:val="41"/>
              </w:numPr>
              <w:rPr>
                <w:rFonts w:cs="Calibri"/>
                <w:noProof/>
                <w:sz w:val="20"/>
                <w:szCs w:val="20"/>
                <w:lang w:val="ro-RO"/>
              </w:rPr>
            </w:pPr>
            <w:r>
              <w:rPr>
                <w:noProof/>
                <w:sz w:val="20"/>
                <w:lang w:val="ro-RO"/>
              </w:rPr>
              <w:t>trifluorură de azot (NF3)</w:t>
            </w:r>
          </w:p>
        </w:tc>
      </w:tr>
      <w:tr w:rsidR="000A45DE">
        <w:tc>
          <w:tcPr>
            <w:tcW w:w="2518" w:type="dxa"/>
            <w:shd w:val="clear" w:color="auto" w:fill="auto"/>
          </w:tcPr>
          <w:p w:rsidR="000A45DE" w:rsidRDefault="00C07CCA">
            <w:pPr>
              <w:spacing w:after="0"/>
              <w:rPr>
                <w:b/>
                <w:noProof/>
                <w:sz w:val="20"/>
                <w:szCs w:val="20"/>
                <w:lang w:val="ro-RO"/>
              </w:rPr>
            </w:pPr>
            <w:r>
              <w:rPr>
                <w:b/>
                <w:noProof/>
                <w:sz w:val="20"/>
                <w:lang w:val="ro-RO"/>
              </w:rPr>
              <w:t>An de referință</w:t>
            </w:r>
          </w:p>
        </w:tc>
        <w:tc>
          <w:tcPr>
            <w:tcW w:w="6725" w:type="dxa"/>
            <w:shd w:val="clear" w:color="auto" w:fill="auto"/>
          </w:tcPr>
          <w:p w:rsidR="000A45DE" w:rsidRDefault="00C07CCA">
            <w:pPr>
              <w:spacing w:after="0"/>
              <w:rPr>
                <w:b/>
                <w:noProof/>
                <w:lang w:val="ro-RO"/>
              </w:rPr>
            </w:pPr>
            <w:r>
              <w:rPr>
                <w:noProof/>
                <w:sz w:val="20"/>
                <w:lang w:val="ro-RO"/>
              </w:rPr>
              <w:t>1990</w:t>
            </w:r>
          </w:p>
        </w:tc>
      </w:tr>
      <w:tr w:rsidR="000A45DE">
        <w:tc>
          <w:tcPr>
            <w:tcW w:w="2518" w:type="dxa"/>
            <w:shd w:val="clear" w:color="auto" w:fill="auto"/>
          </w:tcPr>
          <w:p w:rsidR="000A45DE" w:rsidRDefault="00C07CCA">
            <w:pPr>
              <w:spacing w:after="0"/>
              <w:rPr>
                <w:b/>
                <w:noProof/>
                <w:sz w:val="20"/>
                <w:szCs w:val="20"/>
                <w:lang w:val="ro-RO"/>
              </w:rPr>
            </w:pPr>
            <w:r>
              <w:rPr>
                <w:b/>
                <w:noProof/>
                <w:sz w:val="20"/>
                <w:lang w:val="ro-RO"/>
              </w:rPr>
              <w:t>Perioadă</w:t>
            </w:r>
          </w:p>
        </w:tc>
        <w:tc>
          <w:tcPr>
            <w:tcW w:w="6725" w:type="dxa"/>
            <w:shd w:val="clear" w:color="auto" w:fill="auto"/>
          </w:tcPr>
          <w:p w:rsidR="000A45DE" w:rsidRDefault="00C07CCA">
            <w:pPr>
              <w:spacing w:after="0"/>
              <w:rPr>
                <w:b/>
                <w:noProof/>
                <w:lang w:val="ro-RO"/>
              </w:rPr>
            </w:pPr>
            <w:r>
              <w:rPr>
                <w:noProof/>
                <w:sz w:val="20"/>
                <w:lang w:val="ro-RO"/>
              </w:rPr>
              <w:t>2021-2030, inclusiv</w:t>
            </w:r>
          </w:p>
        </w:tc>
      </w:tr>
      <w:tr w:rsidR="000A45DE">
        <w:tc>
          <w:tcPr>
            <w:tcW w:w="2518" w:type="dxa"/>
            <w:shd w:val="clear" w:color="auto" w:fill="auto"/>
          </w:tcPr>
          <w:p w:rsidR="000A45DE" w:rsidRDefault="00C07CCA">
            <w:pPr>
              <w:spacing w:after="0"/>
              <w:rPr>
                <w:b/>
                <w:noProof/>
                <w:sz w:val="20"/>
                <w:szCs w:val="20"/>
                <w:lang w:val="ro-RO"/>
              </w:rPr>
            </w:pPr>
            <w:r>
              <w:rPr>
                <w:b/>
                <w:noProof/>
                <w:sz w:val="20"/>
                <w:lang w:val="ro-RO"/>
              </w:rPr>
              <w:t>Nivel</w:t>
            </w:r>
            <w:r>
              <w:rPr>
                <w:b/>
                <w:noProof/>
                <w:sz w:val="20"/>
                <w:lang w:val="ro-RO"/>
              </w:rPr>
              <w:t xml:space="preserve"> de reducere</w:t>
            </w:r>
          </w:p>
        </w:tc>
        <w:tc>
          <w:tcPr>
            <w:tcW w:w="6725" w:type="dxa"/>
            <w:shd w:val="clear" w:color="auto" w:fill="auto"/>
          </w:tcPr>
          <w:p w:rsidR="000A45DE" w:rsidRDefault="00C07CCA">
            <w:pPr>
              <w:spacing w:after="0"/>
              <w:rPr>
                <w:b/>
                <w:noProof/>
                <w:lang w:val="ro-RO"/>
              </w:rPr>
            </w:pPr>
            <w:r>
              <w:rPr>
                <w:noProof/>
                <w:sz w:val="20"/>
                <w:lang w:val="ro-RO"/>
              </w:rPr>
              <w:t>Realizarea unei reduceri de cel puțin 40 % a emisiilor UE în 2030.</w:t>
            </w:r>
          </w:p>
        </w:tc>
      </w:tr>
      <w:tr w:rsidR="000A45DE">
        <w:tc>
          <w:tcPr>
            <w:tcW w:w="2518" w:type="dxa"/>
            <w:shd w:val="clear" w:color="auto" w:fill="auto"/>
          </w:tcPr>
          <w:p w:rsidR="000A45DE" w:rsidRDefault="00C07CCA">
            <w:pPr>
              <w:spacing w:after="0"/>
              <w:rPr>
                <w:b/>
                <w:noProof/>
                <w:sz w:val="20"/>
                <w:szCs w:val="20"/>
                <w:lang w:val="ro-RO"/>
              </w:rPr>
            </w:pPr>
            <w:r>
              <w:rPr>
                <w:b/>
                <w:noProof/>
                <w:sz w:val="20"/>
                <w:lang w:val="ro-RO"/>
              </w:rPr>
              <w:t>% din emisiile acoperite</w:t>
            </w:r>
          </w:p>
        </w:tc>
        <w:tc>
          <w:tcPr>
            <w:tcW w:w="6725" w:type="dxa"/>
            <w:shd w:val="clear" w:color="auto" w:fill="auto"/>
          </w:tcPr>
          <w:p w:rsidR="000A45DE" w:rsidRDefault="00C07CCA">
            <w:pPr>
              <w:spacing w:after="0"/>
              <w:rPr>
                <w:b/>
                <w:noProof/>
                <w:lang w:val="ro-RO"/>
              </w:rPr>
            </w:pPr>
            <w:r>
              <w:rPr>
                <w:noProof/>
                <w:sz w:val="20"/>
                <w:lang w:val="ro-RO"/>
              </w:rPr>
              <w:t>100 %</w:t>
            </w:r>
          </w:p>
        </w:tc>
      </w:tr>
      <w:tr w:rsidR="000A45DE">
        <w:tc>
          <w:tcPr>
            <w:tcW w:w="2518" w:type="dxa"/>
            <w:shd w:val="clear" w:color="auto" w:fill="auto"/>
          </w:tcPr>
          <w:p w:rsidR="000A45DE" w:rsidRDefault="00C07CCA">
            <w:pPr>
              <w:spacing w:after="0"/>
              <w:rPr>
                <w:b/>
                <w:noProof/>
                <w:sz w:val="20"/>
                <w:szCs w:val="20"/>
                <w:lang w:val="ro-RO"/>
              </w:rPr>
            </w:pPr>
            <w:r>
              <w:rPr>
                <w:b/>
                <w:noProof/>
                <w:sz w:val="20"/>
                <w:lang w:val="ro-RO"/>
              </w:rPr>
              <w:t>Agricultură, silvicultură și alte utilizări ale terenurilor incluse</w:t>
            </w:r>
          </w:p>
        </w:tc>
        <w:tc>
          <w:tcPr>
            <w:tcW w:w="6725" w:type="dxa"/>
            <w:shd w:val="clear" w:color="auto" w:fill="auto"/>
          </w:tcPr>
          <w:p w:rsidR="000A45DE" w:rsidRDefault="00C07CCA">
            <w:pPr>
              <w:spacing w:after="0"/>
              <w:rPr>
                <w:b/>
                <w:noProof/>
                <w:lang w:val="ro-RO"/>
              </w:rPr>
            </w:pPr>
            <w:r>
              <w:rPr>
                <w:noProof/>
                <w:sz w:val="20"/>
                <w:lang w:val="ro-RO"/>
              </w:rPr>
              <w:t>Da</w:t>
            </w:r>
          </w:p>
        </w:tc>
      </w:tr>
      <w:tr w:rsidR="000A45DE">
        <w:tc>
          <w:tcPr>
            <w:tcW w:w="2518" w:type="dxa"/>
            <w:shd w:val="clear" w:color="auto" w:fill="auto"/>
          </w:tcPr>
          <w:p w:rsidR="000A45DE" w:rsidRDefault="00C07CCA">
            <w:pPr>
              <w:spacing w:after="0"/>
              <w:rPr>
                <w:b/>
                <w:noProof/>
                <w:sz w:val="20"/>
                <w:szCs w:val="20"/>
                <w:lang w:val="ro-RO"/>
              </w:rPr>
            </w:pPr>
            <w:r>
              <w:rPr>
                <w:b/>
                <w:noProof/>
                <w:sz w:val="20"/>
                <w:lang w:val="ro-RO"/>
              </w:rPr>
              <w:t>Contribuția netă a mecanismelor internaționale bazate pe piață</w:t>
            </w:r>
          </w:p>
        </w:tc>
        <w:tc>
          <w:tcPr>
            <w:tcW w:w="6725" w:type="dxa"/>
            <w:shd w:val="clear" w:color="auto" w:fill="auto"/>
          </w:tcPr>
          <w:p w:rsidR="000A45DE" w:rsidRDefault="00C07CCA">
            <w:pPr>
              <w:spacing w:after="0"/>
              <w:rPr>
                <w:b/>
                <w:noProof/>
                <w:lang w:val="ro-RO"/>
              </w:rPr>
            </w:pPr>
            <w:r>
              <w:rPr>
                <w:noProof/>
                <w:sz w:val="20"/>
                <w:lang w:val="ro-RO"/>
              </w:rPr>
              <w:t xml:space="preserve">Nicio </w:t>
            </w:r>
            <w:r>
              <w:rPr>
                <w:noProof/>
                <w:sz w:val="20"/>
                <w:lang w:val="ro-RO"/>
              </w:rPr>
              <w:t>contribuție a creditelor internaționale.</w:t>
            </w:r>
          </w:p>
        </w:tc>
      </w:tr>
      <w:tr w:rsidR="000A45DE" w:rsidRPr="00C07CCA">
        <w:tc>
          <w:tcPr>
            <w:tcW w:w="2518" w:type="dxa"/>
            <w:shd w:val="clear" w:color="auto" w:fill="auto"/>
          </w:tcPr>
          <w:p w:rsidR="000A45DE" w:rsidRDefault="00C07CCA">
            <w:pPr>
              <w:spacing w:after="0"/>
              <w:rPr>
                <w:b/>
                <w:noProof/>
                <w:sz w:val="20"/>
                <w:szCs w:val="20"/>
                <w:lang w:val="ro-RO"/>
              </w:rPr>
            </w:pPr>
            <w:r>
              <w:rPr>
                <w:b/>
                <w:noProof/>
                <w:sz w:val="20"/>
                <w:lang w:val="ro-RO"/>
              </w:rPr>
              <w:t>Procesul de planificare</w:t>
            </w:r>
          </w:p>
        </w:tc>
        <w:tc>
          <w:tcPr>
            <w:tcW w:w="6725" w:type="dxa"/>
            <w:shd w:val="clear" w:color="auto" w:fill="auto"/>
          </w:tcPr>
          <w:p w:rsidR="000A45DE" w:rsidRDefault="00C07CCA">
            <w:pPr>
              <w:spacing w:after="0"/>
              <w:rPr>
                <w:noProof/>
                <w:sz w:val="20"/>
                <w:lang w:val="ro-RO"/>
              </w:rPr>
            </w:pPr>
            <w:r>
              <w:rPr>
                <w:noProof/>
                <w:sz w:val="20"/>
                <w:lang w:val="ro-RO"/>
              </w:rPr>
              <w:t>Consiliul European din 23 și 24 octombrie 2014 privind aprobarea cadrului de</w:t>
            </w:r>
          </w:p>
          <w:p w:rsidR="000A45DE" w:rsidRDefault="00C07CCA">
            <w:pPr>
              <w:spacing w:before="0" w:after="0"/>
              <w:rPr>
                <w:noProof/>
                <w:sz w:val="20"/>
                <w:lang w:val="ro-RO"/>
              </w:rPr>
            </w:pPr>
            <w:r>
              <w:rPr>
                <w:noProof/>
                <w:sz w:val="20"/>
                <w:lang w:val="ro-RO"/>
              </w:rPr>
              <w:t xml:space="preserve"> politici privind clima și energia pentru 2030 (EUCO 169/14). Comisia Europeană urmează să pregătească propuneri legislative în vederea punerii în aplicare a cadrului pentru 2030 (Programul de lucru al Comisiei pentru 2015), inclusiv cu privire la exploata</w:t>
            </w:r>
            <w:r>
              <w:rPr>
                <w:noProof/>
                <w:sz w:val="20"/>
                <w:lang w:val="ro-RO"/>
              </w:rPr>
              <w:t>rea terenurilor, schimbarea destinației terenurilor și silvicultură.</w:t>
            </w:r>
          </w:p>
        </w:tc>
      </w:tr>
      <w:tr w:rsidR="000A45DE" w:rsidRPr="00C07CCA">
        <w:tc>
          <w:tcPr>
            <w:tcW w:w="2518" w:type="dxa"/>
            <w:tcBorders>
              <w:bottom w:val="single" w:sz="4" w:space="0" w:color="auto"/>
            </w:tcBorders>
            <w:shd w:val="clear" w:color="auto" w:fill="auto"/>
          </w:tcPr>
          <w:p w:rsidR="000A45DE" w:rsidRDefault="00C07CCA">
            <w:pPr>
              <w:spacing w:after="0"/>
              <w:rPr>
                <w:b/>
                <w:noProof/>
                <w:sz w:val="20"/>
                <w:szCs w:val="20"/>
                <w:lang w:val="ro-RO"/>
              </w:rPr>
            </w:pPr>
            <w:r>
              <w:rPr>
                <w:b/>
                <w:noProof/>
                <w:sz w:val="20"/>
                <w:lang w:val="ro-RO"/>
              </w:rPr>
              <w:t>Echitabil și ambițios</w:t>
            </w:r>
          </w:p>
        </w:tc>
        <w:tc>
          <w:tcPr>
            <w:tcW w:w="6725" w:type="dxa"/>
            <w:tcBorders>
              <w:bottom w:val="single" w:sz="4" w:space="0" w:color="auto"/>
            </w:tcBorders>
            <w:shd w:val="clear" w:color="auto" w:fill="auto"/>
          </w:tcPr>
          <w:p w:rsidR="000A45DE" w:rsidRDefault="00C07CCA">
            <w:pPr>
              <w:spacing w:after="0"/>
              <w:rPr>
                <w:noProof/>
                <w:sz w:val="20"/>
                <w:szCs w:val="20"/>
                <w:lang w:val="ro-RO"/>
              </w:rPr>
            </w:pPr>
            <w:r>
              <w:rPr>
                <w:noProof/>
                <w:sz w:val="20"/>
                <w:lang w:val="ro-RO"/>
              </w:rPr>
              <w:t xml:space="preserve">Acest angajament este conform cu politicile UE care vizează realizarea tranziției către o economie cu emisii reduse și este o șansă reală de a îndeplini obiectivul </w:t>
            </w:r>
            <w:r>
              <w:rPr>
                <w:noProof/>
                <w:sz w:val="20"/>
                <w:lang w:val="ro-RO"/>
              </w:rPr>
              <w:t>de limitare a încălziri globale sub 2 °C. El înscrie UE într-un demers rentabil care să-i permită pe termen lung realizarea unor reduceri ale emisiilor interne de 80 %, în conformitate cu evaluarea IPCC privind reducerile solicitate colectiv țărilor dezvol</w:t>
            </w:r>
            <w:r>
              <w:rPr>
                <w:noProof/>
                <w:sz w:val="20"/>
                <w:lang w:val="ro-RO"/>
              </w:rPr>
              <w:t>tate, și anume de a reduce emisiile cu 80-95 % până în 2050, comparativ cu nivelurile din 1990.</w:t>
            </w:r>
          </w:p>
          <w:p w:rsidR="000A45DE" w:rsidRDefault="00C07CCA">
            <w:pPr>
              <w:spacing w:after="0"/>
              <w:rPr>
                <w:b/>
                <w:noProof/>
                <w:lang w:val="ro-RO"/>
              </w:rPr>
            </w:pPr>
            <w:r>
              <w:rPr>
                <w:noProof/>
                <w:sz w:val="20"/>
                <w:lang w:val="ro-RO"/>
              </w:rPr>
              <w:t>Nivelul cel mai ridicat de emisii generate de UE a fost deja atins. Potrivit bazei de date EDGAR, emisiile celor 28 de state membre ale UE au culminat în 1979 l</w:t>
            </w:r>
            <w:r>
              <w:rPr>
                <w:noProof/>
                <w:sz w:val="20"/>
                <w:lang w:val="ro-RO"/>
              </w:rPr>
              <w:t>a circa 6,4 Gt echivalent CO</w:t>
            </w:r>
            <w:r>
              <w:rPr>
                <w:noProof/>
                <w:sz w:val="20"/>
                <w:vertAlign w:val="subscript"/>
                <w:lang w:val="ro-RO"/>
              </w:rPr>
              <w:t>2</w:t>
            </w:r>
            <w:r>
              <w:rPr>
                <w:noProof/>
                <w:sz w:val="20"/>
                <w:lang w:val="ro-RO"/>
              </w:rPr>
              <w:t xml:space="preserve">. </w:t>
            </w:r>
          </w:p>
        </w:tc>
      </w:tr>
      <w:tr w:rsidR="000A45DE">
        <w:tc>
          <w:tcPr>
            <w:tcW w:w="9243" w:type="dxa"/>
            <w:gridSpan w:val="2"/>
            <w:shd w:val="clear" w:color="auto" w:fill="DEEAF6"/>
          </w:tcPr>
          <w:p w:rsidR="000A45DE" w:rsidRDefault="00C07CCA">
            <w:pPr>
              <w:spacing w:after="0"/>
              <w:rPr>
                <w:b/>
                <w:noProof/>
                <w:lang w:val="ro-RO"/>
              </w:rPr>
            </w:pPr>
            <w:r>
              <w:rPr>
                <w:b/>
                <w:noProof/>
                <w:lang w:val="ro-RO"/>
              </w:rPr>
              <w:t>Ipoteze-cheie</w:t>
            </w:r>
          </w:p>
        </w:tc>
      </w:tr>
      <w:tr w:rsidR="000A45DE" w:rsidRPr="00C07CCA">
        <w:tc>
          <w:tcPr>
            <w:tcW w:w="2518" w:type="dxa"/>
            <w:shd w:val="clear" w:color="auto" w:fill="auto"/>
          </w:tcPr>
          <w:p w:rsidR="000A45DE" w:rsidRDefault="00C07CCA">
            <w:pPr>
              <w:spacing w:after="0"/>
              <w:rPr>
                <w:b/>
                <w:noProof/>
                <w:sz w:val="20"/>
                <w:szCs w:val="20"/>
                <w:lang w:val="ro-RO"/>
              </w:rPr>
            </w:pPr>
            <w:r>
              <w:rPr>
                <w:b/>
                <w:noProof/>
                <w:sz w:val="20"/>
                <w:lang w:val="ro-RO"/>
              </w:rPr>
              <w:t>Criteriul de măsurare aplicat</w:t>
            </w:r>
          </w:p>
        </w:tc>
        <w:tc>
          <w:tcPr>
            <w:tcW w:w="6725" w:type="dxa"/>
            <w:shd w:val="clear" w:color="auto" w:fill="auto"/>
          </w:tcPr>
          <w:p w:rsidR="000A45DE" w:rsidRDefault="00C07CCA">
            <w:pPr>
              <w:spacing w:after="0"/>
              <w:rPr>
                <w:b/>
                <w:noProof/>
                <w:lang w:val="ro-RO"/>
              </w:rPr>
            </w:pPr>
            <w:r>
              <w:rPr>
                <w:noProof/>
                <w:sz w:val="20"/>
                <w:lang w:val="ro-RO"/>
              </w:rPr>
              <w:t>Potențialul de încălzire globală pe un interval de timp de 100 de ani în conformitate cu cel de-al 4-lea raport de evaluare al IPCC.</w:t>
            </w:r>
          </w:p>
        </w:tc>
      </w:tr>
      <w:tr w:rsidR="000A45DE">
        <w:tc>
          <w:tcPr>
            <w:tcW w:w="2518" w:type="dxa"/>
            <w:shd w:val="clear" w:color="auto" w:fill="auto"/>
          </w:tcPr>
          <w:p w:rsidR="000A45DE" w:rsidRDefault="00C07CCA">
            <w:pPr>
              <w:spacing w:after="0"/>
              <w:jc w:val="left"/>
              <w:rPr>
                <w:b/>
                <w:noProof/>
                <w:sz w:val="20"/>
                <w:szCs w:val="20"/>
                <w:lang w:val="ro-RO"/>
              </w:rPr>
            </w:pPr>
            <w:r>
              <w:rPr>
                <w:b/>
                <w:noProof/>
                <w:sz w:val="20"/>
                <w:lang w:val="ro-RO"/>
              </w:rPr>
              <w:t>Metodologia de estimare a emisiilor</w:t>
            </w:r>
          </w:p>
        </w:tc>
        <w:tc>
          <w:tcPr>
            <w:tcW w:w="6725" w:type="dxa"/>
            <w:shd w:val="clear" w:color="auto" w:fill="auto"/>
          </w:tcPr>
          <w:p w:rsidR="000A45DE" w:rsidRDefault="00C07CCA">
            <w:pPr>
              <w:spacing w:after="0"/>
              <w:rPr>
                <w:b/>
                <w:noProof/>
                <w:lang w:val="ro-RO"/>
              </w:rPr>
            </w:pPr>
            <w:r>
              <w:rPr>
                <w:noProof/>
                <w:sz w:val="20"/>
                <w:lang w:val="ro-RO"/>
              </w:rPr>
              <w:t>Orientările IPCC din 2006.</w:t>
            </w:r>
          </w:p>
        </w:tc>
      </w:tr>
      <w:tr w:rsidR="000A45DE" w:rsidRPr="00C07CCA">
        <w:tc>
          <w:tcPr>
            <w:tcW w:w="2518" w:type="dxa"/>
            <w:tcBorders>
              <w:bottom w:val="single" w:sz="4" w:space="0" w:color="auto"/>
            </w:tcBorders>
            <w:shd w:val="clear" w:color="auto" w:fill="auto"/>
          </w:tcPr>
          <w:p w:rsidR="000A45DE" w:rsidRDefault="00C07CCA">
            <w:pPr>
              <w:spacing w:after="0"/>
              <w:rPr>
                <w:b/>
                <w:noProof/>
                <w:sz w:val="20"/>
                <w:szCs w:val="20"/>
                <w:lang w:val="ro-RO"/>
              </w:rPr>
            </w:pPr>
            <w:r>
              <w:rPr>
                <w:b/>
                <w:noProof/>
                <w:sz w:val="20"/>
                <w:lang w:val="ro-RO"/>
              </w:rPr>
              <w:t>Abordarea privind contabilizarea pentru agricultură, silvicultură și alte utilizări ale terenurilor</w:t>
            </w:r>
          </w:p>
        </w:tc>
        <w:tc>
          <w:tcPr>
            <w:tcW w:w="6725" w:type="dxa"/>
            <w:tcBorders>
              <w:bottom w:val="single" w:sz="4" w:space="0" w:color="auto"/>
            </w:tcBorders>
            <w:shd w:val="clear" w:color="auto" w:fill="auto"/>
          </w:tcPr>
          <w:p w:rsidR="000A45DE" w:rsidRDefault="00C07CCA">
            <w:pPr>
              <w:spacing w:after="0"/>
              <w:rPr>
                <w:noProof/>
                <w:sz w:val="20"/>
                <w:szCs w:val="20"/>
                <w:lang w:val="ro-RO"/>
              </w:rPr>
            </w:pPr>
            <w:r>
              <w:rPr>
                <w:noProof/>
                <w:sz w:val="20"/>
                <w:lang w:val="ro-RO"/>
              </w:rPr>
              <w:t>Cadru global de contabilizare, abordare bazată pe activitate sau pe exploatarea terenurilor, pentru emisiile și absorbțiile rezu</w:t>
            </w:r>
            <w:r>
              <w:rPr>
                <w:noProof/>
                <w:sz w:val="20"/>
                <w:lang w:val="ro-RO"/>
              </w:rPr>
              <w:t>ltate din activități legate de utilizarea terenurilor, de schimbarea destinației terenurilor și de silvicultură, bazându-se pe: (i) normele adoptate în baza deciziei 2/CMP.7, deciziile aplicabile ale Conferinței părților și legislația UE (Decizia nr. 529/2</w:t>
            </w:r>
            <w:r>
              <w:rPr>
                <w:noProof/>
                <w:sz w:val="20"/>
                <w:lang w:val="ro-RO"/>
              </w:rPr>
              <w:t>013/UE) și (ii) nivelul actual de integritate a mediului.</w:t>
            </w:r>
          </w:p>
          <w:p w:rsidR="000A45DE" w:rsidRDefault="000A45DE">
            <w:pPr>
              <w:spacing w:after="0"/>
              <w:rPr>
                <w:b/>
                <w:noProof/>
                <w:lang w:val="ro-RO"/>
              </w:rPr>
            </w:pPr>
          </w:p>
        </w:tc>
      </w:tr>
      <w:tr w:rsidR="000A45DE">
        <w:tc>
          <w:tcPr>
            <w:tcW w:w="9243" w:type="dxa"/>
            <w:gridSpan w:val="2"/>
            <w:shd w:val="clear" w:color="auto" w:fill="DEEAF6"/>
          </w:tcPr>
          <w:p w:rsidR="000A45DE" w:rsidRDefault="00C07CCA">
            <w:pPr>
              <w:spacing w:after="0"/>
              <w:rPr>
                <w:b/>
                <w:noProof/>
                <w:lang w:val="ro-RO"/>
              </w:rPr>
            </w:pPr>
            <w:r>
              <w:rPr>
                <w:b/>
                <w:noProof/>
                <w:lang w:val="ro-RO"/>
              </w:rPr>
              <w:t>Acoperire</w:t>
            </w:r>
          </w:p>
        </w:tc>
      </w:tr>
      <w:tr w:rsidR="000A45DE" w:rsidRPr="00C07CCA">
        <w:tc>
          <w:tcPr>
            <w:tcW w:w="2518" w:type="dxa"/>
            <w:tcBorders>
              <w:bottom w:val="single" w:sz="4" w:space="0" w:color="auto"/>
            </w:tcBorders>
            <w:shd w:val="clear" w:color="auto" w:fill="auto"/>
          </w:tcPr>
          <w:p w:rsidR="000A45DE" w:rsidRDefault="00C07CCA">
            <w:pPr>
              <w:spacing w:after="0"/>
              <w:rPr>
                <w:b/>
                <w:noProof/>
                <w:lang w:val="ro-RO"/>
              </w:rPr>
            </w:pPr>
            <w:r>
              <w:rPr>
                <w:b/>
                <w:noProof/>
                <w:sz w:val="20"/>
                <w:lang w:val="ro-RO"/>
              </w:rPr>
              <w:t>Sectoare/Categorii de surse</w:t>
            </w:r>
          </w:p>
        </w:tc>
        <w:tc>
          <w:tcPr>
            <w:tcW w:w="6725" w:type="dxa"/>
            <w:tcBorders>
              <w:bottom w:val="single" w:sz="4" w:space="0" w:color="auto"/>
            </w:tcBorders>
            <w:shd w:val="clear" w:color="auto" w:fill="auto"/>
          </w:tcPr>
          <w:p w:rsidR="000A45DE" w:rsidRDefault="00C07CCA">
            <w:pPr>
              <w:numPr>
                <w:ilvl w:val="0"/>
                <w:numId w:val="40"/>
              </w:numPr>
              <w:spacing w:before="0" w:after="0" w:line="276" w:lineRule="auto"/>
              <w:jc w:val="left"/>
              <w:rPr>
                <w:noProof/>
                <w:sz w:val="20"/>
                <w:szCs w:val="20"/>
                <w:lang w:val="ro-RO"/>
              </w:rPr>
            </w:pPr>
            <w:r>
              <w:rPr>
                <w:noProof/>
                <w:sz w:val="20"/>
                <w:szCs w:val="20"/>
                <w:lang w:val="ro-RO"/>
              </w:rPr>
              <w:t>Energia</w:t>
            </w:r>
          </w:p>
          <w:p w:rsidR="000A45DE" w:rsidRDefault="00C07CCA">
            <w:pPr>
              <w:numPr>
                <w:ilvl w:val="1"/>
                <w:numId w:val="40"/>
              </w:numPr>
              <w:spacing w:before="0" w:after="0" w:line="276" w:lineRule="auto"/>
              <w:jc w:val="left"/>
              <w:rPr>
                <w:noProof/>
                <w:sz w:val="20"/>
                <w:szCs w:val="20"/>
                <w:lang w:val="ro-RO"/>
              </w:rPr>
            </w:pPr>
            <w:r>
              <w:rPr>
                <w:noProof/>
                <w:sz w:val="20"/>
                <w:szCs w:val="20"/>
                <w:lang w:val="ro-RO"/>
              </w:rPr>
              <w:t>Arderea combustibililor</w:t>
            </w:r>
          </w:p>
          <w:p w:rsidR="000A45DE" w:rsidRDefault="00C07CCA">
            <w:pPr>
              <w:numPr>
                <w:ilvl w:val="2"/>
                <w:numId w:val="40"/>
              </w:numPr>
              <w:spacing w:before="0" w:after="0" w:line="276" w:lineRule="auto"/>
              <w:jc w:val="left"/>
              <w:rPr>
                <w:noProof/>
                <w:sz w:val="20"/>
                <w:szCs w:val="20"/>
                <w:lang w:val="ro-RO"/>
              </w:rPr>
            </w:pPr>
            <w:r>
              <w:rPr>
                <w:noProof/>
                <w:sz w:val="20"/>
                <w:szCs w:val="20"/>
                <w:lang w:val="ro-RO"/>
              </w:rPr>
              <w:t>Industrii producătoare de energie</w:t>
            </w:r>
          </w:p>
          <w:p w:rsidR="000A45DE" w:rsidRDefault="00C07CCA">
            <w:pPr>
              <w:numPr>
                <w:ilvl w:val="2"/>
                <w:numId w:val="40"/>
              </w:numPr>
              <w:spacing w:before="0" w:after="0" w:line="276" w:lineRule="auto"/>
              <w:jc w:val="left"/>
              <w:rPr>
                <w:noProof/>
                <w:sz w:val="20"/>
                <w:szCs w:val="20"/>
                <w:lang w:val="ro-RO"/>
              </w:rPr>
            </w:pPr>
            <w:r>
              <w:rPr>
                <w:noProof/>
                <w:sz w:val="20"/>
                <w:szCs w:val="20"/>
                <w:lang w:val="ro-RO"/>
              </w:rPr>
              <w:t>I</w:t>
            </w:r>
            <w:r>
              <w:rPr>
                <w:noProof/>
                <w:sz w:val="20"/>
                <w:lang w:val="ro-RO"/>
              </w:rPr>
              <w:t>ndustria producătoare și industria de construcții</w:t>
            </w:r>
          </w:p>
          <w:p w:rsidR="000A45DE" w:rsidRDefault="00C07CCA">
            <w:pPr>
              <w:numPr>
                <w:ilvl w:val="2"/>
                <w:numId w:val="40"/>
              </w:numPr>
              <w:spacing w:before="0" w:after="0" w:line="276" w:lineRule="auto"/>
              <w:jc w:val="left"/>
              <w:rPr>
                <w:noProof/>
                <w:sz w:val="20"/>
                <w:szCs w:val="20"/>
                <w:lang w:val="ro-RO"/>
              </w:rPr>
            </w:pPr>
            <w:r>
              <w:rPr>
                <w:noProof/>
                <w:sz w:val="20"/>
                <w:lang w:val="ro-RO"/>
              </w:rPr>
              <w:t>Transporturi</w:t>
            </w:r>
          </w:p>
          <w:p w:rsidR="000A45DE" w:rsidRDefault="00C07CCA">
            <w:pPr>
              <w:numPr>
                <w:ilvl w:val="2"/>
                <w:numId w:val="40"/>
              </w:numPr>
              <w:spacing w:before="0" w:after="0" w:line="276" w:lineRule="auto"/>
              <w:jc w:val="left"/>
              <w:rPr>
                <w:noProof/>
                <w:sz w:val="20"/>
                <w:szCs w:val="20"/>
                <w:lang w:val="ro-RO"/>
              </w:rPr>
            </w:pPr>
            <w:r>
              <w:rPr>
                <w:noProof/>
                <w:sz w:val="20"/>
                <w:lang w:val="ro-RO"/>
              </w:rPr>
              <w:t>Alte sectoare</w:t>
            </w:r>
          </w:p>
          <w:p w:rsidR="000A45DE" w:rsidRDefault="00C07CCA">
            <w:pPr>
              <w:numPr>
                <w:ilvl w:val="2"/>
                <w:numId w:val="40"/>
              </w:numPr>
              <w:spacing w:before="0" w:after="0" w:line="276" w:lineRule="auto"/>
              <w:jc w:val="left"/>
              <w:rPr>
                <w:noProof/>
                <w:sz w:val="20"/>
                <w:szCs w:val="20"/>
                <w:lang w:val="ro-RO"/>
              </w:rPr>
            </w:pPr>
            <w:r>
              <w:rPr>
                <w:noProof/>
                <w:sz w:val="20"/>
                <w:lang w:val="ro-RO"/>
              </w:rPr>
              <w:t>Altele</w:t>
            </w:r>
          </w:p>
          <w:p w:rsidR="000A45DE" w:rsidRDefault="00C07CCA">
            <w:pPr>
              <w:numPr>
                <w:ilvl w:val="1"/>
                <w:numId w:val="40"/>
              </w:numPr>
              <w:spacing w:before="0" w:after="0" w:line="276" w:lineRule="auto"/>
              <w:jc w:val="left"/>
              <w:rPr>
                <w:noProof/>
                <w:sz w:val="20"/>
                <w:szCs w:val="20"/>
                <w:lang w:val="ro-RO"/>
              </w:rPr>
            </w:pPr>
            <w:r>
              <w:rPr>
                <w:noProof/>
                <w:sz w:val="20"/>
                <w:szCs w:val="20"/>
                <w:lang w:val="ro-RO"/>
              </w:rPr>
              <w:t>Emisii</w:t>
            </w:r>
            <w:r>
              <w:rPr>
                <w:noProof/>
                <w:sz w:val="20"/>
                <w:szCs w:val="20"/>
                <w:lang w:val="ro-RO"/>
              </w:rPr>
              <w:t xml:space="preserve"> fugitive de la combustibili</w:t>
            </w:r>
          </w:p>
          <w:p w:rsidR="000A45DE" w:rsidRDefault="00C07CCA">
            <w:pPr>
              <w:numPr>
                <w:ilvl w:val="2"/>
                <w:numId w:val="40"/>
              </w:numPr>
              <w:spacing w:before="0" w:after="0" w:line="276" w:lineRule="auto"/>
              <w:jc w:val="left"/>
              <w:rPr>
                <w:noProof/>
                <w:sz w:val="20"/>
                <w:szCs w:val="20"/>
                <w:lang w:val="ro-RO"/>
              </w:rPr>
            </w:pPr>
            <w:r>
              <w:rPr>
                <w:noProof/>
                <w:sz w:val="20"/>
                <w:lang w:val="ro-RO"/>
              </w:rPr>
              <w:t>Combustibili solizi</w:t>
            </w:r>
          </w:p>
          <w:p w:rsidR="000A45DE" w:rsidRDefault="00C07CCA">
            <w:pPr>
              <w:numPr>
                <w:ilvl w:val="2"/>
                <w:numId w:val="40"/>
              </w:numPr>
              <w:spacing w:before="0" w:after="0" w:line="276" w:lineRule="auto"/>
              <w:jc w:val="left"/>
              <w:rPr>
                <w:noProof/>
                <w:sz w:val="20"/>
                <w:szCs w:val="20"/>
                <w:lang w:val="ro-RO"/>
              </w:rPr>
            </w:pPr>
            <w:r>
              <w:rPr>
                <w:noProof/>
                <w:sz w:val="20"/>
                <w:szCs w:val="20"/>
                <w:lang w:val="ro-RO"/>
              </w:rPr>
              <w:t>Petrol și gaze naturale și alte emisii din producția de energie</w:t>
            </w:r>
          </w:p>
          <w:p w:rsidR="000A45DE" w:rsidRDefault="00C07CCA">
            <w:pPr>
              <w:numPr>
                <w:ilvl w:val="1"/>
                <w:numId w:val="40"/>
              </w:numPr>
              <w:spacing w:before="0" w:after="0" w:line="276" w:lineRule="auto"/>
              <w:jc w:val="left"/>
              <w:rPr>
                <w:noProof/>
                <w:sz w:val="20"/>
                <w:szCs w:val="20"/>
                <w:lang w:val="ro-RO"/>
              </w:rPr>
            </w:pPr>
            <w:r>
              <w:rPr>
                <w:noProof/>
                <w:sz w:val="20"/>
                <w:szCs w:val="20"/>
                <w:lang w:val="ro-RO"/>
              </w:rPr>
              <w:t>Transportul și stocarea de CO</w:t>
            </w:r>
            <w:r>
              <w:rPr>
                <w:noProof/>
                <w:sz w:val="20"/>
                <w:szCs w:val="20"/>
                <w:vertAlign w:val="subscript"/>
                <w:lang w:val="ro-RO"/>
              </w:rPr>
              <w:t>2</w:t>
            </w:r>
            <w:r>
              <w:rPr>
                <w:noProof/>
                <w:sz w:val="20"/>
                <w:szCs w:val="20"/>
                <w:lang w:val="ro-RO"/>
              </w:rPr>
              <w:t xml:space="preserve"> </w:t>
            </w:r>
          </w:p>
          <w:p w:rsidR="000A45DE" w:rsidRDefault="00C07CCA">
            <w:pPr>
              <w:numPr>
                <w:ilvl w:val="0"/>
                <w:numId w:val="40"/>
              </w:numPr>
              <w:spacing w:before="0" w:after="0" w:line="276" w:lineRule="auto"/>
              <w:jc w:val="left"/>
              <w:rPr>
                <w:noProof/>
                <w:sz w:val="20"/>
                <w:szCs w:val="20"/>
                <w:lang w:val="ro-RO"/>
              </w:rPr>
            </w:pPr>
            <w:r>
              <w:rPr>
                <w:noProof/>
                <w:sz w:val="20"/>
                <w:lang w:val="ro-RO"/>
              </w:rPr>
              <w:t xml:space="preserve">Procese industriale și utilizarea produselor </w:t>
            </w:r>
          </w:p>
          <w:p w:rsidR="000A45DE" w:rsidRDefault="00C07CCA">
            <w:pPr>
              <w:numPr>
                <w:ilvl w:val="1"/>
                <w:numId w:val="40"/>
              </w:numPr>
              <w:spacing w:before="0" w:after="0" w:line="276" w:lineRule="auto"/>
              <w:jc w:val="left"/>
              <w:rPr>
                <w:noProof/>
                <w:sz w:val="20"/>
                <w:szCs w:val="20"/>
                <w:lang w:val="ro-RO"/>
              </w:rPr>
            </w:pPr>
            <w:r>
              <w:rPr>
                <w:noProof/>
                <w:sz w:val="20"/>
                <w:lang w:val="ro-RO"/>
              </w:rPr>
              <w:t>Industria minerală</w:t>
            </w:r>
          </w:p>
          <w:p w:rsidR="000A45DE" w:rsidRDefault="00C07CCA">
            <w:pPr>
              <w:numPr>
                <w:ilvl w:val="1"/>
                <w:numId w:val="40"/>
              </w:numPr>
              <w:spacing w:before="0" w:after="0" w:line="276" w:lineRule="auto"/>
              <w:jc w:val="left"/>
              <w:rPr>
                <w:noProof/>
                <w:sz w:val="20"/>
                <w:szCs w:val="20"/>
                <w:lang w:val="ro-RO"/>
              </w:rPr>
            </w:pPr>
            <w:r>
              <w:rPr>
                <w:noProof/>
                <w:sz w:val="20"/>
                <w:lang w:val="ro-RO"/>
              </w:rPr>
              <w:t>Industria chimică</w:t>
            </w:r>
          </w:p>
          <w:p w:rsidR="000A45DE" w:rsidRDefault="00C07CCA">
            <w:pPr>
              <w:numPr>
                <w:ilvl w:val="1"/>
                <w:numId w:val="40"/>
              </w:numPr>
              <w:spacing w:before="0" w:after="0" w:line="276" w:lineRule="auto"/>
              <w:jc w:val="left"/>
              <w:rPr>
                <w:noProof/>
                <w:sz w:val="20"/>
                <w:szCs w:val="20"/>
                <w:lang w:val="ro-RO"/>
              </w:rPr>
            </w:pPr>
            <w:r>
              <w:rPr>
                <w:noProof/>
                <w:sz w:val="20"/>
                <w:lang w:val="ro-RO"/>
              </w:rPr>
              <w:t>Industria metalelor</w:t>
            </w:r>
          </w:p>
          <w:p w:rsidR="000A45DE" w:rsidRDefault="00C07CCA">
            <w:pPr>
              <w:numPr>
                <w:ilvl w:val="1"/>
                <w:numId w:val="40"/>
              </w:numPr>
              <w:spacing w:before="0" w:after="0" w:line="276" w:lineRule="auto"/>
              <w:jc w:val="left"/>
              <w:rPr>
                <w:noProof/>
                <w:sz w:val="20"/>
                <w:szCs w:val="20"/>
                <w:lang w:val="ro-RO"/>
              </w:rPr>
            </w:pPr>
            <w:r>
              <w:rPr>
                <w:noProof/>
                <w:sz w:val="20"/>
                <w:szCs w:val="20"/>
                <w:lang w:val="ro-RO"/>
              </w:rPr>
              <w:t xml:space="preserve">Produse neenergetice obținute din combustibili și utilizarea solvenților </w:t>
            </w:r>
          </w:p>
          <w:p w:rsidR="000A45DE" w:rsidRDefault="00C07CCA">
            <w:pPr>
              <w:numPr>
                <w:ilvl w:val="1"/>
                <w:numId w:val="40"/>
              </w:numPr>
              <w:spacing w:before="0" w:after="0" w:line="276" w:lineRule="auto"/>
              <w:jc w:val="left"/>
              <w:rPr>
                <w:noProof/>
                <w:sz w:val="20"/>
                <w:szCs w:val="20"/>
                <w:lang w:val="ro-RO"/>
              </w:rPr>
            </w:pPr>
            <w:r>
              <w:rPr>
                <w:noProof/>
                <w:sz w:val="20"/>
                <w:lang w:val="ro-RO"/>
              </w:rPr>
              <w:t>Industria electronică</w:t>
            </w:r>
          </w:p>
          <w:p w:rsidR="000A45DE" w:rsidRDefault="00C07CCA">
            <w:pPr>
              <w:numPr>
                <w:ilvl w:val="1"/>
                <w:numId w:val="40"/>
              </w:numPr>
              <w:spacing w:before="0" w:after="0" w:line="276" w:lineRule="auto"/>
              <w:jc w:val="left"/>
              <w:rPr>
                <w:noProof/>
                <w:sz w:val="20"/>
                <w:szCs w:val="20"/>
                <w:lang w:val="ro-RO"/>
              </w:rPr>
            </w:pPr>
            <w:r>
              <w:rPr>
                <w:noProof/>
                <w:sz w:val="20"/>
                <w:szCs w:val="20"/>
                <w:lang w:val="ro-RO"/>
              </w:rPr>
              <w:t>Utilizarea de produse de înlocuire a substanțelor care afectează stratul de ozon</w:t>
            </w:r>
          </w:p>
          <w:p w:rsidR="000A45DE" w:rsidRDefault="00C07CCA">
            <w:pPr>
              <w:numPr>
                <w:ilvl w:val="1"/>
                <w:numId w:val="40"/>
              </w:numPr>
              <w:spacing w:before="0" w:after="0" w:line="276" w:lineRule="auto"/>
              <w:jc w:val="left"/>
              <w:rPr>
                <w:noProof/>
                <w:sz w:val="20"/>
                <w:szCs w:val="20"/>
                <w:lang w:val="ro-RO"/>
              </w:rPr>
            </w:pPr>
            <w:r>
              <w:rPr>
                <w:noProof/>
                <w:sz w:val="20"/>
                <w:lang w:val="ro-RO"/>
              </w:rPr>
              <w:t>Fabricarea și utilizarea altor produse</w:t>
            </w:r>
          </w:p>
          <w:p w:rsidR="000A45DE" w:rsidRDefault="00C07CCA">
            <w:pPr>
              <w:numPr>
                <w:ilvl w:val="1"/>
                <w:numId w:val="40"/>
              </w:numPr>
              <w:spacing w:before="0" w:after="0" w:line="276" w:lineRule="auto"/>
              <w:jc w:val="left"/>
              <w:rPr>
                <w:noProof/>
                <w:sz w:val="20"/>
                <w:szCs w:val="20"/>
                <w:lang w:val="ro-RO"/>
              </w:rPr>
            </w:pPr>
            <w:r>
              <w:rPr>
                <w:noProof/>
                <w:sz w:val="20"/>
                <w:lang w:val="ro-RO"/>
              </w:rPr>
              <w:t>Altele</w:t>
            </w:r>
          </w:p>
          <w:p w:rsidR="000A45DE" w:rsidRDefault="00C07CCA">
            <w:pPr>
              <w:numPr>
                <w:ilvl w:val="0"/>
                <w:numId w:val="40"/>
              </w:numPr>
              <w:spacing w:before="0" w:after="0" w:line="276" w:lineRule="auto"/>
              <w:jc w:val="left"/>
              <w:rPr>
                <w:noProof/>
                <w:sz w:val="20"/>
                <w:szCs w:val="20"/>
                <w:lang w:val="ro-RO"/>
              </w:rPr>
            </w:pPr>
            <w:r>
              <w:rPr>
                <w:noProof/>
                <w:sz w:val="20"/>
                <w:lang w:val="ro-RO"/>
              </w:rPr>
              <w:t>Agricultură</w:t>
            </w:r>
          </w:p>
          <w:p w:rsidR="000A45DE" w:rsidRDefault="00C07CCA">
            <w:pPr>
              <w:numPr>
                <w:ilvl w:val="1"/>
                <w:numId w:val="40"/>
              </w:numPr>
              <w:spacing w:before="0" w:after="0" w:line="276" w:lineRule="auto"/>
              <w:jc w:val="left"/>
              <w:rPr>
                <w:noProof/>
                <w:sz w:val="20"/>
                <w:szCs w:val="20"/>
                <w:lang w:val="ro-RO"/>
              </w:rPr>
            </w:pPr>
            <w:r>
              <w:rPr>
                <w:noProof/>
                <w:sz w:val="20"/>
                <w:lang w:val="ro-RO"/>
              </w:rPr>
              <w:t>Fermentație enterică</w:t>
            </w:r>
          </w:p>
          <w:p w:rsidR="000A45DE" w:rsidRDefault="00C07CCA">
            <w:pPr>
              <w:numPr>
                <w:ilvl w:val="1"/>
                <w:numId w:val="40"/>
              </w:numPr>
              <w:spacing w:before="0" w:after="0" w:line="276" w:lineRule="auto"/>
              <w:jc w:val="left"/>
              <w:rPr>
                <w:noProof/>
                <w:sz w:val="20"/>
                <w:szCs w:val="20"/>
                <w:lang w:val="ro-RO"/>
              </w:rPr>
            </w:pPr>
            <w:r>
              <w:rPr>
                <w:noProof/>
                <w:sz w:val="20"/>
                <w:lang w:val="ro-RO"/>
              </w:rPr>
              <w:t>Gestionarea gunoiului de grajd</w:t>
            </w:r>
          </w:p>
          <w:p w:rsidR="000A45DE" w:rsidRDefault="00C07CCA">
            <w:pPr>
              <w:numPr>
                <w:ilvl w:val="1"/>
                <w:numId w:val="40"/>
              </w:numPr>
              <w:spacing w:before="0" w:after="0" w:line="276" w:lineRule="auto"/>
              <w:jc w:val="left"/>
              <w:rPr>
                <w:noProof/>
                <w:sz w:val="20"/>
                <w:szCs w:val="20"/>
                <w:lang w:val="ro-RO"/>
              </w:rPr>
            </w:pPr>
            <w:r>
              <w:rPr>
                <w:noProof/>
                <w:sz w:val="20"/>
                <w:lang w:val="ro-RO"/>
              </w:rPr>
              <w:t>Cultivarea orezului</w:t>
            </w:r>
          </w:p>
          <w:p w:rsidR="000A45DE" w:rsidRDefault="00C07CCA">
            <w:pPr>
              <w:numPr>
                <w:ilvl w:val="1"/>
                <w:numId w:val="40"/>
              </w:numPr>
              <w:spacing w:before="0" w:after="0" w:line="276" w:lineRule="auto"/>
              <w:jc w:val="left"/>
              <w:rPr>
                <w:noProof/>
                <w:sz w:val="20"/>
                <w:szCs w:val="20"/>
                <w:lang w:val="ro-RO"/>
              </w:rPr>
            </w:pPr>
            <w:r>
              <w:rPr>
                <w:noProof/>
                <w:sz w:val="20"/>
                <w:lang w:val="ro-RO"/>
              </w:rPr>
              <w:t>Soluri agricole</w:t>
            </w:r>
          </w:p>
          <w:p w:rsidR="000A45DE" w:rsidRDefault="00C07CCA">
            <w:pPr>
              <w:numPr>
                <w:ilvl w:val="1"/>
                <w:numId w:val="40"/>
              </w:numPr>
              <w:spacing w:before="0" w:after="0" w:line="276" w:lineRule="auto"/>
              <w:jc w:val="left"/>
              <w:rPr>
                <w:noProof/>
                <w:sz w:val="20"/>
                <w:szCs w:val="20"/>
                <w:lang w:val="ro-RO"/>
              </w:rPr>
            </w:pPr>
            <w:r>
              <w:rPr>
                <w:noProof/>
                <w:sz w:val="20"/>
                <w:lang w:val="ro-RO"/>
              </w:rPr>
              <w:t>Incendierea programată a savanelor</w:t>
            </w:r>
          </w:p>
          <w:p w:rsidR="000A45DE" w:rsidRDefault="00C07CCA">
            <w:pPr>
              <w:numPr>
                <w:ilvl w:val="1"/>
                <w:numId w:val="40"/>
              </w:numPr>
              <w:spacing w:before="0" w:after="0" w:line="276" w:lineRule="auto"/>
              <w:jc w:val="left"/>
              <w:rPr>
                <w:noProof/>
                <w:sz w:val="20"/>
                <w:szCs w:val="20"/>
                <w:lang w:val="ro-RO"/>
              </w:rPr>
            </w:pPr>
            <w:r>
              <w:rPr>
                <w:noProof/>
                <w:sz w:val="20"/>
                <w:lang w:val="ro-RO"/>
              </w:rPr>
              <w:t>Arderea reziduurilor agricole în câmp</w:t>
            </w:r>
          </w:p>
          <w:p w:rsidR="000A45DE" w:rsidRDefault="00C07CCA">
            <w:pPr>
              <w:numPr>
                <w:ilvl w:val="1"/>
                <w:numId w:val="40"/>
              </w:numPr>
              <w:spacing w:before="0" w:after="0" w:line="276" w:lineRule="auto"/>
              <w:jc w:val="left"/>
              <w:rPr>
                <w:noProof/>
                <w:sz w:val="20"/>
                <w:szCs w:val="20"/>
                <w:lang w:val="ro-RO"/>
              </w:rPr>
            </w:pPr>
            <w:r>
              <w:rPr>
                <w:noProof/>
                <w:sz w:val="20"/>
                <w:lang w:val="ro-RO"/>
              </w:rPr>
              <w:t>Stropirea cu var</w:t>
            </w:r>
          </w:p>
          <w:p w:rsidR="000A45DE" w:rsidRDefault="00C07CCA">
            <w:pPr>
              <w:numPr>
                <w:ilvl w:val="1"/>
                <w:numId w:val="40"/>
              </w:numPr>
              <w:spacing w:before="0" w:after="0" w:line="276" w:lineRule="auto"/>
              <w:jc w:val="left"/>
              <w:rPr>
                <w:noProof/>
                <w:sz w:val="20"/>
                <w:szCs w:val="20"/>
                <w:lang w:val="ro-RO"/>
              </w:rPr>
            </w:pPr>
            <w:r>
              <w:rPr>
                <w:noProof/>
                <w:sz w:val="20"/>
                <w:szCs w:val="20"/>
                <w:lang w:val="ro-RO"/>
              </w:rPr>
              <w:t>Aplicarea de uree</w:t>
            </w:r>
          </w:p>
          <w:p w:rsidR="000A45DE" w:rsidRDefault="00C07CCA">
            <w:pPr>
              <w:numPr>
                <w:ilvl w:val="1"/>
                <w:numId w:val="40"/>
              </w:numPr>
              <w:spacing w:before="0" w:after="0" w:line="276" w:lineRule="auto"/>
              <w:jc w:val="left"/>
              <w:rPr>
                <w:noProof/>
                <w:sz w:val="20"/>
                <w:szCs w:val="20"/>
                <w:lang w:val="ro-RO"/>
              </w:rPr>
            </w:pPr>
            <w:r>
              <w:rPr>
                <w:noProof/>
                <w:sz w:val="20"/>
                <w:szCs w:val="20"/>
                <w:lang w:val="ro-RO"/>
              </w:rPr>
              <w:t>Alte tipuri de îngrășăminte cu conținut de carbon</w:t>
            </w:r>
          </w:p>
          <w:p w:rsidR="000A45DE" w:rsidRDefault="00C07CCA">
            <w:pPr>
              <w:numPr>
                <w:ilvl w:val="1"/>
                <w:numId w:val="40"/>
              </w:numPr>
              <w:spacing w:before="0" w:after="0" w:line="276" w:lineRule="auto"/>
              <w:jc w:val="left"/>
              <w:rPr>
                <w:noProof/>
                <w:sz w:val="20"/>
                <w:szCs w:val="20"/>
                <w:lang w:val="ro-RO"/>
              </w:rPr>
            </w:pPr>
            <w:r>
              <w:rPr>
                <w:noProof/>
                <w:sz w:val="20"/>
                <w:lang w:val="ro-RO"/>
              </w:rPr>
              <w:t>Altele</w:t>
            </w:r>
          </w:p>
          <w:p w:rsidR="000A45DE" w:rsidRDefault="00C07CCA">
            <w:pPr>
              <w:numPr>
                <w:ilvl w:val="0"/>
                <w:numId w:val="40"/>
              </w:numPr>
              <w:spacing w:before="0" w:after="0" w:line="276" w:lineRule="auto"/>
              <w:jc w:val="left"/>
              <w:rPr>
                <w:noProof/>
                <w:sz w:val="20"/>
                <w:szCs w:val="20"/>
                <w:lang w:val="ro-RO"/>
              </w:rPr>
            </w:pPr>
            <w:r>
              <w:rPr>
                <w:noProof/>
                <w:sz w:val="20"/>
                <w:lang w:val="ro-RO"/>
              </w:rPr>
              <w:t>Deșeuri</w:t>
            </w:r>
          </w:p>
          <w:p w:rsidR="000A45DE" w:rsidRDefault="00C07CCA">
            <w:pPr>
              <w:numPr>
                <w:ilvl w:val="1"/>
                <w:numId w:val="40"/>
              </w:numPr>
              <w:spacing w:before="0" w:after="0" w:line="276" w:lineRule="auto"/>
              <w:jc w:val="left"/>
              <w:rPr>
                <w:noProof/>
                <w:sz w:val="20"/>
                <w:szCs w:val="20"/>
                <w:lang w:val="ro-RO"/>
              </w:rPr>
            </w:pPr>
            <w:r>
              <w:rPr>
                <w:noProof/>
                <w:sz w:val="20"/>
                <w:lang w:val="ro-RO"/>
              </w:rPr>
              <w:t>Eliminarea deșeu</w:t>
            </w:r>
            <w:r>
              <w:rPr>
                <w:noProof/>
                <w:sz w:val="20"/>
                <w:lang w:val="ro-RO"/>
              </w:rPr>
              <w:t xml:space="preserve">rilor solide </w:t>
            </w:r>
          </w:p>
          <w:p w:rsidR="000A45DE" w:rsidRDefault="00C07CCA">
            <w:pPr>
              <w:numPr>
                <w:ilvl w:val="1"/>
                <w:numId w:val="40"/>
              </w:numPr>
              <w:spacing w:before="0" w:after="0" w:line="276" w:lineRule="auto"/>
              <w:jc w:val="left"/>
              <w:rPr>
                <w:noProof/>
                <w:sz w:val="20"/>
                <w:szCs w:val="20"/>
                <w:lang w:val="ro-RO"/>
              </w:rPr>
            </w:pPr>
            <w:r>
              <w:rPr>
                <w:noProof/>
                <w:sz w:val="20"/>
                <w:lang w:val="ro-RO"/>
              </w:rPr>
              <w:t>Tratarea biologică a deșeurilor solide</w:t>
            </w:r>
          </w:p>
          <w:p w:rsidR="000A45DE" w:rsidRDefault="00C07CCA">
            <w:pPr>
              <w:numPr>
                <w:ilvl w:val="1"/>
                <w:numId w:val="40"/>
              </w:numPr>
              <w:spacing w:before="0" w:after="0" w:line="276" w:lineRule="auto"/>
              <w:jc w:val="left"/>
              <w:rPr>
                <w:noProof/>
                <w:sz w:val="20"/>
                <w:szCs w:val="20"/>
                <w:lang w:val="ro-RO"/>
              </w:rPr>
            </w:pPr>
            <w:r>
              <w:rPr>
                <w:noProof/>
                <w:sz w:val="20"/>
                <w:lang w:val="ro-RO"/>
              </w:rPr>
              <w:t>Incinerarea și arderea în aer liber a deșeurilor</w:t>
            </w:r>
          </w:p>
          <w:p w:rsidR="000A45DE" w:rsidRDefault="00C07CCA">
            <w:pPr>
              <w:numPr>
                <w:ilvl w:val="1"/>
                <w:numId w:val="40"/>
              </w:numPr>
              <w:spacing w:before="0" w:after="0" w:line="276" w:lineRule="auto"/>
              <w:jc w:val="left"/>
              <w:rPr>
                <w:noProof/>
                <w:sz w:val="20"/>
                <w:szCs w:val="20"/>
                <w:lang w:val="ro-RO"/>
              </w:rPr>
            </w:pPr>
            <w:r>
              <w:rPr>
                <w:noProof/>
                <w:sz w:val="20"/>
                <w:szCs w:val="20"/>
                <w:lang w:val="ro-RO"/>
              </w:rPr>
              <w:t>Tratarea și deversarea apelor reziduale</w:t>
            </w:r>
          </w:p>
          <w:p w:rsidR="000A45DE" w:rsidRDefault="00C07CCA">
            <w:pPr>
              <w:numPr>
                <w:ilvl w:val="1"/>
                <w:numId w:val="40"/>
              </w:numPr>
              <w:spacing w:before="0" w:after="0" w:line="276" w:lineRule="auto"/>
              <w:jc w:val="left"/>
              <w:rPr>
                <w:noProof/>
                <w:sz w:val="20"/>
                <w:szCs w:val="20"/>
                <w:lang w:val="ro-RO"/>
              </w:rPr>
            </w:pPr>
            <w:r>
              <w:rPr>
                <w:noProof/>
                <w:sz w:val="20"/>
                <w:lang w:val="ro-RO"/>
              </w:rPr>
              <w:t>Altele</w:t>
            </w:r>
          </w:p>
          <w:p w:rsidR="000A45DE" w:rsidRDefault="00C07CCA">
            <w:pPr>
              <w:numPr>
                <w:ilvl w:val="0"/>
                <w:numId w:val="40"/>
              </w:numPr>
              <w:spacing w:before="0" w:after="0" w:line="276" w:lineRule="auto"/>
              <w:jc w:val="left"/>
              <w:rPr>
                <w:noProof/>
                <w:sz w:val="20"/>
                <w:szCs w:val="20"/>
                <w:lang w:val="ro-RO"/>
              </w:rPr>
            </w:pPr>
            <w:r>
              <w:rPr>
                <w:noProof/>
                <w:sz w:val="20"/>
                <w:lang w:val="ro-RO"/>
              </w:rPr>
              <w:t>Exploatarea terenurilor, schimbarea destinației terenurilor și silvicultură stabilite în Decizia nr. 529/20</w:t>
            </w:r>
            <w:r>
              <w:rPr>
                <w:noProof/>
                <w:sz w:val="20"/>
                <w:lang w:val="ro-RO"/>
              </w:rPr>
              <w:t>13/UE</w:t>
            </w:r>
          </w:p>
          <w:p w:rsidR="000A45DE" w:rsidRDefault="00C07CCA">
            <w:pPr>
              <w:numPr>
                <w:ilvl w:val="1"/>
                <w:numId w:val="40"/>
              </w:numPr>
              <w:spacing w:before="0" w:after="0" w:line="276" w:lineRule="auto"/>
              <w:jc w:val="left"/>
              <w:rPr>
                <w:noProof/>
                <w:sz w:val="20"/>
                <w:szCs w:val="20"/>
                <w:lang w:val="ro-RO"/>
              </w:rPr>
            </w:pPr>
            <w:r>
              <w:rPr>
                <w:noProof/>
                <w:sz w:val="20"/>
                <w:lang w:val="ro-RO"/>
              </w:rPr>
              <w:t>Împădurire, reîmpădurire</w:t>
            </w:r>
          </w:p>
          <w:p w:rsidR="000A45DE" w:rsidRDefault="00C07CCA">
            <w:pPr>
              <w:numPr>
                <w:ilvl w:val="1"/>
                <w:numId w:val="40"/>
              </w:numPr>
              <w:spacing w:before="0" w:after="0" w:line="276" w:lineRule="auto"/>
              <w:jc w:val="left"/>
              <w:rPr>
                <w:noProof/>
                <w:sz w:val="20"/>
                <w:szCs w:val="20"/>
                <w:lang w:val="ro-RO"/>
              </w:rPr>
            </w:pPr>
            <w:r>
              <w:rPr>
                <w:noProof/>
                <w:sz w:val="20"/>
                <w:lang w:val="ro-RO"/>
              </w:rPr>
              <w:t>Despădurire</w:t>
            </w:r>
          </w:p>
          <w:p w:rsidR="000A45DE" w:rsidRDefault="00C07CCA">
            <w:pPr>
              <w:numPr>
                <w:ilvl w:val="1"/>
                <w:numId w:val="40"/>
              </w:numPr>
              <w:spacing w:before="0" w:after="0" w:line="276" w:lineRule="auto"/>
              <w:jc w:val="left"/>
              <w:rPr>
                <w:noProof/>
                <w:sz w:val="20"/>
                <w:szCs w:val="20"/>
                <w:lang w:val="ro-RO"/>
              </w:rPr>
            </w:pPr>
            <w:r>
              <w:rPr>
                <w:noProof/>
                <w:sz w:val="20"/>
                <w:lang w:val="ro-RO"/>
              </w:rPr>
              <w:t>Gestionarea pădurilor</w:t>
            </w:r>
          </w:p>
          <w:p w:rsidR="000A45DE" w:rsidRDefault="00C07CCA">
            <w:pPr>
              <w:numPr>
                <w:ilvl w:val="1"/>
                <w:numId w:val="40"/>
              </w:numPr>
              <w:spacing w:before="0" w:after="0" w:line="276" w:lineRule="auto"/>
              <w:jc w:val="left"/>
              <w:rPr>
                <w:noProof/>
                <w:sz w:val="20"/>
                <w:szCs w:val="20"/>
                <w:lang w:val="ro-RO"/>
              </w:rPr>
            </w:pPr>
            <w:r>
              <w:rPr>
                <w:noProof/>
                <w:sz w:val="20"/>
                <w:lang w:val="ro-RO"/>
              </w:rPr>
              <w:t>Gestionarea terenurilor cultivate</w:t>
            </w:r>
          </w:p>
          <w:p w:rsidR="000A45DE" w:rsidRDefault="00C07CCA">
            <w:pPr>
              <w:numPr>
                <w:ilvl w:val="1"/>
                <w:numId w:val="40"/>
              </w:numPr>
              <w:spacing w:before="0" w:after="0" w:line="276" w:lineRule="auto"/>
              <w:jc w:val="left"/>
              <w:rPr>
                <w:noProof/>
                <w:sz w:val="20"/>
                <w:szCs w:val="20"/>
                <w:lang w:val="ro-RO"/>
              </w:rPr>
            </w:pPr>
            <w:r>
              <w:rPr>
                <w:noProof/>
                <w:sz w:val="20"/>
                <w:lang w:val="ro-RO"/>
              </w:rPr>
              <w:t>Gestionarea pajiștilor</w:t>
            </w:r>
          </w:p>
          <w:p w:rsidR="000A45DE" w:rsidRDefault="00C07CCA">
            <w:pPr>
              <w:numPr>
                <w:ilvl w:val="1"/>
                <w:numId w:val="40"/>
              </w:numPr>
              <w:spacing w:before="0" w:after="0" w:line="276" w:lineRule="auto"/>
              <w:jc w:val="left"/>
              <w:rPr>
                <w:noProof/>
                <w:sz w:val="20"/>
                <w:szCs w:val="20"/>
                <w:lang w:val="ro-RO"/>
              </w:rPr>
            </w:pPr>
            <w:r>
              <w:rPr>
                <w:noProof/>
                <w:sz w:val="20"/>
                <w:lang w:val="ro-RO"/>
              </w:rPr>
              <w:t>Sau contabilizare echivalentă bazată pe utilizarea terenurilor conform categoriilor de raportare CCONUSC</w:t>
            </w:r>
          </w:p>
          <w:p w:rsidR="000A45DE" w:rsidRDefault="00C07CCA">
            <w:pPr>
              <w:numPr>
                <w:ilvl w:val="1"/>
                <w:numId w:val="40"/>
              </w:numPr>
              <w:spacing w:before="0" w:after="0" w:line="276" w:lineRule="auto"/>
              <w:jc w:val="left"/>
              <w:rPr>
                <w:noProof/>
                <w:sz w:val="20"/>
                <w:szCs w:val="20"/>
                <w:lang w:val="ro-RO"/>
              </w:rPr>
            </w:pPr>
            <w:r>
              <w:rPr>
                <w:noProof/>
                <w:sz w:val="20"/>
                <w:lang w:val="ro-RO"/>
              </w:rPr>
              <w:t xml:space="preserve">Alte categorii/activități </w:t>
            </w:r>
            <w:r>
              <w:rPr>
                <w:noProof/>
                <w:sz w:val="20"/>
                <w:lang w:val="ro-RO"/>
              </w:rPr>
              <w:t>alese de UE și statele membre în calitate de părți la Protocolul de la Kyoto și la modificarea de la Doha aferentă.</w:t>
            </w:r>
          </w:p>
        </w:tc>
      </w:tr>
    </w:tbl>
    <w:p w:rsidR="000A45DE" w:rsidRDefault="000A45DE">
      <w:pPr>
        <w:rPr>
          <w:b/>
          <w:noProof/>
          <w:lang w:val="ro-RO"/>
        </w:rPr>
      </w:pPr>
    </w:p>
    <w:p w:rsidR="000A45DE" w:rsidRDefault="000A45DE">
      <w:pPr>
        <w:pStyle w:val="TOCHeading"/>
        <w:rPr>
          <w:noProof/>
          <w:lang w:val="ro-RO"/>
        </w:rPr>
      </w:pPr>
    </w:p>
    <w:sectPr w:rsidR="000A45DE">
      <w:headerReference w:type="even" r:id="rId22"/>
      <w:headerReference w:type="default" r:id="rId23"/>
      <w:footerReference w:type="even" r:id="rId24"/>
      <w:footerReference w:type="default" r:id="rId25"/>
      <w:headerReference w:type="first" r:id="rId26"/>
      <w:footerReference w:type="first" r:id="rId27"/>
      <w:pgSz w:w="11907" w:h="16839"/>
      <w:pgMar w:top="1440" w:right="1440" w:bottom="1440" w:left="1440" w:header="720" w:footer="720" w:gutter="0"/>
      <w:pgNumType w:start="3"/>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45DE" w:rsidRDefault="00C07CCA">
      <w:pPr>
        <w:spacing w:before="0" w:after="0"/>
      </w:pPr>
      <w:r>
        <w:separator/>
      </w:r>
    </w:p>
  </w:endnote>
  <w:endnote w:type="continuationSeparator" w:id="0">
    <w:p w:rsidR="000A45DE" w:rsidRDefault="00C07CCA">
      <w:pPr>
        <w:spacing w:before="0" w:after="0"/>
      </w:pPr>
      <w:r>
        <w:continuationSeparator/>
      </w:r>
    </w:p>
  </w:endnote>
  <w:endnote w:type="continuationNotice" w:id="1">
    <w:p w:rsidR="000A45DE" w:rsidRDefault="000A45D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EUAlbertina">
    <w:altName w:val="EUAlbertin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venir 55">
    <w:charset w:val="00"/>
    <w:family w:val="auto"/>
    <w:pitch w:val="variable"/>
    <w:sig w:usb0="800000AF" w:usb1="5000204A" w:usb2="00000000" w:usb3="00000000" w:csb0="0000009B"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00000287" w:usb1="00000000" w:usb2="00000000" w:usb3="00000000" w:csb0="0000009F" w:csb1="00000000"/>
  </w:font>
  <w:font w:name="NewBskvll BT">
    <w:altName w:val="Times New Roman"/>
    <w:charset w:val="00"/>
    <w:family w:val="roman"/>
    <w:pitch w:val="variable"/>
    <w:sig w:usb0="00000087" w:usb1="00000000" w:usb2="00000000" w:usb3="00000000" w:csb0="0000001B"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CCA" w:rsidRPr="00C07CCA" w:rsidRDefault="00C07CCA" w:rsidP="00C07CC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CCA" w:rsidRPr="00C07CCA" w:rsidRDefault="00C07CCA" w:rsidP="00C07CCA">
    <w:pPr>
      <w:pStyle w:val="FooterCoverPage"/>
      <w:rPr>
        <w:rFonts w:ascii="Arial" w:hAnsi="Arial" w:cs="Arial"/>
        <w:b/>
        <w:sz w:val="48"/>
      </w:rPr>
    </w:pPr>
    <w:r w:rsidRPr="00C07CCA">
      <w:rPr>
        <w:rFonts w:ascii="Arial" w:hAnsi="Arial" w:cs="Arial"/>
        <w:b/>
        <w:sz w:val="48"/>
      </w:rPr>
      <w:t>RO</w:t>
    </w:r>
    <w:r w:rsidRPr="00C07CCA">
      <w:rPr>
        <w:rFonts w:ascii="Arial" w:hAnsi="Arial" w:cs="Arial"/>
        <w:b/>
        <w:sz w:val="48"/>
      </w:rPr>
      <w:tab/>
    </w:r>
    <w:r w:rsidRPr="00C07CCA">
      <w:rPr>
        <w:rFonts w:ascii="Arial" w:hAnsi="Arial" w:cs="Arial"/>
        <w:b/>
        <w:sz w:val="48"/>
      </w:rPr>
      <w:tab/>
    </w:r>
    <w:fldSimple w:instr=" DOCVARIABLE &quot;LW_Confidence&quot; \* MERGEFORMAT ">
      <w:r>
        <w:t xml:space="preserve"> </w:t>
      </w:r>
    </w:fldSimple>
    <w:r w:rsidRPr="00C07CCA">
      <w:tab/>
    </w:r>
    <w:r w:rsidRPr="00C07CCA">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CCA" w:rsidRPr="00C07CCA" w:rsidRDefault="00C07CCA" w:rsidP="00C07CCA">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5DE" w:rsidRDefault="000A45D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5DE" w:rsidRDefault="00C07CCA">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5DE" w:rsidRDefault="000A45DE">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5DE" w:rsidRDefault="000A45DE">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5DE" w:rsidRDefault="00C07CCA">
    <w:pPr>
      <w:pStyle w:val="Footer"/>
      <w:jc w:val="center"/>
    </w:pPr>
    <w:r>
      <w:fldChar w:fldCharType="begin"/>
    </w:r>
    <w:r>
      <w:instrText xml:space="preserve"> PAGE   \* MERGEFORMAT </w:instrText>
    </w:r>
    <w:r>
      <w:fldChar w:fldCharType="separate"/>
    </w:r>
    <w:r>
      <w:rPr>
        <w:noProof/>
      </w:rPr>
      <w:t>18</w:t>
    </w:r>
    <w:r>
      <w:rPr>
        <w:noProof/>
      </w:rPr>
      <w:fldChar w:fldCharType="end"/>
    </w:r>
  </w:p>
  <w:p w:rsidR="000A45DE" w:rsidRDefault="000A45DE">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5DE" w:rsidRDefault="000A45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45DE" w:rsidRDefault="00C07CCA">
      <w:pPr>
        <w:spacing w:before="0" w:after="0"/>
      </w:pPr>
      <w:r>
        <w:separator/>
      </w:r>
    </w:p>
  </w:footnote>
  <w:footnote w:type="continuationSeparator" w:id="0">
    <w:p w:rsidR="000A45DE" w:rsidRDefault="00C07CCA">
      <w:pPr>
        <w:spacing w:before="0" w:after="0"/>
      </w:pPr>
      <w:r>
        <w:continuationSeparator/>
      </w:r>
    </w:p>
  </w:footnote>
  <w:footnote w:type="continuationNotice" w:id="1">
    <w:p w:rsidR="000A45DE" w:rsidRDefault="000A45DE">
      <w:pPr>
        <w:spacing w:before="0" w:after="0"/>
      </w:pPr>
    </w:p>
  </w:footnote>
  <w:footnote w:id="2">
    <w:p w:rsidR="000A45DE" w:rsidRDefault="00C07CCA">
      <w:pPr>
        <w:pStyle w:val="FootnoteText"/>
      </w:pPr>
      <w:r>
        <w:rPr>
          <w:rStyle w:val="FootnoteReference"/>
        </w:rPr>
        <w:footnoteRef/>
      </w:r>
      <w:r>
        <w:t xml:space="preserve"> </w:t>
      </w:r>
      <w:r>
        <w:rPr>
          <w:rStyle w:val="en"/>
        </w:rPr>
        <w:t xml:space="preserve">Programul Organizației Națiunilor Unite pentru Mediu – „Raportul pe 2014 privind decalajele în ceea ce privește emisiile de gaze cu efect de seră. Un raport de sinteză al UNEP” </w:t>
      </w:r>
    </w:p>
  </w:footnote>
  <w:footnote w:id="3">
    <w:p w:rsidR="000A45DE" w:rsidRDefault="00C07CCA">
      <w:pPr>
        <w:pStyle w:val="FootnoteText"/>
        <w:ind w:left="142" w:hanging="142"/>
      </w:pPr>
      <w:r>
        <w:rPr>
          <w:rStyle w:val="FootnoteReference"/>
        </w:rPr>
        <w:footnoteRef/>
      </w:r>
      <w:r>
        <w:t xml:space="preserve"> Aceasta corespunde obiectivului UE de reducere la jumătate a emisiilor globa</w:t>
      </w:r>
      <w:r>
        <w:t>le până în 2050, în comparație cu 1990, astfel cum a fost reiterat de Consiliul Mediu în concluziile sale din 28 octombrie 2014.</w:t>
      </w:r>
    </w:p>
  </w:footnote>
  <w:footnote w:id="4">
    <w:p w:rsidR="000A45DE" w:rsidRDefault="00C07CCA">
      <w:pPr>
        <w:pStyle w:val="FootnoteText"/>
        <w:jc w:val="left"/>
      </w:pPr>
      <w:r>
        <w:rPr>
          <w:rStyle w:val="FootnoteReference"/>
        </w:rPr>
        <w:footnoteRef/>
      </w:r>
      <w:r>
        <w:t xml:space="preserve"> COM(2011) 112 final: Foaie de parcurs pentru trecerea la o economie competitivă cu emisii scăzute de dioxid de carbon până în</w:t>
      </w:r>
      <w:r>
        <w:t xml:space="preserve"> 2050</w:t>
      </w:r>
    </w:p>
  </w:footnote>
  <w:footnote w:id="5">
    <w:p w:rsidR="000A45DE" w:rsidRDefault="00C07CCA">
      <w:pPr>
        <w:pStyle w:val="FootnoteText"/>
      </w:pPr>
      <w:r>
        <w:rPr>
          <w:rStyle w:val="FootnoteReference"/>
        </w:rPr>
        <w:footnoteRef/>
      </w:r>
      <w:r>
        <w:t xml:space="preserve"> Articolele 5 și 6 din Decizia nr. 1313/2013/UE a Parlamentului European și a Consiliului privind un mecanism de protecție civilă al Uniunii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CCA" w:rsidRPr="00C07CCA" w:rsidRDefault="00C07CCA" w:rsidP="00C07C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CCA" w:rsidRPr="00C07CCA" w:rsidRDefault="00C07CCA" w:rsidP="00C07CCA">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CCA" w:rsidRPr="00C07CCA" w:rsidRDefault="00C07CCA" w:rsidP="00C07CCA">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5DE" w:rsidRDefault="000A45D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5DE" w:rsidRDefault="000A45D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5DE" w:rsidRDefault="000A45D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5DE" w:rsidRDefault="000A45DE">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5DE" w:rsidRDefault="000A45D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5DE" w:rsidRDefault="000A45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0A884AD4"/>
    <w:lvl w:ilvl="0">
      <w:start w:val="1"/>
      <w:numFmt w:val="bullet"/>
      <w:pStyle w:val="ListBullet4"/>
      <w:lvlText w:val=""/>
      <w:lvlJc w:val="left"/>
      <w:pPr>
        <w:tabs>
          <w:tab w:val="num" w:pos="1209"/>
        </w:tabs>
        <w:ind w:left="1209" w:hanging="360"/>
      </w:pPr>
      <w:rPr>
        <w:rFonts w:ascii="Symbol" w:hAnsi="Symbol" w:hint="default"/>
      </w:rPr>
    </w:lvl>
  </w:abstractNum>
  <w:abstractNum w:abstractNumId="1">
    <w:nsid w:val="FFFFFF82"/>
    <w:multiLevelType w:val="singleLevel"/>
    <w:tmpl w:val="87AAF8E2"/>
    <w:lvl w:ilvl="0">
      <w:start w:val="1"/>
      <w:numFmt w:val="bullet"/>
      <w:pStyle w:val="ListBullet3"/>
      <w:lvlText w:val=""/>
      <w:lvlJc w:val="left"/>
      <w:pPr>
        <w:tabs>
          <w:tab w:val="num" w:pos="926"/>
        </w:tabs>
        <w:ind w:left="926" w:hanging="360"/>
      </w:pPr>
      <w:rPr>
        <w:rFonts w:ascii="Symbol" w:hAnsi="Symbol" w:hint="default"/>
      </w:rPr>
    </w:lvl>
  </w:abstractNum>
  <w:abstractNum w:abstractNumId="2">
    <w:nsid w:val="FFFFFF83"/>
    <w:multiLevelType w:val="singleLevel"/>
    <w:tmpl w:val="E848B4B6"/>
    <w:lvl w:ilvl="0">
      <w:start w:val="1"/>
      <w:numFmt w:val="bullet"/>
      <w:pStyle w:val="ListBullet2"/>
      <w:lvlText w:val=""/>
      <w:lvlJc w:val="left"/>
      <w:pPr>
        <w:tabs>
          <w:tab w:val="num" w:pos="643"/>
        </w:tabs>
        <w:ind w:left="643" w:hanging="360"/>
      </w:pPr>
      <w:rPr>
        <w:rFonts w:ascii="Symbol" w:hAnsi="Symbol" w:hint="default"/>
      </w:rPr>
    </w:lvl>
  </w:abstractNum>
  <w:abstractNum w:abstractNumId="3">
    <w:nsid w:val="FFFFFF89"/>
    <w:multiLevelType w:val="singleLevel"/>
    <w:tmpl w:val="07C69E94"/>
    <w:lvl w:ilvl="0">
      <w:start w:val="1"/>
      <w:numFmt w:val="bullet"/>
      <w:pStyle w:val="ListBullet"/>
      <w:lvlText w:val=""/>
      <w:lvlJc w:val="left"/>
      <w:pPr>
        <w:tabs>
          <w:tab w:val="num" w:pos="360"/>
        </w:tabs>
        <w:ind w:left="360" w:hanging="360"/>
      </w:pPr>
      <w:rPr>
        <w:rFonts w:ascii="Symbol" w:hAnsi="Symbol" w:hint="default"/>
      </w:rPr>
    </w:lvl>
  </w:abstractNum>
  <w:abstractNum w:abstractNumId="4">
    <w:nsid w:val="02582B40"/>
    <w:multiLevelType w:val="hybridMultilevel"/>
    <w:tmpl w:val="CAB4E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C5E134B"/>
    <w:multiLevelType w:val="hybridMultilevel"/>
    <w:tmpl w:val="BE6471F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4CE6797"/>
    <w:multiLevelType w:val="hybridMultilevel"/>
    <w:tmpl w:val="C24C6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B345104"/>
    <w:multiLevelType w:val="multilevel"/>
    <w:tmpl w:val="BD3E8A8E"/>
    <w:name w:val="List Bullet 2"/>
    <w:lvl w:ilvl="0">
      <w:start w:val="1"/>
      <w:numFmt w:val="decimal"/>
      <w:pStyle w:val="BoxTitle"/>
      <w:lvlText w:val="Box %1: "/>
      <w:lvlJc w:val="left"/>
      <w:pPr>
        <w:tabs>
          <w:tab w:val="num" w:pos="2520"/>
        </w:tabs>
        <w:ind w:left="1077" w:hanging="357"/>
      </w:pPr>
      <w:rPr>
        <w:rFonts w:cs="Times New Roman" w:hint="default"/>
      </w:rPr>
    </w:lvl>
    <w:lvl w:ilvl="1">
      <w:start w:val="1"/>
      <w:numFmt w:val="decimal"/>
      <w:lvlText w:val="%1.%2"/>
      <w:lvlJc w:val="left"/>
      <w:pPr>
        <w:tabs>
          <w:tab w:val="num" w:pos="1440"/>
        </w:tabs>
        <w:ind w:left="1296" w:hanging="576"/>
      </w:pPr>
      <w:rPr>
        <w:rFonts w:cs="Times New Roman" w:hint="default"/>
      </w:rPr>
    </w:lvl>
    <w:lvl w:ilvl="2">
      <w:start w:val="1"/>
      <w:numFmt w:val="decimal"/>
      <w:lvlRestart w:val="0"/>
      <w:lvlText w:val="Figure %1.%3:"/>
      <w:lvlJc w:val="left"/>
      <w:pPr>
        <w:tabs>
          <w:tab w:val="num" w:pos="3240"/>
        </w:tabs>
        <w:ind w:left="1440" w:hanging="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8">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9">
    <w:nsid w:val="22BD64B5"/>
    <w:multiLevelType w:val="multilevel"/>
    <w:tmpl w:val="25D60FC2"/>
    <w:name w:val="List Bullet 3__1"/>
    <w:lvl w:ilvl="0">
      <w:start w:val="1"/>
      <w:numFmt w:val="decimal"/>
      <w:lvlRestart w:val="0"/>
      <w:pStyle w:val="ListNumber4"/>
      <w:lvlText w:val="(%1)"/>
      <w:lvlJc w:val="left"/>
      <w:pPr>
        <w:tabs>
          <w:tab w:val="num" w:pos="1560"/>
        </w:tabs>
        <w:ind w:left="1560" w:hanging="709"/>
      </w:pPr>
    </w:lvl>
    <w:lvl w:ilvl="1">
      <w:start w:val="1"/>
      <w:numFmt w:val="lowerLetter"/>
      <w:pStyle w:val="ListNumber4Level2"/>
      <w:lvlText w:val="(%2)"/>
      <w:lvlJc w:val="left"/>
      <w:pPr>
        <w:tabs>
          <w:tab w:val="num" w:pos="2268"/>
        </w:tabs>
        <w:ind w:left="2268" w:hanging="708"/>
      </w:pPr>
    </w:lvl>
    <w:lvl w:ilvl="2">
      <w:start w:val="1"/>
      <w:numFmt w:val="bullet"/>
      <w:pStyle w:val="ListNumber4Level3"/>
      <w:lvlText w:val="–"/>
      <w:lvlJc w:val="left"/>
      <w:pPr>
        <w:tabs>
          <w:tab w:val="num" w:pos="2977"/>
        </w:tabs>
        <w:ind w:left="2977" w:hanging="709"/>
      </w:pPr>
      <w:rPr>
        <w:rFonts w:ascii="Times New Roman" w:hAnsi="Times New Roman" w:cs="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3CC0674"/>
    <w:multiLevelType w:val="multilevel"/>
    <w:tmpl w:val="04988288"/>
    <w:name w:val="List Bullet 4"/>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AF76E7A"/>
    <w:multiLevelType w:val="singleLevel"/>
    <w:tmpl w:val="C74C5A32"/>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3">
    <w:nsid w:val="2D820C1F"/>
    <w:multiLevelType w:val="singleLevel"/>
    <w:tmpl w:val="49B2A54A"/>
    <w:name w:val="List Number 4__1"/>
    <w:lvl w:ilvl="0">
      <w:start w:val="1"/>
      <w:numFmt w:val="bullet"/>
      <w:lvlRestart w:val="0"/>
      <w:pStyle w:val="Tyret1"/>
      <w:lvlText w:val="–"/>
      <w:lvlJc w:val="left"/>
      <w:pPr>
        <w:tabs>
          <w:tab w:val="num" w:pos="283"/>
        </w:tabs>
        <w:ind w:left="283" w:hanging="283"/>
      </w:pPr>
      <w:rPr>
        <w:rFonts w:ascii="Times New Roman" w:hAnsi="Times New Roman"/>
      </w:rPr>
    </w:lvl>
  </w:abstractNum>
  <w:abstractNum w:abstractNumId="14">
    <w:nsid w:val="2F5E543F"/>
    <w:multiLevelType w:val="hybridMultilevel"/>
    <w:tmpl w:val="85627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3D41208"/>
    <w:multiLevelType w:val="hybridMultilevel"/>
    <w:tmpl w:val="BB6A5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A5459E8"/>
    <w:multiLevelType w:val="singleLevel"/>
    <w:tmpl w:val="2188C922"/>
    <w:name w:val="Tiret 1"/>
    <w:lvl w:ilvl="0">
      <w:start w:val="1"/>
      <w:numFmt w:val="bullet"/>
      <w:lvlRestart w:val="0"/>
      <w:pStyle w:val="Tiret1"/>
      <w:lvlText w:val="–"/>
      <w:lvlJc w:val="left"/>
      <w:pPr>
        <w:tabs>
          <w:tab w:val="num" w:pos="1417"/>
        </w:tabs>
        <w:ind w:left="1417" w:hanging="567"/>
      </w:pPr>
    </w:lvl>
  </w:abstractNum>
  <w:abstractNum w:abstractNumId="17">
    <w:nsid w:val="3AA7680F"/>
    <w:multiLevelType w:val="multilevel"/>
    <w:tmpl w:val="A71ECCE2"/>
    <w:styleLink w:val="List13"/>
    <w:lvl w:ilvl="0">
      <w:start w:val="13"/>
      <w:numFmt w:val="decimal"/>
      <w:lvlText w:val="%1."/>
      <w:lvlJc w:val="left"/>
      <w:rPr>
        <w:position w:val="0"/>
        <w:rtl w:val="0"/>
      </w:rPr>
    </w:lvl>
    <w:lvl w:ilvl="1">
      <w:start w:val="1"/>
      <w:numFmt w:val="bullet"/>
      <w:lvlText w:val="•"/>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8">
    <w:nsid w:val="3BA736C9"/>
    <w:multiLevelType w:val="singleLevel"/>
    <w:tmpl w:val="F00A6C0C"/>
    <w:name w:val="Tiret 0"/>
    <w:lvl w:ilvl="0">
      <w:start w:val="1"/>
      <w:numFmt w:val="bullet"/>
      <w:lvlRestart w:val="0"/>
      <w:pStyle w:val="Tiret0"/>
      <w:lvlText w:val="–"/>
      <w:lvlJc w:val="left"/>
      <w:pPr>
        <w:tabs>
          <w:tab w:val="num" w:pos="850"/>
        </w:tabs>
        <w:ind w:left="850" w:hanging="850"/>
      </w:pPr>
    </w:lvl>
  </w:abstractNum>
  <w:abstractNum w:abstractNumId="19">
    <w:nsid w:val="3C90278F"/>
    <w:multiLevelType w:val="singleLevel"/>
    <w:tmpl w:val="0FE08974"/>
    <w:name w:val="Tiret 3"/>
    <w:lvl w:ilvl="0">
      <w:start w:val="1"/>
      <w:numFmt w:val="bullet"/>
      <w:lvlRestart w:val="0"/>
      <w:pStyle w:val="Tiret3"/>
      <w:lvlText w:val="–"/>
      <w:lvlJc w:val="left"/>
      <w:pPr>
        <w:tabs>
          <w:tab w:val="num" w:pos="2551"/>
        </w:tabs>
        <w:ind w:left="2551" w:hanging="567"/>
      </w:pPr>
    </w:lvl>
  </w:abstractNum>
  <w:abstractNum w:abstractNumId="20">
    <w:nsid w:val="40315490"/>
    <w:multiLevelType w:val="singleLevel"/>
    <w:tmpl w:val="1F86C700"/>
    <w:lvl w:ilvl="0">
      <w:start w:val="1"/>
      <w:numFmt w:val="bullet"/>
      <w:lvlRestart w:val="0"/>
      <w:pStyle w:val="ListDash"/>
      <w:lvlText w:val="–"/>
      <w:lvlJc w:val="left"/>
      <w:pPr>
        <w:tabs>
          <w:tab w:val="num" w:pos="283"/>
        </w:tabs>
        <w:ind w:left="283" w:hanging="283"/>
      </w:pPr>
      <w:rPr>
        <w:rFonts w:ascii="Times New Roman" w:hAnsi="Times New Roman"/>
      </w:rPr>
    </w:lvl>
  </w:abstractNum>
  <w:abstractNum w:abstractNumId="21">
    <w:nsid w:val="436A0D2B"/>
    <w:multiLevelType w:val="hybridMultilevel"/>
    <w:tmpl w:val="1BF86D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48842C30"/>
    <w:multiLevelType w:val="singleLevel"/>
    <w:tmpl w:val="4FA60B9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nsid w:val="49F45E3A"/>
    <w:multiLevelType w:val="hybridMultilevel"/>
    <w:tmpl w:val="597EB3A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4C616A25"/>
    <w:multiLevelType w:val="hybridMultilevel"/>
    <w:tmpl w:val="B13024B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D9C188A"/>
    <w:multiLevelType w:val="hybridMultilevel"/>
    <w:tmpl w:val="22AED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4593082"/>
    <w:multiLevelType w:val="singleLevel"/>
    <w:tmpl w:val="EDE069AC"/>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nsid w:val="54F80146"/>
    <w:multiLevelType w:val="multilevel"/>
    <w:tmpl w:val="C7B89B54"/>
    <w:lvl w:ilvl="0">
      <w:start w:val="1"/>
      <w:numFmt w:val="decimal"/>
      <w:lvlText w:val="%1"/>
      <w:lvlJc w:val="left"/>
      <w:pPr>
        <w:tabs>
          <w:tab w:val="num" w:pos="1152"/>
        </w:tabs>
        <w:ind w:left="1152" w:hanging="792"/>
      </w:pPr>
      <w:rPr>
        <w:rFonts w:cs="Times New Roman" w:hint="default"/>
      </w:rPr>
    </w:lvl>
    <w:lvl w:ilvl="1">
      <w:start w:val="1"/>
      <w:numFmt w:val="decimal"/>
      <w:lvlText w:val="%1.%2"/>
      <w:lvlJc w:val="left"/>
      <w:pPr>
        <w:tabs>
          <w:tab w:val="num" w:pos="1440"/>
        </w:tabs>
        <w:ind w:left="1296" w:hanging="576"/>
      </w:pPr>
      <w:rPr>
        <w:rFonts w:cs="Times New Roman" w:hint="default"/>
      </w:rPr>
    </w:lvl>
    <w:lvl w:ilvl="2">
      <w:start w:val="1"/>
      <w:numFmt w:val="decimal"/>
      <w:lvlText w:val="%1.%2.%3"/>
      <w:lvlJc w:val="left"/>
      <w:pPr>
        <w:tabs>
          <w:tab w:val="num" w:pos="1800"/>
        </w:tabs>
        <w:ind w:left="1440" w:hanging="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pStyle w:val="Heading5"/>
      <w:lvlText w:val="%1.%2.%3.%4.%5"/>
      <w:lvlJc w:val="left"/>
      <w:pPr>
        <w:tabs>
          <w:tab w:val="num" w:pos="1728"/>
        </w:tabs>
        <w:ind w:left="1728" w:hanging="1008"/>
      </w:pPr>
      <w:rPr>
        <w:rFonts w:cs="Times New Roman" w:hint="default"/>
      </w:rPr>
    </w:lvl>
    <w:lvl w:ilvl="5">
      <w:start w:val="1"/>
      <w:numFmt w:val="decimal"/>
      <w:pStyle w:val="Heading6"/>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28">
    <w:nsid w:val="568864DC"/>
    <w:multiLevelType w:val="singleLevel"/>
    <w:tmpl w:val="485EBDAC"/>
    <w:name w:val="Tiret 4"/>
    <w:lvl w:ilvl="0">
      <w:start w:val="1"/>
      <w:numFmt w:val="bullet"/>
      <w:lvlRestart w:val="0"/>
      <w:pStyle w:val="Tiret4"/>
      <w:lvlText w:val="–"/>
      <w:lvlJc w:val="left"/>
      <w:pPr>
        <w:tabs>
          <w:tab w:val="num" w:pos="3118"/>
        </w:tabs>
        <w:ind w:left="3118" w:hanging="567"/>
      </w:pPr>
    </w:lvl>
  </w:abstractNum>
  <w:abstractNum w:abstractNumId="29">
    <w:nsid w:val="596D67A1"/>
    <w:multiLevelType w:val="singleLevel"/>
    <w:tmpl w:val="9AC8831A"/>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30">
    <w:nsid w:val="5BCD0205"/>
    <w:multiLevelType w:val="hybridMultilevel"/>
    <w:tmpl w:val="5B509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F342530"/>
    <w:multiLevelType w:val="singleLevel"/>
    <w:tmpl w:val="D5444702"/>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2">
    <w:nsid w:val="5F9C40AA"/>
    <w:multiLevelType w:val="singleLevel"/>
    <w:tmpl w:val="B89CB5A2"/>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3">
    <w:nsid w:val="6212116F"/>
    <w:multiLevelType w:val="hybridMultilevel"/>
    <w:tmpl w:val="5000A0C4"/>
    <w:lvl w:ilvl="0" w:tplc="FFFFFFFF">
      <w:start w:val="1"/>
      <w:numFmt w:val="bullet"/>
      <w:pStyle w:val="Keymessage"/>
      <w:lvlText w:val=""/>
      <w:lvlJc w:val="left"/>
      <w:pPr>
        <w:tabs>
          <w:tab w:val="num" w:pos="360"/>
        </w:tabs>
        <w:ind w:left="360" w:hanging="360"/>
      </w:pPr>
      <w:rPr>
        <w:rFonts w:ascii="Symbol" w:hAnsi="Symbol" w:hint="default"/>
      </w:rPr>
    </w:lvl>
    <w:lvl w:ilvl="1" w:tplc="FFFFFFFF">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4">
    <w:nsid w:val="62970F71"/>
    <w:multiLevelType w:val="singleLevel"/>
    <w:tmpl w:val="5AFA8C72"/>
    <w:name w:val="Tiret 2"/>
    <w:lvl w:ilvl="0">
      <w:start w:val="1"/>
      <w:numFmt w:val="bullet"/>
      <w:lvlRestart w:val="0"/>
      <w:pStyle w:val="Tiret2"/>
      <w:lvlText w:val="–"/>
      <w:lvlJc w:val="left"/>
      <w:pPr>
        <w:tabs>
          <w:tab w:val="num" w:pos="1984"/>
        </w:tabs>
        <w:ind w:left="1984" w:hanging="567"/>
      </w:pPr>
    </w:lvl>
  </w:abstractNum>
  <w:abstractNum w:abstractNumId="35">
    <w:nsid w:val="62A8042C"/>
    <w:multiLevelType w:val="singleLevel"/>
    <w:tmpl w:val="CCF20C06"/>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36">
    <w:nsid w:val="64A12FA4"/>
    <w:multiLevelType w:val="multilevel"/>
    <w:tmpl w:val="9FBC9ABA"/>
    <w:name w:val="0,6812207"/>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68014ED3"/>
    <w:multiLevelType w:val="hybridMultilevel"/>
    <w:tmpl w:val="84145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90F27FB"/>
    <w:multiLevelType w:val="hybridMultilevel"/>
    <w:tmpl w:val="20CEE44C"/>
    <w:lvl w:ilvl="0" w:tplc="F5BAA240">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9995580"/>
    <w:multiLevelType w:val="singleLevel"/>
    <w:tmpl w:val="75CC7CBA"/>
    <w:name w:val="Considérant"/>
    <w:lvl w:ilvl="0">
      <w:start w:val="1"/>
      <w:numFmt w:val="decimal"/>
      <w:lvlRestart w:val="0"/>
      <w:pStyle w:val="Considrant"/>
      <w:lvlText w:val="(%1)"/>
      <w:lvlJc w:val="left"/>
      <w:pPr>
        <w:tabs>
          <w:tab w:val="num" w:pos="709"/>
        </w:tabs>
        <w:ind w:left="709" w:hanging="709"/>
      </w:pPr>
    </w:lvl>
  </w:abstractNum>
  <w:abstractNum w:abstractNumId="40">
    <w:nsid w:val="6A6901C1"/>
    <w:multiLevelType w:val="singleLevel"/>
    <w:tmpl w:val="208841AE"/>
    <w:name w:val="0,557232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41">
    <w:nsid w:val="6D937139"/>
    <w:multiLevelType w:val="hybridMultilevel"/>
    <w:tmpl w:val="E9867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11167E2"/>
    <w:multiLevelType w:val="multilevel"/>
    <w:tmpl w:val="C3843A7A"/>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nsid w:val="75C26F71"/>
    <w:multiLevelType w:val="multilevel"/>
    <w:tmpl w:val="E01E7708"/>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nsid w:val="77967710"/>
    <w:multiLevelType w:val="multilevel"/>
    <w:tmpl w:val="96CA5D34"/>
    <w:name w:val="Default"/>
    <w:lvl w:ilvl="0">
      <w:start w:val="1"/>
      <w:numFmt w:val="decimal"/>
      <w:lvlRestart w:val="0"/>
      <w:pStyle w:val="ListNumber3"/>
      <w:lvlText w:val="(%1)"/>
      <w:lvlJc w:val="left"/>
      <w:pPr>
        <w:tabs>
          <w:tab w:val="num" w:pos="1560"/>
        </w:tabs>
        <w:ind w:left="1560" w:hanging="709"/>
      </w:pPr>
    </w:lvl>
    <w:lvl w:ilvl="1">
      <w:start w:val="1"/>
      <w:numFmt w:val="lowerLetter"/>
      <w:pStyle w:val="ListNumber3Level2"/>
      <w:lvlText w:val="(%2)"/>
      <w:lvlJc w:val="left"/>
      <w:pPr>
        <w:tabs>
          <w:tab w:val="num" w:pos="2268"/>
        </w:tabs>
        <w:ind w:left="2268" w:hanging="708"/>
      </w:pPr>
    </w:lvl>
    <w:lvl w:ilvl="2">
      <w:start w:val="1"/>
      <w:numFmt w:val="bullet"/>
      <w:pStyle w:val="ListNumber3Level3"/>
      <w:lvlText w:val="–"/>
      <w:lvlJc w:val="left"/>
      <w:pPr>
        <w:tabs>
          <w:tab w:val="num" w:pos="2977"/>
        </w:tabs>
        <w:ind w:left="2977" w:hanging="709"/>
      </w:pPr>
      <w:rPr>
        <w:rFonts w:ascii="Times New Roman" w:hAnsi="Times New Roman" w:cs="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nsid w:val="78A241BD"/>
    <w:multiLevelType w:val="singleLevel"/>
    <w:tmpl w:val="53C4DF32"/>
    <w:name w:val="List Number"/>
    <w:lvl w:ilvl="0">
      <w:start w:val="1"/>
      <w:numFmt w:val="bullet"/>
      <w:lvlRestart w:val="0"/>
      <w:pStyle w:val="ListDash3"/>
      <w:lvlText w:val="–"/>
      <w:lvlJc w:val="left"/>
      <w:pPr>
        <w:tabs>
          <w:tab w:val="num" w:pos="1134"/>
        </w:tabs>
        <w:ind w:left="1134" w:hanging="283"/>
      </w:pPr>
      <w:rPr>
        <w:rFonts w:ascii="Times New Roman" w:hAnsi="Times New Roman"/>
      </w:rPr>
    </w:lvl>
  </w:abstractNum>
  <w:abstractNum w:abstractNumId="46">
    <w:nsid w:val="79C96D36"/>
    <w:multiLevelType w:val="multilevel"/>
    <w:tmpl w:val="BE983CE4"/>
    <w:lvl w:ilvl="0">
      <w:start w:val="1"/>
      <w:numFmt w:val="decimal"/>
      <w:lvlRestart w:val="0"/>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7">
    <w:nsid w:val="7BE95D7F"/>
    <w:multiLevelType w:val="multilevel"/>
    <w:tmpl w:val="F126F780"/>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8">
    <w:nsid w:val="7D017163"/>
    <w:multiLevelType w:val="hybridMultilevel"/>
    <w:tmpl w:val="85BAC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7D8820A0"/>
    <w:multiLevelType w:val="singleLevel"/>
    <w:tmpl w:val="54F6C7B4"/>
    <w:lvl w:ilvl="0">
      <w:start w:val="1"/>
      <w:numFmt w:val="bullet"/>
      <w:lvlRestart w:val="0"/>
      <w:pStyle w:val="ListDash4"/>
      <w:lvlText w:val="–"/>
      <w:lvlJc w:val="left"/>
      <w:pPr>
        <w:tabs>
          <w:tab w:val="num" w:pos="1134"/>
        </w:tabs>
        <w:ind w:left="1134" w:hanging="283"/>
      </w:pPr>
      <w:rPr>
        <w:rFonts w:ascii="Times New Roman" w:hAnsi="Times New Roman"/>
      </w:rPr>
    </w:lvl>
  </w:abstractNum>
  <w:abstractNum w:abstractNumId="50">
    <w:nsid w:val="7EFE37DD"/>
    <w:multiLevelType w:val="multilevel"/>
    <w:tmpl w:val="7FF8D8A2"/>
    <w:name w:val="List Number 3__1"/>
    <w:lvl w:ilvl="0">
      <w:start w:val="1"/>
      <w:numFmt w:val="decimal"/>
      <w:lvlRestart w:val="0"/>
      <w:pStyle w:val="ListNumber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cs="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6"/>
  </w:num>
  <w:num w:numId="2">
    <w:abstractNumId w:val="12"/>
  </w:num>
  <w:num w:numId="3">
    <w:abstractNumId w:val="32"/>
  </w:num>
  <w:num w:numId="4">
    <w:abstractNumId w:val="31"/>
  </w:num>
  <w:num w:numId="5">
    <w:abstractNumId w:val="22"/>
  </w:num>
  <w:num w:numId="6">
    <w:abstractNumId w:val="39"/>
  </w:num>
  <w:num w:numId="7">
    <w:abstractNumId w:val="43"/>
  </w:num>
  <w:num w:numId="8">
    <w:abstractNumId w:val="42"/>
  </w:num>
  <w:num w:numId="9">
    <w:abstractNumId w:val="47"/>
  </w:num>
  <w:num w:numId="10">
    <w:abstractNumId w:val="18"/>
  </w:num>
  <w:num w:numId="11">
    <w:abstractNumId w:val="16"/>
  </w:num>
  <w:num w:numId="12">
    <w:abstractNumId w:val="34"/>
  </w:num>
  <w:num w:numId="13">
    <w:abstractNumId w:val="19"/>
  </w:num>
  <w:num w:numId="14">
    <w:abstractNumId w:val="28"/>
  </w:num>
  <w:num w:numId="15">
    <w:abstractNumId w:val="3"/>
  </w:num>
  <w:num w:numId="16">
    <w:abstractNumId w:val="2"/>
  </w:num>
  <w:num w:numId="17">
    <w:abstractNumId w:val="1"/>
  </w:num>
  <w:num w:numId="18">
    <w:abstractNumId w:val="0"/>
  </w:num>
  <w:num w:numId="19">
    <w:abstractNumId w:val="40"/>
  </w:num>
  <w:num w:numId="20">
    <w:abstractNumId w:val="20"/>
  </w:num>
  <w:num w:numId="21">
    <w:abstractNumId w:val="35"/>
  </w:num>
  <w:num w:numId="22">
    <w:abstractNumId w:val="29"/>
  </w:num>
  <w:num w:numId="23">
    <w:abstractNumId w:val="45"/>
  </w:num>
  <w:num w:numId="24">
    <w:abstractNumId w:val="49"/>
  </w:num>
  <w:num w:numId="25">
    <w:abstractNumId w:val="46"/>
  </w:num>
  <w:num w:numId="26">
    <w:abstractNumId w:val="13"/>
  </w:num>
  <w:num w:numId="27">
    <w:abstractNumId w:val="9"/>
  </w:num>
  <w:num w:numId="28">
    <w:abstractNumId w:val="44"/>
  </w:num>
  <w:num w:numId="29">
    <w:abstractNumId w:val="50"/>
  </w:num>
  <w:num w:numId="30">
    <w:abstractNumId w:val="11"/>
  </w:num>
  <w:num w:numId="31">
    <w:abstractNumId w:val="7"/>
  </w:num>
  <w:num w:numId="32">
    <w:abstractNumId w:val="27"/>
  </w:num>
  <w:num w:numId="33">
    <w:abstractNumId w:val="33"/>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6"/>
  </w:num>
  <w:num w:numId="36">
    <w:abstractNumId w:val="17"/>
  </w:num>
  <w:num w:numId="37">
    <w:abstractNumId w:val="23"/>
  </w:num>
  <w:num w:numId="38">
    <w:abstractNumId w:val="30"/>
  </w:num>
  <w:num w:numId="39">
    <w:abstractNumId w:val="38"/>
  </w:num>
  <w:num w:numId="40">
    <w:abstractNumId w:val="5"/>
  </w:num>
  <w:num w:numId="41">
    <w:abstractNumId w:val="48"/>
  </w:num>
  <w:num w:numId="42">
    <w:abstractNumId w:val="24"/>
  </w:num>
  <w:num w:numId="43">
    <w:abstractNumId w:val="21"/>
  </w:num>
  <w:num w:numId="44">
    <w:abstractNumId w:val="41"/>
  </w:num>
  <w:num w:numId="45">
    <w:abstractNumId w:val="25"/>
  </w:num>
  <w:num w:numId="46">
    <w:abstractNumId w:val="6"/>
  </w:num>
  <w:num w:numId="47">
    <w:abstractNumId w:val="14"/>
  </w:num>
  <w:num w:numId="48">
    <w:abstractNumId w:val="37"/>
  </w:num>
  <w:num w:numId="49">
    <w:abstractNumId w:val="4"/>
  </w:num>
  <w:num w:numId="50">
    <w:abstractNumId w:val="38"/>
  </w:num>
  <w:num w:numId="51">
    <w:abstractNumId w:val="38"/>
  </w:num>
  <w:num w:numId="52">
    <w:abstractNumId w:val="38"/>
  </w:num>
  <w:num w:numId="53">
    <w:abstractNumId w:val="15"/>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characterSpacingControl w:val="doNotCompress"/>
  <w:footnotePr>
    <w:footnote w:id="-1"/>
    <w:footnote w:id="0"/>
    <w:footnote w:id="1"/>
  </w:footnotePr>
  <w:endnotePr>
    <w:endnote w:id="-1"/>
    <w:endnote w:id="0"/>
    <w:endnote w:id="1"/>
  </w:endnotePr>
  <w:compat>
    <w:doNotUseHTMLParagraphAutoSpacing/>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COVERPAGE_EXISTS" w:val="True"/>
    <w:docVar w:name="DocStatus" w:val="Green"/>
    <w:docVar w:name="LW_CONFIDENCE" w:val=" "/>
    <w:docVar w:name="LW_CONST_RESTREINT_UE" w:val="RESTREINT UE"/>
    <w:docVar w:name="LW_CORRIGENDUM" w:val="&lt;UNUSED&gt;"/>
    <w:docVar w:name="LW_COVERPAGE_GUID" w:val="7AE78A46050843688234185E09F192C2"/>
    <w:docVar w:name="LW_CROSSREFERENCE" w:val="{SWD(2015) 17 final}"/>
    <w:docVar w:name="LW_DocType" w:val="NORMAL"/>
    <w:docVar w:name="LW_EMISSION" w:val="25.2.2015"/>
    <w:docVar w:name="LW_EMISSION_ISODATE" w:val="2015-02-25"/>
    <w:docVar w:name="LW_EMISSION_LOCATION" w:val="BRX"/>
    <w:docVar w:name="LW_EMISSION_PREFIX" w:val="Bruxelles, "/>
    <w:docVar w:name="LW_EMISSION_SUFFIX" w:val=" "/>
    <w:docVar w:name="LW_ID_DOCTYPE_NONLW" w:val="CP-012"/>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5) 81"/>
    <w:docVar w:name="LW_REF.INTERNE" w:val="&lt;UNUSED&gt;"/>
    <w:docVar w:name="LW_SOUS.TITRE.OBJ.CP" w:val="&lt;UNUSED&gt;"/>
    <w:docVar w:name="LW_SUPERTITRE" w:val="PACHETUL \u8222?UNIUNEA ENERGIEI\u8221?"/>
    <w:docVar w:name="LW_TITRE.OBJ.CP" w:val="Protocolul de la Paris - Un plan de ac\u539?iune pentru combaterea schimb\u259?rilor climatice dup\u259? 2020"/>
    <w:docVar w:name="LW_TYPE.DOC.CP" w:val="COMUNICARE A COMISIEI C\u258?TRE PARLAMENTUL EUROPEAN \u536?I CONSILIU"/>
    <w:docVar w:name="LW_TYPE.DOC.CP.USERTEXT" w:val="&lt;EMPTY&gt;"/>
  </w:docVars>
  <w:rsids>
    <w:rsidRoot w:val="000A45DE"/>
    <w:rsid w:val="000A45DE"/>
    <w:rsid w:val="00C07CC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annotation reference" w:uiPriority="99"/>
    <w:lsdException w:name="page number"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Body Text 3" w:uiPriority="99"/>
    <w:lsdException w:name="Hyperlink" w:uiPriority="99"/>
    <w:lsdException w:name="FollowedHyperlink" w:uiPriority="99"/>
    <w:lsdException w:name="Strong" w:uiPriority="22" w:qFormat="1"/>
    <w:lsdException w:name="Emphasis" w:qFormat="1"/>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before="120" w:after="120"/>
      <w:jc w:val="both"/>
    </w:pPr>
    <w:rPr>
      <w:sz w:val="24"/>
      <w:szCs w:val="24"/>
      <w:lang w:eastAsia="en-US"/>
    </w:rPr>
  </w:style>
  <w:style w:type="paragraph" w:styleId="Heading1">
    <w:name w:val="heading 1"/>
    <w:basedOn w:val="Normal"/>
    <w:next w:val="Normal"/>
    <w:link w:val="Heading1Char"/>
    <w:uiPriority w:val="9"/>
    <w:qFormat/>
    <w:pPr>
      <w:keepNext/>
      <w:numPr>
        <w:numId w:val="7"/>
      </w:numPr>
      <w:spacing w:before="360"/>
      <w:outlineLvl w:val="0"/>
    </w:pPr>
    <w:rPr>
      <w:b/>
      <w:bCs/>
      <w:smallCaps/>
      <w:szCs w:val="32"/>
    </w:rPr>
  </w:style>
  <w:style w:type="paragraph" w:styleId="Heading2">
    <w:name w:val="heading 2"/>
    <w:basedOn w:val="Normal"/>
    <w:next w:val="Normal"/>
    <w:link w:val="Heading2Char"/>
    <w:uiPriority w:val="9"/>
    <w:qFormat/>
    <w:pPr>
      <w:keepNext/>
      <w:numPr>
        <w:ilvl w:val="1"/>
        <w:numId w:val="7"/>
      </w:numPr>
      <w:outlineLvl w:val="1"/>
    </w:pPr>
    <w:rPr>
      <w:b/>
      <w:bCs/>
      <w:iCs/>
      <w:szCs w:val="28"/>
    </w:rPr>
  </w:style>
  <w:style w:type="paragraph" w:styleId="Heading3">
    <w:name w:val="heading 3"/>
    <w:basedOn w:val="Normal"/>
    <w:next w:val="Normal"/>
    <w:link w:val="Heading3Char"/>
    <w:uiPriority w:val="9"/>
    <w:qFormat/>
    <w:pPr>
      <w:keepNext/>
      <w:numPr>
        <w:ilvl w:val="2"/>
        <w:numId w:val="7"/>
      </w:numPr>
      <w:outlineLvl w:val="2"/>
    </w:pPr>
    <w:rPr>
      <w:bCs/>
      <w:i/>
      <w:szCs w:val="26"/>
    </w:rPr>
  </w:style>
  <w:style w:type="paragraph" w:styleId="Heading4">
    <w:name w:val="heading 4"/>
    <w:basedOn w:val="Normal"/>
    <w:next w:val="Normal"/>
    <w:link w:val="Heading4Char"/>
    <w:uiPriority w:val="9"/>
    <w:qFormat/>
    <w:pPr>
      <w:keepNext/>
      <w:numPr>
        <w:ilvl w:val="3"/>
        <w:numId w:val="7"/>
      </w:numPr>
      <w:outlineLvl w:val="3"/>
    </w:pPr>
    <w:rPr>
      <w:bCs/>
      <w:szCs w:val="28"/>
    </w:rPr>
  </w:style>
  <w:style w:type="paragraph" w:styleId="Heading5">
    <w:name w:val="heading 5"/>
    <w:basedOn w:val="Normal"/>
    <w:next w:val="Normal"/>
    <w:link w:val="Heading5Char"/>
    <w:uiPriority w:val="9"/>
    <w:qFormat/>
    <w:pPr>
      <w:numPr>
        <w:ilvl w:val="4"/>
        <w:numId w:val="32"/>
      </w:numPr>
      <w:tabs>
        <w:tab w:val="clear" w:pos="1728"/>
        <w:tab w:val="num" w:pos="1368"/>
      </w:tabs>
      <w:spacing w:before="240" w:after="60"/>
      <w:ind w:left="1368"/>
      <w:jc w:val="left"/>
      <w:outlineLvl w:val="4"/>
    </w:pPr>
    <w:rPr>
      <w:b/>
      <w:bCs/>
      <w:i/>
      <w:iCs/>
      <w:sz w:val="26"/>
      <w:szCs w:val="26"/>
      <w:lang w:val="x-none" w:eastAsia="en-GB"/>
    </w:rPr>
  </w:style>
  <w:style w:type="paragraph" w:styleId="Heading6">
    <w:name w:val="heading 6"/>
    <w:basedOn w:val="Normal"/>
    <w:next w:val="Normal"/>
    <w:link w:val="Heading6Char"/>
    <w:uiPriority w:val="9"/>
    <w:qFormat/>
    <w:pPr>
      <w:numPr>
        <w:ilvl w:val="5"/>
        <w:numId w:val="32"/>
      </w:numPr>
      <w:tabs>
        <w:tab w:val="clear" w:pos="1872"/>
        <w:tab w:val="num" w:pos="1512"/>
      </w:tabs>
      <w:spacing w:before="240" w:after="60"/>
      <w:ind w:left="1512"/>
      <w:jc w:val="left"/>
      <w:outlineLvl w:val="5"/>
    </w:pPr>
    <w:rPr>
      <w:b/>
      <w:bCs/>
      <w:sz w:val="22"/>
      <w:szCs w:val="22"/>
      <w:lang w:val="x-none" w:eastAsia="en-GB"/>
    </w:rPr>
  </w:style>
  <w:style w:type="paragraph" w:styleId="Heading7">
    <w:name w:val="heading 7"/>
    <w:basedOn w:val="Normal"/>
    <w:next w:val="Normal"/>
    <w:link w:val="Heading7Char"/>
    <w:uiPriority w:val="9"/>
    <w:qFormat/>
    <w:pPr>
      <w:keepNext/>
      <w:spacing w:before="0" w:after="0"/>
      <w:outlineLvl w:val="6"/>
    </w:pPr>
    <w:rPr>
      <w:b/>
      <w:bCs/>
      <w:sz w:val="18"/>
      <w:szCs w:val="20"/>
      <w:lang w:val="en-US" w:eastAsia="zh-CN"/>
    </w:rPr>
  </w:style>
  <w:style w:type="paragraph" w:styleId="Heading8">
    <w:name w:val="heading 8"/>
    <w:basedOn w:val="Normal"/>
    <w:next w:val="Normal"/>
    <w:link w:val="Heading8Char"/>
    <w:uiPriority w:val="9"/>
    <w:qFormat/>
    <w:pPr>
      <w:tabs>
        <w:tab w:val="num" w:pos="2700"/>
      </w:tabs>
      <w:spacing w:before="240" w:after="60"/>
      <w:ind w:left="2700" w:hanging="1440"/>
      <w:jc w:val="left"/>
      <w:outlineLvl w:val="7"/>
    </w:pPr>
    <w:rPr>
      <w:rFonts w:ascii="Palatino Linotype" w:hAnsi="Palatino Linotype"/>
      <w:i/>
      <w:iCs/>
      <w:sz w:val="22"/>
      <w:lang w:val="x-none" w:eastAsia="de-DE"/>
    </w:rPr>
  </w:style>
  <w:style w:type="paragraph" w:styleId="Heading9">
    <w:name w:val="heading 9"/>
    <w:basedOn w:val="Normal"/>
    <w:next w:val="Normal"/>
    <w:link w:val="Heading9Char"/>
    <w:uiPriority w:val="9"/>
    <w:qFormat/>
    <w:pPr>
      <w:tabs>
        <w:tab w:val="num" w:pos="2844"/>
      </w:tabs>
      <w:spacing w:before="240" w:after="60"/>
      <w:ind w:left="2844" w:hanging="1584"/>
      <w:jc w:val="left"/>
      <w:outlineLvl w:val="8"/>
    </w:pPr>
    <w:rPr>
      <w:rFonts w:ascii="Arial" w:hAnsi="Arial"/>
      <w:sz w:val="22"/>
      <w:szCs w:val="22"/>
      <w:lang w:val="x-none" w:eastAsia="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compagnant">
    <w:name w:val="Accompagnant"/>
    <w:basedOn w:val="Normal"/>
    <w:next w:val="Normal"/>
    <w:pPr>
      <w:spacing w:before="0" w:after="240"/>
      <w:jc w:val="center"/>
    </w:pPr>
    <w:rPr>
      <w:b/>
      <w:i/>
    </w:rPr>
  </w:style>
  <w:style w:type="paragraph" w:customStyle="1" w:styleId="AccompagnantPagedecouverture">
    <w:name w:val="Accompagnant (Page de couverture)"/>
    <w:basedOn w:val="Accompagnant"/>
    <w:next w:val="Normal"/>
  </w:style>
  <w:style w:type="character" w:customStyle="1" w:styleId="Added">
    <w:name w:val="Added"/>
    <w:rPr>
      <w:b/>
      <w:u w:val="single"/>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Annexetitre">
    <w:name w:val="Annexe titre"/>
    <w:basedOn w:val="Normal"/>
    <w:next w:val="Normal"/>
    <w:pPr>
      <w:jc w:val="center"/>
    </w:pPr>
    <w:rPr>
      <w:b/>
      <w:u w:val="single"/>
    </w:rPr>
  </w:style>
  <w:style w:type="paragraph" w:customStyle="1" w:styleId="Annexetitreexpos">
    <w:name w:val="Annexe titre (exposé)"/>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Normal"/>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Bullet0">
    <w:name w:val="Bullet 0"/>
    <w:basedOn w:val="Normal"/>
    <w:pPr>
      <w:numPr>
        <w:numId w:val="1"/>
      </w:numPr>
    </w:pPr>
  </w:style>
  <w:style w:type="paragraph" w:customStyle="1" w:styleId="Bullet1">
    <w:name w:val="Bullet 1"/>
    <w:basedOn w:val="Normal"/>
    <w:pPr>
      <w:numPr>
        <w:numId w:val="2"/>
      </w:numPr>
    </w:pPr>
  </w:style>
  <w:style w:type="paragraph" w:customStyle="1" w:styleId="Bullet2">
    <w:name w:val="Bullet 2"/>
    <w:basedOn w:val="Normal"/>
    <w:pPr>
      <w:numPr>
        <w:numId w:val="3"/>
      </w:numPr>
    </w:pPr>
  </w:style>
  <w:style w:type="paragraph" w:customStyle="1" w:styleId="Bullet3">
    <w:name w:val="Bullet 3"/>
    <w:basedOn w:val="Normal"/>
    <w:pPr>
      <w:numPr>
        <w:numId w:val="4"/>
      </w:numPr>
    </w:pPr>
  </w:style>
  <w:style w:type="paragraph" w:customStyle="1" w:styleId="Bullet4">
    <w:name w:val="Bullet 4"/>
    <w:basedOn w:val="Normal"/>
    <w:pPr>
      <w:numPr>
        <w:numId w:val="5"/>
      </w:numPr>
    </w:pPr>
  </w:style>
  <w:style w:type="paragraph" w:customStyle="1" w:styleId="ChapterTitle">
    <w:name w:val="ChapterTitle"/>
    <w:basedOn w:val="Normal"/>
    <w:next w:val="Normal"/>
    <w:pPr>
      <w:keepNext/>
      <w:spacing w:after="360"/>
      <w:jc w:val="center"/>
    </w:pPr>
    <w:rPr>
      <w:b/>
      <w:sz w:val="32"/>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Normal"/>
    <w:pPr>
      <w:spacing w:before="240" w:after="240"/>
      <w:ind w:left="5103"/>
    </w:pPr>
    <w:rPr>
      <w:u w:val="single"/>
    </w:rPr>
  </w:style>
  <w:style w:type="paragraph" w:customStyle="1" w:styleId="Considrant">
    <w:name w:val="Considérant"/>
    <w:basedOn w:val="Normal"/>
    <w:pPr>
      <w:numPr>
        <w:numId w:val="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Normal"/>
    <w:pPr>
      <w:spacing w:before="360" w:after="0"/>
      <w:jc w:val="center"/>
    </w:pPr>
    <w:rPr>
      <w:b/>
    </w:rPr>
  </w:style>
  <w:style w:type="paragraph" w:customStyle="1" w:styleId="DatedadoptionPagedecouverture">
    <w:name w:val="Date d'adoption (Page de couverture)"/>
    <w:basedOn w:val="Datedadoption"/>
    <w:next w:val="Normal"/>
  </w:style>
  <w:style w:type="character" w:customStyle="1" w:styleId="Deleted">
    <w:name w:val="Deleted"/>
    <w:rPr>
      <w:strike/>
      <w:shd w:val="clear" w:color="auto" w:fill="auto"/>
    </w:rPr>
  </w:style>
  <w:style w:type="paragraph" w:customStyle="1" w:styleId="Emission">
    <w:name w:val="Emission"/>
    <w:basedOn w:val="Normal"/>
    <w:next w:val="Normal"/>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Normal"/>
    <w:pPr>
      <w:keepNext/>
      <w:spacing w:after="0"/>
    </w:pPr>
  </w:style>
  <w:style w:type="paragraph" w:customStyle="1" w:styleId="Fichefinanciretitre">
    <w:name w:val="Fiche financière titre"/>
    <w:basedOn w:val="Normal"/>
    <w:next w:val="Normal"/>
    <w:pPr>
      <w:jc w:val="center"/>
    </w:pPr>
    <w:rPr>
      <w:b/>
      <w:u w:val="single"/>
    </w:rPr>
  </w:style>
  <w:style w:type="paragraph" w:styleId="Footer">
    <w:name w:val="footer"/>
    <w:basedOn w:val="Normal"/>
    <w:link w:val="FooterChar"/>
    <w:uiPriority w:val="99"/>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rPr>
      <w:shd w:val="clear" w:color="auto" w:fill="auto"/>
      <w:vertAlign w:val="superscript"/>
    </w:rPr>
  </w:style>
  <w:style w:type="paragraph" w:styleId="FootnoteText">
    <w:name w:val="footnote text"/>
    <w:basedOn w:val="Normal"/>
    <w:link w:val="FootnoteTextChar"/>
    <w:uiPriority w:val="99"/>
    <w:pPr>
      <w:spacing w:before="0" w:after="0"/>
      <w:ind w:left="720" w:hanging="720"/>
    </w:pPr>
    <w:rPr>
      <w:sz w:val="20"/>
      <w:szCs w:val="20"/>
    </w:rPr>
  </w:style>
  <w:style w:type="paragraph" w:customStyle="1" w:styleId="Formuledadoption">
    <w:name w:val="Formule d'adoption"/>
    <w:basedOn w:val="Normal"/>
    <w:next w:val="Normal"/>
    <w:pPr>
      <w:keepNext/>
    </w:pPr>
  </w:style>
  <w:style w:type="paragraph" w:styleId="Header">
    <w:name w:val="header"/>
    <w:basedOn w:val="Normal"/>
    <w:link w:val="HeaderChar"/>
    <w:uiPriority w:val="99"/>
    <w:pPr>
      <w:tabs>
        <w:tab w:val="center" w:pos="4535"/>
        <w:tab w:val="right" w:pos="9071"/>
      </w:tabs>
    </w:pPr>
  </w:style>
  <w:style w:type="paragraph" w:customStyle="1" w:styleId="HeaderLandscape">
    <w:name w:val="HeaderLandscape"/>
    <w:basedOn w:val="Normal"/>
    <w:pPr>
      <w:tabs>
        <w:tab w:val="center" w:pos="7285"/>
        <w:tab w:val="right" w:pos="14003"/>
      </w:tabs>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Languesfaisantfoi">
    <w:name w:val="Langues faisant foi"/>
    <w:basedOn w:val="Normal"/>
    <w:next w:val="Normal"/>
    <w:pPr>
      <w:spacing w:before="360" w:after="0"/>
      <w:jc w:val="center"/>
    </w:pPr>
  </w:style>
  <w:style w:type="paragraph" w:customStyle="1" w:styleId="IntrtEEE">
    <w:name w:val="Intérêt EEE"/>
    <w:basedOn w:val="Languesfaisantfoi"/>
    <w:next w:val="Normal"/>
    <w:pPr>
      <w:spacing w:after="240"/>
    </w:pPr>
  </w:style>
  <w:style w:type="paragraph" w:customStyle="1" w:styleId="IntrtEEEPagedecouverture">
    <w:name w:val="Intérêt EEE (Page de couverture)"/>
    <w:basedOn w:val="IntrtEEE"/>
    <w:next w:val="Normal"/>
  </w:style>
  <w:style w:type="paragraph" w:customStyle="1" w:styleId="Langue">
    <w:name w:val="Langue"/>
    <w:basedOn w:val="Normal"/>
    <w:next w:val="Normal"/>
    <w:pPr>
      <w:framePr w:wrap="around" w:vAnchor="page" w:hAnchor="text" w:xAlign="center" w:y="14741"/>
      <w:spacing w:before="0" w:after="600"/>
      <w:jc w:val="center"/>
    </w:pPr>
    <w:rPr>
      <w:b/>
      <w:caps/>
    </w:rPr>
  </w:style>
  <w:style w:type="paragraph" w:customStyle="1" w:styleId="LanguesfaisantfoiPagedecouverture">
    <w:name w:val="Langues faisant foi (Page de couverture)"/>
    <w:basedOn w:val="Normal"/>
    <w:next w:val="Normal"/>
    <w:pPr>
      <w:spacing w:before="360" w:after="0"/>
      <w:jc w:val="center"/>
    </w:pPr>
  </w:style>
  <w:style w:type="paragraph" w:customStyle="1" w:styleId="ManualConsidrant">
    <w:name w:val="Manual Considérant"/>
    <w:basedOn w:val="Normal"/>
    <w:pPr>
      <w:ind w:left="709" w:hanging="709"/>
    </w:pPr>
  </w:style>
  <w:style w:type="paragraph" w:customStyle="1" w:styleId="ManualHeading1">
    <w:name w:val="Manual Heading 1"/>
    <w:basedOn w:val="Normal"/>
    <w:next w:val="Normal"/>
    <w:pPr>
      <w:keepNext/>
      <w:tabs>
        <w:tab w:val="left" w:pos="850"/>
      </w:tabs>
      <w:spacing w:before="360"/>
      <w:ind w:left="850" w:hanging="850"/>
      <w:outlineLvl w:val="0"/>
    </w:pPr>
    <w:rPr>
      <w:b/>
      <w:smallCaps/>
    </w:rPr>
  </w:style>
  <w:style w:type="paragraph" w:customStyle="1" w:styleId="ManualHeading2">
    <w:name w:val="Manual Heading 2"/>
    <w:basedOn w:val="Normal"/>
    <w:next w:val="Normal"/>
    <w:pPr>
      <w:keepNext/>
      <w:tabs>
        <w:tab w:val="left" w:pos="850"/>
      </w:tabs>
      <w:ind w:left="850" w:hanging="850"/>
      <w:outlineLvl w:val="1"/>
    </w:pPr>
    <w:rPr>
      <w:b/>
    </w:rPr>
  </w:style>
  <w:style w:type="paragraph" w:customStyle="1" w:styleId="ManualHeading3">
    <w:name w:val="Manual Heading 3"/>
    <w:basedOn w:val="Normal"/>
    <w:next w:val="Normal"/>
    <w:pPr>
      <w:keepNext/>
      <w:tabs>
        <w:tab w:val="left" w:pos="850"/>
      </w:tabs>
      <w:ind w:left="850" w:hanging="850"/>
      <w:outlineLvl w:val="2"/>
    </w:pPr>
    <w:rPr>
      <w:i/>
    </w:rPr>
  </w:style>
  <w:style w:type="paragraph" w:customStyle="1" w:styleId="ManualHeading4">
    <w:name w:val="Manual Heading 4"/>
    <w:basedOn w:val="Normal"/>
    <w:next w:val="Normal"/>
    <w:pPr>
      <w:keepNext/>
      <w:tabs>
        <w:tab w:val="left" w:pos="850"/>
      </w:tabs>
      <w:ind w:left="850" w:hanging="850"/>
      <w:outlineLvl w:val="3"/>
    </w:pPr>
  </w:style>
  <w:style w:type="paragraph" w:customStyle="1" w:styleId="ManualNumPar1">
    <w:name w:val="Manual NumPar 1"/>
    <w:basedOn w:val="Normal"/>
    <w:next w:val="Normal"/>
    <w:pPr>
      <w:ind w:left="850" w:hanging="850"/>
    </w:pPr>
  </w:style>
  <w:style w:type="paragraph" w:customStyle="1" w:styleId="ManualNumPar2">
    <w:name w:val="Manual NumPar 2"/>
    <w:basedOn w:val="Normal"/>
    <w:next w:val="Normal"/>
    <w:pPr>
      <w:ind w:left="850" w:hanging="850"/>
    </w:pPr>
  </w:style>
  <w:style w:type="paragraph" w:customStyle="1" w:styleId="ManualNumPar3">
    <w:name w:val="Manual NumPar 3"/>
    <w:basedOn w:val="Normal"/>
    <w:next w:val="Normal"/>
    <w:pPr>
      <w:ind w:left="850" w:hanging="850"/>
    </w:pPr>
  </w:style>
  <w:style w:type="paragraph" w:customStyle="1" w:styleId="ManualNumPar4">
    <w:name w:val="Manual NumPar 4"/>
    <w:basedOn w:val="Normal"/>
    <w:next w:val="Normal"/>
    <w:pPr>
      <w:ind w:left="850" w:hanging="850"/>
    </w:pPr>
  </w:style>
  <w:style w:type="character" w:customStyle="1" w:styleId="Marker">
    <w:name w:val="Marker"/>
    <w:rPr>
      <w:color w:val="0000FF"/>
      <w:shd w:val="clear" w:color="auto" w:fill="auto"/>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NumPar1">
    <w:name w:val="NumPar 1"/>
    <w:basedOn w:val="Normal"/>
    <w:next w:val="Normal"/>
    <w:pPr>
      <w:numPr>
        <w:numId w:val="8"/>
      </w:numPr>
    </w:pPr>
  </w:style>
  <w:style w:type="paragraph" w:customStyle="1" w:styleId="NumPar2">
    <w:name w:val="NumPar 2"/>
    <w:basedOn w:val="Normal"/>
    <w:next w:val="Normal"/>
    <w:pPr>
      <w:numPr>
        <w:ilvl w:val="1"/>
        <w:numId w:val="8"/>
      </w:numPr>
    </w:pPr>
  </w:style>
  <w:style w:type="paragraph" w:customStyle="1" w:styleId="NumPar3">
    <w:name w:val="NumPar 3"/>
    <w:basedOn w:val="Normal"/>
    <w:next w:val="Normal"/>
    <w:pPr>
      <w:numPr>
        <w:ilvl w:val="2"/>
        <w:numId w:val="8"/>
      </w:numPr>
    </w:pPr>
  </w:style>
  <w:style w:type="paragraph" w:customStyle="1" w:styleId="NumPar4">
    <w:name w:val="NumPar 4"/>
    <w:basedOn w:val="Normal"/>
    <w:next w:val="Normal"/>
    <w:pPr>
      <w:numPr>
        <w:ilvl w:val="3"/>
        <w:numId w:val="8"/>
      </w:numPr>
    </w:pPr>
  </w:style>
  <w:style w:type="paragraph" w:customStyle="1" w:styleId="Objetacteprincipal">
    <w:name w:val="Objet acte principal"/>
    <w:basedOn w:val="Normal"/>
    <w:next w:val="Normal"/>
    <w:pPr>
      <w:spacing w:before="0" w:after="360"/>
      <w:jc w:val="center"/>
    </w:pPr>
    <w:rPr>
      <w:b/>
    </w:rPr>
  </w:style>
  <w:style w:type="paragraph" w:customStyle="1" w:styleId="ObjetacteprincipalPagedecouverture">
    <w:name w:val="Objet acte principal (Page de couverture)"/>
    <w:basedOn w:val="Objetacteprincipal"/>
    <w:next w:val="Normal"/>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style>
  <w:style w:type="paragraph" w:customStyle="1" w:styleId="PartTitle">
    <w:name w:val="PartTitle"/>
    <w:basedOn w:val="Normal"/>
    <w:next w:val="ChapterTitle"/>
    <w:pPr>
      <w:keepNext/>
      <w:pageBreakBefore/>
      <w:spacing w:after="360"/>
      <w:jc w:val="center"/>
    </w:pPr>
    <w:rPr>
      <w:b/>
      <w:sz w:val="36"/>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Point0">
    <w:name w:val="Point 0"/>
    <w:basedOn w:val="Normal"/>
    <w:pPr>
      <w:ind w:left="850" w:hanging="850"/>
    </w:pPr>
  </w:style>
  <w:style w:type="paragraph" w:customStyle="1" w:styleId="Point0letter">
    <w:name w:val="Point 0 (letter)"/>
    <w:basedOn w:val="Normal"/>
    <w:pPr>
      <w:numPr>
        <w:ilvl w:val="1"/>
        <w:numId w:val="9"/>
      </w:numPr>
    </w:pPr>
  </w:style>
  <w:style w:type="paragraph" w:customStyle="1" w:styleId="Point0number">
    <w:name w:val="Point 0 (number)"/>
    <w:basedOn w:val="Normal"/>
    <w:pPr>
      <w:numPr>
        <w:numId w:val="9"/>
      </w:numPr>
    </w:pPr>
  </w:style>
  <w:style w:type="paragraph" w:customStyle="1" w:styleId="Point1">
    <w:name w:val="Point 1"/>
    <w:basedOn w:val="Normal"/>
    <w:pPr>
      <w:ind w:left="1417" w:hanging="567"/>
    </w:pPr>
  </w:style>
  <w:style w:type="paragraph" w:customStyle="1" w:styleId="Point1letter">
    <w:name w:val="Point 1 (letter)"/>
    <w:basedOn w:val="Normal"/>
    <w:pPr>
      <w:numPr>
        <w:ilvl w:val="3"/>
        <w:numId w:val="9"/>
      </w:numPr>
    </w:pPr>
  </w:style>
  <w:style w:type="paragraph" w:customStyle="1" w:styleId="Point1number">
    <w:name w:val="Point 1 (number)"/>
    <w:basedOn w:val="Normal"/>
    <w:pPr>
      <w:numPr>
        <w:ilvl w:val="2"/>
        <w:numId w:val="9"/>
      </w:numPr>
    </w:pPr>
  </w:style>
  <w:style w:type="paragraph" w:customStyle="1" w:styleId="Point2">
    <w:name w:val="Point 2"/>
    <w:basedOn w:val="Normal"/>
    <w:pPr>
      <w:ind w:left="1984" w:hanging="567"/>
    </w:pPr>
  </w:style>
  <w:style w:type="paragraph" w:customStyle="1" w:styleId="Point2letter">
    <w:name w:val="Point 2 (letter)"/>
    <w:basedOn w:val="Normal"/>
    <w:pPr>
      <w:numPr>
        <w:ilvl w:val="5"/>
        <w:numId w:val="9"/>
      </w:numPr>
    </w:pPr>
  </w:style>
  <w:style w:type="paragraph" w:customStyle="1" w:styleId="Point2number">
    <w:name w:val="Point 2 (number)"/>
    <w:basedOn w:val="Normal"/>
    <w:pPr>
      <w:numPr>
        <w:ilvl w:val="4"/>
        <w:numId w:val="9"/>
      </w:numPr>
    </w:pPr>
  </w:style>
  <w:style w:type="paragraph" w:customStyle="1" w:styleId="Point3">
    <w:name w:val="Point 3"/>
    <w:basedOn w:val="Normal"/>
    <w:pPr>
      <w:ind w:left="2551" w:hanging="567"/>
    </w:pPr>
  </w:style>
  <w:style w:type="paragraph" w:customStyle="1" w:styleId="Point3letter">
    <w:name w:val="Point 3 (letter)"/>
    <w:basedOn w:val="Normal"/>
    <w:pPr>
      <w:numPr>
        <w:ilvl w:val="7"/>
        <w:numId w:val="9"/>
      </w:numPr>
    </w:pPr>
  </w:style>
  <w:style w:type="paragraph" w:customStyle="1" w:styleId="Point3number">
    <w:name w:val="Point 3 (number)"/>
    <w:basedOn w:val="Normal"/>
    <w:pPr>
      <w:numPr>
        <w:ilvl w:val="6"/>
        <w:numId w:val="9"/>
      </w:numPr>
    </w:pPr>
  </w:style>
  <w:style w:type="paragraph" w:customStyle="1" w:styleId="Point4">
    <w:name w:val="Point 4"/>
    <w:basedOn w:val="Normal"/>
    <w:pPr>
      <w:ind w:left="3118" w:hanging="567"/>
    </w:pPr>
  </w:style>
  <w:style w:type="paragraph" w:customStyle="1" w:styleId="Point4letter">
    <w:name w:val="Point 4 (letter)"/>
    <w:basedOn w:val="Normal"/>
    <w:pPr>
      <w:numPr>
        <w:ilvl w:val="8"/>
        <w:numId w:val="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QuotedNumPar">
    <w:name w:val="Quoted NumPar"/>
    <w:basedOn w:val="Normal"/>
    <w:pPr>
      <w:ind w:left="1417" w:hanging="567"/>
    </w:pPr>
  </w:style>
  <w:style w:type="paragraph" w:customStyle="1" w:styleId="QuotedText">
    <w:name w:val="Quoted Text"/>
    <w:basedOn w:val="Normal"/>
    <w:pPr>
      <w:ind w:left="1417"/>
    </w:pPr>
  </w:style>
  <w:style w:type="paragraph" w:customStyle="1" w:styleId="Rfrencecroise">
    <w:name w:val="Référence croisée"/>
    <w:basedOn w:val="Normal"/>
    <w:pPr>
      <w:spacing w:before="0" w:after="0"/>
      <w:jc w:val="center"/>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Normal"/>
    <w:pPr>
      <w:spacing w:before="0" w:after="0"/>
      <w:ind w:left="5103"/>
      <w:jc w:val="left"/>
    </w:pPr>
  </w:style>
  <w:style w:type="paragraph" w:customStyle="1" w:styleId="RfrenceinterinstitutionnellePagedecouverture">
    <w:name w:val="Référence interinstitutionnelle (Page de couverture)"/>
    <w:basedOn w:val="Rfrenceinterinstitutionnelle"/>
    <w:next w:val="Confidentialit"/>
  </w:style>
  <w:style w:type="paragraph" w:customStyle="1" w:styleId="Rfrenceinterne">
    <w:name w:val="Référence interne"/>
    <w:basedOn w:val="Normal"/>
    <w:next w:val="Rfrenceinterinstitutionnelle"/>
    <w:pPr>
      <w:spacing w:before="0" w:after="0"/>
      <w:ind w:left="5103"/>
      <w:jc w:val="left"/>
    </w:pPr>
  </w:style>
  <w:style w:type="paragraph" w:customStyle="1" w:styleId="SectionTitle">
    <w:name w:val="SectionTitle"/>
    <w:basedOn w:val="Normal"/>
    <w:next w:val="Heading1"/>
    <w:pPr>
      <w:keepNext/>
      <w:spacing w:after="360"/>
      <w:jc w:val="center"/>
    </w:pPr>
    <w:rPr>
      <w:b/>
      <w:smallCaps/>
      <w:sz w:val="28"/>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customStyle="1" w:styleId="Statut">
    <w:name w:val="Statut"/>
    <w:basedOn w:val="Normal"/>
    <w:next w:val="Normal"/>
    <w:pPr>
      <w:spacing w:before="360" w:after="0"/>
      <w:jc w:val="center"/>
    </w:pPr>
  </w:style>
  <w:style w:type="paragraph" w:customStyle="1" w:styleId="StatutPagedecouverture">
    <w:name w:val="Statut (Page de couverture)"/>
    <w:basedOn w:val="Statut"/>
    <w:next w:val="Normal"/>
  </w:style>
  <w:style w:type="paragraph" w:customStyle="1" w:styleId="Supertitre">
    <w:name w:val="Supertitre"/>
    <w:basedOn w:val="Normal"/>
    <w:next w:val="Normal"/>
    <w:pPr>
      <w:spacing w:before="0" w:after="600"/>
      <w:jc w:val="center"/>
    </w:pPr>
    <w:rPr>
      <w:b/>
    </w:rPr>
  </w:style>
  <w:style w:type="paragraph" w:customStyle="1" w:styleId="TableTitle">
    <w:name w:val="Table Title"/>
    <w:basedOn w:val="Normal"/>
    <w:next w:val="Normal"/>
    <w:pPr>
      <w:jc w:val="center"/>
    </w:pPr>
    <w:rPr>
      <w:b/>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itreobjetPagedecouverture">
    <w:name w:val="Titre objet (Page de couverture)"/>
    <w:basedOn w:val="Titreobjet"/>
    <w:next w:val="Sous-titreobjetPagedecouverture"/>
  </w:style>
  <w:style w:type="paragraph" w:styleId="TOC1">
    <w:name w:val="toc 1"/>
    <w:basedOn w:val="Normal"/>
    <w:next w:val="Normal"/>
    <w:uiPriority w:val="39"/>
    <w:pPr>
      <w:tabs>
        <w:tab w:val="right" w:leader="dot" w:pos="9071"/>
      </w:tabs>
      <w:spacing w:before="60"/>
      <w:ind w:left="850" w:hanging="850"/>
      <w:jc w:val="left"/>
    </w:pPr>
  </w:style>
  <w:style w:type="paragraph" w:styleId="TOC2">
    <w:name w:val="toc 2"/>
    <w:basedOn w:val="Normal"/>
    <w:next w:val="Normal"/>
    <w:uiPriority w:val="39"/>
    <w:pPr>
      <w:tabs>
        <w:tab w:val="right" w:leader="dot" w:pos="9071"/>
      </w:tabs>
      <w:spacing w:before="60"/>
      <w:ind w:left="850" w:hanging="850"/>
      <w:jc w:val="left"/>
    </w:pPr>
  </w:style>
  <w:style w:type="paragraph" w:styleId="TOC3">
    <w:name w:val="toc 3"/>
    <w:basedOn w:val="Normal"/>
    <w:next w:val="Normal"/>
    <w:uiPriority w:val="39"/>
    <w:pPr>
      <w:tabs>
        <w:tab w:val="right" w:leader="dot" w:pos="9071"/>
      </w:tabs>
      <w:spacing w:before="60"/>
      <w:ind w:left="850" w:hanging="850"/>
      <w:jc w:val="left"/>
    </w:pPr>
  </w:style>
  <w:style w:type="paragraph" w:styleId="TOC4">
    <w:name w:val="toc 4"/>
    <w:basedOn w:val="Normal"/>
    <w:next w:val="Normal"/>
    <w:uiPriority w:val="39"/>
    <w:semiHidden/>
    <w:pPr>
      <w:tabs>
        <w:tab w:val="right" w:leader="dot" w:pos="9071"/>
      </w:tabs>
      <w:spacing w:before="60"/>
      <w:ind w:left="850" w:hanging="850"/>
      <w:jc w:val="left"/>
    </w:pPr>
  </w:style>
  <w:style w:type="paragraph" w:styleId="TOC5">
    <w:name w:val="toc 5"/>
    <w:basedOn w:val="Normal"/>
    <w:next w:val="Normal"/>
    <w:uiPriority w:val="39"/>
    <w:semiHidden/>
    <w:pPr>
      <w:tabs>
        <w:tab w:val="right" w:leader="dot" w:pos="9071"/>
      </w:tabs>
      <w:spacing w:before="300"/>
      <w:jc w:val="left"/>
    </w:pPr>
  </w:style>
  <w:style w:type="paragraph" w:styleId="TOC6">
    <w:name w:val="toc 6"/>
    <w:basedOn w:val="Normal"/>
    <w:next w:val="Normal"/>
    <w:uiPriority w:val="39"/>
    <w:semiHidden/>
    <w:pPr>
      <w:tabs>
        <w:tab w:val="right" w:leader="dot" w:pos="9071"/>
      </w:tabs>
      <w:spacing w:before="240"/>
      <w:jc w:val="left"/>
    </w:pPr>
  </w:style>
  <w:style w:type="paragraph" w:styleId="TOC7">
    <w:name w:val="toc 7"/>
    <w:basedOn w:val="Normal"/>
    <w:next w:val="Normal"/>
    <w:uiPriority w:val="39"/>
    <w:semiHidden/>
    <w:pPr>
      <w:tabs>
        <w:tab w:val="right" w:leader="dot" w:pos="9071"/>
      </w:tabs>
      <w:spacing w:before="180"/>
      <w:jc w:val="left"/>
    </w:pPr>
  </w:style>
  <w:style w:type="paragraph" w:styleId="TOC8">
    <w:name w:val="toc 8"/>
    <w:basedOn w:val="Normal"/>
    <w:next w:val="Normal"/>
    <w:uiPriority w:val="39"/>
    <w:semiHidden/>
    <w:pPr>
      <w:tabs>
        <w:tab w:val="right" w:leader="dot" w:pos="9071"/>
      </w:tabs>
      <w:jc w:val="left"/>
    </w:pPr>
  </w:style>
  <w:style w:type="paragraph" w:styleId="TOC9">
    <w:name w:val="toc 9"/>
    <w:basedOn w:val="Normal"/>
    <w:next w:val="Normal"/>
    <w:uiPriority w:val="39"/>
    <w:semiHidden/>
    <w:pPr>
      <w:tabs>
        <w:tab w:val="right" w:leader="dot" w:pos="9071"/>
      </w:tabs>
    </w:pPr>
  </w:style>
  <w:style w:type="paragraph" w:styleId="TOCHeading">
    <w:name w:val="TOC Heading"/>
    <w:basedOn w:val="Normal"/>
    <w:next w:val="Normal"/>
    <w:uiPriority w:val="39"/>
    <w:qFormat/>
    <w:pPr>
      <w:spacing w:after="240"/>
      <w:jc w:val="center"/>
    </w:pPr>
    <w:rPr>
      <w:b/>
      <w:sz w:val="28"/>
    </w:rPr>
  </w:style>
  <w:style w:type="paragraph" w:customStyle="1" w:styleId="Typeacteprincipal">
    <w:name w:val="Type acte principal"/>
    <w:basedOn w:val="Normal"/>
    <w:next w:val="Objetacteprincipal"/>
    <w:pPr>
      <w:spacing w:before="0" w:after="240"/>
      <w:jc w:val="center"/>
    </w:pPr>
    <w:rPr>
      <w:b/>
    </w:rPr>
  </w:style>
  <w:style w:type="paragraph" w:customStyle="1" w:styleId="TypeacteprincipalPagedecouverture">
    <w:name w:val="Type acte principal (Page de couverture)"/>
    <w:basedOn w:val="Typeacteprincipal"/>
    <w:next w:val="ObjetacteprincipalPagedecouverture"/>
  </w:style>
  <w:style w:type="paragraph" w:customStyle="1" w:styleId="Typedudocument">
    <w:name w:val="Type du document"/>
    <w:basedOn w:val="Normal"/>
    <w:next w:val="Titreobjet"/>
    <w:pPr>
      <w:spacing w:before="360" w:after="0"/>
      <w:jc w:val="center"/>
    </w:pPr>
    <w:rPr>
      <w:b/>
    </w:rPr>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character" w:customStyle="1" w:styleId="Heading5Char">
    <w:name w:val="Heading 5 Char"/>
    <w:link w:val="Heading5"/>
    <w:uiPriority w:val="9"/>
    <w:rPr>
      <w:b/>
      <w:bCs/>
      <w:i/>
      <w:iCs/>
      <w:sz w:val="26"/>
      <w:szCs w:val="26"/>
      <w:lang w:val="x-none"/>
    </w:rPr>
  </w:style>
  <w:style w:type="character" w:customStyle="1" w:styleId="Heading6Char">
    <w:name w:val="Heading 6 Char"/>
    <w:link w:val="Heading6"/>
    <w:uiPriority w:val="9"/>
    <w:rPr>
      <w:b/>
      <w:bCs/>
      <w:sz w:val="22"/>
      <w:szCs w:val="22"/>
      <w:lang w:val="x-none"/>
    </w:rPr>
  </w:style>
  <w:style w:type="character" w:customStyle="1" w:styleId="Heading7Char">
    <w:name w:val="Heading 7 Char"/>
    <w:link w:val="Heading7"/>
    <w:uiPriority w:val="9"/>
    <w:rPr>
      <w:b/>
      <w:bCs/>
      <w:sz w:val="18"/>
      <w:shd w:val="clear" w:color="auto" w:fill="auto"/>
      <w:lang w:val="en-US" w:eastAsia="zh-CN"/>
    </w:rPr>
  </w:style>
  <w:style w:type="character" w:customStyle="1" w:styleId="Heading8Char">
    <w:name w:val="Heading 8 Char"/>
    <w:link w:val="Heading8"/>
    <w:uiPriority w:val="9"/>
    <w:rPr>
      <w:rFonts w:ascii="Palatino Linotype" w:hAnsi="Palatino Linotype"/>
      <w:i/>
      <w:iCs/>
      <w:sz w:val="22"/>
      <w:szCs w:val="24"/>
      <w:shd w:val="clear" w:color="auto" w:fill="auto"/>
      <w:lang w:val="x-none" w:eastAsia="de-DE"/>
    </w:rPr>
  </w:style>
  <w:style w:type="character" w:customStyle="1" w:styleId="Heading9Char">
    <w:name w:val="Heading 9 Char"/>
    <w:link w:val="Heading9"/>
    <w:uiPriority w:val="9"/>
    <w:rPr>
      <w:rFonts w:ascii="Arial" w:hAnsi="Arial"/>
      <w:sz w:val="22"/>
      <w:szCs w:val="22"/>
      <w:shd w:val="clear" w:color="auto" w:fill="auto"/>
      <w:lang w:val="x-none" w:eastAsia="de-DE"/>
    </w:rPr>
  </w:style>
  <w:style w:type="paragraph" w:styleId="ListBullet">
    <w:name w:val="List Bullet"/>
    <w:basedOn w:val="Normal"/>
    <w:uiPriority w:val="99"/>
    <w:pPr>
      <w:numPr>
        <w:numId w:val="15"/>
      </w:numPr>
    </w:pPr>
    <w:rPr>
      <w:szCs w:val="22"/>
      <w:lang w:eastAsia="en-GB"/>
    </w:rPr>
  </w:style>
  <w:style w:type="paragraph" w:styleId="ListBullet2">
    <w:name w:val="List Bullet 2"/>
    <w:basedOn w:val="Normal"/>
    <w:uiPriority w:val="99"/>
    <w:pPr>
      <w:numPr>
        <w:numId w:val="16"/>
      </w:numPr>
    </w:pPr>
    <w:rPr>
      <w:szCs w:val="22"/>
      <w:lang w:eastAsia="en-GB"/>
    </w:rPr>
  </w:style>
  <w:style w:type="paragraph" w:styleId="ListBullet3">
    <w:name w:val="List Bullet 3"/>
    <w:basedOn w:val="Normal"/>
    <w:uiPriority w:val="99"/>
    <w:pPr>
      <w:numPr>
        <w:numId w:val="17"/>
      </w:numPr>
    </w:pPr>
    <w:rPr>
      <w:szCs w:val="22"/>
      <w:lang w:eastAsia="en-GB"/>
    </w:rPr>
  </w:style>
  <w:style w:type="paragraph" w:styleId="ListBullet4">
    <w:name w:val="List Bullet 4"/>
    <w:basedOn w:val="Normal"/>
    <w:uiPriority w:val="99"/>
    <w:pPr>
      <w:numPr>
        <w:numId w:val="18"/>
      </w:numPr>
    </w:pPr>
    <w:rPr>
      <w:szCs w:val="22"/>
      <w:lang w:eastAsia="en-GB"/>
    </w:rPr>
  </w:style>
  <w:style w:type="paragraph" w:styleId="ListNumber">
    <w:name w:val="List Number"/>
    <w:basedOn w:val="Normal"/>
    <w:uiPriority w:val="99"/>
    <w:pPr>
      <w:numPr>
        <w:numId w:val="30"/>
      </w:numPr>
    </w:pPr>
    <w:rPr>
      <w:szCs w:val="22"/>
      <w:lang w:eastAsia="de-DE"/>
    </w:rPr>
  </w:style>
  <w:style w:type="paragraph" w:styleId="ListNumber2">
    <w:name w:val="List Number 2"/>
    <w:basedOn w:val="Normal"/>
    <w:uiPriority w:val="99"/>
    <w:pPr>
      <w:numPr>
        <w:numId w:val="29"/>
      </w:numPr>
    </w:pPr>
    <w:rPr>
      <w:szCs w:val="22"/>
      <w:lang w:eastAsia="de-DE"/>
    </w:rPr>
  </w:style>
  <w:style w:type="paragraph" w:styleId="ListNumber3">
    <w:name w:val="List Number 3"/>
    <w:basedOn w:val="Normal"/>
    <w:uiPriority w:val="99"/>
    <w:pPr>
      <w:numPr>
        <w:numId w:val="28"/>
      </w:numPr>
    </w:pPr>
    <w:rPr>
      <w:szCs w:val="22"/>
      <w:lang w:eastAsia="de-DE"/>
    </w:rPr>
  </w:style>
  <w:style w:type="paragraph" w:styleId="ListNumber4">
    <w:name w:val="List Number 4"/>
    <w:basedOn w:val="Normal"/>
    <w:uiPriority w:val="99"/>
    <w:pPr>
      <w:numPr>
        <w:numId w:val="27"/>
      </w:numPr>
    </w:pPr>
    <w:rPr>
      <w:szCs w:val="22"/>
      <w:lang w:eastAsia="de-DE"/>
    </w:rPr>
  </w:style>
  <w:style w:type="paragraph" w:customStyle="1" w:styleId="ListBullet1">
    <w:name w:val="List Bullet 1"/>
    <w:basedOn w:val="Normal"/>
    <w:pPr>
      <w:numPr>
        <w:numId w:val="19"/>
      </w:numPr>
    </w:pPr>
    <w:rPr>
      <w:szCs w:val="22"/>
      <w:lang w:eastAsia="de-DE"/>
    </w:rPr>
  </w:style>
  <w:style w:type="paragraph" w:customStyle="1" w:styleId="ListDash">
    <w:name w:val="List Dash"/>
    <w:basedOn w:val="Normal"/>
    <w:pPr>
      <w:numPr>
        <w:numId w:val="20"/>
      </w:numPr>
    </w:pPr>
    <w:rPr>
      <w:szCs w:val="22"/>
      <w:lang w:eastAsia="de-DE"/>
    </w:rPr>
  </w:style>
  <w:style w:type="paragraph" w:customStyle="1" w:styleId="ListDash1">
    <w:name w:val="List Dash 1"/>
    <w:basedOn w:val="Normal"/>
    <w:pPr>
      <w:numPr>
        <w:numId w:val="21"/>
      </w:numPr>
    </w:pPr>
    <w:rPr>
      <w:szCs w:val="22"/>
      <w:lang w:eastAsia="de-DE"/>
    </w:rPr>
  </w:style>
  <w:style w:type="paragraph" w:customStyle="1" w:styleId="ListDash2">
    <w:name w:val="List Dash 2"/>
    <w:basedOn w:val="Normal"/>
    <w:pPr>
      <w:numPr>
        <w:numId w:val="22"/>
      </w:numPr>
    </w:pPr>
    <w:rPr>
      <w:szCs w:val="22"/>
      <w:lang w:eastAsia="de-DE"/>
    </w:rPr>
  </w:style>
  <w:style w:type="paragraph" w:customStyle="1" w:styleId="ListDash3">
    <w:name w:val="List Dash 3"/>
    <w:basedOn w:val="Normal"/>
    <w:pPr>
      <w:numPr>
        <w:numId w:val="23"/>
      </w:numPr>
    </w:pPr>
    <w:rPr>
      <w:szCs w:val="22"/>
      <w:lang w:eastAsia="de-DE"/>
    </w:rPr>
  </w:style>
  <w:style w:type="paragraph" w:customStyle="1" w:styleId="ListDash4">
    <w:name w:val="List Dash 4"/>
    <w:basedOn w:val="Normal"/>
    <w:pPr>
      <w:numPr>
        <w:numId w:val="24"/>
      </w:numPr>
    </w:pPr>
    <w:rPr>
      <w:szCs w:val="22"/>
      <w:lang w:eastAsia="de-DE"/>
    </w:rPr>
  </w:style>
  <w:style w:type="paragraph" w:customStyle="1" w:styleId="ListNumber1">
    <w:name w:val="List Number 1"/>
    <w:basedOn w:val="Text1"/>
    <w:pPr>
      <w:numPr>
        <w:numId w:val="25"/>
      </w:numPr>
    </w:pPr>
    <w:rPr>
      <w:szCs w:val="22"/>
      <w:lang w:eastAsia="de-DE"/>
    </w:rPr>
  </w:style>
  <w:style w:type="paragraph" w:customStyle="1" w:styleId="ListNumberLevel2">
    <w:name w:val="List Number (Level 2)"/>
    <w:basedOn w:val="Normal"/>
    <w:pPr>
      <w:numPr>
        <w:ilvl w:val="1"/>
        <w:numId w:val="30"/>
      </w:numPr>
    </w:pPr>
    <w:rPr>
      <w:szCs w:val="22"/>
      <w:lang w:eastAsia="de-DE"/>
    </w:rPr>
  </w:style>
  <w:style w:type="paragraph" w:customStyle="1" w:styleId="ListNumber1Level2">
    <w:name w:val="List Number 1 (Level 2)"/>
    <w:basedOn w:val="Text1"/>
    <w:pPr>
      <w:numPr>
        <w:ilvl w:val="1"/>
        <w:numId w:val="25"/>
      </w:numPr>
    </w:pPr>
    <w:rPr>
      <w:szCs w:val="22"/>
      <w:lang w:eastAsia="de-DE"/>
    </w:rPr>
  </w:style>
  <w:style w:type="paragraph" w:customStyle="1" w:styleId="ListNumber2Level2">
    <w:name w:val="List Number 2 (Level 2)"/>
    <w:basedOn w:val="Text2"/>
    <w:pPr>
      <w:numPr>
        <w:ilvl w:val="1"/>
        <w:numId w:val="29"/>
      </w:numPr>
    </w:pPr>
    <w:rPr>
      <w:szCs w:val="22"/>
      <w:lang w:eastAsia="de-DE"/>
    </w:rPr>
  </w:style>
  <w:style w:type="paragraph" w:customStyle="1" w:styleId="ListNumber3Level2">
    <w:name w:val="List Number 3 (Level 2)"/>
    <w:basedOn w:val="Text3"/>
    <w:pPr>
      <w:numPr>
        <w:ilvl w:val="1"/>
        <w:numId w:val="28"/>
      </w:numPr>
    </w:pPr>
    <w:rPr>
      <w:szCs w:val="22"/>
      <w:lang w:eastAsia="de-DE"/>
    </w:rPr>
  </w:style>
  <w:style w:type="paragraph" w:customStyle="1" w:styleId="ListNumber4Level2">
    <w:name w:val="List Number 4 (Level 2)"/>
    <w:basedOn w:val="Text4"/>
    <w:pPr>
      <w:numPr>
        <w:ilvl w:val="1"/>
        <w:numId w:val="27"/>
      </w:numPr>
    </w:pPr>
    <w:rPr>
      <w:szCs w:val="22"/>
      <w:lang w:eastAsia="de-DE"/>
    </w:rPr>
  </w:style>
  <w:style w:type="paragraph" w:customStyle="1" w:styleId="ListNumberLevel3">
    <w:name w:val="List Number (Level 3)"/>
    <w:basedOn w:val="Normal"/>
    <w:pPr>
      <w:numPr>
        <w:ilvl w:val="2"/>
        <w:numId w:val="30"/>
      </w:numPr>
    </w:pPr>
    <w:rPr>
      <w:szCs w:val="22"/>
      <w:lang w:eastAsia="de-DE"/>
    </w:rPr>
  </w:style>
  <w:style w:type="paragraph" w:customStyle="1" w:styleId="ListNumber1Level3">
    <w:name w:val="List Number 1 (Level 3)"/>
    <w:basedOn w:val="Text1"/>
    <w:pPr>
      <w:numPr>
        <w:ilvl w:val="2"/>
        <w:numId w:val="25"/>
      </w:numPr>
    </w:pPr>
    <w:rPr>
      <w:szCs w:val="22"/>
      <w:lang w:eastAsia="de-DE"/>
    </w:rPr>
  </w:style>
  <w:style w:type="paragraph" w:customStyle="1" w:styleId="ListNumber2Level3">
    <w:name w:val="List Number 2 (Level 3)"/>
    <w:basedOn w:val="Text2"/>
    <w:pPr>
      <w:numPr>
        <w:ilvl w:val="2"/>
        <w:numId w:val="29"/>
      </w:numPr>
    </w:pPr>
    <w:rPr>
      <w:szCs w:val="22"/>
      <w:lang w:eastAsia="de-DE"/>
    </w:rPr>
  </w:style>
  <w:style w:type="paragraph" w:customStyle="1" w:styleId="ListNumber3Level3">
    <w:name w:val="List Number 3 (Level 3)"/>
    <w:basedOn w:val="Text3"/>
    <w:pPr>
      <w:numPr>
        <w:ilvl w:val="2"/>
        <w:numId w:val="28"/>
      </w:numPr>
    </w:pPr>
    <w:rPr>
      <w:szCs w:val="22"/>
      <w:lang w:eastAsia="de-DE"/>
    </w:rPr>
  </w:style>
  <w:style w:type="paragraph" w:customStyle="1" w:styleId="ListNumber4Level3">
    <w:name w:val="List Number 4 (Level 3)"/>
    <w:basedOn w:val="Text4"/>
    <w:pPr>
      <w:numPr>
        <w:ilvl w:val="2"/>
        <w:numId w:val="27"/>
      </w:numPr>
    </w:pPr>
    <w:rPr>
      <w:szCs w:val="22"/>
      <w:lang w:eastAsia="de-DE"/>
    </w:rPr>
  </w:style>
  <w:style w:type="paragraph" w:customStyle="1" w:styleId="ListNumberLevel4">
    <w:name w:val="List Number (Level 4)"/>
    <w:basedOn w:val="Normal"/>
    <w:pPr>
      <w:numPr>
        <w:ilvl w:val="3"/>
        <w:numId w:val="30"/>
      </w:numPr>
    </w:pPr>
    <w:rPr>
      <w:szCs w:val="22"/>
      <w:lang w:eastAsia="de-DE"/>
    </w:rPr>
  </w:style>
  <w:style w:type="paragraph" w:customStyle="1" w:styleId="ListNumber1Level4">
    <w:name w:val="List Number 1 (Level 4)"/>
    <w:basedOn w:val="Text1"/>
    <w:pPr>
      <w:numPr>
        <w:ilvl w:val="3"/>
        <w:numId w:val="25"/>
      </w:numPr>
    </w:pPr>
    <w:rPr>
      <w:szCs w:val="22"/>
      <w:lang w:eastAsia="de-DE"/>
    </w:rPr>
  </w:style>
  <w:style w:type="paragraph" w:customStyle="1" w:styleId="ListNumber2Level4">
    <w:name w:val="List Number 2 (Level 4)"/>
    <w:basedOn w:val="Text2"/>
    <w:pPr>
      <w:numPr>
        <w:ilvl w:val="3"/>
        <w:numId w:val="29"/>
      </w:numPr>
    </w:pPr>
    <w:rPr>
      <w:szCs w:val="22"/>
      <w:lang w:eastAsia="de-DE"/>
    </w:rPr>
  </w:style>
  <w:style w:type="paragraph" w:customStyle="1" w:styleId="ListNumber3Level4">
    <w:name w:val="List Number 3 (Level 4)"/>
    <w:basedOn w:val="Text3"/>
    <w:pPr>
      <w:numPr>
        <w:ilvl w:val="3"/>
        <w:numId w:val="28"/>
      </w:numPr>
    </w:pPr>
    <w:rPr>
      <w:szCs w:val="22"/>
      <w:lang w:eastAsia="de-DE"/>
    </w:rPr>
  </w:style>
  <w:style w:type="paragraph" w:customStyle="1" w:styleId="ListNumber4Level4">
    <w:name w:val="List Number 4 (Level 4)"/>
    <w:basedOn w:val="Text4"/>
    <w:pPr>
      <w:numPr>
        <w:ilvl w:val="3"/>
        <w:numId w:val="27"/>
      </w:numPr>
    </w:pPr>
    <w:rPr>
      <w:szCs w:val="22"/>
      <w:lang w:eastAsia="de-DE"/>
    </w:rPr>
  </w:style>
  <w:style w:type="paragraph" w:customStyle="1" w:styleId="Annexetitreacte">
    <w:name w:val="Annexe titre (acte)"/>
    <w:basedOn w:val="Normal"/>
    <w:next w:val="Normal"/>
    <w:pPr>
      <w:jc w:val="center"/>
    </w:pPr>
    <w:rPr>
      <w:b/>
      <w:szCs w:val="22"/>
      <w:u w:val="single"/>
      <w:lang w:eastAsia="de-DE"/>
    </w:rPr>
  </w:style>
  <w:style w:type="paragraph" w:customStyle="1" w:styleId="Annexetitreexposglobal">
    <w:name w:val="Annexe titre (exposé global)"/>
    <w:basedOn w:val="Normal"/>
    <w:next w:val="Normal"/>
    <w:pPr>
      <w:jc w:val="center"/>
    </w:pPr>
    <w:rPr>
      <w:b/>
      <w:szCs w:val="22"/>
      <w:u w:val="single"/>
      <w:lang w:eastAsia="de-DE"/>
    </w:rPr>
  </w:style>
  <w:style w:type="paragraph" w:customStyle="1" w:styleId="Annexetitrefichefinacte">
    <w:name w:val="Annexe titre (fiche fin. acte)"/>
    <w:basedOn w:val="Normal"/>
    <w:next w:val="Normal"/>
    <w:pPr>
      <w:jc w:val="center"/>
    </w:pPr>
    <w:rPr>
      <w:b/>
      <w:szCs w:val="22"/>
      <w:u w:val="single"/>
      <w:lang w:eastAsia="de-DE"/>
    </w:rPr>
  </w:style>
  <w:style w:type="paragraph" w:customStyle="1" w:styleId="Annexetitrefichefinglobale">
    <w:name w:val="Annexe titre (fiche fin. globale)"/>
    <w:basedOn w:val="Normal"/>
    <w:next w:val="Normal"/>
    <w:pPr>
      <w:jc w:val="center"/>
    </w:pPr>
    <w:rPr>
      <w:b/>
      <w:szCs w:val="22"/>
      <w:u w:val="single"/>
      <w:lang w:eastAsia="de-DE"/>
    </w:rPr>
  </w:style>
  <w:style w:type="paragraph" w:customStyle="1" w:styleId="Annexetitreglobale">
    <w:name w:val="Annexe titre (globale)"/>
    <w:basedOn w:val="Normal"/>
    <w:next w:val="Normal"/>
    <w:pPr>
      <w:jc w:val="center"/>
    </w:pPr>
    <w:rPr>
      <w:b/>
      <w:szCs w:val="22"/>
      <w:u w:val="single"/>
      <w:lang w:eastAsia="de-DE"/>
    </w:rPr>
  </w:style>
  <w:style w:type="paragraph" w:customStyle="1" w:styleId="Rfrenceinstitutionelle">
    <w:name w:val="Référence institutionelle"/>
    <w:basedOn w:val="Normal"/>
    <w:next w:val="Statut"/>
    <w:pPr>
      <w:spacing w:before="0" w:after="240"/>
      <w:ind w:left="5103"/>
      <w:jc w:val="left"/>
    </w:pPr>
    <w:rPr>
      <w:szCs w:val="22"/>
      <w:lang w:eastAsia="de-DE"/>
    </w:rPr>
  </w:style>
  <w:style w:type="paragraph" w:customStyle="1" w:styleId="Exposdesmotifstitreglobal">
    <w:name w:val="Exposé des motifs titre (global)"/>
    <w:basedOn w:val="Normal"/>
    <w:next w:val="Normal"/>
    <w:pPr>
      <w:jc w:val="center"/>
    </w:pPr>
    <w:rPr>
      <w:b/>
      <w:szCs w:val="22"/>
      <w:u w:val="single"/>
      <w:lang w:eastAsia="de-DE"/>
    </w:rPr>
  </w:style>
  <w:style w:type="paragraph" w:customStyle="1" w:styleId="Langueoriginale">
    <w:name w:val="Langue originale"/>
    <w:basedOn w:val="Normal"/>
    <w:next w:val="Phrasefinale"/>
    <w:pPr>
      <w:spacing w:before="360"/>
      <w:jc w:val="center"/>
    </w:pPr>
    <w:rPr>
      <w:caps/>
      <w:szCs w:val="22"/>
      <w:lang w:eastAsia="de-DE"/>
    </w:rPr>
  </w:style>
  <w:style w:type="paragraph" w:customStyle="1" w:styleId="Phrasefinale">
    <w:name w:val="Phrase finale"/>
    <w:basedOn w:val="Normal"/>
    <w:next w:val="Normal"/>
    <w:pPr>
      <w:spacing w:before="360" w:after="0"/>
      <w:jc w:val="center"/>
    </w:pPr>
    <w:rPr>
      <w:szCs w:val="22"/>
      <w:lang w:eastAsia="de-DE"/>
    </w:rPr>
  </w:style>
  <w:style w:type="paragraph" w:customStyle="1" w:styleId="Prliminairetitre">
    <w:name w:val="Préliminaire titre"/>
    <w:basedOn w:val="Normal"/>
    <w:next w:val="Normal"/>
    <w:pPr>
      <w:spacing w:before="360" w:after="360"/>
      <w:jc w:val="center"/>
    </w:pPr>
    <w:rPr>
      <w:b/>
      <w:szCs w:val="22"/>
      <w:lang w:eastAsia="de-DE"/>
    </w:rPr>
  </w:style>
  <w:style w:type="paragraph" w:customStyle="1" w:styleId="Prliminairetype">
    <w:name w:val="Préliminaire type"/>
    <w:basedOn w:val="Normal"/>
    <w:next w:val="Normal"/>
    <w:pPr>
      <w:spacing w:before="360" w:after="0"/>
      <w:jc w:val="center"/>
    </w:pPr>
    <w:rPr>
      <w:b/>
      <w:szCs w:val="22"/>
      <w:lang w:eastAsia="de-DE"/>
    </w:rPr>
  </w:style>
  <w:style w:type="paragraph" w:customStyle="1" w:styleId="Rfrenceinterinstitutionelle">
    <w:name w:val="Référence interinstitutionelle"/>
    <w:basedOn w:val="Normal"/>
    <w:next w:val="Statut"/>
    <w:pPr>
      <w:spacing w:before="0" w:after="0"/>
      <w:ind w:left="5103"/>
      <w:jc w:val="left"/>
    </w:pPr>
    <w:rPr>
      <w:szCs w:val="22"/>
      <w:lang w:eastAsia="de-DE"/>
    </w:rPr>
  </w:style>
  <w:style w:type="paragraph" w:customStyle="1" w:styleId="Rfrenceinterinstitutionelleprliminaire">
    <w:name w:val="Référence interinstitutionelle (préliminaire)"/>
    <w:basedOn w:val="Normal"/>
    <w:next w:val="Normal"/>
    <w:pPr>
      <w:spacing w:before="0" w:after="0"/>
      <w:ind w:left="5103"/>
      <w:jc w:val="left"/>
    </w:pPr>
    <w:rPr>
      <w:szCs w:val="22"/>
      <w:lang w:eastAsia="de-DE"/>
    </w:rPr>
  </w:style>
  <w:style w:type="paragraph" w:customStyle="1" w:styleId="Sous-titreobjetprliminaire">
    <w:name w:val="Sous-titre objet (préliminaire)"/>
    <w:basedOn w:val="Normal"/>
    <w:pPr>
      <w:spacing w:before="0" w:after="0"/>
      <w:jc w:val="center"/>
    </w:pPr>
    <w:rPr>
      <w:b/>
      <w:szCs w:val="22"/>
      <w:lang w:eastAsia="de-DE"/>
    </w:rPr>
  </w:style>
  <w:style w:type="paragraph" w:customStyle="1" w:styleId="Statutprliminaire">
    <w:name w:val="Statut (préliminaire)"/>
    <w:basedOn w:val="Normal"/>
    <w:next w:val="Normal"/>
    <w:pPr>
      <w:spacing w:before="360" w:after="0"/>
      <w:jc w:val="center"/>
    </w:pPr>
    <w:rPr>
      <w:szCs w:val="22"/>
      <w:lang w:eastAsia="de-DE"/>
    </w:rPr>
  </w:style>
  <w:style w:type="paragraph" w:customStyle="1" w:styleId="Titreobjetprliminaire">
    <w:name w:val="Titre objet (préliminaire)"/>
    <w:basedOn w:val="Normal"/>
    <w:next w:val="Normal"/>
    <w:pPr>
      <w:spacing w:before="360" w:after="360"/>
      <w:jc w:val="center"/>
    </w:pPr>
    <w:rPr>
      <w:b/>
      <w:szCs w:val="22"/>
      <w:lang w:eastAsia="de-DE"/>
    </w:rPr>
  </w:style>
  <w:style w:type="paragraph" w:customStyle="1" w:styleId="Typedudocumentprliminaire">
    <w:name w:val="Type du document (préliminaire)"/>
    <w:basedOn w:val="Normal"/>
    <w:next w:val="Normal"/>
    <w:pPr>
      <w:spacing w:before="360" w:after="0"/>
      <w:jc w:val="center"/>
    </w:pPr>
    <w:rPr>
      <w:b/>
      <w:szCs w:val="22"/>
      <w:lang w:eastAsia="de-DE"/>
    </w:rPr>
  </w:style>
  <w:style w:type="paragraph" w:customStyle="1" w:styleId="Fichefinancirestandardtitre">
    <w:name w:val="Fiche financière (standard) titre"/>
    <w:basedOn w:val="Normal"/>
    <w:next w:val="Normal"/>
    <w:pPr>
      <w:jc w:val="center"/>
    </w:pPr>
    <w:rPr>
      <w:b/>
      <w:szCs w:val="22"/>
      <w:u w:val="single"/>
      <w:lang w:eastAsia="de-DE"/>
    </w:rPr>
  </w:style>
  <w:style w:type="paragraph" w:customStyle="1" w:styleId="Fichefinancirestandardtitreacte">
    <w:name w:val="Fiche financière (standard) titre (acte)"/>
    <w:basedOn w:val="Normal"/>
    <w:next w:val="Normal"/>
    <w:pPr>
      <w:jc w:val="center"/>
    </w:pPr>
    <w:rPr>
      <w:b/>
      <w:szCs w:val="22"/>
      <w:u w:val="single"/>
      <w:lang w:eastAsia="de-DE"/>
    </w:rPr>
  </w:style>
  <w:style w:type="paragraph" w:customStyle="1" w:styleId="Fichefinanciretravailtitre">
    <w:name w:val="Fiche financière (travail) titre"/>
    <w:basedOn w:val="Normal"/>
    <w:next w:val="Normal"/>
    <w:pPr>
      <w:jc w:val="center"/>
    </w:pPr>
    <w:rPr>
      <w:b/>
      <w:szCs w:val="22"/>
      <w:u w:val="single"/>
      <w:lang w:eastAsia="de-DE"/>
    </w:rPr>
  </w:style>
  <w:style w:type="paragraph" w:customStyle="1" w:styleId="Fichefinanciretravailtitreacte">
    <w:name w:val="Fiche financière (travail) titre (acte)"/>
    <w:basedOn w:val="Normal"/>
    <w:next w:val="Normal"/>
    <w:pPr>
      <w:jc w:val="center"/>
    </w:pPr>
    <w:rPr>
      <w:b/>
      <w:szCs w:val="22"/>
      <w:u w:val="single"/>
      <w:lang w:eastAsia="de-DE"/>
    </w:rPr>
  </w:style>
  <w:style w:type="paragraph" w:customStyle="1" w:styleId="Fichefinancireattributiontitre">
    <w:name w:val="Fiche financière (attribution) titre"/>
    <w:basedOn w:val="Normal"/>
    <w:next w:val="Normal"/>
    <w:pPr>
      <w:jc w:val="center"/>
    </w:pPr>
    <w:rPr>
      <w:b/>
      <w:szCs w:val="22"/>
      <w:u w:val="single"/>
      <w:lang w:eastAsia="de-DE"/>
    </w:rPr>
  </w:style>
  <w:style w:type="paragraph" w:customStyle="1" w:styleId="Fichefinancireattributiontitreacte">
    <w:name w:val="Fiche financière (attribution) titre (acte)"/>
    <w:basedOn w:val="Normal"/>
    <w:next w:val="Normal"/>
    <w:pPr>
      <w:jc w:val="center"/>
    </w:pPr>
    <w:rPr>
      <w:b/>
      <w:szCs w:val="22"/>
      <w:u w:val="single"/>
      <w:lang w:eastAsia="de-DE"/>
    </w:rPr>
  </w:style>
  <w:style w:type="character" w:styleId="Hyperlink">
    <w:name w:val="Hyperlink"/>
    <w:uiPriority w:val="99"/>
    <w:rPr>
      <w:rFonts w:cs="Times New Roman"/>
      <w:color w:val="0000FF"/>
      <w:u w:val="single"/>
      <w:shd w:val="clear" w:color="auto" w:fill="auto"/>
    </w:rPr>
  </w:style>
  <w:style w:type="character" w:styleId="EndnoteReference">
    <w:name w:val="endnote reference"/>
    <w:uiPriority w:val="99"/>
    <w:rPr>
      <w:rFonts w:cs="Times New Roman"/>
      <w:shd w:val="clear" w:color="auto" w:fill="auto"/>
      <w:vertAlign w:val="superscript"/>
    </w:rPr>
  </w:style>
  <w:style w:type="paragraph" w:styleId="BodyText">
    <w:name w:val="Body Text"/>
    <w:basedOn w:val="Normal"/>
    <w:link w:val="BodyTextChar"/>
    <w:uiPriority w:val="99"/>
    <w:pPr>
      <w:tabs>
        <w:tab w:val="left" w:pos="3960"/>
      </w:tabs>
      <w:spacing w:before="0" w:after="240"/>
      <w:jc w:val="left"/>
    </w:pPr>
    <w:rPr>
      <w:rFonts w:ascii="Palatino Linotype" w:hAnsi="Palatino Linotype"/>
      <w:sz w:val="22"/>
      <w:lang w:val="x-none" w:eastAsia="de-DE"/>
    </w:rPr>
  </w:style>
  <w:style w:type="character" w:customStyle="1" w:styleId="BodyTextChar">
    <w:name w:val="Body Text Char"/>
    <w:link w:val="BodyText"/>
    <w:uiPriority w:val="99"/>
    <w:rPr>
      <w:rFonts w:ascii="Palatino Linotype" w:hAnsi="Palatino Linotype"/>
      <w:sz w:val="22"/>
      <w:szCs w:val="24"/>
      <w:shd w:val="clear" w:color="auto" w:fill="auto"/>
      <w:lang w:val="x-none" w:eastAsia="de-DE"/>
    </w:rPr>
  </w:style>
  <w:style w:type="character" w:styleId="Strong">
    <w:name w:val="Strong"/>
    <w:uiPriority w:val="22"/>
    <w:qFormat/>
    <w:rPr>
      <w:rFonts w:cs="Times New Roman"/>
      <w:b/>
      <w:bCs/>
      <w:shd w:val="clear" w:color="auto" w:fill="auto"/>
    </w:rPr>
  </w:style>
  <w:style w:type="paragraph" w:customStyle="1" w:styleId="5Normal">
    <w:name w:val="5 Normal"/>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76" w:lineRule="auto"/>
      <w:jc w:val="both"/>
    </w:pPr>
    <w:rPr>
      <w:rFonts w:ascii="Arial" w:hAnsi="Arial"/>
      <w:spacing w:val="-2"/>
      <w:sz w:val="22"/>
      <w:szCs w:val="22"/>
      <w:lang w:eastAsia="en-GB"/>
    </w:rPr>
  </w:style>
  <w:style w:type="paragraph" w:styleId="NormalWeb">
    <w:name w:val="Normal (Web)"/>
    <w:aliases w:val="webb"/>
    <w:basedOn w:val="Normal"/>
    <w:uiPriority w:val="99"/>
    <w:pPr>
      <w:spacing w:before="150" w:after="150"/>
      <w:ind w:left="675" w:right="525"/>
      <w:jc w:val="left"/>
    </w:pPr>
    <w:rPr>
      <w:sz w:val="19"/>
      <w:szCs w:val="19"/>
      <w:lang w:eastAsia="en-GB"/>
    </w:rPr>
  </w:style>
  <w:style w:type="paragraph" w:customStyle="1" w:styleId="Tyret1">
    <w:name w:val="Tyret 1"/>
    <w:basedOn w:val="ListDash"/>
    <w:pPr>
      <w:numPr>
        <w:numId w:val="26"/>
      </w:numPr>
      <w:tabs>
        <w:tab w:val="num" w:pos="1134"/>
      </w:tabs>
      <w:ind w:left="1134"/>
    </w:pPr>
  </w:style>
  <w:style w:type="character" w:styleId="FollowedHyperlink">
    <w:name w:val="FollowedHyperlink"/>
    <w:uiPriority w:val="99"/>
    <w:rPr>
      <w:rFonts w:cs="Times New Roman"/>
      <w:color w:val="800080"/>
      <w:u w:val="single"/>
      <w:shd w:val="clear" w:color="auto" w:fill="auto"/>
    </w:rPr>
  </w:style>
  <w:style w:type="paragraph" w:customStyle="1" w:styleId="4Chapeau">
    <w:name w:val="4 Chapeau"/>
    <w:basedOn w:val="Normal"/>
    <w:next w:val="Normal"/>
    <w:autoRedefine/>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before="600" w:after="240"/>
    </w:pPr>
    <w:rPr>
      <w:szCs w:val="22"/>
      <w:lang w:eastAsia="en-GB"/>
    </w:rPr>
  </w:style>
  <w:style w:type="paragraph" w:customStyle="1" w:styleId="Default">
    <w:name w:val="Default"/>
    <w:pPr>
      <w:autoSpaceDE w:val="0"/>
      <w:autoSpaceDN w:val="0"/>
      <w:adjustRightInd w:val="0"/>
      <w:spacing w:after="200" w:line="276" w:lineRule="auto"/>
    </w:pPr>
    <w:rPr>
      <w:rFonts w:ascii="EUAlbertina" w:hAnsi="EUAlbertina" w:cs="EUAlbertina"/>
      <w:color w:val="000000"/>
      <w:sz w:val="24"/>
      <w:szCs w:val="24"/>
      <w:lang w:eastAsia="en-GB"/>
    </w:rPr>
  </w:style>
  <w:style w:type="table" w:styleId="TableGrid">
    <w:name w:val="Table Grid"/>
    <w:basedOn w:val="TableNormal"/>
    <w:uiPriority w:val="59"/>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4">
    <w:name w:val="CM4"/>
    <w:basedOn w:val="Default"/>
    <w:next w:val="Default"/>
    <w:uiPriority w:val="99"/>
    <w:rPr>
      <w:rFonts w:cs="Times New Roman"/>
      <w:color w:val="auto"/>
    </w:r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character" w:styleId="CommentReference">
    <w:name w:val="annotation reference"/>
    <w:uiPriority w:val="99"/>
    <w:rPr>
      <w:sz w:val="16"/>
      <w:szCs w:val="16"/>
      <w:shd w:val="clear" w:color="auto" w:fill="auto"/>
    </w:rPr>
  </w:style>
  <w:style w:type="paragraph" w:styleId="CommentText">
    <w:name w:val="annotation text"/>
    <w:basedOn w:val="Normal"/>
    <w:link w:val="CommentTextChar1"/>
    <w:uiPriority w:val="99"/>
    <w:rPr>
      <w:sz w:val="20"/>
      <w:szCs w:val="20"/>
      <w:lang w:val="x-none"/>
    </w:rPr>
  </w:style>
  <w:style w:type="character" w:customStyle="1" w:styleId="CommentTextChar">
    <w:name w:val="Comment Text Char"/>
    <w:uiPriority w:val="99"/>
    <w:rPr>
      <w:shd w:val="clear" w:color="auto" w:fill="auto"/>
      <w:lang w:eastAsia="en-US"/>
    </w:rPr>
  </w:style>
  <w:style w:type="paragraph" w:styleId="CommentSubject">
    <w:name w:val="annotation subject"/>
    <w:basedOn w:val="Normal"/>
    <w:next w:val="CommentText"/>
    <w:link w:val="CommentSubjectChar"/>
    <w:uiPriority w:val="99"/>
    <w:rPr>
      <w:b/>
      <w:bCs/>
      <w:lang w:val="x-none"/>
    </w:rPr>
  </w:style>
  <w:style w:type="character" w:customStyle="1" w:styleId="CommentSubjectChar">
    <w:name w:val="Comment Subject Char"/>
    <w:link w:val="CommentSubject"/>
    <w:uiPriority w:val="99"/>
    <w:rPr>
      <w:b/>
      <w:bCs/>
      <w:sz w:val="24"/>
      <w:szCs w:val="24"/>
      <w:shd w:val="clear" w:color="auto" w:fill="auto"/>
      <w:lang w:val="x-none" w:eastAsia="en-US"/>
    </w:rPr>
  </w:style>
  <w:style w:type="paragraph" w:styleId="BalloonText">
    <w:name w:val="Balloon Text"/>
    <w:basedOn w:val="Normal"/>
    <w:link w:val="BalloonTextChar"/>
    <w:uiPriority w:val="99"/>
    <w:rPr>
      <w:rFonts w:ascii="Tahoma" w:hAnsi="Tahoma"/>
      <w:sz w:val="16"/>
      <w:szCs w:val="16"/>
      <w:lang w:val="x-none"/>
    </w:rPr>
  </w:style>
  <w:style w:type="character" w:customStyle="1" w:styleId="BalloonTextChar">
    <w:name w:val="Balloon Text Char"/>
    <w:link w:val="BalloonText"/>
    <w:uiPriority w:val="99"/>
    <w:rPr>
      <w:rFonts w:ascii="Tahoma" w:hAnsi="Tahoma"/>
      <w:sz w:val="16"/>
      <w:szCs w:val="16"/>
      <w:shd w:val="clear" w:color="auto" w:fill="auto"/>
      <w:lang w:val="x-none" w:eastAsia="en-US"/>
    </w:rPr>
  </w:style>
  <w:style w:type="paragraph" w:styleId="Caption">
    <w:name w:val="caption"/>
    <w:basedOn w:val="Normal"/>
    <w:next w:val="Normal"/>
    <w:uiPriority w:val="35"/>
    <w:qFormat/>
    <w:rPr>
      <w:b/>
      <w:bCs/>
      <w:sz w:val="20"/>
      <w:szCs w:val="20"/>
      <w:lang w:eastAsia="en-GB"/>
    </w:rPr>
  </w:style>
  <w:style w:type="paragraph" w:styleId="TableofFigures">
    <w:name w:val="table of figures"/>
    <w:basedOn w:val="Normal"/>
    <w:next w:val="Normal"/>
    <w:uiPriority w:val="99"/>
    <w:rPr>
      <w:szCs w:val="22"/>
      <w:lang w:eastAsia="en-GB"/>
    </w:rPr>
  </w:style>
  <w:style w:type="paragraph" w:customStyle="1" w:styleId="Pa14">
    <w:name w:val="Pa14"/>
    <w:basedOn w:val="Default"/>
    <w:next w:val="Default"/>
    <w:pPr>
      <w:spacing w:line="201" w:lineRule="atLeast"/>
    </w:pPr>
    <w:rPr>
      <w:rFonts w:ascii="Palatino Linotype" w:hAnsi="Palatino Linotype" w:cs="Times New Roman"/>
      <w:color w:val="auto"/>
    </w:rPr>
  </w:style>
  <w:style w:type="character" w:customStyle="1" w:styleId="A10">
    <w:name w:val="A10"/>
    <w:rPr>
      <w:rFonts w:cs="Palatino Linotype"/>
      <w:color w:val="000000"/>
      <w:sz w:val="11"/>
      <w:szCs w:val="11"/>
    </w:rPr>
  </w:style>
  <w:style w:type="paragraph" w:styleId="Revision">
    <w:name w:val="Revision"/>
    <w:hidden/>
    <w:uiPriority w:val="99"/>
    <w:semiHidden/>
    <w:pPr>
      <w:spacing w:after="200" w:line="276" w:lineRule="auto"/>
    </w:pPr>
    <w:rPr>
      <w:sz w:val="24"/>
      <w:szCs w:val="24"/>
      <w:lang w:eastAsia="en-US"/>
    </w:rPr>
  </w:style>
  <w:style w:type="paragraph" w:styleId="ListParagraph">
    <w:name w:val="List Paragraph"/>
    <w:aliases w:val="Head 2"/>
    <w:basedOn w:val="Normal"/>
    <w:link w:val="ListParagraphChar"/>
    <w:autoRedefine/>
    <w:uiPriority w:val="34"/>
    <w:qFormat/>
    <w:pPr>
      <w:numPr>
        <w:numId w:val="39"/>
      </w:numPr>
      <w:spacing w:before="0" w:after="0"/>
    </w:pPr>
    <w:rPr>
      <w:rFonts w:eastAsia="Calibri"/>
      <w:szCs w:val="22"/>
      <w:lang w:val="x-none" w:eastAsia="x-none"/>
    </w:rPr>
  </w:style>
  <w:style w:type="paragraph" w:customStyle="1" w:styleId="astandard3520normal">
    <w:name w:val="a_standard__35__20_normal"/>
    <w:basedOn w:val="Normal"/>
    <w:pPr>
      <w:spacing w:before="0"/>
      <w:ind w:right="57"/>
    </w:pPr>
    <w:rPr>
      <w:szCs w:val="22"/>
      <w:lang w:eastAsia="en-GB"/>
    </w:rPr>
  </w:style>
  <w:style w:type="paragraph" w:customStyle="1" w:styleId="astandardsous-titre201">
    <w:name w:val="a_standard_sous-titre_20_1"/>
    <w:basedOn w:val="Normal"/>
    <w:pPr>
      <w:spacing w:before="240" w:after="80"/>
      <w:ind w:right="57"/>
      <w:jc w:val="left"/>
    </w:pPr>
    <w:rPr>
      <w:b/>
      <w:bCs/>
      <w:szCs w:val="22"/>
      <w:lang w:eastAsia="en-GB"/>
    </w:rPr>
  </w:style>
  <w:style w:type="paragraph" w:customStyle="1" w:styleId="a3520normalp9">
    <w:name w:val="a__35__20_normal_p9"/>
    <w:basedOn w:val="Normal"/>
    <w:pPr>
      <w:spacing w:before="0"/>
      <w:ind w:right="57"/>
    </w:pPr>
    <w:rPr>
      <w:szCs w:val="22"/>
      <w:lang w:eastAsia="en-GB"/>
    </w:rPr>
  </w:style>
  <w:style w:type="character" w:customStyle="1" w:styleId="at12">
    <w:name w:val="a__t12"/>
    <w:rPr>
      <w:i/>
      <w:iCs/>
    </w:rPr>
  </w:style>
  <w:style w:type="character" w:customStyle="1" w:styleId="at61">
    <w:name w:val="a__t61"/>
    <w:rPr>
      <w:b/>
      <w:bCs/>
    </w:rPr>
  </w:style>
  <w:style w:type="character" w:customStyle="1" w:styleId="at8">
    <w:name w:val="a__t8"/>
  </w:style>
  <w:style w:type="character" w:customStyle="1" w:styleId="afootnote20symbol1">
    <w:name w:val="a__footnote_20_symbol1"/>
    <w:rPr>
      <w:b/>
      <w:bCs/>
    </w:rPr>
  </w:style>
  <w:style w:type="character" w:customStyle="1" w:styleId="CommentTextChar1">
    <w:name w:val="Comment Text Char1"/>
    <w:link w:val="CommentText"/>
    <w:rPr>
      <w:lang w:val="x-none" w:eastAsia="en-US"/>
    </w:rPr>
  </w:style>
  <w:style w:type="paragraph" w:styleId="EndnoteText">
    <w:name w:val="endnote text"/>
    <w:basedOn w:val="Normal"/>
    <w:link w:val="EndnoteTextChar"/>
    <w:uiPriority w:val="99"/>
    <w:rPr>
      <w:sz w:val="20"/>
      <w:szCs w:val="20"/>
      <w:lang w:val="x-none"/>
    </w:rPr>
  </w:style>
  <w:style w:type="character" w:customStyle="1" w:styleId="EndnoteTextChar">
    <w:name w:val="Endnote Text Char"/>
    <w:link w:val="EndnoteText"/>
    <w:uiPriority w:val="99"/>
    <w:rPr>
      <w:shd w:val="clear" w:color="auto" w:fill="auto"/>
      <w:lang w:val="x-none" w:eastAsia="en-US"/>
    </w:rPr>
  </w:style>
  <w:style w:type="character" w:customStyle="1" w:styleId="FootnoteTextChar3">
    <w:name w:val="Footnote Text Char3"/>
    <w:aliases w:val="Footnote Char2,-E Fußnotentext Char2,Fußnotentext Ursprung Char2,Fußnote Char2,footnote text Char2,(Diplomarbeit) Char,(Diplomarbeit)1 Char,(Diplomarbeit)2 Char,(Diplomarbeit)3 Char,(Diplomarbeit)4 Char,(Diplomarbeit)5 Char"/>
    <w:locked/>
    <w:rPr>
      <w:rFonts w:ascii="Verdana" w:eastAsia="Times New Roman" w:hAnsi="Verdana"/>
      <w:sz w:val="16"/>
      <w:lang w:eastAsia="en-US"/>
    </w:rPr>
  </w:style>
  <w:style w:type="character" w:customStyle="1" w:styleId="Text1Char">
    <w:name w:val="Text 1 Char"/>
    <w:rPr>
      <w:sz w:val="24"/>
      <w:szCs w:val="24"/>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szCs w:val="22"/>
      <w:lang w:val="x-none"/>
    </w:rPr>
  </w:style>
  <w:style w:type="character" w:customStyle="1" w:styleId="FooterCoverPageChar">
    <w:name w:val="Footer Cover Page Char"/>
    <w:link w:val="FooterCoverPage"/>
    <w:rPr>
      <w:rFonts w:eastAsia="Calibri"/>
      <w:sz w:val="24"/>
      <w:szCs w:val="22"/>
      <w:lang w:val="x-none" w:eastAsia="en-US"/>
    </w:rPr>
  </w:style>
  <w:style w:type="paragraph" w:customStyle="1" w:styleId="HeaderCoverPage">
    <w:name w:val="Header Cover Page"/>
    <w:basedOn w:val="Normal"/>
    <w:link w:val="HeaderCoverPageChar"/>
    <w:pPr>
      <w:tabs>
        <w:tab w:val="center" w:pos="4535"/>
        <w:tab w:val="right" w:pos="9071"/>
      </w:tabs>
      <w:spacing w:before="0"/>
    </w:pPr>
    <w:rPr>
      <w:rFonts w:eastAsia="Calibri"/>
      <w:szCs w:val="22"/>
      <w:lang w:val="x-none"/>
    </w:rPr>
  </w:style>
  <w:style w:type="character" w:customStyle="1" w:styleId="HeaderCoverPageChar">
    <w:name w:val="Header Cover Page Char"/>
    <w:link w:val="HeaderCoverPage"/>
    <w:rPr>
      <w:rFonts w:eastAsia="Calibri"/>
      <w:sz w:val="24"/>
      <w:szCs w:val="22"/>
      <w:lang w:val="x-none" w:eastAsia="en-US"/>
    </w:rPr>
  </w:style>
  <w:style w:type="numbering" w:customStyle="1" w:styleId="NoList1">
    <w:name w:val="No List1"/>
    <w:next w:val="NoList"/>
    <w:uiPriority w:val="99"/>
    <w:semiHidden/>
    <w:unhideWhenUsed/>
  </w:style>
  <w:style w:type="paragraph" w:customStyle="1" w:styleId="FoonoteText">
    <w:name w:val="Foonote Text"/>
    <w:basedOn w:val="Normal"/>
    <w:autoRedefine/>
    <w:pPr>
      <w:tabs>
        <w:tab w:val="left" w:pos="425"/>
      </w:tabs>
      <w:autoSpaceDE w:val="0"/>
      <w:autoSpaceDN w:val="0"/>
      <w:adjustRightInd w:val="0"/>
      <w:spacing w:before="40" w:after="40"/>
      <w:ind w:left="425" w:hanging="425"/>
    </w:pPr>
    <w:rPr>
      <w:sz w:val="16"/>
      <w:szCs w:val="16"/>
      <w:lang w:eastAsia="en-GB"/>
    </w:rPr>
  </w:style>
  <w:style w:type="character" w:styleId="PageNumber">
    <w:name w:val="page number"/>
    <w:uiPriority w:val="99"/>
    <w:rPr>
      <w:shd w:val="clear" w:color="auto" w:fill="auto"/>
    </w:rPr>
  </w:style>
  <w:style w:type="paragraph" w:customStyle="1" w:styleId="Source">
    <w:name w:val="Source"/>
    <w:basedOn w:val="Normal"/>
    <w:next w:val="Normal"/>
    <w:pPr>
      <w:keepLines/>
      <w:tabs>
        <w:tab w:val="left" w:pos="1134"/>
      </w:tabs>
      <w:spacing w:before="60" w:after="240"/>
      <w:ind w:left="1134" w:hanging="1134"/>
      <w:jc w:val="left"/>
    </w:pPr>
    <w:rPr>
      <w:rFonts w:ascii="Arial" w:hAnsi="Arial"/>
      <w:sz w:val="18"/>
      <w:szCs w:val="22"/>
      <w:lang w:eastAsia="en-GB"/>
    </w:rPr>
  </w:style>
  <w:style w:type="paragraph" w:customStyle="1" w:styleId="Annex">
    <w:name w:val="Annex"/>
    <w:basedOn w:val="Heading1"/>
    <w:next w:val="Normal"/>
    <w:pPr>
      <w:pageBreakBefore/>
      <w:numPr>
        <w:numId w:val="0"/>
      </w:numPr>
      <w:tabs>
        <w:tab w:val="num" w:pos="283"/>
        <w:tab w:val="num" w:pos="709"/>
        <w:tab w:val="num" w:pos="926"/>
        <w:tab w:val="num" w:pos="1134"/>
        <w:tab w:val="num" w:pos="1984"/>
        <w:tab w:val="num" w:pos="2517"/>
      </w:tabs>
      <w:spacing w:before="0" w:after="480"/>
      <w:ind w:left="717" w:hanging="283"/>
      <w:jc w:val="left"/>
    </w:pPr>
    <w:rPr>
      <w:rFonts w:ascii="Verdana" w:hAnsi="Verdana" w:cs="Arial"/>
      <w:smallCaps w:val="0"/>
      <w:kern w:val="32"/>
      <w:sz w:val="44"/>
      <w:szCs w:val="28"/>
      <w:lang w:eastAsia="en-GB"/>
    </w:rPr>
  </w:style>
  <w:style w:type="paragraph" w:customStyle="1" w:styleId="BoxTitle">
    <w:name w:val="Box Title"/>
    <w:basedOn w:val="Heading2"/>
    <w:next w:val="Normal"/>
    <w:pPr>
      <w:numPr>
        <w:ilvl w:val="0"/>
        <w:numId w:val="31"/>
      </w:numPr>
      <w:pBdr>
        <w:top w:val="single" w:sz="4" w:space="1" w:color="auto"/>
        <w:left w:val="single" w:sz="4" w:space="4" w:color="auto"/>
        <w:bottom w:val="single" w:sz="4" w:space="1" w:color="auto"/>
        <w:right w:val="single" w:sz="4" w:space="4" w:color="auto"/>
      </w:pBdr>
      <w:shd w:val="clear" w:color="auto" w:fill="CCCCCC"/>
      <w:tabs>
        <w:tab w:val="clear" w:pos="2520"/>
        <w:tab w:val="num" w:pos="643"/>
        <w:tab w:val="num" w:pos="709"/>
        <w:tab w:val="num" w:pos="1134"/>
      </w:tabs>
      <w:spacing w:before="240" w:after="240"/>
      <w:ind w:left="1151" w:hanging="794"/>
      <w:jc w:val="left"/>
    </w:pPr>
    <w:rPr>
      <w:rFonts w:ascii="Arial" w:hAnsi="Arial" w:cs="Arial"/>
      <w:iCs w:val="0"/>
      <w:sz w:val="22"/>
      <w:szCs w:val="26"/>
      <w:lang w:eastAsia="en-GB"/>
    </w:rPr>
  </w:style>
  <w:style w:type="paragraph" w:customStyle="1" w:styleId="FigureTitle">
    <w:name w:val="Figure Title"/>
    <w:basedOn w:val="Heading2"/>
    <w:next w:val="Normal"/>
    <w:pPr>
      <w:numPr>
        <w:ilvl w:val="0"/>
        <w:numId w:val="0"/>
      </w:numPr>
      <w:tabs>
        <w:tab w:val="num" w:pos="850"/>
        <w:tab w:val="num" w:pos="1134"/>
        <w:tab w:val="num" w:pos="1560"/>
        <w:tab w:val="num" w:pos="1984"/>
      </w:tabs>
      <w:spacing w:before="240" w:after="240"/>
      <w:ind w:left="1151" w:hanging="794"/>
      <w:jc w:val="left"/>
    </w:pPr>
    <w:rPr>
      <w:rFonts w:ascii="Arial" w:hAnsi="Arial" w:cs="Arial"/>
      <w:iCs w:val="0"/>
      <w:sz w:val="22"/>
      <w:szCs w:val="26"/>
      <w:lang w:eastAsia="en-GB"/>
    </w:rPr>
  </w:style>
  <w:style w:type="paragraph" w:customStyle="1" w:styleId="MapTitle">
    <w:name w:val="Map Title"/>
    <w:basedOn w:val="Heading2"/>
    <w:next w:val="Normal"/>
    <w:pPr>
      <w:numPr>
        <w:ilvl w:val="0"/>
        <w:numId w:val="0"/>
      </w:numPr>
      <w:tabs>
        <w:tab w:val="num" w:pos="283"/>
        <w:tab w:val="num" w:pos="1417"/>
        <w:tab w:val="num" w:pos="2268"/>
        <w:tab w:val="num" w:pos="3118"/>
      </w:tabs>
      <w:spacing w:before="240" w:after="240"/>
      <w:ind w:left="1151" w:hanging="794"/>
      <w:jc w:val="left"/>
    </w:pPr>
    <w:rPr>
      <w:rFonts w:ascii="Arial" w:hAnsi="Arial" w:cs="Arial"/>
      <w:iCs w:val="0"/>
      <w:sz w:val="22"/>
      <w:szCs w:val="26"/>
      <w:lang w:eastAsia="en-GB"/>
    </w:rPr>
  </w:style>
  <w:style w:type="paragraph" w:customStyle="1" w:styleId="Smiley-Negative">
    <w:name w:val="Smiley - Negative"/>
    <w:basedOn w:val="Normal"/>
    <w:pPr>
      <w:tabs>
        <w:tab w:val="num" w:pos="1134"/>
        <w:tab w:val="num" w:pos="1560"/>
        <w:tab w:val="num" w:pos="1984"/>
      </w:tabs>
      <w:spacing w:before="0" w:after="0"/>
      <w:ind w:left="360" w:hanging="567"/>
      <w:jc w:val="left"/>
    </w:pPr>
    <w:rPr>
      <w:sz w:val="22"/>
      <w:szCs w:val="22"/>
      <w:lang w:eastAsia="en-GB"/>
    </w:rPr>
  </w:style>
  <w:style w:type="paragraph" w:customStyle="1" w:styleId="Smiley-Neutral">
    <w:name w:val="Smiley - Neutral"/>
    <w:basedOn w:val="Normal"/>
    <w:pPr>
      <w:tabs>
        <w:tab w:val="num" w:pos="709"/>
        <w:tab w:val="num" w:pos="1134"/>
        <w:tab w:val="num" w:pos="2551"/>
      </w:tabs>
      <w:spacing w:before="0" w:after="0"/>
      <w:ind w:left="360" w:hanging="567"/>
      <w:jc w:val="left"/>
    </w:pPr>
    <w:rPr>
      <w:sz w:val="22"/>
      <w:szCs w:val="22"/>
      <w:lang w:eastAsia="en-GB"/>
    </w:rPr>
  </w:style>
  <w:style w:type="paragraph" w:customStyle="1" w:styleId="Smiley-Positive">
    <w:name w:val="Smiley - Positive"/>
    <w:basedOn w:val="Normal"/>
    <w:pPr>
      <w:tabs>
        <w:tab w:val="num" w:pos="283"/>
        <w:tab w:val="num" w:pos="1134"/>
        <w:tab w:val="num" w:pos="1209"/>
        <w:tab w:val="num" w:pos="3118"/>
      </w:tabs>
      <w:spacing w:before="0" w:after="0"/>
      <w:ind w:left="3118" w:hanging="283"/>
      <w:jc w:val="left"/>
    </w:pPr>
    <w:rPr>
      <w:sz w:val="22"/>
      <w:szCs w:val="22"/>
      <w:lang w:eastAsia="en-GB"/>
    </w:rPr>
  </w:style>
  <w:style w:type="paragraph" w:customStyle="1" w:styleId="TableText">
    <w:name w:val="Table Text"/>
    <w:basedOn w:val="Normal"/>
    <w:next w:val="Normal"/>
    <w:pPr>
      <w:overflowPunct w:val="0"/>
      <w:autoSpaceDE w:val="0"/>
      <w:autoSpaceDN w:val="0"/>
      <w:adjustRightInd w:val="0"/>
      <w:spacing w:before="0" w:after="0"/>
      <w:ind w:left="357"/>
      <w:jc w:val="left"/>
      <w:textAlignment w:val="baseline"/>
    </w:pPr>
    <w:rPr>
      <w:rFonts w:ascii="Arial" w:hAnsi="Arial"/>
      <w:sz w:val="18"/>
      <w:szCs w:val="20"/>
      <w:lang w:eastAsia="en-GB"/>
    </w:rPr>
  </w:style>
  <w:style w:type="paragraph" w:customStyle="1" w:styleId="Cover-title3">
    <w:name w:val="Cover - title 3"/>
    <w:basedOn w:val="Normal"/>
    <w:next w:val="Normal"/>
    <w:pPr>
      <w:overflowPunct w:val="0"/>
      <w:autoSpaceDE w:val="0"/>
      <w:autoSpaceDN w:val="0"/>
      <w:adjustRightInd w:val="0"/>
      <w:spacing w:before="60" w:after="80"/>
      <w:jc w:val="right"/>
      <w:textAlignment w:val="baseline"/>
    </w:pPr>
    <w:rPr>
      <w:rFonts w:ascii="Avenir 55" w:hAnsi="Avenir 55"/>
      <w:b/>
      <w:sz w:val="22"/>
      <w:szCs w:val="20"/>
      <w:lang w:eastAsia="en-GB"/>
    </w:rPr>
  </w:style>
  <w:style w:type="paragraph" w:customStyle="1" w:styleId="KeyMessage0">
    <w:name w:val="KeyMessage"/>
    <w:basedOn w:val="Normal"/>
    <w:next w:val="Normal"/>
    <w:pPr>
      <w:keepLines/>
      <w:shd w:val="clear" w:color="auto" w:fill="F3F3F3"/>
      <w:tabs>
        <w:tab w:val="left" w:pos="540"/>
      </w:tabs>
      <w:spacing w:before="80" w:after="80"/>
      <w:ind w:left="540" w:hanging="540"/>
      <w:jc w:val="left"/>
    </w:pPr>
    <w:rPr>
      <w:rFonts w:ascii="Verdana" w:hAnsi="Verdana"/>
      <w:noProof/>
      <w:sz w:val="20"/>
      <w:szCs w:val="22"/>
      <w:lang w:eastAsia="en-GB"/>
    </w:rPr>
  </w:style>
  <w:style w:type="paragraph" w:customStyle="1" w:styleId="punkte">
    <w:name w:val="punkte"/>
    <w:basedOn w:val="Normal"/>
    <w:pPr>
      <w:tabs>
        <w:tab w:val="num" w:pos="850"/>
        <w:tab w:val="num" w:pos="1134"/>
        <w:tab w:val="num" w:pos="2517"/>
      </w:tabs>
      <w:spacing w:before="0" w:after="0"/>
      <w:ind w:left="360" w:hanging="850"/>
      <w:jc w:val="left"/>
    </w:pPr>
    <w:rPr>
      <w:szCs w:val="20"/>
      <w:lang w:eastAsia="en-GB"/>
    </w:rPr>
  </w:style>
  <w:style w:type="paragraph" w:customStyle="1" w:styleId="FormatvorlageBeschriftungPalatinoLinotype">
    <w:name w:val="Formatvorlage Beschriftung + Palatino Linotype"/>
    <w:basedOn w:val="Caption"/>
    <w:autoRedefine/>
    <w:pPr>
      <w:keepNext/>
      <w:keepLines/>
      <w:pBdr>
        <w:top w:val="single" w:sz="4" w:space="1" w:color="auto"/>
        <w:bottom w:val="single" w:sz="4" w:space="1" w:color="auto"/>
      </w:pBdr>
      <w:shd w:val="clear" w:color="auto" w:fill="E6E6E6"/>
      <w:tabs>
        <w:tab w:val="left" w:pos="1418"/>
      </w:tabs>
      <w:spacing w:before="240" w:after="80"/>
      <w:ind w:left="1440" w:hanging="1440"/>
      <w:jc w:val="left"/>
    </w:pPr>
    <w:rPr>
      <w:rFonts w:ascii="Verdana" w:hAnsi="Verdana"/>
    </w:rPr>
  </w:style>
  <w:style w:type="paragraph" w:customStyle="1" w:styleId="font5">
    <w:name w:val="font5"/>
    <w:basedOn w:val="Normal"/>
    <w:pPr>
      <w:spacing w:before="100" w:beforeAutospacing="1" w:after="100" w:afterAutospacing="1"/>
      <w:jc w:val="left"/>
    </w:pPr>
    <w:rPr>
      <w:sz w:val="16"/>
      <w:szCs w:val="16"/>
      <w:lang w:val="en-US" w:eastAsia="en-GB"/>
    </w:rPr>
  </w:style>
  <w:style w:type="paragraph" w:customStyle="1" w:styleId="xl45">
    <w:name w:val="xl45"/>
    <w:basedOn w:val="Normal"/>
    <w:pPr>
      <w:pBdr>
        <w:top w:val="single" w:sz="4" w:space="0" w:color="auto"/>
        <w:left w:val="single" w:sz="8" w:space="0" w:color="auto"/>
        <w:bottom w:val="single" w:sz="4" w:space="0" w:color="auto"/>
        <w:right w:val="single" w:sz="4" w:space="0" w:color="auto"/>
      </w:pBdr>
      <w:shd w:val="clear" w:color="auto" w:fill="C0C0C0"/>
      <w:spacing w:before="100" w:beforeAutospacing="1" w:after="100" w:afterAutospacing="1"/>
      <w:jc w:val="left"/>
    </w:pPr>
    <w:rPr>
      <w:b/>
      <w:bCs/>
      <w:sz w:val="16"/>
      <w:szCs w:val="16"/>
      <w:lang w:val="en-US" w:eastAsia="en-GB"/>
    </w:rPr>
  </w:style>
  <w:style w:type="paragraph" w:customStyle="1" w:styleId="xl46">
    <w:name w:val="xl4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US" w:eastAsia="en-GB"/>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2"/>
      <w:lang w:val="en-US" w:eastAsia="en-GB"/>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2"/>
      <w:lang w:val="en-US" w:eastAsia="en-GB"/>
    </w:rPr>
  </w:style>
  <w:style w:type="paragraph" w:customStyle="1" w:styleId="xl49">
    <w:name w:val="xl49"/>
    <w:basedOn w:val="Normal"/>
    <w:pPr>
      <w:pBdr>
        <w:top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1">
    <w:name w:val="xl51"/>
    <w:basedOn w:val="Normal"/>
    <w:pPr>
      <w:pBdr>
        <w:top w:val="single" w:sz="4" w:space="0" w:color="auto"/>
        <w:left w:val="single" w:sz="4" w:space="0" w:color="auto"/>
        <w:bottom w:val="single" w:sz="4" w:space="0" w:color="auto"/>
        <w:right w:val="single" w:sz="8"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2">
    <w:name w:val="xl52"/>
    <w:basedOn w:val="Normal"/>
    <w:pPr>
      <w:pBdr>
        <w:left w:val="single" w:sz="8" w:space="0" w:color="auto"/>
        <w:bottom w:val="single" w:sz="4" w:space="0" w:color="auto"/>
      </w:pBdr>
      <w:shd w:val="clear" w:color="auto" w:fill="C0C0C0"/>
      <w:spacing w:before="100" w:beforeAutospacing="1" w:after="100" w:afterAutospacing="1"/>
      <w:jc w:val="left"/>
      <w:textAlignment w:val="center"/>
    </w:pPr>
    <w:rPr>
      <w:b/>
      <w:bCs/>
      <w:sz w:val="16"/>
      <w:szCs w:val="16"/>
      <w:lang w:val="en-US" w:eastAsia="en-GB"/>
    </w:rPr>
  </w:style>
  <w:style w:type="paragraph" w:customStyle="1" w:styleId="xl53">
    <w:name w:val="xl53"/>
    <w:basedOn w:val="Normal"/>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4">
    <w:name w:val="xl54"/>
    <w:basedOn w:val="Normal"/>
    <w:pPr>
      <w:pBdr>
        <w:left w:val="single" w:sz="8" w:space="0" w:color="auto"/>
        <w:bottom w:val="single" w:sz="8" w:space="0" w:color="auto"/>
      </w:pBdr>
      <w:shd w:val="clear" w:color="auto" w:fill="C0C0C0"/>
      <w:spacing w:before="100" w:beforeAutospacing="1" w:after="100" w:afterAutospacing="1"/>
      <w:jc w:val="left"/>
      <w:textAlignment w:val="center"/>
    </w:pPr>
    <w:rPr>
      <w:b/>
      <w:bCs/>
      <w:sz w:val="16"/>
      <w:szCs w:val="16"/>
      <w:lang w:val="en-US" w:eastAsia="en-GB"/>
    </w:rPr>
  </w:style>
  <w:style w:type="paragraph" w:customStyle="1" w:styleId="xl55">
    <w:name w:val="xl55"/>
    <w:basedOn w:val="Normal"/>
    <w:pPr>
      <w:pBdr>
        <w:top w:val="single" w:sz="4" w:space="0" w:color="auto"/>
        <w:left w:val="single" w:sz="4" w:space="0" w:color="auto"/>
        <w:bottom w:val="single" w:sz="8" w:space="0" w:color="auto"/>
        <w:right w:val="single" w:sz="4"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6">
    <w:name w:val="xl56"/>
    <w:basedOn w:val="Normal"/>
    <w:pPr>
      <w:pBdr>
        <w:top w:val="single" w:sz="4" w:space="0" w:color="auto"/>
        <w:left w:val="single" w:sz="4" w:space="0" w:color="auto"/>
        <w:bottom w:val="single" w:sz="8" w:space="0" w:color="auto"/>
        <w:right w:val="single" w:sz="8"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7">
    <w:name w:val="xl57"/>
    <w:basedOn w:val="Normal"/>
    <w:pPr>
      <w:pBdr>
        <w:top w:val="single" w:sz="8" w:space="0" w:color="auto"/>
        <w:left w:val="single" w:sz="8" w:space="0" w:color="auto"/>
      </w:pBdr>
      <w:shd w:val="clear" w:color="auto" w:fill="C0C0C0"/>
      <w:spacing w:before="100" w:beforeAutospacing="1" w:after="100" w:afterAutospacing="1"/>
      <w:jc w:val="center"/>
      <w:textAlignment w:val="center"/>
    </w:pPr>
    <w:rPr>
      <w:sz w:val="16"/>
      <w:szCs w:val="16"/>
      <w:lang w:val="en-US" w:eastAsia="en-GB"/>
    </w:rPr>
  </w:style>
  <w:style w:type="paragraph" w:customStyle="1" w:styleId="xl58">
    <w:name w:val="xl58"/>
    <w:basedOn w:val="Normal"/>
    <w:pPr>
      <w:pBdr>
        <w:top w:val="single" w:sz="8" w:space="0" w:color="auto"/>
      </w:pBdr>
      <w:shd w:val="clear" w:color="auto" w:fill="FFCC99"/>
      <w:spacing w:before="100" w:beforeAutospacing="1" w:after="100" w:afterAutospacing="1"/>
      <w:jc w:val="center"/>
      <w:textAlignment w:val="center"/>
    </w:pPr>
    <w:rPr>
      <w:sz w:val="16"/>
      <w:szCs w:val="16"/>
      <w:lang w:val="en-US" w:eastAsia="en-GB"/>
    </w:rPr>
  </w:style>
  <w:style w:type="paragraph" w:customStyle="1" w:styleId="xl59">
    <w:name w:val="xl59"/>
    <w:basedOn w:val="Normal"/>
    <w:pPr>
      <w:pBdr>
        <w:top w:val="single" w:sz="8" w:space="0" w:color="auto"/>
        <w:right w:val="single" w:sz="8" w:space="0" w:color="auto"/>
      </w:pBdr>
      <w:shd w:val="clear" w:color="auto" w:fill="FFCC99"/>
      <w:spacing w:before="100" w:beforeAutospacing="1" w:after="100" w:afterAutospacing="1"/>
      <w:jc w:val="center"/>
      <w:textAlignment w:val="center"/>
    </w:pPr>
    <w:rPr>
      <w:sz w:val="16"/>
      <w:szCs w:val="16"/>
      <w:lang w:val="en-US" w:eastAsia="en-GB"/>
    </w:rPr>
  </w:style>
  <w:style w:type="paragraph" w:customStyle="1" w:styleId="xl60">
    <w:name w:val="xl60"/>
    <w:basedOn w:val="Normal"/>
    <w:pPr>
      <w:pBdr>
        <w:left w:val="single" w:sz="8" w:space="0" w:color="auto"/>
        <w:bottom w:val="single" w:sz="4" w:space="0" w:color="auto"/>
      </w:pBdr>
      <w:shd w:val="clear" w:color="auto" w:fill="C0C0C0"/>
      <w:spacing w:before="100" w:beforeAutospacing="1" w:after="100" w:afterAutospacing="1"/>
      <w:jc w:val="center"/>
      <w:textAlignment w:val="center"/>
    </w:pPr>
    <w:rPr>
      <w:sz w:val="16"/>
      <w:szCs w:val="16"/>
      <w:lang w:val="en-US" w:eastAsia="en-GB"/>
    </w:rPr>
  </w:style>
  <w:style w:type="paragraph" w:customStyle="1" w:styleId="xl61">
    <w:name w:val="xl61"/>
    <w:basedOn w:val="Normal"/>
    <w:pPr>
      <w:pBdr>
        <w:bottom w:val="single" w:sz="4" w:space="0" w:color="auto"/>
      </w:pBdr>
      <w:shd w:val="clear" w:color="auto" w:fill="FFCC99"/>
      <w:spacing w:before="100" w:beforeAutospacing="1" w:after="100" w:afterAutospacing="1"/>
      <w:jc w:val="center"/>
      <w:textAlignment w:val="center"/>
    </w:pPr>
    <w:rPr>
      <w:sz w:val="16"/>
      <w:szCs w:val="16"/>
      <w:lang w:val="en-US" w:eastAsia="en-GB"/>
    </w:rPr>
  </w:style>
  <w:style w:type="paragraph" w:customStyle="1" w:styleId="xl62">
    <w:name w:val="xl62"/>
    <w:basedOn w:val="Normal"/>
    <w:pPr>
      <w:pBdr>
        <w:bottom w:val="single" w:sz="4" w:space="0" w:color="auto"/>
        <w:right w:val="single" w:sz="8" w:space="0" w:color="auto"/>
      </w:pBdr>
      <w:shd w:val="clear" w:color="auto" w:fill="FFCC99"/>
      <w:spacing w:before="100" w:beforeAutospacing="1" w:after="100" w:afterAutospacing="1"/>
      <w:jc w:val="center"/>
      <w:textAlignment w:val="center"/>
    </w:pPr>
    <w:rPr>
      <w:sz w:val="16"/>
      <w:szCs w:val="16"/>
      <w:lang w:val="en-US" w:eastAsia="en-GB"/>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left"/>
    </w:pPr>
    <w:rPr>
      <w:sz w:val="16"/>
      <w:szCs w:val="16"/>
      <w:lang w:val="en-US" w:eastAsia="en-GB"/>
    </w:rPr>
  </w:style>
  <w:style w:type="paragraph" w:customStyle="1" w:styleId="font6">
    <w:name w:val="font6"/>
    <w:basedOn w:val="Normal"/>
    <w:pPr>
      <w:spacing w:before="100" w:beforeAutospacing="1" w:after="100" w:afterAutospacing="1"/>
      <w:jc w:val="left"/>
    </w:pPr>
    <w:rPr>
      <w:rFonts w:eastAsia="Arial Unicode MS"/>
      <w:b/>
      <w:bCs/>
      <w:sz w:val="16"/>
      <w:szCs w:val="16"/>
      <w:lang w:val="en-US" w:eastAsia="en-GB"/>
    </w:rPr>
  </w:style>
  <w:style w:type="paragraph" w:customStyle="1" w:styleId="xl44">
    <w:name w:val="xl44"/>
    <w:basedOn w:val="Normal"/>
    <w:pPr>
      <w:pBdr>
        <w:top w:val="single" w:sz="8" w:space="0" w:color="auto"/>
        <w:left w:val="single" w:sz="8" w:space="0" w:color="auto"/>
        <w:bottom w:val="single" w:sz="8" w:space="0" w:color="auto"/>
        <w:right w:val="single" w:sz="8" w:space="0" w:color="auto"/>
      </w:pBdr>
      <w:shd w:val="clear" w:color="auto" w:fill="CCCCFF"/>
      <w:spacing w:before="100" w:beforeAutospacing="1" w:after="100" w:afterAutospacing="1"/>
      <w:jc w:val="center"/>
      <w:textAlignment w:val="top"/>
    </w:pPr>
    <w:rPr>
      <w:rFonts w:eastAsia="Arial Unicode MS"/>
      <w:sz w:val="16"/>
      <w:szCs w:val="16"/>
      <w:lang w:val="en-US" w:eastAsia="en-GB"/>
    </w:rPr>
  </w:style>
  <w:style w:type="paragraph" w:customStyle="1" w:styleId="xl64">
    <w:name w:val="xl64"/>
    <w:basedOn w:val="Normal"/>
    <w:pPr>
      <w:pBdr>
        <w:top w:val="single" w:sz="8" w:space="0" w:color="auto"/>
        <w:left w:val="single" w:sz="8" w:space="0" w:color="auto"/>
        <w:right w:val="single" w:sz="8" w:space="0" w:color="auto"/>
      </w:pBdr>
      <w:shd w:val="clear" w:color="auto" w:fill="CCCCFF"/>
      <w:spacing w:before="100" w:beforeAutospacing="1" w:after="100" w:afterAutospacing="1"/>
      <w:jc w:val="left"/>
      <w:textAlignment w:val="top"/>
    </w:pPr>
    <w:rPr>
      <w:rFonts w:eastAsia="Arial Unicode MS"/>
      <w:sz w:val="16"/>
      <w:szCs w:val="16"/>
      <w:lang w:val="en-US" w:eastAsia="en-GB"/>
    </w:rPr>
  </w:style>
  <w:style w:type="paragraph" w:customStyle="1" w:styleId="xl65">
    <w:name w:val="xl65"/>
    <w:basedOn w:val="Normal"/>
    <w:pPr>
      <w:pBdr>
        <w:left w:val="single" w:sz="8" w:space="0" w:color="auto"/>
        <w:bottom w:val="single" w:sz="8" w:space="0" w:color="auto"/>
        <w:right w:val="single" w:sz="8" w:space="0" w:color="auto"/>
      </w:pBdr>
      <w:shd w:val="clear" w:color="auto" w:fill="CCCCFF"/>
      <w:spacing w:before="100" w:beforeAutospacing="1" w:after="100" w:afterAutospacing="1"/>
      <w:jc w:val="left"/>
      <w:textAlignment w:val="top"/>
    </w:pPr>
    <w:rPr>
      <w:rFonts w:eastAsia="Arial Unicode MS"/>
      <w:sz w:val="16"/>
      <w:szCs w:val="16"/>
      <w:lang w:val="en-US" w:eastAsia="en-GB"/>
    </w:rPr>
  </w:style>
  <w:style w:type="paragraph" w:customStyle="1" w:styleId="xl66">
    <w:name w:val="xl66"/>
    <w:basedOn w:val="Normal"/>
    <w:pPr>
      <w:pBdr>
        <w:left w:val="single" w:sz="8" w:space="0" w:color="auto"/>
        <w:right w:val="single" w:sz="8" w:space="0" w:color="auto"/>
      </w:pBdr>
      <w:shd w:val="clear" w:color="auto" w:fill="CCCCFF"/>
      <w:spacing w:before="100" w:beforeAutospacing="1" w:after="100" w:afterAutospacing="1"/>
      <w:jc w:val="center"/>
      <w:textAlignment w:val="top"/>
    </w:pPr>
    <w:rPr>
      <w:rFonts w:eastAsia="Arial Unicode MS"/>
      <w:sz w:val="16"/>
      <w:szCs w:val="16"/>
      <w:lang w:val="en-US" w:eastAsia="en-GB"/>
    </w:rPr>
  </w:style>
  <w:style w:type="paragraph" w:customStyle="1" w:styleId="xl67">
    <w:name w:val="xl67"/>
    <w:basedOn w:val="Normal"/>
    <w:pPr>
      <w:pBdr>
        <w:bottom w:val="single" w:sz="4"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68">
    <w:name w:val="xl68"/>
    <w:basedOn w:val="Normal"/>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69">
    <w:name w:val="xl69"/>
    <w:basedOn w:val="Normal"/>
    <w:pPr>
      <w:pBdr>
        <w:top w:val="single" w:sz="8" w:space="0" w:color="auto"/>
        <w:bottom w:val="single" w:sz="4"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70">
    <w:name w:val="xl70"/>
    <w:basedOn w:val="Normal"/>
    <w:pPr>
      <w:pBdr>
        <w:top w:val="single" w:sz="8" w:space="0" w:color="auto"/>
        <w:bottom w:val="single" w:sz="4" w:space="0" w:color="auto"/>
        <w:right w:val="single" w:sz="8" w:space="0" w:color="auto"/>
      </w:pBdr>
      <w:spacing w:before="100" w:beforeAutospacing="1" w:after="100" w:afterAutospacing="1"/>
      <w:jc w:val="center"/>
    </w:pPr>
    <w:rPr>
      <w:rFonts w:eastAsia="Arial Unicode MS"/>
      <w:sz w:val="16"/>
      <w:szCs w:val="16"/>
      <w:lang w:val="en-US" w:eastAsia="en-GB"/>
    </w:rPr>
  </w:style>
  <w:style w:type="paragraph" w:customStyle="1" w:styleId="xl71">
    <w:name w:val="xl71"/>
    <w:basedOn w:val="Normal"/>
    <w:pPr>
      <w:pBdr>
        <w:bottom w:val="single" w:sz="4" w:space="0" w:color="auto"/>
        <w:right w:val="single" w:sz="8" w:space="0" w:color="auto"/>
      </w:pBdr>
      <w:spacing w:before="100" w:beforeAutospacing="1" w:after="100" w:afterAutospacing="1"/>
      <w:jc w:val="center"/>
    </w:pPr>
    <w:rPr>
      <w:rFonts w:eastAsia="Arial Unicode MS"/>
      <w:sz w:val="16"/>
      <w:szCs w:val="16"/>
      <w:lang w:val="en-US" w:eastAsia="en-GB"/>
    </w:rPr>
  </w:style>
  <w:style w:type="paragraph" w:customStyle="1" w:styleId="xl72">
    <w:name w:val="xl72"/>
    <w:basedOn w:val="Normal"/>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73">
    <w:name w:val="xl73"/>
    <w:basedOn w:val="Normal"/>
    <w:pPr>
      <w:pBdr>
        <w:bottom w:val="single" w:sz="8"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74">
    <w:name w:val="xl74"/>
    <w:basedOn w:val="Normal"/>
    <w:pPr>
      <w:pBdr>
        <w:bottom w:val="single" w:sz="8" w:space="0" w:color="auto"/>
        <w:right w:val="single" w:sz="8" w:space="0" w:color="auto"/>
      </w:pBdr>
      <w:spacing w:before="100" w:beforeAutospacing="1" w:after="100" w:afterAutospacing="1"/>
      <w:jc w:val="center"/>
    </w:pPr>
    <w:rPr>
      <w:rFonts w:eastAsia="Arial Unicode MS"/>
      <w:sz w:val="16"/>
      <w:szCs w:val="16"/>
      <w:lang w:val="en-US" w:eastAsia="en-GB"/>
    </w:rPr>
  </w:style>
  <w:style w:type="paragraph" w:customStyle="1" w:styleId="xl75">
    <w:name w:val="xl75"/>
    <w:basedOn w:val="Normal"/>
    <w:pPr>
      <w:pBdr>
        <w:bottom w:val="single" w:sz="4" w:space="0" w:color="auto"/>
        <w:right w:val="single" w:sz="4" w:space="0" w:color="auto"/>
      </w:pBdr>
      <w:spacing w:before="100" w:beforeAutospacing="1" w:after="100" w:afterAutospacing="1"/>
      <w:jc w:val="center"/>
    </w:pPr>
    <w:rPr>
      <w:rFonts w:eastAsia="Arial Unicode MS"/>
      <w:b/>
      <w:bCs/>
      <w:sz w:val="16"/>
      <w:szCs w:val="16"/>
      <w:lang w:val="en-US" w:eastAsia="en-GB"/>
    </w:rPr>
  </w:style>
  <w:style w:type="paragraph" w:customStyle="1" w:styleId="xl76">
    <w:name w:val="xl76"/>
    <w:basedOn w:val="Normal"/>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b/>
      <w:bCs/>
      <w:sz w:val="16"/>
      <w:szCs w:val="16"/>
      <w:lang w:val="en-US" w:eastAsia="en-GB"/>
    </w:rPr>
  </w:style>
  <w:style w:type="paragraph" w:customStyle="1" w:styleId="xl77">
    <w:name w:val="xl77"/>
    <w:basedOn w:val="Normal"/>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b/>
      <w:bCs/>
      <w:sz w:val="16"/>
      <w:szCs w:val="16"/>
      <w:lang w:val="en-US" w:eastAsia="en-GB"/>
    </w:rPr>
  </w:style>
  <w:style w:type="paragraph" w:customStyle="1" w:styleId="xl78">
    <w:name w:val="xl78"/>
    <w:basedOn w:val="Normal"/>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b/>
      <w:bCs/>
      <w:sz w:val="16"/>
      <w:szCs w:val="16"/>
      <w:lang w:val="en-US" w:eastAsia="en-GB"/>
    </w:rPr>
  </w:style>
  <w:style w:type="paragraph" w:customStyle="1" w:styleId="xl79">
    <w:name w:val="xl79"/>
    <w:basedOn w:val="Normal"/>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b/>
      <w:bCs/>
      <w:sz w:val="16"/>
      <w:szCs w:val="16"/>
      <w:lang w:val="en-US" w:eastAsia="en-GB"/>
    </w:rPr>
  </w:style>
  <w:style w:type="paragraph" w:customStyle="1" w:styleId="EntInstit">
    <w:name w:val="EntInstit"/>
    <w:pPr>
      <w:spacing w:after="200" w:line="276" w:lineRule="auto"/>
      <w:jc w:val="right"/>
    </w:pPr>
    <w:rPr>
      <w:b/>
      <w:sz w:val="24"/>
      <w:szCs w:val="22"/>
      <w:lang w:eastAsia="fr-BE"/>
    </w:rPr>
  </w:style>
  <w:style w:type="paragraph" w:customStyle="1" w:styleId="NormalConseil">
    <w:name w:val="NormalConseil"/>
    <w:basedOn w:val="Normal"/>
    <w:pPr>
      <w:spacing w:before="0" w:after="0"/>
      <w:jc w:val="left"/>
    </w:pPr>
    <w:rPr>
      <w:szCs w:val="20"/>
      <w:lang w:eastAsia="fr-BE"/>
    </w:rPr>
  </w:style>
  <w:style w:type="paragraph" w:customStyle="1" w:styleId="EntRefer">
    <w:name w:val="EntRefer"/>
    <w:pPr>
      <w:spacing w:after="200" w:line="276" w:lineRule="auto"/>
    </w:pPr>
    <w:rPr>
      <w:b/>
      <w:sz w:val="24"/>
      <w:szCs w:val="22"/>
      <w:lang w:eastAsia="fr-BE"/>
    </w:rPr>
  </w:style>
  <w:style w:type="paragraph" w:customStyle="1" w:styleId="EntEmet">
    <w:name w:val="EntEmet"/>
    <w:pPr>
      <w:tabs>
        <w:tab w:val="left" w:pos="284"/>
        <w:tab w:val="left" w:pos="567"/>
        <w:tab w:val="left" w:pos="851"/>
        <w:tab w:val="left" w:pos="1134"/>
        <w:tab w:val="left" w:pos="1418"/>
      </w:tabs>
      <w:spacing w:before="40" w:after="200" w:line="276" w:lineRule="auto"/>
    </w:pPr>
    <w:rPr>
      <w:sz w:val="24"/>
      <w:szCs w:val="22"/>
      <w:lang w:eastAsia="fr-BE"/>
    </w:rPr>
  </w:style>
  <w:style w:type="paragraph" w:customStyle="1" w:styleId="EntLogo">
    <w:name w:val="EntLogo"/>
    <w:next w:val="EntInstit"/>
    <w:pPr>
      <w:spacing w:after="200" w:line="360" w:lineRule="auto"/>
    </w:pPr>
    <w:rPr>
      <w:b/>
      <w:sz w:val="24"/>
      <w:szCs w:val="22"/>
      <w:lang w:eastAsia="fr-BE"/>
    </w:rPr>
  </w:style>
  <w:style w:type="paragraph" w:customStyle="1" w:styleId="FooterConseil">
    <w:name w:val="FooterConseil"/>
    <w:pPr>
      <w:tabs>
        <w:tab w:val="center" w:pos="4820"/>
        <w:tab w:val="center" w:pos="7371"/>
        <w:tab w:val="right" w:pos="9639"/>
      </w:tabs>
      <w:spacing w:after="200" w:line="276" w:lineRule="auto"/>
    </w:pPr>
    <w:rPr>
      <w:sz w:val="24"/>
      <w:szCs w:val="22"/>
      <w:lang w:eastAsia="fr-BE"/>
    </w:rPr>
  </w:style>
  <w:style w:type="paragraph" w:customStyle="1" w:styleId="FigureCaption">
    <w:name w:val="Figure Caption"/>
    <w:basedOn w:val="Normal"/>
    <w:pPr>
      <w:spacing w:before="0" w:after="0"/>
      <w:jc w:val="left"/>
    </w:pPr>
    <w:rPr>
      <w:rFonts w:ascii="Arial" w:hAnsi="Arial"/>
      <w:sz w:val="22"/>
      <w:szCs w:val="22"/>
      <w:lang w:val="da-DK" w:eastAsia="en-GB"/>
    </w:rPr>
  </w:style>
  <w:style w:type="paragraph" w:customStyle="1" w:styleId="Question">
    <w:name w:val="Question"/>
    <w:basedOn w:val="Normal"/>
    <w:pPr>
      <w:pBdr>
        <w:top w:val="single" w:sz="4" w:space="1" w:color="auto"/>
        <w:left w:val="single" w:sz="4" w:space="4" w:color="auto"/>
        <w:bottom w:val="single" w:sz="4" w:space="1" w:color="auto"/>
        <w:right w:val="single" w:sz="4" w:space="4" w:color="auto"/>
      </w:pBdr>
      <w:spacing w:before="60" w:after="80"/>
      <w:jc w:val="left"/>
    </w:pPr>
    <w:rPr>
      <w:rFonts w:ascii="Arial Black" w:hAnsi="Arial Black"/>
      <w:sz w:val="22"/>
      <w:szCs w:val="22"/>
      <w:lang w:eastAsia="de-DE"/>
    </w:rPr>
  </w:style>
  <w:style w:type="paragraph" w:customStyle="1" w:styleId="Keymessage">
    <w:name w:val="Key message"/>
    <w:basedOn w:val="Normal"/>
    <w:pPr>
      <w:numPr>
        <w:numId w:val="33"/>
      </w:numPr>
      <w:pBdr>
        <w:top w:val="single" w:sz="4" w:space="1" w:color="auto"/>
        <w:left w:val="single" w:sz="4" w:space="4" w:color="auto"/>
        <w:bottom w:val="single" w:sz="4" w:space="1" w:color="auto"/>
        <w:right w:val="single" w:sz="4" w:space="4" w:color="auto"/>
      </w:pBdr>
      <w:shd w:val="clear" w:color="auto" w:fill="F3F3F3"/>
      <w:spacing w:before="60" w:after="60"/>
      <w:ind w:left="357" w:hanging="357"/>
      <w:jc w:val="left"/>
    </w:pPr>
    <w:rPr>
      <w:rFonts w:ascii="Palatino Linotype" w:hAnsi="Palatino Linotype"/>
      <w:sz w:val="22"/>
      <w:szCs w:val="20"/>
      <w:lang w:eastAsia="de-DE"/>
    </w:rPr>
  </w:style>
  <w:style w:type="paragraph" w:customStyle="1" w:styleId="graph">
    <w:name w:val="graph"/>
    <w:basedOn w:val="Normal"/>
    <w:pPr>
      <w:spacing w:before="0" w:after="0"/>
      <w:ind w:left="6158" w:hanging="6158"/>
      <w:jc w:val="left"/>
    </w:pPr>
    <w:rPr>
      <w:rFonts w:ascii="Palatino Linotype" w:hAnsi="Palatino Linotype"/>
      <w:sz w:val="22"/>
      <w:szCs w:val="22"/>
      <w:lang w:eastAsia="de-DE"/>
    </w:rPr>
  </w:style>
  <w:style w:type="paragraph" w:customStyle="1" w:styleId="FormatvorlageSource8ptFett">
    <w:name w:val="Formatvorlage Source + 8 pt Fett"/>
    <w:basedOn w:val="Normal"/>
    <w:pPr>
      <w:keepNext/>
      <w:keepLines/>
      <w:spacing w:before="60" w:after="0"/>
      <w:ind w:left="1134" w:hanging="1134"/>
      <w:jc w:val="left"/>
    </w:pPr>
    <w:rPr>
      <w:rFonts w:ascii="Arial" w:hAnsi="Arial"/>
      <w:b/>
      <w:bCs/>
      <w:sz w:val="16"/>
      <w:szCs w:val="16"/>
      <w:lang w:eastAsia="en-GB"/>
    </w:rPr>
  </w:style>
  <w:style w:type="paragraph" w:customStyle="1" w:styleId="source0">
    <w:name w:val="source"/>
    <w:basedOn w:val="Normal"/>
    <w:pPr>
      <w:keepLines/>
      <w:spacing w:before="0" w:after="0"/>
      <w:jc w:val="left"/>
    </w:pPr>
    <w:rPr>
      <w:rFonts w:ascii="Arial" w:hAnsi="Arial"/>
      <w:sz w:val="16"/>
      <w:szCs w:val="16"/>
      <w:lang w:eastAsia="de-DE"/>
    </w:rPr>
  </w:style>
  <w:style w:type="paragraph" w:styleId="BodyText3">
    <w:name w:val="Body Text 3"/>
    <w:basedOn w:val="Normal"/>
    <w:link w:val="BodyText3Char"/>
    <w:uiPriority w:val="99"/>
    <w:pPr>
      <w:widowControl w:val="0"/>
      <w:adjustRightInd w:val="0"/>
      <w:jc w:val="left"/>
      <w:textAlignment w:val="baseline"/>
    </w:pPr>
    <w:rPr>
      <w:rFonts w:ascii="NewBskvll BT" w:hAnsi="NewBskvll BT"/>
      <w:sz w:val="22"/>
      <w:szCs w:val="20"/>
      <w:lang w:val="x-none"/>
    </w:rPr>
  </w:style>
  <w:style w:type="character" w:customStyle="1" w:styleId="BodyText3Char">
    <w:name w:val="Body Text 3 Char"/>
    <w:link w:val="BodyText3"/>
    <w:uiPriority w:val="99"/>
    <w:rPr>
      <w:rFonts w:ascii="NewBskvll BT" w:hAnsi="NewBskvll BT"/>
      <w:sz w:val="22"/>
      <w:shd w:val="clear" w:color="auto" w:fill="auto"/>
      <w:lang w:val="x-none" w:eastAsia="en-US"/>
    </w:rPr>
  </w:style>
  <w:style w:type="paragraph" w:customStyle="1" w:styleId="StandardEC-NIR">
    <w:name w:val="Standard_EC-NIR"/>
    <w:basedOn w:val="Normal"/>
    <w:pPr>
      <w:widowControl w:val="0"/>
      <w:adjustRightInd w:val="0"/>
      <w:textAlignment w:val="baseline"/>
    </w:pPr>
    <w:rPr>
      <w:sz w:val="20"/>
      <w:szCs w:val="20"/>
      <w:lang w:val="de-DE" w:eastAsia="en-GB"/>
    </w:rPr>
  </w:style>
  <w:style w:type="character" w:customStyle="1" w:styleId="Table-ContentsCTChar">
    <w:name w:val="Table - Contents (CT) Char"/>
    <w:link w:val="Table-ContentsCT"/>
    <w:locked/>
    <w:rPr>
      <w:rFonts w:ascii="Arial" w:hAnsi="Arial"/>
      <w:sz w:val="16"/>
      <w:szCs w:val="22"/>
      <w:lang w:eastAsia="en-US"/>
    </w:rPr>
  </w:style>
  <w:style w:type="paragraph" w:customStyle="1" w:styleId="Table-ContentsCT">
    <w:name w:val="Table - Contents (CT)"/>
    <w:link w:val="Table-ContentsCTChar"/>
    <w:qFormat/>
    <w:pPr>
      <w:spacing w:before="80" w:after="80" w:line="276" w:lineRule="auto"/>
    </w:pPr>
    <w:rPr>
      <w:rFonts w:ascii="Arial" w:hAnsi="Arial"/>
      <w:sz w:val="16"/>
      <w:szCs w:val="22"/>
      <w:lang w:eastAsia="en-US"/>
    </w:rPr>
  </w:style>
  <w:style w:type="paragraph" w:customStyle="1" w:styleId="Maualheading">
    <w:name w:val="Maual heading"/>
    <w:basedOn w:val="Objetacteprincipal"/>
    <w:pPr>
      <w:jc w:val="both"/>
    </w:pPr>
    <w:rPr>
      <w:noProof/>
      <w:szCs w:val="22"/>
      <w:lang w:eastAsia="en-GB"/>
    </w:rPr>
  </w:style>
  <w:style w:type="character" w:customStyle="1" w:styleId="ListParagraphChar">
    <w:name w:val="List Paragraph Char"/>
    <w:aliases w:val="Head 2 Char"/>
    <w:link w:val="ListParagraph"/>
    <w:uiPriority w:val="34"/>
    <w:locked/>
    <w:rPr>
      <w:rFonts w:eastAsia="Calibri"/>
      <w:sz w:val="24"/>
      <w:szCs w:val="22"/>
      <w:lang w:val="x-none" w:eastAsia="x-none"/>
    </w:rPr>
  </w:style>
  <w:style w:type="paragraph" w:customStyle="1" w:styleId="font7">
    <w:name w:val="font7"/>
    <w:basedOn w:val="Normal"/>
    <w:pPr>
      <w:spacing w:before="100" w:beforeAutospacing="1" w:after="100" w:afterAutospacing="1"/>
      <w:jc w:val="left"/>
    </w:pPr>
    <w:rPr>
      <w:rFonts w:ascii="Calibri" w:hAnsi="Calibri" w:cs="Calibri"/>
      <w:b/>
      <w:bCs/>
      <w:sz w:val="22"/>
      <w:szCs w:val="22"/>
      <w:lang w:eastAsia="en-GB"/>
    </w:rPr>
  </w:style>
  <w:style w:type="paragraph" w:customStyle="1" w:styleId="font8">
    <w:name w:val="font8"/>
    <w:basedOn w:val="Normal"/>
    <w:pPr>
      <w:spacing w:before="100" w:beforeAutospacing="1" w:after="100" w:afterAutospacing="1"/>
      <w:jc w:val="left"/>
    </w:pPr>
    <w:rPr>
      <w:rFonts w:ascii="Calibri" w:hAnsi="Calibri" w:cs="Calibri"/>
      <w:sz w:val="22"/>
      <w:szCs w:val="22"/>
      <w:lang w:eastAsia="en-GB"/>
    </w:rPr>
  </w:style>
  <w:style w:type="paragraph" w:customStyle="1" w:styleId="font9">
    <w:name w:val="font9"/>
    <w:basedOn w:val="Normal"/>
    <w:pPr>
      <w:spacing w:before="100" w:beforeAutospacing="1" w:after="100" w:afterAutospacing="1"/>
      <w:jc w:val="left"/>
    </w:pPr>
    <w:rPr>
      <w:rFonts w:ascii="Calibri" w:hAnsi="Calibri" w:cs="Calibri"/>
      <w:color w:val="000000"/>
      <w:sz w:val="22"/>
      <w:szCs w:val="22"/>
      <w:lang w:eastAsia="en-GB"/>
    </w:rPr>
  </w:style>
  <w:style w:type="paragraph" w:customStyle="1" w:styleId="font10">
    <w:name w:val="font10"/>
    <w:basedOn w:val="Normal"/>
    <w:pPr>
      <w:spacing w:before="100" w:beforeAutospacing="1" w:after="100" w:afterAutospacing="1"/>
      <w:jc w:val="left"/>
    </w:pPr>
    <w:rPr>
      <w:rFonts w:ascii="Calibri" w:hAnsi="Calibri" w:cs="Calibri"/>
      <w:sz w:val="22"/>
      <w:szCs w:val="22"/>
      <w:lang w:eastAsia="en-GB"/>
    </w:rPr>
  </w:style>
  <w:style w:type="paragraph" w:customStyle="1" w:styleId="font11">
    <w:name w:val="font11"/>
    <w:basedOn w:val="Normal"/>
    <w:pPr>
      <w:spacing w:before="100" w:beforeAutospacing="1" w:after="100" w:afterAutospacing="1"/>
      <w:jc w:val="left"/>
    </w:pPr>
    <w:rPr>
      <w:rFonts w:ascii="Calibri" w:hAnsi="Calibri" w:cs="Calibri"/>
      <w:i/>
      <w:iCs/>
      <w:sz w:val="22"/>
      <w:szCs w:val="22"/>
      <w:lang w:eastAsia="en-GB"/>
    </w:rPr>
  </w:style>
  <w:style w:type="paragraph" w:customStyle="1" w:styleId="font12">
    <w:name w:val="font12"/>
    <w:basedOn w:val="Normal"/>
    <w:pPr>
      <w:spacing w:before="100" w:beforeAutospacing="1" w:after="100" w:afterAutospacing="1"/>
      <w:jc w:val="left"/>
    </w:pPr>
    <w:rPr>
      <w:rFonts w:ascii="Calibri" w:hAnsi="Calibri" w:cs="Calibri"/>
      <w:i/>
      <w:iCs/>
      <w:sz w:val="22"/>
      <w:szCs w:val="22"/>
      <w:lang w:eastAsia="en-GB"/>
    </w:rPr>
  </w:style>
  <w:style w:type="paragraph" w:customStyle="1" w:styleId="xl196">
    <w:name w:val="xl19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197">
    <w:name w:val="xl197"/>
    <w:basedOn w:val="Normal"/>
    <w:pPr>
      <w:spacing w:before="100" w:beforeAutospacing="1" w:after="100" w:afterAutospacing="1"/>
      <w:jc w:val="left"/>
    </w:pPr>
    <w:rPr>
      <w:rFonts w:ascii="Calibri" w:hAnsi="Calibri" w:cs="Calibri"/>
      <w:sz w:val="22"/>
      <w:szCs w:val="22"/>
      <w:lang w:eastAsia="en-GB"/>
    </w:rPr>
  </w:style>
  <w:style w:type="paragraph" w:customStyle="1" w:styleId="xl198">
    <w:name w:val="xl198"/>
    <w:basedOn w:val="Normal"/>
    <w:pPr>
      <w:spacing w:before="100" w:beforeAutospacing="1" w:after="100" w:afterAutospacing="1"/>
      <w:jc w:val="left"/>
    </w:pPr>
    <w:rPr>
      <w:rFonts w:ascii="Calibri" w:hAnsi="Calibri" w:cs="Calibri"/>
      <w:sz w:val="22"/>
      <w:szCs w:val="22"/>
      <w:lang w:eastAsia="en-GB"/>
    </w:rPr>
  </w:style>
  <w:style w:type="paragraph" w:customStyle="1" w:styleId="xl199">
    <w:name w:val="xl199"/>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sz w:val="22"/>
      <w:szCs w:val="22"/>
      <w:lang w:eastAsia="en-GB"/>
    </w:rPr>
  </w:style>
  <w:style w:type="paragraph" w:customStyle="1" w:styleId="xl200">
    <w:name w:val="xl200"/>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left"/>
      <w:textAlignment w:val="center"/>
    </w:pPr>
    <w:rPr>
      <w:rFonts w:ascii="Calibri" w:hAnsi="Calibri" w:cs="Calibri"/>
      <w:color w:val="000000"/>
      <w:sz w:val="22"/>
      <w:szCs w:val="22"/>
      <w:lang w:eastAsia="en-GB"/>
    </w:rPr>
  </w:style>
  <w:style w:type="paragraph" w:customStyle="1" w:styleId="xl201">
    <w:name w:val="xl201"/>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color w:val="000000"/>
      <w:sz w:val="22"/>
      <w:szCs w:val="22"/>
      <w:lang w:eastAsia="en-GB"/>
    </w:rPr>
  </w:style>
  <w:style w:type="paragraph" w:customStyle="1" w:styleId="xl202">
    <w:name w:val="xl202"/>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left"/>
      <w:textAlignment w:val="center"/>
    </w:pPr>
    <w:rPr>
      <w:rFonts w:ascii="Calibri" w:hAnsi="Calibri" w:cs="Calibri"/>
      <w:sz w:val="22"/>
      <w:szCs w:val="22"/>
      <w:lang w:eastAsia="en-GB"/>
    </w:rPr>
  </w:style>
  <w:style w:type="paragraph" w:customStyle="1" w:styleId="xl203">
    <w:name w:val="xl203"/>
    <w:basedOn w:val="Normal"/>
    <w:pPr>
      <w:pBdr>
        <w:top w:val="single" w:sz="4" w:space="0" w:color="auto"/>
        <w:left w:val="single" w:sz="4" w:space="0" w:color="auto"/>
        <w:bottom w:val="single" w:sz="4" w:space="0" w:color="auto"/>
      </w:pBdr>
      <w:shd w:val="clear" w:color="000000" w:fill="CCFFCC"/>
      <w:spacing w:before="100" w:beforeAutospacing="1" w:after="100" w:afterAutospacing="1"/>
      <w:jc w:val="left"/>
      <w:textAlignment w:val="center"/>
    </w:pPr>
    <w:rPr>
      <w:rFonts w:ascii="Calibri" w:hAnsi="Calibri" w:cs="Calibri"/>
      <w:sz w:val="22"/>
      <w:szCs w:val="22"/>
      <w:lang w:eastAsia="en-GB"/>
    </w:rPr>
  </w:style>
  <w:style w:type="paragraph" w:customStyle="1" w:styleId="xl204">
    <w:name w:val="xl204"/>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sz w:val="22"/>
      <w:szCs w:val="22"/>
      <w:lang w:eastAsia="en-GB"/>
    </w:rPr>
  </w:style>
  <w:style w:type="paragraph" w:customStyle="1" w:styleId="xl205">
    <w:name w:val="xl205"/>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left"/>
      <w:textAlignment w:val="center"/>
    </w:pPr>
    <w:rPr>
      <w:rFonts w:ascii="Calibri" w:hAnsi="Calibri" w:cs="Calibri"/>
      <w:sz w:val="22"/>
      <w:szCs w:val="22"/>
      <w:lang w:eastAsia="en-GB"/>
    </w:rPr>
  </w:style>
  <w:style w:type="paragraph" w:customStyle="1" w:styleId="xl206">
    <w:name w:val="xl20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07">
    <w:name w:val="xl20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08">
    <w:name w:val="xl20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sz w:val="22"/>
      <w:szCs w:val="22"/>
      <w:lang w:eastAsia="en-GB"/>
    </w:rPr>
  </w:style>
  <w:style w:type="paragraph" w:customStyle="1" w:styleId="xl209">
    <w:name w:val="xl20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sz w:val="22"/>
      <w:szCs w:val="22"/>
      <w:lang w:eastAsia="en-GB"/>
    </w:rPr>
  </w:style>
  <w:style w:type="paragraph" w:customStyle="1" w:styleId="xl210">
    <w:name w:val="xl21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11">
    <w:name w:val="xl21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sz w:val="22"/>
      <w:szCs w:val="22"/>
      <w:lang w:eastAsia="en-GB"/>
    </w:rPr>
  </w:style>
  <w:style w:type="paragraph" w:customStyle="1" w:styleId="xl212">
    <w:name w:val="xl212"/>
    <w:basedOn w:val="Normal"/>
    <w:pPr>
      <w:spacing w:before="100" w:beforeAutospacing="1" w:after="100" w:afterAutospacing="1"/>
      <w:jc w:val="left"/>
    </w:pPr>
    <w:rPr>
      <w:rFonts w:ascii="Calibri" w:hAnsi="Calibri" w:cs="Calibri"/>
      <w:b/>
      <w:bCs/>
      <w:sz w:val="22"/>
      <w:szCs w:val="22"/>
      <w:lang w:eastAsia="en-GB"/>
    </w:rPr>
  </w:style>
  <w:style w:type="paragraph" w:customStyle="1" w:styleId="xl213">
    <w:name w:val="xl21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14">
    <w:name w:val="xl21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15">
    <w:name w:val="xl21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16">
    <w:name w:val="xl21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sz w:val="22"/>
      <w:szCs w:val="22"/>
      <w:lang w:eastAsia="en-GB"/>
    </w:rPr>
  </w:style>
  <w:style w:type="paragraph" w:customStyle="1" w:styleId="xl217">
    <w:name w:val="xl21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sz w:val="22"/>
      <w:szCs w:val="22"/>
      <w:lang w:eastAsia="en-GB"/>
    </w:rPr>
  </w:style>
  <w:style w:type="paragraph" w:customStyle="1" w:styleId="xl218">
    <w:name w:val="xl218"/>
    <w:basedOn w:val="Normal"/>
    <w:pPr>
      <w:spacing w:before="100" w:beforeAutospacing="1" w:after="100" w:afterAutospacing="1"/>
      <w:jc w:val="left"/>
    </w:pPr>
    <w:rPr>
      <w:rFonts w:ascii="Calibri" w:hAnsi="Calibri" w:cs="Calibri"/>
      <w:color w:val="FF00FF"/>
      <w:sz w:val="22"/>
      <w:szCs w:val="22"/>
      <w:lang w:eastAsia="en-GB"/>
    </w:rPr>
  </w:style>
  <w:style w:type="paragraph" w:customStyle="1" w:styleId="xl219">
    <w:name w:val="xl219"/>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20">
    <w:name w:val="xl220"/>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21">
    <w:name w:val="xl221"/>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22">
    <w:name w:val="xl222"/>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sz w:val="22"/>
      <w:szCs w:val="22"/>
      <w:lang w:eastAsia="en-GB"/>
    </w:rPr>
  </w:style>
  <w:style w:type="paragraph" w:customStyle="1" w:styleId="xl223">
    <w:name w:val="xl223"/>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sz w:val="22"/>
      <w:szCs w:val="22"/>
      <w:lang w:eastAsia="en-GB"/>
    </w:rPr>
  </w:style>
  <w:style w:type="paragraph" w:customStyle="1" w:styleId="xl224">
    <w:name w:val="xl224"/>
    <w:basedOn w:val="Normal"/>
    <w:pPr>
      <w:shd w:val="clear" w:color="000000" w:fill="DDD9C4"/>
      <w:spacing w:before="100" w:beforeAutospacing="1" w:after="100" w:afterAutospacing="1"/>
      <w:jc w:val="left"/>
    </w:pPr>
    <w:rPr>
      <w:rFonts w:ascii="Calibri" w:hAnsi="Calibri" w:cs="Calibri"/>
      <w:sz w:val="22"/>
      <w:szCs w:val="22"/>
      <w:lang w:eastAsia="en-GB"/>
    </w:rPr>
  </w:style>
  <w:style w:type="paragraph" w:customStyle="1" w:styleId="xl225">
    <w:name w:val="xl225"/>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pPr>
    <w:rPr>
      <w:rFonts w:ascii="Calibri" w:hAnsi="Calibri" w:cs="Calibri"/>
      <w:sz w:val="22"/>
      <w:szCs w:val="22"/>
      <w:lang w:eastAsia="en-GB"/>
    </w:rPr>
  </w:style>
  <w:style w:type="paragraph" w:customStyle="1" w:styleId="xl226">
    <w:name w:val="xl226"/>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27">
    <w:name w:val="xl227"/>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sz w:val="22"/>
      <w:szCs w:val="22"/>
      <w:lang w:eastAsia="en-GB"/>
    </w:rPr>
  </w:style>
  <w:style w:type="paragraph" w:customStyle="1" w:styleId="xl228">
    <w:name w:val="xl228"/>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sz w:val="22"/>
      <w:szCs w:val="22"/>
      <w:lang w:eastAsia="en-GB"/>
    </w:rPr>
  </w:style>
  <w:style w:type="paragraph" w:customStyle="1" w:styleId="xl229">
    <w:name w:val="xl229"/>
    <w:basedOn w:val="Normal"/>
    <w:pPr>
      <w:shd w:val="clear" w:color="000000" w:fill="DDD9C4"/>
      <w:spacing w:before="100" w:beforeAutospacing="1" w:after="100" w:afterAutospacing="1"/>
      <w:jc w:val="left"/>
    </w:pPr>
    <w:rPr>
      <w:rFonts w:ascii="Calibri" w:hAnsi="Calibri" w:cs="Calibri"/>
      <w:b/>
      <w:bCs/>
      <w:sz w:val="22"/>
      <w:szCs w:val="22"/>
      <w:lang w:eastAsia="en-GB"/>
    </w:rPr>
  </w:style>
  <w:style w:type="paragraph" w:customStyle="1" w:styleId="xl230">
    <w:name w:val="xl230"/>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left"/>
      <w:textAlignment w:val="center"/>
    </w:pPr>
    <w:rPr>
      <w:rFonts w:ascii="Calibri" w:hAnsi="Calibri" w:cs="Calibri"/>
      <w:i/>
      <w:iCs/>
      <w:sz w:val="22"/>
      <w:szCs w:val="22"/>
      <w:lang w:eastAsia="en-GB"/>
    </w:rPr>
  </w:style>
  <w:style w:type="paragraph" w:customStyle="1" w:styleId="xl231">
    <w:name w:val="xl231"/>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i/>
      <w:iCs/>
      <w:sz w:val="22"/>
      <w:szCs w:val="22"/>
      <w:lang w:eastAsia="en-GB"/>
    </w:rPr>
  </w:style>
  <w:style w:type="paragraph" w:customStyle="1" w:styleId="xl232">
    <w:name w:val="xl232"/>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i/>
      <w:iCs/>
      <w:sz w:val="22"/>
      <w:szCs w:val="22"/>
      <w:lang w:eastAsia="en-GB"/>
    </w:rPr>
  </w:style>
  <w:style w:type="paragraph" w:customStyle="1" w:styleId="xl233">
    <w:name w:val="xl233"/>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i/>
      <w:iCs/>
      <w:sz w:val="22"/>
      <w:szCs w:val="22"/>
      <w:lang w:eastAsia="en-GB"/>
    </w:rPr>
  </w:style>
  <w:style w:type="paragraph" w:customStyle="1" w:styleId="xl234">
    <w:name w:val="xl23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i/>
      <w:iCs/>
      <w:sz w:val="22"/>
      <w:szCs w:val="22"/>
      <w:lang w:eastAsia="en-GB"/>
    </w:rPr>
  </w:style>
  <w:style w:type="paragraph" w:customStyle="1" w:styleId="xl235">
    <w:name w:val="xl23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i/>
      <w:iCs/>
      <w:sz w:val="22"/>
      <w:szCs w:val="22"/>
      <w:lang w:eastAsia="en-GB"/>
    </w:rPr>
  </w:style>
  <w:style w:type="paragraph" w:customStyle="1" w:styleId="xl236">
    <w:name w:val="xl23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i/>
      <w:iCs/>
      <w:sz w:val="22"/>
      <w:szCs w:val="22"/>
      <w:lang w:eastAsia="en-GB"/>
    </w:rPr>
  </w:style>
  <w:style w:type="paragraph" w:customStyle="1" w:styleId="xl237">
    <w:name w:val="xl237"/>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38">
    <w:name w:val="xl238"/>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39">
    <w:name w:val="xl239"/>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40">
    <w:name w:val="xl240"/>
    <w:basedOn w:val="Normal"/>
    <w:pPr>
      <w:spacing w:before="100" w:beforeAutospacing="1" w:after="100" w:afterAutospacing="1"/>
      <w:jc w:val="right"/>
    </w:pPr>
    <w:rPr>
      <w:rFonts w:ascii="Calibri" w:hAnsi="Calibri" w:cs="Calibri"/>
      <w:sz w:val="22"/>
      <w:szCs w:val="22"/>
      <w:lang w:eastAsia="en-GB"/>
    </w:rPr>
  </w:style>
  <w:style w:type="paragraph" w:customStyle="1" w:styleId="xl241">
    <w:name w:val="xl241"/>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sz w:val="22"/>
      <w:szCs w:val="22"/>
      <w:lang w:eastAsia="en-GB"/>
    </w:rPr>
  </w:style>
  <w:style w:type="paragraph" w:customStyle="1" w:styleId="xl242">
    <w:name w:val="xl24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sz w:val="22"/>
      <w:szCs w:val="22"/>
      <w:lang w:eastAsia="en-GB"/>
    </w:rPr>
  </w:style>
  <w:style w:type="paragraph" w:customStyle="1" w:styleId="xl243">
    <w:name w:val="xl243"/>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sz w:val="22"/>
      <w:szCs w:val="22"/>
      <w:lang w:eastAsia="en-GB"/>
    </w:rPr>
  </w:style>
  <w:style w:type="paragraph" w:customStyle="1" w:styleId="xl244">
    <w:name w:val="xl244"/>
    <w:basedOn w:val="Normal"/>
    <w:pPr>
      <w:pBdr>
        <w:top w:val="single" w:sz="4" w:space="0" w:color="auto"/>
        <w:left w:val="single" w:sz="4" w:space="0" w:color="auto"/>
        <w:bottom w:val="single" w:sz="4" w:space="0" w:color="auto"/>
      </w:pBdr>
      <w:shd w:val="clear" w:color="000000" w:fill="CCFFCC"/>
      <w:spacing w:before="100" w:beforeAutospacing="1" w:after="100" w:afterAutospacing="1"/>
      <w:jc w:val="center"/>
      <w:textAlignment w:val="center"/>
    </w:pPr>
    <w:rPr>
      <w:rFonts w:ascii="Calibri" w:hAnsi="Calibri" w:cs="Calibri"/>
      <w:b/>
      <w:bCs/>
      <w:sz w:val="22"/>
      <w:szCs w:val="22"/>
      <w:lang w:eastAsia="en-GB"/>
    </w:rPr>
  </w:style>
  <w:style w:type="paragraph" w:customStyle="1" w:styleId="xl245">
    <w:name w:val="xl245"/>
    <w:basedOn w:val="Normal"/>
    <w:pPr>
      <w:pBdr>
        <w:top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sz w:val="22"/>
      <w:szCs w:val="22"/>
      <w:lang w:eastAsia="en-GB"/>
    </w:rPr>
  </w:style>
  <w:style w:type="paragraph" w:customStyle="1" w:styleId="xl246">
    <w:name w:val="xl246"/>
    <w:basedOn w:val="Normal"/>
    <w:pPr>
      <w:pBdr>
        <w:top w:val="single" w:sz="4" w:space="0" w:color="auto"/>
        <w:left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47">
    <w:name w:val="xl247"/>
    <w:basedOn w:val="Normal"/>
    <w:pPr>
      <w:pBdr>
        <w:left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48">
    <w:name w:val="xl248"/>
    <w:basedOn w:val="Normal"/>
    <w:pPr>
      <w:pBdr>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49">
    <w:name w:val="xl249"/>
    <w:basedOn w:val="Normal"/>
    <w:pPr>
      <w:pBdr>
        <w:top w:val="single" w:sz="4" w:space="0" w:color="auto"/>
        <w:lef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50">
    <w:name w:val="xl250"/>
    <w:basedOn w:val="Normal"/>
    <w:pPr>
      <w:pBdr>
        <w:top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51">
    <w:name w:val="xl251"/>
    <w:basedOn w:val="Normal"/>
    <w:pPr>
      <w:pBdr>
        <w:left w:val="single" w:sz="4" w:space="0" w:color="auto"/>
        <w:bottom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52">
    <w:name w:val="xl252"/>
    <w:basedOn w:val="Normal"/>
    <w:pPr>
      <w:pBdr>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53">
    <w:name w:val="xl253"/>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i/>
      <w:iCs/>
      <w:sz w:val="22"/>
      <w:szCs w:val="22"/>
      <w:lang w:eastAsia="en-GB"/>
    </w:rPr>
  </w:style>
  <w:style w:type="character" w:customStyle="1" w:styleId="link-size">
    <w:name w:val="link-size"/>
  </w:style>
  <w:style w:type="paragraph" w:styleId="PlainText">
    <w:name w:val="Plain Text"/>
    <w:basedOn w:val="Normal"/>
    <w:link w:val="PlainTextChar"/>
    <w:unhideWhenUsed/>
    <w:pPr>
      <w:spacing w:before="0" w:after="0"/>
      <w:jc w:val="left"/>
    </w:pPr>
    <w:rPr>
      <w:rFonts w:ascii="Calibri" w:eastAsia="Calibri" w:hAnsi="Calibri"/>
      <w:sz w:val="22"/>
      <w:szCs w:val="21"/>
      <w:lang w:eastAsia="x-none"/>
    </w:rPr>
  </w:style>
  <w:style w:type="character" w:customStyle="1" w:styleId="PlainTextChar">
    <w:name w:val="Plain Text Char"/>
    <w:link w:val="PlainText"/>
    <w:rPr>
      <w:rFonts w:ascii="Calibri" w:eastAsia="Calibri" w:hAnsi="Calibri"/>
      <w:sz w:val="22"/>
      <w:szCs w:val="21"/>
      <w:shd w:val="clear" w:color="auto" w:fill="auto"/>
      <w:lang w:eastAsia="x-none"/>
    </w:rPr>
  </w:style>
  <w:style w:type="character" w:customStyle="1" w:styleId="HeaderChar">
    <w:name w:val="Header Char"/>
    <w:link w:val="Header"/>
    <w:uiPriority w:val="99"/>
    <w:rPr>
      <w:sz w:val="24"/>
      <w:szCs w:val="24"/>
      <w:lang w:eastAsia="en-US"/>
    </w:rPr>
  </w:style>
  <w:style w:type="character" w:customStyle="1" w:styleId="FooterChar">
    <w:name w:val="Footer Char"/>
    <w:link w:val="Footer"/>
    <w:uiPriority w:val="99"/>
    <w:rPr>
      <w:sz w:val="24"/>
      <w:szCs w:val="24"/>
      <w:lang w:eastAsia="en-US"/>
    </w:rPr>
  </w:style>
  <w:style w:type="character" w:customStyle="1" w:styleId="FootnoteTextChar">
    <w:name w:val="Footnote Text Char"/>
    <w:link w:val="FootnoteText"/>
    <w:uiPriority w:val="99"/>
    <w:rPr>
      <w:lang w:eastAsia="en-US"/>
    </w:rPr>
  </w:style>
  <w:style w:type="character" w:customStyle="1" w:styleId="Heading1Char">
    <w:name w:val="Heading 1 Char"/>
    <w:link w:val="Heading1"/>
    <w:uiPriority w:val="9"/>
    <w:rPr>
      <w:b/>
      <w:bCs/>
      <w:smallCaps/>
      <w:sz w:val="24"/>
      <w:szCs w:val="32"/>
      <w:lang w:eastAsia="en-US"/>
    </w:rPr>
  </w:style>
  <w:style w:type="character" w:customStyle="1" w:styleId="Heading2Char">
    <w:name w:val="Heading 2 Char"/>
    <w:link w:val="Heading2"/>
    <w:uiPriority w:val="9"/>
    <w:rPr>
      <w:b/>
      <w:bCs/>
      <w:iCs/>
      <w:sz w:val="24"/>
      <w:szCs w:val="28"/>
      <w:lang w:eastAsia="en-US"/>
    </w:rPr>
  </w:style>
  <w:style w:type="character" w:customStyle="1" w:styleId="Heading3Char">
    <w:name w:val="Heading 3 Char"/>
    <w:link w:val="Heading3"/>
    <w:uiPriority w:val="9"/>
    <w:rPr>
      <w:bCs/>
      <w:i/>
      <w:sz w:val="24"/>
      <w:szCs w:val="26"/>
      <w:lang w:eastAsia="en-US"/>
    </w:rPr>
  </w:style>
  <w:style w:type="character" w:customStyle="1" w:styleId="Heading4Char">
    <w:name w:val="Heading 4 Char"/>
    <w:link w:val="Heading4"/>
    <w:uiPriority w:val="9"/>
    <w:rPr>
      <w:bCs/>
      <w:sz w:val="24"/>
      <w:szCs w:val="28"/>
      <w:lang w:eastAsia="en-US"/>
    </w:rPr>
  </w:style>
  <w:style w:type="paragraph" w:customStyle="1" w:styleId="Normale">
    <w:name w:val="Normale"/>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eastAsia="en-GB"/>
    </w:rPr>
  </w:style>
  <w:style w:type="paragraph" w:customStyle="1" w:styleId="Paragrafoelenco">
    <w:name w:val="Paragrafo elenco"/>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lang w:eastAsia="en-GB"/>
    </w:rPr>
  </w:style>
  <w:style w:type="numbering" w:customStyle="1" w:styleId="List13">
    <w:name w:val="List 13"/>
    <w:basedOn w:val="NoList"/>
    <w:pPr>
      <w:numPr>
        <w:numId w:val="36"/>
      </w:numPr>
    </w:pPr>
  </w:style>
  <w:style w:type="paragraph" w:customStyle="1" w:styleId="default0">
    <w:name w:val="default"/>
    <w:basedOn w:val="Normal"/>
    <w:pPr>
      <w:spacing w:before="100" w:beforeAutospacing="1" w:after="100" w:afterAutospacing="1"/>
      <w:jc w:val="left"/>
    </w:pPr>
    <w:rPr>
      <w:lang w:eastAsia="en-GB"/>
    </w:rPr>
  </w:style>
  <w:style w:type="character" w:customStyle="1" w:styleId="en">
    <w:name w:val="en"/>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annotation reference" w:uiPriority="99"/>
    <w:lsdException w:name="page number"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Body Text 3" w:uiPriority="99"/>
    <w:lsdException w:name="Hyperlink" w:uiPriority="99"/>
    <w:lsdException w:name="FollowedHyperlink" w:uiPriority="99"/>
    <w:lsdException w:name="Strong" w:uiPriority="22" w:qFormat="1"/>
    <w:lsdException w:name="Emphasis" w:qFormat="1"/>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before="120" w:after="120"/>
      <w:jc w:val="both"/>
    </w:pPr>
    <w:rPr>
      <w:sz w:val="24"/>
      <w:szCs w:val="24"/>
      <w:lang w:eastAsia="en-US"/>
    </w:rPr>
  </w:style>
  <w:style w:type="paragraph" w:styleId="Heading1">
    <w:name w:val="heading 1"/>
    <w:basedOn w:val="Normal"/>
    <w:next w:val="Normal"/>
    <w:link w:val="Heading1Char"/>
    <w:uiPriority w:val="9"/>
    <w:qFormat/>
    <w:pPr>
      <w:keepNext/>
      <w:numPr>
        <w:numId w:val="7"/>
      </w:numPr>
      <w:spacing w:before="360"/>
      <w:outlineLvl w:val="0"/>
    </w:pPr>
    <w:rPr>
      <w:b/>
      <w:bCs/>
      <w:smallCaps/>
      <w:szCs w:val="32"/>
    </w:rPr>
  </w:style>
  <w:style w:type="paragraph" w:styleId="Heading2">
    <w:name w:val="heading 2"/>
    <w:basedOn w:val="Normal"/>
    <w:next w:val="Normal"/>
    <w:link w:val="Heading2Char"/>
    <w:uiPriority w:val="9"/>
    <w:qFormat/>
    <w:pPr>
      <w:keepNext/>
      <w:numPr>
        <w:ilvl w:val="1"/>
        <w:numId w:val="7"/>
      </w:numPr>
      <w:outlineLvl w:val="1"/>
    </w:pPr>
    <w:rPr>
      <w:b/>
      <w:bCs/>
      <w:iCs/>
      <w:szCs w:val="28"/>
    </w:rPr>
  </w:style>
  <w:style w:type="paragraph" w:styleId="Heading3">
    <w:name w:val="heading 3"/>
    <w:basedOn w:val="Normal"/>
    <w:next w:val="Normal"/>
    <w:link w:val="Heading3Char"/>
    <w:uiPriority w:val="9"/>
    <w:qFormat/>
    <w:pPr>
      <w:keepNext/>
      <w:numPr>
        <w:ilvl w:val="2"/>
        <w:numId w:val="7"/>
      </w:numPr>
      <w:outlineLvl w:val="2"/>
    </w:pPr>
    <w:rPr>
      <w:bCs/>
      <w:i/>
      <w:szCs w:val="26"/>
    </w:rPr>
  </w:style>
  <w:style w:type="paragraph" w:styleId="Heading4">
    <w:name w:val="heading 4"/>
    <w:basedOn w:val="Normal"/>
    <w:next w:val="Normal"/>
    <w:link w:val="Heading4Char"/>
    <w:uiPriority w:val="9"/>
    <w:qFormat/>
    <w:pPr>
      <w:keepNext/>
      <w:numPr>
        <w:ilvl w:val="3"/>
        <w:numId w:val="7"/>
      </w:numPr>
      <w:outlineLvl w:val="3"/>
    </w:pPr>
    <w:rPr>
      <w:bCs/>
      <w:szCs w:val="28"/>
    </w:rPr>
  </w:style>
  <w:style w:type="paragraph" w:styleId="Heading5">
    <w:name w:val="heading 5"/>
    <w:basedOn w:val="Normal"/>
    <w:next w:val="Normal"/>
    <w:link w:val="Heading5Char"/>
    <w:uiPriority w:val="9"/>
    <w:qFormat/>
    <w:pPr>
      <w:numPr>
        <w:ilvl w:val="4"/>
        <w:numId w:val="32"/>
      </w:numPr>
      <w:tabs>
        <w:tab w:val="clear" w:pos="1728"/>
        <w:tab w:val="num" w:pos="1368"/>
      </w:tabs>
      <w:spacing w:before="240" w:after="60"/>
      <w:ind w:left="1368"/>
      <w:jc w:val="left"/>
      <w:outlineLvl w:val="4"/>
    </w:pPr>
    <w:rPr>
      <w:b/>
      <w:bCs/>
      <w:i/>
      <w:iCs/>
      <w:sz w:val="26"/>
      <w:szCs w:val="26"/>
      <w:lang w:val="x-none" w:eastAsia="en-GB"/>
    </w:rPr>
  </w:style>
  <w:style w:type="paragraph" w:styleId="Heading6">
    <w:name w:val="heading 6"/>
    <w:basedOn w:val="Normal"/>
    <w:next w:val="Normal"/>
    <w:link w:val="Heading6Char"/>
    <w:uiPriority w:val="9"/>
    <w:qFormat/>
    <w:pPr>
      <w:numPr>
        <w:ilvl w:val="5"/>
        <w:numId w:val="32"/>
      </w:numPr>
      <w:tabs>
        <w:tab w:val="clear" w:pos="1872"/>
        <w:tab w:val="num" w:pos="1512"/>
      </w:tabs>
      <w:spacing w:before="240" w:after="60"/>
      <w:ind w:left="1512"/>
      <w:jc w:val="left"/>
      <w:outlineLvl w:val="5"/>
    </w:pPr>
    <w:rPr>
      <w:b/>
      <w:bCs/>
      <w:sz w:val="22"/>
      <w:szCs w:val="22"/>
      <w:lang w:val="x-none" w:eastAsia="en-GB"/>
    </w:rPr>
  </w:style>
  <w:style w:type="paragraph" w:styleId="Heading7">
    <w:name w:val="heading 7"/>
    <w:basedOn w:val="Normal"/>
    <w:next w:val="Normal"/>
    <w:link w:val="Heading7Char"/>
    <w:uiPriority w:val="9"/>
    <w:qFormat/>
    <w:pPr>
      <w:keepNext/>
      <w:spacing w:before="0" w:after="0"/>
      <w:outlineLvl w:val="6"/>
    </w:pPr>
    <w:rPr>
      <w:b/>
      <w:bCs/>
      <w:sz w:val="18"/>
      <w:szCs w:val="20"/>
      <w:lang w:val="en-US" w:eastAsia="zh-CN"/>
    </w:rPr>
  </w:style>
  <w:style w:type="paragraph" w:styleId="Heading8">
    <w:name w:val="heading 8"/>
    <w:basedOn w:val="Normal"/>
    <w:next w:val="Normal"/>
    <w:link w:val="Heading8Char"/>
    <w:uiPriority w:val="9"/>
    <w:qFormat/>
    <w:pPr>
      <w:tabs>
        <w:tab w:val="num" w:pos="2700"/>
      </w:tabs>
      <w:spacing w:before="240" w:after="60"/>
      <w:ind w:left="2700" w:hanging="1440"/>
      <w:jc w:val="left"/>
      <w:outlineLvl w:val="7"/>
    </w:pPr>
    <w:rPr>
      <w:rFonts w:ascii="Palatino Linotype" w:hAnsi="Palatino Linotype"/>
      <w:i/>
      <w:iCs/>
      <w:sz w:val="22"/>
      <w:lang w:val="x-none" w:eastAsia="de-DE"/>
    </w:rPr>
  </w:style>
  <w:style w:type="paragraph" w:styleId="Heading9">
    <w:name w:val="heading 9"/>
    <w:basedOn w:val="Normal"/>
    <w:next w:val="Normal"/>
    <w:link w:val="Heading9Char"/>
    <w:uiPriority w:val="9"/>
    <w:qFormat/>
    <w:pPr>
      <w:tabs>
        <w:tab w:val="num" w:pos="2844"/>
      </w:tabs>
      <w:spacing w:before="240" w:after="60"/>
      <w:ind w:left="2844" w:hanging="1584"/>
      <w:jc w:val="left"/>
      <w:outlineLvl w:val="8"/>
    </w:pPr>
    <w:rPr>
      <w:rFonts w:ascii="Arial" w:hAnsi="Arial"/>
      <w:sz w:val="22"/>
      <w:szCs w:val="22"/>
      <w:lang w:val="x-none" w:eastAsia="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compagnant">
    <w:name w:val="Accompagnant"/>
    <w:basedOn w:val="Normal"/>
    <w:next w:val="Normal"/>
    <w:pPr>
      <w:spacing w:before="0" w:after="240"/>
      <w:jc w:val="center"/>
    </w:pPr>
    <w:rPr>
      <w:b/>
      <w:i/>
    </w:rPr>
  </w:style>
  <w:style w:type="paragraph" w:customStyle="1" w:styleId="AccompagnantPagedecouverture">
    <w:name w:val="Accompagnant (Page de couverture)"/>
    <w:basedOn w:val="Accompagnant"/>
    <w:next w:val="Normal"/>
  </w:style>
  <w:style w:type="character" w:customStyle="1" w:styleId="Added">
    <w:name w:val="Added"/>
    <w:rPr>
      <w:b/>
      <w:u w:val="single"/>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Annexetitre">
    <w:name w:val="Annexe titre"/>
    <w:basedOn w:val="Normal"/>
    <w:next w:val="Normal"/>
    <w:pPr>
      <w:jc w:val="center"/>
    </w:pPr>
    <w:rPr>
      <w:b/>
      <w:u w:val="single"/>
    </w:rPr>
  </w:style>
  <w:style w:type="paragraph" w:customStyle="1" w:styleId="Annexetitreexpos">
    <w:name w:val="Annexe titre (exposé)"/>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Normal"/>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Bullet0">
    <w:name w:val="Bullet 0"/>
    <w:basedOn w:val="Normal"/>
    <w:pPr>
      <w:numPr>
        <w:numId w:val="1"/>
      </w:numPr>
    </w:pPr>
  </w:style>
  <w:style w:type="paragraph" w:customStyle="1" w:styleId="Bullet1">
    <w:name w:val="Bullet 1"/>
    <w:basedOn w:val="Normal"/>
    <w:pPr>
      <w:numPr>
        <w:numId w:val="2"/>
      </w:numPr>
    </w:pPr>
  </w:style>
  <w:style w:type="paragraph" w:customStyle="1" w:styleId="Bullet2">
    <w:name w:val="Bullet 2"/>
    <w:basedOn w:val="Normal"/>
    <w:pPr>
      <w:numPr>
        <w:numId w:val="3"/>
      </w:numPr>
    </w:pPr>
  </w:style>
  <w:style w:type="paragraph" w:customStyle="1" w:styleId="Bullet3">
    <w:name w:val="Bullet 3"/>
    <w:basedOn w:val="Normal"/>
    <w:pPr>
      <w:numPr>
        <w:numId w:val="4"/>
      </w:numPr>
    </w:pPr>
  </w:style>
  <w:style w:type="paragraph" w:customStyle="1" w:styleId="Bullet4">
    <w:name w:val="Bullet 4"/>
    <w:basedOn w:val="Normal"/>
    <w:pPr>
      <w:numPr>
        <w:numId w:val="5"/>
      </w:numPr>
    </w:pPr>
  </w:style>
  <w:style w:type="paragraph" w:customStyle="1" w:styleId="ChapterTitle">
    <w:name w:val="ChapterTitle"/>
    <w:basedOn w:val="Normal"/>
    <w:next w:val="Normal"/>
    <w:pPr>
      <w:keepNext/>
      <w:spacing w:after="360"/>
      <w:jc w:val="center"/>
    </w:pPr>
    <w:rPr>
      <w:b/>
      <w:sz w:val="32"/>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Normal"/>
    <w:pPr>
      <w:spacing w:before="240" w:after="240"/>
      <w:ind w:left="5103"/>
    </w:pPr>
    <w:rPr>
      <w:u w:val="single"/>
    </w:rPr>
  </w:style>
  <w:style w:type="paragraph" w:customStyle="1" w:styleId="Considrant">
    <w:name w:val="Considérant"/>
    <w:basedOn w:val="Normal"/>
    <w:pPr>
      <w:numPr>
        <w:numId w:val="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Normal"/>
    <w:pPr>
      <w:spacing w:before="360" w:after="0"/>
      <w:jc w:val="center"/>
    </w:pPr>
    <w:rPr>
      <w:b/>
    </w:rPr>
  </w:style>
  <w:style w:type="paragraph" w:customStyle="1" w:styleId="DatedadoptionPagedecouverture">
    <w:name w:val="Date d'adoption (Page de couverture)"/>
    <w:basedOn w:val="Datedadoption"/>
    <w:next w:val="Normal"/>
  </w:style>
  <w:style w:type="character" w:customStyle="1" w:styleId="Deleted">
    <w:name w:val="Deleted"/>
    <w:rPr>
      <w:strike/>
      <w:shd w:val="clear" w:color="auto" w:fill="auto"/>
    </w:rPr>
  </w:style>
  <w:style w:type="paragraph" w:customStyle="1" w:styleId="Emission">
    <w:name w:val="Emission"/>
    <w:basedOn w:val="Normal"/>
    <w:next w:val="Normal"/>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Normal"/>
    <w:pPr>
      <w:keepNext/>
      <w:spacing w:after="0"/>
    </w:pPr>
  </w:style>
  <w:style w:type="paragraph" w:customStyle="1" w:styleId="Fichefinanciretitre">
    <w:name w:val="Fiche financière titre"/>
    <w:basedOn w:val="Normal"/>
    <w:next w:val="Normal"/>
    <w:pPr>
      <w:jc w:val="center"/>
    </w:pPr>
    <w:rPr>
      <w:b/>
      <w:u w:val="single"/>
    </w:rPr>
  </w:style>
  <w:style w:type="paragraph" w:styleId="Footer">
    <w:name w:val="footer"/>
    <w:basedOn w:val="Normal"/>
    <w:link w:val="FooterChar"/>
    <w:uiPriority w:val="99"/>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rPr>
      <w:shd w:val="clear" w:color="auto" w:fill="auto"/>
      <w:vertAlign w:val="superscript"/>
    </w:rPr>
  </w:style>
  <w:style w:type="paragraph" w:styleId="FootnoteText">
    <w:name w:val="footnote text"/>
    <w:basedOn w:val="Normal"/>
    <w:link w:val="FootnoteTextChar"/>
    <w:uiPriority w:val="99"/>
    <w:pPr>
      <w:spacing w:before="0" w:after="0"/>
      <w:ind w:left="720" w:hanging="720"/>
    </w:pPr>
    <w:rPr>
      <w:sz w:val="20"/>
      <w:szCs w:val="20"/>
    </w:rPr>
  </w:style>
  <w:style w:type="paragraph" w:customStyle="1" w:styleId="Formuledadoption">
    <w:name w:val="Formule d'adoption"/>
    <w:basedOn w:val="Normal"/>
    <w:next w:val="Normal"/>
    <w:pPr>
      <w:keepNext/>
    </w:pPr>
  </w:style>
  <w:style w:type="paragraph" w:styleId="Header">
    <w:name w:val="header"/>
    <w:basedOn w:val="Normal"/>
    <w:link w:val="HeaderChar"/>
    <w:uiPriority w:val="99"/>
    <w:pPr>
      <w:tabs>
        <w:tab w:val="center" w:pos="4535"/>
        <w:tab w:val="right" w:pos="9071"/>
      </w:tabs>
    </w:pPr>
  </w:style>
  <w:style w:type="paragraph" w:customStyle="1" w:styleId="HeaderLandscape">
    <w:name w:val="HeaderLandscape"/>
    <w:basedOn w:val="Normal"/>
    <w:pPr>
      <w:tabs>
        <w:tab w:val="center" w:pos="7285"/>
        <w:tab w:val="right" w:pos="14003"/>
      </w:tabs>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Languesfaisantfoi">
    <w:name w:val="Langues faisant foi"/>
    <w:basedOn w:val="Normal"/>
    <w:next w:val="Normal"/>
    <w:pPr>
      <w:spacing w:before="360" w:after="0"/>
      <w:jc w:val="center"/>
    </w:pPr>
  </w:style>
  <w:style w:type="paragraph" w:customStyle="1" w:styleId="IntrtEEE">
    <w:name w:val="Intérêt EEE"/>
    <w:basedOn w:val="Languesfaisantfoi"/>
    <w:next w:val="Normal"/>
    <w:pPr>
      <w:spacing w:after="240"/>
    </w:pPr>
  </w:style>
  <w:style w:type="paragraph" w:customStyle="1" w:styleId="IntrtEEEPagedecouverture">
    <w:name w:val="Intérêt EEE (Page de couverture)"/>
    <w:basedOn w:val="IntrtEEE"/>
    <w:next w:val="Normal"/>
  </w:style>
  <w:style w:type="paragraph" w:customStyle="1" w:styleId="Langue">
    <w:name w:val="Langue"/>
    <w:basedOn w:val="Normal"/>
    <w:next w:val="Normal"/>
    <w:pPr>
      <w:framePr w:wrap="around" w:vAnchor="page" w:hAnchor="text" w:xAlign="center" w:y="14741"/>
      <w:spacing w:before="0" w:after="600"/>
      <w:jc w:val="center"/>
    </w:pPr>
    <w:rPr>
      <w:b/>
      <w:caps/>
    </w:rPr>
  </w:style>
  <w:style w:type="paragraph" w:customStyle="1" w:styleId="LanguesfaisantfoiPagedecouverture">
    <w:name w:val="Langues faisant foi (Page de couverture)"/>
    <w:basedOn w:val="Normal"/>
    <w:next w:val="Normal"/>
    <w:pPr>
      <w:spacing w:before="360" w:after="0"/>
      <w:jc w:val="center"/>
    </w:pPr>
  </w:style>
  <w:style w:type="paragraph" w:customStyle="1" w:styleId="ManualConsidrant">
    <w:name w:val="Manual Considérant"/>
    <w:basedOn w:val="Normal"/>
    <w:pPr>
      <w:ind w:left="709" w:hanging="709"/>
    </w:pPr>
  </w:style>
  <w:style w:type="paragraph" w:customStyle="1" w:styleId="ManualHeading1">
    <w:name w:val="Manual Heading 1"/>
    <w:basedOn w:val="Normal"/>
    <w:next w:val="Normal"/>
    <w:pPr>
      <w:keepNext/>
      <w:tabs>
        <w:tab w:val="left" w:pos="850"/>
      </w:tabs>
      <w:spacing w:before="360"/>
      <w:ind w:left="850" w:hanging="850"/>
      <w:outlineLvl w:val="0"/>
    </w:pPr>
    <w:rPr>
      <w:b/>
      <w:smallCaps/>
    </w:rPr>
  </w:style>
  <w:style w:type="paragraph" w:customStyle="1" w:styleId="ManualHeading2">
    <w:name w:val="Manual Heading 2"/>
    <w:basedOn w:val="Normal"/>
    <w:next w:val="Normal"/>
    <w:pPr>
      <w:keepNext/>
      <w:tabs>
        <w:tab w:val="left" w:pos="850"/>
      </w:tabs>
      <w:ind w:left="850" w:hanging="850"/>
      <w:outlineLvl w:val="1"/>
    </w:pPr>
    <w:rPr>
      <w:b/>
    </w:rPr>
  </w:style>
  <w:style w:type="paragraph" w:customStyle="1" w:styleId="ManualHeading3">
    <w:name w:val="Manual Heading 3"/>
    <w:basedOn w:val="Normal"/>
    <w:next w:val="Normal"/>
    <w:pPr>
      <w:keepNext/>
      <w:tabs>
        <w:tab w:val="left" w:pos="850"/>
      </w:tabs>
      <w:ind w:left="850" w:hanging="850"/>
      <w:outlineLvl w:val="2"/>
    </w:pPr>
    <w:rPr>
      <w:i/>
    </w:rPr>
  </w:style>
  <w:style w:type="paragraph" w:customStyle="1" w:styleId="ManualHeading4">
    <w:name w:val="Manual Heading 4"/>
    <w:basedOn w:val="Normal"/>
    <w:next w:val="Normal"/>
    <w:pPr>
      <w:keepNext/>
      <w:tabs>
        <w:tab w:val="left" w:pos="850"/>
      </w:tabs>
      <w:ind w:left="850" w:hanging="850"/>
      <w:outlineLvl w:val="3"/>
    </w:pPr>
  </w:style>
  <w:style w:type="paragraph" w:customStyle="1" w:styleId="ManualNumPar1">
    <w:name w:val="Manual NumPar 1"/>
    <w:basedOn w:val="Normal"/>
    <w:next w:val="Normal"/>
    <w:pPr>
      <w:ind w:left="850" w:hanging="850"/>
    </w:pPr>
  </w:style>
  <w:style w:type="paragraph" w:customStyle="1" w:styleId="ManualNumPar2">
    <w:name w:val="Manual NumPar 2"/>
    <w:basedOn w:val="Normal"/>
    <w:next w:val="Normal"/>
    <w:pPr>
      <w:ind w:left="850" w:hanging="850"/>
    </w:pPr>
  </w:style>
  <w:style w:type="paragraph" w:customStyle="1" w:styleId="ManualNumPar3">
    <w:name w:val="Manual NumPar 3"/>
    <w:basedOn w:val="Normal"/>
    <w:next w:val="Normal"/>
    <w:pPr>
      <w:ind w:left="850" w:hanging="850"/>
    </w:pPr>
  </w:style>
  <w:style w:type="paragraph" w:customStyle="1" w:styleId="ManualNumPar4">
    <w:name w:val="Manual NumPar 4"/>
    <w:basedOn w:val="Normal"/>
    <w:next w:val="Normal"/>
    <w:pPr>
      <w:ind w:left="850" w:hanging="850"/>
    </w:pPr>
  </w:style>
  <w:style w:type="character" w:customStyle="1" w:styleId="Marker">
    <w:name w:val="Marker"/>
    <w:rPr>
      <w:color w:val="0000FF"/>
      <w:shd w:val="clear" w:color="auto" w:fill="auto"/>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NumPar1">
    <w:name w:val="NumPar 1"/>
    <w:basedOn w:val="Normal"/>
    <w:next w:val="Normal"/>
    <w:pPr>
      <w:numPr>
        <w:numId w:val="8"/>
      </w:numPr>
    </w:pPr>
  </w:style>
  <w:style w:type="paragraph" w:customStyle="1" w:styleId="NumPar2">
    <w:name w:val="NumPar 2"/>
    <w:basedOn w:val="Normal"/>
    <w:next w:val="Normal"/>
    <w:pPr>
      <w:numPr>
        <w:ilvl w:val="1"/>
        <w:numId w:val="8"/>
      </w:numPr>
    </w:pPr>
  </w:style>
  <w:style w:type="paragraph" w:customStyle="1" w:styleId="NumPar3">
    <w:name w:val="NumPar 3"/>
    <w:basedOn w:val="Normal"/>
    <w:next w:val="Normal"/>
    <w:pPr>
      <w:numPr>
        <w:ilvl w:val="2"/>
        <w:numId w:val="8"/>
      </w:numPr>
    </w:pPr>
  </w:style>
  <w:style w:type="paragraph" w:customStyle="1" w:styleId="NumPar4">
    <w:name w:val="NumPar 4"/>
    <w:basedOn w:val="Normal"/>
    <w:next w:val="Normal"/>
    <w:pPr>
      <w:numPr>
        <w:ilvl w:val="3"/>
        <w:numId w:val="8"/>
      </w:numPr>
    </w:pPr>
  </w:style>
  <w:style w:type="paragraph" w:customStyle="1" w:styleId="Objetacteprincipal">
    <w:name w:val="Objet acte principal"/>
    <w:basedOn w:val="Normal"/>
    <w:next w:val="Normal"/>
    <w:pPr>
      <w:spacing w:before="0" w:after="360"/>
      <w:jc w:val="center"/>
    </w:pPr>
    <w:rPr>
      <w:b/>
    </w:rPr>
  </w:style>
  <w:style w:type="paragraph" w:customStyle="1" w:styleId="ObjetacteprincipalPagedecouverture">
    <w:name w:val="Objet acte principal (Page de couverture)"/>
    <w:basedOn w:val="Objetacteprincipal"/>
    <w:next w:val="Normal"/>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style>
  <w:style w:type="paragraph" w:customStyle="1" w:styleId="PartTitle">
    <w:name w:val="PartTitle"/>
    <w:basedOn w:val="Normal"/>
    <w:next w:val="ChapterTitle"/>
    <w:pPr>
      <w:keepNext/>
      <w:pageBreakBefore/>
      <w:spacing w:after="360"/>
      <w:jc w:val="center"/>
    </w:pPr>
    <w:rPr>
      <w:b/>
      <w:sz w:val="36"/>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Point0">
    <w:name w:val="Point 0"/>
    <w:basedOn w:val="Normal"/>
    <w:pPr>
      <w:ind w:left="850" w:hanging="850"/>
    </w:pPr>
  </w:style>
  <w:style w:type="paragraph" w:customStyle="1" w:styleId="Point0letter">
    <w:name w:val="Point 0 (letter)"/>
    <w:basedOn w:val="Normal"/>
    <w:pPr>
      <w:numPr>
        <w:ilvl w:val="1"/>
        <w:numId w:val="9"/>
      </w:numPr>
    </w:pPr>
  </w:style>
  <w:style w:type="paragraph" w:customStyle="1" w:styleId="Point0number">
    <w:name w:val="Point 0 (number)"/>
    <w:basedOn w:val="Normal"/>
    <w:pPr>
      <w:numPr>
        <w:numId w:val="9"/>
      </w:numPr>
    </w:pPr>
  </w:style>
  <w:style w:type="paragraph" w:customStyle="1" w:styleId="Point1">
    <w:name w:val="Point 1"/>
    <w:basedOn w:val="Normal"/>
    <w:pPr>
      <w:ind w:left="1417" w:hanging="567"/>
    </w:pPr>
  </w:style>
  <w:style w:type="paragraph" w:customStyle="1" w:styleId="Point1letter">
    <w:name w:val="Point 1 (letter)"/>
    <w:basedOn w:val="Normal"/>
    <w:pPr>
      <w:numPr>
        <w:ilvl w:val="3"/>
        <w:numId w:val="9"/>
      </w:numPr>
    </w:pPr>
  </w:style>
  <w:style w:type="paragraph" w:customStyle="1" w:styleId="Point1number">
    <w:name w:val="Point 1 (number)"/>
    <w:basedOn w:val="Normal"/>
    <w:pPr>
      <w:numPr>
        <w:ilvl w:val="2"/>
        <w:numId w:val="9"/>
      </w:numPr>
    </w:pPr>
  </w:style>
  <w:style w:type="paragraph" w:customStyle="1" w:styleId="Point2">
    <w:name w:val="Point 2"/>
    <w:basedOn w:val="Normal"/>
    <w:pPr>
      <w:ind w:left="1984" w:hanging="567"/>
    </w:pPr>
  </w:style>
  <w:style w:type="paragraph" w:customStyle="1" w:styleId="Point2letter">
    <w:name w:val="Point 2 (letter)"/>
    <w:basedOn w:val="Normal"/>
    <w:pPr>
      <w:numPr>
        <w:ilvl w:val="5"/>
        <w:numId w:val="9"/>
      </w:numPr>
    </w:pPr>
  </w:style>
  <w:style w:type="paragraph" w:customStyle="1" w:styleId="Point2number">
    <w:name w:val="Point 2 (number)"/>
    <w:basedOn w:val="Normal"/>
    <w:pPr>
      <w:numPr>
        <w:ilvl w:val="4"/>
        <w:numId w:val="9"/>
      </w:numPr>
    </w:pPr>
  </w:style>
  <w:style w:type="paragraph" w:customStyle="1" w:styleId="Point3">
    <w:name w:val="Point 3"/>
    <w:basedOn w:val="Normal"/>
    <w:pPr>
      <w:ind w:left="2551" w:hanging="567"/>
    </w:pPr>
  </w:style>
  <w:style w:type="paragraph" w:customStyle="1" w:styleId="Point3letter">
    <w:name w:val="Point 3 (letter)"/>
    <w:basedOn w:val="Normal"/>
    <w:pPr>
      <w:numPr>
        <w:ilvl w:val="7"/>
        <w:numId w:val="9"/>
      </w:numPr>
    </w:pPr>
  </w:style>
  <w:style w:type="paragraph" w:customStyle="1" w:styleId="Point3number">
    <w:name w:val="Point 3 (number)"/>
    <w:basedOn w:val="Normal"/>
    <w:pPr>
      <w:numPr>
        <w:ilvl w:val="6"/>
        <w:numId w:val="9"/>
      </w:numPr>
    </w:pPr>
  </w:style>
  <w:style w:type="paragraph" w:customStyle="1" w:styleId="Point4">
    <w:name w:val="Point 4"/>
    <w:basedOn w:val="Normal"/>
    <w:pPr>
      <w:ind w:left="3118" w:hanging="567"/>
    </w:pPr>
  </w:style>
  <w:style w:type="paragraph" w:customStyle="1" w:styleId="Point4letter">
    <w:name w:val="Point 4 (letter)"/>
    <w:basedOn w:val="Normal"/>
    <w:pPr>
      <w:numPr>
        <w:ilvl w:val="8"/>
        <w:numId w:val="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QuotedNumPar">
    <w:name w:val="Quoted NumPar"/>
    <w:basedOn w:val="Normal"/>
    <w:pPr>
      <w:ind w:left="1417" w:hanging="567"/>
    </w:pPr>
  </w:style>
  <w:style w:type="paragraph" w:customStyle="1" w:styleId="QuotedText">
    <w:name w:val="Quoted Text"/>
    <w:basedOn w:val="Normal"/>
    <w:pPr>
      <w:ind w:left="1417"/>
    </w:pPr>
  </w:style>
  <w:style w:type="paragraph" w:customStyle="1" w:styleId="Rfrencecroise">
    <w:name w:val="Référence croisée"/>
    <w:basedOn w:val="Normal"/>
    <w:pPr>
      <w:spacing w:before="0" w:after="0"/>
      <w:jc w:val="center"/>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Normal"/>
    <w:pPr>
      <w:spacing w:before="0" w:after="0"/>
      <w:ind w:left="5103"/>
      <w:jc w:val="left"/>
    </w:pPr>
  </w:style>
  <w:style w:type="paragraph" w:customStyle="1" w:styleId="RfrenceinterinstitutionnellePagedecouverture">
    <w:name w:val="Référence interinstitutionnelle (Page de couverture)"/>
    <w:basedOn w:val="Rfrenceinterinstitutionnelle"/>
    <w:next w:val="Confidentialit"/>
  </w:style>
  <w:style w:type="paragraph" w:customStyle="1" w:styleId="Rfrenceinterne">
    <w:name w:val="Référence interne"/>
    <w:basedOn w:val="Normal"/>
    <w:next w:val="Rfrenceinterinstitutionnelle"/>
    <w:pPr>
      <w:spacing w:before="0" w:after="0"/>
      <w:ind w:left="5103"/>
      <w:jc w:val="left"/>
    </w:pPr>
  </w:style>
  <w:style w:type="paragraph" w:customStyle="1" w:styleId="SectionTitle">
    <w:name w:val="SectionTitle"/>
    <w:basedOn w:val="Normal"/>
    <w:next w:val="Heading1"/>
    <w:pPr>
      <w:keepNext/>
      <w:spacing w:after="360"/>
      <w:jc w:val="center"/>
    </w:pPr>
    <w:rPr>
      <w:b/>
      <w:smallCaps/>
      <w:sz w:val="28"/>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customStyle="1" w:styleId="Statut">
    <w:name w:val="Statut"/>
    <w:basedOn w:val="Normal"/>
    <w:next w:val="Normal"/>
    <w:pPr>
      <w:spacing w:before="360" w:after="0"/>
      <w:jc w:val="center"/>
    </w:pPr>
  </w:style>
  <w:style w:type="paragraph" w:customStyle="1" w:styleId="StatutPagedecouverture">
    <w:name w:val="Statut (Page de couverture)"/>
    <w:basedOn w:val="Statut"/>
    <w:next w:val="Normal"/>
  </w:style>
  <w:style w:type="paragraph" w:customStyle="1" w:styleId="Supertitre">
    <w:name w:val="Supertitre"/>
    <w:basedOn w:val="Normal"/>
    <w:next w:val="Normal"/>
    <w:pPr>
      <w:spacing w:before="0" w:after="600"/>
      <w:jc w:val="center"/>
    </w:pPr>
    <w:rPr>
      <w:b/>
    </w:rPr>
  </w:style>
  <w:style w:type="paragraph" w:customStyle="1" w:styleId="TableTitle">
    <w:name w:val="Table Title"/>
    <w:basedOn w:val="Normal"/>
    <w:next w:val="Normal"/>
    <w:pPr>
      <w:jc w:val="center"/>
    </w:pPr>
    <w:rPr>
      <w:b/>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itreobjetPagedecouverture">
    <w:name w:val="Titre objet (Page de couverture)"/>
    <w:basedOn w:val="Titreobjet"/>
    <w:next w:val="Sous-titreobjetPagedecouverture"/>
  </w:style>
  <w:style w:type="paragraph" w:styleId="TOC1">
    <w:name w:val="toc 1"/>
    <w:basedOn w:val="Normal"/>
    <w:next w:val="Normal"/>
    <w:uiPriority w:val="39"/>
    <w:pPr>
      <w:tabs>
        <w:tab w:val="right" w:leader="dot" w:pos="9071"/>
      </w:tabs>
      <w:spacing w:before="60"/>
      <w:ind w:left="850" w:hanging="850"/>
      <w:jc w:val="left"/>
    </w:pPr>
  </w:style>
  <w:style w:type="paragraph" w:styleId="TOC2">
    <w:name w:val="toc 2"/>
    <w:basedOn w:val="Normal"/>
    <w:next w:val="Normal"/>
    <w:uiPriority w:val="39"/>
    <w:pPr>
      <w:tabs>
        <w:tab w:val="right" w:leader="dot" w:pos="9071"/>
      </w:tabs>
      <w:spacing w:before="60"/>
      <w:ind w:left="850" w:hanging="850"/>
      <w:jc w:val="left"/>
    </w:pPr>
  </w:style>
  <w:style w:type="paragraph" w:styleId="TOC3">
    <w:name w:val="toc 3"/>
    <w:basedOn w:val="Normal"/>
    <w:next w:val="Normal"/>
    <w:uiPriority w:val="39"/>
    <w:pPr>
      <w:tabs>
        <w:tab w:val="right" w:leader="dot" w:pos="9071"/>
      </w:tabs>
      <w:spacing w:before="60"/>
      <w:ind w:left="850" w:hanging="850"/>
      <w:jc w:val="left"/>
    </w:pPr>
  </w:style>
  <w:style w:type="paragraph" w:styleId="TOC4">
    <w:name w:val="toc 4"/>
    <w:basedOn w:val="Normal"/>
    <w:next w:val="Normal"/>
    <w:uiPriority w:val="39"/>
    <w:semiHidden/>
    <w:pPr>
      <w:tabs>
        <w:tab w:val="right" w:leader="dot" w:pos="9071"/>
      </w:tabs>
      <w:spacing w:before="60"/>
      <w:ind w:left="850" w:hanging="850"/>
      <w:jc w:val="left"/>
    </w:pPr>
  </w:style>
  <w:style w:type="paragraph" w:styleId="TOC5">
    <w:name w:val="toc 5"/>
    <w:basedOn w:val="Normal"/>
    <w:next w:val="Normal"/>
    <w:uiPriority w:val="39"/>
    <w:semiHidden/>
    <w:pPr>
      <w:tabs>
        <w:tab w:val="right" w:leader="dot" w:pos="9071"/>
      </w:tabs>
      <w:spacing w:before="300"/>
      <w:jc w:val="left"/>
    </w:pPr>
  </w:style>
  <w:style w:type="paragraph" w:styleId="TOC6">
    <w:name w:val="toc 6"/>
    <w:basedOn w:val="Normal"/>
    <w:next w:val="Normal"/>
    <w:uiPriority w:val="39"/>
    <w:semiHidden/>
    <w:pPr>
      <w:tabs>
        <w:tab w:val="right" w:leader="dot" w:pos="9071"/>
      </w:tabs>
      <w:spacing w:before="240"/>
      <w:jc w:val="left"/>
    </w:pPr>
  </w:style>
  <w:style w:type="paragraph" w:styleId="TOC7">
    <w:name w:val="toc 7"/>
    <w:basedOn w:val="Normal"/>
    <w:next w:val="Normal"/>
    <w:uiPriority w:val="39"/>
    <w:semiHidden/>
    <w:pPr>
      <w:tabs>
        <w:tab w:val="right" w:leader="dot" w:pos="9071"/>
      </w:tabs>
      <w:spacing w:before="180"/>
      <w:jc w:val="left"/>
    </w:pPr>
  </w:style>
  <w:style w:type="paragraph" w:styleId="TOC8">
    <w:name w:val="toc 8"/>
    <w:basedOn w:val="Normal"/>
    <w:next w:val="Normal"/>
    <w:uiPriority w:val="39"/>
    <w:semiHidden/>
    <w:pPr>
      <w:tabs>
        <w:tab w:val="right" w:leader="dot" w:pos="9071"/>
      </w:tabs>
      <w:jc w:val="left"/>
    </w:pPr>
  </w:style>
  <w:style w:type="paragraph" w:styleId="TOC9">
    <w:name w:val="toc 9"/>
    <w:basedOn w:val="Normal"/>
    <w:next w:val="Normal"/>
    <w:uiPriority w:val="39"/>
    <w:semiHidden/>
    <w:pPr>
      <w:tabs>
        <w:tab w:val="right" w:leader="dot" w:pos="9071"/>
      </w:tabs>
    </w:pPr>
  </w:style>
  <w:style w:type="paragraph" w:styleId="TOCHeading">
    <w:name w:val="TOC Heading"/>
    <w:basedOn w:val="Normal"/>
    <w:next w:val="Normal"/>
    <w:uiPriority w:val="39"/>
    <w:qFormat/>
    <w:pPr>
      <w:spacing w:after="240"/>
      <w:jc w:val="center"/>
    </w:pPr>
    <w:rPr>
      <w:b/>
      <w:sz w:val="28"/>
    </w:rPr>
  </w:style>
  <w:style w:type="paragraph" w:customStyle="1" w:styleId="Typeacteprincipal">
    <w:name w:val="Type acte principal"/>
    <w:basedOn w:val="Normal"/>
    <w:next w:val="Objetacteprincipal"/>
    <w:pPr>
      <w:spacing w:before="0" w:after="240"/>
      <w:jc w:val="center"/>
    </w:pPr>
    <w:rPr>
      <w:b/>
    </w:rPr>
  </w:style>
  <w:style w:type="paragraph" w:customStyle="1" w:styleId="TypeacteprincipalPagedecouverture">
    <w:name w:val="Type acte principal (Page de couverture)"/>
    <w:basedOn w:val="Typeacteprincipal"/>
    <w:next w:val="ObjetacteprincipalPagedecouverture"/>
  </w:style>
  <w:style w:type="paragraph" w:customStyle="1" w:styleId="Typedudocument">
    <w:name w:val="Type du document"/>
    <w:basedOn w:val="Normal"/>
    <w:next w:val="Titreobjet"/>
    <w:pPr>
      <w:spacing w:before="360" w:after="0"/>
      <w:jc w:val="center"/>
    </w:pPr>
    <w:rPr>
      <w:b/>
    </w:rPr>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character" w:customStyle="1" w:styleId="Heading5Char">
    <w:name w:val="Heading 5 Char"/>
    <w:link w:val="Heading5"/>
    <w:uiPriority w:val="9"/>
    <w:rPr>
      <w:b/>
      <w:bCs/>
      <w:i/>
      <w:iCs/>
      <w:sz w:val="26"/>
      <w:szCs w:val="26"/>
      <w:lang w:val="x-none"/>
    </w:rPr>
  </w:style>
  <w:style w:type="character" w:customStyle="1" w:styleId="Heading6Char">
    <w:name w:val="Heading 6 Char"/>
    <w:link w:val="Heading6"/>
    <w:uiPriority w:val="9"/>
    <w:rPr>
      <w:b/>
      <w:bCs/>
      <w:sz w:val="22"/>
      <w:szCs w:val="22"/>
      <w:lang w:val="x-none"/>
    </w:rPr>
  </w:style>
  <w:style w:type="character" w:customStyle="1" w:styleId="Heading7Char">
    <w:name w:val="Heading 7 Char"/>
    <w:link w:val="Heading7"/>
    <w:uiPriority w:val="9"/>
    <w:rPr>
      <w:b/>
      <w:bCs/>
      <w:sz w:val="18"/>
      <w:shd w:val="clear" w:color="auto" w:fill="auto"/>
      <w:lang w:val="en-US" w:eastAsia="zh-CN"/>
    </w:rPr>
  </w:style>
  <w:style w:type="character" w:customStyle="1" w:styleId="Heading8Char">
    <w:name w:val="Heading 8 Char"/>
    <w:link w:val="Heading8"/>
    <w:uiPriority w:val="9"/>
    <w:rPr>
      <w:rFonts w:ascii="Palatino Linotype" w:hAnsi="Palatino Linotype"/>
      <w:i/>
      <w:iCs/>
      <w:sz w:val="22"/>
      <w:szCs w:val="24"/>
      <w:shd w:val="clear" w:color="auto" w:fill="auto"/>
      <w:lang w:val="x-none" w:eastAsia="de-DE"/>
    </w:rPr>
  </w:style>
  <w:style w:type="character" w:customStyle="1" w:styleId="Heading9Char">
    <w:name w:val="Heading 9 Char"/>
    <w:link w:val="Heading9"/>
    <w:uiPriority w:val="9"/>
    <w:rPr>
      <w:rFonts w:ascii="Arial" w:hAnsi="Arial"/>
      <w:sz w:val="22"/>
      <w:szCs w:val="22"/>
      <w:shd w:val="clear" w:color="auto" w:fill="auto"/>
      <w:lang w:val="x-none" w:eastAsia="de-DE"/>
    </w:rPr>
  </w:style>
  <w:style w:type="paragraph" w:styleId="ListBullet">
    <w:name w:val="List Bullet"/>
    <w:basedOn w:val="Normal"/>
    <w:uiPriority w:val="99"/>
    <w:pPr>
      <w:numPr>
        <w:numId w:val="15"/>
      </w:numPr>
    </w:pPr>
    <w:rPr>
      <w:szCs w:val="22"/>
      <w:lang w:eastAsia="en-GB"/>
    </w:rPr>
  </w:style>
  <w:style w:type="paragraph" w:styleId="ListBullet2">
    <w:name w:val="List Bullet 2"/>
    <w:basedOn w:val="Normal"/>
    <w:uiPriority w:val="99"/>
    <w:pPr>
      <w:numPr>
        <w:numId w:val="16"/>
      </w:numPr>
    </w:pPr>
    <w:rPr>
      <w:szCs w:val="22"/>
      <w:lang w:eastAsia="en-GB"/>
    </w:rPr>
  </w:style>
  <w:style w:type="paragraph" w:styleId="ListBullet3">
    <w:name w:val="List Bullet 3"/>
    <w:basedOn w:val="Normal"/>
    <w:uiPriority w:val="99"/>
    <w:pPr>
      <w:numPr>
        <w:numId w:val="17"/>
      </w:numPr>
    </w:pPr>
    <w:rPr>
      <w:szCs w:val="22"/>
      <w:lang w:eastAsia="en-GB"/>
    </w:rPr>
  </w:style>
  <w:style w:type="paragraph" w:styleId="ListBullet4">
    <w:name w:val="List Bullet 4"/>
    <w:basedOn w:val="Normal"/>
    <w:uiPriority w:val="99"/>
    <w:pPr>
      <w:numPr>
        <w:numId w:val="18"/>
      </w:numPr>
    </w:pPr>
    <w:rPr>
      <w:szCs w:val="22"/>
      <w:lang w:eastAsia="en-GB"/>
    </w:rPr>
  </w:style>
  <w:style w:type="paragraph" w:styleId="ListNumber">
    <w:name w:val="List Number"/>
    <w:basedOn w:val="Normal"/>
    <w:uiPriority w:val="99"/>
    <w:pPr>
      <w:numPr>
        <w:numId w:val="30"/>
      </w:numPr>
    </w:pPr>
    <w:rPr>
      <w:szCs w:val="22"/>
      <w:lang w:eastAsia="de-DE"/>
    </w:rPr>
  </w:style>
  <w:style w:type="paragraph" w:styleId="ListNumber2">
    <w:name w:val="List Number 2"/>
    <w:basedOn w:val="Normal"/>
    <w:uiPriority w:val="99"/>
    <w:pPr>
      <w:numPr>
        <w:numId w:val="29"/>
      </w:numPr>
    </w:pPr>
    <w:rPr>
      <w:szCs w:val="22"/>
      <w:lang w:eastAsia="de-DE"/>
    </w:rPr>
  </w:style>
  <w:style w:type="paragraph" w:styleId="ListNumber3">
    <w:name w:val="List Number 3"/>
    <w:basedOn w:val="Normal"/>
    <w:uiPriority w:val="99"/>
    <w:pPr>
      <w:numPr>
        <w:numId w:val="28"/>
      </w:numPr>
    </w:pPr>
    <w:rPr>
      <w:szCs w:val="22"/>
      <w:lang w:eastAsia="de-DE"/>
    </w:rPr>
  </w:style>
  <w:style w:type="paragraph" w:styleId="ListNumber4">
    <w:name w:val="List Number 4"/>
    <w:basedOn w:val="Normal"/>
    <w:uiPriority w:val="99"/>
    <w:pPr>
      <w:numPr>
        <w:numId w:val="27"/>
      </w:numPr>
    </w:pPr>
    <w:rPr>
      <w:szCs w:val="22"/>
      <w:lang w:eastAsia="de-DE"/>
    </w:rPr>
  </w:style>
  <w:style w:type="paragraph" w:customStyle="1" w:styleId="ListBullet1">
    <w:name w:val="List Bullet 1"/>
    <w:basedOn w:val="Normal"/>
    <w:pPr>
      <w:numPr>
        <w:numId w:val="19"/>
      </w:numPr>
    </w:pPr>
    <w:rPr>
      <w:szCs w:val="22"/>
      <w:lang w:eastAsia="de-DE"/>
    </w:rPr>
  </w:style>
  <w:style w:type="paragraph" w:customStyle="1" w:styleId="ListDash">
    <w:name w:val="List Dash"/>
    <w:basedOn w:val="Normal"/>
    <w:pPr>
      <w:numPr>
        <w:numId w:val="20"/>
      </w:numPr>
    </w:pPr>
    <w:rPr>
      <w:szCs w:val="22"/>
      <w:lang w:eastAsia="de-DE"/>
    </w:rPr>
  </w:style>
  <w:style w:type="paragraph" w:customStyle="1" w:styleId="ListDash1">
    <w:name w:val="List Dash 1"/>
    <w:basedOn w:val="Normal"/>
    <w:pPr>
      <w:numPr>
        <w:numId w:val="21"/>
      </w:numPr>
    </w:pPr>
    <w:rPr>
      <w:szCs w:val="22"/>
      <w:lang w:eastAsia="de-DE"/>
    </w:rPr>
  </w:style>
  <w:style w:type="paragraph" w:customStyle="1" w:styleId="ListDash2">
    <w:name w:val="List Dash 2"/>
    <w:basedOn w:val="Normal"/>
    <w:pPr>
      <w:numPr>
        <w:numId w:val="22"/>
      </w:numPr>
    </w:pPr>
    <w:rPr>
      <w:szCs w:val="22"/>
      <w:lang w:eastAsia="de-DE"/>
    </w:rPr>
  </w:style>
  <w:style w:type="paragraph" w:customStyle="1" w:styleId="ListDash3">
    <w:name w:val="List Dash 3"/>
    <w:basedOn w:val="Normal"/>
    <w:pPr>
      <w:numPr>
        <w:numId w:val="23"/>
      </w:numPr>
    </w:pPr>
    <w:rPr>
      <w:szCs w:val="22"/>
      <w:lang w:eastAsia="de-DE"/>
    </w:rPr>
  </w:style>
  <w:style w:type="paragraph" w:customStyle="1" w:styleId="ListDash4">
    <w:name w:val="List Dash 4"/>
    <w:basedOn w:val="Normal"/>
    <w:pPr>
      <w:numPr>
        <w:numId w:val="24"/>
      </w:numPr>
    </w:pPr>
    <w:rPr>
      <w:szCs w:val="22"/>
      <w:lang w:eastAsia="de-DE"/>
    </w:rPr>
  </w:style>
  <w:style w:type="paragraph" w:customStyle="1" w:styleId="ListNumber1">
    <w:name w:val="List Number 1"/>
    <w:basedOn w:val="Text1"/>
    <w:pPr>
      <w:numPr>
        <w:numId w:val="25"/>
      </w:numPr>
    </w:pPr>
    <w:rPr>
      <w:szCs w:val="22"/>
      <w:lang w:eastAsia="de-DE"/>
    </w:rPr>
  </w:style>
  <w:style w:type="paragraph" w:customStyle="1" w:styleId="ListNumberLevel2">
    <w:name w:val="List Number (Level 2)"/>
    <w:basedOn w:val="Normal"/>
    <w:pPr>
      <w:numPr>
        <w:ilvl w:val="1"/>
        <w:numId w:val="30"/>
      </w:numPr>
    </w:pPr>
    <w:rPr>
      <w:szCs w:val="22"/>
      <w:lang w:eastAsia="de-DE"/>
    </w:rPr>
  </w:style>
  <w:style w:type="paragraph" w:customStyle="1" w:styleId="ListNumber1Level2">
    <w:name w:val="List Number 1 (Level 2)"/>
    <w:basedOn w:val="Text1"/>
    <w:pPr>
      <w:numPr>
        <w:ilvl w:val="1"/>
        <w:numId w:val="25"/>
      </w:numPr>
    </w:pPr>
    <w:rPr>
      <w:szCs w:val="22"/>
      <w:lang w:eastAsia="de-DE"/>
    </w:rPr>
  </w:style>
  <w:style w:type="paragraph" w:customStyle="1" w:styleId="ListNumber2Level2">
    <w:name w:val="List Number 2 (Level 2)"/>
    <w:basedOn w:val="Text2"/>
    <w:pPr>
      <w:numPr>
        <w:ilvl w:val="1"/>
        <w:numId w:val="29"/>
      </w:numPr>
    </w:pPr>
    <w:rPr>
      <w:szCs w:val="22"/>
      <w:lang w:eastAsia="de-DE"/>
    </w:rPr>
  </w:style>
  <w:style w:type="paragraph" w:customStyle="1" w:styleId="ListNumber3Level2">
    <w:name w:val="List Number 3 (Level 2)"/>
    <w:basedOn w:val="Text3"/>
    <w:pPr>
      <w:numPr>
        <w:ilvl w:val="1"/>
        <w:numId w:val="28"/>
      </w:numPr>
    </w:pPr>
    <w:rPr>
      <w:szCs w:val="22"/>
      <w:lang w:eastAsia="de-DE"/>
    </w:rPr>
  </w:style>
  <w:style w:type="paragraph" w:customStyle="1" w:styleId="ListNumber4Level2">
    <w:name w:val="List Number 4 (Level 2)"/>
    <w:basedOn w:val="Text4"/>
    <w:pPr>
      <w:numPr>
        <w:ilvl w:val="1"/>
        <w:numId w:val="27"/>
      </w:numPr>
    </w:pPr>
    <w:rPr>
      <w:szCs w:val="22"/>
      <w:lang w:eastAsia="de-DE"/>
    </w:rPr>
  </w:style>
  <w:style w:type="paragraph" w:customStyle="1" w:styleId="ListNumberLevel3">
    <w:name w:val="List Number (Level 3)"/>
    <w:basedOn w:val="Normal"/>
    <w:pPr>
      <w:numPr>
        <w:ilvl w:val="2"/>
        <w:numId w:val="30"/>
      </w:numPr>
    </w:pPr>
    <w:rPr>
      <w:szCs w:val="22"/>
      <w:lang w:eastAsia="de-DE"/>
    </w:rPr>
  </w:style>
  <w:style w:type="paragraph" w:customStyle="1" w:styleId="ListNumber1Level3">
    <w:name w:val="List Number 1 (Level 3)"/>
    <w:basedOn w:val="Text1"/>
    <w:pPr>
      <w:numPr>
        <w:ilvl w:val="2"/>
        <w:numId w:val="25"/>
      </w:numPr>
    </w:pPr>
    <w:rPr>
      <w:szCs w:val="22"/>
      <w:lang w:eastAsia="de-DE"/>
    </w:rPr>
  </w:style>
  <w:style w:type="paragraph" w:customStyle="1" w:styleId="ListNumber2Level3">
    <w:name w:val="List Number 2 (Level 3)"/>
    <w:basedOn w:val="Text2"/>
    <w:pPr>
      <w:numPr>
        <w:ilvl w:val="2"/>
        <w:numId w:val="29"/>
      </w:numPr>
    </w:pPr>
    <w:rPr>
      <w:szCs w:val="22"/>
      <w:lang w:eastAsia="de-DE"/>
    </w:rPr>
  </w:style>
  <w:style w:type="paragraph" w:customStyle="1" w:styleId="ListNumber3Level3">
    <w:name w:val="List Number 3 (Level 3)"/>
    <w:basedOn w:val="Text3"/>
    <w:pPr>
      <w:numPr>
        <w:ilvl w:val="2"/>
        <w:numId w:val="28"/>
      </w:numPr>
    </w:pPr>
    <w:rPr>
      <w:szCs w:val="22"/>
      <w:lang w:eastAsia="de-DE"/>
    </w:rPr>
  </w:style>
  <w:style w:type="paragraph" w:customStyle="1" w:styleId="ListNumber4Level3">
    <w:name w:val="List Number 4 (Level 3)"/>
    <w:basedOn w:val="Text4"/>
    <w:pPr>
      <w:numPr>
        <w:ilvl w:val="2"/>
        <w:numId w:val="27"/>
      </w:numPr>
    </w:pPr>
    <w:rPr>
      <w:szCs w:val="22"/>
      <w:lang w:eastAsia="de-DE"/>
    </w:rPr>
  </w:style>
  <w:style w:type="paragraph" w:customStyle="1" w:styleId="ListNumberLevel4">
    <w:name w:val="List Number (Level 4)"/>
    <w:basedOn w:val="Normal"/>
    <w:pPr>
      <w:numPr>
        <w:ilvl w:val="3"/>
        <w:numId w:val="30"/>
      </w:numPr>
    </w:pPr>
    <w:rPr>
      <w:szCs w:val="22"/>
      <w:lang w:eastAsia="de-DE"/>
    </w:rPr>
  </w:style>
  <w:style w:type="paragraph" w:customStyle="1" w:styleId="ListNumber1Level4">
    <w:name w:val="List Number 1 (Level 4)"/>
    <w:basedOn w:val="Text1"/>
    <w:pPr>
      <w:numPr>
        <w:ilvl w:val="3"/>
        <w:numId w:val="25"/>
      </w:numPr>
    </w:pPr>
    <w:rPr>
      <w:szCs w:val="22"/>
      <w:lang w:eastAsia="de-DE"/>
    </w:rPr>
  </w:style>
  <w:style w:type="paragraph" w:customStyle="1" w:styleId="ListNumber2Level4">
    <w:name w:val="List Number 2 (Level 4)"/>
    <w:basedOn w:val="Text2"/>
    <w:pPr>
      <w:numPr>
        <w:ilvl w:val="3"/>
        <w:numId w:val="29"/>
      </w:numPr>
    </w:pPr>
    <w:rPr>
      <w:szCs w:val="22"/>
      <w:lang w:eastAsia="de-DE"/>
    </w:rPr>
  </w:style>
  <w:style w:type="paragraph" w:customStyle="1" w:styleId="ListNumber3Level4">
    <w:name w:val="List Number 3 (Level 4)"/>
    <w:basedOn w:val="Text3"/>
    <w:pPr>
      <w:numPr>
        <w:ilvl w:val="3"/>
        <w:numId w:val="28"/>
      </w:numPr>
    </w:pPr>
    <w:rPr>
      <w:szCs w:val="22"/>
      <w:lang w:eastAsia="de-DE"/>
    </w:rPr>
  </w:style>
  <w:style w:type="paragraph" w:customStyle="1" w:styleId="ListNumber4Level4">
    <w:name w:val="List Number 4 (Level 4)"/>
    <w:basedOn w:val="Text4"/>
    <w:pPr>
      <w:numPr>
        <w:ilvl w:val="3"/>
        <w:numId w:val="27"/>
      </w:numPr>
    </w:pPr>
    <w:rPr>
      <w:szCs w:val="22"/>
      <w:lang w:eastAsia="de-DE"/>
    </w:rPr>
  </w:style>
  <w:style w:type="paragraph" w:customStyle="1" w:styleId="Annexetitreacte">
    <w:name w:val="Annexe titre (acte)"/>
    <w:basedOn w:val="Normal"/>
    <w:next w:val="Normal"/>
    <w:pPr>
      <w:jc w:val="center"/>
    </w:pPr>
    <w:rPr>
      <w:b/>
      <w:szCs w:val="22"/>
      <w:u w:val="single"/>
      <w:lang w:eastAsia="de-DE"/>
    </w:rPr>
  </w:style>
  <w:style w:type="paragraph" w:customStyle="1" w:styleId="Annexetitreexposglobal">
    <w:name w:val="Annexe titre (exposé global)"/>
    <w:basedOn w:val="Normal"/>
    <w:next w:val="Normal"/>
    <w:pPr>
      <w:jc w:val="center"/>
    </w:pPr>
    <w:rPr>
      <w:b/>
      <w:szCs w:val="22"/>
      <w:u w:val="single"/>
      <w:lang w:eastAsia="de-DE"/>
    </w:rPr>
  </w:style>
  <w:style w:type="paragraph" w:customStyle="1" w:styleId="Annexetitrefichefinacte">
    <w:name w:val="Annexe titre (fiche fin. acte)"/>
    <w:basedOn w:val="Normal"/>
    <w:next w:val="Normal"/>
    <w:pPr>
      <w:jc w:val="center"/>
    </w:pPr>
    <w:rPr>
      <w:b/>
      <w:szCs w:val="22"/>
      <w:u w:val="single"/>
      <w:lang w:eastAsia="de-DE"/>
    </w:rPr>
  </w:style>
  <w:style w:type="paragraph" w:customStyle="1" w:styleId="Annexetitrefichefinglobale">
    <w:name w:val="Annexe titre (fiche fin. globale)"/>
    <w:basedOn w:val="Normal"/>
    <w:next w:val="Normal"/>
    <w:pPr>
      <w:jc w:val="center"/>
    </w:pPr>
    <w:rPr>
      <w:b/>
      <w:szCs w:val="22"/>
      <w:u w:val="single"/>
      <w:lang w:eastAsia="de-DE"/>
    </w:rPr>
  </w:style>
  <w:style w:type="paragraph" w:customStyle="1" w:styleId="Annexetitreglobale">
    <w:name w:val="Annexe titre (globale)"/>
    <w:basedOn w:val="Normal"/>
    <w:next w:val="Normal"/>
    <w:pPr>
      <w:jc w:val="center"/>
    </w:pPr>
    <w:rPr>
      <w:b/>
      <w:szCs w:val="22"/>
      <w:u w:val="single"/>
      <w:lang w:eastAsia="de-DE"/>
    </w:rPr>
  </w:style>
  <w:style w:type="paragraph" w:customStyle="1" w:styleId="Rfrenceinstitutionelle">
    <w:name w:val="Référence institutionelle"/>
    <w:basedOn w:val="Normal"/>
    <w:next w:val="Statut"/>
    <w:pPr>
      <w:spacing w:before="0" w:after="240"/>
      <w:ind w:left="5103"/>
      <w:jc w:val="left"/>
    </w:pPr>
    <w:rPr>
      <w:szCs w:val="22"/>
      <w:lang w:eastAsia="de-DE"/>
    </w:rPr>
  </w:style>
  <w:style w:type="paragraph" w:customStyle="1" w:styleId="Exposdesmotifstitreglobal">
    <w:name w:val="Exposé des motifs titre (global)"/>
    <w:basedOn w:val="Normal"/>
    <w:next w:val="Normal"/>
    <w:pPr>
      <w:jc w:val="center"/>
    </w:pPr>
    <w:rPr>
      <w:b/>
      <w:szCs w:val="22"/>
      <w:u w:val="single"/>
      <w:lang w:eastAsia="de-DE"/>
    </w:rPr>
  </w:style>
  <w:style w:type="paragraph" w:customStyle="1" w:styleId="Langueoriginale">
    <w:name w:val="Langue originale"/>
    <w:basedOn w:val="Normal"/>
    <w:next w:val="Phrasefinale"/>
    <w:pPr>
      <w:spacing w:before="360"/>
      <w:jc w:val="center"/>
    </w:pPr>
    <w:rPr>
      <w:caps/>
      <w:szCs w:val="22"/>
      <w:lang w:eastAsia="de-DE"/>
    </w:rPr>
  </w:style>
  <w:style w:type="paragraph" w:customStyle="1" w:styleId="Phrasefinale">
    <w:name w:val="Phrase finale"/>
    <w:basedOn w:val="Normal"/>
    <w:next w:val="Normal"/>
    <w:pPr>
      <w:spacing w:before="360" w:after="0"/>
      <w:jc w:val="center"/>
    </w:pPr>
    <w:rPr>
      <w:szCs w:val="22"/>
      <w:lang w:eastAsia="de-DE"/>
    </w:rPr>
  </w:style>
  <w:style w:type="paragraph" w:customStyle="1" w:styleId="Prliminairetitre">
    <w:name w:val="Préliminaire titre"/>
    <w:basedOn w:val="Normal"/>
    <w:next w:val="Normal"/>
    <w:pPr>
      <w:spacing w:before="360" w:after="360"/>
      <w:jc w:val="center"/>
    </w:pPr>
    <w:rPr>
      <w:b/>
      <w:szCs w:val="22"/>
      <w:lang w:eastAsia="de-DE"/>
    </w:rPr>
  </w:style>
  <w:style w:type="paragraph" w:customStyle="1" w:styleId="Prliminairetype">
    <w:name w:val="Préliminaire type"/>
    <w:basedOn w:val="Normal"/>
    <w:next w:val="Normal"/>
    <w:pPr>
      <w:spacing w:before="360" w:after="0"/>
      <w:jc w:val="center"/>
    </w:pPr>
    <w:rPr>
      <w:b/>
      <w:szCs w:val="22"/>
      <w:lang w:eastAsia="de-DE"/>
    </w:rPr>
  </w:style>
  <w:style w:type="paragraph" w:customStyle="1" w:styleId="Rfrenceinterinstitutionelle">
    <w:name w:val="Référence interinstitutionelle"/>
    <w:basedOn w:val="Normal"/>
    <w:next w:val="Statut"/>
    <w:pPr>
      <w:spacing w:before="0" w:after="0"/>
      <w:ind w:left="5103"/>
      <w:jc w:val="left"/>
    </w:pPr>
    <w:rPr>
      <w:szCs w:val="22"/>
      <w:lang w:eastAsia="de-DE"/>
    </w:rPr>
  </w:style>
  <w:style w:type="paragraph" w:customStyle="1" w:styleId="Rfrenceinterinstitutionelleprliminaire">
    <w:name w:val="Référence interinstitutionelle (préliminaire)"/>
    <w:basedOn w:val="Normal"/>
    <w:next w:val="Normal"/>
    <w:pPr>
      <w:spacing w:before="0" w:after="0"/>
      <w:ind w:left="5103"/>
      <w:jc w:val="left"/>
    </w:pPr>
    <w:rPr>
      <w:szCs w:val="22"/>
      <w:lang w:eastAsia="de-DE"/>
    </w:rPr>
  </w:style>
  <w:style w:type="paragraph" w:customStyle="1" w:styleId="Sous-titreobjetprliminaire">
    <w:name w:val="Sous-titre objet (préliminaire)"/>
    <w:basedOn w:val="Normal"/>
    <w:pPr>
      <w:spacing w:before="0" w:after="0"/>
      <w:jc w:val="center"/>
    </w:pPr>
    <w:rPr>
      <w:b/>
      <w:szCs w:val="22"/>
      <w:lang w:eastAsia="de-DE"/>
    </w:rPr>
  </w:style>
  <w:style w:type="paragraph" w:customStyle="1" w:styleId="Statutprliminaire">
    <w:name w:val="Statut (préliminaire)"/>
    <w:basedOn w:val="Normal"/>
    <w:next w:val="Normal"/>
    <w:pPr>
      <w:spacing w:before="360" w:after="0"/>
      <w:jc w:val="center"/>
    </w:pPr>
    <w:rPr>
      <w:szCs w:val="22"/>
      <w:lang w:eastAsia="de-DE"/>
    </w:rPr>
  </w:style>
  <w:style w:type="paragraph" w:customStyle="1" w:styleId="Titreobjetprliminaire">
    <w:name w:val="Titre objet (préliminaire)"/>
    <w:basedOn w:val="Normal"/>
    <w:next w:val="Normal"/>
    <w:pPr>
      <w:spacing w:before="360" w:after="360"/>
      <w:jc w:val="center"/>
    </w:pPr>
    <w:rPr>
      <w:b/>
      <w:szCs w:val="22"/>
      <w:lang w:eastAsia="de-DE"/>
    </w:rPr>
  </w:style>
  <w:style w:type="paragraph" w:customStyle="1" w:styleId="Typedudocumentprliminaire">
    <w:name w:val="Type du document (préliminaire)"/>
    <w:basedOn w:val="Normal"/>
    <w:next w:val="Normal"/>
    <w:pPr>
      <w:spacing w:before="360" w:after="0"/>
      <w:jc w:val="center"/>
    </w:pPr>
    <w:rPr>
      <w:b/>
      <w:szCs w:val="22"/>
      <w:lang w:eastAsia="de-DE"/>
    </w:rPr>
  </w:style>
  <w:style w:type="paragraph" w:customStyle="1" w:styleId="Fichefinancirestandardtitre">
    <w:name w:val="Fiche financière (standard) titre"/>
    <w:basedOn w:val="Normal"/>
    <w:next w:val="Normal"/>
    <w:pPr>
      <w:jc w:val="center"/>
    </w:pPr>
    <w:rPr>
      <w:b/>
      <w:szCs w:val="22"/>
      <w:u w:val="single"/>
      <w:lang w:eastAsia="de-DE"/>
    </w:rPr>
  </w:style>
  <w:style w:type="paragraph" w:customStyle="1" w:styleId="Fichefinancirestandardtitreacte">
    <w:name w:val="Fiche financière (standard) titre (acte)"/>
    <w:basedOn w:val="Normal"/>
    <w:next w:val="Normal"/>
    <w:pPr>
      <w:jc w:val="center"/>
    </w:pPr>
    <w:rPr>
      <w:b/>
      <w:szCs w:val="22"/>
      <w:u w:val="single"/>
      <w:lang w:eastAsia="de-DE"/>
    </w:rPr>
  </w:style>
  <w:style w:type="paragraph" w:customStyle="1" w:styleId="Fichefinanciretravailtitre">
    <w:name w:val="Fiche financière (travail) titre"/>
    <w:basedOn w:val="Normal"/>
    <w:next w:val="Normal"/>
    <w:pPr>
      <w:jc w:val="center"/>
    </w:pPr>
    <w:rPr>
      <w:b/>
      <w:szCs w:val="22"/>
      <w:u w:val="single"/>
      <w:lang w:eastAsia="de-DE"/>
    </w:rPr>
  </w:style>
  <w:style w:type="paragraph" w:customStyle="1" w:styleId="Fichefinanciretravailtitreacte">
    <w:name w:val="Fiche financière (travail) titre (acte)"/>
    <w:basedOn w:val="Normal"/>
    <w:next w:val="Normal"/>
    <w:pPr>
      <w:jc w:val="center"/>
    </w:pPr>
    <w:rPr>
      <w:b/>
      <w:szCs w:val="22"/>
      <w:u w:val="single"/>
      <w:lang w:eastAsia="de-DE"/>
    </w:rPr>
  </w:style>
  <w:style w:type="paragraph" w:customStyle="1" w:styleId="Fichefinancireattributiontitre">
    <w:name w:val="Fiche financière (attribution) titre"/>
    <w:basedOn w:val="Normal"/>
    <w:next w:val="Normal"/>
    <w:pPr>
      <w:jc w:val="center"/>
    </w:pPr>
    <w:rPr>
      <w:b/>
      <w:szCs w:val="22"/>
      <w:u w:val="single"/>
      <w:lang w:eastAsia="de-DE"/>
    </w:rPr>
  </w:style>
  <w:style w:type="paragraph" w:customStyle="1" w:styleId="Fichefinancireattributiontitreacte">
    <w:name w:val="Fiche financière (attribution) titre (acte)"/>
    <w:basedOn w:val="Normal"/>
    <w:next w:val="Normal"/>
    <w:pPr>
      <w:jc w:val="center"/>
    </w:pPr>
    <w:rPr>
      <w:b/>
      <w:szCs w:val="22"/>
      <w:u w:val="single"/>
      <w:lang w:eastAsia="de-DE"/>
    </w:rPr>
  </w:style>
  <w:style w:type="character" w:styleId="Hyperlink">
    <w:name w:val="Hyperlink"/>
    <w:uiPriority w:val="99"/>
    <w:rPr>
      <w:rFonts w:cs="Times New Roman"/>
      <w:color w:val="0000FF"/>
      <w:u w:val="single"/>
      <w:shd w:val="clear" w:color="auto" w:fill="auto"/>
    </w:rPr>
  </w:style>
  <w:style w:type="character" w:styleId="EndnoteReference">
    <w:name w:val="endnote reference"/>
    <w:uiPriority w:val="99"/>
    <w:rPr>
      <w:rFonts w:cs="Times New Roman"/>
      <w:shd w:val="clear" w:color="auto" w:fill="auto"/>
      <w:vertAlign w:val="superscript"/>
    </w:rPr>
  </w:style>
  <w:style w:type="paragraph" w:styleId="BodyText">
    <w:name w:val="Body Text"/>
    <w:basedOn w:val="Normal"/>
    <w:link w:val="BodyTextChar"/>
    <w:uiPriority w:val="99"/>
    <w:pPr>
      <w:tabs>
        <w:tab w:val="left" w:pos="3960"/>
      </w:tabs>
      <w:spacing w:before="0" w:after="240"/>
      <w:jc w:val="left"/>
    </w:pPr>
    <w:rPr>
      <w:rFonts w:ascii="Palatino Linotype" w:hAnsi="Palatino Linotype"/>
      <w:sz w:val="22"/>
      <w:lang w:val="x-none" w:eastAsia="de-DE"/>
    </w:rPr>
  </w:style>
  <w:style w:type="character" w:customStyle="1" w:styleId="BodyTextChar">
    <w:name w:val="Body Text Char"/>
    <w:link w:val="BodyText"/>
    <w:uiPriority w:val="99"/>
    <w:rPr>
      <w:rFonts w:ascii="Palatino Linotype" w:hAnsi="Palatino Linotype"/>
      <w:sz w:val="22"/>
      <w:szCs w:val="24"/>
      <w:shd w:val="clear" w:color="auto" w:fill="auto"/>
      <w:lang w:val="x-none" w:eastAsia="de-DE"/>
    </w:rPr>
  </w:style>
  <w:style w:type="character" w:styleId="Strong">
    <w:name w:val="Strong"/>
    <w:uiPriority w:val="22"/>
    <w:qFormat/>
    <w:rPr>
      <w:rFonts w:cs="Times New Roman"/>
      <w:b/>
      <w:bCs/>
      <w:shd w:val="clear" w:color="auto" w:fill="auto"/>
    </w:rPr>
  </w:style>
  <w:style w:type="paragraph" w:customStyle="1" w:styleId="5Normal">
    <w:name w:val="5 Normal"/>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76" w:lineRule="auto"/>
      <w:jc w:val="both"/>
    </w:pPr>
    <w:rPr>
      <w:rFonts w:ascii="Arial" w:hAnsi="Arial"/>
      <w:spacing w:val="-2"/>
      <w:sz w:val="22"/>
      <w:szCs w:val="22"/>
      <w:lang w:eastAsia="en-GB"/>
    </w:rPr>
  </w:style>
  <w:style w:type="paragraph" w:styleId="NormalWeb">
    <w:name w:val="Normal (Web)"/>
    <w:aliases w:val="webb"/>
    <w:basedOn w:val="Normal"/>
    <w:uiPriority w:val="99"/>
    <w:pPr>
      <w:spacing w:before="150" w:after="150"/>
      <w:ind w:left="675" w:right="525"/>
      <w:jc w:val="left"/>
    </w:pPr>
    <w:rPr>
      <w:sz w:val="19"/>
      <w:szCs w:val="19"/>
      <w:lang w:eastAsia="en-GB"/>
    </w:rPr>
  </w:style>
  <w:style w:type="paragraph" w:customStyle="1" w:styleId="Tyret1">
    <w:name w:val="Tyret 1"/>
    <w:basedOn w:val="ListDash"/>
    <w:pPr>
      <w:numPr>
        <w:numId w:val="26"/>
      </w:numPr>
      <w:tabs>
        <w:tab w:val="num" w:pos="1134"/>
      </w:tabs>
      <w:ind w:left="1134"/>
    </w:pPr>
  </w:style>
  <w:style w:type="character" w:styleId="FollowedHyperlink">
    <w:name w:val="FollowedHyperlink"/>
    <w:uiPriority w:val="99"/>
    <w:rPr>
      <w:rFonts w:cs="Times New Roman"/>
      <w:color w:val="800080"/>
      <w:u w:val="single"/>
      <w:shd w:val="clear" w:color="auto" w:fill="auto"/>
    </w:rPr>
  </w:style>
  <w:style w:type="paragraph" w:customStyle="1" w:styleId="4Chapeau">
    <w:name w:val="4 Chapeau"/>
    <w:basedOn w:val="Normal"/>
    <w:next w:val="Normal"/>
    <w:autoRedefine/>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before="600" w:after="240"/>
    </w:pPr>
    <w:rPr>
      <w:szCs w:val="22"/>
      <w:lang w:eastAsia="en-GB"/>
    </w:rPr>
  </w:style>
  <w:style w:type="paragraph" w:customStyle="1" w:styleId="Default">
    <w:name w:val="Default"/>
    <w:pPr>
      <w:autoSpaceDE w:val="0"/>
      <w:autoSpaceDN w:val="0"/>
      <w:adjustRightInd w:val="0"/>
      <w:spacing w:after="200" w:line="276" w:lineRule="auto"/>
    </w:pPr>
    <w:rPr>
      <w:rFonts w:ascii="EUAlbertina" w:hAnsi="EUAlbertina" w:cs="EUAlbertina"/>
      <w:color w:val="000000"/>
      <w:sz w:val="24"/>
      <w:szCs w:val="24"/>
      <w:lang w:eastAsia="en-GB"/>
    </w:rPr>
  </w:style>
  <w:style w:type="table" w:styleId="TableGrid">
    <w:name w:val="Table Grid"/>
    <w:basedOn w:val="TableNormal"/>
    <w:uiPriority w:val="59"/>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4">
    <w:name w:val="CM4"/>
    <w:basedOn w:val="Default"/>
    <w:next w:val="Default"/>
    <w:uiPriority w:val="99"/>
    <w:rPr>
      <w:rFonts w:cs="Times New Roman"/>
      <w:color w:val="auto"/>
    </w:r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character" w:styleId="CommentReference">
    <w:name w:val="annotation reference"/>
    <w:uiPriority w:val="99"/>
    <w:rPr>
      <w:sz w:val="16"/>
      <w:szCs w:val="16"/>
      <w:shd w:val="clear" w:color="auto" w:fill="auto"/>
    </w:rPr>
  </w:style>
  <w:style w:type="paragraph" w:styleId="CommentText">
    <w:name w:val="annotation text"/>
    <w:basedOn w:val="Normal"/>
    <w:link w:val="CommentTextChar1"/>
    <w:uiPriority w:val="99"/>
    <w:rPr>
      <w:sz w:val="20"/>
      <w:szCs w:val="20"/>
      <w:lang w:val="x-none"/>
    </w:rPr>
  </w:style>
  <w:style w:type="character" w:customStyle="1" w:styleId="CommentTextChar">
    <w:name w:val="Comment Text Char"/>
    <w:uiPriority w:val="99"/>
    <w:rPr>
      <w:shd w:val="clear" w:color="auto" w:fill="auto"/>
      <w:lang w:eastAsia="en-US"/>
    </w:rPr>
  </w:style>
  <w:style w:type="paragraph" w:styleId="CommentSubject">
    <w:name w:val="annotation subject"/>
    <w:basedOn w:val="Normal"/>
    <w:next w:val="CommentText"/>
    <w:link w:val="CommentSubjectChar"/>
    <w:uiPriority w:val="99"/>
    <w:rPr>
      <w:b/>
      <w:bCs/>
      <w:lang w:val="x-none"/>
    </w:rPr>
  </w:style>
  <w:style w:type="character" w:customStyle="1" w:styleId="CommentSubjectChar">
    <w:name w:val="Comment Subject Char"/>
    <w:link w:val="CommentSubject"/>
    <w:uiPriority w:val="99"/>
    <w:rPr>
      <w:b/>
      <w:bCs/>
      <w:sz w:val="24"/>
      <w:szCs w:val="24"/>
      <w:shd w:val="clear" w:color="auto" w:fill="auto"/>
      <w:lang w:val="x-none" w:eastAsia="en-US"/>
    </w:rPr>
  </w:style>
  <w:style w:type="paragraph" w:styleId="BalloonText">
    <w:name w:val="Balloon Text"/>
    <w:basedOn w:val="Normal"/>
    <w:link w:val="BalloonTextChar"/>
    <w:uiPriority w:val="99"/>
    <w:rPr>
      <w:rFonts w:ascii="Tahoma" w:hAnsi="Tahoma"/>
      <w:sz w:val="16"/>
      <w:szCs w:val="16"/>
      <w:lang w:val="x-none"/>
    </w:rPr>
  </w:style>
  <w:style w:type="character" w:customStyle="1" w:styleId="BalloonTextChar">
    <w:name w:val="Balloon Text Char"/>
    <w:link w:val="BalloonText"/>
    <w:uiPriority w:val="99"/>
    <w:rPr>
      <w:rFonts w:ascii="Tahoma" w:hAnsi="Tahoma"/>
      <w:sz w:val="16"/>
      <w:szCs w:val="16"/>
      <w:shd w:val="clear" w:color="auto" w:fill="auto"/>
      <w:lang w:val="x-none" w:eastAsia="en-US"/>
    </w:rPr>
  </w:style>
  <w:style w:type="paragraph" w:styleId="Caption">
    <w:name w:val="caption"/>
    <w:basedOn w:val="Normal"/>
    <w:next w:val="Normal"/>
    <w:uiPriority w:val="35"/>
    <w:qFormat/>
    <w:rPr>
      <w:b/>
      <w:bCs/>
      <w:sz w:val="20"/>
      <w:szCs w:val="20"/>
      <w:lang w:eastAsia="en-GB"/>
    </w:rPr>
  </w:style>
  <w:style w:type="paragraph" w:styleId="TableofFigures">
    <w:name w:val="table of figures"/>
    <w:basedOn w:val="Normal"/>
    <w:next w:val="Normal"/>
    <w:uiPriority w:val="99"/>
    <w:rPr>
      <w:szCs w:val="22"/>
      <w:lang w:eastAsia="en-GB"/>
    </w:rPr>
  </w:style>
  <w:style w:type="paragraph" w:customStyle="1" w:styleId="Pa14">
    <w:name w:val="Pa14"/>
    <w:basedOn w:val="Default"/>
    <w:next w:val="Default"/>
    <w:pPr>
      <w:spacing w:line="201" w:lineRule="atLeast"/>
    </w:pPr>
    <w:rPr>
      <w:rFonts w:ascii="Palatino Linotype" w:hAnsi="Palatino Linotype" w:cs="Times New Roman"/>
      <w:color w:val="auto"/>
    </w:rPr>
  </w:style>
  <w:style w:type="character" w:customStyle="1" w:styleId="A10">
    <w:name w:val="A10"/>
    <w:rPr>
      <w:rFonts w:cs="Palatino Linotype"/>
      <w:color w:val="000000"/>
      <w:sz w:val="11"/>
      <w:szCs w:val="11"/>
    </w:rPr>
  </w:style>
  <w:style w:type="paragraph" w:styleId="Revision">
    <w:name w:val="Revision"/>
    <w:hidden/>
    <w:uiPriority w:val="99"/>
    <w:semiHidden/>
    <w:pPr>
      <w:spacing w:after="200" w:line="276" w:lineRule="auto"/>
    </w:pPr>
    <w:rPr>
      <w:sz w:val="24"/>
      <w:szCs w:val="24"/>
      <w:lang w:eastAsia="en-US"/>
    </w:rPr>
  </w:style>
  <w:style w:type="paragraph" w:styleId="ListParagraph">
    <w:name w:val="List Paragraph"/>
    <w:aliases w:val="Head 2"/>
    <w:basedOn w:val="Normal"/>
    <w:link w:val="ListParagraphChar"/>
    <w:autoRedefine/>
    <w:uiPriority w:val="34"/>
    <w:qFormat/>
    <w:pPr>
      <w:numPr>
        <w:numId w:val="39"/>
      </w:numPr>
      <w:spacing w:before="0" w:after="0"/>
    </w:pPr>
    <w:rPr>
      <w:rFonts w:eastAsia="Calibri"/>
      <w:szCs w:val="22"/>
      <w:lang w:val="x-none" w:eastAsia="x-none"/>
    </w:rPr>
  </w:style>
  <w:style w:type="paragraph" w:customStyle="1" w:styleId="astandard3520normal">
    <w:name w:val="a_standard__35__20_normal"/>
    <w:basedOn w:val="Normal"/>
    <w:pPr>
      <w:spacing w:before="0"/>
      <w:ind w:right="57"/>
    </w:pPr>
    <w:rPr>
      <w:szCs w:val="22"/>
      <w:lang w:eastAsia="en-GB"/>
    </w:rPr>
  </w:style>
  <w:style w:type="paragraph" w:customStyle="1" w:styleId="astandardsous-titre201">
    <w:name w:val="a_standard_sous-titre_20_1"/>
    <w:basedOn w:val="Normal"/>
    <w:pPr>
      <w:spacing w:before="240" w:after="80"/>
      <w:ind w:right="57"/>
      <w:jc w:val="left"/>
    </w:pPr>
    <w:rPr>
      <w:b/>
      <w:bCs/>
      <w:szCs w:val="22"/>
      <w:lang w:eastAsia="en-GB"/>
    </w:rPr>
  </w:style>
  <w:style w:type="paragraph" w:customStyle="1" w:styleId="a3520normalp9">
    <w:name w:val="a__35__20_normal_p9"/>
    <w:basedOn w:val="Normal"/>
    <w:pPr>
      <w:spacing w:before="0"/>
      <w:ind w:right="57"/>
    </w:pPr>
    <w:rPr>
      <w:szCs w:val="22"/>
      <w:lang w:eastAsia="en-GB"/>
    </w:rPr>
  </w:style>
  <w:style w:type="character" w:customStyle="1" w:styleId="at12">
    <w:name w:val="a__t12"/>
    <w:rPr>
      <w:i/>
      <w:iCs/>
    </w:rPr>
  </w:style>
  <w:style w:type="character" w:customStyle="1" w:styleId="at61">
    <w:name w:val="a__t61"/>
    <w:rPr>
      <w:b/>
      <w:bCs/>
    </w:rPr>
  </w:style>
  <w:style w:type="character" w:customStyle="1" w:styleId="at8">
    <w:name w:val="a__t8"/>
  </w:style>
  <w:style w:type="character" w:customStyle="1" w:styleId="afootnote20symbol1">
    <w:name w:val="a__footnote_20_symbol1"/>
    <w:rPr>
      <w:b/>
      <w:bCs/>
    </w:rPr>
  </w:style>
  <w:style w:type="character" w:customStyle="1" w:styleId="CommentTextChar1">
    <w:name w:val="Comment Text Char1"/>
    <w:link w:val="CommentText"/>
    <w:rPr>
      <w:lang w:val="x-none" w:eastAsia="en-US"/>
    </w:rPr>
  </w:style>
  <w:style w:type="paragraph" w:styleId="EndnoteText">
    <w:name w:val="endnote text"/>
    <w:basedOn w:val="Normal"/>
    <w:link w:val="EndnoteTextChar"/>
    <w:uiPriority w:val="99"/>
    <w:rPr>
      <w:sz w:val="20"/>
      <w:szCs w:val="20"/>
      <w:lang w:val="x-none"/>
    </w:rPr>
  </w:style>
  <w:style w:type="character" w:customStyle="1" w:styleId="EndnoteTextChar">
    <w:name w:val="Endnote Text Char"/>
    <w:link w:val="EndnoteText"/>
    <w:uiPriority w:val="99"/>
    <w:rPr>
      <w:shd w:val="clear" w:color="auto" w:fill="auto"/>
      <w:lang w:val="x-none" w:eastAsia="en-US"/>
    </w:rPr>
  </w:style>
  <w:style w:type="character" w:customStyle="1" w:styleId="FootnoteTextChar3">
    <w:name w:val="Footnote Text Char3"/>
    <w:aliases w:val="Footnote Char2,-E Fußnotentext Char2,Fußnotentext Ursprung Char2,Fußnote Char2,footnote text Char2,(Diplomarbeit) Char,(Diplomarbeit)1 Char,(Diplomarbeit)2 Char,(Diplomarbeit)3 Char,(Diplomarbeit)4 Char,(Diplomarbeit)5 Char"/>
    <w:locked/>
    <w:rPr>
      <w:rFonts w:ascii="Verdana" w:eastAsia="Times New Roman" w:hAnsi="Verdana"/>
      <w:sz w:val="16"/>
      <w:lang w:eastAsia="en-US"/>
    </w:rPr>
  </w:style>
  <w:style w:type="character" w:customStyle="1" w:styleId="Text1Char">
    <w:name w:val="Text 1 Char"/>
    <w:rPr>
      <w:sz w:val="24"/>
      <w:szCs w:val="24"/>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szCs w:val="22"/>
      <w:lang w:val="x-none"/>
    </w:rPr>
  </w:style>
  <w:style w:type="character" w:customStyle="1" w:styleId="FooterCoverPageChar">
    <w:name w:val="Footer Cover Page Char"/>
    <w:link w:val="FooterCoverPage"/>
    <w:rPr>
      <w:rFonts w:eastAsia="Calibri"/>
      <w:sz w:val="24"/>
      <w:szCs w:val="22"/>
      <w:lang w:val="x-none" w:eastAsia="en-US"/>
    </w:rPr>
  </w:style>
  <w:style w:type="paragraph" w:customStyle="1" w:styleId="HeaderCoverPage">
    <w:name w:val="Header Cover Page"/>
    <w:basedOn w:val="Normal"/>
    <w:link w:val="HeaderCoverPageChar"/>
    <w:pPr>
      <w:tabs>
        <w:tab w:val="center" w:pos="4535"/>
        <w:tab w:val="right" w:pos="9071"/>
      </w:tabs>
      <w:spacing w:before="0"/>
    </w:pPr>
    <w:rPr>
      <w:rFonts w:eastAsia="Calibri"/>
      <w:szCs w:val="22"/>
      <w:lang w:val="x-none"/>
    </w:rPr>
  </w:style>
  <w:style w:type="character" w:customStyle="1" w:styleId="HeaderCoverPageChar">
    <w:name w:val="Header Cover Page Char"/>
    <w:link w:val="HeaderCoverPage"/>
    <w:rPr>
      <w:rFonts w:eastAsia="Calibri"/>
      <w:sz w:val="24"/>
      <w:szCs w:val="22"/>
      <w:lang w:val="x-none" w:eastAsia="en-US"/>
    </w:rPr>
  </w:style>
  <w:style w:type="numbering" w:customStyle="1" w:styleId="NoList1">
    <w:name w:val="No List1"/>
    <w:next w:val="NoList"/>
    <w:uiPriority w:val="99"/>
    <w:semiHidden/>
    <w:unhideWhenUsed/>
  </w:style>
  <w:style w:type="paragraph" w:customStyle="1" w:styleId="FoonoteText">
    <w:name w:val="Foonote Text"/>
    <w:basedOn w:val="Normal"/>
    <w:autoRedefine/>
    <w:pPr>
      <w:tabs>
        <w:tab w:val="left" w:pos="425"/>
      </w:tabs>
      <w:autoSpaceDE w:val="0"/>
      <w:autoSpaceDN w:val="0"/>
      <w:adjustRightInd w:val="0"/>
      <w:spacing w:before="40" w:after="40"/>
      <w:ind w:left="425" w:hanging="425"/>
    </w:pPr>
    <w:rPr>
      <w:sz w:val="16"/>
      <w:szCs w:val="16"/>
      <w:lang w:eastAsia="en-GB"/>
    </w:rPr>
  </w:style>
  <w:style w:type="character" w:styleId="PageNumber">
    <w:name w:val="page number"/>
    <w:uiPriority w:val="99"/>
    <w:rPr>
      <w:shd w:val="clear" w:color="auto" w:fill="auto"/>
    </w:rPr>
  </w:style>
  <w:style w:type="paragraph" w:customStyle="1" w:styleId="Source">
    <w:name w:val="Source"/>
    <w:basedOn w:val="Normal"/>
    <w:next w:val="Normal"/>
    <w:pPr>
      <w:keepLines/>
      <w:tabs>
        <w:tab w:val="left" w:pos="1134"/>
      </w:tabs>
      <w:spacing w:before="60" w:after="240"/>
      <w:ind w:left="1134" w:hanging="1134"/>
      <w:jc w:val="left"/>
    </w:pPr>
    <w:rPr>
      <w:rFonts w:ascii="Arial" w:hAnsi="Arial"/>
      <w:sz w:val="18"/>
      <w:szCs w:val="22"/>
      <w:lang w:eastAsia="en-GB"/>
    </w:rPr>
  </w:style>
  <w:style w:type="paragraph" w:customStyle="1" w:styleId="Annex">
    <w:name w:val="Annex"/>
    <w:basedOn w:val="Heading1"/>
    <w:next w:val="Normal"/>
    <w:pPr>
      <w:pageBreakBefore/>
      <w:numPr>
        <w:numId w:val="0"/>
      </w:numPr>
      <w:tabs>
        <w:tab w:val="num" w:pos="283"/>
        <w:tab w:val="num" w:pos="709"/>
        <w:tab w:val="num" w:pos="926"/>
        <w:tab w:val="num" w:pos="1134"/>
        <w:tab w:val="num" w:pos="1984"/>
        <w:tab w:val="num" w:pos="2517"/>
      </w:tabs>
      <w:spacing w:before="0" w:after="480"/>
      <w:ind w:left="717" w:hanging="283"/>
      <w:jc w:val="left"/>
    </w:pPr>
    <w:rPr>
      <w:rFonts w:ascii="Verdana" w:hAnsi="Verdana" w:cs="Arial"/>
      <w:smallCaps w:val="0"/>
      <w:kern w:val="32"/>
      <w:sz w:val="44"/>
      <w:szCs w:val="28"/>
      <w:lang w:eastAsia="en-GB"/>
    </w:rPr>
  </w:style>
  <w:style w:type="paragraph" w:customStyle="1" w:styleId="BoxTitle">
    <w:name w:val="Box Title"/>
    <w:basedOn w:val="Heading2"/>
    <w:next w:val="Normal"/>
    <w:pPr>
      <w:numPr>
        <w:ilvl w:val="0"/>
        <w:numId w:val="31"/>
      </w:numPr>
      <w:pBdr>
        <w:top w:val="single" w:sz="4" w:space="1" w:color="auto"/>
        <w:left w:val="single" w:sz="4" w:space="4" w:color="auto"/>
        <w:bottom w:val="single" w:sz="4" w:space="1" w:color="auto"/>
        <w:right w:val="single" w:sz="4" w:space="4" w:color="auto"/>
      </w:pBdr>
      <w:shd w:val="clear" w:color="auto" w:fill="CCCCCC"/>
      <w:tabs>
        <w:tab w:val="clear" w:pos="2520"/>
        <w:tab w:val="num" w:pos="643"/>
        <w:tab w:val="num" w:pos="709"/>
        <w:tab w:val="num" w:pos="1134"/>
      </w:tabs>
      <w:spacing w:before="240" w:after="240"/>
      <w:ind w:left="1151" w:hanging="794"/>
      <w:jc w:val="left"/>
    </w:pPr>
    <w:rPr>
      <w:rFonts w:ascii="Arial" w:hAnsi="Arial" w:cs="Arial"/>
      <w:iCs w:val="0"/>
      <w:sz w:val="22"/>
      <w:szCs w:val="26"/>
      <w:lang w:eastAsia="en-GB"/>
    </w:rPr>
  </w:style>
  <w:style w:type="paragraph" w:customStyle="1" w:styleId="FigureTitle">
    <w:name w:val="Figure Title"/>
    <w:basedOn w:val="Heading2"/>
    <w:next w:val="Normal"/>
    <w:pPr>
      <w:numPr>
        <w:ilvl w:val="0"/>
        <w:numId w:val="0"/>
      </w:numPr>
      <w:tabs>
        <w:tab w:val="num" w:pos="850"/>
        <w:tab w:val="num" w:pos="1134"/>
        <w:tab w:val="num" w:pos="1560"/>
        <w:tab w:val="num" w:pos="1984"/>
      </w:tabs>
      <w:spacing w:before="240" w:after="240"/>
      <w:ind w:left="1151" w:hanging="794"/>
      <w:jc w:val="left"/>
    </w:pPr>
    <w:rPr>
      <w:rFonts w:ascii="Arial" w:hAnsi="Arial" w:cs="Arial"/>
      <w:iCs w:val="0"/>
      <w:sz w:val="22"/>
      <w:szCs w:val="26"/>
      <w:lang w:eastAsia="en-GB"/>
    </w:rPr>
  </w:style>
  <w:style w:type="paragraph" w:customStyle="1" w:styleId="MapTitle">
    <w:name w:val="Map Title"/>
    <w:basedOn w:val="Heading2"/>
    <w:next w:val="Normal"/>
    <w:pPr>
      <w:numPr>
        <w:ilvl w:val="0"/>
        <w:numId w:val="0"/>
      </w:numPr>
      <w:tabs>
        <w:tab w:val="num" w:pos="283"/>
        <w:tab w:val="num" w:pos="1417"/>
        <w:tab w:val="num" w:pos="2268"/>
        <w:tab w:val="num" w:pos="3118"/>
      </w:tabs>
      <w:spacing w:before="240" w:after="240"/>
      <w:ind w:left="1151" w:hanging="794"/>
      <w:jc w:val="left"/>
    </w:pPr>
    <w:rPr>
      <w:rFonts w:ascii="Arial" w:hAnsi="Arial" w:cs="Arial"/>
      <w:iCs w:val="0"/>
      <w:sz w:val="22"/>
      <w:szCs w:val="26"/>
      <w:lang w:eastAsia="en-GB"/>
    </w:rPr>
  </w:style>
  <w:style w:type="paragraph" w:customStyle="1" w:styleId="Smiley-Negative">
    <w:name w:val="Smiley - Negative"/>
    <w:basedOn w:val="Normal"/>
    <w:pPr>
      <w:tabs>
        <w:tab w:val="num" w:pos="1134"/>
        <w:tab w:val="num" w:pos="1560"/>
        <w:tab w:val="num" w:pos="1984"/>
      </w:tabs>
      <w:spacing w:before="0" w:after="0"/>
      <w:ind w:left="360" w:hanging="567"/>
      <w:jc w:val="left"/>
    </w:pPr>
    <w:rPr>
      <w:sz w:val="22"/>
      <w:szCs w:val="22"/>
      <w:lang w:eastAsia="en-GB"/>
    </w:rPr>
  </w:style>
  <w:style w:type="paragraph" w:customStyle="1" w:styleId="Smiley-Neutral">
    <w:name w:val="Smiley - Neutral"/>
    <w:basedOn w:val="Normal"/>
    <w:pPr>
      <w:tabs>
        <w:tab w:val="num" w:pos="709"/>
        <w:tab w:val="num" w:pos="1134"/>
        <w:tab w:val="num" w:pos="2551"/>
      </w:tabs>
      <w:spacing w:before="0" w:after="0"/>
      <w:ind w:left="360" w:hanging="567"/>
      <w:jc w:val="left"/>
    </w:pPr>
    <w:rPr>
      <w:sz w:val="22"/>
      <w:szCs w:val="22"/>
      <w:lang w:eastAsia="en-GB"/>
    </w:rPr>
  </w:style>
  <w:style w:type="paragraph" w:customStyle="1" w:styleId="Smiley-Positive">
    <w:name w:val="Smiley - Positive"/>
    <w:basedOn w:val="Normal"/>
    <w:pPr>
      <w:tabs>
        <w:tab w:val="num" w:pos="283"/>
        <w:tab w:val="num" w:pos="1134"/>
        <w:tab w:val="num" w:pos="1209"/>
        <w:tab w:val="num" w:pos="3118"/>
      </w:tabs>
      <w:spacing w:before="0" w:after="0"/>
      <w:ind w:left="3118" w:hanging="283"/>
      <w:jc w:val="left"/>
    </w:pPr>
    <w:rPr>
      <w:sz w:val="22"/>
      <w:szCs w:val="22"/>
      <w:lang w:eastAsia="en-GB"/>
    </w:rPr>
  </w:style>
  <w:style w:type="paragraph" w:customStyle="1" w:styleId="TableText">
    <w:name w:val="Table Text"/>
    <w:basedOn w:val="Normal"/>
    <w:next w:val="Normal"/>
    <w:pPr>
      <w:overflowPunct w:val="0"/>
      <w:autoSpaceDE w:val="0"/>
      <w:autoSpaceDN w:val="0"/>
      <w:adjustRightInd w:val="0"/>
      <w:spacing w:before="0" w:after="0"/>
      <w:ind w:left="357"/>
      <w:jc w:val="left"/>
      <w:textAlignment w:val="baseline"/>
    </w:pPr>
    <w:rPr>
      <w:rFonts w:ascii="Arial" w:hAnsi="Arial"/>
      <w:sz w:val="18"/>
      <w:szCs w:val="20"/>
      <w:lang w:eastAsia="en-GB"/>
    </w:rPr>
  </w:style>
  <w:style w:type="paragraph" w:customStyle="1" w:styleId="Cover-title3">
    <w:name w:val="Cover - title 3"/>
    <w:basedOn w:val="Normal"/>
    <w:next w:val="Normal"/>
    <w:pPr>
      <w:overflowPunct w:val="0"/>
      <w:autoSpaceDE w:val="0"/>
      <w:autoSpaceDN w:val="0"/>
      <w:adjustRightInd w:val="0"/>
      <w:spacing w:before="60" w:after="80"/>
      <w:jc w:val="right"/>
      <w:textAlignment w:val="baseline"/>
    </w:pPr>
    <w:rPr>
      <w:rFonts w:ascii="Avenir 55" w:hAnsi="Avenir 55"/>
      <w:b/>
      <w:sz w:val="22"/>
      <w:szCs w:val="20"/>
      <w:lang w:eastAsia="en-GB"/>
    </w:rPr>
  </w:style>
  <w:style w:type="paragraph" w:customStyle="1" w:styleId="KeyMessage0">
    <w:name w:val="KeyMessage"/>
    <w:basedOn w:val="Normal"/>
    <w:next w:val="Normal"/>
    <w:pPr>
      <w:keepLines/>
      <w:shd w:val="clear" w:color="auto" w:fill="F3F3F3"/>
      <w:tabs>
        <w:tab w:val="left" w:pos="540"/>
      </w:tabs>
      <w:spacing w:before="80" w:after="80"/>
      <w:ind w:left="540" w:hanging="540"/>
      <w:jc w:val="left"/>
    </w:pPr>
    <w:rPr>
      <w:rFonts w:ascii="Verdana" w:hAnsi="Verdana"/>
      <w:noProof/>
      <w:sz w:val="20"/>
      <w:szCs w:val="22"/>
      <w:lang w:eastAsia="en-GB"/>
    </w:rPr>
  </w:style>
  <w:style w:type="paragraph" w:customStyle="1" w:styleId="punkte">
    <w:name w:val="punkte"/>
    <w:basedOn w:val="Normal"/>
    <w:pPr>
      <w:tabs>
        <w:tab w:val="num" w:pos="850"/>
        <w:tab w:val="num" w:pos="1134"/>
        <w:tab w:val="num" w:pos="2517"/>
      </w:tabs>
      <w:spacing w:before="0" w:after="0"/>
      <w:ind w:left="360" w:hanging="850"/>
      <w:jc w:val="left"/>
    </w:pPr>
    <w:rPr>
      <w:szCs w:val="20"/>
      <w:lang w:eastAsia="en-GB"/>
    </w:rPr>
  </w:style>
  <w:style w:type="paragraph" w:customStyle="1" w:styleId="FormatvorlageBeschriftungPalatinoLinotype">
    <w:name w:val="Formatvorlage Beschriftung + Palatino Linotype"/>
    <w:basedOn w:val="Caption"/>
    <w:autoRedefine/>
    <w:pPr>
      <w:keepNext/>
      <w:keepLines/>
      <w:pBdr>
        <w:top w:val="single" w:sz="4" w:space="1" w:color="auto"/>
        <w:bottom w:val="single" w:sz="4" w:space="1" w:color="auto"/>
      </w:pBdr>
      <w:shd w:val="clear" w:color="auto" w:fill="E6E6E6"/>
      <w:tabs>
        <w:tab w:val="left" w:pos="1418"/>
      </w:tabs>
      <w:spacing w:before="240" w:after="80"/>
      <w:ind w:left="1440" w:hanging="1440"/>
      <w:jc w:val="left"/>
    </w:pPr>
    <w:rPr>
      <w:rFonts w:ascii="Verdana" w:hAnsi="Verdana"/>
    </w:rPr>
  </w:style>
  <w:style w:type="paragraph" w:customStyle="1" w:styleId="font5">
    <w:name w:val="font5"/>
    <w:basedOn w:val="Normal"/>
    <w:pPr>
      <w:spacing w:before="100" w:beforeAutospacing="1" w:after="100" w:afterAutospacing="1"/>
      <w:jc w:val="left"/>
    </w:pPr>
    <w:rPr>
      <w:sz w:val="16"/>
      <w:szCs w:val="16"/>
      <w:lang w:val="en-US" w:eastAsia="en-GB"/>
    </w:rPr>
  </w:style>
  <w:style w:type="paragraph" w:customStyle="1" w:styleId="xl45">
    <w:name w:val="xl45"/>
    <w:basedOn w:val="Normal"/>
    <w:pPr>
      <w:pBdr>
        <w:top w:val="single" w:sz="4" w:space="0" w:color="auto"/>
        <w:left w:val="single" w:sz="8" w:space="0" w:color="auto"/>
        <w:bottom w:val="single" w:sz="4" w:space="0" w:color="auto"/>
        <w:right w:val="single" w:sz="4" w:space="0" w:color="auto"/>
      </w:pBdr>
      <w:shd w:val="clear" w:color="auto" w:fill="C0C0C0"/>
      <w:spacing w:before="100" w:beforeAutospacing="1" w:after="100" w:afterAutospacing="1"/>
      <w:jc w:val="left"/>
    </w:pPr>
    <w:rPr>
      <w:b/>
      <w:bCs/>
      <w:sz w:val="16"/>
      <w:szCs w:val="16"/>
      <w:lang w:val="en-US" w:eastAsia="en-GB"/>
    </w:rPr>
  </w:style>
  <w:style w:type="paragraph" w:customStyle="1" w:styleId="xl46">
    <w:name w:val="xl4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US" w:eastAsia="en-GB"/>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2"/>
      <w:lang w:val="en-US" w:eastAsia="en-GB"/>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2"/>
      <w:lang w:val="en-US" w:eastAsia="en-GB"/>
    </w:rPr>
  </w:style>
  <w:style w:type="paragraph" w:customStyle="1" w:styleId="xl49">
    <w:name w:val="xl49"/>
    <w:basedOn w:val="Normal"/>
    <w:pPr>
      <w:pBdr>
        <w:top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1">
    <w:name w:val="xl51"/>
    <w:basedOn w:val="Normal"/>
    <w:pPr>
      <w:pBdr>
        <w:top w:val="single" w:sz="4" w:space="0" w:color="auto"/>
        <w:left w:val="single" w:sz="4" w:space="0" w:color="auto"/>
        <w:bottom w:val="single" w:sz="4" w:space="0" w:color="auto"/>
        <w:right w:val="single" w:sz="8"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2">
    <w:name w:val="xl52"/>
    <w:basedOn w:val="Normal"/>
    <w:pPr>
      <w:pBdr>
        <w:left w:val="single" w:sz="8" w:space="0" w:color="auto"/>
        <w:bottom w:val="single" w:sz="4" w:space="0" w:color="auto"/>
      </w:pBdr>
      <w:shd w:val="clear" w:color="auto" w:fill="C0C0C0"/>
      <w:spacing w:before="100" w:beforeAutospacing="1" w:after="100" w:afterAutospacing="1"/>
      <w:jc w:val="left"/>
      <w:textAlignment w:val="center"/>
    </w:pPr>
    <w:rPr>
      <w:b/>
      <w:bCs/>
      <w:sz w:val="16"/>
      <w:szCs w:val="16"/>
      <w:lang w:val="en-US" w:eastAsia="en-GB"/>
    </w:rPr>
  </w:style>
  <w:style w:type="paragraph" w:customStyle="1" w:styleId="xl53">
    <w:name w:val="xl53"/>
    <w:basedOn w:val="Normal"/>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4">
    <w:name w:val="xl54"/>
    <w:basedOn w:val="Normal"/>
    <w:pPr>
      <w:pBdr>
        <w:left w:val="single" w:sz="8" w:space="0" w:color="auto"/>
        <w:bottom w:val="single" w:sz="8" w:space="0" w:color="auto"/>
      </w:pBdr>
      <w:shd w:val="clear" w:color="auto" w:fill="C0C0C0"/>
      <w:spacing w:before="100" w:beforeAutospacing="1" w:after="100" w:afterAutospacing="1"/>
      <w:jc w:val="left"/>
      <w:textAlignment w:val="center"/>
    </w:pPr>
    <w:rPr>
      <w:b/>
      <w:bCs/>
      <w:sz w:val="16"/>
      <w:szCs w:val="16"/>
      <w:lang w:val="en-US" w:eastAsia="en-GB"/>
    </w:rPr>
  </w:style>
  <w:style w:type="paragraph" w:customStyle="1" w:styleId="xl55">
    <w:name w:val="xl55"/>
    <w:basedOn w:val="Normal"/>
    <w:pPr>
      <w:pBdr>
        <w:top w:val="single" w:sz="4" w:space="0" w:color="auto"/>
        <w:left w:val="single" w:sz="4" w:space="0" w:color="auto"/>
        <w:bottom w:val="single" w:sz="8" w:space="0" w:color="auto"/>
        <w:right w:val="single" w:sz="4"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6">
    <w:name w:val="xl56"/>
    <w:basedOn w:val="Normal"/>
    <w:pPr>
      <w:pBdr>
        <w:top w:val="single" w:sz="4" w:space="0" w:color="auto"/>
        <w:left w:val="single" w:sz="4" w:space="0" w:color="auto"/>
        <w:bottom w:val="single" w:sz="8" w:space="0" w:color="auto"/>
        <w:right w:val="single" w:sz="8"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7">
    <w:name w:val="xl57"/>
    <w:basedOn w:val="Normal"/>
    <w:pPr>
      <w:pBdr>
        <w:top w:val="single" w:sz="8" w:space="0" w:color="auto"/>
        <w:left w:val="single" w:sz="8" w:space="0" w:color="auto"/>
      </w:pBdr>
      <w:shd w:val="clear" w:color="auto" w:fill="C0C0C0"/>
      <w:spacing w:before="100" w:beforeAutospacing="1" w:after="100" w:afterAutospacing="1"/>
      <w:jc w:val="center"/>
      <w:textAlignment w:val="center"/>
    </w:pPr>
    <w:rPr>
      <w:sz w:val="16"/>
      <w:szCs w:val="16"/>
      <w:lang w:val="en-US" w:eastAsia="en-GB"/>
    </w:rPr>
  </w:style>
  <w:style w:type="paragraph" w:customStyle="1" w:styleId="xl58">
    <w:name w:val="xl58"/>
    <w:basedOn w:val="Normal"/>
    <w:pPr>
      <w:pBdr>
        <w:top w:val="single" w:sz="8" w:space="0" w:color="auto"/>
      </w:pBdr>
      <w:shd w:val="clear" w:color="auto" w:fill="FFCC99"/>
      <w:spacing w:before="100" w:beforeAutospacing="1" w:after="100" w:afterAutospacing="1"/>
      <w:jc w:val="center"/>
      <w:textAlignment w:val="center"/>
    </w:pPr>
    <w:rPr>
      <w:sz w:val="16"/>
      <w:szCs w:val="16"/>
      <w:lang w:val="en-US" w:eastAsia="en-GB"/>
    </w:rPr>
  </w:style>
  <w:style w:type="paragraph" w:customStyle="1" w:styleId="xl59">
    <w:name w:val="xl59"/>
    <w:basedOn w:val="Normal"/>
    <w:pPr>
      <w:pBdr>
        <w:top w:val="single" w:sz="8" w:space="0" w:color="auto"/>
        <w:right w:val="single" w:sz="8" w:space="0" w:color="auto"/>
      </w:pBdr>
      <w:shd w:val="clear" w:color="auto" w:fill="FFCC99"/>
      <w:spacing w:before="100" w:beforeAutospacing="1" w:after="100" w:afterAutospacing="1"/>
      <w:jc w:val="center"/>
      <w:textAlignment w:val="center"/>
    </w:pPr>
    <w:rPr>
      <w:sz w:val="16"/>
      <w:szCs w:val="16"/>
      <w:lang w:val="en-US" w:eastAsia="en-GB"/>
    </w:rPr>
  </w:style>
  <w:style w:type="paragraph" w:customStyle="1" w:styleId="xl60">
    <w:name w:val="xl60"/>
    <w:basedOn w:val="Normal"/>
    <w:pPr>
      <w:pBdr>
        <w:left w:val="single" w:sz="8" w:space="0" w:color="auto"/>
        <w:bottom w:val="single" w:sz="4" w:space="0" w:color="auto"/>
      </w:pBdr>
      <w:shd w:val="clear" w:color="auto" w:fill="C0C0C0"/>
      <w:spacing w:before="100" w:beforeAutospacing="1" w:after="100" w:afterAutospacing="1"/>
      <w:jc w:val="center"/>
      <w:textAlignment w:val="center"/>
    </w:pPr>
    <w:rPr>
      <w:sz w:val="16"/>
      <w:szCs w:val="16"/>
      <w:lang w:val="en-US" w:eastAsia="en-GB"/>
    </w:rPr>
  </w:style>
  <w:style w:type="paragraph" w:customStyle="1" w:styleId="xl61">
    <w:name w:val="xl61"/>
    <w:basedOn w:val="Normal"/>
    <w:pPr>
      <w:pBdr>
        <w:bottom w:val="single" w:sz="4" w:space="0" w:color="auto"/>
      </w:pBdr>
      <w:shd w:val="clear" w:color="auto" w:fill="FFCC99"/>
      <w:spacing w:before="100" w:beforeAutospacing="1" w:after="100" w:afterAutospacing="1"/>
      <w:jc w:val="center"/>
      <w:textAlignment w:val="center"/>
    </w:pPr>
    <w:rPr>
      <w:sz w:val="16"/>
      <w:szCs w:val="16"/>
      <w:lang w:val="en-US" w:eastAsia="en-GB"/>
    </w:rPr>
  </w:style>
  <w:style w:type="paragraph" w:customStyle="1" w:styleId="xl62">
    <w:name w:val="xl62"/>
    <w:basedOn w:val="Normal"/>
    <w:pPr>
      <w:pBdr>
        <w:bottom w:val="single" w:sz="4" w:space="0" w:color="auto"/>
        <w:right w:val="single" w:sz="8" w:space="0" w:color="auto"/>
      </w:pBdr>
      <w:shd w:val="clear" w:color="auto" w:fill="FFCC99"/>
      <w:spacing w:before="100" w:beforeAutospacing="1" w:after="100" w:afterAutospacing="1"/>
      <w:jc w:val="center"/>
      <w:textAlignment w:val="center"/>
    </w:pPr>
    <w:rPr>
      <w:sz w:val="16"/>
      <w:szCs w:val="16"/>
      <w:lang w:val="en-US" w:eastAsia="en-GB"/>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left"/>
    </w:pPr>
    <w:rPr>
      <w:sz w:val="16"/>
      <w:szCs w:val="16"/>
      <w:lang w:val="en-US" w:eastAsia="en-GB"/>
    </w:rPr>
  </w:style>
  <w:style w:type="paragraph" w:customStyle="1" w:styleId="font6">
    <w:name w:val="font6"/>
    <w:basedOn w:val="Normal"/>
    <w:pPr>
      <w:spacing w:before="100" w:beforeAutospacing="1" w:after="100" w:afterAutospacing="1"/>
      <w:jc w:val="left"/>
    </w:pPr>
    <w:rPr>
      <w:rFonts w:eastAsia="Arial Unicode MS"/>
      <w:b/>
      <w:bCs/>
      <w:sz w:val="16"/>
      <w:szCs w:val="16"/>
      <w:lang w:val="en-US" w:eastAsia="en-GB"/>
    </w:rPr>
  </w:style>
  <w:style w:type="paragraph" w:customStyle="1" w:styleId="xl44">
    <w:name w:val="xl44"/>
    <w:basedOn w:val="Normal"/>
    <w:pPr>
      <w:pBdr>
        <w:top w:val="single" w:sz="8" w:space="0" w:color="auto"/>
        <w:left w:val="single" w:sz="8" w:space="0" w:color="auto"/>
        <w:bottom w:val="single" w:sz="8" w:space="0" w:color="auto"/>
        <w:right w:val="single" w:sz="8" w:space="0" w:color="auto"/>
      </w:pBdr>
      <w:shd w:val="clear" w:color="auto" w:fill="CCCCFF"/>
      <w:spacing w:before="100" w:beforeAutospacing="1" w:after="100" w:afterAutospacing="1"/>
      <w:jc w:val="center"/>
      <w:textAlignment w:val="top"/>
    </w:pPr>
    <w:rPr>
      <w:rFonts w:eastAsia="Arial Unicode MS"/>
      <w:sz w:val="16"/>
      <w:szCs w:val="16"/>
      <w:lang w:val="en-US" w:eastAsia="en-GB"/>
    </w:rPr>
  </w:style>
  <w:style w:type="paragraph" w:customStyle="1" w:styleId="xl64">
    <w:name w:val="xl64"/>
    <w:basedOn w:val="Normal"/>
    <w:pPr>
      <w:pBdr>
        <w:top w:val="single" w:sz="8" w:space="0" w:color="auto"/>
        <w:left w:val="single" w:sz="8" w:space="0" w:color="auto"/>
        <w:right w:val="single" w:sz="8" w:space="0" w:color="auto"/>
      </w:pBdr>
      <w:shd w:val="clear" w:color="auto" w:fill="CCCCFF"/>
      <w:spacing w:before="100" w:beforeAutospacing="1" w:after="100" w:afterAutospacing="1"/>
      <w:jc w:val="left"/>
      <w:textAlignment w:val="top"/>
    </w:pPr>
    <w:rPr>
      <w:rFonts w:eastAsia="Arial Unicode MS"/>
      <w:sz w:val="16"/>
      <w:szCs w:val="16"/>
      <w:lang w:val="en-US" w:eastAsia="en-GB"/>
    </w:rPr>
  </w:style>
  <w:style w:type="paragraph" w:customStyle="1" w:styleId="xl65">
    <w:name w:val="xl65"/>
    <w:basedOn w:val="Normal"/>
    <w:pPr>
      <w:pBdr>
        <w:left w:val="single" w:sz="8" w:space="0" w:color="auto"/>
        <w:bottom w:val="single" w:sz="8" w:space="0" w:color="auto"/>
        <w:right w:val="single" w:sz="8" w:space="0" w:color="auto"/>
      </w:pBdr>
      <w:shd w:val="clear" w:color="auto" w:fill="CCCCFF"/>
      <w:spacing w:before="100" w:beforeAutospacing="1" w:after="100" w:afterAutospacing="1"/>
      <w:jc w:val="left"/>
      <w:textAlignment w:val="top"/>
    </w:pPr>
    <w:rPr>
      <w:rFonts w:eastAsia="Arial Unicode MS"/>
      <w:sz w:val="16"/>
      <w:szCs w:val="16"/>
      <w:lang w:val="en-US" w:eastAsia="en-GB"/>
    </w:rPr>
  </w:style>
  <w:style w:type="paragraph" w:customStyle="1" w:styleId="xl66">
    <w:name w:val="xl66"/>
    <w:basedOn w:val="Normal"/>
    <w:pPr>
      <w:pBdr>
        <w:left w:val="single" w:sz="8" w:space="0" w:color="auto"/>
        <w:right w:val="single" w:sz="8" w:space="0" w:color="auto"/>
      </w:pBdr>
      <w:shd w:val="clear" w:color="auto" w:fill="CCCCFF"/>
      <w:spacing w:before="100" w:beforeAutospacing="1" w:after="100" w:afterAutospacing="1"/>
      <w:jc w:val="center"/>
      <w:textAlignment w:val="top"/>
    </w:pPr>
    <w:rPr>
      <w:rFonts w:eastAsia="Arial Unicode MS"/>
      <w:sz w:val="16"/>
      <w:szCs w:val="16"/>
      <w:lang w:val="en-US" w:eastAsia="en-GB"/>
    </w:rPr>
  </w:style>
  <w:style w:type="paragraph" w:customStyle="1" w:styleId="xl67">
    <w:name w:val="xl67"/>
    <w:basedOn w:val="Normal"/>
    <w:pPr>
      <w:pBdr>
        <w:bottom w:val="single" w:sz="4"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68">
    <w:name w:val="xl68"/>
    <w:basedOn w:val="Normal"/>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69">
    <w:name w:val="xl69"/>
    <w:basedOn w:val="Normal"/>
    <w:pPr>
      <w:pBdr>
        <w:top w:val="single" w:sz="8" w:space="0" w:color="auto"/>
        <w:bottom w:val="single" w:sz="4"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70">
    <w:name w:val="xl70"/>
    <w:basedOn w:val="Normal"/>
    <w:pPr>
      <w:pBdr>
        <w:top w:val="single" w:sz="8" w:space="0" w:color="auto"/>
        <w:bottom w:val="single" w:sz="4" w:space="0" w:color="auto"/>
        <w:right w:val="single" w:sz="8" w:space="0" w:color="auto"/>
      </w:pBdr>
      <w:spacing w:before="100" w:beforeAutospacing="1" w:after="100" w:afterAutospacing="1"/>
      <w:jc w:val="center"/>
    </w:pPr>
    <w:rPr>
      <w:rFonts w:eastAsia="Arial Unicode MS"/>
      <w:sz w:val="16"/>
      <w:szCs w:val="16"/>
      <w:lang w:val="en-US" w:eastAsia="en-GB"/>
    </w:rPr>
  </w:style>
  <w:style w:type="paragraph" w:customStyle="1" w:styleId="xl71">
    <w:name w:val="xl71"/>
    <w:basedOn w:val="Normal"/>
    <w:pPr>
      <w:pBdr>
        <w:bottom w:val="single" w:sz="4" w:space="0" w:color="auto"/>
        <w:right w:val="single" w:sz="8" w:space="0" w:color="auto"/>
      </w:pBdr>
      <w:spacing w:before="100" w:beforeAutospacing="1" w:after="100" w:afterAutospacing="1"/>
      <w:jc w:val="center"/>
    </w:pPr>
    <w:rPr>
      <w:rFonts w:eastAsia="Arial Unicode MS"/>
      <w:sz w:val="16"/>
      <w:szCs w:val="16"/>
      <w:lang w:val="en-US" w:eastAsia="en-GB"/>
    </w:rPr>
  </w:style>
  <w:style w:type="paragraph" w:customStyle="1" w:styleId="xl72">
    <w:name w:val="xl72"/>
    <w:basedOn w:val="Normal"/>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73">
    <w:name w:val="xl73"/>
    <w:basedOn w:val="Normal"/>
    <w:pPr>
      <w:pBdr>
        <w:bottom w:val="single" w:sz="8"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74">
    <w:name w:val="xl74"/>
    <w:basedOn w:val="Normal"/>
    <w:pPr>
      <w:pBdr>
        <w:bottom w:val="single" w:sz="8" w:space="0" w:color="auto"/>
        <w:right w:val="single" w:sz="8" w:space="0" w:color="auto"/>
      </w:pBdr>
      <w:spacing w:before="100" w:beforeAutospacing="1" w:after="100" w:afterAutospacing="1"/>
      <w:jc w:val="center"/>
    </w:pPr>
    <w:rPr>
      <w:rFonts w:eastAsia="Arial Unicode MS"/>
      <w:sz w:val="16"/>
      <w:szCs w:val="16"/>
      <w:lang w:val="en-US" w:eastAsia="en-GB"/>
    </w:rPr>
  </w:style>
  <w:style w:type="paragraph" w:customStyle="1" w:styleId="xl75">
    <w:name w:val="xl75"/>
    <w:basedOn w:val="Normal"/>
    <w:pPr>
      <w:pBdr>
        <w:bottom w:val="single" w:sz="4" w:space="0" w:color="auto"/>
        <w:right w:val="single" w:sz="4" w:space="0" w:color="auto"/>
      </w:pBdr>
      <w:spacing w:before="100" w:beforeAutospacing="1" w:after="100" w:afterAutospacing="1"/>
      <w:jc w:val="center"/>
    </w:pPr>
    <w:rPr>
      <w:rFonts w:eastAsia="Arial Unicode MS"/>
      <w:b/>
      <w:bCs/>
      <w:sz w:val="16"/>
      <w:szCs w:val="16"/>
      <w:lang w:val="en-US" w:eastAsia="en-GB"/>
    </w:rPr>
  </w:style>
  <w:style w:type="paragraph" w:customStyle="1" w:styleId="xl76">
    <w:name w:val="xl76"/>
    <w:basedOn w:val="Normal"/>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b/>
      <w:bCs/>
      <w:sz w:val="16"/>
      <w:szCs w:val="16"/>
      <w:lang w:val="en-US" w:eastAsia="en-GB"/>
    </w:rPr>
  </w:style>
  <w:style w:type="paragraph" w:customStyle="1" w:styleId="xl77">
    <w:name w:val="xl77"/>
    <w:basedOn w:val="Normal"/>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b/>
      <w:bCs/>
      <w:sz w:val="16"/>
      <w:szCs w:val="16"/>
      <w:lang w:val="en-US" w:eastAsia="en-GB"/>
    </w:rPr>
  </w:style>
  <w:style w:type="paragraph" w:customStyle="1" w:styleId="xl78">
    <w:name w:val="xl78"/>
    <w:basedOn w:val="Normal"/>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b/>
      <w:bCs/>
      <w:sz w:val="16"/>
      <w:szCs w:val="16"/>
      <w:lang w:val="en-US" w:eastAsia="en-GB"/>
    </w:rPr>
  </w:style>
  <w:style w:type="paragraph" w:customStyle="1" w:styleId="xl79">
    <w:name w:val="xl79"/>
    <w:basedOn w:val="Normal"/>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b/>
      <w:bCs/>
      <w:sz w:val="16"/>
      <w:szCs w:val="16"/>
      <w:lang w:val="en-US" w:eastAsia="en-GB"/>
    </w:rPr>
  </w:style>
  <w:style w:type="paragraph" w:customStyle="1" w:styleId="EntInstit">
    <w:name w:val="EntInstit"/>
    <w:pPr>
      <w:spacing w:after="200" w:line="276" w:lineRule="auto"/>
      <w:jc w:val="right"/>
    </w:pPr>
    <w:rPr>
      <w:b/>
      <w:sz w:val="24"/>
      <w:szCs w:val="22"/>
      <w:lang w:eastAsia="fr-BE"/>
    </w:rPr>
  </w:style>
  <w:style w:type="paragraph" w:customStyle="1" w:styleId="NormalConseil">
    <w:name w:val="NormalConseil"/>
    <w:basedOn w:val="Normal"/>
    <w:pPr>
      <w:spacing w:before="0" w:after="0"/>
      <w:jc w:val="left"/>
    </w:pPr>
    <w:rPr>
      <w:szCs w:val="20"/>
      <w:lang w:eastAsia="fr-BE"/>
    </w:rPr>
  </w:style>
  <w:style w:type="paragraph" w:customStyle="1" w:styleId="EntRefer">
    <w:name w:val="EntRefer"/>
    <w:pPr>
      <w:spacing w:after="200" w:line="276" w:lineRule="auto"/>
    </w:pPr>
    <w:rPr>
      <w:b/>
      <w:sz w:val="24"/>
      <w:szCs w:val="22"/>
      <w:lang w:eastAsia="fr-BE"/>
    </w:rPr>
  </w:style>
  <w:style w:type="paragraph" w:customStyle="1" w:styleId="EntEmet">
    <w:name w:val="EntEmet"/>
    <w:pPr>
      <w:tabs>
        <w:tab w:val="left" w:pos="284"/>
        <w:tab w:val="left" w:pos="567"/>
        <w:tab w:val="left" w:pos="851"/>
        <w:tab w:val="left" w:pos="1134"/>
        <w:tab w:val="left" w:pos="1418"/>
      </w:tabs>
      <w:spacing w:before="40" w:after="200" w:line="276" w:lineRule="auto"/>
    </w:pPr>
    <w:rPr>
      <w:sz w:val="24"/>
      <w:szCs w:val="22"/>
      <w:lang w:eastAsia="fr-BE"/>
    </w:rPr>
  </w:style>
  <w:style w:type="paragraph" w:customStyle="1" w:styleId="EntLogo">
    <w:name w:val="EntLogo"/>
    <w:next w:val="EntInstit"/>
    <w:pPr>
      <w:spacing w:after="200" w:line="360" w:lineRule="auto"/>
    </w:pPr>
    <w:rPr>
      <w:b/>
      <w:sz w:val="24"/>
      <w:szCs w:val="22"/>
      <w:lang w:eastAsia="fr-BE"/>
    </w:rPr>
  </w:style>
  <w:style w:type="paragraph" w:customStyle="1" w:styleId="FooterConseil">
    <w:name w:val="FooterConseil"/>
    <w:pPr>
      <w:tabs>
        <w:tab w:val="center" w:pos="4820"/>
        <w:tab w:val="center" w:pos="7371"/>
        <w:tab w:val="right" w:pos="9639"/>
      </w:tabs>
      <w:spacing w:after="200" w:line="276" w:lineRule="auto"/>
    </w:pPr>
    <w:rPr>
      <w:sz w:val="24"/>
      <w:szCs w:val="22"/>
      <w:lang w:eastAsia="fr-BE"/>
    </w:rPr>
  </w:style>
  <w:style w:type="paragraph" w:customStyle="1" w:styleId="FigureCaption">
    <w:name w:val="Figure Caption"/>
    <w:basedOn w:val="Normal"/>
    <w:pPr>
      <w:spacing w:before="0" w:after="0"/>
      <w:jc w:val="left"/>
    </w:pPr>
    <w:rPr>
      <w:rFonts w:ascii="Arial" w:hAnsi="Arial"/>
      <w:sz w:val="22"/>
      <w:szCs w:val="22"/>
      <w:lang w:val="da-DK" w:eastAsia="en-GB"/>
    </w:rPr>
  </w:style>
  <w:style w:type="paragraph" w:customStyle="1" w:styleId="Question">
    <w:name w:val="Question"/>
    <w:basedOn w:val="Normal"/>
    <w:pPr>
      <w:pBdr>
        <w:top w:val="single" w:sz="4" w:space="1" w:color="auto"/>
        <w:left w:val="single" w:sz="4" w:space="4" w:color="auto"/>
        <w:bottom w:val="single" w:sz="4" w:space="1" w:color="auto"/>
        <w:right w:val="single" w:sz="4" w:space="4" w:color="auto"/>
      </w:pBdr>
      <w:spacing w:before="60" w:after="80"/>
      <w:jc w:val="left"/>
    </w:pPr>
    <w:rPr>
      <w:rFonts w:ascii="Arial Black" w:hAnsi="Arial Black"/>
      <w:sz w:val="22"/>
      <w:szCs w:val="22"/>
      <w:lang w:eastAsia="de-DE"/>
    </w:rPr>
  </w:style>
  <w:style w:type="paragraph" w:customStyle="1" w:styleId="Keymessage">
    <w:name w:val="Key message"/>
    <w:basedOn w:val="Normal"/>
    <w:pPr>
      <w:numPr>
        <w:numId w:val="33"/>
      </w:numPr>
      <w:pBdr>
        <w:top w:val="single" w:sz="4" w:space="1" w:color="auto"/>
        <w:left w:val="single" w:sz="4" w:space="4" w:color="auto"/>
        <w:bottom w:val="single" w:sz="4" w:space="1" w:color="auto"/>
        <w:right w:val="single" w:sz="4" w:space="4" w:color="auto"/>
      </w:pBdr>
      <w:shd w:val="clear" w:color="auto" w:fill="F3F3F3"/>
      <w:spacing w:before="60" w:after="60"/>
      <w:ind w:left="357" w:hanging="357"/>
      <w:jc w:val="left"/>
    </w:pPr>
    <w:rPr>
      <w:rFonts w:ascii="Palatino Linotype" w:hAnsi="Palatino Linotype"/>
      <w:sz w:val="22"/>
      <w:szCs w:val="20"/>
      <w:lang w:eastAsia="de-DE"/>
    </w:rPr>
  </w:style>
  <w:style w:type="paragraph" w:customStyle="1" w:styleId="graph">
    <w:name w:val="graph"/>
    <w:basedOn w:val="Normal"/>
    <w:pPr>
      <w:spacing w:before="0" w:after="0"/>
      <w:ind w:left="6158" w:hanging="6158"/>
      <w:jc w:val="left"/>
    </w:pPr>
    <w:rPr>
      <w:rFonts w:ascii="Palatino Linotype" w:hAnsi="Palatino Linotype"/>
      <w:sz w:val="22"/>
      <w:szCs w:val="22"/>
      <w:lang w:eastAsia="de-DE"/>
    </w:rPr>
  </w:style>
  <w:style w:type="paragraph" w:customStyle="1" w:styleId="FormatvorlageSource8ptFett">
    <w:name w:val="Formatvorlage Source + 8 pt Fett"/>
    <w:basedOn w:val="Normal"/>
    <w:pPr>
      <w:keepNext/>
      <w:keepLines/>
      <w:spacing w:before="60" w:after="0"/>
      <w:ind w:left="1134" w:hanging="1134"/>
      <w:jc w:val="left"/>
    </w:pPr>
    <w:rPr>
      <w:rFonts w:ascii="Arial" w:hAnsi="Arial"/>
      <w:b/>
      <w:bCs/>
      <w:sz w:val="16"/>
      <w:szCs w:val="16"/>
      <w:lang w:eastAsia="en-GB"/>
    </w:rPr>
  </w:style>
  <w:style w:type="paragraph" w:customStyle="1" w:styleId="source0">
    <w:name w:val="source"/>
    <w:basedOn w:val="Normal"/>
    <w:pPr>
      <w:keepLines/>
      <w:spacing w:before="0" w:after="0"/>
      <w:jc w:val="left"/>
    </w:pPr>
    <w:rPr>
      <w:rFonts w:ascii="Arial" w:hAnsi="Arial"/>
      <w:sz w:val="16"/>
      <w:szCs w:val="16"/>
      <w:lang w:eastAsia="de-DE"/>
    </w:rPr>
  </w:style>
  <w:style w:type="paragraph" w:styleId="BodyText3">
    <w:name w:val="Body Text 3"/>
    <w:basedOn w:val="Normal"/>
    <w:link w:val="BodyText3Char"/>
    <w:uiPriority w:val="99"/>
    <w:pPr>
      <w:widowControl w:val="0"/>
      <w:adjustRightInd w:val="0"/>
      <w:jc w:val="left"/>
      <w:textAlignment w:val="baseline"/>
    </w:pPr>
    <w:rPr>
      <w:rFonts w:ascii="NewBskvll BT" w:hAnsi="NewBskvll BT"/>
      <w:sz w:val="22"/>
      <w:szCs w:val="20"/>
      <w:lang w:val="x-none"/>
    </w:rPr>
  </w:style>
  <w:style w:type="character" w:customStyle="1" w:styleId="BodyText3Char">
    <w:name w:val="Body Text 3 Char"/>
    <w:link w:val="BodyText3"/>
    <w:uiPriority w:val="99"/>
    <w:rPr>
      <w:rFonts w:ascii="NewBskvll BT" w:hAnsi="NewBskvll BT"/>
      <w:sz w:val="22"/>
      <w:shd w:val="clear" w:color="auto" w:fill="auto"/>
      <w:lang w:val="x-none" w:eastAsia="en-US"/>
    </w:rPr>
  </w:style>
  <w:style w:type="paragraph" w:customStyle="1" w:styleId="StandardEC-NIR">
    <w:name w:val="Standard_EC-NIR"/>
    <w:basedOn w:val="Normal"/>
    <w:pPr>
      <w:widowControl w:val="0"/>
      <w:adjustRightInd w:val="0"/>
      <w:textAlignment w:val="baseline"/>
    </w:pPr>
    <w:rPr>
      <w:sz w:val="20"/>
      <w:szCs w:val="20"/>
      <w:lang w:val="de-DE" w:eastAsia="en-GB"/>
    </w:rPr>
  </w:style>
  <w:style w:type="character" w:customStyle="1" w:styleId="Table-ContentsCTChar">
    <w:name w:val="Table - Contents (CT) Char"/>
    <w:link w:val="Table-ContentsCT"/>
    <w:locked/>
    <w:rPr>
      <w:rFonts w:ascii="Arial" w:hAnsi="Arial"/>
      <w:sz w:val="16"/>
      <w:szCs w:val="22"/>
      <w:lang w:eastAsia="en-US"/>
    </w:rPr>
  </w:style>
  <w:style w:type="paragraph" w:customStyle="1" w:styleId="Table-ContentsCT">
    <w:name w:val="Table - Contents (CT)"/>
    <w:link w:val="Table-ContentsCTChar"/>
    <w:qFormat/>
    <w:pPr>
      <w:spacing w:before="80" w:after="80" w:line="276" w:lineRule="auto"/>
    </w:pPr>
    <w:rPr>
      <w:rFonts w:ascii="Arial" w:hAnsi="Arial"/>
      <w:sz w:val="16"/>
      <w:szCs w:val="22"/>
      <w:lang w:eastAsia="en-US"/>
    </w:rPr>
  </w:style>
  <w:style w:type="paragraph" w:customStyle="1" w:styleId="Maualheading">
    <w:name w:val="Maual heading"/>
    <w:basedOn w:val="Objetacteprincipal"/>
    <w:pPr>
      <w:jc w:val="both"/>
    </w:pPr>
    <w:rPr>
      <w:noProof/>
      <w:szCs w:val="22"/>
      <w:lang w:eastAsia="en-GB"/>
    </w:rPr>
  </w:style>
  <w:style w:type="character" w:customStyle="1" w:styleId="ListParagraphChar">
    <w:name w:val="List Paragraph Char"/>
    <w:aliases w:val="Head 2 Char"/>
    <w:link w:val="ListParagraph"/>
    <w:uiPriority w:val="34"/>
    <w:locked/>
    <w:rPr>
      <w:rFonts w:eastAsia="Calibri"/>
      <w:sz w:val="24"/>
      <w:szCs w:val="22"/>
      <w:lang w:val="x-none" w:eastAsia="x-none"/>
    </w:rPr>
  </w:style>
  <w:style w:type="paragraph" w:customStyle="1" w:styleId="font7">
    <w:name w:val="font7"/>
    <w:basedOn w:val="Normal"/>
    <w:pPr>
      <w:spacing w:before="100" w:beforeAutospacing="1" w:after="100" w:afterAutospacing="1"/>
      <w:jc w:val="left"/>
    </w:pPr>
    <w:rPr>
      <w:rFonts w:ascii="Calibri" w:hAnsi="Calibri" w:cs="Calibri"/>
      <w:b/>
      <w:bCs/>
      <w:sz w:val="22"/>
      <w:szCs w:val="22"/>
      <w:lang w:eastAsia="en-GB"/>
    </w:rPr>
  </w:style>
  <w:style w:type="paragraph" w:customStyle="1" w:styleId="font8">
    <w:name w:val="font8"/>
    <w:basedOn w:val="Normal"/>
    <w:pPr>
      <w:spacing w:before="100" w:beforeAutospacing="1" w:after="100" w:afterAutospacing="1"/>
      <w:jc w:val="left"/>
    </w:pPr>
    <w:rPr>
      <w:rFonts w:ascii="Calibri" w:hAnsi="Calibri" w:cs="Calibri"/>
      <w:sz w:val="22"/>
      <w:szCs w:val="22"/>
      <w:lang w:eastAsia="en-GB"/>
    </w:rPr>
  </w:style>
  <w:style w:type="paragraph" w:customStyle="1" w:styleId="font9">
    <w:name w:val="font9"/>
    <w:basedOn w:val="Normal"/>
    <w:pPr>
      <w:spacing w:before="100" w:beforeAutospacing="1" w:after="100" w:afterAutospacing="1"/>
      <w:jc w:val="left"/>
    </w:pPr>
    <w:rPr>
      <w:rFonts w:ascii="Calibri" w:hAnsi="Calibri" w:cs="Calibri"/>
      <w:color w:val="000000"/>
      <w:sz w:val="22"/>
      <w:szCs w:val="22"/>
      <w:lang w:eastAsia="en-GB"/>
    </w:rPr>
  </w:style>
  <w:style w:type="paragraph" w:customStyle="1" w:styleId="font10">
    <w:name w:val="font10"/>
    <w:basedOn w:val="Normal"/>
    <w:pPr>
      <w:spacing w:before="100" w:beforeAutospacing="1" w:after="100" w:afterAutospacing="1"/>
      <w:jc w:val="left"/>
    </w:pPr>
    <w:rPr>
      <w:rFonts w:ascii="Calibri" w:hAnsi="Calibri" w:cs="Calibri"/>
      <w:sz w:val="22"/>
      <w:szCs w:val="22"/>
      <w:lang w:eastAsia="en-GB"/>
    </w:rPr>
  </w:style>
  <w:style w:type="paragraph" w:customStyle="1" w:styleId="font11">
    <w:name w:val="font11"/>
    <w:basedOn w:val="Normal"/>
    <w:pPr>
      <w:spacing w:before="100" w:beforeAutospacing="1" w:after="100" w:afterAutospacing="1"/>
      <w:jc w:val="left"/>
    </w:pPr>
    <w:rPr>
      <w:rFonts w:ascii="Calibri" w:hAnsi="Calibri" w:cs="Calibri"/>
      <w:i/>
      <w:iCs/>
      <w:sz w:val="22"/>
      <w:szCs w:val="22"/>
      <w:lang w:eastAsia="en-GB"/>
    </w:rPr>
  </w:style>
  <w:style w:type="paragraph" w:customStyle="1" w:styleId="font12">
    <w:name w:val="font12"/>
    <w:basedOn w:val="Normal"/>
    <w:pPr>
      <w:spacing w:before="100" w:beforeAutospacing="1" w:after="100" w:afterAutospacing="1"/>
      <w:jc w:val="left"/>
    </w:pPr>
    <w:rPr>
      <w:rFonts w:ascii="Calibri" w:hAnsi="Calibri" w:cs="Calibri"/>
      <w:i/>
      <w:iCs/>
      <w:sz w:val="22"/>
      <w:szCs w:val="22"/>
      <w:lang w:eastAsia="en-GB"/>
    </w:rPr>
  </w:style>
  <w:style w:type="paragraph" w:customStyle="1" w:styleId="xl196">
    <w:name w:val="xl19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197">
    <w:name w:val="xl197"/>
    <w:basedOn w:val="Normal"/>
    <w:pPr>
      <w:spacing w:before="100" w:beforeAutospacing="1" w:after="100" w:afterAutospacing="1"/>
      <w:jc w:val="left"/>
    </w:pPr>
    <w:rPr>
      <w:rFonts w:ascii="Calibri" w:hAnsi="Calibri" w:cs="Calibri"/>
      <w:sz w:val="22"/>
      <w:szCs w:val="22"/>
      <w:lang w:eastAsia="en-GB"/>
    </w:rPr>
  </w:style>
  <w:style w:type="paragraph" w:customStyle="1" w:styleId="xl198">
    <w:name w:val="xl198"/>
    <w:basedOn w:val="Normal"/>
    <w:pPr>
      <w:spacing w:before="100" w:beforeAutospacing="1" w:after="100" w:afterAutospacing="1"/>
      <w:jc w:val="left"/>
    </w:pPr>
    <w:rPr>
      <w:rFonts w:ascii="Calibri" w:hAnsi="Calibri" w:cs="Calibri"/>
      <w:sz w:val="22"/>
      <w:szCs w:val="22"/>
      <w:lang w:eastAsia="en-GB"/>
    </w:rPr>
  </w:style>
  <w:style w:type="paragraph" w:customStyle="1" w:styleId="xl199">
    <w:name w:val="xl199"/>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sz w:val="22"/>
      <w:szCs w:val="22"/>
      <w:lang w:eastAsia="en-GB"/>
    </w:rPr>
  </w:style>
  <w:style w:type="paragraph" w:customStyle="1" w:styleId="xl200">
    <w:name w:val="xl200"/>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left"/>
      <w:textAlignment w:val="center"/>
    </w:pPr>
    <w:rPr>
      <w:rFonts w:ascii="Calibri" w:hAnsi="Calibri" w:cs="Calibri"/>
      <w:color w:val="000000"/>
      <w:sz w:val="22"/>
      <w:szCs w:val="22"/>
      <w:lang w:eastAsia="en-GB"/>
    </w:rPr>
  </w:style>
  <w:style w:type="paragraph" w:customStyle="1" w:styleId="xl201">
    <w:name w:val="xl201"/>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color w:val="000000"/>
      <w:sz w:val="22"/>
      <w:szCs w:val="22"/>
      <w:lang w:eastAsia="en-GB"/>
    </w:rPr>
  </w:style>
  <w:style w:type="paragraph" w:customStyle="1" w:styleId="xl202">
    <w:name w:val="xl202"/>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left"/>
      <w:textAlignment w:val="center"/>
    </w:pPr>
    <w:rPr>
      <w:rFonts w:ascii="Calibri" w:hAnsi="Calibri" w:cs="Calibri"/>
      <w:sz w:val="22"/>
      <w:szCs w:val="22"/>
      <w:lang w:eastAsia="en-GB"/>
    </w:rPr>
  </w:style>
  <w:style w:type="paragraph" w:customStyle="1" w:styleId="xl203">
    <w:name w:val="xl203"/>
    <w:basedOn w:val="Normal"/>
    <w:pPr>
      <w:pBdr>
        <w:top w:val="single" w:sz="4" w:space="0" w:color="auto"/>
        <w:left w:val="single" w:sz="4" w:space="0" w:color="auto"/>
        <w:bottom w:val="single" w:sz="4" w:space="0" w:color="auto"/>
      </w:pBdr>
      <w:shd w:val="clear" w:color="000000" w:fill="CCFFCC"/>
      <w:spacing w:before="100" w:beforeAutospacing="1" w:after="100" w:afterAutospacing="1"/>
      <w:jc w:val="left"/>
      <w:textAlignment w:val="center"/>
    </w:pPr>
    <w:rPr>
      <w:rFonts w:ascii="Calibri" w:hAnsi="Calibri" w:cs="Calibri"/>
      <w:sz w:val="22"/>
      <w:szCs w:val="22"/>
      <w:lang w:eastAsia="en-GB"/>
    </w:rPr>
  </w:style>
  <w:style w:type="paragraph" w:customStyle="1" w:styleId="xl204">
    <w:name w:val="xl204"/>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sz w:val="22"/>
      <w:szCs w:val="22"/>
      <w:lang w:eastAsia="en-GB"/>
    </w:rPr>
  </w:style>
  <w:style w:type="paragraph" w:customStyle="1" w:styleId="xl205">
    <w:name w:val="xl205"/>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left"/>
      <w:textAlignment w:val="center"/>
    </w:pPr>
    <w:rPr>
      <w:rFonts w:ascii="Calibri" w:hAnsi="Calibri" w:cs="Calibri"/>
      <w:sz w:val="22"/>
      <w:szCs w:val="22"/>
      <w:lang w:eastAsia="en-GB"/>
    </w:rPr>
  </w:style>
  <w:style w:type="paragraph" w:customStyle="1" w:styleId="xl206">
    <w:name w:val="xl20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07">
    <w:name w:val="xl20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08">
    <w:name w:val="xl20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sz w:val="22"/>
      <w:szCs w:val="22"/>
      <w:lang w:eastAsia="en-GB"/>
    </w:rPr>
  </w:style>
  <w:style w:type="paragraph" w:customStyle="1" w:styleId="xl209">
    <w:name w:val="xl20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sz w:val="22"/>
      <w:szCs w:val="22"/>
      <w:lang w:eastAsia="en-GB"/>
    </w:rPr>
  </w:style>
  <w:style w:type="paragraph" w:customStyle="1" w:styleId="xl210">
    <w:name w:val="xl21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11">
    <w:name w:val="xl21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sz w:val="22"/>
      <w:szCs w:val="22"/>
      <w:lang w:eastAsia="en-GB"/>
    </w:rPr>
  </w:style>
  <w:style w:type="paragraph" w:customStyle="1" w:styleId="xl212">
    <w:name w:val="xl212"/>
    <w:basedOn w:val="Normal"/>
    <w:pPr>
      <w:spacing w:before="100" w:beforeAutospacing="1" w:after="100" w:afterAutospacing="1"/>
      <w:jc w:val="left"/>
    </w:pPr>
    <w:rPr>
      <w:rFonts w:ascii="Calibri" w:hAnsi="Calibri" w:cs="Calibri"/>
      <w:b/>
      <w:bCs/>
      <w:sz w:val="22"/>
      <w:szCs w:val="22"/>
      <w:lang w:eastAsia="en-GB"/>
    </w:rPr>
  </w:style>
  <w:style w:type="paragraph" w:customStyle="1" w:styleId="xl213">
    <w:name w:val="xl21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14">
    <w:name w:val="xl21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15">
    <w:name w:val="xl21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16">
    <w:name w:val="xl21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sz w:val="22"/>
      <w:szCs w:val="22"/>
      <w:lang w:eastAsia="en-GB"/>
    </w:rPr>
  </w:style>
  <w:style w:type="paragraph" w:customStyle="1" w:styleId="xl217">
    <w:name w:val="xl21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sz w:val="22"/>
      <w:szCs w:val="22"/>
      <w:lang w:eastAsia="en-GB"/>
    </w:rPr>
  </w:style>
  <w:style w:type="paragraph" w:customStyle="1" w:styleId="xl218">
    <w:name w:val="xl218"/>
    <w:basedOn w:val="Normal"/>
    <w:pPr>
      <w:spacing w:before="100" w:beforeAutospacing="1" w:after="100" w:afterAutospacing="1"/>
      <w:jc w:val="left"/>
    </w:pPr>
    <w:rPr>
      <w:rFonts w:ascii="Calibri" w:hAnsi="Calibri" w:cs="Calibri"/>
      <w:color w:val="FF00FF"/>
      <w:sz w:val="22"/>
      <w:szCs w:val="22"/>
      <w:lang w:eastAsia="en-GB"/>
    </w:rPr>
  </w:style>
  <w:style w:type="paragraph" w:customStyle="1" w:styleId="xl219">
    <w:name w:val="xl219"/>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20">
    <w:name w:val="xl220"/>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21">
    <w:name w:val="xl221"/>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22">
    <w:name w:val="xl222"/>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sz w:val="22"/>
      <w:szCs w:val="22"/>
      <w:lang w:eastAsia="en-GB"/>
    </w:rPr>
  </w:style>
  <w:style w:type="paragraph" w:customStyle="1" w:styleId="xl223">
    <w:name w:val="xl223"/>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sz w:val="22"/>
      <w:szCs w:val="22"/>
      <w:lang w:eastAsia="en-GB"/>
    </w:rPr>
  </w:style>
  <w:style w:type="paragraph" w:customStyle="1" w:styleId="xl224">
    <w:name w:val="xl224"/>
    <w:basedOn w:val="Normal"/>
    <w:pPr>
      <w:shd w:val="clear" w:color="000000" w:fill="DDD9C4"/>
      <w:spacing w:before="100" w:beforeAutospacing="1" w:after="100" w:afterAutospacing="1"/>
      <w:jc w:val="left"/>
    </w:pPr>
    <w:rPr>
      <w:rFonts w:ascii="Calibri" w:hAnsi="Calibri" w:cs="Calibri"/>
      <w:sz w:val="22"/>
      <w:szCs w:val="22"/>
      <w:lang w:eastAsia="en-GB"/>
    </w:rPr>
  </w:style>
  <w:style w:type="paragraph" w:customStyle="1" w:styleId="xl225">
    <w:name w:val="xl225"/>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pPr>
    <w:rPr>
      <w:rFonts w:ascii="Calibri" w:hAnsi="Calibri" w:cs="Calibri"/>
      <w:sz w:val="22"/>
      <w:szCs w:val="22"/>
      <w:lang w:eastAsia="en-GB"/>
    </w:rPr>
  </w:style>
  <w:style w:type="paragraph" w:customStyle="1" w:styleId="xl226">
    <w:name w:val="xl226"/>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27">
    <w:name w:val="xl227"/>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sz w:val="22"/>
      <w:szCs w:val="22"/>
      <w:lang w:eastAsia="en-GB"/>
    </w:rPr>
  </w:style>
  <w:style w:type="paragraph" w:customStyle="1" w:styleId="xl228">
    <w:name w:val="xl228"/>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sz w:val="22"/>
      <w:szCs w:val="22"/>
      <w:lang w:eastAsia="en-GB"/>
    </w:rPr>
  </w:style>
  <w:style w:type="paragraph" w:customStyle="1" w:styleId="xl229">
    <w:name w:val="xl229"/>
    <w:basedOn w:val="Normal"/>
    <w:pPr>
      <w:shd w:val="clear" w:color="000000" w:fill="DDD9C4"/>
      <w:spacing w:before="100" w:beforeAutospacing="1" w:after="100" w:afterAutospacing="1"/>
      <w:jc w:val="left"/>
    </w:pPr>
    <w:rPr>
      <w:rFonts w:ascii="Calibri" w:hAnsi="Calibri" w:cs="Calibri"/>
      <w:b/>
      <w:bCs/>
      <w:sz w:val="22"/>
      <w:szCs w:val="22"/>
      <w:lang w:eastAsia="en-GB"/>
    </w:rPr>
  </w:style>
  <w:style w:type="paragraph" w:customStyle="1" w:styleId="xl230">
    <w:name w:val="xl230"/>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left"/>
      <w:textAlignment w:val="center"/>
    </w:pPr>
    <w:rPr>
      <w:rFonts w:ascii="Calibri" w:hAnsi="Calibri" w:cs="Calibri"/>
      <w:i/>
      <w:iCs/>
      <w:sz w:val="22"/>
      <w:szCs w:val="22"/>
      <w:lang w:eastAsia="en-GB"/>
    </w:rPr>
  </w:style>
  <w:style w:type="paragraph" w:customStyle="1" w:styleId="xl231">
    <w:name w:val="xl231"/>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i/>
      <w:iCs/>
      <w:sz w:val="22"/>
      <w:szCs w:val="22"/>
      <w:lang w:eastAsia="en-GB"/>
    </w:rPr>
  </w:style>
  <w:style w:type="paragraph" w:customStyle="1" w:styleId="xl232">
    <w:name w:val="xl232"/>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i/>
      <w:iCs/>
      <w:sz w:val="22"/>
      <w:szCs w:val="22"/>
      <w:lang w:eastAsia="en-GB"/>
    </w:rPr>
  </w:style>
  <w:style w:type="paragraph" w:customStyle="1" w:styleId="xl233">
    <w:name w:val="xl233"/>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i/>
      <w:iCs/>
      <w:sz w:val="22"/>
      <w:szCs w:val="22"/>
      <w:lang w:eastAsia="en-GB"/>
    </w:rPr>
  </w:style>
  <w:style w:type="paragraph" w:customStyle="1" w:styleId="xl234">
    <w:name w:val="xl23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i/>
      <w:iCs/>
      <w:sz w:val="22"/>
      <w:szCs w:val="22"/>
      <w:lang w:eastAsia="en-GB"/>
    </w:rPr>
  </w:style>
  <w:style w:type="paragraph" w:customStyle="1" w:styleId="xl235">
    <w:name w:val="xl23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i/>
      <w:iCs/>
      <w:sz w:val="22"/>
      <w:szCs w:val="22"/>
      <w:lang w:eastAsia="en-GB"/>
    </w:rPr>
  </w:style>
  <w:style w:type="paragraph" w:customStyle="1" w:styleId="xl236">
    <w:name w:val="xl23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i/>
      <w:iCs/>
      <w:sz w:val="22"/>
      <w:szCs w:val="22"/>
      <w:lang w:eastAsia="en-GB"/>
    </w:rPr>
  </w:style>
  <w:style w:type="paragraph" w:customStyle="1" w:styleId="xl237">
    <w:name w:val="xl237"/>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38">
    <w:name w:val="xl238"/>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39">
    <w:name w:val="xl239"/>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40">
    <w:name w:val="xl240"/>
    <w:basedOn w:val="Normal"/>
    <w:pPr>
      <w:spacing w:before="100" w:beforeAutospacing="1" w:after="100" w:afterAutospacing="1"/>
      <w:jc w:val="right"/>
    </w:pPr>
    <w:rPr>
      <w:rFonts w:ascii="Calibri" w:hAnsi="Calibri" w:cs="Calibri"/>
      <w:sz w:val="22"/>
      <w:szCs w:val="22"/>
      <w:lang w:eastAsia="en-GB"/>
    </w:rPr>
  </w:style>
  <w:style w:type="paragraph" w:customStyle="1" w:styleId="xl241">
    <w:name w:val="xl241"/>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sz w:val="22"/>
      <w:szCs w:val="22"/>
      <w:lang w:eastAsia="en-GB"/>
    </w:rPr>
  </w:style>
  <w:style w:type="paragraph" w:customStyle="1" w:styleId="xl242">
    <w:name w:val="xl24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sz w:val="22"/>
      <w:szCs w:val="22"/>
      <w:lang w:eastAsia="en-GB"/>
    </w:rPr>
  </w:style>
  <w:style w:type="paragraph" w:customStyle="1" w:styleId="xl243">
    <w:name w:val="xl243"/>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sz w:val="22"/>
      <w:szCs w:val="22"/>
      <w:lang w:eastAsia="en-GB"/>
    </w:rPr>
  </w:style>
  <w:style w:type="paragraph" w:customStyle="1" w:styleId="xl244">
    <w:name w:val="xl244"/>
    <w:basedOn w:val="Normal"/>
    <w:pPr>
      <w:pBdr>
        <w:top w:val="single" w:sz="4" w:space="0" w:color="auto"/>
        <w:left w:val="single" w:sz="4" w:space="0" w:color="auto"/>
        <w:bottom w:val="single" w:sz="4" w:space="0" w:color="auto"/>
      </w:pBdr>
      <w:shd w:val="clear" w:color="000000" w:fill="CCFFCC"/>
      <w:spacing w:before="100" w:beforeAutospacing="1" w:after="100" w:afterAutospacing="1"/>
      <w:jc w:val="center"/>
      <w:textAlignment w:val="center"/>
    </w:pPr>
    <w:rPr>
      <w:rFonts w:ascii="Calibri" w:hAnsi="Calibri" w:cs="Calibri"/>
      <w:b/>
      <w:bCs/>
      <w:sz w:val="22"/>
      <w:szCs w:val="22"/>
      <w:lang w:eastAsia="en-GB"/>
    </w:rPr>
  </w:style>
  <w:style w:type="paragraph" w:customStyle="1" w:styleId="xl245">
    <w:name w:val="xl245"/>
    <w:basedOn w:val="Normal"/>
    <w:pPr>
      <w:pBdr>
        <w:top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sz w:val="22"/>
      <w:szCs w:val="22"/>
      <w:lang w:eastAsia="en-GB"/>
    </w:rPr>
  </w:style>
  <w:style w:type="paragraph" w:customStyle="1" w:styleId="xl246">
    <w:name w:val="xl246"/>
    <w:basedOn w:val="Normal"/>
    <w:pPr>
      <w:pBdr>
        <w:top w:val="single" w:sz="4" w:space="0" w:color="auto"/>
        <w:left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47">
    <w:name w:val="xl247"/>
    <w:basedOn w:val="Normal"/>
    <w:pPr>
      <w:pBdr>
        <w:left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48">
    <w:name w:val="xl248"/>
    <w:basedOn w:val="Normal"/>
    <w:pPr>
      <w:pBdr>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49">
    <w:name w:val="xl249"/>
    <w:basedOn w:val="Normal"/>
    <w:pPr>
      <w:pBdr>
        <w:top w:val="single" w:sz="4" w:space="0" w:color="auto"/>
        <w:lef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50">
    <w:name w:val="xl250"/>
    <w:basedOn w:val="Normal"/>
    <w:pPr>
      <w:pBdr>
        <w:top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51">
    <w:name w:val="xl251"/>
    <w:basedOn w:val="Normal"/>
    <w:pPr>
      <w:pBdr>
        <w:left w:val="single" w:sz="4" w:space="0" w:color="auto"/>
        <w:bottom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52">
    <w:name w:val="xl252"/>
    <w:basedOn w:val="Normal"/>
    <w:pPr>
      <w:pBdr>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53">
    <w:name w:val="xl253"/>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i/>
      <w:iCs/>
      <w:sz w:val="22"/>
      <w:szCs w:val="22"/>
      <w:lang w:eastAsia="en-GB"/>
    </w:rPr>
  </w:style>
  <w:style w:type="character" w:customStyle="1" w:styleId="link-size">
    <w:name w:val="link-size"/>
  </w:style>
  <w:style w:type="paragraph" w:styleId="PlainText">
    <w:name w:val="Plain Text"/>
    <w:basedOn w:val="Normal"/>
    <w:link w:val="PlainTextChar"/>
    <w:unhideWhenUsed/>
    <w:pPr>
      <w:spacing w:before="0" w:after="0"/>
      <w:jc w:val="left"/>
    </w:pPr>
    <w:rPr>
      <w:rFonts w:ascii="Calibri" w:eastAsia="Calibri" w:hAnsi="Calibri"/>
      <w:sz w:val="22"/>
      <w:szCs w:val="21"/>
      <w:lang w:eastAsia="x-none"/>
    </w:rPr>
  </w:style>
  <w:style w:type="character" w:customStyle="1" w:styleId="PlainTextChar">
    <w:name w:val="Plain Text Char"/>
    <w:link w:val="PlainText"/>
    <w:rPr>
      <w:rFonts w:ascii="Calibri" w:eastAsia="Calibri" w:hAnsi="Calibri"/>
      <w:sz w:val="22"/>
      <w:szCs w:val="21"/>
      <w:shd w:val="clear" w:color="auto" w:fill="auto"/>
      <w:lang w:eastAsia="x-none"/>
    </w:rPr>
  </w:style>
  <w:style w:type="character" w:customStyle="1" w:styleId="HeaderChar">
    <w:name w:val="Header Char"/>
    <w:link w:val="Header"/>
    <w:uiPriority w:val="99"/>
    <w:rPr>
      <w:sz w:val="24"/>
      <w:szCs w:val="24"/>
      <w:lang w:eastAsia="en-US"/>
    </w:rPr>
  </w:style>
  <w:style w:type="character" w:customStyle="1" w:styleId="FooterChar">
    <w:name w:val="Footer Char"/>
    <w:link w:val="Footer"/>
    <w:uiPriority w:val="99"/>
    <w:rPr>
      <w:sz w:val="24"/>
      <w:szCs w:val="24"/>
      <w:lang w:eastAsia="en-US"/>
    </w:rPr>
  </w:style>
  <w:style w:type="character" w:customStyle="1" w:styleId="FootnoteTextChar">
    <w:name w:val="Footnote Text Char"/>
    <w:link w:val="FootnoteText"/>
    <w:uiPriority w:val="99"/>
    <w:rPr>
      <w:lang w:eastAsia="en-US"/>
    </w:rPr>
  </w:style>
  <w:style w:type="character" w:customStyle="1" w:styleId="Heading1Char">
    <w:name w:val="Heading 1 Char"/>
    <w:link w:val="Heading1"/>
    <w:uiPriority w:val="9"/>
    <w:rPr>
      <w:b/>
      <w:bCs/>
      <w:smallCaps/>
      <w:sz w:val="24"/>
      <w:szCs w:val="32"/>
      <w:lang w:eastAsia="en-US"/>
    </w:rPr>
  </w:style>
  <w:style w:type="character" w:customStyle="1" w:styleId="Heading2Char">
    <w:name w:val="Heading 2 Char"/>
    <w:link w:val="Heading2"/>
    <w:uiPriority w:val="9"/>
    <w:rPr>
      <w:b/>
      <w:bCs/>
      <w:iCs/>
      <w:sz w:val="24"/>
      <w:szCs w:val="28"/>
      <w:lang w:eastAsia="en-US"/>
    </w:rPr>
  </w:style>
  <w:style w:type="character" w:customStyle="1" w:styleId="Heading3Char">
    <w:name w:val="Heading 3 Char"/>
    <w:link w:val="Heading3"/>
    <w:uiPriority w:val="9"/>
    <w:rPr>
      <w:bCs/>
      <w:i/>
      <w:sz w:val="24"/>
      <w:szCs w:val="26"/>
      <w:lang w:eastAsia="en-US"/>
    </w:rPr>
  </w:style>
  <w:style w:type="character" w:customStyle="1" w:styleId="Heading4Char">
    <w:name w:val="Heading 4 Char"/>
    <w:link w:val="Heading4"/>
    <w:uiPriority w:val="9"/>
    <w:rPr>
      <w:bCs/>
      <w:sz w:val="24"/>
      <w:szCs w:val="28"/>
      <w:lang w:eastAsia="en-US"/>
    </w:rPr>
  </w:style>
  <w:style w:type="paragraph" w:customStyle="1" w:styleId="Normale">
    <w:name w:val="Normale"/>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eastAsia="en-GB"/>
    </w:rPr>
  </w:style>
  <w:style w:type="paragraph" w:customStyle="1" w:styleId="Paragrafoelenco">
    <w:name w:val="Paragrafo elenco"/>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lang w:eastAsia="en-GB"/>
    </w:rPr>
  </w:style>
  <w:style w:type="numbering" w:customStyle="1" w:styleId="List13">
    <w:name w:val="List 13"/>
    <w:basedOn w:val="NoList"/>
    <w:pPr>
      <w:numPr>
        <w:numId w:val="36"/>
      </w:numPr>
    </w:pPr>
  </w:style>
  <w:style w:type="paragraph" w:customStyle="1" w:styleId="default0">
    <w:name w:val="default"/>
    <w:basedOn w:val="Normal"/>
    <w:pPr>
      <w:spacing w:before="100" w:beforeAutospacing="1" w:after="100" w:afterAutospacing="1"/>
      <w:jc w:val="left"/>
    </w:pPr>
    <w:rPr>
      <w:lang w:eastAsia="en-GB"/>
    </w:rPr>
  </w:style>
  <w:style w:type="character" w:customStyle="1" w:styleId="en">
    <w:name w:val="en"/>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B5928-062B-42B1-8428-38DB3C50F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18</Pages>
  <Words>6542</Words>
  <Characters>37816</Characters>
  <Application>Microsoft Office Word</Application>
  <DocSecurity>0</DocSecurity>
  <Lines>640</Lines>
  <Paragraphs>247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44111</CharactersWithSpaces>
  <SharedDoc>false</SharedDoc>
  <HLinks>
    <vt:vector size="90" baseType="variant">
      <vt:variant>
        <vt:i4>1966140</vt:i4>
      </vt:variant>
      <vt:variant>
        <vt:i4>86</vt:i4>
      </vt:variant>
      <vt:variant>
        <vt:i4>0</vt:i4>
      </vt:variant>
      <vt:variant>
        <vt:i4>5</vt:i4>
      </vt:variant>
      <vt:variant>
        <vt:lpwstr/>
      </vt:variant>
      <vt:variant>
        <vt:lpwstr>_Toc410993128</vt:lpwstr>
      </vt:variant>
      <vt:variant>
        <vt:i4>1966140</vt:i4>
      </vt:variant>
      <vt:variant>
        <vt:i4>80</vt:i4>
      </vt:variant>
      <vt:variant>
        <vt:i4>0</vt:i4>
      </vt:variant>
      <vt:variant>
        <vt:i4>5</vt:i4>
      </vt:variant>
      <vt:variant>
        <vt:lpwstr/>
      </vt:variant>
      <vt:variant>
        <vt:lpwstr>_Toc410993127</vt:lpwstr>
      </vt:variant>
      <vt:variant>
        <vt:i4>1966140</vt:i4>
      </vt:variant>
      <vt:variant>
        <vt:i4>74</vt:i4>
      </vt:variant>
      <vt:variant>
        <vt:i4>0</vt:i4>
      </vt:variant>
      <vt:variant>
        <vt:i4>5</vt:i4>
      </vt:variant>
      <vt:variant>
        <vt:lpwstr/>
      </vt:variant>
      <vt:variant>
        <vt:lpwstr>_Toc410993126</vt:lpwstr>
      </vt:variant>
      <vt:variant>
        <vt:i4>1966140</vt:i4>
      </vt:variant>
      <vt:variant>
        <vt:i4>68</vt:i4>
      </vt:variant>
      <vt:variant>
        <vt:i4>0</vt:i4>
      </vt:variant>
      <vt:variant>
        <vt:i4>5</vt:i4>
      </vt:variant>
      <vt:variant>
        <vt:lpwstr/>
      </vt:variant>
      <vt:variant>
        <vt:lpwstr>_Toc410993125</vt:lpwstr>
      </vt:variant>
      <vt:variant>
        <vt:i4>1966140</vt:i4>
      </vt:variant>
      <vt:variant>
        <vt:i4>62</vt:i4>
      </vt:variant>
      <vt:variant>
        <vt:i4>0</vt:i4>
      </vt:variant>
      <vt:variant>
        <vt:i4>5</vt:i4>
      </vt:variant>
      <vt:variant>
        <vt:lpwstr/>
      </vt:variant>
      <vt:variant>
        <vt:lpwstr>_Toc410993124</vt:lpwstr>
      </vt:variant>
      <vt:variant>
        <vt:i4>1966140</vt:i4>
      </vt:variant>
      <vt:variant>
        <vt:i4>56</vt:i4>
      </vt:variant>
      <vt:variant>
        <vt:i4>0</vt:i4>
      </vt:variant>
      <vt:variant>
        <vt:i4>5</vt:i4>
      </vt:variant>
      <vt:variant>
        <vt:lpwstr/>
      </vt:variant>
      <vt:variant>
        <vt:lpwstr>_Toc410993123</vt:lpwstr>
      </vt:variant>
      <vt:variant>
        <vt:i4>1966140</vt:i4>
      </vt:variant>
      <vt:variant>
        <vt:i4>50</vt:i4>
      </vt:variant>
      <vt:variant>
        <vt:i4>0</vt:i4>
      </vt:variant>
      <vt:variant>
        <vt:i4>5</vt:i4>
      </vt:variant>
      <vt:variant>
        <vt:lpwstr/>
      </vt:variant>
      <vt:variant>
        <vt:lpwstr>_Toc410993122</vt:lpwstr>
      </vt:variant>
      <vt:variant>
        <vt:i4>1966140</vt:i4>
      </vt:variant>
      <vt:variant>
        <vt:i4>44</vt:i4>
      </vt:variant>
      <vt:variant>
        <vt:i4>0</vt:i4>
      </vt:variant>
      <vt:variant>
        <vt:i4>5</vt:i4>
      </vt:variant>
      <vt:variant>
        <vt:lpwstr/>
      </vt:variant>
      <vt:variant>
        <vt:lpwstr>_Toc410993121</vt:lpwstr>
      </vt:variant>
      <vt:variant>
        <vt:i4>1966140</vt:i4>
      </vt:variant>
      <vt:variant>
        <vt:i4>38</vt:i4>
      </vt:variant>
      <vt:variant>
        <vt:i4>0</vt:i4>
      </vt:variant>
      <vt:variant>
        <vt:i4>5</vt:i4>
      </vt:variant>
      <vt:variant>
        <vt:lpwstr/>
      </vt:variant>
      <vt:variant>
        <vt:lpwstr>_Toc410993120</vt:lpwstr>
      </vt:variant>
      <vt:variant>
        <vt:i4>1900604</vt:i4>
      </vt:variant>
      <vt:variant>
        <vt:i4>32</vt:i4>
      </vt:variant>
      <vt:variant>
        <vt:i4>0</vt:i4>
      </vt:variant>
      <vt:variant>
        <vt:i4>5</vt:i4>
      </vt:variant>
      <vt:variant>
        <vt:lpwstr/>
      </vt:variant>
      <vt:variant>
        <vt:lpwstr>_Toc410993119</vt:lpwstr>
      </vt:variant>
      <vt:variant>
        <vt:i4>1900604</vt:i4>
      </vt:variant>
      <vt:variant>
        <vt:i4>26</vt:i4>
      </vt:variant>
      <vt:variant>
        <vt:i4>0</vt:i4>
      </vt:variant>
      <vt:variant>
        <vt:i4>5</vt:i4>
      </vt:variant>
      <vt:variant>
        <vt:lpwstr/>
      </vt:variant>
      <vt:variant>
        <vt:lpwstr>_Toc410993118</vt:lpwstr>
      </vt:variant>
      <vt:variant>
        <vt:i4>1900604</vt:i4>
      </vt:variant>
      <vt:variant>
        <vt:i4>20</vt:i4>
      </vt:variant>
      <vt:variant>
        <vt:i4>0</vt:i4>
      </vt:variant>
      <vt:variant>
        <vt:i4>5</vt:i4>
      </vt:variant>
      <vt:variant>
        <vt:lpwstr/>
      </vt:variant>
      <vt:variant>
        <vt:lpwstr>_Toc410993117</vt:lpwstr>
      </vt:variant>
      <vt:variant>
        <vt:i4>1900604</vt:i4>
      </vt:variant>
      <vt:variant>
        <vt:i4>14</vt:i4>
      </vt:variant>
      <vt:variant>
        <vt:i4>0</vt:i4>
      </vt:variant>
      <vt:variant>
        <vt:i4>5</vt:i4>
      </vt:variant>
      <vt:variant>
        <vt:lpwstr/>
      </vt:variant>
      <vt:variant>
        <vt:lpwstr>_Toc410993116</vt:lpwstr>
      </vt:variant>
      <vt:variant>
        <vt:i4>1900604</vt:i4>
      </vt:variant>
      <vt:variant>
        <vt:i4>8</vt:i4>
      </vt:variant>
      <vt:variant>
        <vt:i4>0</vt:i4>
      </vt:variant>
      <vt:variant>
        <vt:i4>5</vt:i4>
      </vt:variant>
      <vt:variant>
        <vt:lpwstr/>
      </vt:variant>
      <vt:variant>
        <vt:lpwstr>_Toc410993115</vt:lpwstr>
      </vt:variant>
      <vt:variant>
        <vt:i4>1900604</vt:i4>
      </vt:variant>
      <vt:variant>
        <vt:i4>2</vt:i4>
      </vt:variant>
      <vt:variant>
        <vt:i4>0</vt:i4>
      </vt:variant>
      <vt:variant>
        <vt:i4>5</vt:i4>
      </vt:variant>
      <vt:variant>
        <vt:lpwstr/>
      </vt:variant>
      <vt:variant>
        <vt:lpwstr>_Toc410993114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21</cp:revision>
  <cp:lastPrinted>2015-02-23T09:08:00Z</cp:lastPrinted>
  <dcterms:created xsi:type="dcterms:W3CDTF">2015-03-03T13:24:00Z</dcterms:created>
  <dcterms:modified xsi:type="dcterms:W3CDTF">2015-03-04T08:48:00Z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