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52564DC799D4E5798285F0880D33E0A" style="width:450.8pt;height:293.6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Title"/>
        <w:rPr>
          <w:rFonts w:ascii="Times New Roman" w:hAnsi="Times New Roman"/>
          <w:noProof/>
          <w:sz w:val="24"/>
          <w:szCs w:val="24"/>
        </w:rPr>
      </w:pPr>
      <w:bookmarkStart w:id="1" w:name="_GoBack"/>
      <w:bookmarkEnd w:id="1"/>
      <w:r>
        <w:rPr>
          <w:rFonts w:ascii="Times New Roman" w:hAnsi="Times New Roman"/>
          <w:noProof/>
          <w:sz w:val="24"/>
        </w:rPr>
        <w:lastRenderedPageBreak/>
        <w:t>COMMUNICATION CONJOINTE AU PARLEMENT EUROPÉEN ET AU</w:t>
      </w:r>
    </w:p>
    <w:p>
      <w:pPr>
        <w:jc w:val="center"/>
        <w:rPr>
          <w:rFonts w:ascii="Times New Roman" w:hAnsi="Times New Roman"/>
          <w:b/>
          <w:noProof/>
          <w:sz w:val="24"/>
          <w:szCs w:val="24"/>
        </w:rPr>
      </w:pPr>
      <w:r>
        <w:rPr>
          <w:rFonts w:ascii="Times New Roman" w:hAnsi="Times New Roman"/>
          <w:b/>
          <w:noProof/>
          <w:sz w:val="24"/>
        </w:rPr>
        <w:t>CONSEIL</w:t>
      </w:r>
    </w:p>
    <w:p>
      <w:pPr>
        <w:pStyle w:val="Title"/>
        <w:rPr>
          <w:rFonts w:ascii="Times New Roman" w:hAnsi="Times New Roman"/>
          <w:noProof/>
          <w:sz w:val="24"/>
          <w:szCs w:val="24"/>
          <w:u w:val="single"/>
        </w:rPr>
      </w:pPr>
      <w:r>
        <w:rPr>
          <w:rFonts w:ascii="Times New Roman" w:hAnsi="Times New Roman"/>
          <w:noProof/>
          <w:sz w:val="24"/>
          <w:u w:val="single"/>
        </w:rPr>
        <w:t>L'UE et l'ASEAN: un partenariat à visée stratégique</w:t>
      </w:r>
    </w:p>
    <w:p>
      <w:pPr>
        <w:pStyle w:val="Heading1"/>
        <w:rPr>
          <w:rFonts w:ascii="Times New Roman" w:hAnsi="Times New Roman"/>
          <w:noProof/>
          <w:sz w:val="28"/>
          <w:szCs w:val="28"/>
        </w:rPr>
      </w:pPr>
      <w:r>
        <w:rPr>
          <w:rFonts w:ascii="Times New Roman" w:hAnsi="Times New Roman"/>
          <w:noProof/>
          <w:sz w:val="28"/>
        </w:rPr>
        <w:t>1. Introduction</w:t>
      </w:r>
    </w:p>
    <w:p>
      <w:pPr>
        <w:spacing w:after="240" w:line="240" w:lineRule="auto"/>
        <w:jc w:val="both"/>
        <w:rPr>
          <w:rFonts w:ascii="Times New Roman" w:hAnsi="Times New Roman"/>
          <w:noProof/>
          <w:sz w:val="24"/>
          <w:szCs w:val="24"/>
        </w:rPr>
      </w:pPr>
      <w:r>
        <w:rPr>
          <w:rFonts w:ascii="Times New Roman" w:hAnsi="Times New Roman"/>
          <w:noProof/>
          <w:sz w:val="24"/>
        </w:rPr>
        <w:t>L'UE a stratégiquement intérêt à renforcer ses liens avec l'Association des nations de l'Asie du Sud-Est (Association of South-East Asian Nations - ASEAN)</w:t>
      </w:r>
      <w:r>
        <w:rPr>
          <w:rStyle w:val="FootnoteReference"/>
          <w:rFonts w:ascii="Times New Roman" w:hAnsi="Times New Roman"/>
          <w:noProof/>
          <w:sz w:val="24"/>
        </w:rPr>
        <w:footnoteReference w:id="1"/>
      </w:r>
      <w:r>
        <w:rPr>
          <w:noProof/>
        </w:rPr>
        <w:t>.</w:t>
      </w:r>
      <w:r>
        <w:rPr>
          <w:rFonts w:ascii="Times New Roman" w:hAnsi="Times New Roman"/>
          <w:noProof/>
          <w:sz w:val="24"/>
        </w:rPr>
        <w:t xml:space="preserve"> Une ASEAN forte, solidaire et consciente de sa valeur, poursuivant son propre processus d'intégration, est un atout pour la stabilité, la prospérité et la sécurité de la région et crée de nouvelles perspectives de coopération face à des défis régionaux et mondiaux. L'ASEAN combine taux de croissance économique élevés et dynamisme démographique. En tant qu'entité, elle se classerait aujourd'hui au septième rang économique mondial et devrait se hisser au quatrième rang d'ici 2050. La jeune classe moyenne devrait représenter 65 % de la population totale de l'ASEAN d'ici 2030, contre 24 % en 2010. L'ASEAN est aussi au cœur des efforts visant à renforcer la sécurité régionale dans la région Asie-Pacifique. Pour garantir que les défis régionaux seront relevés en se fondant sur des règles, dans l'intérêt direct des citoyens de la région, mais aussi de l'Union européenne, il est essentiel que l'ASEAN soit unie et confiante dans ses possibilités.</w:t>
      </w:r>
    </w:p>
    <w:p>
      <w:pPr>
        <w:spacing w:after="240" w:line="240" w:lineRule="auto"/>
        <w:jc w:val="both"/>
        <w:rPr>
          <w:rFonts w:ascii="Times New Roman" w:hAnsi="Times New Roman"/>
          <w:noProof/>
          <w:sz w:val="24"/>
          <w:szCs w:val="24"/>
        </w:rPr>
      </w:pPr>
      <w:r>
        <w:rPr>
          <w:rFonts w:ascii="Times New Roman" w:hAnsi="Times New Roman"/>
          <w:noProof/>
          <w:sz w:val="24"/>
        </w:rPr>
        <w:t>L'Union européenne a donc éminemment intérêt à ce que l'ASEAN soit une réussite.</w:t>
      </w:r>
    </w:p>
    <w:p>
      <w:pPr>
        <w:spacing w:after="240" w:line="240" w:lineRule="auto"/>
        <w:jc w:val="both"/>
        <w:rPr>
          <w:rFonts w:ascii="Times New Roman" w:hAnsi="Times New Roman"/>
          <w:noProof/>
          <w:sz w:val="24"/>
          <w:szCs w:val="24"/>
        </w:rPr>
      </w:pPr>
      <w:r>
        <w:rPr>
          <w:rFonts w:ascii="Times New Roman" w:hAnsi="Times New Roman"/>
          <w:noProof/>
          <w:sz w:val="24"/>
        </w:rPr>
        <w:t>Une nouvelle dynamique caractérise aujourd'hui les relations entre l'UE et l'ASEAN, que les deux parties ont tout intérêt à entretenir. Nombreux sont les membres de l'ASEAN à avoir exprimé leur espoir d'un plus grand engagement de l'UE et leur souhait d'un «partenariat stratégique» officiel. Pour sa part, l'Union a d'impérieux intérêts économiques, sectoriels et politiques à renforcer sa coopération avec cet acteur incontournable d'une région d'importance stratégique.</w:t>
      </w:r>
    </w:p>
    <w:p>
      <w:pPr>
        <w:spacing w:after="240" w:line="240" w:lineRule="auto"/>
        <w:jc w:val="both"/>
        <w:rPr>
          <w:rFonts w:ascii="Times New Roman" w:hAnsi="Times New Roman"/>
          <w:noProof/>
          <w:sz w:val="24"/>
          <w:szCs w:val="24"/>
        </w:rPr>
      </w:pPr>
      <w:r>
        <w:rPr>
          <w:rFonts w:ascii="Times New Roman" w:hAnsi="Times New Roman"/>
          <w:noProof/>
          <w:sz w:val="24"/>
        </w:rPr>
        <w:t>L'ASEAN s'emploie à élaborer une Communauté économique de l'ASEAN d'ici fin 2015 et à définir sa vision post-2015, notamment la manière dont elle conçoit ses relations avec l'UE et ses autres partenaires de dialogue. C'est pourquoi le moment est venu de formuler notre vision de l'avenir des relations UE-ASEAN.</w:t>
      </w:r>
    </w:p>
    <w:p>
      <w:pPr>
        <w:spacing w:after="240" w:line="240" w:lineRule="auto"/>
        <w:jc w:val="both"/>
        <w:rPr>
          <w:rFonts w:ascii="Times New Roman" w:hAnsi="Times New Roman"/>
          <w:noProof/>
          <w:sz w:val="24"/>
          <w:szCs w:val="24"/>
        </w:rPr>
      </w:pPr>
      <w:r>
        <w:rPr>
          <w:rFonts w:ascii="Times New Roman" w:hAnsi="Times New Roman"/>
          <w:noProof/>
          <w:sz w:val="24"/>
        </w:rPr>
        <w:t xml:space="preserve">Si l'ASEAN et l'UE sont «partenaires en matière d'intégration», elles se différencient sensiblement pour ce qui est des niveaux moyens de leur développement économique, de la nature de leurs systèmes politiques et de leur puissance institutionnelle. L'ASEAN devra relever les défis posés, entre autres, par son mécanisme décisionnel entièrement intergouvernemental fondé sur le consensus, par le financement de son budget (seulement 16 000 000 USD par an, alimentés à parts égales par chacun de ses États membres), et par la nécessité d'émanciper son secrétariat. Parallèlement, l'UE et l'ASEAN sont toutes deux déterminées à «constituer une communauté» et considèrent qu'un développement durable et une intégration fondée sur des règles sont le meilleur moyen d'apporter sécurité et prospérité à leurs citoyens (plus de </w:t>
      </w:r>
      <w:r>
        <w:rPr>
          <w:rFonts w:ascii="Times New Roman" w:hAnsi="Times New Roman"/>
          <w:noProof/>
          <w:sz w:val="24"/>
        </w:rPr>
        <w:lastRenderedPageBreak/>
        <w:t>1,1 milliard à elles deux). La stratégie Europe 2020 pourrait constituer une source d'inspiration pour l'élaboration et la mise en œuvre de la vision et du programme post-2015 de l'ASEAN.</w:t>
      </w:r>
    </w:p>
    <w:p>
      <w:pPr>
        <w:spacing w:after="240" w:line="240" w:lineRule="auto"/>
        <w:jc w:val="both"/>
        <w:rPr>
          <w:rFonts w:ascii="Times New Roman" w:hAnsi="Times New Roman"/>
          <w:noProof/>
          <w:sz w:val="24"/>
          <w:szCs w:val="24"/>
        </w:rPr>
      </w:pPr>
      <w:r>
        <w:rPr>
          <w:rFonts w:ascii="Times New Roman" w:hAnsi="Times New Roman"/>
          <w:noProof/>
          <w:sz w:val="24"/>
        </w:rPr>
        <w:t xml:space="preserve">Le fait pour l'UE d'investir dans sa relation avec l'ASEAN aura pour elle d'importantes retombées bénéfiques, sur un plan tant économique que politique. De son côté, l'ASEAN apprécie le rôle que l'UE peut jouer dans un contexte régional marqué par une concurrence stratégique grandissante. Plus que tout autre partenaire de dialogue, l'UE peut être pour l'ASEAN un partenaire de confiance l'aidant à réaliser ses objectifs d'intégration, sans prêcher le recours à tel ou tel modèle spécifique. </w:t>
      </w:r>
    </w:p>
    <w:p>
      <w:pPr>
        <w:spacing w:after="240" w:line="240" w:lineRule="auto"/>
        <w:jc w:val="both"/>
        <w:rPr>
          <w:rFonts w:ascii="Times New Roman" w:hAnsi="Times New Roman"/>
          <w:noProof/>
          <w:sz w:val="24"/>
          <w:szCs w:val="24"/>
        </w:rPr>
      </w:pPr>
      <w:r>
        <w:rPr>
          <w:rFonts w:ascii="Times New Roman" w:hAnsi="Times New Roman"/>
          <w:noProof/>
          <w:sz w:val="24"/>
        </w:rPr>
        <w:t>Pour l'UE, un engagement accru avec l'ASEAN est essentiel dans la perspective d'une stratégie plus équilibrée avec l'Asie. Ces dernières années, l'UE a:</w:t>
      </w:r>
    </w:p>
    <w:p>
      <w:pPr>
        <w:numPr>
          <w:ilvl w:val="0"/>
          <w:numId w:val="11"/>
        </w:numPr>
        <w:spacing w:after="120" w:line="240" w:lineRule="auto"/>
        <w:jc w:val="both"/>
        <w:rPr>
          <w:rFonts w:ascii="Times New Roman" w:hAnsi="Times New Roman"/>
          <w:noProof/>
          <w:sz w:val="24"/>
          <w:szCs w:val="24"/>
        </w:rPr>
      </w:pPr>
      <w:r>
        <w:rPr>
          <w:rFonts w:ascii="Times New Roman" w:hAnsi="Times New Roman"/>
          <w:noProof/>
          <w:sz w:val="24"/>
        </w:rPr>
        <w:t>adhéré au traité d'amitié et de coopération en Asie du Sud-Est;</w:t>
      </w:r>
    </w:p>
    <w:p>
      <w:pPr>
        <w:numPr>
          <w:ilvl w:val="0"/>
          <w:numId w:val="11"/>
        </w:numPr>
        <w:spacing w:after="120" w:line="240" w:lineRule="auto"/>
        <w:jc w:val="both"/>
        <w:rPr>
          <w:rFonts w:ascii="Times New Roman" w:hAnsi="Times New Roman"/>
          <w:noProof/>
          <w:sz w:val="24"/>
          <w:szCs w:val="24"/>
        </w:rPr>
      </w:pPr>
      <w:r>
        <w:rPr>
          <w:rFonts w:ascii="Times New Roman" w:hAnsi="Times New Roman"/>
          <w:noProof/>
          <w:sz w:val="24"/>
        </w:rPr>
        <w:t>intensifié et réorienté sa coopération, en forgeant un partenariat plus ambitieux et plus politique, comme le prévoit le plan d'action de Brunei (2013-2017)</w:t>
      </w:r>
      <w:r>
        <w:rPr>
          <w:rStyle w:val="FootnoteReference"/>
          <w:rFonts w:ascii="Times New Roman" w:hAnsi="Times New Roman"/>
          <w:noProof/>
          <w:sz w:val="24"/>
        </w:rPr>
        <w:footnoteReference w:id="2"/>
      </w:r>
      <w:r>
        <w:rPr>
          <w:rFonts w:ascii="Times New Roman" w:hAnsi="Times New Roman"/>
          <w:noProof/>
          <w:sz w:val="24"/>
        </w:rPr>
        <w:t>, le cadre de l'ensemble de la coopération UE</w:t>
      </w:r>
      <w:r>
        <w:rPr>
          <w:noProof/>
        </w:rPr>
        <w:noBreakHyphen/>
      </w:r>
      <w:r>
        <w:rPr>
          <w:rFonts w:ascii="Times New Roman" w:hAnsi="Times New Roman"/>
          <w:noProof/>
          <w:sz w:val="24"/>
        </w:rPr>
        <w:t>ASEAN, y compris en ce qui concerne les nombreuses activités des États membres de l'UE;</w:t>
      </w:r>
    </w:p>
    <w:p>
      <w:pPr>
        <w:numPr>
          <w:ilvl w:val="0"/>
          <w:numId w:val="11"/>
        </w:numPr>
        <w:spacing w:after="120" w:line="240" w:lineRule="auto"/>
        <w:jc w:val="both"/>
        <w:rPr>
          <w:rFonts w:ascii="Times New Roman" w:hAnsi="Times New Roman"/>
          <w:noProof/>
          <w:sz w:val="24"/>
          <w:szCs w:val="24"/>
        </w:rPr>
      </w:pPr>
      <w:r>
        <w:rPr>
          <w:rFonts w:ascii="Times New Roman" w:hAnsi="Times New Roman"/>
          <w:noProof/>
          <w:sz w:val="24"/>
        </w:rPr>
        <w:t xml:space="preserve">pris part à davantage de visites à haut niveau; et </w:t>
      </w:r>
    </w:p>
    <w:p>
      <w:pPr>
        <w:numPr>
          <w:ilvl w:val="0"/>
          <w:numId w:val="11"/>
        </w:numPr>
        <w:spacing w:after="240" w:line="240" w:lineRule="auto"/>
        <w:jc w:val="both"/>
        <w:rPr>
          <w:rFonts w:ascii="Times New Roman" w:hAnsi="Times New Roman"/>
          <w:noProof/>
          <w:sz w:val="24"/>
          <w:szCs w:val="24"/>
        </w:rPr>
      </w:pPr>
      <w:r>
        <w:rPr>
          <w:rFonts w:ascii="Times New Roman" w:hAnsi="Times New Roman"/>
          <w:noProof/>
          <w:sz w:val="24"/>
        </w:rPr>
        <w:t xml:space="preserve">lancé de nouvelles initiatives pour un engagement tangible dans des domaines prioritaires. </w:t>
      </w:r>
    </w:p>
    <w:p>
      <w:pPr>
        <w:spacing w:after="240" w:line="240" w:lineRule="auto"/>
        <w:jc w:val="both"/>
        <w:rPr>
          <w:rFonts w:ascii="Times New Roman" w:hAnsi="Times New Roman"/>
          <w:noProof/>
          <w:sz w:val="24"/>
          <w:szCs w:val="24"/>
        </w:rPr>
      </w:pPr>
      <w:r>
        <w:rPr>
          <w:rFonts w:ascii="Times New Roman" w:hAnsi="Times New Roman"/>
          <w:noProof/>
          <w:sz w:val="24"/>
        </w:rPr>
        <w:t>L'ASEAN a noté et apprécié l'engagement de l'UE; il convient à présent de passer à la vitesse supérieure et de concrétiser la décision commune des ministres des affaires étrangères de l'ASEAN et de l'UE de juillet 2014 de «faire de notre relation une relation stratégique». Le nouvel élan dont bénéficieront les relations UE-ASEAN permettra de consolider, tout en les complétant, les liens bilatéraux déjà riches et variés existant entre l'UE et les différents membres de l'ASEAN, un processus que l'on peut qualifier de renforcement mutuel.</w:t>
      </w:r>
    </w:p>
    <w:p>
      <w:pPr>
        <w:pStyle w:val="Heading1"/>
        <w:rPr>
          <w:rFonts w:ascii="Times New Roman" w:hAnsi="Times New Roman"/>
          <w:noProof/>
          <w:sz w:val="28"/>
          <w:szCs w:val="28"/>
        </w:rPr>
      </w:pPr>
      <w:r>
        <w:rPr>
          <w:rFonts w:ascii="Times New Roman" w:hAnsi="Times New Roman"/>
          <w:noProof/>
          <w:sz w:val="28"/>
        </w:rPr>
        <w:t>2. Connectivité: appréhender la finalité essentielle de l'intégration régionale</w:t>
      </w:r>
    </w:p>
    <w:p>
      <w:pPr>
        <w:spacing w:after="240" w:line="240" w:lineRule="auto"/>
        <w:jc w:val="both"/>
        <w:rPr>
          <w:rFonts w:ascii="Times New Roman" w:hAnsi="Times New Roman"/>
          <w:noProof/>
          <w:sz w:val="24"/>
          <w:szCs w:val="24"/>
        </w:rPr>
      </w:pPr>
      <w:r>
        <w:rPr>
          <w:rFonts w:ascii="Times New Roman" w:hAnsi="Times New Roman"/>
          <w:noProof/>
          <w:sz w:val="24"/>
        </w:rPr>
        <w:t xml:space="preserve">La connectivité est aujourd'hui le projet fédérateur central de l'ASEAN. Ses principaux objectifs ont été fixés dans le </w:t>
      </w:r>
      <w:r>
        <w:rPr>
          <w:rFonts w:ascii="Times New Roman" w:hAnsi="Times New Roman"/>
          <w:i/>
          <w:noProof/>
          <w:sz w:val="24"/>
        </w:rPr>
        <w:t>schéma directeur 2010 pour la connectivité de l'ASEAN</w:t>
      </w:r>
      <w:r>
        <w:rPr>
          <w:rFonts w:ascii="Times New Roman" w:hAnsi="Times New Roman"/>
          <w:noProof/>
          <w:sz w:val="24"/>
        </w:rPr>
        <w:t>, dont l'objectif global est de rapprocher les entreprises, les populations et les institutions en supprimant les obstacles</w:t>
      </w:r>
      <w:r>
        <w:rPr>
          <w:rStyle w:val="FootnoteReference"/>
          <w:rFonts w:ascii="Times New Roman" w:hAnsi="Times New Roman"/>
          <w:noProof/>
          <w:sz w:val="24"/>
        </w:rPr>
        <w:footnoteReference w:id="3"/>
      </w:r>
      <w:r>
        <w:rPr>
          <w:rFonts w:ascii="Times New Roman" w:hAnsi="Times New Roman"/>
          <w:noProof/>
          <w:sz w:val="24"/>
        </w:rPr>
        <w:t>.</w:t>
      </w:r>
      <w:r>
        <w:rPr>
          <w:rStyle w:val="FootnoteReference"/>
          <w:rFonts w:ascii="Times New Roman" w:hAnsi="Times New Roman"/>
          <w:noProof/>
          <w:sz w:val="24"/>
        </w:rPr>
        <w:t xml:space="preserve"> </w:t>
      </w:r>
      <w:r>
        <w:rPr>
          <w:rFonts w:ascii="Times New Roman" w:hAnsi="Times New Roman"/>
          <w:noProof/>
          <w:sz w:val="24"/>
        </w:rPr>
        <w:t xml:space="preserve">Tout en reconnaissant l'importance des infrastructures matérielles, le </w:t>
      </w:r>
      <w:r>
        <w:rPr>
          <w:rFonts w:ascii="Times New Roman" w:hAnsi="Times New Roman"/>
          <w:i/>
          <w:noProof/>
          <w:sz w:val="24"/>
        </w:rPr>
        <w:t>schéma directeur</w:t>
      </w:r>
      <w:r>
        <w:rPr>
          <w:rFonts w:ascii="Times New Roman" w:hAnsi="Times New Roman"/>
          <w:noProof/>
          <w:sz w:val="24"/>
        </w:rPr>
        <w:t xml:space="preserve"> souligne le rôle essentiel que jouent aussi un cadre réglementaire stimulant et une identité commune en reliant les pays de l'ASEAN les uns aux autres et au reste du monde. L'UE, qui est elle-même un exemple d'intégration régionale, se fonde aussi sur la connectivité (même si les terminologies diffèrent). C'est avec l'UE, plus qu'avec tout autre partenaire, que l'ASEAN peut discuter, par exemple, des enseignements tirés de la mise en place de systèmes intégrés de transports au niveau continental, qui créent un marché intérieur et rapprochent les populations.</w:t>
      </w:r>
    </w:p>
    <w:p>
      <w:pPr>
        <w:spacing w:after="240" w:line="240" w:lineRule="auto"/>
        <w:jc w:val="both"/>
        <w:rPr>
          <w:rFonts w:ascii="Times New Roman" w:hAnsi="Times New Roman"/>
          <w:noProof/>
          <w:sz w:val="24"/>
          <w:szCs w:val="24"/>
        </w:rPr>
      </w:pPr>
      <w:r>
        <w:rPr>
          <w:rFonts w:ascii="Times New Roman" w:hAnsi="Times New Roman"/>
          <w:noProof/>
          <w:sz w:val="24"/>
        </w:rPr>
        <w:t>La réunion ministérielle UE-ASEAN qui s'est tenue à Bruxelles en juillet 2014 a confirmé l'intérêt mutuel que présente une coordination en matière de connectivité. Beaucoup d'initiatives sectorielles mentionnées dans la présente communication relèvent de la volonté de placer la coopération en matière de connectivité au centre des relations UE-ASEAN.</w:t>
      </w:r>
    </w:p>
    <w:p>
      <w:pPr>
        <w:pBdr>
          <w:top w:val="single" w:sz="4" w:space="1" w:color="auto"/>
          <w:left w:val="single" w:sz="4" w:space="4" w:color="auto"/>
          <w:bottom w:val="single" w:sz="4" w:space="1" w:color="auto"/>
          <w:right w:val="single" w:sz="4" w:space="4" w:color="auto"/>
        </w:pBdr>
        <w:shd w:val="clear" w:color="auto" w:fill="EEECE1"/>
        <w:spacing w:after="240" w:line="240" w:lineRule="auto"/>
        <w:jc w:val="both"/>
        <w:rPr>
          <w:rFonts w:ascii="Times New Roman" w:hAnsi="Times New Roman"/>
          <w:noProof/>
          <w:sz w:val="24"/>
          <w:szCs w:val="24"/>
        </w:rPr>
      </w:pPr>
      <w:r>
        <w:rPr>
          <w:rFonts w:ascii="Times New Roman" w:hAnsi="Times New Roman"/>
          <w:noProof/>
          <w:sz w:val="24"/>
        </w:rPr>
        <w:t>La région du bas Mékong (Cambodge, RDP lao, Myanmar/Birmanie et Viêt Nam) se développe rapidement, mais rassemble les pays les plus pauvres et les moins connectés de l'ASEAN. Le revenu national brut par habitant actuel du pays le plus riche de l'ASEAN est 26 fois supérieur à celui du pays le plus pauvre (dans l'UE, ce ratio est inférieur à 1:4)</w:t>
      </w:r>
      <w:r>
        <w:rPr>
          <w:rStyle w:val="FootnoteReference"/>
          <w:rFonts w:ascii="Times New Roman" w:hAnsi="Times New Roman"/>
          <w:noProof/>
          <w:sz w:val="24"/>
        </w:rPr>
        <w:footnoteReference w:id="4"/>
      </w:r>
      <w:r>
        <w:rPr>
          <w:noProof/>
        </w:rPr>
        <w:t>.</w:t>
      </w:r>
      <w:r>
        <w:rPr>
          <w:rFonts w:ascii="Times New Roman" w:hAnsi="Times New Roman"/>
          <w:noProof/>
          <w:sz w:val="24"/>
        </w:rPr>
        <w:t xml:space="preserve"> La réduction des écarts de développement permettra de déterminer la connectivité intra-ASEAN et sera essentielle à la réussite de la Communauté économique de l'ASEAN.</w:t>
      </w:r>
    </w:p>
    <w:p>
      <w:pPr>
        <w:pBdr>
          <w:top w:val="single" w:sz="4" w:space="1" w:color="auto"/>
          <w:left w:val="single" w:sz="4" w:space="4" w:color="auto"/>
          <w:bottom w:val="single" w:sz="4" w:space="1" w:color="auto"/>
          <w:right w:val="single" w:sz="4" w:space="4" w:color="auto"/>
        </w:pBdr>
        <w:shd w:val="clear" w:color="auto" w:fill="EEECE1"/>
        <w:spacing w:after="240" w:line="240" w:lineRule="auto"/>
        <w:jc w:val="both"/>
        <w:rPr>
          <w:rFonts w:ascii="Times New Roman" w:hAnsi="Times New Roman"/>
          <w:noProof/>
          <w:sz w:val="24"/>
          <w:szCs w:val="24"/>
        </w:rPr>
      </w:pPr>
      <w:r>
        <w:rPr>
          <w:rFonts w:ascii="Times New Roman" w:hAnsi="Times New Roman"/>
          <w:noProof/>
          <w:sz w:val="24"/>
        </w:rPr>
        <w:t>La coopération au développement de l'UE cadre bien avec le champ d'application de l'initiative de l'ASEAN en faveur de l'intégration, qui insiste fortement sur la nécessité de rapprocher les niveaux de développement des pays du bas Mékong de ceux des États membres de l'ASEAN les plus riches. L'ASEAN pourrait tirer parti de l'expérience de l'UE en matière d'intégration et de cohésion.</w:t>
      </w:r>
    </w:p>
    <w:p>
      <w:pPr>
        <w:spacing w:after="120" w:line="240" w:lineRule="auto"/>
        <w:jc w:val="both"/>
        <w:rPr>
          <w:rFonts w:ascii="Times New Roman" w:hAnsi="Times New Roman"/>
          <w:noProof/>
          <w:sz w:val="24"/>
          <w:szCs w:val="24"/>
          <w:u w:val="single"/>
        </w:rPr>
      </w:pPr>
      <w:r>
        <w:rPr>
          <w:rFonts w:ascii="Times New Roman" w:hAnsi="Times New Roman"/>
          <w:noProof/>
          <w:sz w:val="24"/>
          <w:u w:val="single"/>
        </w:rPr>
        <w:t>Les initiatives spécifiques dans ce domaine consisteront notamment:</w:t>
      </w:r>
    </w:p>
    <w:p>
      <w:pPr>
        <w:numPr>
          <w:ilvl w:val="0"/>
          <w:numId w:val="1"/>
        </w:numPr>
        <w:spacing w:after="120" w:line="240" w:lineRule="auto"/>
        <w:jc w:val="both"/>
        <w:rPr>
          <w:rFonts w:ascii="Times New Roman" w:hAnsi="Times New Roman"/>
          <w:noProof/>
          <w:sz w:val="24"/>
          <w:szCs w:val="24"/>
        </w:rPr>
      </w:pPr>
      <w:r>
        <w:rPr>
          <w:rFonts w:ascii="Times New Roman" w:hAnsi="Times New Roman"/>
          <w:noProof/>
          <w:sz w:val="24"/>
        </w:rPr>
        <w:t>à promouvoir un dialogue régulier et systématique entre l'UE et l'ASEAN sur la connectivité [après le succès remporté par la visite, à Bruxelles et à Luxembourg, en février 2014, du comité de coordination sur la connectivité de l'ASEAN, un premier dialogue s'est tenu à Naypyidaw (Myanmar/Birmanie) en septembre 2014];</w:t>
      </w:r>
    </w:p>
    <w:p>
      <w:pPr>
        <w:numPr>
          <w:ilvl w:val="0"/>
          <w:numId w:val="1"/>
        </w:numPr>
        <w:spacing w:after="120" w:line="240" w:lineRule="auto"/>
        <w:jc w:val="both"/>
        <w:rPr>
          <w:rFonts w:ascii="Times New Roman" w:hAnsi="Times New Roman"/>
          <w:noProof/>
          <w:sz w:val="24"/>
          <w:szCs w:val="24"/>
        </w:rPr>
      </w:pPr>
      <w:r>
        <w:rPr>
          <w:rFonts w:ascii="Times New Roman" w:hAnsi="Times New Roman"/>
          <w:noProof/>
          <w:sz w:val="24"/>
        </w:rPr>
        <w:t xml:space="preserve">à constituer un groupe de travail «connectivité» devant faire office d'interlocuteur pour le comité de coordination sur la connectivité de l'ASEAN et chargé de faire avancer les diverses activités de l'UE à l'appui de la connectivité de l'ASEAN;  </w:t>
      </w:r>
    </w:p>
    <w:p>
      <w:pPr>
        <w:numPr>
          <w:ilvl w:val="0"/>
          <w:numId w:val="1"/>
        </w:numPr>
        <w:spacing w:after="120" w:line="240" w:lineRule="auto"/>
        <w:jc w:val="both"/>
        <w:rPr>
          <w:rFonts w:ascii="Times New Roman" w:hAnsi="Times New Roman"/>
          <w:noProof/>
          <w:sz w:val="24"/>
          <w:szCs w:val="24"/>
        </w:rPr>
      </w:pPr>
      <w:r>
        <w:rPr>
          <w:rFonts w:ascii="Times New Roman" w:hAnsi="Times New Roman"/>
          <w:noProof/>
          <w:sz w:val="24"/>
        </w:rPr>
        <w:t>à continuer d'épauler les pays du bas Mékong dans les efforts qu'ils déploient pour réduire les écarts de développement intra-ASEAN et se relier les uns aux autres. À cet effet, l'UE triplera son aide bilatérale aux pays du Mékong, qui passera ainsi de 607 000 000 EUR (2007-2013) à 1 705 000 000 EUR (2014-2020);</w:t>
      </w:r>
    </w:p>
    <w:p>
      <w:pPr>
        <w:numPr>
          <w:ilvl w:val="0"/>
          <w:numId w:val="1"/>
        </w:numPr>
        <w:spacing w:after="120" w:line="240" w:lineRule="auto"/>
        <w:jc w:val="both"/>
        <w:rPr>
          <w:rFonts w:ascii="Times New Roman" w:hAnsi="Times New Roman"/>
          <w:noProof/>
          <w:sz w:val="24"/>
          <w:szCs w:val="24"/>
        </w:rPr>
      </w:pPr>
      <w:r>
        <w:rPr>
          <w:rFonts w:ascii="Times New Roman" w:hAnsi="Times New Roman"/>
          <w:noProof/>
          <w:sz w:val="24"/>
        </w:rPr>
        <w:t>à financer des projets pouvant bénéficier d'un concours bancaire et concernant la connectivité régionale dans les domaines des transports, de l'énergie et des infrastructures urbaines</w:t>
      </w:r>
      <w:r>
        <w:rPr>
          <w:rStyle w:val="FootnoteReference"/>
          <w:rFonts w:ascii="Times New Roman" w:hAnsi="Times New Roman"/>
          <w:noProof/>
          <w:sz w:val="24"/>
        </w:rPr>
        <w:footnoteReference w:id="5"/>
      </w:r>
      <w:r>
        <w:rPr>
          <w:rFonts w:ascii="Times New Roman" w:hAnsi="Times New Roman"/>
          <w:noProof/>
          <w:sz w:val="24"/>
        </w:rPr>
        <w:t>. Un mécanisme d’assistance technique ASEAN (de 1 100 000 EUR, opérationnel à la mi-2015) aidera à recenser les projets et à entreprendre des études de faisabilité;</w:t>
      </w:r>
    </w:p>
    <w:p>
      <w:pPr>
        <w:numPr>
          <w:ilvl w:val="0"/>
          <w:numId w:val="1"/>
        </w:numPr>
        <w:spacing w:after="120" w:line="240" w:lineRule="auto"/>
        <w:jc w:val="both"/>
        <w:rPr>
          <w:rFonts w:ascii="Times New Roman" w:hAnsi="Times New Roman"/>
          <w:noProof/>
          <w:sz w:val="24"/>
          <w:szCs w:val="24"/>
        </w:rPr>
      </w:pPr>
      <w:r>
        <w:rPr>
          <w:rFonts w:ascii="Times New Roman" w:hAnsi="Times New Roman"/>
          <w:noProof/>
          <w:sz w:val="24"/>
        </w:rPr>
        <w:t>à combiner les subventions de l'UE avec des prêts d'institutions financières internationales, notamment de la Banque européenne d'investissement (BEI), afin de promouvoir le développement d'une économie verte dans la région de l'ASEAN au moyen de la facilité d’investissement pour l'Asie (FIA);</w:t>
      </w:r>
    </w:p>
    <w:p>
      <w:pPr>
        <w:numPr>
          <w:ilvl w:val="0"/>
          <w:numId w:val="1"/>
        </w:numPr>
        <w:spacing w:after="120" w:line="240" w:lineRule="auto"/>
        <w:jc w:val="both"/>
        <w:rPr>
          <w:rFonts w:ascii="Times New Roman" w:hAnsi="Times New Roman"/>
          <w:noProof/>
          <w:sz w:val="24"/>
          <w:szCs w:val="24"/>
        </w:rPr>
      </w:pPr>
      <w:r>
        <w:rPr>
          <w:rFonts w:ascii="Times New Roman" w:hAnsi="Times New Roman"/>
          <w:noProof/>
          <w:sz w:val="24"/>
        </w:rPr>
        <w:t xml:space="preserve">à partager l'expérience de l'UE concernant la gestion réussie de bassins fluviaux, comme la stratégie pour la région du Danube, par exemple; </w:t>
      </w:r>
    </w:p>
    <w:p>
      <w:pPr>
        <w:numPr>
          <w:ilvl w:val="0"/>
          <w:numId w:val="1"/>
        </w:numPr>
        <w:spacing w:after="120" w:line="240" w:lineRule="auto"/>
        <w:ind w:left="714" w:hanging="357"/>
        <w:jc w:val="both"/>
        <w:rPr>
          <w:rFonts w:ascii="Times New Roman" w:hAnsi="Times New Roman"/>
          <w:noProof/>
          <w:sz w:val="24"/>
          <w:szCs w:val="24"/>
        </w:rPr>
      </w:pPr>
      <w:r>
        <w:rPr>
          <w:rFonts w:ascii="Times New Roman" w:hAnsi="Times New Roman"/>
          <w:noProof/>
          <w:sz w:val="24"/>
        </w:rPr>
        <w:t>à proposer un dialogue des ministres des affaires étrangères consacré à la région du bas Mékong, afin de débattre des questions régionales et de l'aide en cours de l'UE et</w:t>
      </w:r>
    </w:p>
    <w:p>
      <w:pPr>
        <w:numPr>
          <w:ilvl w:val="0"/>
          <w:numId w:val="1"/>
        </w:numPr>
        <w:spacing w:after="0" w:line="240" w:lineRule="auto"/>
        <w:jc w:val="both"/>
        <w:rPr>
          <w:rFonts w:ascii="Times New Roman" w:hAnsi="Times New Roman"/>
          <w:noProof/>
          <w:sz w:val="24"/>
          <w:szCs w:val="24"/>
        </w:rPr>
      </w:pPr>
      <w:r>
        <w:rPr>
          <w:rFonts w:ascii="Times New Roman" w:hAnsi="Times New Roman"/>
          <w:noProof/>
          <w:sz w:val="24"/>
        </w:rPr>
        <w:t>à partager l'expérience de l'UE en matière de création d'un marché intérieur des biens et des services, tandis que l'ASEAN progresse dans la réalisation de sa Communauté économique.</w:t>
      </w:r>
    </w:p>
    <w:p>
      <w:pPr>
        <w:pStyle w:val="Heading2"/>
        <w:rPr>
          <w:rFonts w:ascii="Times New Roman" w:hAnsi="Times New Roman"/>
          <w:noProof/>
        </w:rPr>
      </w:pPr>
      <w:r>
        <w:rPr>
          <w:rFonts w:ascii="Times New Roman" w:hAnsi="Times New Roman"/>
          <w:noProof/>
        </w:rPr>
        <w:t>2.1. Stimuler le commerce, l'investissement et les affaires</w:t>
      </w:r>
    </w:p>
    <w:p>
      <w:pPr>
        <w:spacing w:after="240" w:line="240" w:lineRule="auto"/>
        <w:jc w:val="both"/>
        <w:rPr>
          <w:rFonts w:ascii="Times New Roman" w:hAnsi="Times New Roman"/>
          <w:noProof/>
          <w:sz w:val="24"/>
          <w:szCs w:val="24"/>
        </w:rPr>
      </w:pPr>
      <w:r>
        <w:rPr>
          <w:rFonts w:ascii="Times New Roman" w:hAnsi="Times New Roman"/>
          <w:noProof/>
          <w:sz w:val="24"/>
        </w:rPr>
        <w:t>Les flux commerciaux et d'investissements entre l'UE et l'ASEAN se sont considérablement intensifiés au cours de la dernière décennie. Aujourd'hui, l'ASEAN dans son ensemble est le troisième partenaire commercial de l'UE en dehors de l'Europe (après les États-Unis et la Chine), l'UE étant elle-même le deuxième partenaire commercial de l'ASEAN (après la Chine); leur commerce bilatéral de biens et de services a atteint la somme de 238 000 000 000 EUR en 2013. L'UE s'est également constitué un confortable stock d'investissements de plus de 156 000 000 000 EUR dans la région de l'ASEAN. Il s'agit de la plus grosse proportion d'investissement direct étranger total dans l'ASEAN (près du quart). Bien que le phénomène soit plus récent, l'investissement de l'ASEAN en Europe a lui aussi constamment augmenté pour atteindre un stock total de plus de 57 000 000 000 EUR fin 2013.</w:t>
      </w:r>
    </w:p>
    <w:p>
      <w:pPr>
        <w:spacing w:after="240" w:line="240" w:lineRule="auto"/>
        <w:jc w:val="both"/>
        <w:rPr>
          <w:rFonts w:ascii="Times New Roman" w:hAnsi="Times New Roman"/>
          <w:noProof/>
          <w:sz w:val="24"/>
          <w:szCs w:val="24"/>
        </w:rPr>
      </w:pPr>
      <w:r>
        <w:rPr>
          <w:rFonts w:ascii="Times New Roman" w:hAnsi="Times New Roman"/>
          <w:noProof/>
          <w:sz w:val="24"/>
        </w:rPr>
        <w:t>En dépit de ces chiffres impressionnants, il existe encore une forte marge de progression pour les relations commerciales UE-ASEAN. L'ASEAN s'apprête à devenir un marché unique de plus de 600 millions de consommateurs, dont une classe moyenne en plein développement, ce qui offre de grandes perspectives aux entreprises européennes en matière d'investissements et d'exportations.</w:t>
      </w:r>
    </w:p>
    <w:p>
      <w:pPr>
        <w:spacing w:after="240" w:line="240" w:lineRule="auto"/>
        <w:jc w:val="both"/>
        <w:rPr>
          <w:rFonts w:ascii="Times New Roman" w:hAnsi="Times New Roman"/>
          <w:noProof/>
          <w:sz w:val="24"/>
          <w:szCs w:val="24"/>
        </w:rPr>
      </w:pPr>
      <w:r>
        <w:rPr>
          <w:rFonts w:ascii="Times New Roman" w:hAnsi="Times New Roman"/>
          <w:noProof/>
          <w:sz w:val="24"/>
        </w:rPr>
        <w:t>L'UE est très engagée dans la région ASEAN et joue un rôle de plus en plus actif auprès de ses différents États membres. Des négociations en vue de la signature d'accords de libre-échange (ALE) ont été lancées, d'abord avec Singapour en 2010, puis avec la Malaisie, le Viêt Nam et la Thaïlande. Les négociations relatives à un ALE UE-Singapour ont été conclues en octobre 2014 et les négociations relatives à un ALE large et ambitieux avec le Viêt Nam, qui pourraient constituer un point de référence important pour d'autres négociations de l'UE dans la région, sont sur le point d'aboutir.</w:t>
      </w:r>
    </w:p>
    <w:p>
      <w:pPr>
        <w:spacing w:after="240" w:line="240" w:lineRule="auto"/>
        <w:jc w:val="both"/>
        <w:rPr>
          <w:rFonts w:ascii="Times New Roman" w:hAnsi="Times New Roman"/>
          <w:noProof/>
          <w:sz w:val="24"/>
          <w:szCs w:val="24"/>
        </w:rPr>
      </w:pPr>
      <w:r>
        <w:rPr>
          <w:rFonts w:ascii="Times New Roman" w:hAnsi="Times New Roman"/>
          <w:noProof/>
          <w:sz w:val="24"/>
        </w:rPr>
        <w:t>Au cours de la période 2014</w:t>
      </w:r>
      <w:r>
        <w:rPr>
          <w:noProof/>
        </w:rPr>
        <w:noBreakHyphen/>
      </w:r>
      <w:r>
        <w:rPr>
          <w:rFonts w:ascii="Times New Roman" w:hAnsi="Times New Roman"/>
          <w:noProof/>
          <w:sz w:val="24"/>
        </w:rPr>
        <w:t>2020, l'UE consacrera la moitié environ de son aide financière à l'ASEAN (85 000 000 EUR) à soutenir la connectivité de l'ASEAN grâce à une intégration économique durable et inclusive et au commerce. À cette fin, elle mobilisera également des ressources de la facilité d’investissement pour l'Asie (FIA) en combinant les subventions de l'UE avec des prêts de la BEI et d'autres institutions financières internationales.</w:t>
      </w:r>
    </w:p>
    <w:p>
      <w:pPr>
        <w:spacing w:after="240" w:line="240" w:lineRule="auto"/>
        <w:jc w:val="both"/>
        <w:rPr>
          <w:rFonts w:ascii="Times New Roman" w:hAnsi="Times New Roman"/>
          <w:noProof/>
          <w:sz w:val="24"/>
          <w:szCs w:val="24"/>
        </w:rPr>
      </w:pPr>
      <w:r>
        <w:rPr>
          <w:rFonts w:ascii="Times New Roman" w:hAnsi="Times New Roman"/>
          <w:noProof/>
          <w:sz w:val="24"/>
        </w:rPr>
        <w:t>Par-delà les accords commerciaux et l'assistance financière, l'UE s'emploiera aussi avec l'ASEAN à promouvoir une croissance intelligente, durable et inclusive. L'accent sera mis sur la promotion d'un environnement propice aux entreprises dans les autres pays, sur la suppression des obstacles non tarifaires, sur l'harmonisation des normes, sur le renforcement de l'État de droit et sur la mise en œuvre des normes internationales du travail. Le dialogue UE-ASEAN en cours sur la recherche et l'innovation devra également jouer un rôle de premier plan dans le soutien apporté à la croissance socio-économique.</w:t>
      </w:r>
    </w:p>
    <w:p>
      <w:pPr>
        <w:spacing w:after="240" w:line="240" w:lineRule="auto"/>
        <w:jc w:val="both"/>
        <w:rPr>
          <w:rFonts w:ascii="Times New Roman" w:hAnsi="Times New Roman"/>
          <w:noProof/>
          <w:sz w:val="24"/>
          <w:szCs w:val="24"/>
        </w:rPr>
      </w:pPr>
      <w:r>
        <w:rPr>
          <w:rFonts w:ascii="Times New Roman" w:hAnsi="Times New Roman"/>
          <w:noProof/>
          <w:sz w:val="24"/>
        </w:rPr>
        <w:t>Seules 13 % des PME de l'UE exercent des activités internationales hors des frontières de l'Union</w:t>
      </w:r>
      <w:r>
        <w:rPr>
          <w:rStyle w:val="FootnoteReference"/>
          <w:rFonts w:ascii="Times New Roman" w:hAnsi="Times New Roman"/>
          <w:noProof/>
          <w:sz w:val="24"/>
        </w:rPr>
        <w:footnoteReference w:id="6"/>
      </w:r>
      <w:r>
        <w:rPr>
          <w:rFonts w:ascii="Times New Roman" w:hAnsi="Times New Roman"/>
          <w:noProof/>
          <w:sz w:val="24"/>
        </w:rPr>
        <w:t>. La création de débouchés économiques pour les PME européennes dans les pays de l'ASEAN rendra notamment nécessaire l'amélioration de l'environnement réglementaire, de l'accès aux financements, des droits de propriété intellectuelle et de l'accès au marché (y compris aux marchés publics), ainsi que le développement de la gouvernance d'entreprise.</w:t>
      </w:r>
    </w:p>
    <w:p>
      <w:pPr>
        <w:spacing w:after="120" w:line="240" w:lineRule="auto"/>
        <w:jc w:val="both"/>
        <w:rPr>
          <w:rFonts w:ascii="Times New Roman" w:hAnsi="Times New Roman"/>
          <w:noProof/>
          <w:sz w:val="24"/>
          <w:szCs w:val="24"/>
          <w:u w:val="single"/>
        </w:rPr>
      </w:pPr>
      <w:r>
        <w:rPr>
          <w:rFonts w:ascii="Times New Roman" w:hAnsi="Times New Roman"/>
          <w:noProof/>
          <w:sz w:val="24"/>
          <w:u w:val="single"/>
        </w:rPr>
        <w:t>Les initiatives spécifiques dans ce domaine consisteront notamment:</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à hisser les relations commerciales avec l'ASEAN à un niveau différent, en instaurant notamment des consultations régulières entre ministres de l'économie et en œuvrant à la mise en place d'un ALE ambitieux entre les deux régions, s'appuyant sur les accords bilatéraux existant entre États membres de l'UE et de l'ASEAN, qui serviront de marchepieds vers la réalisation de cet objectif;</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à améliorer les perspectives économiques pour les PME, à l'aide notamment d'instruments tels que le projet sur les possibilités commerciales qui s'offrent à l'UE en Asie du Sud-Est, le Conseil des entreprises ASEAN-UE et l'élaboration conjointe de projets pouvant bénéficier d'un concours bancaire à l'appui du développement de l'économie verte, à financer en combinant les subventions de l'UE avec des prêts d'institutions financières européennes et internationales, au moyen de la facilité d’investissement pour l'Asie (FIA);</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à explorer avec la BEI et les banques de développement opérant dans la région de l'ASEAN les moyens d'améliorer l'accès au financement pour l'internationalisation des PME;</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 xml:space="preserve">à renforcer le dialogue et la coopération UE-ASEAN dans le domaine des mesures sanitaires et phytosanitaires (SPS), sur la base des normes internationales, en vue de faciliter les échanges et de supprimer les barrières commerciales qui demeurent en la matière; </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à soutenir le renforcement de la coopération entre les agences de contrôle aux frontières afin de lutter contre la fraude douanière, tout en encourageant le commerce licite, la transparence et la non</w:t>
      </w:r>
      <w:r>
        <w:rPr>
          <w:noProof/>
        </w:rPr>
        <w:noBreakHyphen/>
      </w:r>
      <w:r>
        <w:rPr>
          <w:rFonts w:ascii="Times New Roman" w:hAnsi="Times New Roman"/>
          <w:noProof/>
          <w:sz w:val="24"/>
        </w:rPr>
        <w:t>discrimination entre opérateurs économiques, y compris au moyen d'une assistance technique (comme dans le cas du projet pilote ASEAN de système de transit informatisé) dans le cadre du programme ARISE de l'UE;</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à entamer un dialogue avec l'ASEAN afin d'améliorer la compréhension mutuelle des cadres réglementaires et de politique industrielle. Ainsi, le secteur chimique, par exemple, pourrait bénéficier d'un échange de bonnes pratiques sur la mise en œuvre de normes mondiales telles que le système général harmonisé (SGH) des Nations unies relatif à la classification et à l'étiquetage, ainsi que de l'exploration de domaines présentant un intérêt commun;</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à promouvoir la coopération entre entreprises et entre groupes d'entreprises, l'accès au financement et le renforcement des capacités régionales en matière de normalisation sur la base des normes internationales reconnues et des principes de l'OMC;</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à instaurer un dialogue sur la propriété intellectuelle, la gouvernance d'entreprise et la responsabilité sociale des entreprises, la protection des consommateurs, la coopération judiciaire (en particulier dans le domaine du droit commercial international) et l'amélioration de l'application des normes internationales du travail;</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 xml:space="preserve">à promouvoir des dialogues sectoriels dans des domaines présentant un intérêt mutuel, y compris: </w:t>
      </w:r>
    </w:p>
    <w:p>
      <w:pPr>
        <w:numPr>
          <w:ilvl w:val="1"/>
          <w:numId w:val="2"/>
        </w:numPr>
        <w:spacing w:after="120" w:line="240" w:lineRule="auto"/>
        <w:jc w:val="both"/>
        <w:rPr>
          <w:rFonts w:ascii="Times New Roman" w:hAnsi="Times New Roman"/>
          <w:noProof/>
          <w:sz w:val="24"/>
          <w:szCs w:val="24"/>
        </w:rPr>
      </w:pPr>
      <w:r>
        <w:rPr>
          <w:rFonts w:ascii="Times New Roman" w:hAnsi="Times New Roman"/>
          <w:noProof/>
          <w:sz w:val="24"/>
        </w:rPr>
        <w:t xml:space="preserve">les normes régionales et internationales dans </w:t>
      </w:r>
      <w:r>
        <w:rPr>
          <w:rFonts w:ascii="Times New Roman" w:hAnsi="Times New Roman"/>
          <w:i/>
          <w:noProof/>
          <w:sz w:val="24"/>
        </w:rPr>
        <w:t xml:space="preserve">l'industrie automobile </w:t>
      </w:r>
      <w:r>
        <w:rPr>
          <w:rFonts w:ascii="Times New Roman" w:hAnsi="Times New Roman"/>
          <w:noProof/>
          <w:sz w:val="24"/>
        </w:rPr>
        <w:t>et</w:t>
      </w:r>
      <w:r>
        <w:rPr>
          <w:rFonts w:ascii="Times New Roman" w:hAnsi="Times New Roman"/>
          <w:i/>
          <w:noProof/>
          <w:sz w:val="24"/>
        </w:rPr>
        <w:t xml:space="preserve"> la santé et la médecine</w:t>
      </w:r>
      <w:r>
        <w:rPr>
          <w:rFonts w:ascii="Times New Roman" w:hAnsi="Times New Roman"/>
          <w:noProof/>
          <w:sz w:val="24"/>
        </w:rPr>
        <w:t xml:space="preserve">; </w:t>
      </w:r>
    </w:p>
    <w:p>
      <w:pPr>
        <w:numPr>
          <w:ilvl w:val="1"/>
          <w:numId w:val="2"/>
        </w:numPr>
        <w:spacing w:after="120" w:line="240" w:lineRule="auto"/>
        <w:jc w:val="both"/>
        <w:rPr>
          <w:rFonts w:ascii="Times New Roman" w:hAnsi="Times New Roman"/>
          <w:noProof/>
          <w:sz w:val="24"/>
          <w:szCs w:val="24"/>
        </w:rPr>
      </w:pPr>
      <w:r>
        <w:rPr>
          <w:rFonts w:ascii="Times New Roman" w:hAnsi="Times New Roman"/>
          <w:i/>
          <w:noProof/>
          <w:sz w:val="24"/>
        </w:rPr>
        <w:t>la radionavigation par satellite, l'observation de la terre, le programme Copernicus et les questions relatives à l'espace</w:t>
      </w:r>
      <w:r>
        <w:rPr>
          <w:rFonts w:ascii="Times New Roman" w:hAnsi="Times New Roman"/>
          <w:noProof/>
          <w:sz w:val="24"/>
        </w:rPr>
        <w:t xml:space="preserve">, dans la perspective d'une stratégie de coopération à long terme soutenue par des bourses Horizon 2020 de recherche sur les applications dans ces domaines; </w:t>
      </w:r>
    </w:p>
    <w:p>
      <w:pPr>
        <w:numPr>
          <w:ilvl w:val="1"/>
          <w:numId w:val="2"/>
        </w:numPr>
        <w:spacing w:after="120" w:line="240" w:lineRule="auto"/>
        <w:jc w:val="both"/>
        <w:rPr>
          <w:rFonts w:ascii="Times New Roman" w:hAnsi="Times New Roman"/>
          <w:noProof/>
          <w:sz w:val="24"/>
          <w:szCs w:val="24"/>
        </w:rPr>
      </w:pPr>
      <w:r>
        <w:rPr>
          <w:rFonts w:ascii="Times New Roman" w:hAnsi="Times New Roman"/>
          <w:noProof/>
          <w:sz w:val="24"/>
        </w:rPr>
        <w:t xml:space="preserve"> </w:t>
      </w:r>
      <w:r>
        <w:rPr>
          <w:rFonts w:ascii="Times New Roman" w:hAnsi="Times New Roman"/>
          <w:i/>
          <w:noProof/>
          <w:sz w:val="24"/>
        </w:rPr>
        <w:t>le secteur de l'industrie de la défense</w:t>
      </w:r>
      <w:r>
        <w:rPr>
          <w:rFonts w:ascii="Times New Roman" w:hAnsi="Times New Roman"/>
          <w:noProof/>
          <w:sz w:val="24"/>
        </w:rPr>
        <w:t>, afin de soutenir l'internationalisation de l'industrie européenne de la défense, y compris à l'aide d'événements de mise en relation d'entreprises provenant de l'UE et de l'ASEAN</w:t>
      </w:r>
      <w:r>
        <w:rPr>
          <w:rStyle w:val="FootnoteReference"/>
          <w:rFonts w:ascii="Times New Roman" w:hAnsi="Times New Roman"/>
          <w:noProof/>
          <w:sz w:val="24"/>
        </w:rPr>
        <w:footnoteReference w:id="7"/>
      </w:r>
      <w:r>
        <w:rPr>
          <w:rFonts w:ascii="Times New Roman" w:hAnsi="Times New Roman"/>
          <w:noProof/>
          <w:sz w:val="24"/>
        </w:rPr>
        <w:t xml:space="preserve">; et </w:t>
      </w:r>
    </w:p>
    <w:p>
      <w:pPr>
        <w:numPr>
          <w:ilvl w:val="1"/>
          <w:numId w:val="2"/>
        </w:numPr>
        <w:spacing w:after="120" w:line="240" w:lineRule="auto"/>
        <w:jc w:val="both"/>
        <w:rPr>
          <w:rFonts w:ascii="Times New Roman" w:hAnsi="Times New Roman"/>
          <w:noProof/>
          <w:sz w:val="24"/>
          <w:szCs w:val="24"/>
        </w:rPr>
      </w:pPr>
      <w:r>
        <w:rPr>
          <w:rFonts w:ascii="Times New Roman" w:hAnsi="Times New Roman"/>
          <w:i/>
          <w:noProof/>
          <w:sz w:val="24"/>
        </w:rPr>
        <w:t>les technologies de l'information et de la communication</w:t>
      </w:r>
      <w:r>
        <w:rPr>
          <w:rFonts w:ascii="Times New Roman" w:hAnsi="Times New Roman"/>
          <w:noProof/>
          <w:sz w:val="24"/>
        </w:rPr>
        <w:t xml:space="preserve">, en mettant l'accent sur les applications TIC bénéficiant aux citoyens, l'harmonisation et la gestion du spectre, les opérations de recherche et de sauvetage, la gestion de la croissance des communications mobiles et la radiodiffusion télévisuelle numérique. </w:t>
      </w:r>
    </w:p>
    <w:p>
      <w:pPr>
        <w:pStyle w:val="Heading2"/>
        <w:rPr>
          <w:rFonts w:ascii="Times New Roman" w:hAnsi="Times New Roman"/>
          <w:noProof/>
        </w:rPr>
      </w:pPr>
      <w:r>
        <w:rPr>
          <w:rFonts w:ascii="Times New Roman" w:hAnsi="Times New Roman"/>
          <w:noProof/>
        </w:rPr>
        <w:t>2.2. Transports</w:t>
      </w:r>
    </w:p>
    <w:p>
      <w:pPr>
        <w:spacing w:after="240" w:line="240" w:lineRule="auto"/>
        <w:jc w:val="both"/>
        <w:rPr>
          <w:rFonts w:ascii="Times New Roman" w:hAnsi="Times New Roman"/>
          <w:noProof/>
          <w:sz w:val="24"/>
          <w:szCs w:val="24"/>
        </w:rPr>
      </w:pPr>
      <w:r>
        <w:rPr>
          <w:rFonts w:ascii="Times New Roman" w:hAnsi="Times New Roman"/>
          <w:noProof/>
          <w:sz w:val="24"/>
        </w:rPr>
        <w:t>L'aviation civile joue un rôle majeur pour garantir une bonne connectivité au sein de l'ASEAN et entre l'UE et l'ASEAN. La moitié de l'augmentation du trafic mondial de ces 20 prochaines années se fera soit à destination, soit en provenance, soit à l'intérieur de la région Asie-Pacifique, et la part de ce trafic dans le marché mondial atteindra 40 % d'ici 2030. Le trafic aérien entre l'UE et la région de l'ASEAN devrait augmenter de 65 % dans les 20 prochaines années, en partie en raison de la progression du tourisme.</w:t>
      </w:r>
    </w:p>
    <w:p>
      <w:pPr>
        <w:spacing w:after="240" w:line="240" w:lineRule="auto"/>
        <w:jc w:val="both"/>
        <w:rPr>
          <w:rFonts w:ascii="Times New Roman" w:hAnsi="Times New Roman"/>
          <w:noProof/>
          <w:sz w:val="24"/>
          <w:szCs w:val="24"/>
        </w:rPr>
      </w:pPr>
      <w:r>
        <w:rPr>
          <w:rFonts w:ascii="Times New Roman" w:hAnsi="Times New Roman"/>
          <w:noProof/>
          <w:sz w:val="24"/>
        </w:rPr>
        <w:t xml:space="preserve">La communication de la Commission de 2012 sur </w:t>
      </w:r>
      <w:r>
        <w:rPr>
          <w:rFonts w:ascii="Times New Roman" w:hAnsi="Times New Roman"/>
          <w:i/>
          <w:noProof/>
          <w:sz w:val="24"/>
        </w:rPr>
        <w:t>la politique extérieure de l’UE dans le domaine de l'aviation</w:t>
      </w:r>
      <w:r>
        <w:rPr>
          <w:rStyle w:val="FootnoteReference"/>
          <w:rFonts w:ascii="Times New Roman" w:hAnsi="Times New Roman"/>
          <w:noProof/>
          <w:sz w:val="24"/>
        </w:rPr>
        <w:footnoteReference w:id="8"/>
      </w:r>
      <w:r>
        <w:rPr>
          <w:rFonts w:ascii="Times New Roman" w:hAnsi="Times New Roman"/>
          <w:noProof/>
          <w:sz w:val="24"/>
        </w:rPr>
        <w:t xml:space="preserve"> a souligné l'importance du marché unique de l'aviation civile de l'ASEAN, source potentielle de coopération plus étroite entre les deux régions qui, en combinant libéralisation et régulation du marché, pourrait servir de référence à l'ASEAN. L'UE est passée, au cours des trois dernières décennies, par un processus similaire ayant abouti aujourd'hui à un marché unique européen de l'aviation pleinement intégré.</w:t>
      </w:r>
    </w:p>
    <w:p>
      <w:pPr>
        <w:pBdr>
          <w:top w:val="single" w:sz="4" w:space="1" w:color="auto"/>
          <w:left w:val="single" w:sz="4" w:space="4" w:color="auto"/>
          <w:bottom w:val="single" w:sz="4" w:space="1" w:color="auto"/>
          <w:right w:val="single" w:sz="4" w:space="4" w:color="auto"/>
        </w:pBdr>
        <w:shd w:val="clear" w:color="auto" w:fill="EEECE1"/>
        <w:spacing w:after="240" w:line="240" w:lineRule="auto"/>
        <w:jc w:val="both"/>
        <w:rPr>
          <w:rFonts w:ascii="Times New Roman" w:hAnsi="Times New Roman"/>
          <w:noProof/>
          <w:sz w:val="24"/>
          <w:szCs w:val="24"/>
        </w:rPr>
      </w:pPr>
      <w:r>
        <w:rPr>
          <w:rFonts w:ascii="Times New Roman" w:hAnsi="Times New Roman"/>
          <w:noProof/>
          <w:sz w:val="24"/>
        </w:rPr>
        <w:t>L'UE fournit à l'ASEAN une assistance technique destinée à la doter des capacités institutionnelles lui permettant de disposer d'un marché unique de l'aviation à la fois sûr, sécurisé et durable, par l'intermédiaire du projet d'intégration du transport aérien ASEAN (PITAA), mis en œuvre en collaboration étroite avec l'Agence européenne de la sécurité aérienne (AESA).</w:t>
      </w:r>
    </w:p>
    <w:p>
      <w:pPr>
        <w:spacing w:after="240" w:line="240" w:lineRule="auto"/>
        <w:jc w:val="both"/>
        <w:rPr>
          <w:rFonts w:ascii="Times New Roman" w:hAnsi="Times New Roman"/>
          <w:noProof/>
          <w:sz w:val="24"/>
          <w:szCs w:val="24"/>
        </w:rPr>
      </w:pPr>
      <w:r>
        <w:rPr>
          <w:rFonts w:ascii="Times New Roman" w:hAnsi="Times New Roman"/>
          <w:noProof/>
          <w:sz w:val="24"/>
        </w:rPr>
        <w:t>Les progrès réalisés par l'ASEAN dans la création d'un marché intérieur de l'aviation ouvrent également la voie à une coopération plus étroite entre les deux régions. Le sommet UE-ASEAN sur l'aviation de février 2014 et les travaux réalisés ultérieurement par un groupe de travail «Aviation» UE-ASEAN ont été déterminants à cet égard.</w:t>
      </w:r>
    </w:p>
    <w:p>
      <w:pPr>
        <w:spacing w:after="120" w:line="240" w:lineRule="auto"/>
        <w:jc w:val="both"/>
        <w:rPr>
          <w:rFonts w:ascii="Times New Roman" w:hAnsi="Times New Roman"/>
          <w:noProof/>
          <w:sz w:val="24"/>
          <w:szCs w:val="24"/>
          <w:u w:val="single"/>
        </w:rPr>
      </w:pPr>
      <w:r>
        <w:rPr>
          <w:rFonts w:ascii="Times New Roman" w:hAnsi="Times New Roman"/>
          <w:noProof/>
          <w:sz w:val="24"/>
          <w:u w:val="single"/>
        </w:rPr>
        <w:t>Les initiatives spécifiques dans ce domaine consisteront notamment:</w:t>
      </w:r>
    </w:p>
    <w:p>
      <w:pPr>
        <w:numPr>
          <w:ilvl w:val="0"/>
          <w:numId w:val="3"/>
        </w:numPr>
        <w:spacing w:after="120" w:line="240" w:lineRule="auto"/>
        <w:jc w:val="both"/>
        <w:rPr>
          <w:rFonts w:ascii="Times New Roman" w:hAnsi="Times New Roman"/>
          <w:noProof/>
          <w:sz w:val="24"/>
          <w:szCs w:val="24"/>
        </w:rPr>
      </w:pPr>
      <w:r>
        <w:rPr>
          <w:rFonts w:ascii="Times New Roman" w:hAnsi="Times New Roman"/>
          <w:noProof/>
          <w:sz w:val="24"/>
        </w:rPr>
        <w:t>à renforcer le dialogue sur l'aviation, afin notamment d'engager des négociations officielles en vue d'un accord entre les deux régions dans le domaine de l'aviation civile; et</w:t>
      </w:r>
    </w:p>
    <w:p>
      <w:pPr>
        <w:numPr>
          <w:ilvl w:val="0"/>
          <w:numId w:val="3"/>
        </w:numPr>
        <w:spacing w:after="0" w:line="240" w:lineRule="auto"/>
        <w:jc w:val="both"/>
        <w:rPr>
          <w:rFonts w:ascii="Times New Roman" w:hAnsi="Times New Roman"/>
          <w:noProof/>
          <w:sz w:val="24"/>
          <w:szCs w:val="24"/>
        </w:rPr>
      </w:pPr>
      <w:r>
        <w:rPr>
          <w:rFonts w:ascii="Times New Roman" w:hAnsi="Times New Roman"/>
          <w:noProof/>
          <w:sz w:val="24"/>
        </w:rPr>
        <w:t>à soutenir le développement de systèmes de transport urbain améliorés, cofinancés par la BEI, les banques de développement des États membres de l'UE et/ou la FIA.</w:t>
      </w:r>
    </w:p>
    <w:p>
      <w:pPr>
        <w:pStyle w:val="Heading2"/>
        <w:rPr>
          <w:rFonts w:ascii="Times New Roman" w:hAnsi="Times New Roman"/>
          <w:noProof/>
        </w:rPr>
      </w:pPr>
      <w:r>
        <w:rPr>
          <w:rFonts w:ascii="Times New Roman" w:hAnsi="Times New Roman"/>
          <w:noProof/>
        </w:rPr>
        <w:t>2.3. Recherche, innovation et contacts interpersonnels</w:t>
      </w:r>
    </w:p>
    <w:p>
      <w:pPr>
        <w:spacing w:after="240" w:line="240" w:lineRule="auto"/>
        <w:jc w:val="both"/>
        <w:rPr>
          <w:rFonts w:ascii="Times New Roman" w:hAnsi="Times New Roman"/>
          <w:noProof/>
          <w:sz w:val="24"/>
          <w:szCs w:val="24"/>
        </w:rPr>
      </w:pPr>
      <w:r>
        <w:rPr>
          <w:rFonts w:ascii="Times New Roman" w:hAnsi="Times New Roman"/>
          <w:noProof/>
          <w:sz w:val="24"/>
        </w:rPr>
        <w:t>Un partenariat UE-ASEAN plus approfondi passe nécessairement par des contacts interpersonnels plus étroits. Ceux-ci couvrent à la fois le dialogue et la coopération en matière de recherche et d'innovation, ainsi que les échanges d'étudiants et de chercheurs de l'enseignement supérieur. La forte participation de l'ASEAN au septième programme-cadre de l'Union européenne pour des actions de recherche et de développement technologique (2007-2013) a donné lieu à la réalisation de 103 projets, les contributions de l'UE atteignant au total la somme de 20 000 000 EUR.</w:t>
      </w:r>
    </w:p>
    <w:p>
      <w:pPr>
        <w:spacing w:after="240" w:line="240" w:lineRule="auto"/>
        <w:jc w:val="both"/>
        <w:rPr>
          <w:rFonts w:ascii="Times New Roman" w:hAnsi="Times New Roman"/>
          <w:noProof/>
          <w:sz w:val="24"/>
          <w:szCs w:val="24"/>
        </w:rPr>
      </w:pPr>
      <w:r>
        <w:rPr>
          <w:rFonts w:ascii="Times New Roman" w:hAnsi="Times New Roman"/>
          <w:noProof/>
          <w:sz w:val="24"/>
        </w:rPr>
        <w:t xml:space="preserve">Chaque année, quelque 250 étudiants de l'ASEAN bénéficient d'une bourse au titre du programme Erasmus Mundus de l'UE, auquel a désormais succédé le programme Erasmus+, tandis que de nombreuses bourses sont accordées par les États membres de l'UE. Au total, ce sont plus de 4 000 étudiants de l'ASEAN qui se rendent chaque année en Europe grâce à une bourse européenne financée par l'UE et ses États membres. </w:t>
      </w:r>
    </w:p>
    <w:p>
      <w:pPr>
        <w:spacing w:after="120" w:line="240" w:lineRule="auto"/>
        <w:jc w:val="both"/>
        <w:rPr>
          <w:rFonts w:ascii="Times New Roman" w:hAnsi="Times New Roman"/>
          <w:noProof/>
          <w:sz w:val="24"/>
          <w:szCs w:val="24"/>
          <w:u w:val="single"/>
        </w:rPr>
      </w:pPr>
      <w:r>
        <w:rPr>
          <w:rFonts w:ascii="Times New Roman" w:hAnsi="Times New Roman"/>
          <w:noProof/>
          <w:sz w:val="24"/>
          <w:u w:val="single"/>
        </w:rPr>
        <w:t>Les initiatives spécifiques dans ce domaine consisteront notamment:</w:t>
      </w:r>
    </w:p>
    <w:p>
      <w:pPr>
        <w:numPr>
          <w:ilvl w:val="0"/>
          <w:numId w:val="3"/>
        </w:numPr>
        <w:spacing w:after="120" w:line="240" w:lineRule="auto"/>
        <w:jc w:val="both"/>
        <w:rPr>
          <w:rFonts w:ascii="Times New Roman" w:hAnsi="Times New Roman"/>
          <w:noProof/>
          <w:sz w:val="24"/>
          <w:szCs w:val="24"/>
        </w:rPr>
      </w:pPr>
      <w:r>
        <w:rPr>
          <w:rFonts w:ascii="Times New Roman" w:hAnsi="Times New Roman"/>
          <w:noProof/>
          <w:sz w:val="24"/>
        </w:rPr>
        <w:t>à renforcer la coopération au titre du nouveau programme européen pour la recherche et l'innovation, Horizon 2020</w:t>
      </w:r>
      <w:r>
        <w:rPr>
          <w:rStyle w:val="FootnoteReference"/>
          <w:rFonts w:ascii="Times New Roman" w:hAnsi="Times New Roman"/>
          <w:noProof/>
          <w:sz w:val="24"/>
        </w:rPr>
        <w:footnoteReference w:id="9"/>
      </w:r>
      <w:r>
        <w:rPr>
          <w:rFonts w:ascii="Times New Roman" w:hAnsi="Times New Roman"/>
          <w:noProof/>
          <w:sz w:val="24"/>
        </w:rPr>
        <w:t>, dans les domaines prioritaires conjointement définis par des hauts fonctionnaires, en août 2014, lors du dialogue UE-ASEAN en matière de recherche et d'innovation (et ultérieurement);</w:t>
      </w:r>
    </w:p>
    <w:p>
      <w:pPr>
        <w:numPr>
          <w:ilvl w:val="0"/>
          <w:numId w:val="3"/>
        </w:numPr>
        <w:spacing w:after="120" w:line="240" w:lineRule="auto"/>
        <w:jc w:val="both"/>
        <w:rPr>
          <w:rFonts w:ascii="Times New Roman" w:hAnsi="Times New Roman"/>
          <w:noProof/>
          <w:sz w:val="24"/>
          <w:szCs w:val="24"/>
        </w:rPr>
      </w:pPr>
      <w:r>
        <w:rPr>
          <w:rFonts w:ascii="Times New Roman" w:hAnsi="Times New Roman"/>
          <w:noProof/>
          <w:sz w:val="24"/>
        </w:rPr>
        <w:t>à étendre la coopération en matière d'éducation, notamment en partageant l'expérience de l'UE en matière de modernisation et d'internationalisation de l'enseignement supérieur et de réformes du système éducatif (ex.: impact sur les cadres de certification, l'assurance qualité, les systèmes d'accréditation et d'évaluation et la reconnaissance mutuelle des diplômes) par l'intermédiaire de projets Erasmus+ et grâce au soutien de l'UE à l'enseignement supérieur dans le cadre du programme (UE-SHARE) pour la région ASEAN;</w:t>
      </w:r>
    </w:p>
    <w:p>
      <w:pPr>
        <w:numPr>
          <w:ilvl w:val="0"/>
          <w:numId w:val="3"/>
        </w:numPr>
        <w:spacing w:after="120" w:line="240" w:lineRule="auto"/>
        <w:jc w:val="both"/>
        <w:rPr>
          <w:rFonts w:ascii="Times New Roman" w:hAnsi="Times New Roman"/>
          <w:noProof/>
          <w:sz w:val="24"/>
          <w:szCs w:val="24"/>
        </w:rPr>
      </w:pPr>
      <w:r>
        <w:rPr>
          <w:rFonts w:ascii="Times New Roman" w:hAnsi="Times New Roman"/>
          <w:noProof/>
          <w:sz w:val="24"/>
        </w:rPr>
        <w:t>à organiser des salons de l'enseignement supérieur et des échanges universitaires (dans le cadre de l'aide de l'UE à la promotion de la connectivité de l'ASEAN dans le secteur de l'éducation);</w:t>
      </w:r>
    </w:p>
    <w:p>
      <w:pPr>
        <w:numPr>
          <w:ilvl w:val="0"/>
          <w:numId w:val="3"/>
        </w:numPr>
        <w:spacing w:after="240" w:line="240" w:lineRule="auto"/>
        <w:jc w:val="both"/>
        <w:rPr>
          <w:rFonts w:ascii="Times New Roman" w:hAnsi="Times New Roman"/>
          <w:noProof/>
          <w:sz w:val="24"/>
          <w:szCs w:val="24"/>
        </w:rPr>
      </w:pPr>
      <w:r>
        <w:rPr>
          <w:rFonts w:ascii="Times New Roman" w:hAnsi="Times New Roman"/>
          <w:noProof/>
          <w:sz w:val="24"/>
        </w:rPr>
        <w:t>à poursuivre le dialogue et la coopération sur des questions relatives aux migrations et à la mobilité telles que les migrations légales et les visas, les migrations clandestines, le retour et la réadmission des immigrés en situation irrégulière, la traite d'êtres humains, les migrations et le développement, ainsi que la protection internationale (asile et autres formes de protection internationale);</w:t>
      </w:r>
    </w:p>
    <w:p>
      <w:pPr>
        <w:numPr>
          <w:ilvl w:val="0"/>
          <w:numId w:val="3"/>
        </w:numPr>
        <w:spacing w:after="240" w:line="240" w:lineRule="auto"/>
        <w:jc w:val="both"/>
        <w:rPr>
          <w:rFonts w:ascii="Times New Roman" w:hAnsi="Times New Roman"/>
          <w:noProof/>
          <w:sz w:val="24"/>
          <w:szCs w:val="24"/>
        </w:rPr>
      </w:pPr>
      <w:r>
        <w:rPr>
          <w:rFonts w:ascii="Times New Roman" w:hAnsi="Times New Roman"/>
          <w:noProof/>
          <w:sz w:val="24"/>
        </w:rPr>
        <w:t>à coopérer avec des États membres de l'ASEAN sur le tourisme durable, en se fondant sur l'expérience acquise avec la Thaïlande, le Myanmar/la Birmanie et le Viêt Nam; et</w:t>
      </w:r>
    </w:p>
    <w:p>
      <w:pPr>
        <w:numPr>
          <w:ilvl w:val="0"/>
          <w:numId w:val="3"/>
        </w:numPr>
        <w:spacing w:after="240" w:line="240" w:lineRule="auto"/>
        <w:jc w:val="both"/>
        <w:rPr>
          <w:rFonts w:ascii="Times New Roman" w:hAnsi="Times New Roman"/>
          <w:noProof/>
          <w:sz w:val="24"/>
          <w:szCs w:val="24"/>
        </w:rPr>
      </w:pPr>
      <w:r>
        <w:rPr>
          <w:rFonts w:ascii="Times New Roman" w:hAnsi="Times New Roman"/>
          <w:noProof/>
          <w:sz w:val="24"/>
        </w:rPr>
        <w:t>à encourager la participation d'acteurs non étatiques et d'organisations de la société civile dans les processus d'intégration régionale.</w:t>
      </w:r>
    </w:p>
    <w:p>
      <w:pPr>
        <w:pStyle w:val="Heading1"/>
        <w:rPr>
          <w:rFonts w:ascii="Times New Roman" w:hAnsi="Times New Roman"/>
          <w:noProof/>
          <w:sz w:val="28"/>
          <w:szCs w:val="28"/>
        </w:rPr>
      </w:pPr>
      <w:r>
        <w:rPr>
          <w:rFonts w:ascii="Times New Roman" w:hAnsi="Times New Roman"/>
          <w:noProof/>
          <w:sz w:val="28"/>
        </w:rPr>
        <w:t>3. Un partenariat plus vert pour un avenir durable</w:t>
      </w:r>
    </w:p>
    <w:p>
      <w:pPr>
        <w:spacing w:after="240" w:line="240" w:lineRule="auto"/>
        <w:jc w:val="both"/>
        <w:rPr>
          <w:rFonts w:ascii="Times New Roman" w:hAnsi="Times New Roman"/>
          <w:noProof/>
          <w:sz w:val="24"/>
          <w:szCs w:val="24"/>
        </w:rPr>
      </w:pPr>
      <w:r>
        <w:rPr>
          <w:rFonts w:ascii="Times New Roman" w:hAnsi="Times New Roman"/>
          <w:noProof/>
          <w:sz w:val="24"/>
        </w:rPr>
        <w:t>La région de l'ASEAN dispose de riches ressources naturelles garantissant un large éventail d'activités économiques et de moyens de subsistance. Bien que n'occupant que 3 % de la surface totale de la terre, la région possède une diversité biologique exceptionnelle et sert d'habitat naturel à plus de 20 % des espèces végétales et animales connues. Cependant, la croissance démographique et économique exerce une pression croissante sur les ressources naturelles de la région et la rareté de la ressource en eau, l'exploitation illégale des forêts, la conversion forestière, le drainage des tourbières et les incendies de forêts entraînent une perte de biodiversité et une forte augmentation des émissions de gaz à effet de serre, ainsi que des problèmes de santé et des pertes économiques. La région connaît également d'autres problèmes, comme une pénurie d'eau et une mauvaise gestion des déchets contribuant à aggraver le problème mondial des déchets marins.</w:t>
      </w:r>
    </w:p>
    <w:p>
      <w:pPr>
        <w:spacing w:after="240" w:line="240" w:lineRule="auto"/>
        <w:jc w:val="both"/>
        <w:rPr>
          <w:rFonts w:ascii="Times New Roman" w:hAnsi="Times New Roman"/>
          <w:noProof/>
          <w:sz w:val="24"/>
          <w:szCs w:val="24"/>
        </w:rPr>
      </w:pPr>
      <w:r>
        <w:rPr>
          <w:rFonts w:ascii="Times New Roman" w:hAnsi="Times New Roman"/>
          <w:noProof/>
          <w:sz w:val="24"/>
        </w:rPr>
        <w:t>La région de l'ASEAN abrite la troisième plus grande forêt tropicale au monde et est celle dans laquelle les émissions de gaz à effet de serre issues de la déforestation et de la dégradation des forêts connaissent la progression la plus rapide: 260 millions de tonnes de CO</w:t>
      </w:r>
      <w:r>
        <w:rPr>
          <w:rFonts w:ascii="Times New Roman" w:hAnsi="Times New Roman"/>
          <w:noProof/>
          <w:sz w:val="24"/>
          <w:vertAlign w:val="subscript"/>
        </w:rPr>
        <w:t>2</w:t>
      </w:r>
      <w:r>
        <w:rPr>
          <w:rFonts w:ascii="Times New Roman" w:hAnsi="Times New Roman"/>
          <w:noProof/>
          <w:sz w:val="24"/>
        </w:rPr>
        <w:t xml:space="preserve"> par an, à l'heure actuelle, sur un total mondial de 810 millions. </w:t>
      </w:r>
    </w:p>
    <w:p>
      <w:pPr>
        <w:pBdr>
          <w:top w:val="single" w:sz="4" w:space="1" w:color="auto"/>
          <w:left w:val="single" w:sz="4" w:space="4" w:color="auto"/>
          <w:bottom w:val="single" w:sz="4" w:space="1" w:color="auto"/>
          <w:right w:val="single" w:sz="4" w:space="4" w:color="auto"/>
        </w:pBdr>
        <w:shd w:val="clear" w:color="auto" w:fill="EEECE1"/>
        <w:spacing w:after="240" w:line="240" w:lineRule="auto"/>
        <w:jc w:val="both"/>
        <w:rPr>
          <w:rFonts w:ascii="Times New Roman" w:hAnsi="Times New Roman"/>
          <w:noProof/>
          <w:sz w:val="24"/>
          <w:szCs w:val="24"/>
        </w:rPr>
      </w:pPr>
      <w:r>
        <w:rPr>
          <w:rFonts w:ascii="Times New Roman" w:hAnsi="Times New Roman"/>
          <w:noProof/>
          <w:sz w:val="24"/>
        </w:rPr>
        <w:t>L'Asie du Sud-Est est sujette aux catastrophes naturelles, en raison notamment du changement climatique. Elles ont causé d'importantes pertes en vies humaines (en particulier le tsunami de 2004, le cyclone Nargis, en 2008, et le super-typhon Haiyan, en 2013), non seulement dans les populations de l'ASEAN, mais aussi parmi les ressortissants de l'UE. Cela fait des années que l'UE aide les pays de l'ASEAN, par l'intermédiaire notamment du programme DIPECHO, à se doter de capacités d'intervention d'urgence et d'alerte précoce plus efficaces pour faire face à des catastrophes d'origine naturelle ou humaine, et qu'elle leur fait profiter d'enseignements tirés de l'élaboration de mécanismes d'assistance consulaire efficaces. Si l'UE fait partie des principaux donateurs du centre de coordination de l'aide humanitaire de l'ASEAN, elle renforce aussi ses liens avec des structures nationales de réaction aux crises, comme celles du Myanmar/de la Birmanie et des Philippines. Soutenant le développement pour l'après-2015 de «l'accord de l'ASEAN sur la gestion des catastrophes et les interventions d'urgence» (AADMER) et se conformant au cadre de Sendai pour la réduction des risques de catastrophe</w:t>
      </w:r>
      <w:r>
        <w:rPr>
          <w:noProof/>
          <w:vertAlign w:val="superscript"/>
        </w:rPr>
        <w:footnoteReference w:id="10"/>
      </w:r>
      <w:r>
        <w:rPr>
          <w:rFonts w:ascii="Times New Roman" w:hAnsi="Times New Roman"/>
          <w:noProof/>
          <w:sz w:val="24"/>
        </w:rPr>
        <w:t>, l'UE et l'ASEAN s'attacheront plus particulièrement à renforcer la résilience des populations en vue de relever les défis posés par les catastrophes et à réduire les risques, notamment en milieu urbain.</w:t>
      </w:r>
    </w:p>
    <w:p>
      <w:pPr>
        <w:spacing w:after="240" w:line="240" w:lineRule="auto"/>
        <w:jc w:val="both"/>
        <w:rPr>
          <w:rFonts w:ascii="Times New Roman" w:hAnsi="Times New Roman"/>
          <w:noProof/>
          <w:sz w:val="24"/>
          <w:szCs w:val="24"/>
        </w:rPr>
      </w:pPr>
      <w:r>
        <w:rPr>
          <w:rFonts w:ascii="Times New Roman" w:hAnsi="Times New Roman"/>
          <w:noProof/>
          <w:sz w:val="24"/>
        </w:rPr>
        <w:t>Compte tenu de leurs responsabilités mondiales, l'UE et l'ASEAN ont toutes deux intérêt à instaurer entre elles un dialogue plus efficace en matière de changement climatique. Les deux régions ont comme objectifs communs le maintien de l'augmentation de la température moyenne en dessous de 2° C et un passage à des économies et à des sociétés à faibles émissions de gaz à effet de serre et résilientes face au changement climatique. L'UE est prête à aider l'ASEAN à intégrer le changement climatique dans sa vision post-2015, y compris au moyen d'un financement ad hoc au titre du domaine prioritaire «Changement climatique, gestion de l'environnement et des catastrophes» de son programme régional 2014-2020. L'UE soutiendra les actions menées en matière d'atténuation, d'adaptation, de résilience et de coopération dans la gestion des catastrophes, tout en donnant la possibilité de lutter contre le changement climatique et ses causes profondes de manière intégrée.</w:t>
      </w:r>
    </w:p>
    <w:p>
      <w:pPr>
        <w:spacing w:after="240" w:line="240" w:lineRule="auto"/>
        <w:jc w:val="both"/>
        <w:rPr>
          <w:rFonts w:ascii="Times New Roman" w:hAnsi="Times New Roman"/>
          <w:noProof/>
          <w:sz w:val="24"/>
          <w:szCs w:val="24"/>
        </w:rPr>
      </w:pPr>
      <w:r>
        <w:rPr>
          <w:rFonts w:ascii="Times New Roman" w:hAnsi="Times New Roman"/>
          <w:noProof/>
          <w:sz w:val="24"/>
        </w:rPr>
        <w:t>Le plan d'action de l'UE intitulé «Application des réglementations forestières, gouvernance et échanges commerciaux» (FLEGT) vise à améliorer la gouvernance forestière et à promouvoir le commerce de produits à base de bois issus d'une exploitation durable et récoltés de manière légale, tout en constituant une base solide pour intensifier le dialogue et renforcer les capacités dans l'ASEAN. L'UE est engagée dans la négociation ou dans la mise en œuvre d'accords de partenariat volontaires (APV) FLEGT avec la plupart des pays de l'ASEAN et soutient la coopération au niveau régional</w:t>
      </w:r>
      <w:r>
        <w:rPr>
          <w:rStyle w:val="FootnoteReference"/>
          <w:rFonts w:ascii="Times New Roman" w:hAnsi="Times New Roman"/>
          <w:noProof/>
          <w:sz w:val="24"/>
        </w:rPr>
        <w:footnoteReference w:id="11"/>
      </w:r>
      <w:r>
        <w:rPr>
          <w:rFonts w:ascii="Times New Roman" w:hAnsi="Times New Roman"/>
          <w:noProof/>
          <w:sz w:val="24"/>
        </w:rPr>
        <w:t>. En outre, l'UE contribue à hauteur de 3 000 000 000 USD aux politiques climatiques et aux mesures d'incitation des Nations unies visant à réduire les émissions liées à la déforestation et à la dégradation des forêts (REDD+) et elle encouragera les membres de l'ASEAN à élaborer des stratégies REDD+ solides et ambitieuses.</w:t>
      </w:r>
    </w:p>
    <w:p>
      <w:pPr>
        <w:pBdr>
          <w:top w:val="single" w:sz="4" w:space="1" w:color="auto"/>
          <w:left w:val="single" w:sz="4" w:space="4" w:color="auto"/>
          <w:bottom w:val="single" w:sz="4" w:space="1" w:color="auto"/>
          <w:right w:val="single" w:sz="4" w:space="4" w:color="auto"/>
        </w:pBdr>
        <w:shd w:val="clear" w:color="auto" w:fill="EEECE1"/>
        <w:spacing w:after="120" w:line="240" w:lineRule="auto"/>
        <w:jc w:val="both"/>
        <w:rPr>
          <w:rFonts w:ascii="Times New Roman" w:hAnsi="Times New Roman"/>
          <w:noProof/>
          <w:sz w:val="24"/>
          <w:szCs w:val="24"/>
        </w:rPr>
      </w:pPr>
      <w:r>
        <w:rPr>
          <w:rFonts w:ascii="Times New Roman" w:hAnsi="Times New Roman"/>
          <w:noProof/>
          <w:sz w:val="24"/>
        </w:rPr>
        <w:t>La pollution provoquée par la «brume sèche» est un problème qui touche plusieurs pays de l'ASEAN, dont l'Indonésie, la Malaisie et Singapour. Les incessants feux couvants et incendies dans les tourbières et sur d'autres terrains, dus à la conversion forestière, sont néfastes pour la qualité de l'air, la santé locale et l'économie. La pollution est parfois telle que les autorités locales doivent décréter l'état d'urgence. Les émissions de gaz à effet de serre provenant de tourbières qui ont été drainées et/ou brûlées sont d'importants vecteurs de changement climatique et elles contribuent à faire figurer la région de l'ASEAN au nombre des très gros émetteurs de gaz à effet de serre. Le projet de gestion durable des forêts de tourbière en Asie du Sud-Est (SEApeat), financé par l'UE, a aidé les pays de l'ASEAN à concevoir et mettre en œuvre des plans d'action nationaux pour les tourbières. Il prévoit notamment d'autres activités génératrices de revenus et des méthodes de prévention des incendies, comme le brûlage dirigé. Pour la période 2014-2020, de nouveaux financements sont prévus pour le projet relatif à une utilisation durable des tourbières et à une atténuation de la «brume sèche» dans l'ASEAN (20 000 000 EUR), ainsi que pour le projet de gestion de la biodiversité et des zones protégées dans l'ASEAN (10 000 000 EUR).</w:t>
      </w:r>
    </w:p>
    <w:p>
      <w:pPr>
        <w:spacing w:after="240" w:line="240" w:lineRule="auto"/>
        <w:jc w:val="both"/>
        <w:rPr>
          <w:rFonts w:ascii="Times New Roman" w:hAnsi="Times New Roman"/>
          <w:noProof/>
          <w:sz w:val="24"/>
          <w:szCs w:val="24"/>
        </w:rPr>
      </w:pPr>
      <w:r>
        <w:rPr>
          <w:rFonts w:ascii="Times New Roman" w:hAnsi="Times New Roman"/>
          <w:noProof/>
          <w:sz w:val="24"/>
        </w:rPr>
        <w:t>Dans les années à venir, le secteur de l'énergie jouera un rôle pivot pour soutenir le développement socioéconomique et la connectivité, dans le respect des objectifs en matière de changement climatique et d'environnement. Le fait de partager les expériences et les bonnes pratiques et de montrer des solutions innovantes, y compris en matière de réduction des émissions de CO</w:t>
      </w:r>
      <w:r>
        <w:rPr>
          <w:rFonts w:ascii="Times New Roman" w:hAnsi="Times New Roman"/>
          <w:noProof/>
          <w:sz w:val="24"/>
          <w:vertAlign w:val="subscript"/>
        </w:rPr>
        <w:t>2</w:t>
      </w:r>
      <w:r>
        <w:rPr>
          <w:rFonts w:ascii="Times New Roman" w:hAnsi="Times New Roman"/>
          <w:noProof/>
          <w:sz w:val="24"/>
        </w:rPr>
        <w:t>, d'efficacité énergétique et de réduction de la demande d'énergie, ainsi que de développement de sources d'énergie renouvelable, peut servir de base à un dialogue fructueux sur l'énergie et le changement climatique. La recherche et l'innovation, y compris la démonstration et le déploiement de solutions novatrices relatives aux défis susmentionnés, seront abordées dans le cadre du dialogue UE-ASEAN en matière de recherche et d'innovation.</w:t>
      </w:r>
    </w:p>
    <w:p>
      <w:pPr>
        <w:spacing w:after="240" w:line="240" w:lineRule="auto"/>
        <w:jc w:val="both"/>
        <w:rPr>
          <w:rFonts w:ascii="Times New Roman" w:hAnsi="Times New Roman"/>
          <w:noProof/>
          <w:sz w:val="24"/>
          <w:szCs w:val="24"/>
        </w:rPr>
      </w:pPr>
      <w:r>
        <w:rPr>
          <w:rFonts w:ascii="Times New Roman" w:hAnsi="Times New Roman"/>
          <w:noProof/>
          <w:sz w:val="24"/>
        </w:rPr>
        <w:t>L'utilisation durable de ressources naturelles passe également par la lutte contre la pêche illicite, non déclarée et non réglementée (INN), qui a d'importantes répercussions environnementales, économiques et en matière de sécurité. L'UE reste déterminée à lutter contre la pêche INN sur le plan international, ce qui est essentiel pour la promotion d'une meilleure gouvernance internationale des océans. L'ASEAN a aussi déclaré qu'il s'agissait là d'une priorité.</w:t>
      </w:r>
    </w:p>
    <w:p>
      <w:pPr>
        <w:spacing w:after="120" w:line="240" w:lineRule="auto"/>
        <w:jc w:val="both"/>
        <w:rPr>
          <w:rFonts w:ascii="Times New Roman" w:hAnsi="Times New Roman"/>
          <w:noProof/>
          <w:sz w:val="24"/>
          <w:szCs w:val="24"/>
          <w:u w:val="single"/>
        </w:rPr>
      </w:pPr>
      <w:r>
        <w:rPr>
          <w:rFonts w:ascii="Times New Roman" w:hAnsi="Times New Roman"/>
          <w:noProof/>
          <w:sz w:val="24"/>
          <w:u w:val="single"/>
        </w:rPr>
        <w:t>Les initiatives spécifiques dans ce domaine consisteront notamment:</w:t>
      </w:r>
    </w:p>
    <w:p>
      <w:pPr>
        <w:numPr>
          <w:ilvl w:val="0"/>
          <w:numId w:val="4"/>
        </w:numPr>
        <w:spacing w:after="120" w:line="240" w:lineRule="auto"/>
        <w:jc w:val="both"/>
        <w:rPr>
          <w:rFonts w:ascii="Times New Roman" w:hAnsi="Times New Roman"/>
          <w:noProof/>
          <w:sz w:val="24"/>
          <w:szCs w:val="24"/>
        </w:rPr>
      </w:pPr>
      <w:r>
        <w:rPr>
          <w:rFonts w:ascii="Times New Roman" w:hAnsi="Times New Roman"/>
          <w:noProof/>
          <w:sz w:val="24"/>
        </w:rPr>
        <w:t>à renforcer la collaboration UE-ASEAN en matière de lutte contre le changement climatique et à amorcer un dialogue stratégique sur l'environnement et le développement durable, conformément au plan d'action de Brunei et en se fondant sur l'expérience de l'UE en matière de gestion du développement durable à l'échelle d'un continent, d'intégration de la politique en matière de changement climatique et de transformation de l'Europe en une économie à haute efficacité énergétique et à faible émission de carbone;</w:t>
      </w:r>
    </w:p>
    <w:p>
      <w:pPr>
        <w:numPr>
          <w:ilvl w:val="0"/>
          <w:numId w:val="4"/>
        </w:numPr>
        <w:spacing w:after="120" w:line="240" w:lineRule="auto"/>
        <w:jc w:val="both"/>
        <w:rPr>
          <w:rFonts w:ascii="Times New Roman" w:hAnsi="Times New Roman"/>
          <w:noProof/>
          <w:sz w:val="24"/>
          <w:szCs w:val="24"/>
        </w:rPr>
      </w:pPr>
      <w:r>
        <w:rPr>
          <w:rFonts w:ascii="Times New Roman" w:hAnsi="Times New Roman"/>
          <w:noProof/>
          <w:sz w:val="24"/>
        </w:rPr>
        <w:t>à renforcer l'appui aux efforts consentis par l'ASEAN pour lutter contre le changement climatique, protéger l'environnement et promouvoir une croissance verte et durable au moyen du programme de coopération régionale de l'UE (plus de 60 000 000 EUR sur les 170 000 000 EUR alloués pour 2014-2020), ainsi que de la FIA et du programme SWITCH-Asie</w:t>
      </w:r>
      <w:r>
        <w:rPr>
          <w:rStyle w:val="FootnoteReference"/>
          <w:rFonts w:ascii="Times New Roman" w:hAnsi="Times New Roman"/>
          <w:noProof/>
          <w:sz w:val="24"/>
        </w:rPr>
        <w:footnoteReference w:id="12"/>
      </w:r>
      <w:r>
        <w:rPr>
          <w:rFonts w:ascii="Times New Roman" w:hAnsi="Times New Roman"/>
          <w:noProof/>
          <w:sz w:val="24"/>
        </w:rPr>
        <w:t>;</w:t>
      </w:r>
    </w:p>
    <w:p>
      <w:pPr>
        <w:numPr>
          <w:ilvl w:val="0"/>
          <w:numId w:val="4"/>
        </w:numPr>
        <w:spacing w:after="120" w:line="240" w:lineRule="auto"/>
        <w:jc w:val="both"/>
        <w:rPr>
          <w:rFonts w:ascii="Times New Roman" w:hAnsi="Times New Roman"/>
          <w:noProof/>
          <w:sz w:val="24"/>
          <w:szCs w:val="24"/>
        </w:rPr>
      </w:pPr>
      <w:r>
        <w:rPr>
          <w:rFonts w:ascii="Times New Roman" w:hAnsi="Times New Roman"/>
          <w:noProof/>
          <w:sz w:val="24"/>
        </w:rPr>
        <w:t>à soutenir, plus particulièrement, les efforts des pays du bas Mékong relatifs à l'ensemble eau – énergie – sécurité alimentaire, au développement d'une agriculture durable renforcée, à la sécurité alimentaire (y compris la sûreté alimentaire), aux systèmes de gestion des ressources naturelles, notamment en encourageant un dialogue avec des représentants de la région du Danube;</w:t>
      </w:r>
    </w:p>
    <w:p>
      <w:pPr>
        <w:numPr>
          <w:ilvl w:val="0"/>
          <w:numId w:val="4"/>
        </w:numPr>
        <w:spacing w:after="120" w:line="240" w:lineRule="auto"/>
        <w:jc w:val="both"/>
        <w:rPr>
          <w:rFonts w:ascii="Times New Roman" w:hAnsi="Times New Roman"/>
          <w:noProof/>
          <w:sz w:val="24"/>
          <w:szCs w:val="24"/>
        </w:rPr>
      </w:pPr>
      <w:r>
        <w:rPr>
          <w:rFonts w:ascii="Times New Roman" w:hAnsi="Times New Roman"/>
          <w:noProof/>
          <w:sz w:val="24"/>
        </w:rPr>
        <w:t>à renforcer des approches régionales des programmes FLEGT et REDD+,  notamment pour élaborer de nouveaux programmes de réduction des émissions REDD+ au niveau du pays ou de la province/du district, afin de mieux s'attaquer, par des actions transfrontières, aux causes de la déforestation et de la dégradation des forêts, et pour avoir accès aux financements de REDD+, accordés en fonction des résultats, dans le prolongement du mécanisme UE-REDD, parrainé par l'UE;</w:t>
      </w:r>
    </w:p>
    <w:p>
      <w:pPr>
        <w:numPr>
          <w:ilvl w:val="0"/>
          <w:numId w:val="4"/>
        </w:numPr>
        <w:spacing w:after="120" w:line="240" w:lineRule="auto"/>
        <w:jc w:val="both"/>
        <w:rPr>
          <w:rFonts w:ascii="Times New Roman" w:hAnsi="Times New Roman"/>
          <w:noProof/>
          <w:sz w:val="24"/>
          <w:szCs w:val="24"/>
        </w:rPr>
      </w:pPr>
      <w:r>
        <w:rPr>
          <w:rFonts w:ascii="Times New Roman" w:hAnsi="Times New Roman"/>
          <w:noProof/>
          <w:sz w:val="24"/>
        </w:rPr>
        <w:t>à favoriser une coopération pratique sur des questions telles que la déforestation, l'exploitation illégale des forêts et le commerce qui y est associé, notamment grâce à la mise en œuvre efficace des APV FLEGT, en luttant contre la «brume sèche» transfrontière, y compris en mettant fin au drainage des tourbières, en soutenant une production plus durable de matières premières telles que l'huile de palme, le caoutchouc et le café, en inversant le processus d'appauvrissement de la biodiversité, en luttant contre le trafic d'espèces sauvages et la prolifération des déchets marins, en encourageant une bonne gestion des déchets et des produits chimiques et en soutenant la sécurité de l'approvisionnement en eau (notamment sous ses aspects transfrontières) et un développement urbain vert;</w:t>
      </w:r>
    </w:p>
    <w:p>
      <w:pPr>
        <w:numPr>
          <w:ilvl w:val="0"/>
          <w:numId w:val="4"/>
        </w:numPr>
        <w:spacing w:after="120" w:line="240" w:lineRule="auto"/>
        <w:jc w:val="both"/>
        <w:rPr>
          <w:rFonts w:ascii="Times New Roman" w:hAnsi="Times New Roman"/>
          <w:noProof/>
          <w:sz w:val="24"/>
          <w:szCs w:val="24"/>
        </w:rPr>
      </w:pPr>
      <w:r>
        <w:rPr>
          <w:rFonts w:ascii="Times New Roman" w:hAnsi="Times New Roman"/>
          <w:noProof/>
          <w:sz w:val="24"/>
        </w:rPr>
        <w:t xml:space="preserve">à renforcer la coopération UE-ASEAN en matière d'énergie, le dialogue devant notamment porter sur l'efficacité énergétique et les économies d'énergie, les biocarburants, le cadre d'investissement, ainsi que le développement des énergies renouvelables et des infrastructures; </w:t>
      </w:r>
    </w:p>
    <w:p>
      <w:pPr>
        <w:numPr>
          <w:ilvl w:val="0"/>
          <w:numId w:val="4"/>
        </w:numPr>
        <w:spacing w:after="120" w:line="240" w:lineRule="auto"/>
        <w:ind w:left="714" w:hanging="357"/>
        <w:jc w:val="both"/>
        <w:rPr>
          <w:rFonts w:ascii="Times New Roman" w:hAnsi="Times New Roman"/>
          <w:noProof/>
          <w:sz w:val="24"/>
          <w:szCs w:val="24"/>
        </w:rPr>
      </w:pPr>
      <w:r>
        <w:rPr>
          <w:rFonts w:ascii="Times New Roman" w:hAnsi="Times New Roman"/>
          <w:noProof/>
          <w:sz w:val="24"/>
        </w:rPr>
        <w:t>à consolider la coopération régionale UE-ASEAN en matière de pêche INN, parallèlement aux dialogues bilatéraux engagés avec certains membres de l'ASEAN; à appliquer des règles appropriées en matière de suivi, de contrôle et de surveillance; et</w:t>
      </w:r>
    </w:p>
    <w:p>
      <w:pPr>
        <w:numPr>
          <w:ilvl w:val="0"/>
          <w:numId w:val="4"/>
        </w:numPr>
        <w:spacing w:after="240" w:line="240" w:lineRule="auto"/>
        <w:jc w:val="both"/>
        <w:rPr>
          <w:rFonts w:ascii="Times New Roman" w:hAnsi="Times New Roman"/>
          <w:noProof/>
          <w:sz w:val="24"/>
          <w:szCs w:val="24"/>
        </w:rPr>
      </w:pPr>
      <w:r>
        <w:rPr>
          <w:rFonts w:ascii="Times New Roman" w:hAnsi="Times New Roman"/>
          <w:noProof/>
          <w:sz w:val="24"/>
        </w:rPr>
        <w:t>à développer la coopération UE-ASEAN en matière de gestion des catastrophes, notamment par un renforcement des liens opérationnels, une extension des activités de formation et la participation aux exercices du Forum régional de l'ASEAN (FRA) en matière de secours en cas de catastrophe, tout en mettant l'accent sur la mise en œuvre du cadre de Sendai pour la réduction des risques de catastrophe.</w:t>
      </w:r>
    </w:p>
    <w:p>
      <w:pPr>
        <w:pStyle w:val="Heading1"/>
        <w:rPr>
          <w:rFonts w:ascii="Times New Roman" w:hAnsi="Times New Roman"/>
          <w:noProof/>
          <w:sz w:val="28"/>
          <w:szCs w:val="28"/>
        </w:rPr>
      </w:pPr>
      <w:r>
        <w:rPr>
          <w:rFonts w:ascii="Times New Roman" w:hAnsi="Times New Roman"/>
          <w:noProof/>
          <w:sz w:val="28"/>
        </w:rPr>
        <w:t>4. Coopération sur les questions de politique et de sécurité</w:t>
      </w:r>
    </w:p>
    <w:p>
      <w:pPr>
        <w:pStyle w:val="Heading2"/>
        <w:rPr>
          <w:rFonts w:ascii="Times New Roman" w:hAnsi="Times New Roman"/>
          <w:noProof/>
        </w:rPr>
      </w:pPr>
      <w:r>
        <w:rPr>
          <w:rFonts w:ascii="Times New Roman" w:hAnsi="Times New Roman"/>
          <w:noProof/>
        </w:rPr>
        <w:t>4.1. Sécurité</w:t>
      </w:r>
    </w:p>
    <w:p>
      <w:pPr>
        <w:spacing w:after="240" w:line="240" w:lineRule="auto"/>
        <w:jc w:val="both"/>
        <w:rPr>
          <w:rFonts w:ascii="Times New Roman" w:hAnsi="Times New Roman"/>
          <w:noProof/>
          <w:sz w:val="24"/>
          <w:szCs w:val="24"/>
        </w:rPr>
      </w:pPr>
      <w:r>
        <w:rPr>
          <w:rFonts w:ascii="Times New Roman" w:hAnsi="Times New Roman"/>
          <w:noProof/>
          <w:sz w:val="24"/>
        </w:rPr>
        <w:t>Ces dernières années, l'UE et l'ASEAN ont décidé d'enrichir leur partenariat, jusque-là limité aux traditionnelles questions économiques. Ce changement de cap est consécutif aux décisions de l'ASEAN de commencer à s'occuper des questions liées à la sécurité que sont notamment la gestion des catastrophes, la sécurité maritime, la criminalité transnationale et la lutte contre le terrorisme. De même, l'UE a étendu son rôle d'acteur et de garant de la sécurité, notamment par les dispositions du traité de Lisbonne permettant des approches plus intégrées en matière de politique étrangère.</w:t>
      </w:r>
    </w:p>
    <w:p>
      <w:pPr>
        <w:spacing w:after="240" w:line="240" w:lineRule="auto"/>
        <w:jc w:val="both"/>
        <w:rPr>
          <w:rFonts w:ascii="Times New Roman" w:hAnsi="Times New Roman"/>
          <w:noProof/>
          <w:sz w:val="24"/>
          <w:szCs w:val="24"/>
        </w:rPr>
      </w:pPr>
      <w:r>
        <w:rPr>
          <w:rFonts w:ascii="Times New Roman" w:hAnsi="Times New Roman"/>
          <w:noProof/>
          <w:sz w:val="24"/>
        </w:rPr>
        <w:t xml:space="preserve">L'ASEAN a fait montre de créativité et de détermination pour se placer au cœur de l'architecture régionale, d'où elle engage les puissances régionales et mondiales au sein de toute une série d'enceintes concentriques qui se chevauchent, telles que l'ASEAN+3 (qui associe la Chine, le Japon et la Corée du Sud), le Forum régional de l'ASEAN (FRA), le processus de la réunion des ministres de la défense de l'ASEAN – Plus (RMDA-Plus) et le sommet de l'Asie de l'Est. </w:t>
      </w:r>
    </w:p>
    <w:p>
      <w:pPr>
        <w:spacing w:after="240" w:line="240" w:lineRule="auto"/>
        <w:jc w:val="both"/>
        <w:rPr>
          <w:rFonts w:ascii="Times New Roman" w:hAnsi="Times New Roman"/>
          <w:noProof/>
          <w:sz w:val="24"/>
          <w:szCs w:val="24"/>
        </w:rPr>
      </w:pPr>
      <w:r>
        <w:rPr>
          <w:rFonts w:ascii="Times New Roman" w:hAnsi="Times New Roman"/>
          <w:noProof/>
          <w:sz w:val="24"/>
        </w:rPr>
        <w:t>Le sommet de l'Asie de l'Est est en passe de devenir la principale enceinte de coopération stratégique dans la région, les États-Unis, la Chine, le Japon, la Corée du Sud, l'Inde, l'Australie, la Nouvelle-Zélande et la Fédération de Russie en étant membres, mais pas encore l'UE. Compte tenu des liens que l'UE entretient en matière de commerce et d'investissement, notamment, elle a tout à gagner à ce que la région soit stable et, partant, à promouvoir une architecture sécuritaire mieux en mesure de gérer les tensions politiques de la région et dans laquelle elle jouerait un rôle essentiel, y compris dans la perspective de son adhésion future au sommet de l'Asie de l'Est.</w:t>
      </w:r>
    </w:p>
    <w:p>
      <w:pPr>
        <w:spacing w:after="240" w:line="240" w:lineRule="auto"/>
        <w:jc w:val="both"/>
        <w:rPr>
          <w:rFonts w:ascii="Times New Roman" w:hAnsi="Times New Roman"/>
          <w:noProof/>
          <w:sz w:val="24"/>
          <w:szCs w:val="24"/>
        </w:rPr>
      </w:pPr>
      <w:r>
        <w:rPr>
          <w:rFonts w:ascii="Times New Roman" w:hAnsi="Times New Roman"/>
          <w:noProof/>
          <w:sz w:val="24"/>
        </w:rPr>
        <w:t>L'ASEAN apprécie la possibilité qui s'offre à elle de renforcer sa coopération avec l'UE en matière de sécurité. Elle peut s'inspirer de l'expérience acquise par l'UE en matière d'encadrement de la coopération sécuritaire au niveau régional, la participation — active mais bienveillante — de cette dernière étant de nature à l'aider à maintenir toute une palette d'options stratégiques et à continuer d'occuper une position centrale, à l'heure où les grandes puissances s'affirment avec toujours plus de force dans la région.</w:t>
      </w:r>
    </w:p>
    <w:p>
      <w:pPr>
        <w:spacing w:after="240" w:line="240" w:lineRule="auto"/>
        <w:jc w:val="both"/>
        <w:rPr>
          <w:rFonts w:ascii="Times New Roman" w:hAnsi="Times New Roman"/>
          <w:noProof/>
          <w:sz w:val="24"/>
          <w:szCs w:val="24"/>
        </w:rPr>
      </w:pPr>
      <w:r>
        <w:rPr>
          <w:rFonts w:ascii="Times New Roman" w:hAnsi="Times New Roman"/>
          <w:noProof/>
          <w:sz w:val="24"/>
        </w:rPr>
        <w:t>L'UE et l'ASEAN devraient exploiter leur convergence d'intérêts et faire en sorte que les questions politiques et sécuritaires fassent partie des vecteurs les plus dynamiques de leur coopération, à la fois dans le cadre de la coopération UE</w:t>
      </w:r>
      <w:r>
        <w:rPr>
          <w:noProof/>
        </w:rPr>
        <w:noBreakHyphen/>
      </w:r>
      <w:r>
        <w:rPr>
          <w:rFonts w:ascii="Times New Roman" w:hAnsi="Times New Roman"/>
          <w:noProof/>
          <w:sz w:val="24"/>
        </w:rPr>
        <w:t>ASEAN et par une participation accrue de l'UE dans le FRA, seule enceinte sécuritaire de la région dont elle soit membre pour le moment.</w:t>
      </w:r>
    </w:p>
    <w:p>
      <w:pPr>
        <w:spacing w:after="120" w:line="240" w:lineRule="auto"/>
        <w:jc w:val="both"/>
        <w:rPr>
          <w:rFonts w:ascii="Times New Roman" w:hAnsi="Times New Roman"/>
          <w:noProof/>
          <w:sz w:val="24"/>
          <w:szCs w:val="24"/>
        </w:rPr>
      </w:pPr>
      <w:r>
        <w:rPr>
          <w:rFonts w:ascii="Times New Roman" w:hAnsi="Times New Roman"/>
          <w:noProof/>
          <w:sz w:val="24"/>
        </w:rPr>
        <w:t>L'UE a déjà intensifié sa participation dans le FRA ces dernières années. Depuis 2012, la haute représentante/vice-présidente participe chaque année à la réunion ministérielle du FRA. Au niveau des fonctionnaires, l'UE n'a jamais été aussi active, co-présidant les réunions du FRA et contribuant à la mise en œuvre des programmes de travail de ce dernier. Parmi les initiatives récentes de l'UE figurent notamment:</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 xml:space="preserve">en 2013-2014, la co-présidence (avec le Myanmar/la Birmanie) du groupe intersessions du FRA consacré aux mesures de renforcement de la confiance et à la diplomatie préventive, ainsi que du dialogue des responsables de la défense, qui lui est associé; </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 xml:space="preserve">le co-parrainage, avec le Brunei Darussalam, du tout premier cours de formation du FRA sur la diplomatie préventive et la médiation, en octobre 2014, au Brunei; et </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le tout premier séminaire d'orientation du Collège européen de sécurité et de défense consacré à la politique de sécurité et de défense commune (PSDC), en mars 2014, l'accent étant mis en particulier sur la coopération UE-ASEAN sur le plan de la sécurité</w:t>
      </w:r>
      <w:r>
        <w:rPr>
          <w:rFonts w:ascii="Times New Roman" w:hAnsi="Times New Roman"/>
          <w:noProof/>
          <w:sz w:val="24"/>
          <w:vertAlign w:val="superscript"/>
        </w:rPr>
        <w:footnoteReference w:id="13"/>
      </w:r>
      <w:r>
        <w:rPr>
          <w:rFonts w:ascii="Times New Roman" w:hAnsi="Times New Roman"/>
          <w:noProof/>
          <w:sz w:val="24"/>
        </w:rPr>
        <w:t>.</w:t>
      </w:r>
    </w:p>
    <w:p>
      <w:pPr>
        <w:spacing w:after="240" w:line="240" w:lineRule="auto"/>
        <w:jc w:val="both"/>
        <w:rPr>
          <w:rFonts w:ascii="Times New Roman" w:hAnsi="Times New Roman"/>
          <w:noProof/>
          <w:sz w:val="24"/>
          <w:szCs w:val="24"/>
        </w:rPr>
      </w:pPr>
      <w:r>
        <w:rPr>
          <w:rFonts w:ascii="Times New Roman" w:hAnsi="Times New Roman"/>
          <w:noProof/>
          <w:sz w:val="24"/>
        </w:rPr>
        <w:t>Les partenaires de l'ASEAN ont pris acte, avec satisfaction, de ce déploiement d'activité de l'UE en matière de sécurité, tout en s'interrogeant sur sa pérennité. Au-delà de l'intérêt que l'UE témoigne à l'égard de la stabilité régionale, c'est sa capacité à mettre en place une coopération en matière de sécurité qui influencera la perception, par les partenaires de l'ASEAN, de sa candidature à l'adhésion au sommet de l'Asie de l'Est.</w:t>
      </w:r>
    </w:p>
    <w:p>
      <w:pPr>
        <w:spacing w:after="240" w:line="240" w:lineRule="auto"/>
        <w:jc w:val="both"/>
        <w:rPr>
          <w:rFonts w:ascii="Times New Roman" w:hAnsi="Times New Roman"/>
          <w:noProof/>
          <w:sz w:val="24"/>
          <w:szCs w:val="24"/>
        </w:rPr>
      </w:pPr>
      <w:r>
        <w:rPr>
          <w:rFonts w:ascii="Times New Roman" w:hAnsi="Times New Roman"/>
          <w:noProof/>
          <w:sz w:val="24"/>
        </w:rPr>
        <w:t>La sécurité maritime est un défi majeur pour les deux parties et un élément essentiel de la promotion, par l'UE, d'une meilleure gouvernance des océans. Près de la moitié du transport maritime international (en tonnage) transite par la mer de Chine méridionale. Les ressources énergétiques, les matières premières et les marchandises acheminées ainsi sont d'une importance vitale pour la plupart des économies, y compris celle de l'UE. Cette dernière a donc fortement intérêt à ce que stabilité et sécurité règnent en mer de Chine méridionale, de même que le respect du droit international, y compris de la convention des Nations unies sur le droit de la mer (CNUDM). L'UE n'a eu de cesse d'appeler à la résolution pacifique et coopérative des différends territoriaux et soutient fermement les efforts déployés actuellement par l'ASEAN et la Chine en vue de l'adoption d'un code de conduite sur la mer de Chine méridionale, qui prône une conclusion rapide des négociations.</w:t>
      </w:r>
    </w:p>
    <w:p>
      <w:pPr>
        <w:pBdr>
          <w:top w:val="single" w:sz="4" w:space="1" w:color="auto"/>
          <w:left w:val="single" w:sz="4" w:space="4" w:color="auto"/>
          <w:bottom w:val="single" w:sz="4" w:space="1" w:color="auto"/>
          <w:right w:val="single" w:sz="4" w:space="4" w:color="auto"/>
        </w:pBdr>
        <w:shd w:val="clear" w:color="auto" w:fill="EEECE1"/>
        <w:spacing w:after="240" w:line="240" w:lineRule="auto"/>
        <w:jc w:val="both"/>
        <w:rPr>
          <w:rFonts w:ascii="Times New Roman" w:hAnsi="Times New Roman"/>
          <w:noProof/>
          <w:sz w:val="24"/>
          <w:szCs w:val="24"/>
        </w:rPr>
      </w:pPr>
      <w:r>
        <w:rPr>
          <w:rFonts w:ascii="Times New Roman" w:hAnsi="Times New Roman"/>
          <w:noProof/>
          <w:sz w:val="24"/>
        </w:rPr>
        <w:t xml:space="preserve">L'UE a pris l'initiative d'organiser le premier dialogue UE-ASEAN à haut niveau sur la sécurité maritime à Jakarta, en novembre 2013, qui a donné lieu à des discussions approfondies sur la piraterie, la surveillance maritime, la sûreté des ports et la gestion commune des ressources. Un deuxième dialogue aura lieu en 2015, où l'accent sera mis sur le lien entre sécurité maritime et lutte contre la criminalité organisée. </w:t>
      </w:r>
    </w:p>
    <w:p>
      <w:pPr>
        <w:spacing w:after="240" w:line="240" w:lineRule="auto"/>
        <w:jc w:val="both"/>
        <w:rPr>
          <w:rFonts w:ascii="Times New Roman" w:hAnsi="Times New Roman"/>
          <w:noProof/>
          <w:sz w:val="24"/>
          <w:szCs w:val="24"/>
        </w:rPr>
      </w:pPr>
      <w:r>
        <w:rPr>
          <w:rFonts w:ascii="Times New Roman" w:hAnsi="Times New Roman"/>
          <w:noProof/>
          <w:sz w:val="24"/>
        </w:rPr>
        <w:t>L'initiative du centre d'excellence CBRN (risques chimiques, biologiques, radiologiques et nucléaires) de l'UE a permis de constituer un réseau régional efficace autour de son secrétariat, à Manille. Les 10 États membres de l'ASEAN sont tous partenaires de cette initiative, qui fournit une plate-forme régionale pour le traitement des risques CBRN et constitue une réponse essentielle aux problèmes de sécurité européens et de l'ASEAN. L'UE plaide en faveur d'une participation accrue de l'ASEAN à cette initiative, qui contribuerait à garantir au centre une viabilité et un soutien politique à long terme.</w:t>
      </w:r>
    </w:p>
    <w:p>
      <w:pPr>
        <w:spacing w:after="120" w:line="240" w:lineRule="auto"/>
        <w:jc w:val="both"/>
        <w:rPr>
          <w:rFonts w:ascii="Times New Roman" w:hAnsi="Times New Roman"/>
          <w:noProof/>
          <w:sz w:val="24"/>
          <w:szCs w:val="24"/>
        </w:rPr>
      </w:pPr>
      <w:r>
        <w:rPr>
          <w:rFonts w:ascii="Times New Roman" w:hAnsi="Times New Roman"/>
          <w:noProof/>
          <w:sz w:val="24"/>
        </w:rPr>
        <w:t>Parmi les autres domaines dans lesquels les intérêts de l'ASEAN et de l'UE sont de plus en plus menacés et où les deux régions ont tout à gagner d'une coopération plus étroite, on peut citer:</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 xml:space="preserve">les trafics (traite d'êtres humains, trafics de stupéfiants et d'espèces sauvages); </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la cybersécurité et la cybercriminalité (dont la lutte contre la pédopornographie sur Internet);</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la non-prolifération et le désarmement (dont le traité sur le commerce des armes);</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la déradicalisation et la lutte contre l'extrémisme violent;</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les situations des minorités vulnérables à implications régionales;</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 xml:space="preserve">la médiation; et </w:t>
      </w:r>
    </w:p>
    <w:p>
      <w:pPr>
        <w:numPr>
          <w:ilvl w:val="0"/>
          <w:numId w:val="9"/>
        </w:numPr>
        <w:spacing w:after="240" w:line="240" w:lineRule="auto"/>
        <w:ind w:left="709" w:hanging="289"/>
        <w:jc w:val="both"/>
        <w:rPr>
          <w:rFonts w:ascii="Times New Roman" w:hAnsi="Times New Roman"/>
          <w:noProof/>
          <w:sz w:val="24"/>
          <w:szCs w:val="24"/>
        </w:rPr>
      </w:pPr>
      <w:r>
        <w:rPr>
          <w:rFonts w:ascii="Times New Roman" w:hAnsi="Times New Roman"/>
          <w:noProof/>
          <w:sz w:val="24"/>
        </w:rPr>
        <w:t xml:space="preserve">l'observation électorale. </w:t>
      </w:r>
    </w:p>
    <w:p>
      <w:pPr>
        <w:spacing w:after="240" w:line="240" w:lineRule="auto"/>
        <w:ind w:left="60"/>
        <w:jc w:val="both"/>
        <w:rPr>
          <w:rFonts w:ascii="Times New Roman" w:hAnsi="Times New Roman"/>
          <w:noProof/>
          <w:sz w:val="24"/>
          <w:szCs w:val="24"/>
        </w:rPr>
      </w:pPr>
      <w:r>
        <w:rPr>
          <w:rFonts w:ascii="Times New Roman" w:hAnsi="Times New Roman"/>
          <w:noProof/>
          <w:sz w:val="24"/>
        </w:rPr>
        <w:t>Dans chacun de ces domaines, l'UE prépare en ce moment des initiatives pratiques, à la fois dans le cadre UE-ASEAN et dans celui du FRA, afin d'approfondir le dialogue et de rechercher des moyens de renforcer encore les capacités.</w:t>
      </w:r>
    </w:p>
    <w:p>
      <w:pPr>
        <w:spacing w:after="120" w:line="240" w:lineRule="auto"/>
        <w:jc w:val="both"/>
        <w:rPr>
          <w:rFonts w:ascii="Times New Roman" w:hAnsi="Times New Roman"/>
          <w:noProof/>
          <w:sz w:val="24"/>
          <w:szCs w:val="24"/>
          <w:u w:val="single"/>
        </w:rPr>
      </w:pPr>
      <w:r>
        <w:rPr>
          <w:rFonts w:ascii="Times New Roman" w:hAnsi="Times New Roman"/>
          <w:noProof/>
          <w:sz w:val="24"/>
          <w:u w:val="single"/>
        </w:rPr>
        <w:t>Les initiatives spécifiques dans ce domaine consisteront notamment:</w:t>
      </w:r>
    </w:p>
    <w:p>
      <w:pPr>
        <w:numPr>
          <w:ilvl w:val="0"/>
          <w:numId w:val="5"/>
        </w:numPr>
        <w:spacing w:after="120" w:line="240" w:lineRule="auto"/>
        <w:jc w:val="both"/>
        <w:rPr>
          <w:rFonts w:ascii="Times New Roman" w:hAnsi="Times New Roman"/>
          <w:noProof/>
          <w:sz w:val="24"/>
          <w:szCs w:val="24"/>
        </w:rPr>
      </w:pPr>
      <w:r>
        <w:rPr>
          <w:rFonts w:ascii="Times New Roman" w:hAnsi="Times New Roman"/>
          <w:noProof/>
          <w:sz w:val="24"/>
        </w:rPr>
        <w:t>à améliorer l'aide apportée par l'UE en vue de trouver des parades régionales à la piraterie et à d'autres aspects de la sécurité maritime. Outre son engagement actuel dans le cadre du programme «Routes maritimes critiques» (MARSIC), l'UE étudiera la possibilité de mettre en œuvre des activités de renforcement des capacités au sein de l'ASEAN et en coopération avec celle-ci dans le domaine de la sécurité maritime (surveillance, sûreté des ports), comme le prévoient la stratégie de sûreté maritime de l'Union européenne (adoptée en juin 2004)</w:t>
      </w:r>
      <w:r>
        <w:rPr>
          <w:rStyle w:val="FootnoteReference"/>
          <w:rFonts w:ascii="Times New Roman" w:hAnsi="Times New Roman"/>
          <w:noProof/>
          <w:sz w:val="24"/>
        </w:rPr>
        <w:footnoteReference w:id="14"/>
      </w:r>
      <w:r>
        <w:rPr>
          <w:rFonts w:ascii="Times New Roman" w:hAnsi="Times New Roman"/>
          <w:noProof/>
          <w:sz w:val="24"/>
        </w:rPr>
        <w:t xml:space="preserve"> et son plan d'action. Elle cherchera à rendre annuel le dialogue UE</w:t>
      </w:r>
      <w:r>
        <w:rPr>
          <w:noProof/>
        </w:rPr>
        <w:noBreakHyphen/>
      </w:r>
      <w:r>
        <w:rPr>
          <w:rFonts w:ascii="Times New Roman" w:hAnsi="Times New Roman"/>
          <w:noProof/>
          <w:sz w:val="24"/>
        </w:rPr>
        <w:t>ASEAN à haut niveau sur la sécurité maritime;</w:t>
      </w:r>
    </w:p>
    <w:p>
      <w:pPr>
        <w:numPr>
          <w:ilvl w:val="0"/>
          <w:numId w:val="5"/>
        </w:numPr>
        <w:spacing w:after="120" w:line="240" w:lineRule="auto"/>
        <w:jc w:val="both"/>
        <w:rPr>
          <w:rFonts w:ascii="Times New Roman" w:hAnsi="Times New Roman"/>
          <w:noProof/>
          <w:sz w:val="24"/>
          <w:szCs w:val="24"/>
        </w:rPr>
      </w:pPr>
      <w:r>
        <w:rPr>
          <w:rFonts w:ascii="Times New Roman" w:hAnsi="Times New Roman"/>
          <w:noProof/>
          <w:sz w:val="24"/>
        </w:rPr>
        <w:t>à renforcer le dialogue en matière de secours en cas de catastrophe en le combinant avec des actions plus importantes en matière de renforcement des capacités au niveau de l'ASEAN (centre de coordination de l'aide humanitaire de l'ASEAN) et au niveau national; à étendre les projets existant au Myanmar/en Birmanie et aux Philippines à d'autres États membres de l'ASEAN;</w:t>
      </w:r>
    </w:p>
    <w:p>
      <w:pPr>
        <w:numPr>
          <w:ilvl w:val="0"/>
          <w:numId w:val="5"/>
        </w:numPr>
        <w:spacing w:after="120" w:line="240" w:lineRule="auto"/>
        <w:jc w:val="both"/>
        <w:rPr>
          <w:rFonts w:ascii="Times New Roman" w:hAnsi="Times New Roman"/>
          <w:noProof/>
          <w:sz w:val="24"/>
          <w:szCs w:val="24"/>
        </w:rPr>
      </w:pPr>
      <w:r>
        <w:rPr>
          <w:rFonts w:ascii="Times New Roman" w:hAnsi="Times New Roman"/>
          <w:noProof/>
          <w:sz w:val="24"/>
        </w:rPr>
        <w:t xml:space="preserve">à co-présider (avec les Philippines) un atelier du FRA sur la sensibilisation et la promotion de la coopération avec le FRA en matière d'atténuation du risque CBRN, à Manille, en septembre 2015; </w:t>
      </w:r>
    </w:p>
    <w:p>
      <w:pPr>
        <w:numPr>
          <w:ilvl w:val="0"/>
          <w:numId w:val="5"/>
        </w:numPr>
        <w:spacing w:after="120" w:line="240" w:lineRule="auto"/>
        <w:jc w:val="both"/>
        <w:rPr>
          <w:rFonts w:ascii="Times New Roman" w:hAnsi="Times New Roman"/>
          <w:noProof/>
          <w:sz w:val="24"/>
          <w:szCs w:val="24"/>
        </w:rPr>
      </w:pPr>
      <w:r>
        <w:rPr>
          <w:rFonts w:ascii="Times New Roman" w:hAnsi="Times New Roman"/>
          <w:noProof/>
          <w:sz w:val="24"/>
        </w:rPr>
        <w:t xml:space="preserve">à organiser un séminaire annuel d'orientation PSDC axé sur la coopération UE-ASEAN, afin de sensibiliser davantage au rôle grandissant de l'UE sur les questions sécuritaires et d'encourager à l'avenir une plus grande coopération pratique et opérationnelle avec l'ASEAN et ses États membres;  </w:t>
      </w:r>
    </w:p>
    <w:p>
      <w:pPr>
        <w:numPr>
          <w:ilvl w:val="0"/>
          <w:numId w:val="5"/>
        </w:numPr>
        <w:spacing w:after="120" w:line="240" w:lineRule="auto"/>
        <w:jc w:val="both"/>
        <w:rPr>
          <w:rFonts w:ascii="Times New Roman" w:hAnsi="Times New Roman"/>
          <w:noProof/>
          <w:sz w:val="24"/>
          <w:szCs w:val="24"/>
        </w:rPr>
      </w:pPr>
      <w:r>
        <w:rPr>
          <w:rFonts w:ascii="Times New Roman" w:hAnsi="Times New Roman"/>
          <w:noProof/>
          <w:sz w:val="24"/>
        </w:rPr>
        <w:t>à améliorer le dialogue et la coopération sur des questions présentant un intérêt commun, telles que la restitution des avoirs pour lutter contre la criminalité organisée, le trafic d'espèces sauvages, les abus sexuels d'enfants, notamment dans le cadre de l'Alliance mondiale contre la pédopornographie sur Internet, en réglant ensemble le problème des pédophiles qui opèrent à l'échelle transnationale; et</w:t>
      </w:r>
    </w:p>
    <w:p>
      <w:pPr>
        <w:numPr>
          <w:ilvl w:val="0"/>
          <w:numId w:val="5"/>
        </w:numPr>
        <w:spacing w:after="120" w:line="240" w:lineRule="auto"/>
        <w:jc w:val="both"/>
        <w:rPr>
          <w:rFonts w:ascii="Times New Roman" w:hAnsi="Times New Roman"/>
          <w:noProof/>
          <w:sz w:val="24"/>
          <w:szCs w:val="24"/>
        </w:rPr>
      </w:pPr>
      <w:r>
        <w:rPr>
          <w:rFonts w:ascii="Times New Roman" w:hAnsi="Times New Roman"/>
          <w:noProof/>
          <w:sz w:val="24"/>
        </w:rPr>
        <w:t>à appuyer les dialogues consacrés aux droits de l'homme, tant au niveau régional que bilatéral.</w:t>
      </w:r>
    </w:p>
    <w:p>
      <w:pPr>
        <w:pStyle w:val="Heading2"/>
        <w:rPr>
          <w:rFonts w:ascii="Times New Roman" w:hAnsi="Times New Roman"/>
          <w:b w:val="0"/>
          <w:noProof/>
        </w:rPr>
      </w:pPr>
      <w:r>
        <w:rPr>
          <w:rFonts w:ascii="Times New Roman" w:hAnsi="Times New Roman"/>
          <w:noProof/>
        </w:rPr>
        <w:t>4.2. Droits de l'homme</w:t>
      </w:r>
    </w:p>
    <w:p>
      <w:pPr>
        <w:spacing w:after="240" w:line="240" w:lineRule="auto"/>
        <w:jc w:val="both"/>
        <w:rPr>
          <w:rFonts w:ascii="Times New Roman" w:hAnsi="Times New Roman"/>
          <w:noProof/>
          <w:sz w:val="24"/>
          <w:szCs w:val="24"/>
        </w:rPr>
      </w:pPr>
      <w:r>
        <w:rPr>
          <w:rFonts w:ascii="Times New Roman" w:hAnsi="Times New Roman"/>
          <w:noProof/>
          <w:sz w:val="24"/>
        </w:rPr>
        <w:t>Dans le cadre des efforts visant à bâtir un partenariat plus mature et plus politique, l'UE aspire également à œuvrer de manière constructive avec l'ASEAN à la promotion et à la protection des normes internationales en matière de droits de l'homme. L'une des grandes priorités de l'UE dans cette optique est l'abolition de la peine de mort dans la région de l'ASEAN. L'UE a donc salué la création, en 2009, de la commission intergouvernementale de l'ASEAN pour les droits de l'homme et l'adoption, en 2012, de la déclaration des droits de l'homme de l'ASEAN.</w:t>
      </w:r>
    </w:p>
    <w:p>
      <w:pPr>
        <w:spacing w:after="0" w:line="240" w:lineRule="auto"/>
        <w:jc w:val="both"/>
        <w:rPr>
          <w:rFonts w:ascii="Times New Roman" w:hAnsi="Times New Roman"/>
          <w:noProof/>
          <w:sz w:val="24"/>
          <w:szCs w:val="24"/>
          <w:u w:val="single"/>
        </w:rPr>
      </w:pPr>
      <w:r>
        <w:rPr>
          <w:rFonts w:ascii="Times New Roman" w:hAnsi="Times New Roman"/>
          <w:noProof/>
          <w:sz w:val="24"/>
          <w:u w:val="single"/>
        </w:rPr>
        <w:t>Les initiatives spécifiques dans ce domaine consisteront notamment:</w:t>
      </w:r>
    </w:p>
    <w:p>
      <w:pPr>
        <w:numPr>
          <w:ilvl w:val="0"/>
          <w:numId w:val="6"/>
        </w:numPr>
        <w:spacing w:after="120" w:line="240" w:lineRule="auto"/>
        <w:jc w:val="both"/>
        <w:rPr>
          <w:rFonts w:ascii="Times New Roman" w:hAnsi="Times New Roman"/>
          <w:noProof/>
          <w:sz w:val="24"/>
          <w:szCs w:val="24"/>
        </w:rPr>
      </w:pPr>
      <w:r>
        <w:rPr>
          <w:rFonts w:ascii="Times New Roman" w:hAnsi="Times New Roman"/>
          <w:noProof/>
          <w:sz w:val="24"/>
        </w:rPr>
        <w:t>à soutenir le mécanisme des droits de l'homme de l'ASEAN à l'occasion des visites de membres de la commission intergouvernementale de l'ASEAN pour les droits de l'homme (comme en 2011, une autre visite étant prévue pour le deuxième semestre 2015) et de la commission de l'ASEAN pour la promotion et la protection des droits des femmes et des enfants, en Europe, en 2013, ainsi que du représentant spécial de l'UE pour les droits de l'homme (après les visites organisées en mai 2013 et en novembre 2014);</w:t>
      </w:r>
    </w:p>
    <w:p>
      <w:pPr>
        <w:numPr>
          <w:ilvl w:val="0"/>
          <w:numId w:val="6"/>
        </w:numPr>
        <w:spacing w:after="120" w:line="240" w:lineRule="auto"/>
        <w:jc w:val="both"/>
        <w:rPr>
          <w:rFonts w:ascii="Times New Roman" w:hAnsi="Times New Roman"/>
          <w:noProof/>
          <w:sz w:val="24"/>
          <w:szCs w:val="24"/>
        </w:rPr>
      </w:pPr>
      <w:r>
        <w:rPr>
          <w:rFonts w:ascii="Times New Roman" w:hAnsi="Times New Roman"/>
          <w:noProof/>
          <w:sz w:val="24"/>
        </w:rPr>
        <w:t>à intensifier le dialogue et la coopération avec la commission intergouvernementale de l'ASEAN pour les droits de l'homme (principal mécanisme en matière de droits de l'homme dans l'ASEAN) sur des sujets tels que les droits des migrants et des victimes de trafics, les entreprises et les droits de l'homme/la responsabilité sociale des entreprises, la torture, les droits des femmes et des enfants, l'égalité hommes-femmes et la lutte contre les discriminations;</w:t>
      </w:r>
    </w:p>
    <w:p>
      <w:pPr>
        <w:numPr>
          <w:ilvl w:val="0"/>
          <w:numId w:val="6"/>
        </w:numPr>
        <w:spacing w:after="120" w:line="240" w:lineRule="auto"/>
        <w:jc w:val="both"/>
        <w:rPr>
          <w:rFonts w:ascii="Times New Roman" w:hAnsi="Times New Roman"/>
          <w:noProof/>
          <w:sz w:val="24"/>
          <w:szCs w:val="24"/>
        </w:rPr>
      </w:pPr>
      <w:r>
        <w:rPr>
          <w:rFonts w:ascii="Times New Roman" w:hAnsi="Times New Roman"/>
          <w:noProof/>
          <w:sz w:val="24"/>
        </w:rPr>
        <w:t>à mettre davantage l'accent sur les droits des minorités et la peine de mort, deux questions primordiales à aborder dans le cadre du dialogue stratégique avec l'ASEAN, ce qui passera notamment par un processus transparent et systématique de consultation et de dialogue avec la société civile et d'autres parties prenantes; et</w:t>
      </w:r>
    </w:p>
    <w:p>
      <w:pPr>
        <w:numPr>
          <w:ilvl w:val="0"/>
          <w:numId w:val="6"/>
        </w:numPr>
        <w:spacing w:after="240" w:line="240" w:lineRule="auto"/>
        <w:jc w:val="both"/>
        <w:rPr>
          <w:rFonts w:ascii="Times New Roman" w:hAnsi="Times New Roman"/>
          <w:noProof/>
          <w:sz w:val="24"/>
          <w:szCs w:val="24"/>
        </w:rPr>
      </w:pPr>
      <w:r>
        <w:rPr>
          <w:rFonts w:ascii="Times New Roman" w:hAnsi="Times New Roman"/>
          <w:noProof/>
          <w:sz w:val="24"/>
        </w:rPr>
        <w:t xml:space="preserve">à soutenir les organisations de la société civile et les acteurs non étatiques dans la région de l'ASEAN, notamment au moyen de programmes spécifiques tels que l'instrument européen pour la démocratie et les droits de l'homme (IEDDH).  </w:t>
      </w:r>
    </w:p>
    <w:p>
      <w:pPr>
        <w:pStyle w:val="Heading1"/>
        <w:rPr>
          <w:rFonts w:ascii="Arial" w:hAnsi="Arial" w:cs="Arial"/>
          <w:noProof/>
          <w:sz w:val="28"/>
          <w:szCs w:val="28"/>
        </w:rPr>
      </w:pPr>
      <w:r>
        <w:rPr>
          <w:rFonts w:ascii="Arial" w:hAnsi="Arial"/>
          <w:noProof/>
          <w:sz w:val="28"/>
        </w:rPr>
        <w:t>5. Vers un partenariat à visée stratégique</w:t>
      </w:r>
    </w:p>
    <w:p>
      <w:pPr>
        <w:spacing w:after="240" w:line="240" w:lineRule="auto"/>
        <w:jc w:val="both"/>
        <w:rPr>
          <w:rFonts w:ascii="Times New Roman" w:hAnsi="Times New Roman"/>
          <w:noProof/>
          <w:sz w:val="24"/>
          <w:szCs w:val="24"/>
        </w:rPr>
      </w:pPr>
      <w:r>
        <w:rPr>
          <w:rFonts w:ascii="Times New Roman" w:hAnsi="Times New Roman"/>
          <w:noProof/>
          <w:sz w:val="24"/>
        </w:rPr>
        <w:t>La priorité immédiate est de définir le contenu essentiel du partenariat, en tenant compte du plan d'action de Brunei et des propositions énoncées dans la présente communication conjointe. Pour l'avenir, les ministres des affaires étrangères de l'UE et de l'ASEAN sont convenus en juillet dernier de faire évoluer la relation entre l'UE et l'ASEAN d'un partenariat «naturel» ou «renforcé» vers un partenariat «stratégique» et ont confié à des hauts fonctionnaires le soin d'élaborer une feuille de route à cette fin</w:t>
      </w:r>
      <w:r>
        <w:rPr>
          <w:rStyle w:val="FootnoteReference"/>
          <w:rFonts w:ascii="Times New Roman" w:hAnsi="Times New Roman"/>
          <w:noProof/>
          <w:sz w:val="24"/>
        </w:rPr>
        <w:footnoteReference w:id="15"/>
      </w:r>
      <w:r>
        <w:rPr>
          <w:rFonts w:ascii="Times New Roman" w:hAnsi="Times New Roman"/>
          <w:noProof/>
          <w:sz w:val="24"/>
        </w:rPr>
        <w:t>.</w:t>
      </w:r>
    </w:p>
    <w:p>
      <w:pPr>
        <w:spacing w:after="120" w:line="240" w:lineRule="auto"/>
        <w:jc w:val="both"/>
        <w:rPr>
          <w:rFonts w:ascii="Times New Roman" w:hAnsi="Times New Roman"/>
          <w:noProof/>
          <w:sz w:val="24"/>
          <w:szCs w:val="24"/>
        </w:rPr>
      </w:pPr>
      <w:r>
        <w:rPr>
          <w:rFonts w:ascii="Times New Roman" w:hAnsi="Times New Roman"/>
          <w:noProof/>
          <w:sz w:val="24"/>
        </w:rPr>
        <w:t>Pour œuvrer à l'avènement d'un partenariat stratégique UE-ASEAN, il y aurait lieu de dépasser l'état d'esprit actuel à prédominance bilatérale et de tendre vers davantage d'engagement à l'égard des grandes questions régionales et internationales. Il est possible d'approfondir considérablement le dialogue et d'aligner dans une large mesure les positions sur les questions de portée mondiale, notamment en ce qui concerne:</w:t>
      </w:r>
    </w:p>
    <w:p>
      <w:pPr>
        <w:numPr>
          <w:ilvl w:val="0"/>
          <w:numId w:val="10"/>
        </w:numPr>
        <w:spacing w:after="120" w:line="240" w:lineRule="auto"/>
        <w:ind w:left="709" w:hanging="289"/>
        <w:jc w:val="both"/>
        <w:rPr>
          <w:rFonts w:ascii="Times New Roman" w:hAnsi="Times New Roman"/>
          <w:noProof/>
          <w:sz w:val="24"/>
          <w:szCs w:val="24"/>
        </w:rPr>
      </w:pPr>
      <w:r>
        <w:rPr>
          <w:rFonts w:ascii="Times New Roman" w:hAnsi="Times New Roman"/>
          <w:noProof/>
          <w:sz w:val="24"/>
        </w:rPr>
        <w:t>le changement climatique;</w:t>
      </w:r>
    </w:p>
    <w:p>
      <w:pPr>
        <w:numPr>
          <w:ilvl w:val="0"/>
          <w:numId w:val="10"/>
        </w:numPr>
        <w:spacing w:after="120" w:line="240" w:lineRule="auto"/>
        <w:ind w:left="709" w:hanging="289"/>
        <w:jc w:val="both"/>
        <w:rPr>
          <w:rFonts w:ascii="Times New Roman" w:hAnsi="Times New Roman"/>
          <w:noProof/>
          <w:sz w:val="24"/>
          <w:szCs w:val="24"/>
        </w:rPr>
      </w:pPr>
      <w:r>
        <w:rPr>
          <w:rFonts w:ascii="Times New Roman" w:hAnsi="Times New Roman"/>
          <w:noProof/>
          <w:sz w:val="24"/>
        </w:rPr>
        <w:t>la réduction des risques de catastrophes et le renforcement de la résilience;</w:t>
      </w:r>
    </w:p>
    <w:p>
      <w:pPr>
        <w:numPr>
          <w:ilvl w:val="0"/>
          <w:numId w:val="10"/>
        </w:numPr>
        <w:spacing w:after="120" w:line="240" w:lineRule="auto"/>
        <w:ind w:left="709" w:hanging="289"/>
        <w:jc w:val="both"/>
        <w:rPr>
          <w:rFonts w:ascii="Times New Roman" w:hAnsi="Times New Roman"/>
          <w:noProof/>
          <w:sz w:val="24"/>
          <w:szCs w:val="24"/>
        </w:rPr>
      </w:pPr>
      <w:r>
        <w:rPr>
          <w:rFonts w:ascii="Times New Roman" w:hAnsi="Times New Roman"/>
          <w:noProof/>
          <w:sz w:val="24"/>
        </w:rPr>
        <w:t>les objectifs de développement durable pour l'après-2015, dont l'éradication de la pauvreté;</w:t>
      </w:r>
    </w:p>
    <w:p>
      <w:pPr>
        <w:numPr>
          <w:ilvl w:val="0"/>
          <w:numId w:val="10"/>
        </w:numPr>
        <w:spacing w:after="120" w:line="240" w:lineRule="auto"/>
        <w:ind w:left="709" w:hanging="289"/>
        <w:jc w:val="both"/>
        <w:rPr>
          <w:rFonts w:ascii="Times New Roman" w:hAnsi="Times New Roman"/>
          <w:noProof/>
          <w:sz w:val="24"/>
          <w:szCs w:val="24"/>
        </w:rPr>
      </w:pPr>
      <w:r>
        <w:rPr>
          <w:rFonts w:ascii="Times New Roman" w:hAnsi="Times New Roman"/>
          <w:noProof/>
          <w:sz w:val="24"/>
        </w:rPr>
        <w:t>les pandémies; et</w:t>
      </w:r>
    </w:p>
    <w:p>
      <w:pPr>
        <w:numPr>
          <w:ilvl w:val="0"/>
          <w:numId w:val="10"/>
        </w:numPr>
        <w:spacing w:after="240" w:line="240" w:lineRule="auto"/>
        <w:ind w:left="709" w:hanging="289"/>
        <w:jc w:val="both"/>
        <w:rPr>
          <w:rFonts w:ascii="Times New Roman" w:hAnsi="Times New Roman"/>
          <w:noProof/>
          <w:sz w:val="24"/>
          <w:szCs w:val="24"/>
        </w:rPr>
      </w:pPr>
      <w:r>
        <w:rPr>
          <w:rFonts w:ascii="Times New Roman" w:hAnsi="Times New Roman"/>
          <w:noProof/>
          <w:sz w:val="24"/>
        </w:rPr>
        <w:t xml:space="preserve">la lutte contre le terrorisme, la radicalisation et les combattants étrangers. </w:t>
      </w:r>
    </w:p>
    <w:p>
      <w:pPr>
        <w:spacing w:after="240" w:line="240" w:lineRule="auto"/>
        <w:jc w:val="both"/>
        <w:rPr>
          <w:rFonts w:ascii="Times New Roman" w:hAnsi="Times New Roman"/>
          <w:noProof/>
          <w:sz w:val="24"/>
          <w:szCs w:val="24"/>
        </w:rPr>
      </w:pPr>
      <w:r>
        <w:rPr>
          <w:rFonts w:ascii="Times New Roman" w:hAnsi="Times New Roman"/>
          <w:noProof/>
          <w:sz w:val="24"/>
        </w:rPr>
        <w:t>Qui plus est, les conflits régionaux comme celui qui touche l'Ukraine, les tensions en mer de Chine méridionale et le problème du nucléaire iranien et nord-coréen ont tous trait, en substance, aux principes de sécurité fondamentaux et à la manière de garantir le respect du droit international. Partisans convaincus d'un multilatéralisme efficace fondé sur des règles, l'UE et l'ASEAN ont un intérêt légitime à élargir leur coopération sur ces questions régionales de portée mondiale. Le fait d'approfondir la coopération dans les différents secteurs concernés renforcera les raisons qui plaident en faveur d'une transition vers un partenariat stratégique officiel qui nécessitera un engagement politique et des ressources de part et d'autre. L'UE est disposée à jouer son rôle en renforçant sensiblement ses relations avec l'ASEAN et est résolue, notamment:</w:t>
      </w:r>
    </w:p>
    <w:p>
      <w:pPr>
        <w:numPr>
          <w:ilvl w:val="0"/>
          <w:numId w:val="7"/>
        </w:numPr>
        <w:spacing w:after="120" w:line="240" w:lineRule="auto"/>
        <w:jc w:val="both"/>
        <w:rPr>
          <w:rFonts w:ascii="Times New Roman" w:hAnsi="Times New Roman"/>
          <w:noProof/>
          <w:sz w:val="24"/>
          <w:szCs w:val="24"/>
        </w:rPr>
      </w:pPr>
      <w:r>
        <w:rPr>
          <w:rFonts w:ascii="Times New Roman" w:hAnsi="Times New Roman"/>
          <w:noProof/>
          <w:sz w:val="24"/>
        </w:rPr>
        <w:t>à entreprendre une évaluation conjointe des chances de réussite des négociations d'un ALE entre les deux régions;</w:t>
      </w:r>
    </w:p>
    <w:p>
      <w:pPr>
        <w:numPr>
          <w:ilvl w:val="0"/>
          <w:numId w:val="7"/>
        </w:numPr>
        <w:spacing w:after="120" w:line="240" w:lineRule="auto"/>
        <w:jc w:val="both"/>
        <w:rPr>
          <w:rFonts w:ascii="Times New Roman" w:hAnsi="Times New Roman"/>
          <w:noProof/>
          <w:sz w:val="24"/>
          <w:szCs w:val="24"/>
        </w:rPr>
      </w:pPr>
      <w:r>
        <w:rPr>
          <w:rFonts w:ascii="Times New Roman" w:hAnsi="Times New Roman"/>
          <w:noProof/>
          <w:sz w:val="24"/>
        </w:rPr>
        <w:t>à négocier un accord dans le domaine de l'aviation civile;</w:t>
      </w:r>
    </w:p>
    <w:p>
      <w:pPr>
        <w:numPr>
          <w:ilvl w:val="0"/>
          <w:numId w:val="7"/>
        </w:numPr>
        <w:spacing w:after="120" w:line="240" w:lineRule="auto"/>
        <w:jc w:val="both"/>
        <w:rPr>
          <w:rFonts w:ascii="Times New Roman" w:hAnsi="Times New Roman"/>
          <w:noProof/>
          <w:sz w:val="24"/>
          <w:szCs w:val="24"/>
        </w:rPr>
      </w:pPr>
      <w:r>
        <w:rPr>
          <w:rFonts w:ascii="Times New Roman" w:hAnsi="Times New Roman"/>
          <w:noProof/>
          <w:sz w:val="24"/>
        </w:rPr>
        <w:t>à engager un dialogue stratégique UE-ASEAN sur l'environnement et le développement durable et à renforcer le dialogue en matière de recherche et d'innovation;</w:t>
      </w:r>
    </w:p>
    <w:p>
      <w:pPr>
        <w:numPr>
          <w:ilvl w:val="0"/>
          <w:numId w:val="7"/>
        </w:numPr>
        <w:spacing w:after="240" w:line="240" w:lineRule="auto"/>
        <w:jc w:val="both"/>
        <w:rPr>
          <w:rFonts w:ascii="Times New Roman" w:hAnsi="Times New Roman"/>
          <w:noProof/>
          <w:sz w:val="24"/>
          <w:szCs w:val="24"/>
        </w:rPr>
      </w:pPr>
      <w:r>
        <w:rPr>
          <w:rFonts w:ascii="Times New Roman" w:hAnsi="Times New Roman"/>
          <w:noProof/>
          <w:sz w:val="24"/>
        </w:rPr>
        <w:t xml:space="preserve">à poursuivre le dialogue et la coopération sur les questions de migrations et de mobilité; </w:t>
      </w:r>
    </w:p>
    <w:p>
      <w:pPr>
        <w:numPr>
          <w:ilvl w:val="0"/>
          <w:numId w:val="7"/>
        </w:numPr>
        <w:spacing w:after="120" w:line="240" w:lineRule="auto"/>
        <w:ind w:left="714" w:hanging="357"/>
        <w:jc w:val="both"/>
        <w:rPr>
          <w:rFonts w:ascii="Times New Roman" w:hAnsi="Times New Roman"/>
          <w:noProof/>
          <w:sz w:val="24"/>
          <w:szCs w:val="24"/>
        </w:rPr>
      </w:pPr>
      <w:r>
        <w:rPr>
          <w:rFonts w:ascii="Times New Roman" w:hAnsi="Times New Roman"/>
          <w:noProof/>
          <w:sz w:val="24"/>
        </w:rPr>
        <w:t xml:space="preserve">à renforcer son appui financier à la coopération régionale avec l'ASEAN et à la coopération au développement avec les États membres de l'ASEAN les moins avancés (Cambodge, RDP lao, Myanmar/Birmanie, Viêt Nam et Philippines), en lui faisant franchir la barre des 2 000 000 000 EUR pour la période 2014-2020;   </w:t>
      </w:r>
    </w:p>
    <w:p>
      <w:pPr>
        <w:numPr>
          <w:ilvl w:val="0"/>
          <w:numId w:val="7"/>
        </w:numPr>
        <w:spacing w:after="120" w:line="240" w:lineRule="auto"/>
        <w:jc w:val="both"/>
        <w:rPr>
          <w:rFonts w:ascii="Times New Roman" w:hAnsi="Times New Roman"/>
          <w:noProof/>
          <w:sz w:val="24"/>
          <w:szCs w:val="24"/>
        </w:rPr>
      </w:pPr>
      <w:r>
        <w:rPr>
          <w:rFonts w:ascii="Times New Roman" w:hAnsi="Times New Roman"/>
          <w:noProof/>
          <w:sz w:val="24"/>
        </w:rPr>
        <w:t>à mettre en œuvre toute une série d'initiatives nouvelles concernant des questions de sécurité non traditionnelles (sécurité maritime, secours en cas de catastrophes, criminalité transnationale, formations diverses ayant trait à la diplomatie préventive, à la gestion des crises, à la médiation, à l'État de droit et à l'observation électorale); et</w:t>
      </w:r>
    </w:p>
    <w:p>
      <w:pPr>
        <w:numPr>
          <w:ilvl w:val="0"/>
          <w:numId w:val="7"/>
        </w:numPr>
        <w:spacing w:after="240" w:line="240" w:lineRule="auto"/>
        <w:ind w:left="714" w:hanging="357"/>
        <w:jc w:val="both"/>
        <w:rPr>
          <w:rFonts w:ascii="Times New Roman" w:hAnsi="Times New Roman"/>
          <w:noProof/>
          <w:sz w:val="24"/>
          <w:szCs w:val="24"/>
        </w:rPr>
      </w:pPr>
      <w:r>
        <w:rPr>
          <w:rFonts w:ascii="Times New Roman" w:hAnsi="Times New Roman"/>
          <w:noProof/>
          <w:sz w:val="24"/>
        </w:rPr>
        <w:t>à nommer un ambassadeur résident de l'UE auprès de l'ASEAN.</w:t>
      </w:r>
    </w:p>
    <w:p>
      <w:pPr>
        <w:spacing w:after="240" w:line="240" w:lineRule="auto"/>
        <w:jc w:val="both"/>
        <w:rPr>
          <w:rFonts w:ascii="Times New Roman" w:hAnsi="Times New Roman"/>
          <w:noProof/>
          <w:sz w:val="24"/>
          <w:szCs w:val="24"/>
        </w:rPr>
      </w:pPr>
      <w:r>
        <w:rPr>
          <w:rFonts w:ascii="Times New Roman" w:hAnsi="Times New Roman"/>
          <w:noProof/>
          <w:sz w:val="24"/>
        </w:rPr>
        <w:t>La réunion informelle des dirigeants, qui s'est tenue à Milan en octobre 2014 et a été couronnée de succès, mériterait d'être répétée à l'avenir sur une base régulière. Au niveau des ministres des affaires étrangères, en plus de la réunion ministérielle bisanuelle UE-ASEAN, qui a trouvé son rythme de croisière, et de la conférence post-ministérielle (CPM) UE-ASEAN en marge du FRA, la HR/VP et les ministres des affaires étrangères de l'ASEAN pourraient se rencontrer à l'occasion de l'ouverture de l'Assemblée générale des Nations unies. Des réunions sectorielles au niveau ministériel, même à caractère informel, pourraient aussi contribuer à approfondir le programme bilatéral dans nombre de domaines couverts par la présente communication. L'UE encouragera autant que faire se peut la tenue de telles réunions, y compris en marge des réunions ministérielles de la rencontre Asie-Europe (ASEM) et du sommet de l'ASEM.</w:t>
      </w:r>
    </w:p>
    <w:p>
      <w:pPr>
        <w:spacing w:after="240" w:line="240" w:lineRule="auto"/>
        <w:jc w:val="both"/>
        <w:rPr>
          <w:rFonts w:ascii="Times New Roman" w:hAnsi="Times New Roman"/>
          <w:noProof/>
          <w:sz w:val="24"/>
          <w:szCs w:val="24"/>
        </w:rPr>
      </w:pPr>
      <w:r>
        <w:rPr>
          <w:rFonts w:ascii="Times New Roman" w:hAnsi="Times New Roman"/>
          <w:noProof/>
          <w:sz w:val="24"/>
        </w:rPr>
        <w:t>Elle continuera également à promouvoir la dimension parlementaire des relations entre l'UE et l'ASEAN, en soutenant notamment des échanges mieux structurés entre le Parlement européen et l'Assemblée interparlementaire de l'ASEAN (AIPA), ainsi que proposé dans la résolution du Parlement européen sur l'avenir des relations UE-ASEAN adoptée le 15 janvier 2014</w:t>
      </w:r>
      <w:r>
        <w:rPr>
          <w:rStyle w:val="FootnoteReference"/>
          <w:rFonts w:ascii="Times New Roman" w:hAnsi="Times New Roman"/>
          <w:noProof/>
          <w:sz w:val="24"/>
        </w:rPr>
        <w:footnoteReference w:id="16"/>
      </w:r>
      <w:r>
        <w:rPr>
          <w:rFonts w:ascii="Times New Roman" w:hAnsi="Times New Roman"/>
          <w:noProof/>
          <w:sz w:val="24"/>
        </w:rPr>
        <w:t>.</w:t>
      </w:r>
    </w:p>
    <w:p>
      <w:pPr>
        <w:spacing w:after="240" w:line="240" w:lineRule="auto"/>
        <w:jc w:val="both"/>
        <w:rPr>
          <w:rFonts w:ascii="Times New Roman" w:hAnsi="Times New Roman"/>
          <w:noProof/>
          <w:sz w:val="24"/>
          <w:szCs w:val="24"/>
        </w:rPr>
      </w:pPr>
      <w:r>
        <w:rPr>
          <w:rFonts w:ascii="Times New Roman" w:hAnsi="Times New Roman"/>
          <w:noProof/>
          <w:sz w:val="24"/>
        </w:rPr>
        <w:t>La présente communication conjointe met en avant des idées concrètes pour faire progresser les relations UE-ASEAN en fournissant un cadre de coopération sectorielle plus cohérent et en accordant une importance accrue aux aspects politiques. Les deux parties ont tout intérêt à saisir l'occasion qui s'offre à elles. Cette communication servira aussi de toile de fond à la révision du sommet de l'Asie de l'Est par l'ASEAN, y compris de son fonctionnement et des adhésions futures. L'UE dispose de beaucoup d'atouts pour contribuer aux travaux pratiques du sommet de l'Asie de l'Est et donner suite, ainsi, aux appels de l'ASEAN en faveur d'un plus grand engagement de sa part. La transition vers un partenariat stratégique UE-ASEAN devrait aller de pair avec la présence de l'UE à la table des discussions stratégiques de la région.</w:t>
      </w:r>
    </w:p>
    <w:p>
      <w:pPr>
        <w:spacing w:after="240" w:line="240" w:lineRule="auto"/>
        <w:jc w:val="both"/>
        <w:rPr>
          <w:rFonts w:ascii="Times New Roman" w:hAnsi="Times New Roman"/>
          <w:noProof/>
          <w:sz w:val="24"/>
          <w:szCs w:val="24"/>
        </w:rPr>
      </w:pPr>
      <w:r>
        <w:rPr>
          <w:rFonts w:ascii="Times New Roman" w:hAnsi="Times New Roman"/>
          <w:noProof/>
          <w:sz w:val="24"/>
        </w:rPr>
        <w:t>La haute représentante et la Commission demandent au Conseil et au Parlement européen de souscrire aux idées présentées dans la présente communication conjointe et d'œuvrer de concert à la formation d'un partenariat UE-ASEAN moderne à visée stratégique.</w:t>
      </w:r>
    </w:p>
    <w:sectPr>
      <w:headerReference w:type="even" r:id="rId16"/>
      <w:headerReference w:type="default" r:id="rId17"/>
      <w:footerReference w:type="even" r:id="rId18"/>
      <w:footerReference w:type="default" r:id="rId19"/>
      <w:headerReference w:type="first" r:id="rId20"/>
      <w:footerReference w:type="first" r:id="rId21"/>
      <w:pgSz w:w="12240" w:h="15840"/>
      <w:pgMar w:top="1417" w:right="1417" w:bottom="1417" w:left="1417" w:header="708" w:footer="12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 PAGE   \* MERGEFORMAT </w:instrText>
    </w:r>
    <w:r>
      <w:rPr>
        <w:rFonts w:ascii="Times New Roman" w:hAnsi="Times New Roman"/>
        <w:sz w:val="20"/>
        <w:szCs w:val="20"/>
      </w:rPr>
      <w:fldChar w:fldCharType="separate"/>
    </w:r>
    <w:r>
      <w:rPr>
        <w:rFonts w:ascii="Times New Roman" w:hAnsi="Times New Roman"/>
        <w:noProof/>
        <w:sz w:val="20"/>
        <w:szCs w:val="20"/>
      </w:rPr>
      <w:t>18</w:t>
    </w:r>
    <w:r>
      <w:rPr>
        <w:rFonts w:ascii="Times New Roman" w:hAnsi="Times New Roman"/>
        <w:sz w:val="20"/>
        <w:szCs w:val="20"/>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Les États membres de l'ASEAN sont: le Brunei Darussalam, le Cambodge, l'Indonésie, la République démocratique populaire lao, la Malaisie, le Myanmar/la Birmanie, les Philippines, Singapour, la Thaïlande et le Viêt Nam.</w:t>
      </w:r>
    </w:p>
  </w:footnote>
  <w:footnote w:id="2">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Plan d'action de Bandar Seri Begawan visant à consolider le partenariat renforcé ASEAN-UE (2013-2017)</w:t>
      </w:r>
      <w:r>
        <w:rPr>
          <w:rFonts w:ascii="Times New Roman" w:hAnsi="Times New Roman"/>
        </w:rPr>
        <w:t xml:space="preserve">, </w:t>
      </w:r>
      <w:hyperlink r:id="rId1">
        <w:r>
          <w:rPr>
            <w:rStyle w:val="Hyperlink"/>
            <w:rFonts w:ascii="Times New Roman" w:hAnsi="Times New Roman"/>
          </w:rPr>
          <w:t>http://eeas.europa.eu/asean/docs/plan_of_action_en.pdf</w:t>
        </w:r>
      </w:hyperlink>
      <w:r>
        <w:rPr>
          <w:rFonts w:ascii="Times New Roman" w:hAnsi="Times New Roman"/>
        </w:rPr>
        <w:t>.</w:t>
      </w:r>
    </w:p>
  </w:footnote>
  <w:footnote w:id="3">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2">
        <w:r>
          <w:rPr>
            <w:rStyle w:val="Hyperlink"/>
            <w:rFonts w:ascii="Times New Roman" w:hAnsi="Times New Roman"/>
          </w:rPr>
          <w:t>http://www.asean.org/resources/publications/asean-publications/item/master-plan-on-asean-connectivity-2</w:t>
        </w:r>
      </w:hyperlink>
      <w:r>
        <w:rPr>
          <w:rFonts w:ascii="Times New Roman" w:hAnsi="Times New Roman"/>
        </w:rPr>
        <w:t>.</w:t>
      </w:r>
    </w:p>
  </w:footnote>
  <w:footnote w:id="4">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Banque mondiale (2013).</w:t>
      </w:r>
    </w:p>
  </w:footnote>
  <w:footnote w:id="5">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Parmi les programmes spécifiques de l'UE financés dans le cadre du programme de l'instrument de financement de la coopération au développement (ICD) de l'UE figurent notamment le projet d'intégration du transport aérien ASEAN (PITAA), le programme UE-ASEAN de suivi des statistiques et de l'intégration (COMPASS), le programme de soutien de l'UE à l'enseignement supérieur dans la région de l'ASEAN (UE-SHARE), le programme UE-ASEAN de gestion des frontières et de migration et l’initiative de dialogue régional UE-ASEAN renforcé (E-READI).</w:t>
      </w:r>
    </w:p>
  </w:footnote>
  <w:footnote w:id="6">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Selon </w:t>
      </w:r>
      <w:r>
        <w:rPr>
          <w:rFonts w:ascii="Times New Roman" w:hAnsi="Times New Roman"/>
          <w:i/>
        </w:rPr>
        <w:t>Eurochambres</w:t>
      </w:r>
      <w:r>
        <w:rPr>
          <w:rFonts w:ascii="Times New Roman" w:hAnsi="Times New Roman"/>
        </w:rPr>
        <w:t>, seules 13 % des PME de l'UE exercent des activités internationales hors des frontières de l'Union et environ 9,7 % des PME de l'industrie manufacturière exportent des marchandises vers des pays situés à l'extérieur de l'UE. Dans les cinq prochaines années, 90 % de la croissance mondiale devrait être réalisée en dehors de l'Europe.</w:t>
      </w:r>
    </w:p>
  </w:footnote>
  <w:footnote w:id="7">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les communications COM(2013) 542 et COM(2014) 387 de la Commission. Des événements de mise en relation d'entreprises peuvent être organisés au moyen du programme COSME de l’Union européenne pour la compétitivité des entreprises et des petites et moyennes entreprises.</w:t>
      </w:r>
    </w:p>
  </w:footnote>
  <w:footnote w:id="8">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COM(2012) 556 final.</w:t>
      </w:r>
    </w:p>
  </w:footnote>
  <w:footnote w:id="9">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Outre Horizon 2020, les instruments qui peuvent être utilisés sont le dialogue UE-ASEAN en matière de recherche et d'innovation, déjà mentionné, et le futur plan d'action de l'ASEAN pour la science, la technologie et l'innovation (APASTI, 2015-2020).</w:t>
      </w:r>
    </w:p>
  </w:footnote>
  <w:footnote w:id="10">
    <w:p>
      <w:pPr>
        <w:pStyle w:val="FootnoteText"/>
      </w:pPr>
      <w:r>
        <w:rPr>
          <w:rStyle w:val="FootnoteReference"/>
        </w:rPr>
        <w:footnoteRef/>
      </w:r>
      <w:r>
        <w:t xml:space="preserve"> </w:t>
      </w:r>
      <w:r>
        <w:rPr>
          <w:rFonts w:ascii="Times New Roman" w:hAnsi="Times New Roman"/>
          <w:sz w:val="18"/>
        </w:rPr>
        <w:t>http://www.wcdrr.org/uploads/Sendai_Framework_for_Disaster_Risk_Reduction_2015-2030.pdf</w:t>
      </w:r>
    </w:p>
  </w:footnote>
  <w:footnote w:id="11">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Un accord de partenariat volontaire (APV) est un accord commercial juridiquement contraignant passé entre l'Union européenne et un pays producteur de bois non membre de l'UE. L'APV a pour objet de garantir que le bois et ses produits exportés vers l'UE proviennent de sources légales. Un APV entre l'UE et l'Indonésie a été conclu en 2014. Des négociations portant sur des APV sont en cours avec le Laos, la Malaisie, la Thaïlande et le Viêt Nam. Le Cambodge et le Myanmar/la Birmanie sont entrés dans une phase de préparation. Un dialogue FLEGT avec les Philippines est en cours.</w:t>
      </w:r>
    </w:p>
  </w:footnote>
  <w:footnote w:id="12">
    <w:p>
      <w:pPr>
        <w:pStyle w:val="FootnoteText"/>
        <w:spacing w:after="120"/>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3">
        <w:r>
          <w:rPr>
            <w:rStyle w:val="Hyperlink"/>
            <w:rFonts w:ascii="Times New Roman" w:hAnsi="Times New Roman"/>
          </w:rPr>
          <w:t>http://www.switch-asia.eu/</w:t>
        </w:r>
      </w:hyperlink>
      <w:r>
        <w:rPr>
          <w:rFonts w:ascii="Times New Roman" w:hAnsi="Times New Roman"/>
        </w:rPr>
        <w:t xml:space="preserve"> </w:t>
      </w:r>
    </w:p>
  </w:footnote>
  <w:footnote w:id="13">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Un deuxième séminaire devrait être organisé au deuxième semestre 2015.</w:t>
      </w:r>
    </w:p>
  </w:footnote>
  <w:footnote w:id="14">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4">
        <w:r>
          <w:rPr>
            <w:rStyle w:val="Hyperlink"/>
            <w:rFonts w:ascii="Times New Roman" w:hAnsi="Times New Roman"/>
          </w:rPr>
          <w:t>http://register.consilium.europa.eu/doc/srv?l=FR&amp;f=ST 11205 2014 INIT</w:t>
        </w:r>
      </w:hyperlink>
      <w:r>
        <w:rPr>
          <w:rFonts w:ascii="Times New Roman" w:hAnsi="Times New Roman"/>
        </w:rPr>
        <w:t>.</w:t>
      </w:r>
    </w:p>
  </w:footnote>
  <w:footnote w:id="15">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Pour la déclaration des coprésidents, voir: </w:t>
      </w:r>
      <w:hyperlink r:id="rId5">
        <w:r>
          <w:rPr>
            <w:rStyle w:val="Hyperlink"/>
            <w:rFonts w:ascii="Times New Roman" w:hAnsi="Times New Roman"/>
          </w:rPr>
          <w:t>http://eeas.europa.eu/statements/docs/2014/140723_03_en.pdf</w:t>
        </w:r>
      </w:hyperlink>
      <w:r>
        <w:rPr>
          <w:rFonts w:ascii="Times New Roman" w:hAnsi="Times New Roman"/>
        </w:rPr>
        <w:t>.</w:t>
      </w:r>
    </w:p>
  </w:footnote>
  <w:footnote w:id="16">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http://www.europarl.europa.eu/sides/getDoc.do?pubRef=-//EP//TEXT+TA+P7-TA-2014-0022+0+DOC+XML+V0//FR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75F9B"/>
    <w:multiLevelType w:val="hybridMultilevel"/>
    <w:tmpl w:val="01D494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B6B3F47"/>
    <w:multiLevelType w:val="hybridMultilevel"/>
    <w:tmpl w:val="933837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C891BBE"/>
    <w:multiLevelType w:val="hybridMultilevel"/>
    <w:tmpl w:val="FE62AE62"/>
    <w:lvl w:ilvl="0" w:tplc="3DF2C3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0107EA"/>
    <w:multiLevelType w:val="hybridMultilevel"/>
    <w:tmpl w:val="CBD2C0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2AE567F"/>
    <w:multiLevelType w:val="hybridMultilevel"/>
    <w:tmpl w:val="05B8C1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48B454F"/>
    <w:multiLevelType w:val="hybridMultilevel"/>
    <w:tmpl w:val="3BAEF5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ACA07EE"/>
    <w:multiLevelType w:val="hybridMultilevel"/>
    <w:tmpl w:val="AE8E0C62"/>
    <w:lvl w:ilvl="0" w:tplc="3DF2C38E">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nsid w:val="4B3D3366"/>
    <w:multiLevelType w:val="hybridMultilevel"/>
    <w:tmpl w:val="1540A1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71C557DF"/>
    <w:multiLevelType w:val="hybridMultilevel"/>
    <w:tmpl w:val="036ED4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737F24AF"/>
    <w:multiLevelType w:val="hybridMultilevel"/>
    <w:tmpl w:val="A210E3BA"/>
    <w:lvl w:ilvl="0" w:tplc="12746372">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0">
    <w:nsid w:val="78616EB7"/>
    <w:multiLevelType w:val="hybridMultilevel"/>
    <w:tmpl w:val="6700F286"/>
    <w:lvl w:ilvl="0" w:tplc="3DF2C38E">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5"/>
  </w:num>
  <w:num w:numId="6">
    <w:abstractNumId w:val="4"/>
  </w:num>
  <w:num w:numId="7">
    <w:abstractNumId w:val="0"/>
  </w:num>
  <w:num w:numId="8">
    <w:abstractNumId w:val="0"/>
  </w:num>
  <w:num w:numId="9">
    <w:abstractNumId w:val="6"/>
  </w:num>
  <w:num w:numId="10">
    <w:abstractNumId w:val="10"/>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oNotTrackMoves/>
  <w:defaultTabStop w:val="720"/>
  <w:hyphenationZone w:val="425"/>
  <w:characterSpacingControl w:val="doNotCompress"/>
  <w:hdrShapeDefaults>
    <o:shapedefaults v:ext="edit" spidmax="716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A52564DC799D4E5798285F0880D33E0A"/>
    <w:docVar w:name="LW_CROSSREFERENCE" w:val="&lt;UNUSED&gt;"/>
    <w:docVar w:name="LW_DocType" w:val="NORMAL"/>
    <w:docVar w:name="LW_EMISSION" w:val="18.5.2015"/>
    <w:docVar w:name="LW_EMISSION_ISODATE" w:val="2015-05-18"/>
    <w:docVar w:name="LW_EMISSION_LOCATION" w:val="BRX"/>
    <w:docVar w:name="LW_EMISSION_PREFIX" w:val="Bruxelles, le "/>
    <w:docVar w:name="LW_EMISSION_SUFFIX" w:val=" "/>
    <w:docVar w:name="LW_ID_DOCTYPE_NONLW" w:val="CP-015"/>
    <w:docVar w:name="LW_LANGUE" w:val="FR"/>
    <w:docVar w:name="LW_MARKING" w:val="&lt;UNUSED&gt;"/>
    <w:docVar w:name="LW_NOM.INST" w:val="COMMISSION EUROPÉENNE"/>
    <w:docVar w:name="LW_NOM.INST_JOINTDOC" w:val="LA HAUTE REPRÉSENTANTE DE_x000b_L'UNION POUR LES AFFAIRES_x000b_ÉTRANGÈRES ET LA_x000b_POLITIQUE DE SÉCURITÉ "/>
    <w:docVar w:name="LW_PART_NBR" w:val="1"/>
    <w:docVar w:name="LW_PART_NBR_TOTAL" w:val="1"/>
    <w:docVar w:name="LW_REF.INST.NEW" w:val="JOIN"/>
    <w:docVar w:name="LW_REF.INST.NEW_ADOPTED" w:val="final"/>
    <w:docVar w:name="LW_REF.INST.NEW_TEXT" w:val="(2015) 22"/>
    <w:docVar w:name="LW_REF.INTERNE" w:val="&lt;UNUSED&gt;"/>
    <w:docVar w:name="LW_SOUS.TITRE.OBJ.CP" w:val="&lt;UNUSED&gt;"/>
    <w:docVar w:name="LW_SUPERTITRE" w:val="&lt;UNUSED&gt;"/>
    <w:docVar w:name="LW_TITRE.OBJ.CP" w:val="L'UE et l'ASEAN: un partenariat à visée stratégique"/>
    <w:docVar w:name="LW_TYPE.DOC.CP" w:val="COMMUNICATION CONJOINTE AU PARLEMENT EUROPÉEN ET AU CONSEIL"/>
    <w:docVar w:name="LW_TYPE.DOC.CP.USERTEXT" w:val="&lt;EMPTY&gt;"/>
    <w:docVar w:name="Stamp" w:val="\\dossiers.dgt.cec.eu.int\dossiers\EEAS\EEAS-2015-00050\EEAS-2015-00050-00-00-EN-REV-00.DOC"/>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703"/>
        <w:tab w:val="right" w:pos="9406"/>
      </w:tabs>
    </w:pPr>
  </w:style>
  <w:style w:type="character" w:customStyle="1" w:styleId="HeaderChar">
    <w:name w:val="Header Char"/>
    <w:link w:val="Header"/>
    <w:uiPriority w:val="99"/>
    <w:rPr>
      <w:sz w:val="22"/>
      <w:szCs w:val="22"/>
      <w:lang w:eastAsia="fr-FR"/>
    </w:rPr>
  </w:style>
  <w:style w:type="paragraph" w:styleId="Footer">
    <w:name w:val="footer"/>
    <w:basedOn w:val="Normal"/>
    <w:link w:val="FooterChar"/>
    <w:uiPriority w:val="99"/>
    <w:unhideWhenUsed/>
    <w:pPr>
      <w:tabs>
        <w:tab w:val="center" w:pos="4703"/>
        <w:tab w:val="right" w:pos="9406"/>
      </w:tabs>
    </w:pPr>
  </w:style>
  <w:style w:type="character" w:customStyle="1" w:styleId="FooterChar">
    <w:name w:val="Footer Char"/>
    <w:link w:val="Footer"/>
    <w:uiPriority w:val="99"/>
    <w:rPr>
      <w:sz w:val="22"/>
      <w:szCs w:val="22"/>
      <w:lang w:eastAsia="fr-FR"/>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b/>
      <w:bCs/>
      <w:kern w:val="28"/>
      <w:sz w:val="32"/>
      <w:szCs w:val="32"/>
      <w:lang w:eastAsia="fr-FR"/>
    </w:rPr>
  </w:style>
  <w:style w:type="character" w:customStyle="1" w:styleId="Heading1Char">
    <w:name w:val="Heading 1 Char"/>
    <w:link w:val="Heading1"/>
    <w:uiPriority w:val="9"/>
    <w:rPr>
      <w:rFonts w:ascii="Cambria" w:eastAsia="Times New Roman" w:hAnsi="Cambria"/>
      <w:b/>
      <w:bCs/>
      <w:kern w:val="32"/>
      <w:sz w:val="32"/>
      <w:szCs w:val="32"/>
      <w:lang w:eastAsia="fr-FR"/>
    </w:rPr>
  </w:style>
  <w:style w:type="character" w:customStyle="1" w:styleId="Heading2Char">
    <w:name w:val="Heading 2 Char"/>
    <w:link w:val="Heading2"/>
    <w:uiPriority w:val="9"/>
    <w:semiHidden/>
    <w:rPr>
      <w:rFonts w:ascii="Cambria" w:eastAsia="Times New Roman" w:hAnsi="Cambria"/>
      <w:b/>
      <w:bCs/>
      <w:i/>
      <w:iCs/>
      <w:sz w:val="28"/>
      <w:szCs w:val="28"/>
      <w:lang w:eastAsia="fr-FR"/>
    </w:rPr>
  </w:style>
  <w:style w:type="character" w:styleId="Hyperlink">
    <w:name w:val="Hyperlink"/>
    <w:uiPriority w:val="99"/>
    <w:unhideWhenUsed/>
    <w:rPr>
      <w:color w:val="0000FF"/>
      <w:u w:val="single"/>
    </w:rPr>
  </w:style>
  <w:style w:type="paragraph" w:styleId="FootnoteText">
    <w:name w:val="footnote text"/>
    <w:aliases w:val="Char Char1,Char Char3"/>
    <w:basedOn w:val="Normal"/>
    <w:unhideWhenUsed/>
    <w:rPr>
      <w:sz w:val="20"/>
      <w:szCs w:val="20"/>
    </w:rPr>
  </w:style>
  <w:style w:type="character" w:customStyle="1" w:styleId="FootnoteTextChar">
    <w:name w:val="Footnote Text Char"/>
    <w:aliases w:val="Char Char1 Char1,Char Char3 Char1"/>
    <w:rPr>
      <w:lang w:eastAsia="fr-FR"/>
    </w:rPr>
  </w:style>
  <w:style w:type="character" w:styleId="FootnoteReference">
    <w:name w:val="footnote reference"/>
    <w:aliases w:val="ftref,16 Point,Superscript 6 Point,E FNZ,-E Fußnotenzeichen,Footnote#,SUPERS,Footnote,Footnote number,Footnote symbol,Footnote Reference Number,Footnote reference number,Times 10 Point,Exposant 3 Point,Footnote Reference Superscrip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fr-FR"/>
    </w:rPr>
  </w:style>
  <w:style w:type="paragraph" w:styleId="Revision">
    <w:name w:val="Revision"/>
    <w:hidden/>
    <w:uiPriority w:val="99"/>
    <w:semiHidden/>
    <w:rPr>
      <w:sz w:val="22"/>
      <w:szCs w:val="22"/>
    </w:rPr>
  </w:style>
  <w:style w:type="character" w:customStyle="1" w:styleId="st">
    <w:name w:val="st"/>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fr-FR"/>
    </w:rPr>
  </w:style>
  <w:style w:type="character" w:styleId="EndnoteReference">
    <w:name w:val="endnote reference"/>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373506">
      <w:bodyDiv w:val="1"/>
      <w:marLeft w:val="0"/>
      <w:marRight w:val="0"/>
      <w:marTop w:val="0"/>
      <w:marBottom w:val="0"/>
      <w:divBdr>
        <w:top w:val="none" w:sz="0" w:space="0" w:color="auto"/>
        <w:left w:val="none" w:sz="0" w:space="0" w:color="auto"/>
        <w:bottom w:val="none" w:sz="0" w:space="0" w:color="auto"/>
        <w:right w:val="none" w:sz="0" w:space="0" w:color="auto"/>
      </w:divBdr>
    </w:div>
    <w:div w:id="989167359">
      <w:bodyDiv w:val="1"/>
      <w:marLeft w:val="0"/>
      <w:marRight w:val="0"/>
      <w:marTop w:val="0"/>
      <w:marBottom w:val="0"/>
      <w:divBdr>
        <w:top w:val="none" w:sz="0" w:space="0" w:color="auto"/>
        <w:left w:val="none" w:sz="0" w:space="0" w:color="auto"/>
        <w:bottom w:val="none" w:sz="0" w:space="0" w:color="auto"/>
        <w:right w:val="none" w:sz="0" w:space="0" w:color="auto"/>
      </w:divBdr>
    </w:div>
    <w:div w:id="1013607886">
      <w:bodyDiv w:val="1"/>
      <w:marLeft w:val="0"/>
      <w:marRight w:val="0"/>
      <w:marTop w:val="0"/>
      <w:marBottom w:val="0"/>
      <w:divBdr>
        <w:top w:val="none" w:sz="0" w:space="0" w:color="auto"/>
        <w:left w:val="none" w:sz="0" w:space="0" w:color="auto"/>
        <w:bottom w:val="none" w:sz="0" w:space="0" w:color="auto"/>
        <w:right w:val="none" w:sz="0" w:space="0" w:color="auto"/>
      </w:divBdr>
    </w:div>
    <w:div w:id="1441031571">
      <w:bodyDiv w:val="1"/>
      <w:marLeft w:val="0"/>
      <w:marRight w:val="0"/>
      <w:marTop w:val="0"/>
      <w:marBottom w:val="0"/>
      <w:divBdr>
        <w:top w:val="none" w:sz="0" w:space="0" w:color="auto"/>
        <w:left w:val="none" w:sz="0" w:space="0" w:color="auto"/>
        <w:bottom w:val="none" w:sz="0" w:space="0" w:color="auto"/>
        <w:right w:val="none" w:sz="0" w:space="0" w:color="auto"/>
      </w:divBdr>
    </w:div>
    <w:div w:id="188934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witch-asia.eu/" TargetMode="External"/><Relationship Id="rId2" Type="http://schemas.openxmlformats.org/officeDocument/2006/relationships/hyperlink" Target="http://www.asean.org/resources/publications/asean-publications/item/master-plan-on-asean-connectivity-2" TargetMode="External"/><Relationship Id="rId1" Type="http://schemas.openxmlformats.org/officeDocument/2006/relationships/hyperlink" Target="http://eeas.europa.eu/asean/docs/plan_of_action_en.pdf" TargetMode="External"/><Relationship Id="rId5" Type="http://schemas.openxmlformats.org/officeDocument/2006/relationships/hyperlink" Target="http://eeas.europa.eu/statements/docs/2014/140723_03_en.pdf" TargetMode="External"/><Relationship Id="rId4" Type="http://schemas.openxmlformats.org/officeDocument/2006/relationships/hyperlink" Target="http://register.consilium.europa.eu/doc/srv?l=FR&amp;f=ST%2011205%202014%20I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8EC21-4086-42B2-A781-8F82B8843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7555</Words>
  <Characters>41709</Characters>
  <Application>Microsoft Office Word</Application>
  <DocSecurity>0</DocSecurity>
  <Lines>613</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49094</CharactersWithSpaces>
  <SharedDoc>false</SharedDoc>
  <HLinks>
    <vt:vector size="30" baseType="variant">
      <vt:variant>
        <vt:i4>1835035</vt:i4>
      </vt:variant>
      <vt:variant>
        <vt:i4>12</vt:i4>
      </vt:variant>
      <vt:variant>
        <vt:i4>0</vt:i4>
      </vt:variant>
      <vt:variant>
        <vt:i4>5</vt:i4>
      </vt:variant>
      <vt:variant>
        <vt:lpwstr>http://eeas.europa.eu/statements/docs/2014/140723_03_en.pdf</vt:lpwstr>
      </vt:variant>
      <vt:variant>
        <vt:lpwstr/>
      </vt:variant>
      <vt:variant>
        <vt:i4>6291573</vt:i4>
      </vt:variant>
      <vt:variant>
        <vt:i4>9</vt:i4>
      </vt:variant>
      <vt:variant>
        <vt:i4>0</vt:i4>
      </vt:variant>
      <vt:variant>
        <vt:i4>5</vt:i4>
      </vt:variant>
      <vt:variant>
        <vt:lpwstr>http://register.consilium.europa.eu/doc/srv?l=EN&amp;f=ST%2011205%202014%20INIT</vt:lpwstr>
      </vt:variant>
      <vt:variant>
        <vt:lpwstr/>
      </vt:variant>
      <vt:variant>
        <vt:i4>2556008</vt:i4>
      </vt:variant>
      <vt:variant>
        <vt:i4>6</vt:i4>
      </vt:variant>
      <vt:variant>
        <vt:i4>0</vt:i4>
      </vt:variant>
      <vt:variant>
        <vt:i4>5</vt:i4>
      </vt:variant>
      <vt:variant>
        <vt:lpwstr>http://www.switch-asia.eu/</vt:lpwstr>
      </vt:variant>
      <vt:variant>
        <vt:lpwstr/>
      </vt:variant>
      <vt:variant>
        <vt:i4>8192098</vt:i4>
      </vt:variant>
      <vt:variant>
        <vt:i4>3</vt:i4>
      </vt:variant>
      <vt:variant>
        <vt:i4>0</vt:i4>
      </vt:variant>
      <vt:variant>
        <vt:i4>5</vt:i4>
      </vt:variant>
      <vt:variant>
        <vt:lpwstr>http://www.asean.org/resources/publications/asean-publications/item/master-plan-on-asean-connectivity-2</vt:lpwstr>
      </vt:variant>
      <vt:variant>
        <vt:lpwstr/>
      </vt:variant>
      <vt:variant>
        <vt:i4>6553624</vt:i4>
      </vt:variant>
      <vt:variant>
        <vt:i4>0</vt:i4>
      </vt:variant>
      <vt:variant>
        <vt:i4>0</vt:i4>
      </vt:variant>
      <vt:variant>
        <vt:i4>5</vt:i4>
      </vt:variant>
      <vt:variant>
        <vt:lpwstr>http://eeas.europa.eu/asean/docs/plan_of_action_en.pdf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DIGIT/A3</cp:lastModifiedBy>
  <cp:revision>16</cp:revision>
  <cp:lastPrinted>2015-04-30T15:36:00Z</cp:lastPrinted>
  <dcterms:created xsi:type="dcterms:W3CDTF">2015-05-04T09:07:00Z</dcterms:created>
  <dcterms:modified xsi:type="dcterms:W3CDTF">2015-05-19T09:59:00Z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