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6C9" w:rsidRPr="00010093" w:rsidRDefault="003D556F" w:rsidP="00CF0870">
      <w:pPr>
        <w:pStyle w:val="Pagedecouverture"/>
      </w:pPr>
      <w:r>
        <w:rPr>
          <w:noProof/>
          <w:lang w:eastAsia="en-GB"/>
        </w:rPr>
        <w:drawing>
          <wp:inline distT="0" distB="0" distL="0" distR="0">
            <wp:extent cx="5724525" cy="4467225"/>
            <wp:effectExtent l="0" t="0" r="0" b="0"/>
            <wp:docPr id="1" name="Picture 1" descr="2A81E00CF17D424CB1A7B95E9B4552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A81E00CF17D424CB1A7B95E9B4552D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4525" cy="4467225"/>
                    </a:xfrm>
                    <a:prstGeom prst="rect">
                      <a:avLst/>
                    </a:prstGeom>
                    <a:noFill/>
                    <a:ln>
                      <a:noFill/>
                    </a:ln>
                  </pic:spPr>
                </pic:pic>
              </a:graphicData>
            </a:graphic>
          </wp:inline>
        </w:drawing>
      </w:r>
    </w:p>
    <w:p w:rsidR="001666C9" w:rsidRPr="00010093" w:rsidRDefault="001666C9" w:rsidP="001666C9">
      <w:pPr>
        <w:sectPr w:rsidR="001666C9" w:rsidRPr="00010093" w:rsidSect="00CF0870">
          <w:footerReference w:type="default" r:id="rId10"/>
          <w:pgSz w:w="11907" w:h="16839"/>
          <w:pgMar w:top="1134" w:right="1417" w:bottom="1134" w:left="1417" w:header="709" w:footer="709" w:gutter="0"/>
          <w:pgNumType w:start="1"/>
          <w:cols w:space="720"/>
          <w:docGrid w:linePitch="360"/>
        </w:sectPr>
      </w:pPr>
    </w:p>
    <w:p w:rsidR="001666C9" w:rsidRPr="00010093" w:rsidRDefault="001666C9" w:rsidP="007A2939">
      <w:pPr>
        <w:pStyle w:val="Exposdesmotifstitre"/>
      </w:pPr>
      <w:r w:rsidRPr="00010093">
        <w:lastRenderedPageBreak/>
        <w:t>EXPLANATORY MEMORANDUM</w:t>
      </w:r>
    </w:p>
    <w:p w:rsidR="001666C9" w:rsidRPr="00010093" w:rsidRDefault="001666C9" w:rsidP="007A2939">
      <w:pPr>
        <w:pStyle w:val="ManualHeading1"/>
      </w:pPr>
      <w:r w:rsidRPr="00010093">
        <w:t>1.</w:t>
      </w:r>
      <w:r w:rsidRPr="00010093">
        <w:tab/>
        <w:t>CONTEXT OF THE PROPOSAL</w:t>
      </w:r>
    </w:p>
    <w:p w:rsidR="00274D74" w:rsidRPr="00010093" w:rsidRDefault="00274D74" w:rsidP="00B96843">
      <w:pPr>
        <w:pStyle w:val="ManualHeading2"/>
      </w:pPr>
      <w:r w:rsidRPr="00010093">
        <w:t>1.</w:t>
      </w:r>
      <w:r w:rsidR="00E72AD2" w:rsidRPr="00010093">
        <w:t>1</w:t>
      </w:r>
      <w:r w:rsidRPr="00010093">
        <w:t xml:space="preserve"> </w:t>
      </w:r>
      <w:r w:rsidR="009830B3" w:rsidRPr="00010093">
        <w:tab/>
      </w:r>
      <w:r w:rsidRPr="00010093">
        <w:t>Background</w:t>
      </w:r>
      <w:bookmarkStart w:id="0" w:name="_GoBack"/>
      <w:bookmarkEnd w:id="0"/>
    </w:p>
    <w:p w:rsidR="00802BC2" w:rsidRPr="00010093" w:rsidRDefault="0081332A" w:rsidP="00802BC2">
      <w:r w:rsidRPr="00010093">
        <w:t xml:space="preserve">The </w:t>
      </w:r>
      <w:r w:rsidR="00243116" w:rsidRPr="00010093">
        <w:t xml:space="preserve">Council of Europe </w:t>
      </w:r>
      <w:r w:rsidRPr="00010093">
        <w:t>Convention on preventing and combating violence against women and domestic violence</w:t>
      </w:r>
      <w:r w:rsidR="00243116" w:rsidRPr="00010093">
        <w:t xml:space="preserve"> (Convention No. 210)</w:t>
      </w:r>
      <w:r w:rsidR="00470707" w:rsidRPr="00010093">
        <w:t xml:space="preserve"> (the Convention)</w:t>
      </w:r>
      <w:r w:rsidRPr="00010093">
        <w:t xml:space="preserve"> was adopted by the Committee of Ministers on 7 April 2011. It opened for signature on 11 May 2011</w:t>
      </w:r>
      <w:r w:rsidR="00243116" w:rsidRPr="00010093">
        <w:t>. In accordance with</w:t>
      </w:r>
      <w:r w:rsidR="00010093">
        <w:t xml:space="preserve"> its</w:t>
      </w:r>
      <w:r w:rsidR="00243116" w:rsidRPr="00010093">
        <w:t xml:space="preserve"> Article 75, the Convention is open for signature and approval by the member </w:t>
      </w:r>
      <w:r w:rsidR="00010093">
        <w:t>S</w:t>
      </w:r>
      <w:r w:rsidR="00243116" w:rsidRPr="00010093">
        <w:t>tates of the Council of Europe, non-member States which have participated in its elaboration and the European Union, and</w:t>
      </w:r>
      <w:r w:rsidR="00010093">
        <w:t xml:space="preserve"> is</w:t>
      </w:r>
      <w:r w:rsidR="00243116" w:rsidRPr="00010093">
        <w:t xml:space="preserve"> </w:t>
      </w:r>
      <w:r w:rsidR="00802BC2" w:rsidRPr="00010093">
        <w:t xml:space="preserve">open </w:t>
      </w:r>
      <w:r w:rsidR="00243116" w:rsidRPr="00010093">
        <w:t xml:space="preserve">for accession by other non-member States under the conditions </w:t>
      </w:r>
      <w:r w:rsidR="001233B5">
        <w:t>laid down</w:t>
      </w:r>
      <w:r w:rsidR="001233B5" w:rsidRPr="00010093">
        <w:t xml:space="preserve"> </w:t>
      </w:r>
      <w:r w:rsidR="00243116" w:rsidRPr="00010093">
        <w:t>in Article 76. The Convention was negotiated in</w:t>
      </w:r>
      <w:r w:rsidR="001233B5">
        <w:t xml:space="preserve"> the course of</w:t>
      </w:r>
      <w:r w:rsidR="00243116" w:rsidRPr="00010093">
        <w:t xml:space="preserve"> six meetings of a specific Ad-Hoc </w:t>
      </w:r>
      <w:r w:rsidR="001233B5">
        <w:t>C</w:t>
      </w:r>
      <w:r w:rsidR="00243116" w:rsidRPr="00010093">
        <w:t xml:space="preserve">ommittee that met between December </w:t>
      </w:r>
      <w:r w:rsidR="00995403">
        <w:t>2009</w:t>
      </w:r>
      <w:r w:rsidR="001233B5" w:rsidRPr="00010093">
        <w:t xml:space="preserve"> </w:t>
      </w:r>
      <w:r w:rsidR="00243116" w:rsidRPr="00010093">
        <w:t>and December 2010. The European U</w:t>
      </w:r>
      <w:r w:rsidR="00802BC2" w:rsidRPr="00010093">
        <w:t>nion participated</w:t>
      </w:r>
      <w:r w:rsidR="002D4578">
        <w:t>, alongside Member States,</w:t>
      </w:r>
      <w:r w:rsidR="00802BC2" w:rsidRPr="00010093">
        <w:t xml:space="preserve"> as</w:t>
      </w:r>
      <w:r w:rsidR="001233B5">
        <w:t xml:space="preserve"> an</w:t>
      </w:r>
      <w:r w:rsidR="00802BC2" w:rsidRPr="00010093">
        <w:t xml:space="preserve"> observer in these meetings. Following the tenth ratification by a </w:t>
      </w:r>
      <w:r w:rsidR="001233B5">
        <w:t>m</w:t>
      </w:r>
      <w:r w:rsidR="00802BC2" w:rsidRPr="00010093">
        <w:t xml:space="preserve">ember State of the Council of Europe, the Convention came into force on 1 August 2014. As </w:t>
      </w:r>
      <w:r w:rsidR="001233B5">
        <w:t>of</w:t>
      </w:r>
      <w:r w:rsidR="001233B5" w:rsidRPr="00010093">
        <w:t xml:space="preserve"> </w:t>
      </w:r>
      <w:r w:rsidR="00995403">
        <w:t>1 February 2016, twelve</w:t>
      </w:r>
      <w:r w:rsidR="00802BC2" w:rsidRPr="00010093">
        <w:t xml:space="preserve"> EU Member States have ratified the Convention, and </w:t>
      </w:r>
      <w:r w:rsidR="00995403">
        <w:t>twenty-five</w:t>
      </w:r>
      <w:r w:rsidR="00230914" w:rsidRPr="00010093">
        <w:t xml:space="preserve"> Member States have signed </w:t>
      </w:r>
      <w:r w:rsidR="001233B5">
        <w:t>it</w:t>
      </w:r>
      <w:r w:rsidR="00230914" w:rsidRPr="00010093">
        <w:t>.</w:t>
      </w:r>
    </w:p>
    <w:p w:rsidR="00230914" w:rsidRPr="00010093" w:rsidRDefault="00230914" w:rsidP="00802BC2">
      <w:r w:rsidRPr="00010093">
        <w:t>The Convention was signed, on behalf of the European Union, in accordance with Council Decision (XXX) of [….]</w:t>
      </w:r>
      <w:r w:rsidRPr="00010093">
        <w:rPr>
          <w:rStyle w:val="FootnoteReference"/>
        </w:rPr>
        <w:footnoteReference w:id="1"/>
      </w:r>
      <w:r w:rsidRPr="00010093">
        <w:t>, subject to conclusion at a later date.</w:t>
      </w:r>
    </w:p>
    <w:p w:rsidR="007D0615" w:rsidRPr="00010093" w:rsidRDefault="007D0615" w:rsidP="00802BC2">
      <w:r w:rsidRPr="00010093">
        <w:t xml:space="preserve">Violence against women is a violation of </w:t>
      </w:r>
      <w:r w:rsidR="001233B5">
        <w:t>their</w:t>
      </w:r>
      <w:r w:rsidR="001233B5" w:rsidRPr="00010093">
        <w:t xml:space="preserve"> </w:t>
      </w:r>
      <w:r w:rsidRPr="00010093">
        <w:t xml:space="preserve">human rights and an extreme form of discrimination, entrenched in gender inequalities and contributing to maintaining and reinforcing them. Equality between men and women </w:t>
      </w:r>
      <w:r w:rsidR="00DD4C96" w:rsidRPr="00010093">
        <w:t>is a fundamental value and objective of the European Union, as recognised in the Treaties (Article</w:t>
      </w:r>
      <w:r w:rsidR="00961A53" w:rsidRPr="00010093">
        <w:t>s 2 and 3 Treaty on European Union (TEU), Article</w:t>
      </w:r>
      <w:r w:rsidR="00DD4C96" w:rsidRPr="00010093">
        <w:t xml:space="preserve"> </w:t>
      </w:r>
      <w:r w:rsidR="00961A53" w:rsidRPr="00010093">
        <w:t>8 Treaty on the Functioning of the European Union (TFEU)</w:t>
      </w:r>
      <w:r w:rsidR="00DD4C96" w:rsidRPr="00010093">
        <w:t>) and the Charter of Fundamental Rights of the European Union (Article 23). The Charter also recognises the right to human dignity, the right to life, and the right to the integrity of the person, and prohibits inhuman or degrading treatment, as well as all forms of slavery and forced labour (Articles 1</w:t>
      </w:r>
      <w:r w:rsidR="001233B5">
        <w:t xml:space="preserve"> to </w:t>
      </w:r>
      <w:r w:rsidR="00DD4C96" w:rsidRPr="00010093">
        <w:t xml:space="preserve">5 of the Charter). </w:t>
      </w:r>
      <w:r w:rsidR="00CC338C" w:rsidRPr="00010093">
        <w:t xml:space="preserve">The protection of women against violence is also an obligation under the </w:t>
      </w:r>
      <w:r w:rsidR="0085638F" w:rsidRPr="00010093">
        <w:t>UN Convention on the right</w:t>
      </w:r>
      <w:r w:rsidR="001233B5">
        <w:t>s</w:t>
      </w:r>
      <w:r w:rsidR="0085638F" w:rsidRPr="00010093">
        <w:t xml:space="preserve"> of persons with disabilities</w:t>
      </w:r>
      <w:r w:rsidR="001233B5">
        <w:t>,</w:t>
      </w:r>
      <w:r w:rsidR="0085638F" w:rsidRPr="00010093">
        <w:t xml:space="preserve"> to which the EU is a party together with </w:t>
      </w:r>
      <w:r w:rsidR="00A467CB">
        <w:t>its</w:t>
      </w:r>
      <w:r w:rsidR="00A467CB" w:rsidRPr="00010093">
        <w:t xml:space="preserve"> </w:t>
      </w:r>
      <w:r w:rsidR="0085638F" w:rsidRPr="00010093">
        <w:t>Member States</w:t>
      </w:r>
      <w:r w:rsidR="00274D74" w:rsidRPr="00010093">
        <w:rPr>
          <w:rStyle w:val="FootnoteReference"/>
        </w:rPr>
        <w:footnoteReference w:id="2"/>
      </w:r>
      <w:r w:rsidR="00010093">
        <w:t>,</w:t>
      </w:r>
      <w:r w:rsidR="0085638F" w:rsidRPr="00010093">
        <w:t xml:space="preserve"> and the UN Committee monitoring the implementation of this Convention has recommended the EU</w:t>
      </w:r>
      <w:r w:rsidR="00010093">
        <w:t>’</w:t>
      </w:r>
      <w:r w:rsidR="0085638F" w:rsidRPr="00010093">
        <w:t>s ratification</w:t>
      </w:r>
      <w:r w:rsidR="00961A53" w:rsidRPr="00010093">
        <w:t xml:space="preserve"> of the Council of Europe Convention</w:t>
      </w:r>
      <w:r w:rsidR="0085638F" w:rsidRPr="00010093">
        <w:t xml:space="preserve"> as a step to</w:t>
      </w:r>
      <w:r w:rsidR="00A467CB">
        <w:t>wards</w:t>
      </w:r>
      <w:r w:rsidR="0085638F" w:rsidRPr="00010093">
        <w:t xml:space="preserve"> combating violence against women and girls with disabilities</w:t>
      </w:r>
      <w:r w:rsidR="00EF666F" w:rsidRPr="00010093">
        <w:rPr>
          <w:rStyle w:val="FootnoteReference"/>
        </w:rPr>
        <w:footnoteReference w:id="3"/>
      </w:r>
      <w:r w:rsidR="00010093">
        <w:t>.</w:t>
      </w:r>
    </w:p>
    <w:p w:rsidR="00CF3919" w:rsidRPr="00010093" w:rsidRDefault="00CF3919" w:rsidP="00802BC2">
      <w:r w:rsidRPr="00010093">
        <w:t>More generally, the EU</w:t>
      </w:r>
      <w:r w:rsidR="00A467CB">
        <w:t xml:space="preserve"> is strongly committed</w:t>
      </w:r>
      <w:r w:rsidRPr="00010093">
        <w:t xml:space="preserve"> to combating violence not only within</w:t>
      </w:r>
      <w:r w:rsidR="00FA50E4" w:rsidRPr="00010093">
        <w:t xml:space="preserve"> </w:t>
      </w:r>
      <w:r w:rsidR="00A467CB">
        <w:t>its borders</w:t>
      </w:r>
      <w:r w:rsidRPr="00010093">
        <w:t xml:space="preserve">, but </w:t>
      </w:r>
      <w:r w:rsidR="00C24D08" w:rsidRPr="00010093">
        <w:t>also as part of its international initiatives</w:t>
      </w:r>
      <w:r w:rsidR="00A010C0" w:rsidRPr="00010093">
        <w:rPr>
          <w:rStyle w:val="FootnoteReference"/>
        </w:rPr>
        <w:footnoteReference w:id="4"/>
      </w:r>
      <w:r w:rsidR="00010093">
        <w:t>.</w:t>
      </w:r>
    </w:p>
    <w:p w:rsidR="00615D42" w:rsidRPr="00010093" w:rsidRDefault="0085638F" w:rsidP="00802BC2">
      <w:r w:rsidRPr="00010093">
        <w:lastRenderedPageBreak/>
        <w:t>The EU has taken firm positions</w:t>
      </w:r>
      <w:r w:rsidR="00EF2702" w:rsidRPr="00010093">
        <w:rPr>
          <w:rStyle w:val="FootnoteReference"/>
        </w:rPr>
        <w:footnoteReference w:id="5"/>
      </w:r>
      <w:r w:rsidRPr="00010093">
        <w:t xml:space="preserve"> on the need to eradicate violence against women</w:t>
      </w:r>
      <w:r w:rsidR="00DD4C96" w:rsidRPr="00010093">
        <w:t xml:space="preserve"> and </w:t>
      </w:r>
      <w:r w:rsidR="00A467CB">
        <w:t>is</w:t>
      </w:r>
      <w:r w:rsidR="00CA647A" w:rsidRPr="00010093">
        <w:t xml:space="preserve"> funding</w:t>
      </w:r>
      <w:r w:rsidR="00A467CB">
        <w:t xml:space="preserve"> specific</w:t>
      </w:r>
      <w:r w:rsidR="00CA647A" w:rsidRPr="00010093">
        <w:t xml:space="preserve"> campaigns and</w:t>
      </w:r>
      <w:r w:rsidR="00EF666F" w:rsidRPr="00010093">
        <w:t xml:space="preserve"> grass-root</w:t>
      </w:r>
      <w:r w:rsidR="00A467CB">
        <w:t>s</w:t>
      </w:r>
      <w:r w:rsidR="00EF666F" w:rsidRPr="00010093">
        <w:t xml:space="preserve"> projects</w:t>
      </w:r>
      <w:r w:rsidR="00A467CB">
        <w:t xml:space="preserve"> to combat it</w:t>
      </w:r>
      <w:r w:rsidR="00EF666F" w:rsidRPr="00010093">
        <w:t xml:space="preserve">. Existing </w:t>
      </w:r>
      <w:r w:rsidR="00CA647A" w:rsidRPr="00010093">
        <w:t>legislation in the area</w:t>
      </w:r>
      <w:r w:rsidR="00A467CB">
        <w:t>s</w:t>
      </w:r>
      <w:r w:rsidR="00CA647A" w:rsidRPr="00010093">
        <w:t xml:space="preserve"> of protection of crime victims, children</w:t>
      </w:r>
      <w:r w:rsidR="00010093">
        <w:t>’</w:t>
      </w:r>
      <w:r w:rsidR="00CA647A" w:rsidRPr="00010093">
        <w:t>s sexual exploitation and abuse, asylum and migration take</w:t>
      </w:r>
      <w:r w:rsidR="00A467CB">
        <w:t>s</w:t>
      </w:r>
      <w:r w:rsidR="00CA647A" w:rsidRPr="00010093">
        <w:t xml:space="preserve"> account of</w:t>
      </w:r>
      <w:r w:rsidR="00A467CB">
        <w:t xml:space="preserve"> the</w:t>
      </w:r>
      <w:r w:rsidR="00CA647A" w:rsidRPr="00010093">
        <w:t xml:space="preserve"> particular needs of victims of gender based violence.</w:t>
      </w:r>
    </w:p>
    <w:p w:rsidR="00CC338C" w:rsidRPr="00010093" w:rsidRDefault="00CC338C" w:rsidP="00802BC2">
      <w:r w:rsidRPr="00010093">
        <w:t>Despite</w:t>
      </w:r>
      <w:r w:rsidR="0085638F" w:rsidRPr="00010093">
        <w:t xml:space="preserve"> the efforts</w:t>
      </w:r>
      <w:r w:rsidR="00CA647A" w:rsidRPr="00010093">
        <w:t xml:space="preserve"> at both national and </w:t>
      </w:r>
      <w:r w:rsidR="00480836">
        <w:t>E</w:t>
      </w:r>
      <w:r w:rsidR="00CA647A" w:rsidRPr="00010093">
        <w:t>U level</w:t>
      </w:r>
      <w:r w:rsidR="0085638F" w:rsidRPr="00010093">
        <w:t xml:space="preserve">, the </w:t>
      </w:r>
      <w:r w:rsidR="00480836">
        <w:t>extent</w:t>
      </w:r>
      <w:r w:rsidR="00480836" w:rsidRPr="00010093">
        <w:t xml:space="preserve"> </w:t>
      </w:r>
      <w:r w:rsidR="0085638F" w:rsidRPr="00010093">
        <w:t xml:space="preserve">of violence against women is </w:t>
      </w:r>
      <w:r w:rsidR="00995403">
        <w:t xml:space="preserve">still </w:t>
      </w:r>
      <w:r w:rsidR="0085638F" w:rsidRPr="00010093">
        <w:t xml:space="preserve">a matter of </w:t>
      </w:r>
      <w:r w:rsidR="001325ED" w:rsidRPr="00010093">
        <w:t xml:space="preserve">serious </w:t>
      </w:r>
      <w:r w:rsidR="0085638F" w:rsidRPr="00010093">
        <w:t xml:space="preserve">concern: </w:t>
      </w:r>
      <w:r w:rsidR="00A66A29" w:rsidRPr="00010093">
        <w:t>According to a survey by the Fundamental Rights Agency published in 2014</w:t>
      </w:r>
      <w:r w:rsidR="00EF666F" w:rsidRPr="00010093">
        <w:rPr>
          <w:rStyle w:val="FootnoteReference"/>
        </w:rPr>
        <w:footnoteReference w:id="6"/>
      </w:r>
      <w:r w:rsidR="00A66A29" w:rsidRPr="00010093">
        <w:t xml:space="preserve">, one in three women </w:t>
      </w:r>
      <w:r w:rsidR="00615D42" w:rsidRPr="00010093">
        <w:t xml:space="preserve">in the EU </w:t>
      </w:r>
      <w:r w:rsidR="00A66A29" w:rsidRPr="00010093">
        <w:t>has experienced physical and/or sexual violence since the age of 15, one in twenty women has been raped, 75</w:t>
      </w:r>
      <w:r w:rsidR="00010093">
        <w:t> </w:t>
      </w:r>
      <w:r w:rsidR="00A66A29" w:rsidRPr="00010093">
        <w:t>% of women in qualified professions or top management have been victim</w:t>
      </w:r>
      <w:r w:rsidR="00480836">
        <w:t>s</w:t>
      </w:r>
      <w:r w:rsidR="00A66A29" w:rsidRPr="00010093">
        <w:t xml:space="preserve"> of sexual harassment, and one in ten women has experienced stalking or sexual harassment through new technologies.</w:t>
      </w:r>
    </w:p>
    <w:p w:rsidR="00A66A29" w:rsidRPr="00010093" w:rsidRDefault="00A66A29" w:rsidP="00802BC2">
      <w:r w:rsidRPr="00010093">
        <w:t>Gender-based violence</w:t>
      </w:r>
      <w:r w:rsidR="00995403">
        <w:t xml:space="preserve"> has an</w:t>
      </w:r>
      <w:r w:rsidRPr="00010093">
        <w:t xml:space="preserve"> </w:t>
      </w:r>
      <w:r w:rsidR="00F65CDF">
        <w:t>impact</w:t>
      </w:r>
      <w:r w:rsidR="00F65CDF" w:rsidRPr="00010093">
        <w:t xml:space="preserve"> </w:t>
      </w:r>
      <w:r w:rsidRPr="00010093">
        <w:t>not only</w:t>
      </w:r>
      <w:r w:rsidR="00F65CDF">
        <w:t xml:space="preserve"> on</w:t>
      </w:r>
      <w:r w:rsidRPr="00010093">
        <w:t xml:space="preserve"> health and well-being but </w:t>
      </w:r>
      <w:r w:rsidR="00F65CDF">
        <w:t>also on</w:t>
      </w:r>
      <w:r w:rsidRPr="00010093">
        <w:t xml:space="preserve"> women</w:t>
      </w:r>
      <w:r w:rsidR="00010093">
        <w:t>’</w:t>
      </w:r>
      <w:r w:rsidRPr="00010093">
        <w:t xml:space="preserve">s labour market participation, </w:t>
      </w:r>
      <w:r w:rsidR="00615D42" w:rsidRPr="00010093">
        <w:t xml:space="preserve">thereby </w:t>
      </w:r>
      <w:r w:rsidRPr="00010093">
        <w:t>negatively affecting their economic independence and</w:t>
      </w:r>
      <w:r w:rsidR="00CB1A51" w:rsidRPr="00010093">
        <w:t xml:space="preserve"> the</w:t>
      </w:r>
      <w:r w:rsidRPr="00010093">
        <w:t xml:space="preserve"> economy in general. </w:t>
      </w:r>
      <w:r w:rsidR="00615D42" w:rsidRPr="00010093">
        <w:t>The European Institute for Gender Equality estimates that</w:t>
      </w:r>
      <w:r w:rsidR="00160905" w:rsidRPr="00010093">
        <w:t xml:space="preserve"> </w:t>
      </w:r>
      <w:r w:rsidR="00873ED8">
        <w:t>gender-based</w:t>
      </w:r>
      <w:r w:rsidR="00160905" w:rsidRPr="00010093">
        <w:t xml:space="preserve"> violence </w:t>
      </w:r>
      <w:r w:rsidR="00CB1A51" w:rsidRPr="00010093">
        <w:t xml:space="preserve">against women </w:t>
      </w:r>
      <w:r w:rsidR="001325ED" w:rsidRPr="00010093">
        <w:t>generates</w:t>
      </w:r>
      <w:r w:rsidR="00160905" w:rsidRPr="00010093">
        <w:t xml:space="preserve"> costs in the </w:t>
      </w:r>
      <w:r w:rsidR="001325ED" w:rsidRPr="00010093">
        <w:t>EU of</w:t>
      </w:r>
      <w:r w:rsidR="00160905" w:rsidRPr="00010093">
        <w:t xml:space="preserve"> </w:t>
      </w:r>
      <w:r w:rsidR="00047374" w:rsidRPr="00010093">
        <w:t xml:space="preserve">approximately </w:t>
      </w:r>
      <w:r w:rsidR="00160905" w:rsidRPr="00010093">
        <w:t xml:space="preserve">226 billion </w:t>
      </w:r>
      <w:r w:rsidR="00615D42" w:rsidRPr="00010093">
        <w:t xml:space="preserve">euros </w:t>
      </w:r>
      <w:r w:rsidR="00160905" w:rsidRPr="00010093">
        <w:t>per year</w:t>
      </w:r>
      <w:r w:rsidR="00EF666F" w:rsidRPr="00010093">
        <w:rPr>
          <w:rStyle w:val="FootnoteReference"/>
        </w:rPr>
        <w:footnoteReference w:id="7"/>
      </w:r>
      <w:r w:rsidR="00010093">
        <w:t>.</w:t>
      </w:r>
    </w:p>
    <w:p w:rsidR="00274D74" w:rsidRPr="00010093" w:rsidRDefault="00274D74" w:rsidP="00B96843">
      <w:pPr>
        <w:pStyle w:val="ManualHeading2"/>
      </w:pPr>
      <w:r w:rsidRPr="00010093">
        <w:t>1.2</w:t>
      </w:r>
      <w:r w:rsidRPr="00010093">
        <w:tab/>
        <w:t>The objective and content of the Convention</w:t>
      </w:r>
    </w:p>
    <w:p w:rsidR="00615D42" w:rsidRPr="00010093" w:rsidRDefault="00BD62EB" w:rsidP="00047374">
      <w:r w:rsidRPr="00010093">
        <w:t xml:space="preserve">As laid out </w:t>
      </w:r>
      <w:r w:rsidR="00F37602" w:rsidRPr="00010093">
        <w:t xml:space="preserve">in </w:t>
      </w:r>
      <w:r w:rsidR="00F37602" w:rsidRPr="00010093">
        <w:rPr>
          <w:b/>
        </w:rPr>
        <w:t xml:space="preserve">Chapter I </w:t>
      </w:r>
      <w:r w:rsidR="00F37602" w:rsidRPr="001B5ACD">
        <w:t>of the Convention</w:t>
      </w:r>
      <w:r w:rsidR="00F37602" w:rsidRPr="00010093">
        <w:t>, it</w:t>
      </w:r>
      <w:r w:rsidR="00160905" w:rsidRPr="00010093">
        <w:t xml:space="preserve"> creates a comprehensive legal framework to protect women</w:t>
      </w:r>
      <w:r w:rsidR="004765F8">
        <w:t xml:space="preserve"> and girls</w:t>
      </w:r>
      <w:r w:rsidR="00160905" w:rsidRPr="00010093">
        <w:t xml:space="preserve"> against all forms of violence, and prevent, prosecute and eliminate violence against </w:t>
      </w:r>
      <w:r w:rsidR="00566774">
        <w:t>them, including</w:t>
      </w:r>
      <w:r w:rsidR="00160905" w:rsidRPr="00010093">
        <w:t xml:space="preserve"> domestic violence.</w:t>
      </w:r>
      <w:r w:rsidR="00D41432" w:rsidRPr="00010093">
        <w:t xml:space="preserve"> It covers a broad range of measures from datacollection and awareness-raising to legal measures on criminalising different forms of violence against women. It </w:t>
      </w:r>
      <w:r w:rsidR="0044052D" w:rsidRPr="00010093">
        <w:t>includes measures for the</w:t>
      </w:r>
      <w:r w:rsidR="00D41432" w:rsidRPr="00010093">
        <w:t xml:space="preserve"> protection </w:t>
      </w:r>
      <w:r w:rsidR="0044052D" w:rsidRPr="00010093">
        <w:t xml:space="preserve">of </w:t>
      </w:r>
      <w:r w:rsidR="00D41432" w:rsidRPr="00010093">
        <w:t>victims</w:t>
      </w:r>
      <w:r w:rsidR="00566774">
        <w:t xml:space="preserve"> and</w:t>
      </w:r>
      <w:r w:rsidR="00566774" w:rsidRPr="00010093">
        <w:t xml:space="preserve"> </w:t>
      </w:r>
      <w:r w:rsidR="00D41432" w:rsidRPr="00010093">
        <w:t>the provision of support services</w:t>
      </w:r>
      <w:r w:rsidR="00566774">
        <w:t>,</w:t>
      </w:r>
      <w:r w:rsidR="00D41432" w:rsidRPr="00010093">
        <w:t xml:space="preserve"> and</w:t>
      </w:r>
      <w:r w:rsidR="0044052D" w:rsidRPr="00010093">
        <w:t xml:space="preserve"> addresses</w:t>
      </w:r>
      <w:r w:rsidR="00D41432" w:rsidRPr="00010093">
        <w:t xml:space="preserve"> the gender-based violence dimension in matters of asylum and migration</w:t>
      </w:r>
      <w:r w:rsidR="00566774">
        <w:t xml:space="preserve"> as well as</w:t>
      </w:r>
      <w:r w:rsidR="0044052D" w:rsidRPr="00010093">
        <w:t xml:space="preserve"> c</w:t>
      </w:r>
      <w:r w:rsidR="00D41432" w:rsidRPr="00010093">
        <w:t>ross-border element</w:t>
      </w:r>
      <w:r w:rsidR="0044052D" w:rsidRPr="00010093">
        <w:t>s</w:t>
      </w:r>
      <w:r w:rsidR="00D41432" w:rsidRPr="00010093">
        <w:t>.</w:t>
      </w:r>
      <w:r w:rsidR="0044052D" w:rsidRPr="00010093">
        <w:t xml:space="preserve"> </w:t>
      </w:r>
      <w:r w:rsidR="00802BC2" w:rsidRPr="00010093">
        <w:t>The Convention establishes a specific monitoring mechanism in order to ensure effective implementation of its provisions by the Parties.</w:t>
      </w:r>
    </w:p>
    <w:p w:rsidR="00BD62EB" w:rsidRPr="00010093" w:rsidRDefault="00F37602" w:rsidP="00047374">
      <w:r w:rsidRPr="00010093">
        <w:t xml:space="preserve">The Convention </w:t>
      </w:r>
      <w:r w:rsidR="00866BAA" w:rsidRPr="00010093">
        <w:t>defines</w:t>
      </w:r>
      <w:r w:rsidRPr="00010093">
        <w:t xml:space="preserve"> key terminology used throug</w:t>
      </w:r>
      <w:r w:rsidR="00FA50E4" w:rsidRPr="00010093">
        <w:t>hout the text</w:t>
      </w:r>
      <w:r w:rsidR="00383787" w:rsidRPr="00010093">
        <w:t>. It extends the definition of women to girls under the age of 18.</w:t>
      </w:r>
      <w:r w:rsidRPr="00010093">
        <w:t xml:space="preserve"> Parties are obliged to condemn all forms of discrimination by ensuring</w:t>
      </w:r>
      <w:r w:rsidR="00EF02F5">
        <w:t xml:space="preserve"> that</w:t>
      </w:r>
      <w:r w:rsidRPr="00010093">
        <w:t xml:space="preserve"> the principle of equality between men and women</w:t>
      </w:r>
      <w:r w:rsidR="00EF02F5">
        <w:t xml:space="preserve"> is applied</w:t>
      </w:r>
      <w:r w:rsidRPr="00010093">
        <w:t xml:space="preserve"> in their legal orders, and </w:t>
      </w:r>
      <w:r w:rsidR="00FA50E4" w:rsidRPr="00010093">
        <w:t xml:space="preserve">it </w:t>
      </w:r>
      <w:r w:rsidR="00566774">
        <w:t>i</w:t>
      </w:r>
      <w:r w:rsidR="00566774" w:rsidRPr="00010093">
        <w:t>s</w:t>
      </w:r>
      <w:r w:rsidR="00566774">
        <w:t xml:space="preserve"> made clear</w:t>
      </w:r>
      <w:r w:rsidR="00566774" w:rsidRPr="00010093">
        <w:t xml:space="preserve"> </w:t>
      </w:r>
      <w:r w:rsidRPr="00010093">
        <w:t xml:space="preserve">that positive action </w:t>
      </w:r>
      <w:r w:rsidR="00566774">
        <w:t>may be taken</w:t>
      </w:r>
      <w:r w:rsidRPr="00010093">
        <w:t>.</w:t>
      </w:r>
      <w:r w:rsidR="0083636B" w:rsidRPr="00010093">
        <w:t xml:space="preserve"> In line with </w:t>
      </w:r>
      <w:r w:rsidR="00566774">
        <w:t>the Convention’s</w:t>
      </w:r>
      <w:r w:rsidR="00566774" w:rsidRPr="00010093">
        <w:t xml:space="preserve"> </w:t>
      </w:r>
      <w:r w:rsidR="0083636B" w:rsidRPr="00010093">
        <w:t>nature as a human rights instrument</w:t>
      </w:r>
      <w:r w:rsidRPr="00010093">
        <w:t xml:space="preserve">, it obliges all Parties to ensure that </w:t>
      </w:r>
      <w:r w:rsidR="00CF0EDD" w:rsidRPr="00010093">
        <w:t xml:space="preserve">state actors refrain from engaging in any act of violence and to exercise due diligence so that acts of violence committed by non-state actors are prevented, </w:t>
      </w:r>
      <w:r w:rsidR="00566774">
        <w:t xml:space="preserve"> </w:t>
      </w:r>
      <w:r w:rsidR="00CF0EDD" w:rsidRPr="00010093">
        <w:t xml:space="preserve">investigated </w:t>
      </w:r>
      <w:r w:rsidR="00CB1A51" w:rsidRPr="00010093">
        <w:t xml:space="preserve">and </w:t>
      </w:r>
      <w:r w:rsidR="00CF0EDD" w:rsidRPr="00010093">
        <w:t>punished</w:t>
      </w:r>
      <w:r w:rsidR="00C51720" w:rsidRPr="00010093">
        <w:t>,</w:t>
      </w:r>
      <w:r w:rsidR="00CF0EDD" w:rsidRPr="00010093">
        <w:t xml:space="preserve"> and</w:t>
      </w:r>
      <w:r w:rsidR="004765F8">
        <w:t xml:space="preserve"> that</w:t>
      </w:r>
      <w:r w:rsidR="00CF0EDD" w:rsidRPr="00010093">
        <w:t xml:space="preserve"> repara</w:t>
      </w:r>
      <w:r w:rsidR="0083636B" w:rsidRPr="00010093">
        <w:t>tion</w:t>
      </w:r>
      <w:r w:rsidR="00566774">
        <w:t xml:space="preserve"> </w:t>
      </w:r>
      <w:r w:rsidR="0083636B" w:rsidRPr="00010093">
        <w:t>be provided for such acts</w:t>
      </w:r>
      <w:r w:rsidR="002E3B49" w:rsidRPr="00010093">
        <w:t>. The Convention</w:t>
      </w:r>
      <w:r w:rsidR="0083636B" w:rsidRPr="00010093">
        <w:t xml:space="preserve"> explicitly applies in times of peace and in situations of armed conflict.</w:t>
      </w:r>
      <w:r w:rsidR="00383787" w:rsidRPr="00010093">
        <w:t xml:space="preserve"> Whereas the Convention establishes binding obligations only in relation to women, its application to all victims of domestic violence, i.e. men and boys</w:t>
      </w:r>
      <w:r w:rsidR="00566774">
        <w:t xml:space="preserve"> too,</w:t>
      </w:r>
      <w:r w:rsidR="002E3B49" w:rsidRPr="00010093">
        <w:t xml:space="preserve"> </w:t>
      </w:r>
      <w:r w:rsidR="0034228B">
        <w:t>is encouraged</w:t>
      </w:r>
      <w:r w:rsidR="00383787" w:rsidRPr="00010093">
        <w:t>.</w:t>
      </w:r>
    </w:p>
    <w:p w:rsidR="00CF0EDD" w:rsidRPr="00010093" w:rsidRDefault="00CF0EDD" w:rsidP="00047374">
      <w:r w:rsidRPr="00010093">
        <w:rPr>
          <w:b/>
        </w:rPr>
        <w:t xml:space="preserve">Chapter II </w:t>
      </w:r>
      <w:r w:rsidR="00A706D8" w:rsidRPr="00010093">
        <w:t xml:space="preserve">complements the </w:t>
      </w:r>
      <w:r w:rsidR="00010093">
        <w:t>‘</w:t>
      </w:r>
      <w:r w:rsidR="00A706D8" w:rsidRPr="00010093">
        <w:rPr>
          <w:i/>
        </w:rPr>
        <w:t>three P</w:t>
      </w:r>
      <w:r w:rsidR="00010093">
        <w:t>’</w:t>
      </w:r>
      <w:r w:rsidR="00A706D8" w:rsidRPr="00010093">
        <w:t xml:space="preserve"> </w:t>
      </w:r>
      <w:r w:rsidR="00010093">
        <w:t>—</w:t>
      </w:r>
      <w:r w:rsidR="00BB191B" w:rsidRPr="00010093">
        <w:t xml:space="preserve"> </w:t>
      </w:r>
      <w:r w:rsidR="00615D42" w:rsidRPr="00010093">
        <w:t xml:space="preserve">Prevention, Protection, and Prosecution </w:t>
      </w:r>
      <w:r w:rsidR="00010093">
        <w:t>—</w:t>
      </w:r>
      <w:r w:rsidR="00BB191B" w:rsidRPr="00010093">
        <w:t xml:space="preserve"> </w:t>
      </w:r>
      <w:r w:rsidR="00A706D8" w:rsidRPr="00010093">
        <w:t xml:space="preserve">approach of recent Council of Europe </w:t>
      </w:r>
      <w:r w:rsidR="000F52AE" w:rsidRPr="00010093">
        <w:t xml:space="preserve">instruments </w:t>
      </w:r>
      <w:r w:rsidR="00A706D8" w:rsidRPr="00010093">
        <w:t xml:space="preserve">with the obligation to put in place </w:t>
      </w:r>
      <w:r w:rsidR="00A706D8" w:rsidRPr="00010093">
        <w:lastRenderedPageBreak/>
        <w:t>integrated policies</w:t>
      </w:r>
      <w:r w:rsidR="00A706D8" w:rsidRPr="00010093">
        <w:rPr>
          <w:rStyle w:val="FootnoteReference"/>
        </w:rPr>
        <w:footnoteReference w:id="8"/>
      </w:r>
      <w:r w:rsidR="000F52AE" w:rsidRPr="00010093">
        <w:t xml:space="preserve"> and offer a holistic response to the phenomenon, as it recognises that legal measures</w:t>
      </w:r>
      <w:r w:rsidR="00173877" w:rsidRPr="00010093">
        <w:t xml:space="preserve"> under the </w:t>
      </w:r>
      <w:r w:rsidR="00010093">
        <w:t>‘</w:t>
      </w:r>
      <w:r w:rsidR="00173877" w:rsidRPr="00010093">
        <w:t>three</w:t>
      </w:r>
      <w:r w:rsidR="0034228B">
        <w:t xml:space="preserve"> </w:t>
      </w:r>
      <w:r w:rsidR="00173877" w:rsidRPr="00010093">
        <w:t>P</w:t>
      </w:r>
      <w:r w:rsidR="00010093">
        <w:t>’</w:t>
      </w:r>
      <w:r w:rsidR="00173877" w:rsidRPr="00010093">
        <w:t xml:space="preserve"> approach</w:t>
      </w:r>
      <w:r w:rsidR="000F52AE" w:rsidRPr="00010093">
        <w:t xml:space="preserve"> alone will not suffice to eliminate </w:t>
      </w:r>
      <w:r w:rsidR="00173877" w:rsidRPr="00010093">
        <w:t>violence against women</w:t>
      </w:r>
      <w:r w:rsidR="000F52AE" w:rsidRPr="00010093">
        <w:t>. This</w:t>
      </w:r>
      <w:r w:rsidR="002E3B49" w:rsidRPr="00010093">
        <w:t xml:space="preserve"> translates into the obligation</w:t>
      </w:r>
      <w:r w:rsidR="000F52AE" w:rsidRPr="00010093">
        <w:t xml:space="preserve"> </w:t>
      </w:r>
      <w:r w:rsidR="00173877" w:rsidRPr="00010093">
        <w:t>to</w:t>
      </w:r>
      <w:r w:rsidR="000F52AE" w:rsidRPr="00010093">
        <w:t xml:space="preserve"> put the rights of the victims at </w:t>
      </w:r>
      <w:r w:rsidR="00173877" w:rsidRPr="00010093">
        <w:t xml:space="preserve">the </w:t>
      </w:r>
      <w:r w:rsidR="000F52AE" w:rsidRPr="00010093">
        <w:t>centre</w:t>
      </w:r>
      <w:r w:rsidR="00173877" w:rsidRPr="00010093">
        <w:t xml:space="preserve"> of all measures, and to ensure</w:t>
      </w:r>
      <w:r w:rsidR="000F52AE" w:rsidRPr="00010093">
        <w:t xml:space="preserve"> effective cooperation between all </w:t>
      </w:r>
      <w:r w:rsidR="00173877" w:rsidRPr="00010093">
        <w:t xml:space="preserve">relevant </w:t>
      </w:r>
      <w:r w:rsidR="000F52AE" w:rsidRPr="00010093">
        <w:t xml:space="preserve">actors, i.e. </w:t>
      </w:r>
      <w:r w:rsidR="002E3B49" w:rsidRPr="00010093">
        <w:t xml:space="preserve">between </w:t>
      </w:r>
      <w:r w:rsidR="000F52AE" w:rsidRPr="00010093">
        <w:t>institutions, agencies, and organisation</w:t>
      </w:r>
      <w:r w:rsidR="00705602" w:rsidRPr="00010093">
        <w:t>s, and at all levels, i.e. national, regional and local. Non-governmental organisations and civil societ</w:t>
      </w:r>
      <w:r w:rsidR="00CB1A51" w:rsidRPr="00010093">
        <w:t>y</w:t>
      </w:r>
      <w:r w:rsidR="00705602" w:rsidRPr="00010093">
        <w:t xml:space="preserve"> </w:t>
      </w:r>
      <w:r w:rsidR="00173877" w:rsidRPr="00010093">
        <w:t xml:space="preserve">need to </w:t>
      </w:r>
      <w:r w:rsidR="00BD474D" w:rsidRPr="00010093">
        <w:t>be recognised</w:t>
      </w:r>
      <w:r w:rsidR="00705602" w:rsidRPr="00010093">
        <w:t xml:space="preserve"> as important players and Parties must encourage and support</w:t>
      </w:r>
      <w:r w:rsidR="004765F8">
        <w:t xml:space="preserve"> their </w:t>
      </w:r>
      <w:r w:rsidR="0000551F">
        <w:t>work</w:t>
      </w:r>
      <w:r w:rsidR="00705602" w:rsidRPr="00010093">
        <w:t>. Parties</w:t>
      </w:r>
      <w:r w:rsidR="00792CA2" w:rsidRPr="00010093">
        <w:t xml:space="preserve"> must </w:t>
      </w:r>
      <w:r w:rsidR="0034228B">
        <w:t>allocate</w:t>
      </w:r>
      <w:r w:rsidR="00792CA2" w:rsidRPr="00010093">
        <w:t xml:space="preserve"> appropriate financial and human resources to the implementation of integrated policies, measures and programmes to combat and prevent violence, including sufficient funding of non-governmental actors. </w:t>
      </w:r>
      <w:r w:rsidR="00B63DA6" w:rsidRPr="00010093">
        <w:t>Moreover, the Convention recognises the pivotal role of systematic and adequate data collection for effective policy-making and monitoring of measures taken by the supervisory mechanism on the basis of robust and comparable data.</w:t>
      </w:r>
    </w:p>
    <w:p w:rsidR="00B63DA6" w:rsidRPr="00010093" w:rsidRDefault="00792CA2" w:rsidP="00047374">
      <w:r w:rsidRPr="00010093">
        <w:t xml:space="preserve">A central provision </w:t>
      </w:r>
      <w:r w:rsidR="0034228B">
        <w:t>involves</w:t>
      </w:r>
      <w:r w:rsidRPr="00010093">
        <w:t xml:space="preserve"> the nomination and if necessary the creation of one or more official bodies in charge of the coordination, implementation, monitoring and evaluation of policies and measures</w:t>
      </w:r>
      <w:r w:rsidR="00173877" w:rsidRPr="00010093">
        <w:t>, including the coordination of data collection, analysis and dissemination.</w:t>
      </w:r>
    </w:p>
    <w:p w:rsidR="00173877" w:rsidRPr="00010093" w:rsidRDefault="00173877" w:rsidP="00047374">
      <w:r w:rsidRPr="00010093">
        <w:rPr>
          <w:b/>
        </w:rPr>
        <w:t xml:space="preserve">Chapter III </w:t>
      </w:r>
      <w:r w:rsidRPr="00010093">
        <w:t xml:space="preserve">dovetails the Parties obligations in the area of prevention. In line with </w:t>
      </w:r>
      <w:r w:rsidR="00FA50E4" w:rsidRPr="00010093">
        <w:t xml:space="preserve">the </w:t>
      </w:r>
      <w:r w:rsidRPr="00010093">
        <w:t xml:space="preserve">overall </w:t>
      </w:r>
      <w:r w:rsidR="00B228D4">
        <w:t>thrust</w:t>
      </w:r>
      <w:r w:rsidR="00B228D4" w:rsidRPr="00010093">
        <w:t xml:space="preserve"> </w:t>
      </w:r>
      <w:r w:rsidRPr="00010093">
        <w:t>of the Convention, the Parties are obliged to take a multifaceted approach</w:t>
      </w:r>
      <w:r w:rsidR="004F4FEA" w:rsidRPr="00010093">
        <w:t xml:space="preserve">, </w:t>
      </w:r>
      <w:r w:rsidR="00C35B3B" w:rsidRPr="00010093">
        <w:t>comprising</w:t>
      </w:r>
      <w:r w:rsidR="004F4FEA" w:rsidRPr="00010093">
        <w:t xml:space="preserve"> awareness-raising, the inclusion of gender</w:t>
      </w:r>
      <w:r w:rsidR="00CB1A51" w:rsidRPr="00010093">
        <w:t xml:space="preserve"> </w:t>
      </w:r>
      <w:r w:rsidR="004F4FEA" w:rsidRPr="00010093">
        <w:t xml:space="preserve">equality and the issue of violence in </w:t>
      </w:r>
      <w:r w:rsidR="00C35B3B" w:rsidRPr="00010093">
        <w:t xml:space="preserve">formal </w:t>
      </w:r>
      <w:r w:rsidR="004F4FEA" w:rsidRPr="00010093">
        <w:t xml:space="preserve">education at all levels through </w:t>
      </w:r>
      <w:r w:rsidR="00C35B3B" w:rsidRPr="00010093">
        <w:t xml:space="preserve">appropriate </w:t>
      </w:r>
      <w:r w:rsidR="004F4FEA" w:rsidRPr="00010093">
        <w:t>teaching material and curricula</w:t>
      </w:r>
      <w:r w:rsidR="00496DC4">
        <w:t>,</w:t>
      </w:r>
      <w:r w:rsidR="004F4FEA" w:rsidRPr="00010093">
        <w:t xml:space="preserve"> and extending the promotion</w:t>
      </w:r>
      <w:r w:rsidR="00C35B3B" w:rsidRPr="00010093">
        <w:t xml:space="preserve"> of non-violence and gender equality</w:t>
      </w:r>
      <w:r w:rsidR="004F4FEA" w:rsidRPr="00010093">
        <w:t xml:space="preserve"> </w:t>
      </w:r>
      <w:r w:rsidR="00C35B3B" w:rsidRPr="00010093">
        <w:t xml:space="preserve">to informal education contexts, sports, culture, leisure and the media. Parties must ensure that appropriate training is provided to professionals dealing with victims and perpetrators. Measures need also </w:t>
      </w:r>
      <w:r w:rsidR="00FA50E4" w:rsidRPr="00010093">
        <w:t xml:space="preserve">to </w:t>
      </w:r>
      <w:r w:rsidR="00C35B3B" w:rsidRPr="00010093">
        <w:t>be put in place to provide support and treatment programmes for perpetrators. Media and information technology sector</w:t>
      </w:r>
      <w:r w:rsidR="00FA50E4" w:rsidRPr="00010093">
        <w:t xml:space="preserve">s </w:t>
      </w:r>
      <w:r w:rsidR="004765F8">
        <w:t>are to</w:t>
      </w:r>
      <w:r w:rsidR="00B228D4" w:rsidRPr="00010093">
        <w:t xml:space="preserve"> </w:t>
      </w:r>
      <w:r w:rsidR="00FA50E4" w:rsidRPr="00010093">
        <w:t>be encouraged</w:t>
      </w:r>
      <w:r w:rsidR="00C35B3B" w:rsidRPr="00010093">
        <w:t xml:space="preserve"> to participate in </w:t>
      </w:r>
      <w:r w:rsidR="00B228D4">
        <w:t>drawing up</w:t>
      </w:r>
      <w:r w:rsidR="00C35B3B" w:rsidRPr="00010093">
        <w:t xml:space="preserve"> material and voluntary standards.</w:t>
      </w:r>
    </w:p>
    <w:p w:rsidR="00C35B3B" w:rsidRPr="00010093" w:rsidRDefault="003D73E7" w:rsidP="00047374">
      <w:r w:rsidRPr="00010093">
        <w:rPr>
          <w:b/>
        </w:rPr>
        <w:t xml:space="preserve">Chapter IV </w:t>
      </w:r>
      <w:r w:rsidRPr="00010093">
        <w:t xml:space="preserve">establishes the general principles on the nature of </w:t>
      </w:r>
      <w:r w:rsidR="00090483" w:rsidRPr="00010093">
        <w:t xml:space="preserve">information, </w:t>
      </w:r>
      <w:r w:rsidRPr="00010093">
        <w:t xml:space="preserve">support </w:t>
      </w:r>
      <w:r w:rsidR="00090483" w:rsidRPr="00010093">
        <w:t>services and protection</w:t>
      </w:r>
      <w:r w:rsidRPr="00010093">
        <w:t xml:space="preserve"> for victims of violence</w:t>
      </w:r>
      <w:r w:rsidR="00866BAA" w:rsidRPr="00010093">
        <w:t xml:space="preserve"> as well as witnesses</w:t>
      </w:r>
      <w:r w:rsidR="00090483" w:rsidRPr="00010093">
        <w:t xml:space="preserve">. It contains a </w:t>
      </w:r>
      <w:r w:rsidR="004765F8">
        <w:t>list</w:t>
      </w:r>
      <w:r w:rsidR="004765F8" w:rsidRPr="00010093">
        <w:t xml:space="preserve"> </w:t>
      </w:r>
      <w:r w:rsidR="00090483" w:rsidRPr="00010093">
        <w:t>of areas</w:t>
      </w:r>
      <w:r w:rsidR="004765F8">
        <w:t xml:space="preserve"> in which</w:t>
      </w:r>
      <w:r w:rsidR="00090483" w:rsidRPr="00010093">
        <w:t xml:space="preserve"> Parties need to </w:t>
      </w:r>
      <w:r w:rsidR="00EF02F5">
        <w:t>provide for</w:t>
      </w:r>
      <w:r w:rsidR="004765F8">
        <w:t xml:space="preserve"> certain measures</w:t>
      </w:r>
      <w:r w:rsidR="00090483" w:rsidRPr="00010093">
        <w:t>. These comprise the availability of general support services such as legal and psy</w:t>
      </w:r>
      <w:r w:rsidR="003C60FD" w:rsidRPr="00010093">
        <w:t xml:space="preserve">chological counselling, and specialist services including shelters, cost-free and permanently reachable telephone hotlines, specific medical and forensic support to victims of sexual violence </w:t>
      </w:r>
      <w:r w:rsidR="00CB1A51" w:rsidRPr="00010093">
        <w:t xml:space="preserve">and </w:t>
      </w:r>
      <w:r w:rsidR="003C60FD" w:rsidRPr="00010093">
        <w:t>consideration of</w:t>
      </w:r>
      <w:r w:rsidR="00CB1A51" w:rsidRPr="00010093">
        <w:t xml:space="preserve"> the</w:t>
      </w:r>
      <w:r w:rsidR="003C60FD" w:rsidRPr="00010093">
        <w:t xml:space="preserve"> needs of child witnesses. Moreover, measures need to be put in place to encourage reporting of violence</w:t>
      </w:r>
      <w:r w:rsidR="004D7DAC">
        <w:t xml:space="preserve"> by any witness to the commission of acts of violence</w:t>
      </w:r>
      <w:r w:rsidR="003C60FD" w:rsidRPr="00010093">
        <w:t xml:space="preserve"> or </w:t>
      </w:r>
      <w:r w:rsidR="004D7DAC">
        <w:t xml:space="preserve"> person who has reasonable grounds to believe that such an act may be committed or further acts of violence are to be expected</w:t>
      </w:r>
      <w:r w:rsidR="003C60FD" w:rsidRPr="00010093">
        <w:t>, as well as rules on the conditions under which</w:t>
      </w:r>
      <w:r w:rsidR="00B228D4" w:rsidRPr="00B228D4">
        <w:t xml:space="preserve"> </w:t>
      </w:r>
      <w:r w:rsidR="00B228D4" w:rsidRPr="00010093">
        <w:t>professionals</w:t>
      </w:r>
      <w:r w:rsidR="00B228D4">
        <w:t>’</w:t>
      </w:r>
      <w:r w:rsidR="003C60FD" w:rsidRPr="00010093">
        <w:t xml:space="preserve"> reporting  of violent acts </w:t>
      </w:r>
      <w:r w:rsidR="000E3CE1">
        <w:t>or</w:t>
      </w:r>
      <w:r w:rsidR="004D7DAC">
        <w:t xml:space="preserve"> expected violent acts </w:t>
      </w:r>
      <w:r w:rsidR="003C60FD" w:rsidRPr="00010093">
        <w:t>does not breach their general obligation to</w:t>
      </w:r>
      <w:r w:rsidR="00B228D4">
        <w:t xml:space="preserve"> maintain</w:t>
      </w:r>
      <w:r w:rsidR="003C60FD" w:rsidRPr="00010093">
        <w:t xml:space="preserve"> confidentiality.</w:t>
      </w:r>
    </w:p>
    <w:p w:rsidR="00B10497" w:rsidRPr="00010093" w:rsidRDefault="00B10497" w:rsidP="00047374">
      <w:r w:rsidRPr="00010093">
        <w:rPr>
          <w:b/>
        </w:rPr>
        <w:t xml:space="preserve">Chapter V </w:t>
      </w:r>
      <w:r w:rsidRPr="00010093">
        <w:t xml:space="preserve">on substantive law identifies those forms of violence that require a criminal law response and requires Parties to cover a number of offences in their criminal law. These comprise psychological violence through threat </w:t>
      </w:r>
      <w:r w:rsidR="00E66DFB">
        <w:t>or</w:t>
      </w:r>
      <w:r w:rsidR="00E66DFB" w:rsidRPr="00010093">
        <w:t xml:space="preserve"> </w:t>
      </w:r>
      <w:r w:rsidRPr="00010093">
        <w:t>coercion, stalking</w:t>
      </w:r>
      <w:r w:rsidR="00713329" w:rsidRPr="00010093">
        <w:rPr>
          <w:rStyle w:val="FootnoteReference"/>
        </w:rPr>
        <w:footnoteReference w:id="9"/>
      </w:r>
      <w:r w:rsidRPr="00010093">
        <w:t xml:space="preserve">, physical violence, sexual violence and rape, forced marriage, female genital mutilation, forced abortion/sterilisation, and sexual harassment. </w:t>
      </w:r>
      <w:r w:rsidR="004255F1" w:rsidRPr="00010093">
        <w:t xml:space="preserve">Parties must take measures to </w:t>
      </w:r>
      <w:r w:rsidR="00630182" w:rsidRPr="00010093">
        <w:t>e</w:t>
      </w:r>
      <w:r w:rsidR="00630182">
        <w:t>nsure</w:t>
      </w:r>
      <w:r w:rsidR="00630182" w:rsidRPr="00010093">
        <w:t xml:space="preserve"> </w:t>
      </w:r>
      <w:r w:rsidR="00ED14B1" w:rsidRPr="00010093">
        <w:t>that</w:t>
      </w:r>
      <w:r w:rsidR="004255F1" w:rsidRPr="00010093">
        <w:t xml:space="preserve"> </w:t>
      </w:r>
      <w:r w:rsidR="00010093">
        <w:t>‘</w:t>
      </w:r>
      <w:r w:rsidR="004255F1" w:rsidRPr="00010093">
        <w:t>honour</w:t>
      </w:r>
      <w:r w:rsidR="00010093">
        <w:t>’</w:t>
      </w:r>
      <w:r w:rsidR="00ED14B1" w:rsidRPr="00010093">
        <w:t xml:space="preserve"> can</w:t>
      </w:r>
      <w:r w:rsidR="00630182">
        <w:t>not</w:t>
      </w:r>
      <w:r w:rsidR="00ED14B1" w:rsidRPr="00010093">
        <w:t xml:space="preserve"> be invoked</w:t>
      </w:r>
      <w:r w:rsidR="004255F1" w:rsidRPr="00010093">
        <w:t xml:space="preserve"> as a justification for any of these crimes. The Convention obliges Parties to criminali</w:t>
      </w:r>
      <w:r w:rsidR="00010093">
        <w:t>s</w:t>
      </w:r>
      <w:r w:rsidR="004255F1" w:rsidRPr="00010093">
        <w:t xml:space="preserve">e </w:t>
      </w:r>
      <w:r w:rsidR="00CB1A51" w:rsidRPr="00010093">
        <w:t xml:space="preserve">the </w:t>
      </w:r>
      <w:r w:rsidR="004255F1" w:rsidRPr="00010093">
        <w:t>aiding, abetting and attempt</w:t>
      </w:r>
      <w:r w:rsidR="00EF02F5">
        <w:t>ed</w:t>
      </w:r>
      <w:r w:rsidR="00630182">
        <w:t xml:space="preserve"> commission</w:t>
      </w:r>
      <w:r w:rsidR="00ED14B1" w:rsidRPr="00010093">
        <w:t xml:space="preserve"> of the offences</w:t>
      </w:r>
      <w:r w:rsidR="004255F1" w:rsidRPr="00010093">
        <w:t>, a</w:t>
      </w:r>
      <w:r w:rsidR="00ED14B1" w:rsidRPr="00010093">
        <w:t>s well</w:t>
      </w:r>
      <w:r w:rsidR="004255F1" w:rsidRPr="00010093">
        <w:t xml:space="preserve"> </w:t>
      </w:r>
      <w:r w:rsidR="00CB1A51" w:rsidRPr="00010093">
        <w:lastRenderedPageBreak/>
        <w:t xml:space="preserve">as </w:t>
      </w:r>
      <w:r w:rsidR="004255F1" w:rsidRPr="00010093">
        <w:t>causing third persons to commit these crimes</w:t>
      </w:r>
      <w:r w:rsidR="00630182">
        <w:t>,</w:t>
      </w:r>
      <w:r w:rsidR="00ED14B1" w:rsidRPr="00010093">
        <w:t xml:space="preserve"> and to provide for adequate and dissuasive sanctions</w:t>
      </w:r>
      <w:r w:rsidR="00630182">
        <w:t>.</w:t>
      </w:r>
      <w:r w:rsidR="00E32752" w:rsidRPr="00010093">
        <w:t xml:space="preserve"> </w:t>
      </w:r>
      <w:r w:rsidR="00630182">
        <w:t>F</w:t>
      </w:r>
      <w:r w:rsidR="00E32752" w:rsidRPr="00010093">
        <w:t xml:space="preserve">inal sentences passed already by another </w:t>
      </w:r>
      <w:r w:rsidR="00983BD3">
        <w:t>P</w:t>
      </w:r>
      <w:r w:rsidR="00E32752" w:rsidRPr="00010093">
        <w:t xml:space="preserve">arty </w:t>
      </w:r>
      <w:r w:rsidR="00983BD3">
        <w:t>may be taken into account</w:t>
      </w:r>
      <w:r w:rsidR="00630182" w:rsidRPr="00010093">
        <w:t xml:space="preserve"> </w:t>
      </w:r>
      <w:r w:rsidR="00E32752" w:rsidRPr="00010093">
        <w:t xml:space="preserve">for </w:t>
      </w:r>
      <w:r w:rsidR="00983BD3">
        <w:t>determining</w:t>
      </w:r>
      <w:r w:rsidR="00E32752" w:rsidRPr="00010093">
        <w:t xml:space="preserve"> the sanction</w:t>
      </w:r>
      <w:r w:rsidR="004255F1" w:rsidRPr="00010093">
        <w:t xml:space="preserve">. </w:t>
      </w:r>
      <w:r w:rsidR="00E32752" w:rsidRPr="00010093">
        <w:t>Certain a</w:t>
      </w:r>
      <w:r w:rsidR="004255F1" w:rsidRPr="00010093">
        <w:t xml:space="preserve">ggravating circumstances need to be provided for in the national legal orders in accordance with the Convention. The Convention also requires </w:t>
      </w:r>
      <w:r w:rsidR="00983BD3">
        <w:t>P</w:t>
      </w:r>
      <w:r w:rsidR="004255F1" w:rsidRPr="00010093">
        <w:t>arties to ensure</w:t>
      </w:r>
      <w:r w:rsidR="00983BD3">
        <w:t xml:space="preserve"> that</w:t>
      </w:r>
      <w:r w:rsidR="004255F1" w:rsidRPr="00010093">
        <w:t xml:space="preserve"> sufficient civil remedies and compensation</w:t>
      </w:r>
      <w:r w:rsidR="00F55B8F" w:rsidRPr="00010093">
        <w:t xml:space="preserve"> from perpetrators</w:t>
      </w:r>
      <w:r w:rsidR="00983BD3">
        <w:t xml:space="preserve"> are available</w:t>
      </w:r>
      <w:r w:rsidR="00F55B8F" w:rsidRPr="00010093">
        <w:t xml:space="preserve"> as well as adequate </w:t>
      </w:r>
      <w:r w:rsidR="00983BD3" w:rsidRPr="00010093">
        <w:t>subsidiar</w:t>
      </w:r>
      <w:r w:rsidR="00983BD3">
        <w:t>y</w:t>
      </w:r>
      <w:r w:rsidR="00983BD3" w:rsidRPr="00010093">
        <w:t xml:space="preserve"> </w:t>
      </w:r>
      <w:r w:rsidR="00F55B8F" w:rsidRPr="00010093">
        <w:t>state compensation</w:t>
      </w:r>
      <w:r w:rsidR="00F55B8F" w:rsidRPr="00010093">
        <w:rPr>
          <w:rStyle w:val="FootnoteReference"/>
        </w:rPr>
        <w:footnoteReference w:id="10"/>
      </w:r>
      <w:r w:rsidR="004255F1" w:rsidRPr="00010093">
        <w:t xml:space="preserve"> for </w:t>
      </w:r>
      <w:r w:rsidR="00852192" w:rsidRPr="00010093">
        <w:t>victims of the defined offenc</w:t>
      </w:r>
      <w:r w:rsidR="00ED14B1" w:rsidRPr="00010093">
        <w:t>es</w:t>
      </w:r>
      <w:r w:rsidR="00983BD3">
        <w:t>.</w:t>
      </w:r>
      <w:r w:rsidR="00ED14B1" w:rsidRPr="00010093">
        <w:t xml:space="preserve"> </w:t>
      </w:r>
      <w:r w:rsidR="00983BD3">
        <w:t>Incidents of violence</w:t>
      </w:r>
      <w:r w:rsidR="00ED14B1" w:rsidRPr="00010093">
        <w:t xml:space="preserve"> </w:t>
      </w:r>
      <w:r w:rsidR="00962A9C">
        <w:t xml:space="preserve">are to be taken into </w:t>
      </w:r>
      <w:r w:rsidR="00ED14B1" w:rsidRPr="00010093">
        <w:t>consideration in legal proceedings on custody, visitation rights and safety of children.</w:t>
      </w:r>
      <w:r w:rsidR="00F55B8F" w:rsidRPr="00010093">
        <w:t xml:space="preserve"> </w:t>
      </w:r>
      <w:r w:rsidR="00ED14B1" w:rsidRPr="00010093">
        <w:t>In procedural terms, the Convention obliges Parties to establish jurisdiction for acts committed in their terri</w:t>
      </w:r>
      <w:r w:rsidR="004A342A">
        <w:t>tory, by one of their nationals</w:t>
      </w:r>
      <w:r w:rsidR="008901B4">
        <w:t xml:space="preserve"> or a person with habitual residence in their territory, and</w:t>
      </w:r>
      <w:r w:rsidR="00ED14B1" w:rsidRPr="00010093">
        <w:t xml:space="preserve"> </w:t>
      </w:r>
      <w:r w:rsidR="007E0E5C">
        <w:t xml:space="preserve">endeavour to establish jurisdiction over offences committed </w:t>
      </w:r>
      <w:r w:rsidR="00134BBD">
        <w:t>against</w:t>
      </w:r>
      <w:r w:rsidR="008901B4">
        <w:t xml:space="preserve"> one of their nationals or</w:t>
      </w:r>
      <w:r w:rsidR="00873ED8">
        <w:t xml:space="preserve"> </w:t>
      </w:r>
      <w:r w:rsidR="00ED14B1" w:rsidRPr="00010093">
        <w:t>a person with habitual residence in their territory</w:t>
      </w:r>
      <w:r w:rsidR="00713329" w:rsidRPr="00010093">
        <w:rPr>
          <w:rStyle w:val="FootnoteReference"/>
        </w:rPr>
        <w:footnoteReference w:id="11"/>
      </w:r>
      <w:r w:rsidR="00E32752" w:rsidRPr="00010093">
        <w:t>. Finally, Parties are not permitted to establish mandatory alternative dispute resolution processes.</w:t>
      </w:r>
    </w:p>
    <w:p w:rsidR="00E32752" w:rsidRPr="00010093" w:rsidRDefault="00F55B8F" w:rsidP="00047374">
      <w:r w:rsidRPr="00010093">
        <w:rPr>
          <w:b/>
        </w:rPr>
        <w:t>Chapter VI</w:t>
      </w:r>
      <w:r w:rsidR="00F30942" w:rsidRPr="00010093">
        <w:rPr>
          <w:b/>
        </w:rPr>
        <w:t xml:space="preserve"> </w:t>
      </w:r>
      <w:r w:rsidR="00F30942" w:rsidRPr="00010093">
        <w:t>addresses procedural law and protection measures during investigation</w:t>
      </w:r>
      <w:r w:rsidR="00063CD6">
        <w:t>s</w:t>
      </w:r>
      <w:r w:rsidR="00F30942" w:rsidRPr="00010093">
        <w:t xml:space="preserve"> and judicial proceedings. Parties must ensure that law enforcement agencies offer prompt protection to victims, including the collection of evidence and carry out </w:t>
      </w:r>
      <w:r w:rsidR="00063CD6">
        <w:t>an</w:t>
      </w:r>
      <w:r w:rsidR="00F30942" w:rsidRPr="00010093">
        <w:t xml:space="preserve"> assessment of the lethality risk and the seriousness of the situation. The availability of firearms to perpetrator</w:t>
      </w:r>
      <w:r w:rsidR="00063CD6">
        <w:t>s</w:t>
      </w:r>
      <w:r w:rsidR="00F30942" w:rsidRPr="00010093">
        <w:t xml:space="preserve"> needs to be given special attention. Legal orders </w:t>
      </w:r>
      <w:r w:rsidR="00D03E7C">
        <w:t>must</w:t>
      </w:r>
      <w:r w:rsidR="00F30942" w:rsidRPr="00010093">
        <w:t xml:space="preserve"> provide for the possibility to adopt emergency barring and restraining or protection orders</w:t>
      </w:r>
      <w:r w:rsidR="00156EB1" w:rsidRPr="00010093">
        <w:t xml:space="preserve"> with</w:t>
      </w:r>
      <w:r w:rsidR="00063CD6">
        <w:t>out placing</w:t>
      </w:r>
      <w:r w:rsidR="00156EB1" w:rsidRPr="00010093">
        <w:t xml:space="preserve"> undue financial or administrative burden </w:t>
      </w:r>
      <w:r w:rsidR="00063CD6">
        <w:t>on</w:t>
      </w:r>
      <w:r w:rsidR="00063CD6" w:rsidRPr="00010093">
        <w:t xml:space="preserve"> </w:t>
      </w:r>
      <w:r w:rsidR="00156EB1" w:rsidRPr="00010093">
        <w:t>the victim. As a gene</w:t>
      </w:r>
      <w:r w:rsidR="00852192" w:rsidRPr="00010093">
        <w:t>ral rule, the most severe offenc</w:t>
      </w:r>
      <w:r w:rsidR="00156EB1" w:rsidRPr="00010093">
        <w:t>es must not be made dependent on a report or complaint filed by the victim</w:t>
      </w:r>
      <w:r w:rsidR="00156EB1" w:rsidRPr="00010093">
        <w:rPr>
          <w:rStyle w:val="FootnoteReference"/>
        </w:rPr>
        <w:footnoteReference w:id="12"/>
      </w:r>
      <w:r w:rsidR="00010093">
        <w:t>.</w:t>
      </w:r>
      <w:r w:rsidR="00156EB1" w:rsidRPr="00010093">
        <w:t xml:space="preserve"> In this Chapter, the Convention sets </w:t>
      </w:r>
      <w:r w:rsidR="00063CD6">
        <w:t>out</w:t>
      </w:r>
      <w:r w:rsidR="00063CD6" w:rsidRPr="00010093">
        <w:t xml:space="preserve"> </w:t>
      </w:r>
      <w:r w:rsidR="00156EB1" w:rsidRPr="00010093">
        <w:t>an open list of measures to protect the rights and interests of victims, including their needs as witnesses at</w:t>
      </w:r>
      <w:r w:rsidR="00063CD6">
        <w:t xml:space="preserve"> all</w:t>
      </w:r>
      <w:r w:rsidR="00156EB1" w:rsidRPr="00010093">
        <w:t xml:space="preserve"> stages of investigations and judicial proceedings. This includes for example measures to protect them against intimidation and repeat victimisation, </w:t>
      </w:r>
      <w:r w:rsidR="00063CD6">
        <w:t xml:space="preserve">to provide </w:t>
      </w:r>
      <w:r w:rsidR="00156EB1" w:rsidRPr="00010093">
        <w:t>early information when</w:t>
      </w:r>
      <w:r w:rsidR="006453A5" w:rsidRPr="00010093">
        <w:t xml:space="preserve"> perpetrators escape or are released, or to avoid contact between victim and perpetrator to the extent possible. Special needs of child victims and witnesses need </w:t>
      </w:r>
      <w:r w:rsidR="00FA50E4" w:rsidRPr="00010093">
        <w:t xml:space="preserve">to be </w:t>
      </w:r>
      <w:r w:rsidR="006453A5" w:rsidRPr="00010093">
        <w:t xml:space="preserve">particularly taken into account. Parties </w:t>
      </w:r>
      <w:r w:rsidR="00063CD6">
        <w:t>must</w:t>
      </w:r>
      <w:r w:rsidR="006453A5" w:rsidRPr="00010093">
        <w:t xml:space="preserve"> provide for the right to legal aid. Moreover, the statute of limitation must be construed</w:t>
      </w:r>
      <w:r w:rsidR="00063CD6">
        <w:t xml:space="preserve"> in such a way as</w:t>
      </w:r>
      <w:r w:rsidR="006453A5" w:rsidRPr="00010093">
        <w:t xml:space="preserve"> to allow for the efficient </w:t>
      </w:r>
      <w:r w:rsidR="009F644B" w:rsidRPr="00010093">
        <w:t>initiation</w:t>
      </w:r>
      <w:r w:rsidR="006453A5" w:rsidRPr="00010093">
        <w:t xml:space="preserve"> of proceedings after </w:t>
      </w:r>
      <w:r w:rsidR="00063CD6">
        <w:t>a</w:t>
      </w:r>
      <w:r w:rsidR="00063CD6" w:rsidRPr="00010093">
        <w:t xml:space="preserve"> </w:t>
      </w:r>
      <w:r w:rsidR="006453A5" w:rsidRPr="00010093">
        <w:t>victim</w:t>
      </w:r>
      <w:r w:rsidR="00063CD6">
        <w:t xml:space="preserve"> ha</w:t>
      </w:r>
      <w:r w:rsidR="006453A5" w:rsidRPr="00010093">
        <w:t>s</w:t>
      </w:r>
      <w:r w:rsidR="00063CD6">
        <w:t xml:space="preserve"> reached the</w:t>
      </w:r>
      <w:r w:rsidR="006453A5" w:rsidRPr="00010093">
        <w:t xml:space="preserve"> age of majority</w:t>
      </w:r>
      <w:r w:rsidR="00063CD6">
        <w:t>,</w:t>
      </w:r>
      <w:r w:rsidR="00FA50E4" w:rsidRPr="00010093">
        <w:t xml:space="preserve"> for the most serious offenc</w:t>
      </w:r>
      <w:r w:rsidR="009F644B" w:rsidRPr="00010093">
        <w:t>es</w:t>
      </w:r>
      <w:r w:rsidR="006453A5" w:rsidRPr="00010093">
        <w:rPr>
          <w:rStyle w:val="FootnoteReference"/>
        </w:rPr>
        <w:footnoteReference w:id="13"/>
      </w:r>
      <w:r w:rsidR="00010093">
        <w:t>.</w:t>
      </w:r>
    </w:p>
    <w:p w:rsidR="0012148F" w:rsidRPr="00010093" w:rsidRDefault="0012148F" w:rsidP="00047374">
      <w:r w:rsidRPr="00010093">
        <w:rPr>
          <w:b/>
        </w:rPr>
        <w:t xml:space="preserve">Chapter VII </w:t>
      </w:r>
      <w:r w:rsidR="00CA65C9" w:rsidRPr="00010093">
        <w:t>take</w:t>
      </w:r>
      <w:r w:rsidR="00CD234F" w:rsidRPr="00010093">
        <w:t>s</w:t>
      </w:r>
      <w:r w:rsidR="00CA65C9" w:rsidRPr="00010093">
        <w:t xml:space="preserve"> account of the </w:t>
      </w:r>
      <w:r w:rsidR="0028209B">
        <w:t xml:space="preserve">fact that female </w:t>
      </w:r>
      <w:r w:rsidR="00CA65C9" w:rsidRPr="00010093">
        <w:t>migrant</w:t>
      </w:r>
      <w:r w:rsidR="0028209B">
        <w:t>s</w:t>
      </w:r>
      <w:r w:rsidR="00CA65C9" w:rsidRPr="00010093">
        <w:t xml:space="preserve"> and asylum-seekers</w:t>
      </w:r>
      <w:r w:rsidR="0028209B">
        <w:t xml:space="preserve"> are </w:t>
      </w:r>
      <w:r w:rsidR="0028209B" w:rsidRPr="00010093">
        <w:t>particular</w:t>
      </w:r>
      <w:r w:rsidR="0028209B">
        <w:t>ly</w:t>
      </w:r>
      <w:r w:rsidR="0028209B" w:rsidRPr="00010093">
        <w:t xml:space="preserve"> vulnerab</w:t>
      </w:r>
      <w:r w:rsidR="0028209B">
        <w:t>le</w:t>
      </w:r>
      <w:r w:rsidR="00CA65C9" w:rsidRPr="00010093">
        <w:t xml:space="preserve"> to gender-based violence and introduces a gender-sensitive understanding of violence</w:t>
      </w:r>
      <w:r w:rsidR="00CD234F" w:rsidRPr="00010093">
        <w:t xml:space="preserve"> in this context</w:t>
      </w:r>
      <w:r w:rsidR="00CA65C9" w:rsidRPr="00010093">
        <w:t xml:space="preserve">. It </w:t>
      </w:r>
      <w:r w:rsidR="006724F2">
        <w:t xml:space="preserve"> provides for the possibility of migrant women</w:t>
      </w:r>
      <w:r w:rsidR="00CA65C9" w:rsidRPr="00010093">
        <w:t xml:space="preserve"> victims</w:t>
      </w:r>
      <w:r w:rsidR="000F75B5" w:rsidRPr="00010093">
        <w:t xml:space="preserve"> </w:t>
      </w:r>
      <w:r w:rsidR="00DE5B67">
        <w:t xml:space="preserve">to </w:t>
      </w:r>
      <w:r w:rsidR="000F75B5" w:rsidRPr="00010093">
        <w:t>acquir</w:t>
      </w:r>
      <w:r w:rsidR="00DE5B67">
        <w:t>e</w:t>
      </w:r>
      <w:r w:rsidR="00CA65C9" w:rsidRPr="00010093">
        <w:t xml:space="preserve"> an </w:t>
      </w:r>
      <w:r w:rsidR="00852192" w:rsidRPr="00010093">
        <w:t>autonomous</w:t>
      </w:r>
      <w:r w:rsidR="00CA65C9" w:rsidRPr="00010093">
        <w:t xml:space="preserve"> residence status</w:t>
      </w:r>
      <w:r w:rsidR="005404C0" w:rsidRPr="00010093">
        <w:rPr>
          <w:rStyle w:val="FootnoteReference"/>
        </w:rPr>
        <w:footnoteReference w:id="14"/>
      </w:r>
      <w:r w:rsidR="00CA65C9" w:rsidRPr="00010093">
        <w:t xml:space="preserve">. Gender-based violence needs to be </w:t>
      </w:r>
      <w:r w:rsidR="000F75B5" w:rsidRPr="00010093">
        <w:t>recognised</w:t>
      </w:r>
      <w:r w:rsidR="00CA65C9" w:rsidRPr="00010093">
        <w:t xml:space="preserve"> as a form of persecution and the </w:t>
      </w:r>
      <w:r w:rsidR="000F75B5" w:rsidRPr="00010093">
        <w:t>assessment</w:t>
      </w:r>
      <w:r w:rsidR="00CA65C9" w:rsidRPr="00010093">
        <w:t xml:space="preserve"> of refugee status</w:t>
      </w:r>
      <w:r w:rsidR="00350BE2" w:rsidRPr="00010093">
        <w:t xml:space="preserve"> </w:t>
      </w:r>
      <w:r w:rsidR="0028209B">
        <w:t>ha</w:t>
      </w:r>
      <w:r w:rsidR="0028209B" w:rsidRPr="00010093">
        <w:t xml:space="preserve">s </w:t>
      </w:r>
      <w:r w:rsidR="00350BE2" w:rsidRPr="00010093">
        <w:t>to be approached with a gender-sensitive understanding. Moreover, gender-sensitive asylum procedures need to be put in place by the Parties. This Chapter also</w:t>
      </w:r>
      <w:r w:rsidR="00CD234F" w:rsidRPr="00010093">
        <w:t xml:space="preserve"> </w:t>
      </w:r>
      <w:r w:rsidR="0028209B">
        <w:t>deal</w:t>
      </w:r>
      <w:r w:rsidR="0028209B" w:rsidRPr="00010093">
        <w:t>s</w:t>
      </w:r>
      <w:r w:rsidR="0028209B">
        <w:t xml:space="preserve"> with</w:t>
      </w:r>
      <w:r w:rsidR="0028209B" w:rsidRPr="00010093">
        <w:t xml:space="preserve"> </w:t>
      </w:r>
      <w:r w:rsidR="00852192" w:rsidRPr="00010093">
        <w:t>the</w:t>
      </w:r>
      <w:r w:rsidR="006724F2">
        <w:t xml:space="preserve"> respect</w:t>
      </w:r>
      <w:r w:rsidR="00852192" w:rsidRPr="00010093">
        <w:t xml:space="preserve"> </w:t>
      </w:r>
      <w:r w:rsidR="00350BE2" w:rsidRPr="00010093">
        <w:t xml:space="preserve">of the </w:t>
      </w:r>
      <w:r w:rsidR="00350BE2" w:rsidRPr="00010093">
        <w:rPr>
          <w:i/>
        </w:rPr>
        <w:t>non-refoulement</w:t>
      </w:r>
      <w:r w:rsidR="00350BE2" w:rsidRPr="00010093">
        <w:t xml:space="preserve"> principle</w:t>
      </w:r>
      <w:r w:rsidR="006724F2">
        <w:t xml:space="preserve"> with regard</w:t>
      </w:r>
      <w:r w:rsidR="00350BE2" w:rsidRPr="00010093">
        <w:t xml:space="preserve"> to victims of violence against women.</w:t>
      </w:r>
    </w:p>
    <w:p w:rsidR="00CD234F" w:rsidRPr="00010093" w:rsidRDefault="00CD234F" w:rsidP="00047374">
      <w:r w:rsidRPr="00010093">
        <w:rPr>
          <w:b/>
        </w:rPr>
        <w:t>Chapter VIII</w:t>
      </w:r>
      <w:r w:rsidR="00140E77" w:rsidRPr="00010093">
        <w:t xml:space="preserve"> is dedicated to ensuring</w:t>
      </w:r>
      <w:r w:rsidRPr="00010093">
        <w:t xml:space="preserve"> internation</w:t>
      </w:r>
      <w:r w:rsidR="005404C0" w:rsidRPr="00010093">
        <w:t>al cooperation between Parties</w:t>
      </w:r>
      <w:r w:rsidR="006724F2">
        <w:t xml:space="preserve"> shall cooperate</w:t>
      </w:r>
      <w:r w:rsidR="005404C0" w:rsidRPr="00010093">
        <w:t xml:space="preserve"> in the implementation of the Convention and</w:t>
      </w:r>
      <w:r w:rsidR="006724F2">
        <w:t xml:space="preserve"> make</w:t>
      </w:r>
      <w:r w:rsidR="005404C0" w:rsidRPr="00010093">
        <w:t xml:space="preserve"> use of relevant regional and international cooperation instruments. Parties need to ensure that claims can</w:t>
      </w:r>
      <w:r w:rsidR="001E726F" w:rsidRPr="00010093">
        <w:t xml:space="preserve"> be</w:t>
      </w:r>
      <w:r w:rsidR="005404C0" w:rsidRPr="00010093">
        <w:t xml:space="preserve"> brought in the victim</w:t>
      </w:r>
      <w:r w:rsidR="00010093">
        <w:t>’</w:t>
      </w:r>
      <w:r w:rsidR="005404C0" w:rsidRPr="00010093">
        <w:t xml:space="preserve">s </w:t>
      </w:r>
      <w:r w:rsidR="00B30B22">
        <w:t xml:space="preserve">country of </w:t>
      </w:r>
      <w:r w:rsidR="005404C0" w:rsidRPr="00010093">
        <w:t xml:space="preserve">residence </w:t>
      </w:r>
      <w:r w:rsidR="000F75B5" w:rsidRPr="00010093">
        <w:t xml:space="preserve">for crimes </w:t>
      </w:r>
      <w:r w:rsidR="005404C0" w:rsidRPr="00010093">
        <w:t>committed in the territory of another Party.</w:t>
      </w:r>
      <w:r w:rsidR="001E726F" w:rsidRPr="00010093">
        <w:t xml:space="preserve"> In situations </w:t>
      </w:r>
      <w:r w:rsidR="00B30B22">
        <w:t xml:space="preserve">where </w:t>
      </w:r>
      <w:r w:rsidR="001E726F" w:rsidRPr="00010093">
        <w:t>a person</w:t>
      </w:r>
      <w:r w:rsidR="00B30B22">
        <w:t xml:space="preserve"> is at</w:t>
      </w:r>
      <w:r w:rsidR="00B30B22" w:rsidRPr="00010093">
        <w:t xml:space="preserve"> immediate risk </w:t>
      </w:r>
      <w:r w:rsidR="00B30B22">
        <w:t>of violence</w:t>
      </w:r>
      <w:r w:rsidR="001E726F" w:rsidRPr="00010093">
        <w:t xml:space="preserve">, Parties should inform </w:t>
      </w:r>
      <w:r w:rsidR="00B30B22">
        <w:t>one another</w:t>
      </w:r>
      <w:r w:rsidR="001E726F" w:rsidRPr="00010093">
        <w:t xml:space="preserve">, </w:t>
      </w:r>
      <w:r w:rsidR="001E726F" w:rsidRPr="00010093">
        <w:lastRenderedPageBreak/>
        <w:t xml:space="preserve">so that protection measures can be taken. This Chapter includes the obligation to process </w:t>
      </w:r>
      <w:r w:rsidR="00140E77" w:rsidRPr="00010093">
        <w:t xml:space="preserve">personal </w:t>
      </w:r>
      <w:r w:rsidR="001E726F" w:rsidRPr="00010093">
        <w:t>data in accordance with the Council of Europe Convention for the Protection of Individuals with regard to Automatic Processing of Personal Data (No. 108).</w:t>
      </w:r>
    </w:p>
    <w:p w:rsidR="00520B98" w:rsidRPr="00010093" w:rsidRDefault="00520B98" w:rsidP="00047374">
      <w:r w:rsidRPr="00010093">
        <w:rPr>
          <w:b/>
        </w:rPr>
        <w:t>Chapter IX</w:t>
      </w:r>
      <w:r w:rsidRPr="00010093">
        <w:t xml:space="preserve"> sets up the mechanism for</w:t>
      </w:r>
      <w:r w:rsidR="00B30B22">
        <w:t xml:space="preserve"> monitoring</w:t>
      </w:r>
      <w:r w:rsidRPr="00010093">
        <w:t xml:space="preserve"> the implementation of the Convention. </w:t>
      </w:r>
      <w:r w:rsidR="00DE5B67">
        <w:t>A</w:t>
      </w:r>
      <w:r w:rsidR="008346B6" w:rsidRPr="00010093">
        <w:t>n independent group of experts (</w:t>
      </w:r>
      <w:r w:rsidR="00010093">
        <w:t>‘</w:t>
      </w:r>
      <w:r w:rsidR="008346B6" w:rsidRPr="00010093">
        <w:t>GREVIO</w:t>
      </w:r>
      <w:r w:rsidR="00010093">
        <w:t>’</w:t>
      </w:r>
      <w:r w:rsidR="008346B6" w:rsidRPr="00010093">
        <w:t>)</w:t>
      </w:r>
      <w:r w:rsidR="008346B6" w:rsidRPr="00010093">
        <w:rPr>
          <w:rStyle w:val="FootnoteReference"/>
        </w:rPr>
        <w:footnoteReference w:id="15"/>
      </w:r>
      <w:r w:rsidR="008346B6" w:rsidRPr="00010093">
        <w:t xml:space="preserve"> (consisting of 10</w:t>
      </w:r>
      <w:r w:rsidR="003B02CD">
        <w:t xml:space="preserve"> up</w:t>
      </w:r>
      <w:r w:rsidR="008346B6" w:rsidRPr="00010093">
        <w:t xml:space="preserve"> to a maximum</w:t>
      </w:r>
      <w:r w:rsidR="003B02CD">
        <w:t xml:space="preserve"> of</w:t>
      </w:r>
      <w:r w:rsidR="008346B6" w:rsidRPr="00010093">
        <w:t xml:space="preserve"> 15</w:t>
      </w:r>
      <w:r w:rsidR="00865C53" w:rsidRPr="00010093">
        <w:rPr>
          <w:rStyle w:val="FootnoteReference"/>
        </w:rPr>
        <w:footnoteReference w:id="16"/>
      </w:r>
      <w:r w:rsidR="008346B6" w:rsidRPr="00010093">
        <w:t xml:space="preserve"> members) </w:t>
      </w:r>
      <w:r w:rsidR="006724F2">
        <w:t>is to be set up that shall</w:t>
      </w:r>
      <w:r w:rsidR="003B02CD" w:rsidRPr="00010093">
        <w:t xml:space="preserve"> </w:t>
      </w:r>
      <w:r w:rsidR="008346B6" w:rsidRPr="00010093">
        <w:t>be composed of independent and highly qualified experts</w:t>
      </w:r>
      <w:r w:rsidR="00865C53" w:rsidRPr="00010093">
        <w:t xml:space="preserve"> who are nationals of the Parties</w:t>
      </w:r>
      <w:r w:rsidR="00865C53" w:rsidRPr="00010093">
        <w:rPr>
          <w:rStyle w:val="FootnoteReference"/>
        </w:rPr>
        <w:footnoteReference w:id="17"/>
      </w:r>
      <w:r w:rsidR="008346B6" w:rsidRPr="00010093">
        <w:t xml:space="preserve">. The election procedure </w:t>
      </w:r>
      <w:r w:rsidR="00BF58C2" w:rsidRPr="00010093">
        <w:t>has been defined by the Committee of Ministers</w:t>
      </w:r>
      <w:r w:rsidR="002F4899" w:rsidRPr="00010093">
        <w:rPr>
          <w:rStyle w:val="FootnoteReference"/>
        </w:rPr>
        <w:footnoteReference w:id="18"/>
      </w:r>
      <w:r w:rsidR="00BF58C2" w:rsidRPr="00010093">
        <w:t>. The GREVIO members are elected by the Committee of the P</w:t>
      </w:r>
      <w:r w:rsidR="00140E77" w:rsidRPr="00010093">
        <w:t>arties</w:t>
      </w:r>
      <w:r w:rsidR="00BF58C2" w:rsidRPr="00010093">
        <w:t>.</w:t>
      </w:r>
    </w:p>
    <w:p w:rsidR="00BF58C2" w:rsidRPr="00010093" w:rsidRDefault="00140E77" w:rsidP="00047374">
      <w:r w:rsidRPr="00010093">
        <w:t>The Parties report to GREVIO, which may also carry out more specific inquiries and country visits. GREVIO sub</w:t>
      </w:r>
      <w:r w:rsidR="00407662" w:rsidRPr="00010093">
        <w:t>mits draft reports to the Parties</w:t>
      </w:r>
      <w:r w:rsidR="00534E6F" w:rsidRPr="00534E6F">
        <w:t xml:space="preserve"> </w:t>
      </w:r>
      <w:r w:rsidR="00534E6F" w:rsidRPr="00010093">
        <w:t>for comments</w:t>
      </w:r>
      <w:r w:rsidR="00407662" w:rsidRPr="00010093">
        <w:t>. Final reports and conclusions are sent to the Party concerned and the Committee of the Parties. The latter may decide to adopt recommendations addressed to the Party concerned. GREVIO can also adopt general recommendations. National parliaments</w:t>
      </w:r>
      <w:r w:rsidR="006724F2">
        <w:t xml:space="preserve"> shall</w:t>
      </w:r>
      <w:r w:rsidR="00407662" w:rsidRPr="00010093">
        <w:t xml:space="preserve"> be invited to participate in the monitoring work.</w:t>
      </w:r>
      <w:r w:rsidR="002F4899" w:rsidRPr="00010093">
        <w:t xml:space="preserve"> GREVIO works in accordance with its Rules of Procedure</w:t>
      </w:r>
      <w:r w:rsidR="002F4899" w:rsidRPr="00010093">
        <w:rPr>
          <w:rStyle w:val="FootnoteReference"/>
        </w:rPr>
        <w:footnoteReference w:id="19"/>
      </w:r>
      <w:r w:rsidR="00010093">
        <w:t>.</w:t>
      </w:r>
    </w:p>
    <w:p w:rsidR="00407662" w:rsidRPr="00010093" w:rsidRDefault="00407662" w:rsidP="00047374">
      <w:r w:rsidRPr="00010093">
        <w:t xml:space="preserve">The Committee of the Parties is composed of the representatives of the Parties to the Convention. It elects the GREVIO members. It </w:t>
      </w:r>
      <w:r w:rsidR="006724F2">
        <w:t>shall</w:t>
      </w:r>
      <w:r w:rsidR="00890DC1" w:rsidRPr="00010093">
        <w:t xml:space="preserve"> </w:t>
      </w:r>
      <w:r w:rsidRPr="00010093">
        <w:t xml:space="preserve">meet </w:t>
      </w:r>
      <w:r w:rsidR="00890DC1">
        <w:t>when</w:t>
      </w:r>
      <w:r w:rsidR="00890DC1" w:rsidRPr="00010093">
        <w:t xml:space="preserve"> </w:t>
      </w:r>
      <w:r w:rsidRPr="00010093">
        <w:t>request</w:t>
      </w:r>
      <w:r w:rsidR="00890DC1">
        <w:t>ed to do so</w:t>
      </w:r>
      <w:r w:rsidRPr="00010093">
        <w:t xml:space="preserve"> </w:t>
      </w:r>
      <w:r w:rsidR="00890DC1">
        <w:t>by</w:t>
      </w:r>
      <w:r w:rsidR="00890DC1" w:rsidRPr="00010093">
        <w:t xml:space="preserve"> </w:t>
      </w:r>
      <w:r w:rsidRPr="00010093">
        <w:t>one third of the Parties, the President of the Committee of the Parties, or the Secretary General of the Council of Europe.</w:t>
      </w:r>
    </w:p>
    <w:p w:rsidR="000340E3" w:rsidRPr="00010093" w:rsidRDefault="000340E3" w:rsidP="00047374">
      <w:r w:rsidRPr="00010093">
        <w:rPr>
          <w:b/>
        </w:rPr>
        <w:t>Chapter X</w:t>
      </w:r>
      <w:r w:rsidRPr="00010093">
        <w:t xml:space="preserve"> clarifies that the Convention does not affect obligations of the Parties under other international instruments, and that Parties are free to conclude other international agreements on the matters covered by the Convention to supplement or strengthen its provisions.</w:t>
      </w:r>
    </w:p>
    <w:p w:rsidR="000340E3" w:rsidRPr="00010093" w:rsidRDefault="000340E3" w:rsidP="00047374">
      <w:r w:rsidRPr="00010093">
        <w:rPr>
          <w:b/>
        </w:rPr>
        <w:t>Chapter XI</w:t>
      </w:r>
      <w:r w:rsidRPr="00010093">
        <w:t xml:space="preserve"> sets </w:t>
      </w:r>
      <w:r w:rsidR="00890DC1">
        <w:t>out</w:t>
      </w:r>
      <w:r w:rsidR="00890DC1" w:rsidRPr="00010093">
        <w:t xml:space="preserve"> </w:t>
      </w:r>
      <w:r w:rsidRPr="00010093">
        <w:t>the procedure for</w:t>
      </w:r>
      <w:r w:rsidR="00890DC1">
        <w:t xml:space="preserve"> making</w:t>
      </w:r>
      <w:r w:rsidRPr="00010093">
        <w:t xml:space="preserve"> amendments to the Convention. Parties that are not members of the Council of Europe </w:t>
      </w:r>
      <w:r w:rsidR="00756D1F">
        <w:t>shall</w:t>
      </w:r>
      <w:r w:rsidR="00890DC1" w:rsidRPr="00010093">
        <w:t xml:space="preserve"> </w:t>
      </w:r>
      <w:r w:rsidRPr="00010093">
        <w:t>be consulted on these amendments.</w:t>
      </w:r>
    </w:p>
    <w:p w:rsidR="00C6109F" w:rsidRPr="00010093" w:rsidRDefault="000340E3" w:rsidP="00047374">
      <w:r w:rsidRPr="00010093">
        <w:rPr>
          <w:b/>
        </w:rPr>
        <w:t>Chapter XII</w:t>
      </w:r>
      <w:r w:rsidRPr="00010093">
        <w:t xml:space="preserve"> contai</w:t>
      </w:r>
      <w:r w:rsidR="00F60573" w:rsidRPr="00010093">
        <w:t xml:space="preserve">ns the final clauses. These include the clarification that the Convention is without prejudice to more favourable provisions of internal or binding international law, a clause </w:t>
      </w:r>
      <w:r w:rsidR="00140E77" w:rsidRPr="00010093">
        <w:t xml:space="preserve">on </w:t>
      </w:r>
      <w:r w:rsidR="00F60573" w:rsidRPr="00010093">
        <w:t xml:space="preserve">dispute resolution and the provisions pertaining to signing, ratification, entry into force, and accession by States that are </w:t>
      </w:r>
      <w:r w:rsidR="00D850BA">
        <w:t>not members</w:t>
      </w:r>
      <w:r w:rsidR="00F60573" w:rsidRPr="00010093">
        <w:t xml:space="preserve"> of the Council of Europe. The Convention is explicitly open for signature by the European Union (Article 75(1)) and subject to ratification, acceptance or approval,</w:t>
      </w:r>
      <w:r w:rsidR="00D850BA" w:rsidRPr="00D850BA">
        <w:t xml:space="preserve"> </w:t>
      </w:r>
      <w:r w:rsidR="00D850BA">
        <w:t>for which the necessary instruments are</w:t>
      </w:r>
      <w:r w:rsidR="00F60573" w:rsidRPr="00010093">
        <w:t xml:space="preserve"> to be deposited with the Secretary General of the Council of Europe. </w:t>
      </w:r>
      <w:r w:rsidR="006C13E5" w:rsidRPr="00010093">
        <w:t>Any State and the EU may, upon signing or ratifying</w:t>
      </w:r>
      <w:r w:rsidR="00D850BA" w:rsidRPr="00D850BA">
        <w:t xml:space="preserve"> the Convention</w:t>
      </w:r>
      <w:r w:rsidR="006C13E5" w:rsidRPr="00010093">
        <w:t xml:space="preserve">, specify the territorial application. Reservations are possible on a limited number of </w:t>
      </w:r>
      <w:r w:rsidR="00A57C23" w:rsidRPr="00010093">
        <w:t>provisions</w:t>
      </w:r>
      <w:r w:rsidR="006C13E5" w:rsidRPr="00010093">
        <w:t xml:space="preserve"> and th</w:t>
      </w:r>
      <w:r w:rsidR="00F53ED3" w:rsidRPr="00010093">
        <w:t>is for a (renewable) period of five</w:t>
      </w:r>
      <w:r w:rsidR="00C6109F" w:rsidRPr="00010093">
        <w:t xml:space="preserve"> years.</w:t>
      </w:r>
    </w:p>
    <w:p w:rsidR="000340E3" w:rsidRPr="00010093" w:rsidRDefault="006C13E5" w:rsidP="00047374">
      <w:r w:rsidRPr="00010093">
        <w:t xml:space="preserve">The Convention is complemented by an </w:t>
      </w:r>
      <w:r w:rsidRPr="00010093">
        <w:rPr>
          <w:b/>
        </w:rPr>
        <w:t xml:space="preserve">Appendix </w:t>
      </w:r>
      <w:r w:rsidRPr="00010093">
        <w:t>laying down the privileges and immunities enjoyed by GREVIO members (and other members of delegations) during country visits undertaken in the exercise of their functions.</w:t>
      </w:r>
    </w:p>
    <w:p w:rsidR="00534B42" w:rsidRPr="00010093" w:rsidRDefault="00534B42" w:rsidP="00047374"/>
    <w:p w:rsidR="00534B42" w:rsidRPr="00010093" w:rsidRDefault="00534B42" w:rsidP="00534B42">
      <w:pPr>
        <w:pStyle w:val="ManualHeading2"/>
      </w:pPr>
      <w:r w:rsidRPr="00010093">
        <w:lastRenderedPageBreak/>
        <w:t xml:space="preserve">1.3 Policy goal of the EU for </w:t>
      </w:r>
      <w:r w:rsidR="00971884">
        <w:t>conclusion</w:t>
      </w:r>
      <w:r w:rsidR="006724F2" w:rsidRPr="00010093">
        <w:t xml:space="preserve"> </w:t>
      </w:r>
      <w:r w:rsidRPr="00010093">
        <w:t>of the Convention</w:t>
      </w:r>
    </w:p>
    <w:p w:rsidR="00B95E25" w:rsidRPr="00010093" w:rsidRDefault="001417BB" w:rsidP="00047374">
      <w:r w:rsidRPr="00010093">
        <w:t>The Convention</w:t>
      </w:r>
      <w:r w:rsidR="00010093">
        <w:t>’</w:t>
      </w:r>
      <w:r w:rsidRPr="00010093">
        <w:t>s</w:t>
      </w:r>
      <w:r w:rsidR="006724F2">
        <w:t xml:space="preserve"> approach</w:t>
      </w:r>
      <w:r w:rsidRPr="00010093">
        <w:t xml:space="preserve"> </w:t>
      </w:r>
      <w:r w:rsidR="006724F2">
        <w:t>is</w:t>
      </w:r>
      <w:r w:rsidRPr="00010093">
        <w:t xml:space="preserve"> fully in line with the Union</w:t>
      </w:r>
      <w:r w:rsidR="00010093">
        <w:t>’</w:t>
      </w:r>
      <w:r w:rsidRPr="00010093">
        <w:t xml:space="preserve">s multifaceted approach </w:t>
      </w:r>
      <w:r w:rsidR="007B25F1">
        <w:t>to</w:t>
      </w:r>
      <w:r w:rsidR="007B25F1" w:rsidRPr="00010093">
        <w:t xml:space="preserve"> </w:t>
      </w:r>
      <w:r w:rsidRPr="00010093">
        <w:t>the phenomenon of gender-based violence</w:t>
      </w:r>
      <w:r w:rsidR="00CA7A6F" w:rsidRPr="00010093">
        <w:t xml:space="preserve"> </w:t>
      </w:r>
      <w:r w:rsidR="00A57C23" w:rsidRPr="00010093">
        <w:t>and the thrust of measures in place</w:t>
      </w:r>
      <w:r w:rsidR="00CA7A6F" w:rsidRPr="00010093">
        <w:t xml:space="preserve"> </w:t>
      </w:r>
      <w:r w:rsidR="00A57C23" w:rsidRPr="00010093">
        <w:t>through</w:t>
      </w:r>
      <w:r w:rsidR="00CA7A6F" w:rsidRPr="00010093">
        <w:t xml:space="preserve"> internal and external </w:t>
      </w:r>
      <w:r w:rsidR="007B25F1">
        <w:t>E</w:t>
      </w:r>
      <w:r w:rsidR="00CA7A6F" w:rsidRPr="00010093">
        <w:t xml:space="preserve">U policies. </w:t>
      </w:r>
      <w:r w:rsidR="00140E77" w:rsidRPr="00010093">
        <w:t xml:space="preserve">The </w:t>
      </w:r>
      <w:r w:rsidR="00D50860" w:rsidRPr="00010093">
        <w:t>conclusion</w:t>
      </w:r>
      <w:r w:rsidR="00140E77" w:rsidRPr="00010093">
        <w:t xml:space="preserve"> of</w:t>
      </w:r>
      <w:r w:rsidR="00CA7A6F" w:rsidRPr="00010093">
        <w:t xml:space="preserve"> the Convention would send a strong political message </w:t>
      </w:r>
      <w:r w:rsidR="007B25F1">
        <w:t>about</w:t>
      </w:r>
      <w:r w:rsidR="007B25F1" w:rsidRPr="00010093">
        <w:t xml:space="preserve"> </w:t>
      </w:r>
      <w:r w:rsidR="00CA7A6F" w:rsidRPr="00010093">
        <w:t>the EU</w:t>
      </w:r>
      <w:r w:rsidR="00010093">
        <w:t>’</w:t>
      </w:r>
      <w:r w:rsidR="00CA7A6F" w:rsidRPr="00010093">
        <w:t xml:space="preserve">s </w:t>
      </w:r>
      <w:r w:rsidR="000F75B5" w:rsidRPr="00010093">
        <w:t xml:space="preserve">commitment to combating violence against women, </w:t>
      </w:r>
      <w:r w:rsidR="007B25F1" w:rsidRPr="00010093">
        <w:t>creat</w:t>
      </w:r>
      <w:r w:rsidR="006724F2">
        <w:t>e</w:t>
      </w:r>
      <w:r w:rsidR="007B25F1" w:rsidRPr="00010093">
        <w:t xml:space="preserve"> </w:t>
      </w:r>
      <w:r w:rsidR="00CA7A6F" w:rsidRPr="00010093">
        <w:t>coherence between its internal and external action</w:t>
      </w:r>
      <w:r w:rsidR="000F75B5" w:rsidRPr="00010093">
        <w:t>, as well as complementarity between national and EU levels,</w:t>
      </w:r>
      <w:r w:rsidR="00CA7A6F" w:rsidRPr="00010093">
        <w:t xml:space="preserve"> and </w:t>
      </w:r>
      <w:r w:rsidR="007B25F1" w:rsidRPr="00010093">
        <w:t>reinforc</w:t>
      </w:r>
      <w:r w:rsidR="006724F2">
        <w:t>e</w:t>
      </w:r>
      <w:r w:rsidR="007B25F1" w:rsidRPr="00010093">
        <w:t xml:space="preserve"> </w:t>
      </w:r>
      <w:r w:rsidR="00CA7A6F" w:rsidRPr="00010093">
        <w:t>its credibility</w:t>
      </w:r>
      <w:r w:rsidR="00A57C23" w:rsidRPr="00010093">
        <w:t xml:space="preserve"> and accountability</w:t>
      </w:r>
      <w:r w:rsidR="00CA7A6F" w:rsidRPr="00010093">
        <w:t xml:space="preserve"> towards its international partners</w:t>
      </w:r>
      <w:r w:rsidR="000F75B5" w:rsidRPr="00010093">
        <w:t>. It would</w:t>
      </w:r>
      <w:r w:rsidR="00140E77" w:rsidRPr="00010093">
        <w:t xml:space="preserve"> also</w:t>
      </w:r>
      <w:r w:rsidR="000C34BD" w:rsidRPr="00010093">
        <w:t xml:space="preserve"> </w:t>
      </w:r>
      <w:r w:rsidR="007B25F1">
        <w:t>consolidate</w:t>
      </w:r>
      <w:r w:rsidR="007B25F1" w:rsidRPr="00010093">
        <w:t xml:space="preserve"> </w:t>
      </w:r>
      <w:r w:rsidR="000C34BD" w:rsidRPr="00010093">
        <w:t>the EU</w:t>
      </w:r>
      <w:r w:rsidR="00010093">
        <w:t>’</w:t>
      </w:r>
      <w:r w:rsidR="000C34BD" w:rsidRPr="00010093">
        <w:t xml:space="preserve">s action </w:t>
      </w:r>
      <w:r w:rsidR="007B25F1">
        <w:t>targeting</w:t>
      </w:r>
      <w:r w:rsidR="007B25F1" w:rsidRPr="00010093">
        <w:t xml:space="preserve"> </w:t>
      </w:r>
      <w:r w:rsidR="00A57C23" w:rsidRPr="00010093">
        <w:t xml:space="preserve">violence against women </w:t>
      </w:r>
      <w:r w:rsidR="000C34BD" w:rsidRPr="00010093">
        <w:t xml:space="preserve">by achieving a more coordinated approach internally and </w:t>
      </w:r>
      <w:r w:rsidR="006724F2">
        <w:t>giving it a more effective role</w:t>
      </w:r>
      <w:r w:rsidR="000C34BD" w:rsidRPr="00010093">
        <w:t xml:space="preserve"> in international </w:t>
      </w:r>
      <w:r w:rsidR="00140E77" w:rsidRPr="00010093">
        <w:t>fora.</w:t>
      </w:r>
    </w:p>
    <w:p w:rsidR="001666C9" w:rsidRPr="00010093" w:rsidRDefault="001666C9" w:rsidP="007A2939">
      <w:pPr>
        <w:pStyle w:val="ManualHeading1"/>
      </w:pPr>
      <w:r w:rsidRPr="00010093">
        <w:t>2.</w:t>
      </w:r>
      <w:r w:rsidRPr="00010093">
        <w:tab/>
        <w:t>LEGAL</w:t>
      </w:r>
      <w:r w:rsidR="00B95E25" w:rsidRPr="00010093">
        <w:t xml:space="preserve"> ELEMENTS OF THE PROPOSAL</w:t>
      </w:r>
    </w:p>
    <w:p w:rsidR="0064096D" w:rsidRPr="00010093" w:rsidRDefault="0064096D" w:rsidP="007A2939">
      <w:pPr>
        <w:pBdr>
          <w:top w:val="nil"/>
          <w:left w:val="nil"/>
          <w:bottom w:val="nil"/>
          <w:right w:val="nil"/>
          <w:between w:val="nil"/>
          <w:bar w:val="nil"/>
        </w:pBdr>
        <w:spacing w:before="0" w:after="240"/>
      </w:pPr>
    </w:p>
    <w:p w:rsidR="0064096D" w:rsidRPr="00010093" w:rsidRDefault="00BB191B" w:rsidP="00B96843">
      <w:pPr>
        <w:pStyle w:val="ManualHeading2"/>
      </w:pPr>
      <w:r w:rsidRPr="00010093">
        <w:t xml:space="preserve">2.1 </w:t>
      </w:r>
      <w:r w:rsidR="0060047F" w:rsidRPr="00010093">
        <w:t xml:space="preserve">EU competence </w:t>
      </w:r>
      <w:r w:rsidR="00F47A46" w:rsidRPr="00010093">
        <w:t xml:space="preserve">to </w:t>
      </w:r>
      <w:r w:rsidR="009830B3" w:rsidRPr="00010093">
        <w:t>conclude</w:t>
      </w:r>
      <w:r w:rsidR="00F47A46" w:rsidRPr="00010093">
        <w:t xml:space="preserve"> the Convention</w:t>
      </w:r>
    </w:p>
    <w:p w:rsidR="00E05C17" w:rsidRPr="00010093" w:rsidRDefault="00E05C17" w:rsidP="00E05C17">
      <w:r w:rsidRPr="00010093">
        <w:t xml:space="preserve">Whereas the Member States remain competent </w:t>
      </w:r>
      <w:r w:rsidR="009F473E" w:rsidRPr="00010093">
        <w:t>for</w:t>
      </w:r>
      <w:r w:rsidRPr="00010093">
        <w:t xml:space="preserve"> </w:t>
      </w:r>
      <w:r w:rsidR="00E04A4E">
        <w:t xml:space="preserve">substantial </w:t>
      </w:r>
      <w:r w:rsidRPr="00010093">
        <w:t xml:space="preserve">parts of the Convention, and </w:t>
      </w:r>
      <w:r w:rsidR="00F47A46" w:rsidRPr="00010093">
        <w:t xml:space="preserve">particularly </w:t>
      </w:r>
      <w:r w:rsidR="00EF568A" w:rsidRPr="00010093">
        <w:t xml:space="preserve">for </w:t>
      </w:r>
      <w:r w:rsidRPr="00010093">
        <w:t>most of the provisions on substantive criminal law</w:t>
      </w:r>
      <w:r w:rsidR="00EF568A" w:rsidRPr="00010093">
        <w:t xml:space="preserve"> and other provisions</w:t>
      </w:r>
      <w:r w:rsidRPr="00010093">
        <w:t xml:space="preserve"> in Chapter V to the extent that they are ancillary</w:t>
      </w:r>
      <w:r w:rsidR="00EF568A" w:rsidRPr="00010093">
        <w:t>,</w:t>
      </w:r>
      <w:r w:rsidRPr="00010093">
        <w:t xml:space="preserve"> –the EU has competence for a considerable part of the provisions of</w:t>
      </w:r>
      <w:r w:rsidR="00EF568A" w:rsidRPr="00010093">
        <w:t xml:space="preserve"> the Convention, </w:t>
      </w:r>
      <w:r w:rsidR="00344DB4">
        <w:t>and should therefore</w:t>
      </w:r>
      <w:r w:rsidR="00EF568A" w:rsidRPr="00010093">
        <w:t xml:space="preserve"> </w:t>
      </w:r>
      <w:r w:rsidR="00D50860" w:rsidRPr="00010093">
        <w:t>ratify</w:t>
      </w:r>
      <w:r w:rsidR="00EF568A" w:rsidRPr="00010093">
        <w:t xml:space="preserve"> the Convention alongside Member States.</w:t>
      </w:r>
    </w:p>
    <w:p w:rsidR="00E05C17" w:rsidRPr="00010093" w:rsidRDefault="004548D9" w:rsidP="00E05C17">
      <w:r>
        <w:t>The</w:t>
      </w:r>
      <w:r w:rsidR="00E05C17" w:rsidRPr="00010093">
        <w:t xml:space="preserve"> Union</w:t>
      </w:r>
      <w:r>
        <w:t xml:space="preserve"> has</w:t>
      </w:r>
      <w:r w:rsidR="00E05C17" w:rsidRPr="00010093">
        <w:t xml:space="preserve"> competence</w:t>
      </w:r>
      <w:r>
        <w:t xml:space="preserve"> particularly</w:t>
      </w:r>
      <w:r w:rsidR="00E05C17" w:rsidRPr="00010093">
        <w:t xml:space="preserve"> in the area of anti-discrimination and gender equality under Article 157 TFEU</w:t>
      </w:r>
      <w:r>
        <w:t>,</w:t>
      </w:r>
      <w:r w:rsidR="00E05C17" w:rsidRPr="00010093">
        <w:t xml:space="preserve"> which is relevant under </w:t>
      </w:r>
      <w:r w:rsidR="00E05C17" w:rsidRPr="00010093">
        <w:rPr>
          <w:u w:val="single"/>
        </w:rPr>
        <w:t>Chapter I</w:t>
      </w:r>
      <w:r w:rsidR="00E05C17" w:rsidRPr="00010093">
        <w:t xml:space="preserve"> and, in relation to sexual harassment</w:t>
      </w:r>
      <w:r w:rsidR="00F32C76" w:rsidRPr="00010093">
        <w:t xml:space="preserve"> </w:t>
      </w:r>
      <w:r w:rsidR="00010093">
        <w:t>—</w:t>
      </w:r>
      <w:r w:rsidR="00F32C76" w:rsidRPr="00010093">
        <w:t xml:space="preserve"> covered by Article 40 of the Convention </w:t>
      </w:r>
      <w:r w:rsidR="00010093">
        <w:t>—</w:t>
      </w:r>
      <w:r w:rsidR="00F32C76" w:rsidRPr="00010093">
        <w:t xml:space="preserve"> </w:t>
      </w:r>
      <w:r w:rsidR="00E05C17" w:rsidRPr="00010093">
        <w:t>in matters on employment and occupation and access to an</w:t>
      </w:r>
      <w:r w:rsidR="008B12F6" w:rsidRPr="00010093">
        <w:t xml:space="preserve">d supply </w:t>
      </w:r>
      <w:r>
        <w:t>of</w:t>
      </w:r>
      <w:r w:rsidRPr="00010093">
        <w:t xml:space="preserve"> </w:t>
      </w:r>
      <w:r w:rsidR="008B12F6" w:rsidRPr="00010093">
        <w:t>goods and services,</w:t>
      </w:r>
      <w:r w:rsidR="00E05C17" w:rsidRPr="00010093">
        <w:t xml:space="preserve"> </w:t>
      </w:r>
      <w:r w:rsidR="00EF568A" w:rsidRPr="00010093">
        <w:t xml:space="preserve">and </w:t>
      </w:r>
      <w:r w:rsidR="00E05C17" w:rsidRPr="00010093">
        <w:t>competence</w:t>
      </w:r>
      <w:r w:rsidR="00EF568A" w:rsidRPr="00010093">
        <w:t xml:space="preserve"> as well as</w:t>
      </w:r>
      <w:r w:rsidR="00E05C17" w:rsidRPr="00010093">
        <w:t xml:space="preserve"> secondary</w:t>
      </w:r>
      <w:r>
        <w:t xml:space="preserve"> legislation</w:t>
      </w:r>
      <w:r w:rsidR="00E05C17" w:rsidRPr="00010093">
        <w:t xml:space="preserve"> under Article</w:t>
      </w:r>
      <w:r>
        <w:t>s</w:t>
      </w:r>
      <w:r w:rsidR="00E05C17" w:rsidRPr="00010093">
        <w:t xml:space="preserve"> 82 and 84 TFEU for measures in </w:t>
      </w:r>
      <w:r w:rsidR="00E05C17" w:rsidRPr="00010093">
        <w:rPr>
          <w:u w:val="single"/>
        </w:rPr>
        <w:t>Chapter IV</w:t>
      </w:r>
      <w:r w:rsidR="00E05C17" w:rsidRPr="00010093">
        <w:t xml:space="preserve"> and </w:t>
      </w:r>
      <w:r w:rsidR="00E05C17" w:rsidRPr="00010093">
        <w:rPr>
          <w:u w:val="single"/>
        </w:rPr>
        <w:t>Chapter VI</w:t>
      </w:r>
      <w:r w:rsidR="00E05C17" w:rsidRPr="00010093">
        <w:t xml:space="preserve"> which deal with protection and support </w:t>
      </w:r>
      <w:r>
        <w:t>for</w:t>
      </w:r>
      <w:r w:rsidRPr="00010093">
        <w:t xml:space="preserve"> </w:t>
      </w:r>
      <w:r w:rsidR="00E05C17" w:rsidRPr="00010093">
        <w:t xml:space="preserve">victims and investigation, prosecution, procedural law and protective measures. </w:t>
      </w:r>
      <w:r w:rsidR="0060047F" w:rsidRPr="00010093">
        <w:t xml:space="preserve">As far as sexual exploitation of women and children is concerned, Article 83(1) </w:t>
      </w:r>
      <w:r w:rsidR="00F47A46" w:rsidRPr="00010093">
        <w:t xml:space="preserve">TFEU </w:t>
      </w:r>
      <w:r w:rsidR="0060047F" w:rsidRPr="00010093">
        <w:t xml:space="preserve">provides a legal basis for action. </w:t>
      </w:r>
      <w:r w:rsidR="00E05C17" w:rsidRPr="00010093">
        <w:t xml:space="preserve">The EU is competent for </w:t>
      </w:r>
      <w:r w:rsidR="00BF12A8" w:rsidRPr="00010093">
        <w:t xml:space="preserve">certain </w:t>
      </w:r>
      <w:r w:rsidR="00E05C17" w:rsidRPr="00010093">
        <w:t>matters</w:t>
      </w:r>
      <w:r w:rsidR="00BF12A8" w:rsidRPr="00010093">
        <w:t xml:space="preserve"> in the areas of </w:t>
      </w:r>
      <w:r w:rsidR="00E05C17" w:rsidRPr="00010093">
        <w:t xml:space="preserve">asylum and migration which are the subject of </w:t>
      </w:r>
      <w:r w:rsidR="00E05C17" w:rsidRPr="00010093">
        <w:rPr>
          <w:u w:val="single"/>
        </w:rPr>
        <w:t>Chapter VII</w:t>
      </w:r>
      <w:r w:rsidR="00E05C17" w:rsidRPr="00010093">
        <w:t xml:space="preserve"> of the Convention under Article</w:t>
      </w:r>
      <w:r>
        <w:t>s</w:t>
      </w:r>
      <w:r w:rsidR="00E05C17" w:rsidRPr="00010093">
        <w:t xml:space="preserve"> 78 and 79 TFEU. </w:t>
      </w:r>
      <w:r w:rsidR="0060047F" w:rsidRPr="00010093">
        <w:t xml:space="preserve">Residence status of </w:t>
      </w:r>
      <w:r w:rsidR="00BF12A8" w:rsidRPr="00010093">
        <w:t xml:space="preserve">mobile </w:t>
      </w:r>
      <w:r w:rsidR="0060047F" w:rsidRPr="00010093">
        <w:t xml:space="preserve">EU nationals and </w:t>
      </w:r>
      <w:r w:rsidR="00BF12A8" w:rsidRPr="00010093">
        <w:t xml:space="preserve">their </w:t>
      </w:r>
      <w:r w:rsidR="0060047F" w:rsidRPr="00010093">
        <w:t>third-country spouses</w:t>
      </w:r>
      <w:r w:rsidR="00BF12A8" w:rsidRPr="00010093">
        <w:t xml:space="preserve">, as well as the status of </w:t>
      </w:r>
      <w:r w:rsidRPr="00010093">
        <w:t>third</w:t>
      </w:r>
      <w:r>
        <w:t>-</w:t>
      </w:r>
      <w:r w:rsidR="00BF12A8" w:rsidRPr="00010093">
        <w:t xml:space="preserve">country nationals who are long-term residents and their spouses, </w:t>
      </w:r>
      <w:r w:rsidR="0060047F" w:rsidRPr="00010093">
        <w:t>is a matter of EU competence in accordance with Articles 18, 21, 46, 50</w:t>
      </w:r>
      <w:r w:rsidR="00BF12A8" w:rsidRPr="00010093">
        <w:t>, 78 and 79</w:t>
      </w:r>
      <w:r w:rsidR="0060047F" w:rsidRPr="00010093">
        <w:t xml:space="preserve"> TFEU. </w:t>
      </w:r>
      <w:r w:rsidR="00F32C76" w:rsidRPr="00010093">
        <w:t xml:space="preserve">As regards aspects of consular protection (see Article 18(5) of the Convention), EU competence follows from Article 23 TFEU. </w:t>
      </w:r>
      <w:r w:rsidR="00E05C17" w:rsidRPr="00010093">
        <w:t>Finally, the Union has competence under Article</w:t>
      </w:r>
      <w:r>
        <w:t>s</w:t>
      </w:r>
      <w:r w:rsidR="00E05C17" w:rsidRPr="00010093">
        <w:t xml:space="preserve"> 81 and 82 TFEU on cross-border  civil and criminal matters, which is relevant for measures included in </w:t>
      </w:r>
      <w:r w:rsidR="00E05C17" w:rsidRPr="00010093">
        <w:rPr>
          <w:u w:val="single"/>
        </w:rPr>
        <w:t>Chapter VIII</w:t>
      </w:r>
      <w:r w:rsidR="00E05C17" w:rsidRPr="00010093">
        <w:t xml:space="preserve"> on international cooperation</w:t>
      </w:r>
      <w:r w:rsidR="00530ACD" w:rsidRPr="00010093">
        <w:rPr>
          <w:rStyle w:val="FootnoteReference"/>
        </w:rPr>
        <w:footnoteReference w:id="20"/>
      </w:r>
      <w:r w:rsidR="00E05C17" w:rsidRPr="00010093">
        <w:t>. This chapter also includes obligations on data protection, which is an area falling under Union competence in accordance with Article 16 TFEU.</w:t>
      </w:r>
    </w:p>
    <w:p w:rsidR="007153ED" w:rsidRDefault="007153ED" w:rsidP="007153ED">
      <w:r w:rsidRPr="00010093">
        <w:t xml:space="preserve">The Union has adopted abundant legislation in most of these areas: sexual harassment in matters </w:t>
      </w:r>
      <w:r w:rsidR="004548D9" w:rsidRPr="00010093">
        <w:t>o</w:t>
      </w:r>
      <w:r w:rsidR="004548D9">
        <w:t>f</w:t>
      </w:r>
      <w:r w:rsidR="004548D9" w:rsidRPr="00010093">
        <w:t xml:space="preserve"> </w:t>
      </w:r>
      <w:r w:rsidRPr="00010093">
        <w:t xml:space="preserve">employment and occupation and access to and supply </w:t>
      </w:r>
      <w:r w:rsidR="004548D9">
        <w:t>of</w:t>
      </w:r>
      <w:r w:rsidR="004548D9" w:rsidRPr="00010093">
        <w:t xml:space="preserve"> </w:t>
      </w:r>
      <w:r w:rsidRPr="00010093">
        <w:t>goods and services,</w:t>
      </w:r>
      <w:r w:rsidRPr="00010093">
        <w:rPr>
          <w:rStyle w:val="FootnoteReference"/>
        </w:rPr>
        <w:footnoteReference w:id="21"/>
      </w:r>
      <w:r w:rsidRPr="00010093">
        <w:t xml:space="preserve"> </w:t>
      </w:r>
      <w:r w:rsidR="002B7ED4" w:rsidRPr="00010093">
        <w:t xml:space="preserve">rights, </w:t>
      </w:r>
      <w:r w:rsidRPr="00010093">
        <w:t>support</w:t>
      </w:r>
      <w:r w:rsidR="002B7ED4" w:rsidRPr="00010093">
        <w:t xml:space="preserve"> and protection of crime</w:t>
      </w:r>
      <w:r w:rsidRPr="00010093">
        <w:t xml:space="preserve"> victims </w:t>
      </w:r>
      <w:r w:rsidR="002B7ED4" w:rsidRPr="00010093">
        <w:t xml:space="preserve">in the context of criminal proceedings, </w:t>
      </w:r>
      <w:r w:rsidR="002B7ED4" w:rsidRPr="00010093">
        <w:lastRenderedPageBreak/>
        <w:t>including investigation and prosecution</w:t>
      </w:r>
      <w:r w:rsidRPr="00010093">
        <w:rPr>
          <w:rStyle w:val="FootnoteReference"/>
        </w:rPr>
        <w:footnoteReference w:id="22"/>
      </w:r>
      <w:r w:rsidR="00010093">
        <w:t>,</w:t>
      </w:r>
      <w:r w:rsidRPr="00010093">
        <w:t xml:space="preserve"> asylum and migration</w:t>
      </w:r>
      <w:r w:rsidR="004E5533" w:rsidRPr="00010093">
        <w:t xml:space="preserve"> as well as the </w:t>
      </w:r>
      <w:r w:rsidR="007808D1" w:rsidRPr="00010093">
        <w:t>residen</w:t>
      </w:r>
      <w:r w:rsidR="007808D1">
        <w:t>ce</w:t>
      </w:r>
      <w:r w:rsidR="007808D1" w:rsidRPr="00010093">
        <w:t xml:space="preserve"> </w:t>
      </w:r>
      <w:r w:rsidR="004E5533" w:rsidRPr="00010093">
        <w:t xml:space="preserve">status of </w:t>
      </w:r>
      <w:r w:rsidR="004548D9" w:rsidRPr="00010093">
        <w:t>third</w:t>
      </w:r>
      <w:r w:rsidR="004548D9">
        <w:t>-</w:t>
      </w:r>
      <w:r w:rsidR="004E5533" w:rsidRPr="00010093">
        <w:t>country nationals</w:t>
      </w:r>
      <w:r w:rsidRPr="00010093">
        <w:t>,</w:t>
      </w:r>
      <w:r w:rsidRPr="00010093">
        <w:rPr>
          <w:rStyle w:val="FootnoteReference"/>
        </w:rPr>
        <w:footnoteReference w:id="23"/>
      </w:r>
      <w:r w:rsidRPr="00010093">
        <w:t xml:space="preserve"> cross-border cooperation in civil and criminal matters</w:t>
      </w:r>
      <w:r w:rsidRPr="00010093">
        <w:rPr>
          <w:rStyle w:val="FootnoteReference"/>
        </w:rPr>
        <w:footnoteReference w:id="24"/>
      </w:r>
      <w:r w:rsidR="00010093">
        <w:t>,</w:t>
      </w:r>
      <w:r w:rsidRPr="00010093">
        <w:t xml:space="preserve"> substantive criminal law provisions for the protection of children (which are, as regards girls, covered by the scope of the Convention)</w:t>
      </w:r>
      <w:r w:rsidRPr="00010093">
        <w:rPr>
          <w:rStyle w:val="FootnoteReference"/>
        </w:rPr>
        <w:footnoteReference w:id="25"/>
      </w:r>
      <w:r w:rsidR="00010093">
        <w:t>,</w:t>
      </w:r>
      <w:r w:rsidRPr="00010093">
        <w:t xml:space="preserve"> </w:t>
      </w:r>
      <w:r w:rsidR="005052CC" w:rsidRPr="00010093">
        <w:t>provisions regarding audiovisual media services on the protection of minors, prohibition of discrimination in commercial communications and incitement to hatred based, among other things, on sex</w:t>
      </w:r>
      <w:r w:rsidR="001E15B9">
        <w:t>,</w:t>
      </w:r>
      <w:r w:rsidRPr="00010093">
        <w:rPr>
          <w:rStyle w:val="FootnoteReference"/>
        </w:rPr>
        <w:footnoteReference w:id="26"/>
      </w:r>
      <w:r w:rsidRPr="00010093">
        <w:t xml:space="preserve"> and data protection.</w:t>
      </w:r>
      <w:r w:rsidRPr="00010093">
        <w:rPr>
          <w:rStyle w:val="FootnoteReference"/>
        </w:rPr>
        <w:t xml:space="preserve"> </w:t>
      </w:r>
      <w:r w:rsidRPr="00010093">
        <w:rPr>
          <w:rStyle w:val="FootnoteReference"/>
        </w:rPr>
        <w:footnoteReference w:id="27"/>
      </w:r>
      <w:r w:rsidR="00F32C76" w:rsidRPr="00010093">
        <w:t xml:space="preserve"> </w:t>
      </w:r>
      <w:r w:rsidR="004E5533" w:rsidRPr="00010093">
        <w:t xml:space="preserve">There is also </w:t>
      </w:r>
      <w:r w:rsidR="007E1109" w:rsidRPr="00010093">
        <w:t>Union</w:t>
      </w:r>
      <w:r w:rsidR="004E5533" w:rsidRPr="00010093">
        <w:t xml:space="preserve"> </w:t>
      </w:r>
      <w:r w:rsidR="007808D1">
        <w:t>legislation</w:t>
      </w:r>
      <w:r w:rsidR="007808D1" w:rsidRPr="00010093">
        <w:t xml:space="preserve"> </w:t>
      </w:r>
      <w:r w:rsidR="004E5533" w:rsidRPr="00010093">
        <w:t>on aspects of Member States</w:t>
      </w:r>
      <w:r w:rsidR="007808D1">
        <w:t>’</w:t>
      </w:r>
      <w:r w:rsidR="007808D1" w:rsidRPr="007808D1">
        <w:t xml:space="preserve"> </w:t>
      </w:r>
      <w:r w:rsidR="007808D1" w:rsidRPr="00010093">
        <w:t>cooperation</w:t>
      </w:r>
      <w:r w:rsidR="004E5533" w:rsidRPr="00010093">
        <w:t xml:space="preserve"> on </w:t>
      </w:r>
      <w:r w:rsidR="007808D1">
        <w:t>E</w:t>
      </w:r>
      <w:r w:rsidR="007E1109" w:rsidRPr="00010093">
        <w:t>U</w:t>
      </w:r>
      <w:r w:rsidR="004E5533" w:rsidRPr="00010093">
        <w:t xml:space="preserve"> citizen</w:t>
      </w:r>
      <w:r w:rsidR="00010093">
        <w:t>’</w:t>
      </w:r>
      <w:r w:rsidR="004E5533" w:rsidRPr="00010093">
        <w:t>s consular protection</w:t>
      </w:r>
      <w:r w:rsidR="004E5533" w:rsidRPr="00010093">
        <w:rPr>
          <w:rStyle w:val="FootnoteReference"/>
        </w:rPr>
        <w:footnoteReference w:id="28"/>
      </w:r>
      <w:r w:rsidR="004E5533" w:rsidRPr="00010093">
        <w:t>.</w:t>
      </w:r>
    </w:p>
    <w:p w:rsidR="00C1194B" w:rsidRPr="00010093" w:rsidRDefault="00C1194B" w:rsidP="007153ED">
      <w:r>
        <w:t>Obligations also result from the UN Convention on the Rights of Persons with Disabilities, to which the EU and its Member States are Contracting Parties.</w:t>
      </w:r>
      <w:r>
        <w:rPr>
          <w:rStyle w:val="FootnoteReference"/>
        </w:rPr>
        <w:footnoteReference w:id="29"/>
      </w:r>
      <w:r>
        <w:t xml:space="preserve"> This Convention requires in its articles 6, 7, 15 and 16 the State Parties to the extent of their competences to ensure that </w:t>
      </w:r>
      <w:r>
        <w:lastRenderedPageBreak/>
        <w:t>women and children with disabilities enjoy equal rights and that disabled persons are protected against exploitation, violence and abuse.</w:t>
      </w:r>
    </w:p>
    <w:p w:rsidR="007153ED" w:rsidRPr="00010093" w:rsidRDefault="007153ED" w:rsidP="007153ED">
      <w:r w:rsidRPr="00010093">
        <w:t>To the extent that the Convention may affect or alter the scope of these common rules, the Union is exclusively competent pursuant to Article 3(2) TFEU. This is, fo</w:t>
      </w:r>
      <w:r w:rsidR="000B6082" w:rsidRPr="00010093">
        <w:t xml:space="preserve">r example, the case as regards </w:t>
      </w:r>
      <w:r w:rsidRPr="00010093">
        <w:t xml:space="preserve">matters pertaining to the residence status of third-country nationals and stateless persons, including beneficiaries of international protection, </w:t>
      </w:r>
      <w:r w:rsidR="00BF12A8" w:rsidRPr="00010093">
        <w:t xml:space="preserve">as far as it is covered by Union legislation, </w:t>
      </w:r>
      <w:r w:rsidRPr="00010093">
        <w:t>and the examination of applications for international protection</w:t>
      </w:r>
      <w:r w:rsidR="008B12F6" w:rsidRPr="00010093">
        <w:t>, and also as regards the rights of crime victims</w:t>
      </w:r>
      <w:r w:rsidRPr="00010093">
        <w:t xml:space="preserve">. </w:t>
      </w:r>
      <w:r w:rsidR="00EA1E97" w:rsidRPr="00010093">
        <w:t>Even if m</w:t>
      </w:r>
      <w:r w:rsidR="00EF568A" w:rsidRPr="00010093">
        <w:t>any</w:t>
      </w:r>
      <w:r w:rsidRPr="00010093">
        <w:t xml:space="preserve"> of the existing </w:t>
      </w:r>
      <w:r w:rsidR="00386E96" w:rsidRPr="00010093">
        <w:t>provisions</w:t>
      </w:r>
      <w:r w:rsidR="00EF568A" w:rsidRPr="00010093">
        <w:t xml:space="preserve"> referred to above</w:t>
      </w:r>
      <w:r w:rsidRPr="00010093">
        <w:t xml:space="preserve"> are minimal rules, it cannot be ruled out that, in the light of recent case law, some </w:t>
      </w:r>
      <w:r w:rsidR="00DD6806" w:rsidRPr="00010093">
        <w:t xml:space="preserve">of </w:t>
      </w:r>
      <w:r w:rsidR="00BB191B" w:rsidRPr="00010093">
        <w:t>them may</w:t>
      </w:r>
      <w:r w:rsidRPr="00010093">
        <w:t xml:space="preserve"> also be a</w:t>
      </w:r>
      <w:r w:rsidR="00A54B75" w:rsidRPr="00010093">
        <w:t>ffected or their scope altered.</w:t>
      </w:r>
    </w:p>
    <w:p w:rsidR="00A33CCB" w:rsidRPr="00010093" w:rsidRDefault="00A33CCB" w:rsidP="007153ED"/>
    <w:p w:rsidR="00A33CCB" w:rsidRPr="00010093" w:rsidRDefault="00A33CCB" w:rsidP="00C1576E">
      <w:pPr>
        <w:pStyle w:val="ManualHeading2"/>
      </w:pPr>
      <w:r w:rsidRPr="00010093">
        <w:t>2.2 Legal basis for the proposed Council Decision</w:t>
      </w:r>
    </w:p>
    <w:p w:rsidR="00A54B75" w:rsidRPr="00010093" w:rsidRDefault="00A54B75" w:rsidP="00A54B75">
      <w:r w:rsidRPr="00010093">
        <w:t>It is established case</w:t>
      </w:r>
      <w:r w:rsidR="00386E96">
        <w:t xml:space="preserve"> </w:t>
      </w:r>
      <w:r w:rsidRPr="00010093">
        <w:t>law that the choice of legal basis for an EU measure must rest on objective factors that are amenable to judicial review; these include the aim and the content of the measure</w:t>
      </w:r>
      <w:r w:rsidRPr="00010093">
        <w:rPr>
          <w:rStyle w:val="FootnoteReference"/>
        </w:rPr>
        <w:footnoteReference w:id="30"/>
      </w:r>
      <w:r w:rsidR="00010093">
        <w:t>.</w:t>
      </w:r>
      <w:r w:rsidRPr="00010093">
        <w:t xml:space="preserve"> If examination of a</w:t>
      </w:r>
      <w:r w:rsidR="00A33CCB" w:rsidRPr="00010093">
        <w:t>n</w:t>
      </w:r>
      <w:r w:rsidRPr="00010093">
        <w:t xml:space="preserve"> E</w:t>
      </w:r>
      <w:r w:rsidR="00A33CCB" w:rsidRPr="00010093">
        <w:t>U</w:t>
      </w:r>
      <w:r w:rsidRPr="00010093">
        <w:t xml:space="preserve"> measure reveals that it </w:t>
      </w:r>
      <w:r w:rsidR="00386E96">
        <w:t>serv</w:t>
      </w:r>
      <w:r w:rsidR="00386E96" w:rsidRPr="00010093">
        <w:t xml:space="preserve">es </w:t>
      </w:r>
      <w:r w:rsidRPr="00010093">
        <w:t>a twofold purpose or that it has a twofold component and if one of those is identifiable as the main or predominant purpose or component, whereas the other is merely incidental, the measure must be founded on a single legal basis, namely that required by the main or predominant purpose or component. By way of exception, if it is established that the measure pursues several objectives which are inseparably linked without one being secondary and indirect in relation to the other, the measure must be founded on the various corresponding legal bases</w:t>
      </w:r>
      <w:r w:rsidRPr="00010093">
        <w:rPr>
          <w:rStyle w:val="FootnoteReference"/>
        </w:rPr>
        <w:footnoteReference w:id="31"/>
      </w:r>
      <w:r w:rsidR="00010093">
        <w:t>.</w:t>
      </w:r>
    </w:p>
    <w:p w:rsidR="00A54B75" w:rsidRPr="00010093" w:rsidRDefault="00A54B75" w:rsidP="00A54B75">
      <w:r w:rsidRPr="00010093">
        <w:t>The legal bases</w:t>
      </w:r>
      <w:r w:rsidR="00A33CCB" w:rsidRPr="00010093">
        <w:t xml:space="preserve"> under the Treaty on the Functioning of the European Union</w:t>
      </w:r>
      <w:r w:rsidRPr="00010093">
        <w:t xml:space="preserve"> which are of relevance here are: Article 16 (data protection), Article 19(1) (sex discrimination), </w:t>
      </w:r>
      <w:r w:rsidR="00EA1E97" w:rsidRPr="00010093">
        <w:t>Article 23 (consular protection for citizens of another Member State), Articles</w:t>
      </w:r>
      <w:r w:rsidR="00386E96">
        <w:t xml:space="preserve"> </w:t>
      </w:r>
      <w:r w:rsidR="00EA1E97" w:rsidRPr="00010093">
        <w:t>18, 21, 46, 50 (</w:t>
      </w:r>
      <w:r w:rsidR="007F43C9" w:rsidRPr="00010093">
        <w:t>free movement of citizens, free</w:t>
      </w:r>
      <w:r w:rsidR="00EA1E97" w:rsidRPr="00010093">
        <w:t xml:space="preserve"> movement of workers and freedom of establishment), Article</w:t>
      </w:r>
      <w:r w:rsidRPr="00010093">
        <w:t xml:space="preserve"> 78 (asylum and subsidiary and temporary protection), Article 79</w:t>
      </w:r>
      <w:r w:rsidR="00EA1E97" w:rsidRPr="00010093">
        <w:t xml:space="preserve"> </w:t>
      </w:r>
      <w:r w:rsidRPr="00010093">
        <w:t>(immigration), Article 81</w:t>
      </w:r>
      <w:r w:rsidR="00EA1E97" w:rsidRPr="00010093">
        <w:t xml:space="preserve"> </w:t>
      </w:r>
      <w:r w:rsidRPr="00010093">
        <w:t>(judicial cooperation in civil matters), Article 82</w:t>
      </w:r>
      <w:r w:rsidR="00EA1E97" w:rsidRPr="00010093">
        <w:t xml:space="preserve"> </w:t>
      </w:r>
      <w:r w:rsidRPr="00010093">
        <w:t>(judicial cooperation in criminal matters), Article 83</w:t>
      </w:r>
      <w:r w:rsidR="00EA1E97" w:rsidRPr="00010093">
        <w:t xml:space="preserve"> </w:t>
      </w:r>
      <w:r w:rsidRPr="00010093">
        <w:t>(definition of EU-wide criminal offences and sanctions for particularly serious crimes with a cross-border dimension), Article 84</w:t>
      </w:r>
      <w:r w:rsidR="00EA1E97" w:rsidRPr="00010093">
        <w:t xml:space="preserve"> </w:t>
      </w:r>
      <w:r w:rsidRPr="00010093">
        <w:t>(non-harmonising measures for crime prevention), and Article 157 (equal opportunities and equal treatment of men and women in areas of employment and occupation).</w:t>
      </w:r>
    </w:p>
    <w:p w:rsidR="00A54B75" w:rsidRPr="00010093" w:rsidRDefault="00A54B75" w:rsidP="00A54B75">
      <w:r w:rsidRPr="00010093">
        <w:t xml:space="preserve">Taken as a whole, </w:t>
      </w:r>
      <w:r w:rsidR="00EA1E97" w:rsidRPr="00010093">
        <w:t xml:space="preserve">although the </w:t>
      </w:r>
      <w:r w:rsidRPr="00010093">
        <w:t>Convention</w:t>
      </w:r>
      <w:r w:rsidR="00EA1E97" w:rsidRPr="00010093">
        <w:t xml:space="preserve"> has several components, </w:t>
      </w:r>
      <w:r w:rsidR="00386E96">
        <w:t>its</w:t>
      </w:r>
      <w:r w:rsidR="00386E96" w:rsidRPr="00010093">
        <w:t xml:space="preserve"> </w:t>
      </w:r>
      <w:r w:rsidR="00EA1E97" w:rsidRPr="00010093">
        <w:t xml:space="preserve">predominant purpose </w:t>
      </w:r>
      <w:r w:rsidRPr="00010093">
        <w:t xml:space="preserve">lies </w:t>
      </w:r>
      <w:r w:rsidR="00386E96">
        <w:t>i</w:t>
      </w:r>
      <w:r w:rsidR="00386E96" w:rsidRPr="00010093">
        <w:t xml:space="preserve">n </w:t>
      </w:r>
      <w:r w:rsidRPr="00010093">
        <w:t xml:space="preserve">the prevention of </w:t>
      </w:r>
      <w:r w:rsidR="00386E96" w:rsidRPr="00010093">
        <w:t>violen</w:t>
      </w:r>
      <w:r w:rsidR="00386E96">
        <w:t>t</w:t>
      </w:r>
      <w:r w:rsidR="00386E96" w:rsidRPr="00010093">
        <w:t xml:space="preserve"> </w:t>
      </w:r>
      <w:r w:rsidRPr="00010093">
        <w:t xml:space="preserve">crimes against women, including domestic violence, and the protection of victims of such crimes. It therefore appears appropriate to base the Decision on the competences of the Union under Title V TFEU and </w:t>
      </w:r>
      <w:r w:rsidR="00386E96">
        <w:t>in particular</w:t>
      </w:r>
      <w:r w:rsidR="00386E96" w:rsidRPr="00010093">
        <w:t xml:space="preserve"> </w:t>
      </w:r>
      <w:r w:rsidRPr="00010093">
        <w:t>on Article 82(2) and Article 84 thereof. The provisions of the Convention on other matters are ancillary or, for example for data protection, incidental to the measures that constitute the focus of the Convention</w:t>
      </w:r>
      <w:r w:rsidRPr="00010093">
        <w:rPr>
          <w:rStyle w:val="FootnoteReference"/>
        </w:rPr>
        <w:footnoteReference w:id="32"/>
      </w:r>
      <w:r w:rsidR="00010093">
        <w:t>.</w:t>
      </w:r>
      <w:r w:rsidRPr="00010093">
        <w:t xml:space="preserve"> As a consequence, for the EU to exercise its competences over the entirety of </w:t>
      </w:r>
      <w:r w:rsidRPr="00010093">
        <w:lastRenderedPageBreak/>
        <w:t>the Convention and excluding elements over which it would have no competence, the main legal bases are Article 82(2) and</w:t>
      </w:r>
      <w:r w:rsidR="002B4265">
        <w:t xml:space="preserve"> Article</w:t>
      </w:r>
      <w:r w:rsidRPr="00010093">
        <w:t xml:space="preserve"> 84 TFEU.</w:t>
      </w:r>
    </w:p>
    <w:p w:rsidR="000B6082" w:rsidRPr="00010093" w:rsidRDefault="004624D1" w:rsidP="00B96843">
      <w:pPr>
        <w:pStyle w:val="ManualHeading2"/>
      </w:pPr>
      <w:r w:rsidRPr="00010093">
        <w:t xml:space="preserve">2.3 </w:t>
      </w:r>
      <w:r w:rsidR="007E1109" w:rsidRPr="00010093">
        <w:t>Conclusion</w:t>
      </w:r>
    </w:p>
    <w:p w:rsidR="000B6082" w:rsidRPr="00010093" w:rsidRDefault="004F26C8" w:rsidP="007153ED">
      <w:r w:rsidRPr="00010093">
        <w:t xml:space="preserve">It follows from </w:t>
      </w:r>
      <w:r w:rsidR="000B6082" w:rsidRPr="00010093">
        <w:t xml:space="preserve">the </w:t>
      </w:r>
      <w:r w:rsidR="00C21ECE" w:rsidRPr="00010093">
        <w:t xml:space="preserve">existence of inter-linked competences conferred </w:t>
      </w:r>
      <w:r w:rsidR="002B4265">
        <w:t>on</w:t>
      </w:r>
      <w:r w:rsidR="002B4265" w:rsidRPr="00010093">
        <w:t xml:space="preserve"> </w:t>
      </w:r>
      <w:r w:rsidR="00C21ECE" w:rsidRPr="00010093">
        <w:t xml:space="preserve">the Union and of competences not conferred </w:t>
      </w:r>
      <w:r w:rsidR="002B4265">
        <w:t>on</w:t>
      </w:r>
      <w:r w:rsidR="002B4265" w:rsidRPr="00010093">
        <w:t xml:space="preserve"> </w:t>
      </w:r>
      <w:r w:rsidR="00C21ECE" w:rsidRPr="00010093">
        <w:t xml:space="preserve">the </w:t>
      </w:r>
      <w:r w:rsidR="003669D7" w:rsidRPr="00010093">
        <w:t>Union</w:t>
      </w:r>
      <w:r w:rsidR="002B4265">
        <w:t>,</w:t>
      </w:r>
      <w:r w:rsidR="003669D7" w:rsidRPr="00010093">
        <w:t xml:space="preserve"> that</w:t>
      </w:r>
      <w:r w:rsidR="00C21ECE" w:rsidRPr="00010093">
        <w:t xml:space="preserve"> both Member States and the Union shall become </w:t>
      </w:r>
      <w:r w:rsidR="002B4265">
        <w:t>P</w:t>
      </w:r>
      <w:r w:rsidR="00C21ECE" w:rsidRPr="00010093">
        <w:t>arties to the Convention</w:t>
      </w:r>
      <w:r w:rsidR="00C75A55" w:rsidRPr="00010093">
        <w:t xml:space="preserve">. As the competences are inter-linked, the Commission considers that it is appropriate to also </w:t>
      </w:r>
      <w:r w:rsidR="00C21ECE" w:rsidRPr="00010093">
        <w:t>establish arrangements between the</w:t>
      </w:r>
      <w:r w:rsidR="00045D41" w:rsidRPr="00010093">
        <w:t xml:space="preserve"> Commission</w:t>
      </w:r>
      <w:r w:rsidR="00C75A55" w:rsidRPr="00010093">
        <w:t xml:space="preserve"> and the Member States</w:t>
      </w:r>
      <w:r w:rsidR="00C21ECE" w:rsidRPr="00010093">
        <w:t xml:space="preserve"> </w:t>
      </w:r>
      <w:r w:rsidR="00C75A55" w:rsidRPr="00010093">
        <w:t>for</w:t>
      </w:r>
      <w:r w:rsidR="00C21ECE" w:rsidRPr="00010093">
        <w:t xml:space="preserve"> the implementation and monitoring mechanisms provided by the Convention (</w:t>
      </w:r>
      <w:r w:rsidR="00FF0807" w:rsidRPr="00010093">
        <w:t>Coordinati</w:t>
      </w:r>
      <w:r w:rsidR="00FF0807">
        <w:t>ng</w:t>
      </w:r>
      <w:r w:rsidR="00FF0807" w:rsidRPr="00010093">
        <w:t xml:space="preserve"> </w:t>
      </w:r>
      <w:r w:rsidR="00C21ECE" w:rsidRPr="00010093">
        <w:t>body under Article 10, reporting and data collection obligations towards the group of experts (Article 11(3), and Articles 66</w:t>
      </w:r>
      <w:r w:rsidR="002B4265">
        <w:t xml:space="preserve"> to </w:t>
      </w:r>
      <w:r w:rsidR="00C21ECE" w:rsidRPr="00010093">
        <w:t>70 of the Convention).</w:t>
      </w:r>
    </w:p>
    <w:p w:rsidR="001666C9" w:rsidRPr="00010093" w:rsidRDefault="001666C9" w:rsidP="00775136">
      <w:pPr>
        <w:pBdr>
          <w:top w:val="nil"/>
          <w:left w:val="nil"/>
          <w:bottom w:val="nil"/>
          <w:right w:val="nil"/>
          <w:between w:val="nil"/>
          <w:bar w:val="nil"/>
        </w:pBdr>
        <w:spacing w:before="0" w:after="240"/>
      </w:pPr>
    </w:p>
    <w:p w:rsidR="001666C9" w:rsidRPr="00010093" w:rsidRDefault="001666C9" w:rsidP="007A2939">
      <w:pPr>
        <w:sectPr w:rsidR="001666C9" w:rsidRPr="00010093" w:rsidSect="00CF0870">
          <w:footerReference w:type="default" r:id="rId11"/>
          <w:footerReference w:type="first" r:id="rId12"/>
          <w:pgSz w:w="11907" w:h="16839"/>
          <w:pgMar w:top="1134" w:right="1417" w:bottom="1134" w:left="1417" w:header="709" w:footer="709" w:gutter="0"/>
          <w:cols w:space="708"/>
          <w:docGrid w:linePitch="360"/>
        </w:sectPr>
      </w:pPr>
    </w:p>
    <w:p w:rsidR="00CF0870" w:rsidRDefault="00CF0870" w:rsidP="00CF0870">
      <w:pPr>
        <w:pStyle w:val="Rfrenceinterinstitutionnelle"/>
      </w:pPr>
      <w:r w:rsidRPr="00CF0870">
        <w:lastRenderedPageBreak/>
        <w:t>2016/0062 (NLE)</w:t>
      </w:r>
    </w:p>
    <w:p w:rsidR="001666C9" w:rsidRPr="00010093" w:rsidRDefault="00CF0870" w:rsidP="00CF0870">
      <w:pPr>
        <w:pStyle w:val="Statut"/>
      </w:pPr>
      <w:r w:rsidRPr="00CF0870">
        <w:t>Proposal for a</w:t>
      </w:r>
    </w:p>
    <w:p w:rsidR="001666C9" w:rsidRPr="00010093" w:rsidRDefault="00CF0870" w:rsidP="00CF0870">
      <w:pPr>
        <w:pStyle w:val="Typedudocument"/>
      </w:pPr>
      <w:r w:rsidRPr="00CF0870">
        <w:t>COUNCIL DECISION</w:t>
      </w:r>
    </w:p>
    <w:p w:rsidR="001666C9" w:rsidRPr="00010093" w:rsidRDefault="00CF0870" w:rsidP="00CF0870">
      <w:pPr>
        <w:pStyle w:val="Titreobjet"/>
      </w:pPr>
      <w:r w:rsidRPr="00CF0870">
        <w:t>on the conclusion, by the European Union, of the Council of Europe Convention on preventing and combating violence against women and domestic violence</w:t>
      </w:r>
    </w:p>
    <w:p w:rsidR="001666C9" w:rsidRPr="00010093" w:rsidRDefault="001666C9" w:rsidP="007A2939">
      <w:pPr>
        <w:pStyle w:val="Institutionquiagit"/>
      </w:pPr>
      <w:r w:rsidRPr="00010093">
        <w:t xml:space="preserve">THE COUNCIL OF THE EUROPEAN </w:t>
      </w:r>
      <w:smartTag w:uri="urn:schemas-microsoft-com:office:smarttags" w:element="place">
        <w:r w:rsidRPr="00010093">
          <w:t>UNION</w:t>
        </w:r>
      </w:smartTag>
      <w:r w:rsidRPr="00010093">
        <w:t>,</w:t>
      </w:r>
    </w:p>
    <w:p w:rsidR="001666C9" w:rsidRPr="00010093" w:rsidRDefault="001666C9" w:rsidP="007A2939">
      <w:r w:rsidRPr="00010093">
        <w:t>Having regard to the Treaty on the Functioning of the European Union, and in particular Article</w:t>
      </w:r>
      <w:r w:rsidR="00970B76" w:rsidRPr="00010093">
        <w:t xml:space="preserve"> 82(2) and</w:t>
      </w:r>
      <w:r w:rsidR="008F2917">
        <w:t xml:space="preserve"> Article</w:t>
      </w:r>
      <w:r w:rsidR="00970B76" w:rsidRPr="00010093">
        <w:t xml:space="preserve"> 84</w:t>
      </w:r>
      <w:r w:rsidR="00F72DD0">
        <w:t>,</w:t>
      </w:r>
      <w:r w:rsidR="00970B76" w:rsidRPr="00010093">
        <w:t xml:space="preserve"> in conjunction with Article 218(6)(a)</w:t>
      </w:r>
      <w:r w:rsidR="008323A7">
        <w:t>,</w:t>
      </w:r>
      <w:r w:rsidRPr="00010093">
        <w:t xml:space="preserve"> thereof,</w:t>
      </w:r>
    </w:p>
    <w:p w:rsidR="001666C9" w:rsidRPr="00010093" w:rsidRDefault="001666C9" w:rsidP="007A2939">
      <w:r w:rsidRPr="00010093">
        <w:t>Having regard to the proposal from the European Commission,</w:t>
      </w:r>
    </w:p>
    <w:p w:rsidR="001666C9" w:rsidRPr="00010093" w:rsidRDefault="001666C9" w:rsidP="007A2939">
      <w:r w:rsidRPr="00010093">
        <w:t xml:space="preserve">Having regard to the </w:t>
      </w:r>
      <w:r w:rsidR="00970B76" w:rsidRPr="00010093">
        <w:t>consent</w:t>
      </w:r>
      <w:r w:rsidRPr="00010093">
        <w:t xml:space="preserve"> of the European Parliament</w:t>
      </w:r>
      <w:r w:rsidRPr="00010093">
        <w:rPr>
          <w:rStyle w:val="FootnoteReference"/>
        </w:rPr>
        <w:footnoteReference w:id="33"/>
      </w:r>
      <w:r w:rsidRPr="00010093">
        <w:t>,</w:t>
      </w:r>
    </w:p>
    <w:p w:rsidR="001666C9" w:rsidRPr="00010093" w:rsidRDefault="001666C9" w:rsidP="007A2939">
      <w:r w:rsidRPr="00010093">
        <w:t>Whereas:</w:t>
      </w:r>
    </w:p>
    <w:p w:rsidR="00CC74B0" w:rsidRPr="00010093" w:rsidRDefault="00CC74B0" w:rsidP="008856B4">
      <w:pPr>
        <w:pStyle w:val="Considrant"/>
        <w:numPr>
          <w:ilvl w:val="0"/>
          <w:numId w:val="5"/>
        </w:numPr>
      </w:pPr>
      <w:r w:rsidRPr="00010093">
        <w:t>In accordance with Council Decision [XXX] of […]</w:t>
      </w:r>
      <w:r w:rsidRPr="00010093">
        <w:rPr>
          <w:rStyle w:val="FootnoteReference"/>
        </w:rPr>
        <w:footnoteReference w:id="34"/>
      </w:r>
      <w:r w:rsidRPr="00010093">
        <w:t>, the Council of Europe Convention on preventing and combating violence against women and domestic violence (</w:t>
      </w:r>
      <w:r w:rsidR="008C503E">
        <w:t>‘</w:t>
      </w:r>
      <w:r w:rsidRPr="00010093">
        <w:t>the Convention</w:t>
      </w:r>
      <w:r w:rsidR="008C503E">
        <w:t>’</w:t>
      </w:r>
      <w:r w:rsidRPr="00010093">
        <w:t>) was signed on […]</w:t>
      </w:r>
      <w:r w:rsidR="008C503E">
        <w:t>,</w:t>
      </w:r>
      <w:r w:rsidRPr="00010093">
        <w:t xml:space="preserve"> subject to its conclusion at a later </w:t>
      </w:r>
      <w:r w:rsidR="00F33756">
        <w:t>date</w:t>
      </w:r>
      <w:r w:rsidRPr="00010093">
        <w:t>.</w:t>
      </w:r>
    </w:p>
    <w:p w:rsidR="001666C9" w:rsidRDefault="00926F4F" w:rsidP="00926F4F">
      <w:pPr>
        <w:pStyle w:val="Considrant"/>
      </w:pPr>
      <w:r w:rsidRPr="00010093">
        <w:t xml:space="preserve">The </w:t>
      </w:r>
      <w:r w:rsidR="00CC74B0" w:rsidRPr="00010093">
        <w:t>Convention</w:t>
      </w:r>
      <w:r w:rsidRPr="00010093">
        <w:t>, to which …countries</w:t>
      </w:r>
      <w:r w:rsidR="008C503E">
        <w:t>,</w:t>
      </w:r>
      <w:r w:rsidRPr="00010093">
        <w:t xml:space="preserve"> including …. Member States</w:t>
      </w:r>
      <w:r w:rsidR="008C503E">
        <w:t>,</w:t>
      </w:r>
      <w:r w:rsidRPr="00010093">
        <w:t xml:space="preserve"> are </w:t>
      </w:r>
      <w:r w:rsidR="00053615">
        <w:t>Parties</w:t>
      </w:r>
      <w:r w:rsidRPr="00010093">
        <w:t xml:space="preserve">, is </w:t>
      </w:r>
      <w:r w:rsidR="00377345" w:rsidRPr="00010093">
        <w:t>the first international</w:t>
      </w:r>
      <w:r w:rsidRPr="00010093">
        <w:t xml:space="preserve"> instrument aiming to</w:t>
      </w:r>
      <w:r w:rsidR="00377345" w:rsidRPr="00010093">
        <w:t xml:space="preserve"> eliminate violence against women</w:t>
      </w:r>
      <w:r w:rsidR="008D4778" w:rsidRPr="00010093">
        <w:t xml:space="preserve">, including girls under the age of </w:t>
      </w:r>
      <w:r w:rsidR="00482599">
        <w:t>18</w:t>
      </w:r>
      <w:r w:rsidR="008D4778" w:rsidRPr="00010093">
        <w:t>,</w:t>
      </w:r>
      <w:r w:rsidR="00377345" w:rsidRPr="00010093">
        <w:t xml:space="preserve"> as a root cause</w:t>
      </w:r>
      <w:r w:rsidR="000F75B5" w:rsidRPr="00010093">
        <w:t xml:space="preserve"> of</w:t>
      </w:r>
      <w:r w:rsidR="00377345" w:rsidRPr="00010093">
        <w:t xml:space="preserve"> persisting inequality between men and women</w:t>
      </w:r>
      <w:r w:rsidR="00482599">
        <w:t>,</w:t>
      </w:r>
      <w:r w:rsidR="00377345" w:rsidRPr="00010093">
        <w:t xml:space="preserve"> by </w:t>
      </w:r>
      <w:r w:rsidR="00192DC3" w:rsidRPr="00010093">
        <w:t>setting up a</w:t>
      </w:r>
      <w:r w:rsidR="00377345" w:rsidRPr="00010093">
        <w:t xml:space="preserve"> comprehensive f</w:t>
      </w:r>
      <w:r w:rsidR="00192DC3" w:rsidRPr="00010093">
        <w:t xml:space="preserve">ramework of legal and policy measures to prevent violence against women </w:t>
      </w:r>
      <w:r w:rsidR="000F75B5" w:rsidRPr="00010093">
        <w:t xml:space="preserve">and </w:t>
      </w:r>
      <w:r w:rsidR="00192DC3" w:rsidRPr="00010093">
        <w:t>protect and assist victims of such violence.</w:t>
      </w:r>
      <w:r w:rsidR="00F82D3E" w:rsidRPr="00010093">
        <w:t xml:space="preserve"> The Convention entered in</w:t>
      </w:r>
      <w:r w:rsidR="00482599">
        <w:t>to</w:t>
      </w:r>
      <w:r w:rsidR="00F82D3E" w:rsidRPr="00010093">
        <w:t xml:space="preserve"> force on 1 April 2014. In accordance with Article 75 of the Convention, the European Union may become a </w:t>
      </w:r>
      <w:r w:rsidR="00053615">
        <w:t>P</w:t>
      </w:r>
      <w:r w:rsidR="00F82D3E" w:rsidRPr="00010093">
        <w:t>arty to the Convention.</w:t>
      </w:r>
    </w:p>
    <w:p w:rsidR="0004351C" w:rsidRDefault="0004351C" w:rsidP="00926F4F">
      <w:pPr>
        <w:pStyle w:val="Considrant"/>
      </w:pPr>
      <w:r w:rsidRPr="00010093">
        <w:t>The Convention creates a comprehensive and multifaceted legal framework to protect women against all forms of violence</w:t>
      </w:r>
      <w:r>
        <w:t>.</w:t>
      </w:r>
      <w:r w:rsidRPr="00010093">
        <w:t xml:space="preserve"> </w:t>
      </w:r>
      <w:r>
        <w:t>It seeks to</w:t>
      </w:r>
      <w:r w:rsidRPr="00010093">
        <w:t xml:space="preserve"> prevent, prosecute and eliminate violence against women and girls and domestic violence. It covers a broad range of measures</w:t>
      </w:r>
      <w:r>
        <w:t>,</w:t>
      </w:r>
      <w:r w:rsidRPr="00010093">
        <w:t xml:space="preserve"> from data</w:t>
      </w:r>
      <w:r>
        <w:t xml:space="preserve"> </w:t>
      </w:r>
      <w:r w:rsidRPr="00010093">
        <w:t>collection and awareness-raising to legal measures on criminalising different forms of violence against women. It includes measures for the protection of victims</w:t>
      </w:r>
      <w:r>
        <w:t xml:space="preserve"> and</w:t>
      </w:r>
      <w:r w:rsidRPr="00010093">
        <w:t xml:space="preserve"> the provision of support services</w:t>
      </w:r>
      <w:r>
        <w:t>,</w:t>
      </w:r>
      <w:r w:rsidRPr="00010093">
        <w:t xml:space="preserve"> and addresses the gender-based violence dimension in matters of asylum and migration. The Convention establishes a specific monitoring mechanism in order to ensure effective implementation of its provisions by the Parties.</w:t>
      </w:r>
    </w:p>
    <w:p w:rsidR="007476AA" w:rsidRDefault="007476AA" w:rsidP="00926F4F">
      <w:pPr>
        <w:pStyle w:val="Considrant"/>
      </w:pPr>
      <w:r w:rsidRPr="00010093">
        <w:t xml:space="preserve">The </w:t>
      </w:r>
      <w:r>
        <w:t xml:space="preserve">conclusion of the Convention by the European Union contributes to the realisation of </w:t>
      </w:r>
      <w:r w:rsidRPr="00010093">
        <w:t>equality between men and women in all areas</w:t>
      </w:r>
      <w:r>
        <w:t xml:space="preserve">, which is </w:t>
      </w:r>
      <w:r w:rsidRPr="00010093">
        <w:t>a core objective and value of the Union to be realised in all</w:t>
      </w:r>
      <w:r>
        <w:t xml:space="preserve"> its</w:t>
      </w:r>
      <w:r w:rsidRPr="00010093">
        <w:t xml:space="preserve"> activities in accordance with Articles 2 and 3 of the Treaty on European Union</w:t>
      </w:r>
      <w:r>
        <w:t>,</w:t>
      </w:r>
      <w:r w:rsidRPr="00010093">
        <w:t xml:space="preserve"> Article 8 of the Treaty on the Functioning of the European Union and Article 23 of the Charter of Fundamental Rights of the European Union. Violence against women is a violation of </w:t>
      </w:r>
      <w:r>
        <w:t>their</w:t>
      </w:r>
      <w:r w:rsidRPr="00010093">
        <w:t xml:space="preserve"> human rights and an extreme form of discrimination, entrenched in gender inequalities and contributing to </w:t>
      </w:r>
      <w:r w:rsidRPr="00010093">
        <w:lastRenderedPageBreak/>
        <w:t xml:space="preserve">maintaining and reinforcing them. </w:t>
      </w:r>
      <w:r>
        <w:t>By committing to the implementation of the Convention, t</w:t>
      </w:r>
      <w:r w:rsidRPr="00010093">
        <w:t xml:space="preserve">he Union </w:t>
      </w:r>
      <w:r>
        <w:t>confirms its engagement</w:t>
      </w:r>
      <w:r w:rsidRPr="00010093">
        <w:t xml:space="preserve"> to combating violence against women within </w:t>
      </w:r>
      <w:r>
        <w:t>its territory</w:t>
      </w:r>
      <w:r w:rsidRPr="00010093">
        <w:t xml:space="preserve"> and globally</w:t>
      </w:r>
      <w:r>
        <w:t>,</w:t>
      </w:r>
      <w:r w:rsidRPr="00010093">
        <w:t xml:space="preserve"> and</w:t>
      </w:r>
      <w:r>
        <w:t xml:space="preserve"> reinforces its current political</w:t>
      </w:r>
      <w:r w:rsidR="00971884">
        <w:t xml:space="preserve"> action</w:t>
      </w:r>
      <w:r>
        <w:t xml:space="preserve"> and existing substantial legal framework</w:t>
      </w:r>
      <w:r w:rsidRPr="00010093">
        <w:t xml:space="preserve"> in the area of criminal procedural law that is of particular relevance for women and girls.</w:t>
      </w:r>
    </w:p>
    <w:p w:rsidR="002D2790" w:rsidRPr="00010093" w:rsidRDefault="00C64EC3" w:rsidP="001666C9">
      <w:pPr>
        <w:pStyle w:val="Considrant"/>
      </w:pPr>
      <w:r w:rsidRPr="00010093">
        <w:t>While the Member States remain competent for the criminalisation of a number of violent</w:t>
      </w:r>
      <w:r w:rsidR="00AF60BC">
        <w:t xml:space="preserve"> forms of</w:t>
      </w:r>
      <w:r w:rsidRPr="00010093">
        <w:t xml:space="preserve"> behaviour against women in their national substantive criminal law as required by the Convention</w:t>
      </w:r>
      <w:r w:rsidR="007D6093" w:rsidRPr="00010093">
        <w:t>, t</w:t>
      </w:r>
      <w:r w:rsidR="00783F48" w:rsidRPr="00010093">
        <w:t xml:space="preserve">he Union has </w:t>
      </w:r>
      <w:r w:rsidR="00F42FA4" w:rsidRPr="00010093">
        <w:t xml:space="preserve">competence covering most of the provisions of the Convention and has </w:t>
      </w:r>
      <w:r w:rsidR="00783F48" w:rsidRPr="00010093">
        <w:t>adopted</w:t>
      </w:r>
      <w:r w:rsidR="00F42FA4" w:rsidRPr="00010093">
        <w:t xml:space="preserve"> an extensive set of rules</w:t>
      </w:r>
      <w:r w:rsidR="00217FC1" w:rsidRPr="00010093">
        <w:t xml:space="preserve"> in these areas</w:t>
      </w:r>
      <w:r w:rsidR="00F42FA4" w:rsidRPr="00010093">
        <w:t>. In particular, the Union has adopted</w:t>
      </w:r>
      <w:r w:rsidR="00783F48" w:rsidRPr="00010093">
        <w:t xml:space="preserve"> rules </w:t>
      </w:r>
      <w:r w:rsidR="007D6093" w:rsidRPr="00010093">
        <w:t>on the rights of crime victims</w:t>
      </w:r>
      <w:r w:rsidR="00783F48" w:rsidRPr="00010093">
        <w:t>, notably Directive 2012/29/EU</w:t>
      </w:r>
      <w:r w:rsidR="00BD7E48">
        <w:t xml:space="preserve"> </w:t>
      </w:r>
      <w:r w:rsidR="00BD7E48" w:rsidRPr="00010093">
        <w:t>of the European Parliament and of the Council</w:t>
      </w:r>
      <w:r w:rsidR="008D4778" w:rsidRPr="00010093">
        <w:rPr>
          <w:rStyle w:val="FootnoteReference"/>
        </w:rPr>
        <w:footnoteReference w:id="35"/>
      </w:r>
      <w:r w:rsidR="009468F4" w:rsidRPr="00010093">
        <w:t>.</w:t>
      </w:r>
      <w:r w:rsidR="008A569C" w:rsidRPr="00010093">
        <w:t xml:space="preserve"> </w:t>
      </w:r>
      <w:r w:rsidR="008D4778" w:rsidRPr="00010093">
        <w:t xml:space="preserve">The Convention also addresses </w:t>
      </w:r>
      <w:r w:rsidR="00DF38A0" w:rsidRPr="00010093">
        <w:t xml:space="preserve">the </w:t>
      </w:r>
      <w:r w:rsidR="007D6093" w:rsidRPr="00010093">
        <w:t>needs</w:t>
      </w:r>
      <w:r w:rsidR="008D4778" w:rsidRPr="00010093">
        <w:t xml:space="preserve"> of </w:t>
      </w:r>
      <w:r w:rsidR="007D6093" w:rsidRPr="00010093">
        <w:t xml:space="preserve">female </w:t>
      </w:r>
      <w:r w:rsidR="008D4778" w:rsidRPr="00010093">
        <w:t>migrant</w:t>
      </w:r>
      <w:r w:rsidR="007D6093" w:rsidRPr="00010093">
        <w:t>s</w:t>
      </w:r>
      <w:r w:rsidR="008D4778" w:rsidRPr="00010093">
        <w:t xml:space="preserve"> and persons seeking asylum or complemen</w:t>
      </w:r>
      <w:r w:rsidR="00AE3C19" w:rsidRPr="00010093">
        <w:t xml:space="preserve">tary and subsidiary protection by </w:t>
      </w:r>
      <w:r w:rsidR="00304319" w:rsidRPr="00010093">
        <w:t>imposing</w:t>
      </w:r>
      <w:r w:rsidR="00AE3C19" w:rsidRPr="00010093">
        <w:t xml:space="preserve"> a gender-specific perspective in these areas, in which a comprehensive body of U</w:t>
      </w:r>
      <w:r w:rsidR="009D46EE">
        <w:t>nion</w:t>
      </w:r>
      <w:r w:rsidR="00AE3C19" w:rsidRPr="00010093">
        <w:t xml:space="preserve"> legislation</w:t>
      </w:r>
      <w:r w:rsidR="00304319" w:rsidRPr="00010093">
        <w:t xml:space="preserve"> already</w:t>
      </w:r>
      <w:r w:rsidR="00AE3C19" w:rsidRPr="00010093">
        <w:t xml:space="preserve"> exists</w:t>
      </w:r>
      <w:r w:rsidR="0000551F">
        <w:t>.</w:t>
      </w:r>
    </w:p>
    <w:p w:rsidR="008D4778" w:rsidRPr="00010093" w:rsidRDefault="0086375E" w:rsidP="001666C9">
      <w:pPr>
        <w:pStyle w:val="Considrant"/>
      </w:pPr>
      <w:r w:rsidRPr="00010093">
        <w:t xml:space="preserve">The </w:t>
      </w:r>
      <w:r w:rsidR="008A569C" w:rsidRPr="00010093">
        <w:t>Union has exclusive competen</w:t>
      </w:r>
      <w:r w:rsidR="00DD6806" w:rsidRPr="00010093">
        <w:t>ce</w:t>
      </w:r>
      <w:r w:rsidR="008A569C" w:rsidRPr="00010093">
        <w:t xml:space="preserve"> to the extent that the </w:t>
      </w:r>
      <w:r w:rsidRPr="00010093">
        <w:t>Convention m</w:t>
      </w:r>
      <w:r w:rsidR="002D2790" w:rsidRPr="00010093">
        <w:t>ay</w:t>
      </w:r>
      <w:r w:rsidRPr="00010093">
        <w:t xml:space="preserve"> affect common rules or alter their scope.</w:t>
      </w:r>
    </w:p>
    <w:p w:rsidR="00AE3C19" w:rsidRPr="00010093" w:rsidRDefault="00343827" w:rsidP="001666C9">
      <w:pPr>
        <w:pStyle w:val="Considrant"/>
      </w:pPr>
      <w:r w:rsidRPr="00010093">
        <w:t xml:space="preserve">The Convention </w:t>
      </w:r>
      <w:r w:rsidR="00BD7E48">
        <w:t>should</w:t>
      </w:r>
      <w:r w:rsidR="00BD7E48" w:rsidRPr="00010093">
        <w:t xml:space="preserve"> </w:t>
      </w:r>
      <w:r w:rsidRPr="00010093">
        <w:t xml:space="preserve">complement existing </w:t>
      </w:r>
      <w:r w:rsidR="00D41E3F">
        <w:t>rule</w:t>
      </w:r>
      <w:r w:rsidR="00AF60BC">
        <w:t>s</w:t>
      </w:r>
      <w:r w:rsidR="00AF60BC" w:rsidRPr="00010093">
        <w:t xml:space="preserve"> </w:t>
      </w:r>
      <w:r w:rsidRPr="00010093">
        <w:t xml:space="preserve">and contribute to a coherent interpretation of Union legislation. As a result of the conclusion of </w:t>
      </w:r>
      <w:r w:rsidR="00AE3C19" w:rsidRPr="00010093">
        <w:t>the Convention</w:t>
      </w:r>
      <w:r w:rsidRPr="00010093">
        <w:t>,</w:t>
      </w:r>
      <w:r w:rsidR="00AE3C19" w:rsidRPr="00010093">
        <w:t xml:space="preserve"> the Union </w:t>
      </w:r>
      <w:r w:rsidR="00BD7E48">
        <w:t>should</w:t>
      </w:r>
      <w:r w:rsidR="00BD7E48" w:rsidRPr="00010093">
        <w:t xml:space="preserve"> </w:t>
      </w:r>
      <w:r w:rsidR="00AE3C19" w:rsidRPr="00010093">
        <w:t>participate</w:t>
      </w:r>
      <w:r w:rsidR="009167D5" w:rsidRPr="00010093">
        <w:t xml:space="preserve"> </w:t>
      </w:r>
      <w:r w:rsidR="00AE3C19" w:rsidRPr="00010093">
        <w:t>in the implementation</w:t>
      </w:r>
      <w:r w:rsidR="00FC5721" w:rsidRPr="00010093">
        <w:t xml:space="preserve"> and monitoring activities under</w:t>
      </w:r>
      <w:r w:rsidR="00AE3C19" w:rsidRPr="00010093">
        <w:t xml:space="preserve"> the Convention</w:t>
      </w:r>
      <w:r w:rsidR="009167D5" w:rsidRPr="00010093">
        <w:t>.</w:t>
      </w:r>
    </w:p>
    <w:p w:rsidR="00C2463E" w:rsidRPr="00010093" w:rsidRDefault="00343827" w:rsidP="00C01E9C">
      <w:pPr>
        <w:pStyle w:val="Considrant"/>
      </w:pPr>
      <w:r w:rsidRPr="00010093">
        <w:rPr>
          <w:color w:val="000000"/>
        </w:rPr>
        <w:t>Both the Union and its Member States have competence in the fields covered by the Convention. The Union and the Member States should therefore become Parties to it, so that together they can fulfil the obligations laid down by the Convention and exercise the rights invested in them in a coherent manner.</w:t>
      </w:r>
    </w:p>
    <w:p w:rsidR="009E230A" w:rsidRPr="00010093" w:rsidRDefault="00DB4F03" w:rsidP="00B96843">
      <w:pPr>
        <w:pStyle w:val="Considrant"/>
      </w:pPr>
      <w:r w:rsidRPr="00010093">
        <w:t>Ireland and the United Kingdom are bound by Directive 2012/29/EU and are therefore taking part in the adoption of this Decision.</w:t>
      </w:r>
    </w:p>
    <w:p w:rsidR="009009C5" w:rsidRDefault="00A16485" w:rsidP="003D7BDA">
      <w:pPr>
        <w:pStyle w:val="Considrant"/>
      </w:pPr>
      <w:r w:rsidRPr="00010093">
        <w:t xml:space="preserve">In accordance with Articles 1 and 2 of Protocol No 22 on the position of Denmark, annexed to the Treaty on European Union and to the </w:t>
      </w:r>
      <w:r w:rsidR="003D7BDA" w:rsidRPr="00010093">
        <w:rPr>
          <w:color w:val="000000"/>
        </w:rPr>
        <w:t>Treaty on the Functioning of the European Union</w:t>
      </w:r>
      <w:r w:rsidRPr="00010093">
        <w:t>, Denmark is not taking part in the adoption of this Decision and is not bound by it or subject to its application.</w:t>
      </w:r>
    </w:p>
    <w:p w:rsidR="00F33756" w:rsidRPr="00010093" w:rsidRDefault="00F33756" w:rsidP="003D7BDA">
      <w:pPr>
        <w:pStyle w:val="Considrant"/>
      </w:pPr>
      <w:r>
        <w:rPr>
          <w:szCs w:val="24"/>
        </w:rPr>
        <w:t>The Convention should be approved on behalf of the Union,</w:t>
      </w:r>
    </w:p>
    <w:p w:rsidR="001666C9" w:rsidRPr="00010093" w:rsidRDefault="001666C9" w:rsidP="007A2939">
      <w:pPr>
        <w:pStyle w:val="Formuledadoption"/>
      </w:pPr>
      <w:r w:rsidRPr="00010093">
        <w:t>HAS ADOPTED THIS DECISION:</w:t>
      </w:r>
    </w:p>
    <w:p w:rsidR="001666C9" w:rsidRPr="00010093" w:rsidRDefault="001666C9" w:rsidP="007A2939">
      <w:pPr>
        <w:pStyle w:val="Titrearticle"/>
      </w:pPr>
      <w:r w:rsidRPr="00010093">
        <w:t>Article 1</w:t>
      </w:r>
    </w:p>
    <w:p w:rsidR="001666C9" w:rsidRPr="00010093" w:rsidRDefault="00470707" w:rsidP="007A2939">
      <w:r w:rsidRPr="00010093">
        <w:t>The Council of Europe Convention on preventing and combating violence against women and domestic violence is hereby approved on behalf of the Union</w:t>
      </w:r>
      <w:r w:rsidR="00F11D9F" w:rsidRPr="00010093">
        <w:t>.</w:t>
      </w:r>
    </w:p>
    <w:p w:rsidR="00D77105" w:rsidRPr="00010093" w:rsidRDefault="00D77105" w:rsidP="007A2939">
      <w:r w:rsidRPr="00010093">
        <w:t>The text of the Convention is attached to this Decision.</w:t>
      </w:r>
    </w:p>
    <w:p w:rsidR="00D77105" w:rsidRPr="00010093" w:rsidRDefault="00D77105" w:rsidP="00D77105">
      <w:pPr>
        <w:pStyle w:val="Titrearticle"/>
      </w:pPr>
      <w:r w:rsidRPr="00010093">
        <w:t>Article 2</w:t>
      </w:r>
    </w:p>
    <w:p w:rsidR="0017470F" w:rsidRPr="00010093" w:rsidRDefault="00D77105" w:rsidP="00D77105">
      <w:r w:rsidRPr="00010093">
        <w:t xml:space="preserve">The </w:t>
      </w:r>
      <w:r w:rsidR="001869C1">
        <w:t>P</w:t>
      </w:r>
      <w:r w:rsidRPr="00010093">
        <w:t>resident of the Council shall designate the person empowered to proceed, on behalf of the Union, to the deposit</w:t>
      </w:r>
      <w:r w:rsidR="00417852">
        <w:t>ion</w:t>
      </w:r>
      <w:r w:rsidRPr="00010093">
        <w:t xml:space="preserve"> of the instrument of </w:t>
      </w:r>
      <w:r w:rsidR="00C638FA" w:rsidRPr="00010093">
        <w:t>approval</w:t>
      </w:r>
      <w:r w:rsidR="00FA2318" w:rsidRPr="00010093">
        <w:t xml:space="preserve"> provided for in Article 75(2) of the Convention</w:t>
      </w:r>
      <w:r w:rsidR="0019627A" w:rsidRPr="00010093">
        <w:t xml:space="preserve"> in order to express the consent of the Union to be bound by the Convention.</w:t>
      </w:r>
    </w:p>
    <w:p w:rsidR="0017470F" w:rsidRPr="00010093" w:rsidRDefault="0017470F" w:rsidP="00803C72">
      <w:pPr>
        <w:pStyle w:val="Titrearticle"/>
      </w:pPr>
      <w:r w:rsidRPr="00010093">
        <w:lastRenderedPageBreak/>
        <w:t>Article 3</w:t>
      </w:r>
    </w:p>
    <w:p w:rsidR="0017470F" w:rsidRPr="00010093" w:rsidRDefault="0017470F" w:rsidP="00D77105">
      <w:r w:rsidRPr="00010093">
        <w:t>With respect</w:t>
      </w:r>
      <w:r w:rsidR="00184492" w:rsidRPr="00010093">
        <w:t xml:space="preserve"> to matters</w:t>
      </w:r>
      <w:r w:rsidRPr="00010093">
        <w:t xml:space="preserve"> falling within the Union</w:t>
      </w:r>
      <w:r w:rsidR="00010093">
        <w:t>’</w:t>
      </w:r>
      <w:r w:rsidRPr="00010093">
        <w:t>s competence and without prejudice to the respective competences of the Member States, the Commission shall perform the role of the coordinati</w:t>
      </w:r>
      <w:r w:rsidR="00A54B75" w:rsidRPr="00010093">
        <w:t>ng</w:t>
      </w:r>
      <w:r w:rsidRPr="00010093">
        <w:t xml:space="preserve"> body in accordance with Article 10 of the Convention</w:t>
      </w:r>
      <w:r w:rsidR="00CC5A78" w:rsidRPr="00010093">
        <w:t xml:space="preserve"> and fulfil the reporting obligations </w:t>
      </w:r>
      <w:r w:rsidR="00C638FA" w:rsidRPr="00010093">
        <w:t>under Chapter IX</w:t>
      </w:r>
      <w:r w:rsidR="00803C72" w:rsidRPr="00010093">
        <w:t xml:space="preserve"> of the Convention</w:t>
      </w:r>
      <w:r w:rsidRPr="00010093">
        <w:t>.</w:t>
      </w:r>
    </w:p>
    <w:p w:rsidR="00CC5A78" w:rsidRPr="00010093" w:rsidRDefault="00CC5A78" w:rsidP="00803C72">
      <w:pPr>
        <w:pStyle w:val="Titrearticle"/>
      </w:pPr>
      <w:r w:rsidRPr="00010093">
        <w:t>Article 4</w:t>
      </w:r>
    </w:p>
    <w:p w:rsidR="00603E87" w:rsidRPr="00010093" w:rsidRDefault="00CC5A78" w:rsidP="00C50769">
      <w:pPr>
        <w:pStyle w:val="NumPar1"/>
        <w:numPr>
          <w:ilvl w:val="0"/>
          <w:numId w:val="10"/>
        </w:numPr>
      </w:pPr>
      <w:r w:rsidRPr="00010093">
        <w:t>With respect to matters falling within the Union</w:t>
      </w:r>
      <w:r w:rsidR="00010093">
        <w:t>’</w:t>
      </w:r>
      <w:r w:rsidRPr="00010093">
        <w:t xml:space="preserve">s competence, the Commission shall represent the </w:t>
      </w:r>
      <w:r w:rsidR="00184492" w:rsidRPr="00010093">
        <w:t>Union</w:t>
      </w:r>
      <w:r w:rsidRPr="00010093">
        <w:t xml:space="preserve"> at meetings of the bodies created by the Convention, </w:t>
      </w:r>
      <w:r w:rsidR="00F11D9F" w:rsidRPr="00010093">
        <w:t>i</w:t>
      </w:r>
      <w:r w:rsidRPr="00010093">
        <w:t xml:space="preserve">n particular the Committee of the Parties referred to in Article </w:t>
      </w:r>
      <w:r w:rsidR="00803C72" w:rsidRPr="00010093">
        <w:t xml:space="preserve">67 of the Convention. </w:t>
      </w:r>
      <w:r w:rsidR="00603E87" w:rsidRPr="00010093">
        <w:t xml:space="preserve">In particular, the Commission </w:t>
      </w:r>
      <w:r w:rsidR="00D00B9C" w:rsidRPr="00010093">
        <w:t xml:space="preserve">shall </w:t>
      </w:r>
      <w:r w:rsidR="00603E87" w:rsidRPr="00010093">
        <w:t>select, propose and participate in the nomination of experts to the Group of experts on action against violence against women and domestic violence (</w:t>
      </w:r>
      <w:r w:rsidR="00010093">
        <w:t>‘</w:t>
      </w:r>
      <w:r w:rsidR="00603E87" w:rsidRPr="00010093">
        <w:t>GREVIO</w:t>
      </w:r>
      <w:r w:rsidR="00010093">
        <w:t>’</w:t>
      </w:r>
      <w:r w:rsidR="00603E87" w:rsidRPr="00010093">
        <w:t>), on behalf of the Union</w:t>
      </w:r>
      <w:r w:rsidR="00E25FB6" w:rsidRPr="00010093">
        <w:t>.</w:t>
      </w:r>
    </w:p>
    <w:p w:rsidR="00611A24" w:rsidRPr="00010093" w:rsidRDefault="00611A24" w:rsidP="00B96843">
      <w:pPr>
        <w:pStyle w:val="NumPar1"/>
      </w:pPr>
      <w:r w:rsidRPr="00010093">
        <w:t xml:space="preserve">As the Convention covers also competences not conferred </w:t>
      </w:r>
      <w:r w:rsidR="00760893">
        <w:t>on</w:t>
      </w:r>
      <w:r w:rsidR="00760893" w:rsidRPr="00010093">
        <w:t xml:space="preserve"> </w:t>
      </w:r>
      <w:r w:rsidRPr="00010093">
        <w:t xml:space="preserve">the Union, the Commission and the Member States shall </w:t>
      </w:r>
      <w:r w:rsidR="001D45EF" w:rsidRPr="00010093">
        <w:t>cooperate</w:t>
      </w:r>
      <w:r w:rsidR="00F61586" w:rsidRPr="00F61586">
        <w:t xml:space="preserve"> </w:t>
      </w:r>
      <w:r w:rsidR="00F61586" w:rsidRPr="00010093">
        <w:t>closely</w:t>
      </w:r>
      <w:r w:rsidR="001D45EF" w:rsidRPr="00010093">
        <w:t>, in particular as far as questions of monitoring, reporting, voting</w:t>
      </w:r>
      <w:r w:rsidR="00A415F5">
        <w:t xml:space="preserve"> arrangements</w:t>
      </w:r>
      <w:r w:rsidR="001D45EF" w:rsidRPr="00010093">
        <w:t xml:space="preserve"> and the functioning of t</w:t>
      </w:r>
      <w:r w:rsidR="005C2A52" w:rsidRPr="00010093">
        <w:t>he coordinating</w:t>
      </w:r>
      <w:r w:rsidR="001D45EF" w:rsidRPr="00010093">
        <w:t xml:space="preserve"> body referred to in Article </w:t>
      </w:r>
      <w:r w:rsidR="005C2A52" w:rsidRPr="00010093">
        <w:t>10</w:t>
      </w:r>
      <w:r w:rsidR="001D45EF" w:rsidRPr="00010093">
        <w:t xml:space="preserve"> of the Convention are concerned. They shall </w:t>
      </w:r>
      <w:r w:rsidRPr="00010093">
        <w:t xml:space="preserve">determine in advance the appropriate arrangements for </w:t>
      </w:r>
      <w:r w:rsidR="001D45EF" w:rsidRPr="00010093">
        <w:t xml:space="preserve">this as well as for the </w:t>
      </w:r>
      <w:r w:rsidRPr="00010093">
        <w:t xml:space="preserve">representation of the </w:t>
      </w:r>
      <w:r w:rsidR="00D00B9C" w:rsidRPr="00010093">
        <w:t xml:space="preserve">respective </w:t>
      </w:r>
      <w:r w:rsidRPr="00010093">
        <w:t>position</w:t>
      </w:r>
      <w:r w:rsidR="00D00B9C" w:rsidRPr="00010093">
        <w:t>s</w:t>
      </w:r>
      <w:r w:rsidRPr="00010093">
        <w:t xml:space="preserve"> at meetings of the bodies created by the Convention</w:t>
      </w:r>
      <w:r w:rsidR="005C2A52" w:rsidRPr="00010093">
        <w:t xml:space="preserve">. </w:t>
      </w:r>
      <w:r w:rsidRPr="00010093">
        <w:t>The</w:t>
      </w:r>
      <w:r w:rsidR="00D00B9C" w:rsidRPr="00010093">
        <w:t>se arrangements</w:t>
      </w:r>
      <w:r w:rsidRPr="00010093">
        <w:t xml:space="preserve"> shall be laid down in </w:t>
      </w:r>
      <w:r w:rsidR="00D00B9C" w:rsidRPr="00010093">
        <w:t>a</w:t>
      </w:r>
      <w:r w:rsidRPr="00010093">
        <w:t xml:space="preserve"> Code of Conduct to be agreed</w:t>
      </w:r>
      <w:r w:rsidR="00D00B9C" w:rsidRPr="00010093">
        <w:t>, if possible</w:t>
      </w:r>
      <w:r w:rsidR="00417852">
        <w:t>,</w:t>
      </w:r>
      <w:r w:rsidRPr="00010093">
        <w:t xml:space="preserve"> before the deposition of the instrument of formal confirmation on behalf of the Union.</w:t>
      </w:r>
    </w:p>
    <w:p w:rsidR="001666C9" w:rsidRPr="00010093" w:rsidRDefault="001666C9" w:rsidP="007A2939">
      <w:pPr>
        <w:pStyle w:val="Titrearticle"/>
        <w:keepNext w:val="0"/>
      </w:pPr>
      <w:r w:rsidRPr="00010093">
        <w:t xml:space="preserve">Article </w:t>
      </w:r>
      <w:r w:rsidR="00CC3DBC" w:rsidRPr="00010093">
        <w:t>5</w:t>
      </w:r>
    </w:p>
    <w:p w:rsidR="001666C9" w:rsidRPr="00010093" w:rsidRDefault="001666C9" w:rsidP="007A2939">
      <w:pPr>
        <w:keepLines/>
      </w:pPr>
      <w:r w:rsidRPr="00010093">
        <w:t>This Decision shall enter into force on the</w:t>
      </w:r>
      <w:r w:rsidR="00F3053E" w:rsidRPr="00010093">
        <w:t xml:space="preserve"> day</w:t>
      </w:r>
      <w:r w:rsidRPr="00010093">
        <w:t xml:space="preserve"> of its publication in the </w:t>
      </w:r>
      <w:r w:rsidRPr="00010093">
        <w:rPr>
          <w:i/>
        </w:rPr>
        <w:t>Official Journal of the European Union</w:t>
      </w:r>
      <w:r w:rsidR="00F3053E" w:rsidRPr="00010093">
        <w:rPr>
          <w:rStyle w:val="FootnoteReference"/>
        </w:rPr>
        <w:footnoteReference w:id="36"/>
      </w:r>
      <w:r w:rsidR="00010093">
        <w:t>.</w:t>
      </w:r>
    </w:p>
    <w:p w:rsidR="008323A7" w:rsidRDefault="00CF0870" w:rsidP="00CF0870">
      <w:pPr>
        <w:pStyle w:val="Fait"/>
      </w:pPr>
      <w:r w:rsidRPr="00CF0870">
        <w:t>Done at Brussels,</w:t>
      </w:r>
    </w:p>
    <w:p w:rsidR="00683BCD" w:rsidRPr="00683BCD" w:rsidRDefault="00683BCD" w:rsidP="00683BCD">
      <w:pPr>
        <w:pStyle w:val="Institutionquisigne"/>
      </w:pPr>
    </w:p>
    <w:p w:rsidR="001666C9" w:rsidRPr="00683BCD" w:rsidRDefault="001666C9" w:rsidP="00683BCD">
      <w:pPr>
        <w:pStyle w:val="Personnequisigne"/>
      </w:pPr>
      <w:r w:rsidRPr="00683BCD">
        <w:tab/>
        <w:t>For the Council</w:t>
      </w:r>
    </w:p>
    <w:p w:rsidR="001666C9" w:rsidRPr="00683BCD" w:rsidRDefault="001666C9" w:rsidP="00683BCD">
      <w:pPr>
        <w:pStyle w:val="Personnequisigne"/>
      </w:pPr>
      <w:r w:rsidRPr="00683BCD">
        <w:tab/>
        <w:t>The President</w:t>
      </w:r>
    </w:p>
    <w:sectPr w:rsidR="001666C9" w:rsidRPr="00683BCD" w:rsidSect="00CF087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CD4" w:rsidRPr="00010093" w:rsidRDefault="00361CD4" w:rsidP="001666C9">
      <w:pPr>
        <w:spacing w:before="0" w:after="0"/>
      </w:pPr>
      <w:r w:rsidRPr="00010093">
        <w:separator/>
      </w:r>
    </w:p>
  </w:endnote>
  <w:endnote w:type="continuationSeparator" w:id="0">
    <w:p w:rsidR="00361CD4" w:rsidRPr="00010093" w:rsidRDefault="00361CD4" w:rsidP="001666C9">
      <w:pPr>
        <w:spacing w:before="0" w:after="0"/>
      </w:pPr>
      <w:r w:rsidRPr="000100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BCD" w:rsidRPr="00CF0870" w:rsidRDefault="00CF0870" w:rsidP="00CF0870">
    <w:pPr>
      <w:pStyle w:val="Footer"/>
      <w:rPr>
        <w:rFonts w:ascii="Arial" w:hAnsi="Arial" w:cs="Arial"/>
        <w:b/>
        <w:sz w:val="48"/>
      </w:rPr>
    </w:pPr>
    <w:r w:rsidRPr="00CF0870">
      <w:rPr>
        <w:rFonts w:ascii="Arial" w:hAnsi="Arial" w:cs="Arial"/>
        <w:b/>
        <w:sz w:val="48"/>
      </w:rPr>
      <w:t>EN</w:t>
    </w:r>
    <w:r w:rsidRPr="00CF0870">
      <w:rPr>
        <w:rFonts w:ascii="Arial" w:hAnsi="Arial" w:cs="Arial"/>
        <w:b/>
        <w:sz w:val="48"/>
      </w:rPr>
      <w:tab/>
    </w:r>
    <w:r w:rsidRPr="00CF0870">
      <w:rPr>
        <w:rFonts w:ascii="Arial" w:hAnsi="Arial" w:cs="Arial"/>
        <w:b/>
        <w:sz w:val="48"/>
      </w:rPr>
      <w:tab/>
    </w:r>
    <w:fldSimple w:instr=" DOCVARIABLE &quot;LW_Confidence&quot; \* MERGEFORMAT ">
      <w:r>
        <w:t xml:space="preserve"> </w:t>
      </w:r>
    </w:fldSimple>
    <w:r w:rsidRPr="00CF0870">
      <w:tab/>
    </w:r>
    <w:r w:rsidRPr="00CF0870">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870" w:rsidRPr="00CF0870" w:rsidRDefault="00CF0870" w:rsidP="00CF0870">
    <w:pPr>
      <w:pStyle w:val="Footer"/>
      <w:rPr>
        <w:rFonts w:ascii="Arial" w:hAnsi="Arial" w:cs="Arial"/>
        <w:b/>
        <w:sz w:val="48"/>
      </w:rPr>
    </w:pPr>
    <w:r w:rsidRPr="00CF0870">
      <w:rPr>
        <w:rFonts w:ascii="Arial" w:hAnsi="Arial" w:cs="Arial"/>
        <w:b/>
        <w:sz w:val="48"/>
      </w:rPr>
      <w:t>EN</w:t>
    </w:r>
    <w:r w:rsidRPr="00CF0870">
      <w:rPr>
        <w:rFonts w:ascii="Arial" w:hAnsi="Arial" w:cs="Arial"/>
        <w:b/>
        <w:sz w:val="48"/>
      </w:rPr>
      <w:tab/>
    </w:r>
    <w:r>
      <w:fldChar w:fldCharType="begin"/>
    </w:r>
    <w:r>
      <w:instrText xml:space="preserve"> PAGE  \* MERGEFORMAT </w:instrText>
    </w:r>
    <w:r>
      <w:fldChar w:fldCharType="separate"/>
    </w:r>
    <w:r w:rsidR="003D556F">
      <w:rPr>
        <w:noProof/>
      </w:rPr>
      <w:t>13</w:t>
    </w:r>
    <w:r>
      <w:fldChar w:fldCharType="end"/>
    </w:r>
    <w:r>
      <w:tab/>
    </w:r>
    <w:fldSimple w:instr=" DOCVARIABLE &quot;LW_Confidence&quot; \* MERGEFORMAT ">
      <w:r>
        <w:t xml:space="preserve"> </w:t>
      </w:r>
    </w:fldSimple>
    <w:r w:rsidRPr="00CF0870">
      <w:tab/>
    </w:r>
    <w:r w:rsidRPr="00CF0870">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870" w:rsidRPr="00CF0870" w:rsidRDefault="00CF0870" w:rsidP="00CF08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CD4" w:rsidRPr="00010093" w:rsidRDefault="00361CD4" w:rsidP="001666C9">
      <w:pPr>
        <w:spacing w:before="0" w:after="0"/>
      </w:pPr>
      <w:r w:rsidRPr="00010093">
        <w:separator/>
      </w:r>
    </w:p>
  </w:footnote>
  <w:footnote w:type="continuationSeparator" w:id="0">
    <w:p w:rsidR="00361CD4" w:rsidRPr="00010093" w:rsidRDefault="00361CD4" w:rsidP="001666C9">
      <w:pPr>
        <w:spacing w:before="0" w:after="0"/>
      </w:pPr>
      <w:r w:rsidRPr="00010093">
        <w:continuationSeparator/>
      </w:r>
    </w:p>
  </w:footnote>
  <w:footnote w:id="1">
    <w:p w:rsidR="00230914" w:rsidRPr="00010093" w:rsidRDefault="00230914">
      <w:pPr>
        <w:pStyle w:val="FootnoteText"/>
      </w:pPr>
      <w:r w:rsidRPr="00010093">
        <w:rPr>
          <w:rStyle w:val="FootnoteReference"/>
        </w:rPr>
        <w:footnoteRef/>
      </w:r>
      <w:r w:rsidR="00935629" w:rsidRPr="00010093">
        <w:tab/>
      </w:r>
      <w:r w:rsidRPr="00010093">
        <w:t>REFERENCE TO OJ L</w:t>
      </w:r>
      <w:r w:rsidR="00010093">
        <w:t>.</w:t>
      </w:r>
    </w:p>
  </w:footnote>
  <w:footnote w:id="2">
    <w:p w:rsidR="00274D74" w:rsidRPr="00010093" w:rsidRDefault="00274D74" w:rsidP="004C1BC7">
      <w:pPr>
        <w:pStyle w:val="FootnoteText"/>
      </w:pPr>
      <w:r w:rsidRPr="00010093">
        <w:rPr>
          <w:rStyle w:val="FootnoteReference"/>
        </w:rPr>
        <w:footnoteRef/>
      </w:r>
      <w:r w:rsidR="002D2790" w:rsidRPr="00010093">
        <w:tab/>
      </w:r>
      <w:r w:rsidR="004C1BC7" w:rsidRPr="00010093">
        <w:t>Council Decision of 26 November 2009 concerning the conclusion, by the European Community, of the United Nations Convention on the Righ</w:t>
      </w:r>
      <w:r w:rsidR="00BD62EB" w:rsidRPr="00010093">
        <w:t>ts of Persons with Disabilities (2010/48/EC),</w:t>
      </w:r>
      <w:r w:rsidR="004C1BC7" w:rsidRPr="00010093">
        <w:t>OJ L 23, 27.1.2010, p. 35–36</w:t>
      </w:r>
      <w:r w:rsidR="00010093">
        <w:t>.</w:t>
      </w:r>
    </w:p>
  </w:footnote>
  <w:footnote w:id="3">
    <w:p w:rsidR="00EF666F" w:rsidRPr="00010093" w:rsidRDefault="00EF666F">
      <w:pPr>
        <w:pStyle w:val="FootnoteText"/>
      </w:pPr>
      <w:r w:rsidRPr="001D28E0">
        <w:rPr>
          <w:rStyle w:val="FootnoteReference"/>
        </w:rPr>
        <w:footnoteRef/>
      </w:r>
      <w:r w:rsidR="00935629" w:rsidRPr="00010093">
        <w:tab/>
      </w:r>
      <w:r w:rsidR="00A6661A" w:rsidRPr="00010093">
        <w:t xml:space="preserve">Concluding observations on the initial report of the European Union, CRPD/C/EU/CO/1, 4.9.2015 </w:t>
      </w:r>
      <w:hyperlink r:id="rId1" w:history="1">
        <w:r w:rsidRPr="00010093">
          <w:rPr>
            <w:rStyle w:val="Hyperlink"/>
          </w:rPr>
          <w:t>http://tbinternet.ohchr.org/_layouts/treatybodyexternal/Download.aspx?symbolno=CRPD%2fC%2fEU%2fCO%2f1&amp;Lang=en</w:t>
        </w:r>
      </w:hyperlink>
    </w:p>
  </w:footnote>
  <w:footnote w:id="4">
    <w:p w:rsidR="00A561DB" w:rsidRPr="00010093" w:rsidRDefault="00A010C0" w:rsidP="00A561DB">
      <w:pPr>
        <w:pStyle w:val="FootnoteText"/>
      </w:pPr>
      <w:r w:rsidRPr="00010093">
        <w:rPr>
          <w:rStyle w:val="FootnoteReference"/>
        </w:rPr>
        <w:footnoteRef/>
      </w:r>
      <w:r w:rsidR="002D2790" w:rsidRPr="00010093">
        <w:tab/>
      </w:r>
      <w:hyperlink r:id="rId2" w:history="1">
        <w:r w:rsidR="008A17EB" w:rsidRPr="00010093">
          <w:rPr>
            <w:rStyle w:val="Hyperlink"/>
          </w:rPr>
          <w:t>http://www.consilium.europa.eu/en/press/press-releases/2015/05/26-fac-dev-council-conclusions-gender-development/</w:t>
        </w:r>
      </w:hyperlink>
      <w:r w:rsidR="00A6661A" w:rsidRPr="00010093">
        <w:rPr>
          <w:rStyle w:val="Hyperlink"/>
        </w:rPr>
        <w:t xml:space="preserve"> ;</w:t>
      </w:r>
      <w:r w:rsidRPr="00010093">
        <w:t>Council Conclus</w:t>
      </w:r>
      <w:r w:rsidR="007E1153">
        <w:t>ions, Gender Action Plan 2016-2020</w:t>
      </w:r>
      <w:r w:rsidRPr="00010093">
        <w:t xml:space="preserve">, </w:t>
      </w:r>
      <w:hyperlink r:id="rId3" w:history="1">
        <w:r w:rsidR="00A561DB" w:rsidRPr="00010093">
          <w:rPr>
            <w:rStyle w:val="Hyperlink"/>
          </w:rPr>
          <w:t>http://www.consilium.europa.eu/en/press/press-releases/2015/10/26-fac-conclusions-gender-development/</w:t>
        </w:r>
      </w:hyperlink>
      <w:r w:rsidR="00A561DB" w:rsidRPr="00010093">
        <w:t xml:space="preserve">; Council Conclusions on the Action Plan on Human Rights and Democracy 2015 – 2019 </w:t>
      </w:r>
      <w:hyperlink r:id="rId4" w:history="1">
        <w:r w:rsidR="00A561DB" w:rsidRPr="00010093">
          <w:rPr>
            <w:rStyle w:val="Hyperlink"/>
            <w:bCs/>
            <w:lang w:eastAsia="en-GB"/>
          </w:rPr>
          <w:t>http://data.consilium.europa.eu/doc/document/ST-10897-2015-INIT/en/pdf</w:t>
        </w:r>
      </w:hyperlink>
      <w:r w:rsidR="00A561DB" w:rsidRPr="00010093">
        <w:rPr>
          <w:rStyle w:val="Hyperlink"/>
          <w:bCs/>
          <w:lang w:eastAsia="en-GB"/>
        </w:rPr>
        <w:t>;</w:t>
      </w:r>
      <w:r w:rsidR="00A561DB" w:rsidRPr="00010093">
        <w:rPr>
          <w:rStyle w:val="Hyperlink"/>
          <w:b/>
          <w:bCs/>
          <w:lang w:eastAsia="en-GB"/>
        </w:rPr>
        <w:t xml:space="preserve"> </w:t>
      </w:r>
      <w:r w:rsidR="00A561DB" w:rsidRPr="00010093">
        <w:t xml:space="preserve">EU guidelines on violence against women and girls and combating all forms of discrimination against them </w:t>
      </w:r>
      <w:hyperlink r:id="rId5" w:history="1">
        <w:r w:rsidR="00A561DB" w:rsidRPr="00010093">
          <w:rPr>
            <w:rStyle w:val="Hyperlink"/>
            <w:bCs/>
            <w:lang w:eastAsia="en-GB"/>
          </w:rPr>
          <w:t>http://www.consilium.europa.eu/uedocs/cmsUpload/16173cor.en08.pdf</w:t>
        </w:r>
      </w:hyperlink>
    </w:p>
  </w:footnote>
  <w:footnote w:id="5">
    <w:p w:rsidR="005E0F04" w:rsidRPr="00010093" w:rsidRDefault="00935629" w:rsidP="00EF2702">
      <w:pPr>
        <w:pStyle w:val="FootnoteText"/>
      </w:pPr>
      <w:r w:rsidRPr="00010093">
        <w:rPr>
          <w:rStyle w:val="FootnoteReference"/>
        </w:rPr>
        <w:footnoteRef/>
      </w:r>
      <w:r w:rsidRPr="00010093">
        <w:tab/>
      </w:r>
      <w:r w:rsidR="00EF2702" w:rsidRPr="00010093">
        <w:t>See for example COM(2010) 491 final, Communication from the Commission on a Strategy for equality between women and men</w:t>
      </w:r>
      <w:r w:rsidR="00BB5D44" w:rsidRPr="00010093">
        <w:t xml:space="preserve"> 2010-2015</w:t>
      </w:r>
      <w:r w:rsidR="00314202" w:rsidRPr="00010093">
        <w:t xml:space="preserve"> (</w:t>
      </w:r>
      <w:hyperlink r:id="rId6" w:history="1">
        <w:r w:rsidR="00314202" w:rsidRPr="00010093">
          <w:rPr>
            <w:rStyle w:val="Hyperlink"/>
          </w:rPr>
          <w:t>http://eur-lex.europa.eu/legal-content/EN/TXT/?qid=1396540108305&amp;uri=CELEX:52010DC0491</w:t>
        </w:r>
      </w:hyperlink>
      <w:r w:rsidR="00314202" w:rsidRPr="00010093">
        <w:t xml:space="preserve"> )</w:t>
      </w:r>
      <w:r w:rsidR="00EF2702" w:rsidRPr="00010093">
        <w:t>; Council conclusions</w:t>
      </w:r>
      <w:r w:rsidR="0000551F">
        <w:t xml:space="preserve"> of 8 March 2010</w:t>
      </w:r>
      <w:r w:rsidR="00EF2702" w:rsidRPr="00010093">
        <w:t xml:space="preserve"> on the eradication of violence against women in the European Union, </w:t>
      </w:r>
      <w:hyperlink r:id="rId7" w:history="1">
        <w:r w:rsidR="001B38D2" w:rsidRPr="00010093">
          <w:rPr>
            <w:rStyle w:val="Hyperlink"/>
          </w:rPr>
          <w:t>https://www.consilium.europa.eu/uedocs/cms_data/docs/pressdata/en/lsa/113226.pdf</w:t>
        </w:r>
      </w:hyperlink>
      <w:r w:rsidR="00A1262B" w:rsidRPr="00010093">
        <w:rPr>
          <w:rStyle w:val="Hyperlink"/>
        </w:rPr>
        <w:t xml:space="preserve">; </w:t>
      </w:r>
      <w:r w:rsidR="0000551F">
        <w:t>C</w:t>
      </w:r>
      <w:r w:rsidR="00A1262B" w:rsidRPr="00010093">
        <w:t xml:space="preserve">ommission staff working document </w:t>
      </w:r>
      <w:r w:rsidR="0000551F">
        <w:t>"</w:t>
      </w:r>
      <w:r w:rsidR="00A1262B" w:rsidRPr="00010093">
        <w:t>Strategic engagement for gender equality 2016-2019</w:t>
      </w:r>
      <w:r w:rsidR="0000551F">
        <w:t>"</w:t>
      </w:r>
      <w:r w:rsidR="00A1262B" w:rsidRPr="00010093">
        <w:t xml:space="preserve"> </w:t>
      </w:r>
      <w:r w:rsidR="00A1262B" w:rsidRPr="00010093">
        <w:rPr>
          <w:lang w:eastAsia="en-GB"/>
        </w:rPr>
        <w:t xml:space="preserve">SWD(2015) 278 final </w:t>
      </w:r>
      <w:hyperlink r:id="rId8" w:history="1">
        <w:r w:rsidR="00A1262B" w:rsidRPr="00010093">
          <w:rPr>
            <w:rStyle w:val="Hyperlink"/>
            <w:bCs/>
            <w:lang w:eastAsia="en-GB"/>
          </w:rPr>
          <w:t>http://ec.europa.eu/justice/gender-equality/files/documents/151203_strategic_engagement_en.pdf</w:t>
        </w:r>
      </w:hyperlink>
    </w:p>
  </w:footnote>
  <w:footnote w:id="6">
    <w:p w:rsidR="00EF666F" w:rsidRPr="00010093" w:rsidRDefault="00EF666F" w:rsidP="001B5ACD">
      <w:pPr>
        <w:pStyle w:val="FootnoteText"/>
      </w:pPr>
      <w:r w:rsidRPr="00010093">
        <w:rPr>
          <w:rStyle w:val="FootnoteReference"/>
        </w:rPr>
        <w:footnoteRef/>
      </w:r>
      <w:r w:rsidR="00935629" w:rsidRPr="00010093">
        <w:tab/>
      </w:r>
      <w:hyperlink r:id="rId9" w:history="1">
        <w:r w:rsidRPr="00010093">
          <w:rPr>
            <w:rStyle w:val="Hyperlink"/>
          </w:rPr>
          <w:t>http://fra.europa.eu/en/publication/2014/violence-against-women-eu-wide-survey-main-results-report</w:t>
        </w:r>
      </w:hyperlink>
    </w:p>
  </w:footnote>
  <w:footnote w:id="7">
    <w:p w:rsidR="00EF666F" w:rsidRPr="00010093" w:rsidRDefault="00EF666F">
      <w:pPr>
        <w:pStyle w:val="FootnoteText"/>
      </w:pPr>
      <w:r w:rsidRPr="00010093">
        <w:rPr>
          <w:rStyle w:val="FootnoteReference"/>
        </w:rPr>
        <w:footnoteRef/>
      </w:r>
      <w:r w:rsidR="00935629" w:rsidRPr="00010093">
        <w:tab/>
      </w:r>
      <w:r w:rsidR="00A6661A" w:rsidRPr="00010093">
        <w:t>Estimating the costs of gender-based violence in the European Union: Report</w:t>
      </w:r>
      <w:r w:rsidR="00615D42" w:rsidRPr="00010093">
        <w:t>, 5.12.2014,</w:t>
      </w:r>
      <w:r w:rsidR="00A6661A" w:rsidRPr="00010093">
        <w:t xml:space="preserve"> </w:t>
      </w:r>
      <w:hyperlink r:id="rId10" w:history="1">
        <w:r w:rsidRPr="00010093">
          <w:rPr>
            <w:rStyle w:val="Hyperlink"/>
          </w:rPr>
          <w:t>http://eige.europa.eu/node/393</w:t>
        </w:r>
      </w:hyperlink>
    </w:p>
  </w:footnote>
  <w:footnote w:id="8">
    <w:p w:rsidR="000F52AE" w:rsidRPr="00010093" w:rsidRDefault="00A706D8">
      <w:pPr>
        <w:pStyle w:val="FootnoteText"/>
      </w:pPr>
      <w:r w:rsidRPr="00010093">
        <w:rPr>
          <w:rStyle w:val="FootnoteReference"/>
        </w:rPr>
        <w:footnoteRef/>
      </w:r>
      <w:r w:rsidR="002D2790" w:rsidRPr="00010093">
        <w:tab/>
      </w:r>
      <w:r w:rsidRPr="00010093">
        <w:t>See the explanatory report to the Convention</w:t>
      </w:r>
      <w:r w:rsidR="000F52AE" w:rsidRPr="00010093">
        <w:tab/>
      </w:r>
      <w:r w:rsidRPr="00010093">
        <w:t xml:space="preserve">, </w:t>
      </w:r>
      <w:hyperlink r:id="rId11" w:history="1">
        <w:r w:rsidR="000F52AE" w:rsidRPr="00010093">
          <w:rPr>
            <w:rStyle w:val="Hyperlink"/>
          </w:rPr>
          <w:t>https://rm.coe.int/CoERMPublicCommonSearchServices/DisplayDCTMContent?documentId=09000016800d383a</w:t>
        </w:r>
      </w:hyperlink>
      <w:r w:rsidR="00010093">
        <w:rPr>
          <w:rStyle w:val="Hyperlink"/>
        </w:rPr>
        <w:t>.</w:t>
      </w:r>
    </w:p>
  </w:footnote>
  <w:footnote w:id="9">
    <w:p w:rsidR="00713329" w:rsidRPr="00010093" w:rsidRDefault="00713329" w:rsidP="00713329">
      <w:pPr>
        <w:pStyle w:val="FootnoteText"/>
      </w:pPr>
      <w:r w:rsidRPr="00010093">
        <w:rPr>
          <w:rStyle w:val="FootnoteReference"/>
        </w:rPr>
        <w:footnoteRef/>
      </w:r>
      <w:r w:rsidR="002D2790" w:rsidRPr="00010093">
        <w:tab/>
      </w:r>
      <w:r w:rsidRPr="00010093">
        <w:t>Parties remain free to only provide for non-criminal sanctions for psychological violen</w:t>
      </w:r>
      <w:r w:rsidR="002D2790" w:rsidRPr="00010093">
        <w:t>ce and stalking</w:t>
      </w:r>
      <w:r w:rsidR="005C22E4" w:rsidRPr="00010093">
        <w:t>, see</w:t>
      </w:r>
      <w:r w:rsidR="002D2790" w:rsidRPr="00010093">
        <w:t xml:space="preserve"> Article 78(3).</w:t>
      </w:r>
    </w:p>
  </w:footnote>
  <w:footnote w:id="10">
    <w:p w:rsidR="00F55B8F" w:rsidRPr="00010093" w:rsidRDefault="00F55B8F">
      <w:pPr>
        <w:pStyle w:val="FootnoteText"/>
      </w:pPr>
      <w:r w:rsidRPr="00010093">
        <w:rPr>
          <w:rStyle w:val="FootnoteReference"/>
        </w:rPr>
        <w:footnoteRef/>
      </w:r>
      <w:r w:rsidR="002D2790" w:rsidRPr="00010093">
        <w:tab/>
      </w:r>
      <w:r w:rsidR="00713329" w:rsidRPr="00010093">
        <w:t>Parties may enter a reservation on this obligation</w:t>
      </w:r>
      <w:r w:rsidR="00B64324" w:rsidRPr="00010093">
        <w:t xml:space="preserve">, see </w:t>
      </w:r>
      <w:r w:rsidR="00713329" w:rsidRPr="00010093">
        <w:t>Article 78(2)</w:t>
      </w:r>
      <w:r w:rsidR="00B64324" w:rsidRPr="00010093">
        <w:t>.</w:t>
      </w:r>
    </w:p>
  </w:footnote>
  <w:footnote w:id="11">
    <w:p w:rsidR="00713329" w:rsidRPr="00010093" w:rsidRDefault="00713329">
      <w:pPr>
        <w:pStyle w:val="FootnoteText"/>
      </w:pPr>
      <w:r w:rsidRPr="00010093">
        <w:rPr>
          <w:rStyle w:val="FootnoteReference"/>
        </w:rPr>
        <w:footnoteRef/>
      </w:r>
      <w:r w:rsidR="002D2790" w:rsidRPr="00010093">
        <w:tab/>
      </w:r>
      <w:r w:rsidRPr="00010093">
        <w:t xml:space="preserve">Reservations can be entered on several aspects of the related provision, </w:t>
      </w:r>
      <w:r w:rsidR="00B64324" w:rsidRPr="00010093">
        <w:t xml:space="preserve">see </w:t>
      </w:r>
      <w:r w:rsidRPr="00010093">
        <w:t>Article 44.</w:t>
      </w:r>
    </w:p>
  </w:footnote>
  <w:footnote w:id="12">
    <w:p w:rsidR="00156EB1" w:rsidRPr="00010093" w:rsidRDefault="00156EB1">
      <w:pPr>
        <w:pStyle w:val="FootnoteText"/>
      </w:pPr>
      <w:r w:rsidRPr="00010093">
        <w:rPr>
          <w:rStyle w:val="FootnoteReference"/>
        </w:rPr>
        <w:footnoteRef/>
      </w:r>
      <w:r w:rsidR="002D2790" w:rsidRPr="00010093">
        <w:tab/>
      </w:r>
      <w:r w:rsidRPr="00010093">
        <w:t>Parties may however enter a reservation as regards minor offences of physical violence</w:t>
      </w:r>
      <w:r w:rsidR="00B64324" w:rsidRPr="00010093">
        <w:t xml:space="preserve">, see </w:t>
      </w:r>
      <w:r w:rsidRPr="00010093">
        <w:t>Article 78(2).</w:t>
      </w:r>
    </w:p>
  </w:footnote>
  <w:footnote w:id="13">
    <w:p w:rsidR="006453A5" w:rsidRPr="00010093" w:rsidRDefault="006453A5">
      <w:pPr>
        <w:pStyle w:val="FootnoteText"/>
      </w:pPr>
      <w:r w:rsidRPr="00010093">
        <w:rPr>
          <w:rStyle w:val="FootnoteReference"/>
        </w:rPr>
        <w:footnoteRef/>
      </w:r>
      <w:r w:rsidR="002D2790" w:rsidRPr="00010093">
        <w:tab/>
      </w:r>
      <w:r w:rsidRPr="00010093">
        <w:t>Parties are permitted a reservation for the offences of forced marriage, female genital mutilation, and forced abortion/sterilisation.</w:t>
      </w:r>
      <w:r w:rsidR="009F644B" w:rsidRPr="00010093">
        <w:t xml:space="preserve"> Sexual violence including rape may not be exempted by means of this reservation.</w:t>
      </w:r>
    </w:p>
  </w:footnote>
  <w:footnote w:id="14">
    <w:p w:rsidR="005404C0" w:rsidRPr="00010093" w:rsidRDefault="005404C0">
      <w:pPr>
        <w:pStyle w:val="FootnoteText"/>
      </w:pPr>
      <w:r w:rsidRPr="00010093">
        <w:rPr>
          <w:rStyle w:val="FootnoteReference"/>
        </w:rPr>
        <w:footnoteRef/>
      </w:r>
      <w:r w:rsidR="002D2790" w:rsidRPr="00010093">
        <w:tab/>
      </w:r>
      <w:r w:rsidRPr="00010093">
        <w:t>Parties may enter a reservation on Article 59 on residence status</w:t>
      </w:r>
      <w:r w:rsidR="00B64324" w:rsidRPr="00010093">
        <w:t>, see</w:t>
      </w:r>
      <w:r w:rsidRPr="00010093">
        <w:t xml:space="preserve"> Article 78(2).</w:t>
      </w:r>
    </w:p>
  </w:footnote>
  <w:footnote w:id="15">
    <w:p w:rsidR="008346B6" w:rsidRPr="00010093" w:rsidRDefault="008346B6">
      <w:pPr>
        <w:pStyle w:val="FootnoteText"/>
      </w:pPr>
      <w:r w:rsidRPr="00010093">
        <w:rPr>
          <w:rStyle w:val="FootnoteReference"/>
        </w:rPr>
        <w:footnoteRef/>
      </w:r>
      <w:r w:rsidR="002D2790" w:rsidRPr="00010093">
        <w:tab/>
      </w:r>
      <w:r w:rsidRPr="00010093">
        <w:t>Group of Experts on action against Violence against women and domestic violence.</w:t>
      </w:r>
    </w:p>
  </w:footnote>
  <w:footnote w:id="16">
    <w:p w:rsidR="00865C53" w:rsidRPr="00010093" w:rsidRDefault="00865C53">
      <w:pPr>
        <w:pStyle w:val="FootnoteText"/>
      </w:pPr>
      <w:r w:rsidRPr="00010093">
        <w:rPr>
          <w:rStyle w:val="FootnoteReference"/>
        </w:rPr>
        <w:footnoteRef/>
      </w:r>
      <w:r w:rsidR="002D2790" w:rsidRPr="00010093">
        <w:tab/>
      </w:r>
      <w:r w:rsidRPr="00010093">
        <w:t xml:space="preserve">These </w:t>
      </w:r>
      <w:r w:rsidR="001E15B9">
        <w:t>five</w:t>
      </w:r>
      <w:r w:rsidR="001E15B9" w:rsidRPr="00010093">
        <w:t xml:space="preserve"> </w:t>
      </w:r>
      <w:r w:rsidRPr="00010093">
        <w:t xml:space="preserve">additional Members </w:t>
      </w:r>
      <w:r w:rsidR="00B64324" w:rsidRPr="00010093">
        <w:t xml:space="preserve">will be </w:t>
      </w:r>
      <w:r w:rsidRPr="00010093">
        <w:t>appointed following the 25th ratification.</w:t>
      </w:r>
    </w:p>
  </w:footnote>
  <w:footnote w:id="17">
    <w:p w:rsidR="00865C53" w:rsidRPr="00010093" w:rsidRDefault="00865C53">
      <w:pPr>
        <w:pStyle w:val="FootnoteText"/>
      </w:pPr>
      <w:r w:rsidRPr="00010093">
        <w:rPr>
          <w:rStyle w:val="FootnoteReference"/>
        </w:rPr>
        <w:footnoteRef/>
      </w:r>
      <w:r w:rsidR="002D2790" w:rsidRPr="00010093">
        <w:tab/>
      </w:r>
      <w:r w:rsidRPr="00010093">
        <w:t xml:space="preserve">No two </w:t>
      </w:r>
      <w:r w:rsidR="001E15B9">
        <w:t>m</w:t>
      </w:r>
      <w:r w:rsidRPr="00010093">
        <w:t>embers may be nationals of the same Party.</w:t>
      </w:r>
    </w:p>
  </w:footnote>
  <w:footnote w:id="18">
    <w:p w:rsidR="002F4899" w:rsidRPr="00010093" w:rsidRDefault="002F4899" w:rsidP="001B5ACD">
      <w:pPr>
        <w:pStyle w:val="FootnoteText"/>
      </w:pPr>
      <w:r w:rsidRPr="00010093">
        <w:rPr>
          <w:rStyle w:val="FootnoteReference"/>
        </w:rPr>
        <w:footnoteRef/>
      </w:r>
      <w:r w:rsidR="00B64324" w:rsidRPr="00010093">
        <w:tab/>
        <w:t>Resolution</w:t>
      </w:r>
      <w:r w:rsidR="00F47A46" w:rsidRPr="00010093">
        <w:t xml:space="preserve"> </w:t>
      </w:r>
      <w:r w:rsidR="00B64324" w:rsidRPr="00010093">
        <w:t>CM</w:t>
      </w:r>
      <w:r w:rsidR="00F47A46" w:rsidRPr="00010093">
        <w:t xml:space="preserve">/Res(2014)43 on rule on the election procedures of the members of the Group of Experts on action against Violence against Women and Domestic Violence (GREVIO), 19.11.2014, </w:t>
      </w:r>
      <w:hyperlink r:id="rId12" w:history="1">
        <w:r w:rsidRPr="00010093">
          <w:rPr>
            <w:rStyle w:val="Hyperlink"/>
          </w:rPr>
          <w:t>https://wcd.coe.int/ViewDoc.jsp?Ref=CM/Res%282014</w:t>
        </w:r>
        <w:r w:rsidR="00010093">
          <w:rPr>
            <w:rStyle w:val="Hyperlink"/>
          </w:rPr>
          <w:t> </w:t>
        </w:r>
        <w:r w:rsidRPr="00010093">
          <w:rPr>
            <w:rStyle w:val="Hyperlink"/>
          </w:rPr>
          <w:t>%2943&amp;Language=lanFrench&amp;Ver=original&amp;Site=COE&amp;BackColorInternet=DBDCF2&amp;BackColorIntranet=FDC864&amp;BackColorLogged=FDC864</w:t>
        </w:r>
      </w:hyperlink>
      <w:r w:rsidR="00010093">
        <w:rPr>
          <w:rStyle w:val="Hyperlink"/>
        </w:rPr>
        <w:t>.</w:t>
      </w:r>
    </w:p>
  </w:footnote>
  <w:footnote w:id="19">
    <w:p w:rsidR="002F4899" w:rsidRPr="00010093" w:rsidRDefault="002F4899">
      <w:pPr>
        <w:pStyle w:val="FootnoteText"/>
      </w:pPr>
      <w:r w:rsidRPr="00010093">
        <w:rPr>
          <w:rStyle w:val="FootnoteReference"/>
        </w:rPr>
        <w:footnoteRef/>
      </w:r>
      <w:r w:rsidR="00F47A46" w:rsidRPr="00010093">
        <w:tab/>
        <w:t>Adopted by GREVIO at its first meeting, 21.-23.9.2015</w:t>
      </w:r>
      <w:r w:rsidR="005720B1">
        <w:tab/>
      </w:r>
      <w:r w:rsidR="00F47A46" w:rsidRPr="00010093">
        <w:t>,</w:t>
      </w:r>
      <w:r w:rsidR="00C51720" w:rsidRPr="00010093">
        <w:t xml:space="preserve"> </w:t>
      </w:r>
      <w:hyperlink r:id="rId13" w:history="1">
        <w:r w:rsidR="00C51720" w:rsidRPr="00010093">
          <w:rPr>
            <w:rStyle w:val="Hyperlink"/>
          </w:rPr>
          <w:t>https://rm.coe.int/CoERMPublicCommonSearchServices/DisplayDCTMContent?documentId=090000168048358b</w:t>
        </w:r>
      </w:hyperlink>
      <w:r w:rsidR="00010093">
        <w:rPr>
          <w:rStyle w:val="Hyperlink"/>
        </w:rPr>
        <w:t>.</w:t>
      </w:r>
    </w:p>
  </w:footnote>
  <w:footnote w:id="20">
    <w:p w:rsidR="00530ACD" w:rsidRPr="00010093" w:rsidRDefault="00530ACD">
      <w:pPr>
        <w:pStyle w:val="FootnoteText"/>
      </w:pPr>
      <w:r w:rsidRPr="00010093">
        <w:rPr>
          <w:rStyle w:val="FootnoteReference"/>
        </w:rPr>
        <w:footnoteRef/>
      </w:r>
      <w:r w:rsidR="002D2790" w:rsidRPr="00010093">
        <w:tab/>
      </w:r>
      <w:r w:rsidRPr="00010093">
        <w:t xml:space="preserve">See for </w:t>
      </w:r>
      <w:r w:rsidR="009422F0" w:rsidRPr="00010093">
        <w:t>example Paragraph</w:t>
      </w:r>
      <w:r w:rsidRPr="00010093">
        <w:t xml:space="preserve"> 329 of the Explanatory Report to the Convention, informing that Article 62(2) of the Convention is </w:t>
      </w:r>
      <w:r w:rsidR="009422F0" w:rsidRPr="00010093">
        <w:t>based on</w:t>
      </w:r>
      <w:r w:rsidR="00245DAB" w:rsidRPr="00010093">
        <w:t xml:space="preserve"> Council Framework Decision 2001/220/JHA of 15 March 2001 on the standing of victims in criminal proceedings (</w:t>
      </w:r>
      <w:r w:rsidR="009422F0" w:rsidRPr="00010093">
        <w:t>OJ L 82, 22.3.2001, p.</w:t>
      </w:r>
      <w:r w:rsidR="00010093">
        <w:t> </w:t>
      </w:r>
      <w:r w:rsidR="009422F0" w:rsidRPr="00010093">
        <w:t>1).</w:t>
      </w:r>
    </w:p>
  </w:footnote>
  <w:footnote w:id="21">
    <w:p w:rsidR="007153ED" w:rsidRPr="00010093" w:rsidRDefault="007153ED" w:rsidP="007153ED">
      <w:pPr>
        <w:pStyle w:val="FootnoteText"/>
      </w:pPr>
      <w:r w:rsidRPr="00010093">
        <w:rPr>
          <w:rStyle w:val="FootnoteReference"/>
        </w:rPr>
        <w:footnoteRef/>
      </w:r>
      <w:r w:rsidRPr="00010093">
        <w:tab/>
        <w:t>Directive 2004/113/EC of 13 December 2004 implementing the principle of equal treatment between men and women in the access to and supply of goods and services, OJ L 372, 21.12.2004, p. 37; Directive 2006/54/EC of 5 July 2006 on the implementation of the principle of equal opportunities and equal treatment of men and women in matters of employment and occupation, OJ L 204, 26.7.2006, p.</w:t>
      </w:r>
      <w:r w:rsidR="00010093">
        <w:t> </w:t>
      </w:r>
      <w:r w:rsidRPr="00010093">
        <w:t>23; Directive 2010/41/EU of 7 July 2010 on the application of the principle of equal treatment between men and women engaged in an activity in a self-employed capacity, OJ L 180, 15.7.2010, p.</w:t>
      </w:r>
      <w:r w:rsidR="00010093">
        <w:t> </w:t>
      </w:r>
      <w:r w:rsidRPr="00010093">
        <w:t>1.</w:t>
      </w:r>
    </w:p>
  </w:footnote>
  <w:footnote w:id="22">
    <w:p w:rsidR="007153ED" w:rsidRPr="00010093" w:rsidRDefault="007153ED" w:rsidP="007153ED">
      <w:pPr>
        <w:pStyle w:val="FootnoteText"/>
      </w:pPr>
      <w:r w:rsidRPr="00010093">
        <w:rPr>
          <w:rStyle w:val="FootnoteReference"/>
        </w:rPr>
        <w:footnoteRef/>
      </w:r>
      <w:r w:rsidRPr="00010093">
        <w:tab/>
        <w:t>Directive 2012/29/EU establishing minimum standards on the rights, support and protection of victims of crime, OJ L 315, 14.11.2012, p. 57</w:t>
      </w:r>
      <w:r w:rsidR="00EF0F9E" w:rsidRPr="00010093">
        <w:t>.</w:t>
      </w:r>
    </w:p>
  </w:footnote>
  <w:footnote w:id="23">
    <w:p w:rsidR="007153ED" w:rsidRPr="00010093" w:rsidRDefault="007153ED" w:rsidP="007153ED">
      <w:pPr>
        <w:pStyle w:val="FootnoteText"/>
      </w:pPr>
      <w:r w:rsidRPr="00010093">
        <w:rPr>
          <w:rStyle w:val="FootnoteReference"/>
        </w:rPr>
        <w:footnoteRef/>
      </w:r>
      <w:r w:rsidRPr="00010093">
        <w:tab/>
        <w:t>Relevant secondary</w:t>
      </w:r>
      <w:r w:rsidR="004548D9">
        <w:t xml:space="preserve"> legislation</w:t>
      </w:r>
      <w:r w:rsidRPr="00010093">
        <w:t xml:space="preserve"> includes </w:t>
      </w:r>
      <w:r w:rsidR="005625C6" w:rsidRPr="00010093">
        <w:t xml:space="preserve">Council </w:t>
      </w:r>
      <w:r w:rsidRPr="00010093">
        <w:t>Directive 2004/81</w:t>
      </w:r>
      <w:r w:rsidR="00BF12A8" w:rsidRPr="00010093">
        <w:t>/</w:t>
      </w:r>
      <w:r w:rsidRPr="00010093">
        <w:t>EC</w:t>
      </w:r>
      <w:r w:rsidR="005625C6" w:rsidRPr="00010093">
        <w:t xml:space="preserve"> of 29 April 2004</w:t>
      </w:r>
      <w:r w:rsidRPr="00010093">
        <w:t xml:space="preserve"> on the </w:t>
      </w:r>
      <w:r w:rsidR="00BF12A8" w:rsidRPr="00010093">
        <w:t xml:space="preserve">residence </w:t>
      </w:r>
      <w:r w:rsidRPr="00010093">
        <w:t>permit issued to third-country nationals who are victims of trafficking in human beings, OJ L 261, 6.8.2004, p.</w:t>
      </w:r>
      <w:r w:rsidR="00010093">
        <w:t> </w:t>
      </w:r>
      <w:r w:rsidRPr="00010093">
        <w:t>19;</w:t>
      </w:r>
      <w:r w:rsidR="003012EE" w:rsidRPr="00010093">
        <w:t xml:space="preserve"> </w:t>
      </w:r>
      <w:r w:rsidRPr="00010093">
        <w:t xml:space="preserve">Directive 2003/86/EC on the right to family reunification, OJ L 251, 3.10.2003, p. 12; Directive 2008/115/EC on common standards and procedures in Member States for returning illegally staying third-country nationals, OL L 348, 24.12.2008, p. 98; </w:t>
      </w:r>
      <w:r w:rsidR="00B56E98" w:rsidRPr="00010093">
        <w:t xml:space="preserve">Directive 2009/52/EC providing for minimum standards on sanctions and measures against employers of illegally staying third-country nationals, OJ L 168, 30..6.2009, p. 24; </w:t>
      </w:r>
      <w:r w:rsidRPr="00010093">
        <w:t>Directive 2011/95/EU on standards for the qualification of third-country nationals or stateless persons as beneficiaries of international protection, for a uniform status for refugees or for persons eligible for subsidiary protection, and for the content of the protection granted, OJ L 337, 20.12.2011, p.</w:t>
      </w:r>
      <w:r w:rsidR="00010093">
        <w:t> </w:t>
      </w:r>
      <w:r w:rsidRPr="00010093">
        <w:t>9; Directive 2013/33/EU laying down standards for the reception of applicants for international protection (recast), OJ L 180, 29.6.2013, p. 96, Directive 2013/32/EU on common procedures for granting and withdrawing international protection, OJ L 180, p. 60; see also Directive 2004/</w:t>
      </w:r>
      <w:r w:rsidR="00E8303F">
        <w:t>3</w:t>
      </w:r>
      <w:r w:rsidRPr="00010093">
        <w:t xml:space="preserve">8/EC on the right of citizens of the Union and of their family members to move and reside freely within the territory of the Member States, OJ L </w:t>
      </w:r>
      <w:r w:rsidR="00E8303F">
        <w:t>158</w:t>
      </w:r>
      <w:r w:rsidRPr="00010093">
        <w:t xml:space="preserve">, </w:t>
      </w:r>
      <w:r w:rsidR="00E8303F">
        <w:t>30.4.2004</w:t>
      </w:r>
      <w:r w:rsidRPr="00010093">
        <w:t xml:space="preserve">, p. </w:t>
      </w:r>
      <w:r w:rsidR="00E8303F">
        <w:t>77</w:t>
      </w:r>
      <w:r w:rsidR="00B56E98" w:rsidRPr="00010093">
        <w:t xml:space="preserve"> and Council Directive 2003/109/EC concerning the status of third-country nationals who are long-term residents, OJ L 16, 23.1.2004, p.</w:t>
      </w:r>
      <w:r w:rsidR="00010093">
        <w:t> </w:t>
      </w:r>
      <w:r w:rsidR="00B56E98" w:rsidRPr="00010093">
        <w:t>44.</w:t>
      </w:r>
    </w:p>
  </w:footnote>
  <w:footnote w:id="24">
    <w:p w:rsidR="0071430A" w:rsidRPr="00010093" w:rsidRDefault="007153ED" w:rsidP="007153ED">
      <w:pPr>
        <w:pStyle w:val="FootnoteText"/>
      </w:pPr>
      <w:r w:rsidRPr="00010093">
        <w:rPr>
          <w:rStyle w:val="FootnoteReference"/>
        </w:rPr>
        <w:footnoteRef/>
      </w:r>
      <w:r w:rsidRPr="00010093">
        <w:tab/>
        <w:t>Regulation (EU) No 606/2013 on mutual recognition of protection measures in civil matters, OJ L 181, 29.6.2013, p.</w:t>
      </w:r>
      <w:r w:rsidR="00010093">
        <w:t> </w:t>
      </w:r>
      <w:r w:rsidR="00E57A65">
        <w:t>4; Directive 2003</w:t>
      </w:r>
      <w:r w:rsidRPr="00010093">
        <w:t>/8/EC to improve access to justice in cross-border disputes by establishing minimum common rules relating to legal</w:t>
      </w:r>
      <w:r w:rsidR="009422F0" w:rsidRPr="00010093">
        <w:t xml:space="preserve"> </w:t>
      </w:r>
      <w:r w:rsidRPr="00010093">
        <w:t>aid for such disputes, OJ L 26, 31.1.2003, p. 41; Directive 2004/80/EC relating to compensation of crime victims, OJ L 261, 6.8.2004, p. 15; Council Framework Decision 2008/947/JHA on the application of the principle of mutual recognition to judgments and probation decisions with a view to the supervision of probation me</w:t>
      </w:r>
      <w:r w:rsidR="00E57A65">
        <w:t>asures</w:t>
      </w:r>
      <w:r w:rsidRPr="00010093">
        <w:t xml:space="preserve"> and alternative sanctions, OJ L 337, 16.12.2008, p.</w:t>
      </w:r>
      <w:r w:rsidR="00010093">
        <w:t> </w:t>
      </w:r>
      <w:r w:rsidRPr="00010093">
        <w:t>102; Directive 2011/99/EU on the European protection order, OJ L 338, 21.12.2011, p.</w:t>
      </w:r>
      <w:r w:rsidR="00010093">
        <w:t> </w:t>
      </w:r>
      <w:r w:rsidRPr="00010093">
        <w:t>2</w:t>
      </w:r>
      <w:r w:rsidR="00E8303F">
        <w:t>; Council Framework Decision 2009/315/JHA on the organisation and content of the exchange of information extracted from the criminal record between Member States, OJ L 93, 7.4.2009, p. 23; Council Decision 2009/316/JHA on the establishment of the European Criminal Records Information System (ECRIS) in application of Article 11 of Framework Decision</w:t>
      </w:r>
      <w:r w:rsidR="001C7AF4">
        <w:t xml:space="preserve"> 2009/315/JHA, OJ L 93, 7.4.2009, p. 33; Council Framework Decision 2008/675/JHA on taking account of convictions in the Member States of the European Union in the course of new criminal proceedings, OJ L 220, 15.8.2008, p. 32.</w:t>
      </w:r>
    </w:p>
  </w:footnote>
  <w:footnote w:id="25">
    <w:p w:rsidR="007153ED" w:rsidRPr="00010093" w:rsidRDefault="007153ED" w:rsidP="007153ED">
      <w:pPr>
        <w:pStyle w:val="FootnoteText"/>
      </w:pPr>
      <w:r w:rsidRPr="00010093">
        <w:rPr>
          <w:rStyle w:val="FootnoteReference"/>
        </w:rPr>
        <w:footnoteRef/>
      </w:r>
      <w:r w:rsidRPr="00010093">
        <w:tab/>
        <w:t>Directive 2011/</w:t>
      </w:r>
      <w:r w:rsidR="00BB650C" w:rsidRPr="00010093">
        <w:t>9</w:t>
      </w:r>
      <w:r w:rsidR="00756D1F">
        <w:t>3</w:t>
      </w:r>
      <w:r w:rsidRPr="00010093">
        <w:t>/EU on combating the sexual abuse and sexual exploitation of children and child pornography, OJ L 335, 17.12.2011, p.</w:t>
      </w:r>
      <w:r w:rsidR="00010093">
        <w:t> </w:t>
      </w:r>
      <w:r w:rsidRPr="00010093">
        <w:t>1.</w:t>
      </w:r>
    </w:p>
  </w:footnote>
  <w:footnote w:id="26">
    <w:p w:rsidR="007153ED" w:rsidRPr="00010093" w:rsidRDefault="007153ED" w:rsidP="007153ED">
      <w:pPr>
        <w:pStyle w:val="FootnoteText"/>
      </w:pPr>
      <w:r w:rsidRPr="00010093">
        <w:rPr>
          <w:rStyle w:val="FootnoteReference"/>
        </w:rPr>
        <w:footnoteRef/>
      </w:r>
      <w:r w:rsidRPr="00010093">
        <w:tab/>
        <w:t>Directive 2010/13/EU (Audiovisual Media Services Directive), OJ L 95, 15.4.2010, p. 1.</w:t>
      </w:r>
    </w:p>
  </w:footnote>
  <w:footnote w:id="27">
    <w:p w:rsidR="00B37D30" w:rsidRPr="00010093" w:rsidRDefault="007153ED" w:rsidP="007153ED">
      <w:pPr>
        <w:pStyle w:val="FootnoteText"/>
        <w:rPr>
          <w:b/>
        </w:rPr>
      </w:pPr>
      <w:r w:rsidRPr="00010093">
        <w:rPr>
          <w:rStyle w:val="FootnoteReference"/>
        </w:rPr>
        <w:footnoteRef/>
      </w:r>
      <w:r w:rsidRPr="00010093">
        <w:tab/>
      </w:r>
      <w:r w:rsidR="008B12F6" w:rsidRPr="00010093">
        <w:t>Directive 95/46/EC on the protection of individuals with regard to the processing of personal data and on the free movement of such data, OJ L 281, 23.11.95, p. 31; Council Framework Decision 2008/</w:t>
      </w:r>
      <w:r w:rsidR="00756D1F">
        <w:t>9</w:t>
      </w:r>
      <w:r w:rsidR="008B12F6" w:rsidRPr="00010093">
        <w:t>77/JHA on the protection of personal data processed in the framework of police and judicial cooperation in criminal matters, OJ L 350, 30.12.2008, p. 60</w:t>
      </w:r>
      <w:r w:rsidR="000B202A" w:rsidRPr="00010093">
        <w:t>.</w:t>
      </w:r>
    </w:p>
  </w:footnote>
  <w:footnote w:id="28">
    <w:p w:rsidR="004E5533" w:rsidRPr="00010093" w:rsidRDefault="004E5533">
      <w:pPr>
        <w:pStyle w:val="FootnoteText"/>
      </w:pPr>
      <w:r w:rsidRPr="00010093">
        <w:rPr>
          <w:rStyle w:val="FootnoteReference"/>
        </w:rPr>
        <w:footnoteRef/>
      </w:r>
      <w:r w:rsidR="002D2790" w:rsidRPr="00010093">
        <w:tab/>
      </w:r>
      <w:r w:rsidRPr="00010093">
        <w:t>Directive (EU)</w:t>
      </w:r>
      <w:r w:rsidR="008B12F6" w:rsidRPr="00010093">
        <w:t xml:space="preserve"> </w:t>
      </w:r>
      <w:r w:rsidRPr="00010093">
        <w:t>2015/637 on the coordination and cooperation measures to facilitate consular protection for unrepresented citizens of the Union in third countries, OJ L 106, 24.4.2015, p.</w:t>
      </w:r>
      <w:r w:rsidR="00010093">
        <w:t> </w:t>
      </w:r>
      <w:r w:rsidRPr="00010093">
        <w:t>1.</w:t>
      </w:r>
    </w:p>
  </w:footnote>
  <w:footnote w:id="29">
    <w:p w:rsidR="00C1194B" w:rsidRPr="001B5ACD" w:rsidRDefault="00C1194B">
      <w:pPr>
        <w:pStyle w:val="FootnoteText"/>
      </w:pPr>
      <w:r w:rsidRPr="001D28E0">
        <w:rPr>
          <w:rStyle w:val="FootnoteReference"/>
        </w:rPr>
        <w:footnoteRef/>
      </w:r>
      <w:r w:rsidR="001D28E0">
        <w:tab/>
      </w:r>
      <w:r w:rsidRPr="001B5ACD">
        <w:t xml:space="preserve">Council Decision of 26 November 2009 concerning the conclusion, by the European Community, of the United Nations Convention on the Rights of Persons with Disabilities (2010/48/EC), OJ L 23, 27.1.2010, p. </w:t>
      </w:r>
      <w:r>
        <w:t>35.</w:t>
      </w:r>
    </w:p>
  </w:footnote>
  <w:footnote w:id="30">
    <w:p w:rsidR="00A54B75" w:rsidRPr="00010093" w:rsidRDefault="00A54B75" w:rsidP="00A54B75">
      <w:pPr>
        <w:pStyle w:val="FootnoteText"/>
      </w:pPr>
      <w:r w:rsidRPr="00010093">
        <w:rPr>
          <w:rStyle w:val="FootnoteReference"/>
        </w:rPr>
        <w:footnoteRef/>
      </w:r>
      <w:r w:rsidRPr="00010093">
        <w:tab/>
        <w:t>C-377/12, Commission v Council, paragraph 34.</w:t>
      </w:r>
    </w:p>
  </w:footnote>
  <w:footnote w:id="31">
    <w:p w:rsidR="00A54B75" w:rsidRPr="00010093" w:rsidRDefault="00A54B75" w:rsidP="00A54B75">
      <w:pPr>
        <w:pStyle w:val="FootnoteText"/>
      </w:pPr>
      <w:r w:rsidRPr="00010093">
        <w:rPr>
          <w:rStyle w:val="FootnoteReference"/>
        </w:rPr>
        <w:footnoteRef/>
      </w:r>
      <w:r w:rsidRPr="00010093">
        <w:tab/>
        <w:t>Ibid, paragraph 34.</w:t>
      </w:r>
    </w:p>
  </w:footnote>
  <w:footnote w:id="32">
    <w:p w:rsidR="00A54B75" w:rsidRPr="00010093" w:rsidRDefault="00A54B75" w:rsidP="00A54B75">
      <w:pPr>
        <w:pStyle w:val="FootnoteText"/>
      </w:pPr>
      <w:r w:rsidRPr="00010093">
        <w:rPr>
          <w:rStyle w:val="FootnoteReference"/>
        </w:rPr>
        <w:footnoteRef/>
      </w:r>
      <w:r w:rsidR="002D2790" w:rsidRPr="00010093">
        <w:tab/>
      </w:r>
      <w:r w:rsidRPr="00010093">
        <w:t>The fact that an element may be ancillary does not mean that there is no exclusive</w:t>
      </w:r>
      <w:r w:rsidR="002B4265" w:rsidRPr="002B4265">
        <w:t xml:space="preserve"> </w:t>
      </w:r>
      <w:r w:rsidR="002B4265" w:rsidRPr="00010093">
        <w:t>Union</w:t>
      </w:r>
      <w:r w:rsidRPr="00010093">
        <w:t xml:space="preserve"> competence over that element. The legal basis for the Union rules is, in itself, irrelevant in determining whether an international agreement affects </w:t>
      </w:r>
      <w:r w:rsidR="002B4265">
        <w:t>those</w:t>
      </w:r>
      <w:r w:rsidR="002B4265" w:rsidRPr="00010093">
        <w:t xml:space="preserve"> </w:t>
      </w:r>
      <w:r w:rsidRPr="00010093">
        <w:t>rules: the legal basis of internal legislation is determined by its principal component, whereas the rule which may possibly be affected may be merely an ancillary component of that legislation. The purpose of the exclusive competence of the Union is primarily to preserve the effectiveness of Union law and the proper functioning of the systems established by its rules, independently of any limits laid down by the provision of the Treaty on which the institutions base the adoption of such rules (Opinion 1/03, EU:C:2006:81, paragraph 131).</w:t>
      </w:r>
    </w:p>
  </w:footnote>
  <w:footnote w:id="33">
    <w:p w:rsidR="001666C9" w:rsidRPr="00010093" w:rsidRDefault="001666C9" w:rsidP="007A2939">
      <w:pPr>
        <w:pStyle w:val="FootnoteText"/>
      </w:pPr>
      <w:r w:rsidRPr="00010093">
        <w:rPr>
          <w:rStyle w:val="FootnoteReference"/>
        </w:rPr>
        <w:footnoteRef/>
      </w:r>
      <w:r w:rsidRPr="00010093">
        <w:tab/>
        <w:t xml:space="preserve">OJ C </w:t>
      </w:r>
      <w:r w:rsidRPr="00010093">
        <w:rPr>
          <w:rStyle w:val="Marker"/>
        </w:rPr>
        <w:t>[…]</w:t>
      </w:r>
      <w:r w:rsidRPr="00010093">
        <w:t xml:space="preserve">, </w:t>
      </w:r>
      <w:r w:rsidRPr="00010093">
        <w:rPr>
          <w:rStyle w:val="Marker"/>
        </w:rPr>
        <w:t>[…]</w:t>
      </w:r>
      <w:r w:rsidRPr="00010093">
        <w:t xml:space="preserve">, p. </w:t>
      </w:r>
      <w:r w:rsidRPr="00010093">
        <w:rPr>
          <w:rStyle w:val="Marker"/>
        </w:rPr>
        <w:t>[…]</w:t>
      </w:r>
      <w:r w:rsidRPr="00010093">
        <w:t>.</w:t>
      </w:r>
    </w:p>
  </w:footnote>
  <w:footnote w:id="34">
    <w:p w:rsidR="00CC74B0" w:rsidRPr="00010093" w:rsidRDefault="00CC74B0">
      <w:pPr>
        <w:pStyle w:val="FootnoteText"/>
      </w:pPr>
      <w:r w:rsidRPr="00010093">
        <w:rPr>
          <w:rStyle w:val="FootnoteReference"/>
        </w:rPr>
        <w:footnoteRef/>
      </w:r>
      <w:r w:rsidR="00935629" w:rsidRPr="00010093">
        <w:tab/>
      </w:r>
      <w:r w:rsidRPr="00010093">
        <w:t>OJ L ….</w:t>
      </w:r>
    </w:p>
  </w:footnote>
  <w:footnote w:id="35">
    <w:p w:rsidR="008D4778" w:rsidRPr="00010093" w:rsidRDefault="008D4778">
      <w:pPr>
        <w:pStyle w:val="FootnoteText"/>
      </w:pPr>
      <w:r w:rsidRPr="00010093">
        <w:rPr>
          <w:rStyle w:val="FootnoteReference"/>
        </w:rPr>
        <w:footnoteRef/>
      </w:r>
      <w:r w:rsidR="00935629" w:rsidRPr="00010093">
        <w:tab/>
      </w:r>
      <w:r w:rsidRPr="00010093">
        <w:t xml:space="preserve">Directive 2012/29/EU of the European Parliament and of the Council of 25 October 2012 establishing minimum standards on the rights, support and protection of victims of crime, and replacing Council Framework Decision 2001/220/JHA </w:t>
      </w:r>
      <w:r w:rsidR="008323A7">
        <w:t>(</w:t>
      </w:r>
      <w:r w:rsidRPr="00010093">
        <w:t>OJ L 315 of 14.11.2012, p.</w:t>
      </w:r>
      <w:r w:rsidR="00010093">
        <w:t> </w:t>
      </w:r>
      <w:r w:rsidRPr="00010093">
        <w:t>57</w:t>
      </w:r>
      <w:r w:rsidR="008323A7">
        <w:t>)</w:t>
      </w:r>
      <w:r w:rsidRPr="00010093">
        <w:t>.</w:t>
      </w:r>
    </w:p>
  </w:footnote>
  <w:footnote w:id="36">
    <w:p w:rsidR="00F3053E" w:rsidRPr="00010093" w:rsidRDefault="00F3053E">
      <w:pPr>
        <w:pStyle w:val="FootnoteText"/>
      </w:pPr>
      <w:r w:rsidRPr="00010093">
        <w:rPr>
          <w:rStyle w:val="FootnoteReference"/>
        </w:rPr>
        <w:footnoteRef/>
      </w:r>
      <w:r w:rsidR="00935629" w:rsidRPr="00010093">
        <w:tab/>
      </w:r>
      <w:r w:rsidRPr="00010093">
        <w:t xml:space="preserve">The date of entry into force of the Convention for the European Union will be published in the </w:t>
      </w:r>
      <w:r w:rsidRPr="00010093">
        <w:rPr>
          <w:i/>
        </w:rPr>
        <w:t>Official Journal of the European Union</w:t>
      </w:r>
      <w:r w:rsidRPr="00010093">
        <w:t xml:space="preserve"> by the General Secretariat of the Council.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36E4536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3CCC26C"/>
    <w:lvl w:ilvl="0">
      <w:start w:val="1"/>
      <w:numFmt w:val="decimal"/>
      <w:pStyle w:val="ListNumber3"/>
      <w:lvlText w:val="%1."/>
      <w:lvlJc w:val="left"/>
      <w:pPr>
        <w:tabs>
          <w:tab w:val="num" w:pos="926"/>
        </w:tabs>
        <w:ind w:left="926" w:hanging="360"/>
      </w:pPr>
    </w:lvl>
  </w:abstractNum>
  <w:abstractNum w:abstractNumId="2">
    <w:nsid w:val="FFFFFF7F"/>
    <w:multiLevelType w:val="singleLevel"/>
    <w:tmpl w:val="66B4A4BE"/>
    <w:lvl w:ilvl="0">
      <w:start w:val="1"/>
      <w:numFmt w:val="decimal"/>
      <w:pStyle w:val="ListNumber2"/>
      <w:lvlText w:val="%1."/>
      <w:lvlJc w:val="left"/>
      <w:pPr>
        <w:tabs>
          <w:tab w:val="num" w:pos="643"/>
        </w:tabs>
        <w:ind w:left="643" w:hanging="360"/>
      </w:pPr>
    </w:lvl>
  </w:abstractNum>
  <w:abstractNum w:abstractNumId="3">
    <w:nsid w:val="FFFFFF81"/>
    <w:multiLevelType w:val="singleLevel"/>
    <w:tmpl w:val="BF56C70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EAC157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A06DED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88C44E6"/>
    <w:lvl w:ilvl="0">
      <w:start w:val="1"/>
      <w:numFmt w:val="decimal"/>
      <w:pStyle w:val="ListNumber"/>
      <w:lvlText w:val="%1."/>
      <w:lvlJc w:val="left"/>
      <w:pPr>
        <w:tabs>
          <w:tab w:val="num" w:pos="360"/>
        </w:tabs>
        <w:ind w:left="360" w:hanging="360"/>
      </w:pPr>
    </w:lvl>
  </w:abstractNum>
  <w:abstractNum w:abstractNumId="7">
    <w:nsid w:val="FFFFFF89"/>
    <w:multiLevelType w:val="singleLevel"/>
    <w:tmpl w:val="C26A1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isplayBackgroundShape/>
  <w:attachedTemplate r:id="rId1"/>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2-22 11:14:52"/>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1"/>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2A81E00CF17D424CB1A7B95E9B4552DA"/>
    <w:docVar w:name="LW_CROSSREFERENCE" w:val="&lt;UNUSED&gt;"/>
    <w:docVar w:name="LW_DocType" w:val="COM"/>
    <w:docVar w:name="LW_EMISSION" w:val="4.3.2016"/>
    <w:docVar w:name="LW_EMISSION_ISODATE" w:val="2016-03-04"/>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NLE"/>
    <w:docVar w:name="LW_REF.II.NEW.CP_NUMBER" w:val="0062"/>
    <w:docVar w:name="LW_REF.II.NEW.CP_YEAR" w:val="2016"/>
    <w:docVar w:name="LW_REF.INST.NEW" w:val="COM"/>
    <w:docVar w:name="LW_REF.INST.NEW_ADOPTED" w:val="final"/>
    <w:docVar w:name="LW_REF.INST.NEW_TEXT" w:val="(2016) 109"/>
    <w:docVar w:name="LW_REF.INTERNE" w:val="&lt;UNUSED&gt;"/>
    <w:docVar w:name="LW_SOUS.TITRE.OBJ.CP" w:val="&lt;UNUSED&gt;"/>
    <w:docVar w:name="LW_STATUT.CP" w:val="Proposal for a"/>
    <w:docVar w:name="LW_SUPERTITRE" w:val="&lt;UNUSED&gt;"/>
    <w:docVar w:name="LW_TITRE.OBJ.CP" w:val="on the conclusion, by the European Union, of the Council of Europe Convention on preventing and combating violence against women and domestic violence"/>
    <w:docVar w:name="LW_TYPE.DOC.CP" w:val="COUNCIL DECISION"/>
    <w:docVar w:name="Stamp" w:val="\\dossiers.dgt.cec.eu.int\dossiers\JUST\JUST-2016-00137\JUST-2016-00137-00-01-EN-REV-00.DOCX"/>
  </w:docVars>
  <w:rsids>
    <w:rsidRoot w:val="001666C9"/>
    <w:rsid w:val="0000551F"/>
    <w:rsid w:val="00010093"/>
    <w:rsid w:val="000156E0"/>
    <w:rsid w:val="000224FF"/>
    <w:rsid w:val="000340E3"/>
    <w:rsid w:val="000400F1"/>
    <w:rsid w:val="00040981"/>
    <w:rsid w:val="0004351C"/>
    <w:rsid w:val="0004357A"/>
    <w:rsid w:val="000455FC"/>
    <w:rsid w:val="00045D41"/>
    <w:rsid w:val="00047374"/>
    <w:rsid w:val="00053615"/>
    <w:rsid w:val="00063A9B"/>
    <w:rsid w:val="00063CD6"/>
    <w:rsid w:val="00064054"/>
    <w:rsid w:val="00072EA4"/>
    <w:rsid w:val="00083150"/>
    <w:rsid w:val="00090483"/>
    <w:rsid w:val="000952EF"/>
    <w:rsid w:val="00097849"/>
    <w:rsid w:val="000A536B"/>
    <w:rsid w:val="000A6B07"/>
    <w:rsid w:val="000A6BA1"/>
    <w:rsid w:val="000B202A"/>
    <w:rsid w:val="000B6082"/>
    <w:rsid w:val="000B7AE4"/>
    <w:rsid w:val="000C34BD"/>
    <w:rsid w:val="000C4640"/>
    <w:rsid w:val="000C6983"/>
    <w:rsid w:val="000D3B73"/>
    <w:rsid w:val="000E3CE1"/>
    <w:rsid w:val="000E3D65"/>
    <w:rsid w:val="000F1D14"/>
    <w:rsid w:val="000F52AE"/>
    <w:rsid w:val="000F75B5"/>
    <w:rsid w:val="0012148F"/>
    <w:rsid w:val="001233B5"/>
    <w:rsid w:val="00126933"/>
    <w:rsid w:val="001325ED"/>
    <w:rsid w:val="00134BBD"/>
    <w:rsid w:val="00140E77"/>
    <w:rsid w:val="001417BB"/>
    <w:rsid w:val="00156EB1"/>
    <w:rsid w:val="00160905"/>
    <w:rsid w:val="001666C9"/>
    <w:rsid w:val="00171635"/>
    <w:rsid w:val="00173877"/>
    <w:rsid w:val="0017470F"/>
    <w:rsid w:val="00184492"/>
    <w:rsid w:val="001856C2"/>
    <w:rsid w:val="001869C1"/>
    <w:rsid w:val="00192D00"/>
    <w:rsid w:val="00192DC3"/>
    <w:rsid w:val="00193389"/>
    <w:rsid w:val="0019627A"/>
    <w:rsid w:val="00197E88"/>
    <w:rsid w:val="001A1CF0"/>
    <w:rsid w:val="001B38D2"/>
    <w:rsid w:val="001B5ACD"/>
    <w:rsid w:val="001C09F9"/>
    <w:rsid w:val="001C5A8C"/>
    <w:rsid w:val="001C7AF4"/>
    <w:rsid w:val="001D25E2"/>
    <w:rsid w:val="001D28E0"/>
    <w:rsid w:val="001D45EF"/>
    <w:rsid w:val="001D5FDF"/>
    <w:rsid w:val="001D6A17"/>
    <w:rsid w:val="001D6DE0"/>
    <w:rsid w:val="001E15B9"/>
    <w:rsid w:val="001E1A9F"/>
    <w:rsid w:val="001E726F"/>
    <w:rsid w:val="002046EC"/>
    <w:rsid w:val="00215D5A"/>
    <w:rsid w:val="00217FC1"/>
    <w:rsid w:val="00227F3A"/>
    <w:rsid w:val="00230914"/>
    <w:rsid w:val="00241186"/>
    <w:rsid w:val="00243116"/>
    <w:rsid w:val="00245DAB"/>
    <w:rsid w:val="00262F72"/>
    <w:rsid w:val="00273C26"/>
    <w:rsid w:val="00274D74"/>
    <w:rsid w:val="0028209B"/>
    <w:rsid w:val="002822B1"/>
    <w:rsid w:val="00290BD6"/>
    <w:rsid w:val="002A4874"/>
    <w:rsid w:val="002B4265"/>
    <w:rsid w:val="002B7ED4"/>
    <w:rsid w:val="002D1055"/>
    <w:rsid w:val="002D2790"/>
    <w:rsid w:val="002D4578"/>
    <w:rsid w:val="002D591A"/>
    <w:rsid w:val="002E2370"/>
    <w:rsid w:val="002E3B49"/>
    <w:rsid w:val="002F4899"/>
    <w:rsid w:val="002F66A1"/>
    <w:rsid w:val="003012EE"/>
    <w:rsid w:val="00304319"/>
    <w:rsid w:val="003044FF"/>
    <w:rsid w:val="003077B0"/>
    <w:rsid w:val="00311432"/>
    <w:rsid w:val="00312218"/>
    <w:rsid w:val="00314202"/>
    <w:rsid w:val="00334C16"/>
    <w:rsid w:val="0034228B"/>
    <w:rsid w:val="00343827"/>
    <w:rsid w:val="0034445E"/>
    <w:rsid w:val="00344DB4"/>
    <w:rsid w:val="00345C32"/>
    <w:rsid w:val="00350BE2"/>
    <w:rsid w:val="003527D2"/>
    <w:rsid w:val="00361CD4"/>
    <w:rsid w:val="00364378"/>
    <w:rsid w:val="003669D7"/>
    <w:rsid w:val="00377345"/>
    <w:rsid w:val="0037793A"/>
    <w:rsid w:val="00383787"/>
    <w:rsid w:val="00386E96"/>
    <w:rsid w:val="00390F06"/>
    <w:rsid w:val="00396DD1"/>
    <w:rsid w:val="003B02CD"/>
    <w:rsid w:val="003B1262"/>
    <w:rsid w:val="003B3CDA"/>
    <w:rsid w:val="003C09FC"/>
    <w:rsid w:val="003C33DE"/>
    <w:rsid w:val="003C60FD"/>
    <w:rsid w:val="003D01CA"/>
    <w:rsid w:val="003D1530"/>
    <w:rsid w:val="003D556F"/>
    <w:rsid w:val="003D73E7"/>
    <w:rsid w:val="003D7BDA"/>
    <w:rsid w:val="003E21E2"/>
    <w:rsid w:val="003E5EB1"/>
    <w:rsid w:val="00407662"/>
    <w:rsid w:val="0041674E"/>
    <w:rsid w:val="00417852"/>
    <w:rsid w:val="004255F1"/>
    <w:rsid w:val="00426092"/>
    <w:rsid w:val="004306F2"/>
    <w:rsid w:val="0044052D"/>
    <w:rsid w:val="00443A90"/>
    <w:rsid w:val="00450876"/>
    <w:rsid w:val="004548D9"/>
    <w:rsid w:val="00460C9F"/>
    <w:rsid w:val="004624D1"/>
    <w:rsid w:val="00470707"/>
    <w:rsid w:val="004740C2"/>
    <w:rsid w:val="004765F8"/>
    <w:rsid w:val="00480836"/>
    <w:rsid w:val="00482599"/>
    <w:rsid w:val="00483121"/>
    <w:rsid w:val="00496DC4"/>
    <w:rsid w:val="004A342A"/>
    <w:rsid w:val="004B2C4E"/>
    <w:rsid w:val="004C1BC7"/>
    <w:rsid w:val="004C2F53"/>
    <w:rsid w:val="004D7DAC"/>
    <w:rsid w:val="004E5533"/>
    <w:rsid w:val="004E7D89"/>
    <w:rsid w:val="004F26C8"/>
    <w:rsid w:val="004F4FEA"/>
    <w:rsid w:val="00500C5F"/>
    <w:rsid w:val="005052CC"/>
    <w:rsid w:val="00514824"/>
    <w:rsid w:val="00520B98"/>
    <w:rsid w:val="00530ACD"/>
    <w:rsid w:val="00531C1F"/>
    <w:rsid w:val="00534581"/>
    <w:rsid w:val="00534B42"/>
    <w:rsid w:val="00534E6F"/>
    <w:rsid w:val="005404C0"/>
    <w:rsid w:val="005625C6"/>
    <w:rsid w:val="00565591"/>
    <w:rsid w:val="00566774"/>
    <w:rsid w:val="00566AAC"/>
    <w:rsid w:val="005672E0"/>
    <w:rsid w:val="005720B1"/>
    <w:rsid w:val="00572A9D"/>
    <w:rsid w:val="0057640E"/>
    <w:rsid w:val="00597FA1"/>
    <w:rsid w:val="005A023E"/>
    <w:rsid w:val="005C1F88"/>
    <w:rsid w:val="005C22E4"/>
    <w:rsid w:val="005C29AB"/>
    <w:rsid w:val="005C2A52"/>
    <w:rsid w:val="005D03A8"/>
    <w:rsid w:val="005E0F04"/>
    <w:rsid w:val="005F4B7A"/>
    <w:rsid w:val="0060047F"/>
    <w:rsid w:val="006024B9"/>
    <w:rsid w:val="00603E87"/>
    <w:rsid w:val="00611A24"/>
    <w:rsid w:val="00615D42"/>
    <w:rsid w:val="006236A5"/>
    <w:rsid w:val="006244A1"/>
    <w:rsid w:val="00625789"/>
    <w:rsid w:val="00630182"/>
    <w:rsid w:val="006322BC"/>
    <w:rsid w:val="0063605B"/>
    <w:rsid w:val="0064096D"/>
    <w:rsid w:val="006453A5"/>
    <w:rsid w:val="00651E12"/>
    <w:rsid w:val="006571B7"/>
    <w:rsid w:val="006724F2"/>
    <w:rsid w:val="00673264"/>
    <w:rsid w:val="00681356"/>
    <w:rsid w:val="00683BCD"/>
    <w:rsid w:val="00697F0B"/>
    <w:rsid w:val="006B03D0"/>
    <w:rsid w:val="006C13E5"/>
    <w:rsid w:val="006D5A93"/>
    <w:rsid w:val="006D68DC"/>
    <w:rsid w:val="006E252A"/>
    <w:rsid w:val="006E7B80"/>
    <w:rsid w:val="00705602"/>
    <w:rsid w:val="00713329"/>
    <w:rsid w:val="0071430A"/>
    <w:rsid w:val="007153ED"/>
    <w:rsid w:val="00715D61"/>
    <w:rsid w:val="00735150"/>
    <w:rsid w:val="007476AA"/>
    <w:rsid w:val="00751070"/>
    <w:rsid w:val="0075472D"/>
    <w:rsid w:val="00756D1F"/>
    <w:rsid w:val="00760893"/>
    <w:rsid w:val="007744CF"/>
    <w:rsid w:val="00775136"/>
    <w:rsid w:val="00776450"/>
    <w:rsid w:val="007808D1"/>
    <w:rsid w:val="00783F48"/>
    <w:rsid w:val="00784C09"/>
    <w:rsid w:val="00785E2C"/>
    <w:rsid w:val="007860BC"/>
    <w:rsid w:val="00792CA2"/>
    <w:rsid w:val="007A2939"/>
    <w:rsid w:val="007B25F1"/>
    <w:rsid w:val="007B63D6"/>
    <w:rsid w:val="007C6890"/>
    <w:rsid w:val="007D0615"/>
    <w:rsid w:val="007D53B6"/>
    <w:rsid w:val="007D6093"/>
    <w:rsid w:val="007E0E5C"/>
    <w:rsid w:val="007E1109"/>
    <w:rsid w:val="007E1153"/>
    <w:rsid w:val="007F43C9"/>
    <w:rsid w:val="007F7FA9"/>
    <w:rsid w:val="00801249"/>
    <w:rsid w:val="00802BC2"/>
    <w:rsid w:val="00803C72"/>
    <w:rsid w:val="00811331"/>
    <w:rsid w:val="00812781"/>
    <w:rsid w:val="0081332A"/>
    <w:rsid w:val="00820527"/>
    <w:rsid w:val="00830F33"/>
    <w:rsid w:val="008323A7"/>
    <w:rsid w:val="008346B6"/>
    <w:rsid w:val="00835656"/>
    <w:rsid w:val="0083636B"/>
    <w:rsid w:val="00842145"/>
    <w:rsid w:val="00852192"/>
    <w:rsid w:val="00854270"/>
    <w:rsid w:val="0085638F"/>
    <w:rsid w:val="00863068"/>
    <w:rsid w:val="0086375E"/>
    <w:rsid w:val="00865C53"/>
    <w:rsid w:val="00866BAA"/>
    <w:rsid w:val="00873ED8"/>
    <w:rsid w:val="008856B4"/>
    <w:rsid w:val="008901B4"/>
    <w:rsid w:val="00890DC1"/>
    <w:rsid w:val="008A17EB"/>
    <w:rsid w:val="008A569C"/>
    <w:rsid w:val="008B12F6"/>
    <w:rsid w:val="008C503E"/>
    <w:rsid w:val="008D4778"/>
    <w:rsid w:val="008F2917"/>
    <w:rsid w:val="008F77B3"/>
    <w:rsid w:val="009009C5"/>
    <w:rsid w:val="009167D5"/>
    <w:rsid w:val="0092553A"/>
    <w:rsid w:val="00926F4F"/>
    <w:rsid w:val="00935629"/>
    <w:rsid w:val="009369DA"/>
    <w:rsid w:val="00937DF1"/>
    <w:rsid w:val="009422F0"/>
    <w:rsid w:val="009468F4"/>
    <w:rsid w:val="00947C41"/>
    <w:rsid w:val="0095344C"/>
    <w:rsid w:val="00961A53"/>
    <w:rsid w:val="009625F3"/>
    <w:rsid w:val="00962A9C"/>
    <w:rsid w:val="00970B76"/>
    <w:rsid w:val="00971884"/>
    <w:rsid w:val="009751EF"/>
    <w:rsid w:val="009830B3"/>
    <w:rsid w:val="00983BD3"/>
    <w:rsid w:val="00993A22"/>
    <w:rsid w:val="00995403"/>
    <w:rsid w:val="009D46EE"/>
    <w:rsid w:val="009E230A"/>
    <w:rsid w:val="009F473E"/>
    <w:rsid w:val="009F644B"/>
    <w:rsid w:val="00A010C0"/>
    <w:rsid w:val="00A1262B"/>
    <w:rsid w:val="00A16485"/>
    <w:rsid w:val="00A33CCB"/>
    <w:rsid w:val="00A415F5"/>
    <w:rsid w:val="00A467CB"/>
    <w:rsid w:val="00A54B75"/>
    <w:rsid w:val="00A55E5D"/>
    <w:rsid w:val="00A561DB"/>
    <w:rsid w:val="00A57C23"/>
    <w:rsid w:val="00A57E27"/>
    <w:rsid w:val="00A6661A"/>
    <w:rsid w:val="00A66A29"/>
    <w:rsid w:val="00A706D8"/>
    <w:rsid w:val="00A750F6"/>
    <w:rsid w:val="00A819F3"/>
    <w:rsid w:val="00AA0A54"/>
    <w:rsid w:val="00AA5C4F"/>
    <w:rsid w:val="00AB4405"/>
    <w:rsid w:val="00AE3C19"/>
    <w:rsid w:val="00AF60BC"/>
    <w:rsid w:val="00AF70FF"/>
    <w:rsid w:val="00B04632"/>
    <w:rsid w:val="00B04DCA"/>
    <w:rsid w:val="00B05611"/>
    <w:rsid w:val="00B10497"/>
    <w:rsid w:val="00B16514"/>
    <w:rsid w:val="00B228D4"/>
    <w:rsid w:val="00B30B22"/>
    <w:rsid w:val="00B3738E"/>
    <w:rsid w:val="00B37D30"/>
    <w:rsid w:val="00B43E03"/>
    <w:rsid w:val="00B44316"/>
    <w:rsid w:val="00B44CFD"/>
    <w:rsid w:val="00B52C3C"/>
    <w:rsid w:val="00B56E98"/>
    <w:rsid w:val="00B63DA6"/>
    <w:rsid w:val="00B64324"/>
    <w:rsid w:val="00B65A91"/>
    <w:rsid w:val="00B83A04"/>
    <w:rsid w:val="00B95E25"/>
    <w:rsid w:val="00B96843"/>
    <w:rsid w:val="00BB0204"/>
    <w:rsid w:val="00BB191B"/>
    <w:rsid w:val="00BB5D44"/>
    <w:rsid w:val="00BB650C"/>
    <w:rsid w:val="00BB7EDE"/>
    <w:rsid w:val="00BC3F4F"/>
    <w:rsid w:val="00BD474D"/>
    <w:rsid w:val="00BD62EB"/>
    <w:rsid w:val="00BD7E48"/>
    <w:rsid w:val="00BE561F"/>
    <w:rsid w:val="00BE630C"/>
    <w:rsid w:val="00BF12A8"/>
    <w:rsid w:val="00BF2E9C"/>
    <w:rsid w:val="00BF58C2"/>
    <w:rsid w:val="00C01E9C"/>
    <w:rsid w:val="00C02F52"/>
    <w:rsid w:val="00C02F99"/>
    <w:rsid w:val="00C03B98"/>
    <w:rsid w:val="00C1194B"/>
    <w:rsid w:val="00C120E1"/>
    <w:rsid w:val="00C1576E"/>
    <w:rsid w:val="00C168FC"/>
    <w:rsid w:val="00C21ECE"/>
    <w:rsid w:val="00C2463E"/>
    <w:rsid w:val="00C24D08"/>
    <w:rsid w:val="00C34C32"/>
    <w:rsid w:val="00C35B3B"/>
    <w:rsid w:val="00C4539E"/>
    <w:rsid w:val="00C50769"/>
    <w:rsid w:val="00C51720"/>
    <w:rsid w:val="00C6109F"/>
    <w:rsid w:val="00C638FA"/>
    <w:rsid w:val="00C64EC3"/>
    <w:rsid w:val="00C73DAC"/>
    <w:rsid w:val="00C75A55"/>
    <w:rsid w:val="00C809B6"/>
    <w:rsid w:val="00C82A8C"/>
    <w:rsid w:val="00CA647A"/>
    <w:rsid w:val="00CA65C9"/>
    <w:rsid w:val="00CA7A6F"/>
    <w:rsid w:val="00CB1A51"/>
    <w:rsid w:val="00CB2394"/>
    <w:rsid w:val="00CB5447"/>
    <w:rsid w:val="00CB6615"/>
    <w:rsid w:val="00CC338C"/>
    <w:rsid w:val="00CC3DBC"/>
    <w:rsid w:val="00CC5A78"/>
    <w:rsid w:val="00CC686D"/>
    <w:rsid w:val="00CC74B0"/>
    <w:rsid w:val="00CD234F"/>
    <w:rsid w:val="00CD2643"/>
    <w:rsid w:val="00CF0870"/>
    <w:rsid w:val="00CF0EDD"/>
    <w:rsid w:val="00CF3919"/>
    <w:rsid w:val="00D00B9C"/>
    <w:rsid w:val="00D03E7C"/>
    <w:rsid w:val="00D07559"/>
    <w:rsid w:val="00D16ABB"/>
    <w:rsid w:val="00D310E6"/>
    <w:rsid w:val="00D41432"/>
    <w:rsid w:val="00D41E3F"/>
    <w:rsid w:val="00D50860"/>
    <w:rsid w:val="00D74CD0"/>
    <w:rsid w:val="00D77105"/>
    <w:rsid w:val="00D850BA"/>
    <w:rsid w:val="00DB4F03"/>
    <w:rsid w:val="00DC2257"/>
    <w:rsid w:val="00DC2D03"/>
    <w:rsid w:val="00DD3F34"/>
    <w:rsid w:val="00DD4C96"/>
    <w:rsid w:val="00DD6806"/>
    <w:rsid w:val="00DE5B67"/>
    <w:rsid w:val="00DF38A0"/>
    <w:rsid w:val="00E006B3"/>
    <w:rsid w:val="00E03976"/>
    <w:rsid w:val="00E04A4E"/>
    <w:rsid w:val="00E05C17"/>
    <w:rsid w:val="00E14379"/>
    <w:rsid w:val="00E237CF"/>
    <w:rsid w:val="00E25FB6"/>
    <w:rsid w:val="00E32752"/>
    <w:rsid w:val="00E40CF8"/>
    <w:rsid w:val="00E57A65"/>
    <w:rsid w:val="00E602A3"/>
    <w:rsid w:val="00E625BA"/>
    <w:rsid w:val="00E66DFB"/>
    <w:rsid w:val="00E72AD2"/>
    <w:rsid w:val="00E8303F"/>
    <w:rsid w:val="00E94577"/>
    <w:rsid w:val="00EA1E97"/>
    <w:rsid w:val="00EA76CF"/>
    <w:rsid w:val="00EB619C"/>
    <w:rsid w:val="00ED14B1"/>
    <w:rsid w:val="00ED1A94"/>
    <w:rsid w:val="00ED7012"/>
    <w:rsid w:val="00ED709D"/>
    <w:rsid w:val="00EE464F"/>
    <w:rsid w:val="00EE6C59"/>
    <w:rsid w:val="00EF02F5"/>
    <w:rsid w:val="00EF0F9E"/>
    <w:rsid w:val="00EF2702"/>
    <w:rsid w:val="00EF568A"/>
    <w:rsid w:val="00EF666F"/>
    <w:rsid w:val="00F06A2E"/>
    <w:rsid w:val="00F0701C"/>
    <w:rsid w:val="00F11D9F"/>
    <w:rsid w:val="00F24AB0"/>
    <w:rsid w:val="00F3053E"/>
    <w:rsid w:val="00F30942"/>
    <w:rsid w:val="00F32894"/>
    <w:rsid w:val="00F32C76"/>
    <w:rsid w:val="00F33756"/>
    <w:rsid w:val="00F37602"/>
    <w:rsid w:val="00F42C5E"/>
    <w:rsid w:val="00F42FA4"/>
    <w:rsid w:val="00F47A46"/>
    <w:rsid w:val="00F53ED3"/>
    <w:rsid w:val="00F55B8F"/>
    <w:rsid w:val="00F60573"/>
    <w:rsid w:val="00F61586"/>
    <w:rsid w:val="00F65CDF"/>
    <w:rsid w:val="00F72DD0"/>
    <w:rsid w:val="00F75498"/>
    <w:rsid w:val="00F82D3E"/>
    <w:rsid w:val="00F87183"/>
    <w:rsid w:val="00F94BA2"/>
    <w:rsid w:val="00FA1CAA"/>
    <w:rsid w:val="00FA2318"/>
    <w:rsid w:val="00FA50E4"/>
    <w:rsid w:val="00FC5721"/>
    <w:rsid w:val="00FC7FDF"/>
    <w:rsid w:val="00FE5FB6"/>
    <w:rsid w:val="00FF0807"/>
    <w:rsid w:val="00FF11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jc w:val="both"/>
    </w:pPr>
    <w:rPr>
      <w:rFonts w:ascii="Times New Roman" w:hAnsi="Times New Roman"/>
      <w:sz w:val="24"/>
      <w:szCs w:val="22"/>
      <w:lang w:eastAsia="en-US"/>
    </w:rPr>
  </w:style>
  <w:style w:type="paragraph" w:styleId="Heading1">
    <w:name w:val="heading 1"/>
    <w:basedOn w:val="Normal"/>
    <w:next w:val="Text1"/>
    <w:link w:val="Heading1Char"/>
    <w:uiPriority w:val="9"/>
    <w:qFormat/>
    <w:rsid w:val="007D53B6"/>
    <w:pPr>
      <w:keepNext/>
      <w:numPr>
        <w:numId w:val="31"/>
      </w:numPr>
      <w:spacing w:before="360"/>
      <w:outlineLvl w:val="0"/>
    </w:pPr>
    <w:rPr>
      <w:rFonts w:eastAsia="Malgun Gothic"/>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31"/>
      </w:numPr>
      <w:outlineLvl w:val="1"/>
    </w:pPr>
    <w:rPr>
      <w:rFonts w:eastAsia="Malgun Gothic"/>
      <w:b/>
      <w:bCs/>
      <w:szCs w:val="26"/>
    </w:rPr>
  </w:style>
  <w:style w:type="paragraph" w:styleId="Heading3">
    <w:name w:val="heading 3"/>
    <w:basedOn w:val="Normal"/>
    <w:next w:val="Text1"/>
    <w:link w:val="Heading3Char"/>
    <w:uiPriority w:val="9"/>
    <w:semiHidden/>
    <w:unhideWhenUsed/>
    <w:qFormat/>
    <w:rsid w:val="007D53B6"/>
    <w:pPr>
      <w:keepNext/>
      <w:numPr>
        <w:ilvl w:val="2"/>
        <w:numId w:val="31"/>
      </w:numPr>
      <w:outlineLvl w:val="2"/>
    </w:pPr>
    <w:rPr>
      <w:rFonts w:eastAsia="Malgun Gothic"/>
      <w:bCs/>
      <w:i/>
    </w:rPr>
  </w:style>
  <w:style w:type="paragraph" w:styleId="Heading4">
    <w:name w:val="heading 4"/>
    <w:basedOn w:val="Normal"/>
    <w:next w:val="Text1"/>
    <w:link w:val="Heading4Char"/>
    <w:uiPriority w:val="9"/>
    <w:semiHidden/>
    <w:unhideWhenUsed/>
    <w:qFormat/>
    <w:rsid w:val="007D53B6"/>
    <w:pPr>
      <w:keepNext/>
      <w:numPr>
        <w:ilvl w:val="3"/>
        <w:numId w:val="31"/>
      </w:numPr>
      <w:outlineLvl w:val="3"/>
    </w:pPr>
    <w:rPr>
      <w:rFonts w:eastAsia="Malgun Gothic"/>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
    <w:name w:val="Art"/>
    <w:basedOn w:val="Normal"/>
    <w:rsid w:val="00D77105"/>
  </w:style>
  <w:style w:type="character" w:styleId="CommentReference">
    <w:name w:val="annotation reference"/>
    <w:uiPriority w:val="99"/>
    <w:semiHidden/>
    <w:unhideWhenUsed/>
    <w:rsid w:val="00FA2318"/>
    <w:rPr>
      <w:sz w:val="16"/>
      <w:szCs w:val="16"/>
    </w:rPr>
  </w:style>
  <w:style w:type="paragraph" w:styleId="CommentText">
    <w:name w:val="annotation text"/>
    <w:basedOn w:val="Normal"/>
    <w:link w:val="CommentTextChar"/>
    <w:uiPriority w:val="99"/>
    <w:semiHidden/>
    <w:unhideWhenUsed/>
    <w:rsid w:val="00FA2318"/>
    <w:rPr>
      <w:sz w:val="20"/>
      <w:szCs w:val="20"/>
    </w:rPr>
  </w:style>
  <w:style w:type="character" w:customStyle="1" w:styleId="CommentTextChar">
    <w:name w:val="Comment Text Char"/>
    <w:link w:val="CommentText"/>
    <w:uiPriority w:val="99"/>
    <w:semiHidden/>
    <w:rsid w:val="00FA231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A2318"/>
    <w:rPr>
      <w:b/>
      <w:bCs/>
    </w:rPr>
  </w:style>
  <w:style w:type="character" w:customStyle="1" w:styleId="CommentSubjectChar">
    <w:name w:val="Comment Subject Char"/>
    <w:link w:val="CommentSubject"/>
    <w:uiPriority w:val="99"/>
    <w:semiHidden/>
    <w:rsid w:val="00FA2318"/>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FA2318"/>
    <w:pPr>
      <w:spacing w:before="0" w:after="0"/>
    </w:pPr>
    <w:rPr>
      <w:rFonts w:ascii="Tahoma" w:hAnsi="Tahoma" w:cs="Tahoma"/>
      <w:sz w:val="16"/>
      <w:szCs w:val="16"/>
    </w:rPr>
  </w:style>
  <w:style w:type="character" w:customStyle="1" w:styleId="BalloonTextChar">
    <w:name w:val="Balloon Text Char"/>
    <w:link w:val="BalloonText"/>
    <w:uiPriority w:val="99"/>
    <w:semiHidden/>
    <w:rsid w:val="00FA2318"/>
    <w:rPr>
      <w:rFonts w:ascii="Tahoma" w:hAnsi="Tahoma" w:cs="Tahoma"/>
      <w:sz w:val="16"/>
      <w:szCs w:val="16"/>
      <w:lang w:val="en-GB"/>
    </w:rPr>
  </w:style>
  <w:style w:type="paragraph" w:styleId="Revision">
    <w:name w:val="Revision"/>
    <w:hidden/>
    <w:uiPriority w:val="99"/>
    <w:semiHidden/>
    <w:rsid w:val="00FA2318"/>
    <w:rPr>
      <w:rFonts w:ascii="Times New Roman" w:hAnsi="Times New Roman"/>
      <w:sz w:val="24"/>
      <w:szCs w:val="22"/>
      <w:lang w:eastAsia="en-US"/>
    </w:rPr>
  </w:style>
  <w:style w:type="paragraph" w:styleId="ListBullet">
    <w:name w:val="List Bullet"/>
    <w:basedOn w:val="Normal"/>
    <w:uiPriority w:val="99"/>
    <w:semiHidden/>
    <w:unhideWhenUsed/>
    <w:rsid w:val="0017470F"/>
    <w:pPr>
      <w:numPr>
        <w:numId w:val="1"/>
      </w:numPr>
      <w:contextualSpacing/>
    </w:pPr>
  </w:style>
  <w:style w:type="paragraph" w:styleId="ListBullet2">
    <w:name w:val="List Bullet 2"/>
    <w:basedOn w:val="Normal"/>
    <w:uiPriority w:val="99"/>
    <w:semiHidden/>
    <w:unhideWhenUsed/>
    <w:rsid w:val="0017470F"/>
    <w:pPr>
      <w:numPr>
        <w:numId w:val="2"/>
      </w:numPr>
      <w:contextualSpacing/>
    </w:pPr>
  </w:style>
  <w:style w:type="paragraph" w:styleId="ListBullet3">
    <w:name w:val="List Bullet 3"/>
    <w:basedOn w:val="Normal"/>
    <w:uiPriority w:val="99"/>
    <w:semiHidden/>
    <w:unhideWhenUsed/>
    <w:rsid w:val="0017470F"/>
    <w:pPr>
      <w:numPr>
        <w:numId w:val="3"/>
      </w:numPr>
      <w:contextualSpacing/>
    </w:pPr>
  </w:style>
  <w:style w:type="paragraph" w:styleId="ListBullet4">
    <w:name w:val="List Bullet 4"/>
    <w:basedOn w:val="Normal"/>
    <w:uiPriority w:val="99"/>
    <w:semiHidden/>
    <w:unhideWhenUsed/>
    <w:rsid w:val="0017470F"/>
    <w:pPr>
      <w:numPr>
        <w:numId w:val="4"/>
      </w:numPr>
      <w:contextualSpacing/>
    </w:pPr>
  </w:style>
  <w:style w:type="character" w:styleId="Hyperlink">
    <w:name w:val="Hyperlink"/>
    <w:uiPriority w:val="99"/>
    <w:unhideWhenUsed/>
    <w:rsid w:val="00EF666F"/>
    <w:rPr>
      <w:color w:val="0000FF"/>
      <w:u w:val="single"/>
    </w:rPr>
  </w:style>
  <w:style w:type="paragraph" w:styleId="Caption">
    <w:name w:val="caption"/>
    <w:basedOn w:val="Normal"/>
    <w:next w:val="Normal"/>
    <w:uiPriority w:val="35"/>
    <w:semiHidden/>
    <w:unhideWhenUsed/>
    <w:qFormat/>
    <w:rsid w:val="00B43E03"/>
    <w:pPr>
      <w:spacing w:before="0" w:after="200"/>
    </w:pPr>
    <w:rPr>
      <w:b/>
      <w:bCs/>
      <w:color w:val="4F81BD"/>
      <w:sz w:val="18"/>
      <w:szCs w:val="18"/>
    </w:rPr>
  </w:style>
  <w:style w:type="paragraph" w:styleId="TableofFigures">
    <w:name w:val="table of figures"/>
    <w:basedOn w:val="Normal"/>
    <w:next w:val="Normal"/>
    <w:uiPriority w:val="99"/>
    <w:semiHidden/>
    <w:unhideWhenUsed/>
    <w:rsid w:val="00B43E03"/>
    <w:pPr>
      <w:spacing w:after="0"/>
    </w:pPr>
  </w:style>
  <w:style w:type="paragraph" w:styleId="ListNumber">
    <w:name w:val="List Number"/>
    <w:basedOn w:val="Normal"/>
    <w:uiPriority w:val="99"/>
    <w:semiHidden/>
    <w:unhideWhenUsed/>
    <w:rsid w:val="00B43E03"/>
    <w:pPr>
      <w:numPr>
        <w:numId w:val="6"/>
      </w:numPr>
      <w:contextualSpacing/>
    </w:pPr>
  </w:style>
  <w:style w:type="paragraph" w:styleId="ListNumber2">
    <w:name w:val="List Number 2"/>
    <w:basedOn w:val="Normal"/>
    <w:uiPriority w:val="99"/>
    <w:semiHidden/>
    <w:unhideWhenUsed/>
    <w:rsid w:val="00B43E03"/>
    <w:pPr>
      <w:numPr>
        <w:numId w:val="7"/>
      </w:numPr>
      <w:contextualSpacing/>
    </w:pPr>
  </w:style>
  <w:style w:type="paragraph" w:styleId="ListNumber3">
    <w:name w:val="List Number 3"/>
    <w:basedOn w:val="Normal"/>
    <w:uiPriority w:val="99"/>
    <w:semiHidden/>
    <w:unhideWhenUsed/>
    <w:rsid w:val="00B43E03"/>
    <w:pPr>
      <w:numPr>
        <w:numId w:val="8"/>
      </w:numPr>
      <w:contextualSpacing/>
    </w:pPr>
  </w:style>
  <w:style w:type="paragraph" w:styleId="ListNumber4">
    <w:name w:val="List Number 4"/>
    <w:basedOn w:val="Normal"/>
    <w:uiPriority w:val="99"/>
    <w:semiHidden/>
    <w:unhideWhenUsed/>
    <w:rsid w:val="00B43E03"/>
    <w:pPr>
      <w:numPr>
        <w:numId w:val="9"/>
      </w:numPr>
      <w:contextualSpacing/>
    </w:pPr>
  </w:style>
  <w:style w:type="character" w:styleId="FollowedHyperlink">
    <w:name w:val="FollowedHyperlink"/>
    <w:uiPriority w:val="99"/>
    <w:semiHidden/>
    <w:unhideWhenUsed/>
    <w:rsid w:val="00314202"/>
    <w:rPr>
      <w:color w:val="800080"/>
      <w:u w:val="single"/>
    </w:rPr>
  </w:style>
  <w:style w:type="paragraph" w:styleId="ListParagraph">
    <w:name w:val="List Paragraph"/>
    <w:basedOn w:val="Normal"/>
    <w:uiPriority w:val="34"/>
    <w:qFormat/>
    <w:rsid w:val="00A561DB"/>
    <w:pPr>
      <w:spacing w:before="0" w:after="0"/>
      <w:ind w:left="720"/>
      <w:jc w:val="left"/>
    </w:pPr>
    <w:rPr>
      <w:rFonts w:ascii="Calibri" w:hAnsi="Calibri"/>
      <w:sz w:val="22"/>
    </w:rPr>
  </w:style>
  <w:style w:type="character" w:styleId="Strong">
    <w:name w:val="Strong"/>
    <w:uiPriority w:val="22"/>
    <w:qFormat/>
    <w:rsid w:val="000952EF"/>
    <w:rPr>
      <w:b/>
      <w:bCs/>
    </w:rPr>
  </w:style>
  <w:style w:type="character" w:styleId="Emphasis">
    <w:name w:val="Emphasis"/>
    <w:uiPriority w:val="20"/>
    <w:qFormat/>
    <w:rsid w:val="00B37D30"/>
    <w:rPr>
      <w:i/>
      <w:iCs/>
    </w:rPr>
  </w:style>
  <w:style w:type="paragraph" w:styleId="Header">
    <w:name w:val="header"/>
    <w:basedOn w:val="Normal"/>
    <w:link w:val="HeaderChar"/>
    <w:uiPriority w:val="99"/>
    <w:unhideWhenUsed/>
    <w:rsid w:val="00CF0870"/>
    <w:pPr>
      <w:tabs>
        <w:tab w:val="center" w:pos="4535"/>
        <w:tab w:val="right" w:pos="9071"/>
      </w:tabs>
      <w:spacing w:before="0"/>
    </w:pPr>
  </w:style>
  <w:style w:type="character" w:customStyle="1" w:styleId="HeaderChar">
    <w:name w:val="Header Char"/>
    <w:link w:val="Header"/>
    <w:uiPriority w:val="99"/>
    <w:rsid w:val="00CF0870"/>
    <w:rPr>
      <w:rFonts w:ascii="Times New Roman" w:hAnsi="Times New Roman" w:cs="Times New Roman"/>
      <w:sz w:val="24"/>
      <w:lang w:val="en-GB"/>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link w:val="Heading1"/>
    <w:uiPriority w:val="9"/>
    <w:rsid w:val="007D53B6"/>
    <w:rPr>
      <w:rFonts w:ascii="Times New Roman" w:eastAsia="Malgun Gothic" w:hAnsi="Times New Roman" w:cs="Times New Roman"/>
      <w:b/>
      <w:bCs/>
      <w:smallCaps/>
      <w:sz w:val="24"/>
      <w:szCs w:val="28"/>
      <w:shd w:val="clear" w:color="auto" w:fill="auto"/>
      <w:lang w:val="en-GB"/>
    </w:rPr>
  </w:style>
  <w:style w:type="character" w:customStyle="1" w:styleId="Heading2Char">
    <w:name w:val="Heading 2 Char"/>
    <w:link w:val="Heading2"/>
    <w:uiPriority w:val="9"/>
    <w:semiHidden/>
    <w:rsid w:val="007D53B6"/>
    <w:rPr>
      <w:rFonts w:ascii="Times New Roman" w:eastAsia="Malgun Gothic" w:hAnsi="Times New Roman" w:cs="Times New Roman"/>
      <w:b/>
      <w:bCs/>
      <w:sz w:val="24"/>
      <w:szCs w:val="26"/>
      <w:shd w:val="clear" w:color="auto" w:fill="auto"/>
      <w:lang w:val="en-GB"/>
    </w:rPr>
  </w:style>
  <w:style w:type="character" w:customStyle="1" w:styleId="Heading3Char">
    <w:name w:val="Heading 3 Char"/>
    <w:link w:val="Heading3"/>
    <w:uiPriority w:val="9"/>
    <w:semiHidden/>
    <w:rsid w:val="007D53B6"/>
    <w:rPr>
      <w:rFonts w:ascii="Times New Roman" w:eastAsia="Malgun Gothic" w:hAnsi="Times New Roman" w:cs="Times New Roman"/>
      <w:bCs/>
      <w:i/>
      <w:sz w:val="24"/>
      <w:shd w:val="clear" w:color="auto" w:fill="auto"/>
      <w:lang w:val="en-GB"/>
    </w:rPr>
  </w:style>
  <w:style w:type="character" w:customStyle="1" w:styleId="Heading4Char">
    <w:name w:val="Heading 4 Char"/>
    <w:link w:val="Heading4"/>
    <w:uiPriority w:val="9"/>
    <w:semiHidden/>
    <w:rsid w:val="007D53B6"/>
    <w:rPr>
      <w:rFonts w:ascii="Times New Roman" w:eastAsia="Malgun Gothic"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CF0870"/>
    <w:pPr>
      <w:tabs>
        <w:tab w:val="center" w:pos="7285"/>
        <w:tab w:val="right" w:pos="14003"/>
      </w:tabs>
      <w:spacing w:before="0"/>
    </w:p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25"/>
      </w:numPr>
    </w:pPr>
  </w:style>
  <w:style w:type="paragraph" w:customStyle="1" w:styleId="Tiret1">
    <w:name w:val="Tiret 1"/>
    <w:basedOn w:val="Point1"/>
    <w:rsid w:val="007D53B6"/>
    <w:pPr>
      <w:numPr>
        <w:numId w:val="26"/>
      </w:numPr>
    </w:pPr>
  </w:style>
  <w:style w:type="paragraph" w:customStyle="1" w:styleId="Tiret2">
    <w:name w:val="Tiret 2"/>
    <w:basedOn w:val="Point2"/>
    <w:rsid w:val="007D53B6"/>
    <w:pPr>
      <w:numPr>
        <w:numId w:val="27"/>
      </w:numPr>
    </w:pPr>
  </w:style>
  <w:style w:type="paragraph" w:customStyle="1" w:styleId="Tiret3">
    <w:name w:val="Tiret 3"/>
    <w:basedOn w:val="Point3"/>
    <w:rsid w:val="007D53B6"/>
    <w:pPr>
      <w:numPr>
        <w:numId w:val="28"/>
      </w:numPr>
    </w:pPr>
  </w:style>
  <w:style w:type="paragraph" w:customStyle="1" w:styleId="Tiret4">
    <w:name w:val="Tiret 4"/>
    <w:basedOn w:val="Point4"/>
    <w:rsid w:val="007D53B6"/>
    <w:pPr>
      <w:numPr>
        <w:numId w:val="29"/>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30"/>
      </w:numPr>
    </w:pPr>
  </w:style>
  <w:style w:type="paragraph" w:customStyle="1" w:styleId="NumPar2">
    <w:name w:val="NumPar 2"/>
    <w:basedOn w:val="Normal"/>
    <w:next w:val="Text1"/>
    <w:rsid w:val="007D53B6"/>
    <w:pPr>
      <w:numPr>
        <w:ilvl w:val="1"/>
        <w:numId w:val="30"/>
      </w:numPr>
    </w:pPr>
  </w:style>
  <w:style w:type="paragraph" w:customStyle="1" w:styleId="NumPar3">
    <w:name w:val="NumPar 3"/>
    <w:basedOn w:val="Normal"/>
    <w:next w:val="Text1"/>
    <w:rsid w:val="007D53B6"/>
    <w:pPr>
      <w:numPr>
        <w:ilvl w:val="2"/>
        <w:numId w:val="30"/>
      </w:numPr>
    </w:pPr>
  </w:style>
  <w:style w:type="paragraph" w:customStyle="1" w:styleId="NumPar4">
    <w:name w:val="NumPar 4"/>
    <w:basedOn w:val="Normal"/>
    <w:next w:val="Text1"/>
    <w:rsid w:val="007D53B6"/>
    <w:pPr>
      <w:numPr>
        <w:ilvl w:val="3"/>
        <w:numId w:val="30"/>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rsid w:val="007D53B6"/>
    <w:rPr>
      <w:color w:val="0000FF"/>
      <w:shd w:val="clear" w:color="auto" w:fill="auto"/>
    </w:rPr>
  </w:style>
  <w:style w:type="character" w:customStyle="1" w:styleId="Marker1">
    <w:name w:val="Marker1"/>
    <w:rsid w:val="007D53B6"/>
    <w:rPr>
      <w:color w:val="008000"/>
      <w:shd w:val="clear" w:color="auto" w:fill="auto"/>
    </w:rPr>
  </w:style>
  <w:style w:type="character" w:customStyle="1" w:styleId="Marker2">
    <w:name w:val="Marker2"/>
    <w:rsid w:val="007D53B6"/>
    <w:rPr>
      <w:color w:val="FF0000"/>
      <w:shd w:val="clear" w:color="auto" w:fill="auto"/>
    </w:rPr>
  </w:style>
  <w:style w:type="paragraph" w:customStyle="1" w:styleId="Point0number">
    <w:name w:val="Point 0 (number)"/>
    <w:basedOn w:val="Normal"/>
    <w:rsid w:val="007D53B6"/>
    <w:pPr>
      <w:numPr>
        <w:numId w:val="32"/>
      </w:numPr>
    </w:pPr>
  </w:style>
  <w:style w:type="paragraph" w:customStyle="1" w:styleId="Point1number">
    <w:name w:val="Point 1 (number)"/>
    <w:basedOn w:val="Normal"/>
    <w:rsid w:val="007D53B6"/>
    <w:pPr>
      <w:numPr>
        <w:ilvl w:val="2"/>
        <w:numId w:val="32"/>
      </w:numPr>
    </w:pPr>
  </w:style>
  <w:style w:type="paragraph" w:customStyle="1" w:styleId="Point2number">
    <w:name w:val="Point 2 (number)"/>
    <w:basedOn w:val="Normal"/>
    <w:rsid w:val="007D53B6"/>
    <w:pPr>
      <w:numPr>
        <w:ilvl w:val="4"/>
        <w:numId w:val="32"/>
      </w:numPr>
    </w:pPr>
  </w:style>
  <w:style w:type="paragraph" w:customStyle="1" w:styleId="Point3number">
    <w:name w:val="Point 3 (number)"/>
    <w:basedOn w:val="Normal"/>
    <w:rsid w:val="007D53B6"/>
    <w:pPr>
      <w:numPr>
        <w:ilvl w:val="6"/>
        <w:numId w:val="32"/>
      </w:numPr>
    </w:pPr>
  </w:style>
  <w:style w:type="paragraph" w:customStyle="1" w:styleId="Point0letter">
    <w:name w:val="Point 0 (letter)"/>
    <w:basedOn w:val="Normal"/>
    <w:rsid w:val="007D53B6"/>
    <w:pPr>
      <w:numPr>
        <w:ilvl w:val="1"/>
        <w:numId w:val="32"/>
      </w:numPr>
    </w:pPr>
  </w:style>
  <w:style w:type="paragraph" w:customStyle="1" w:styleId="Point1letter">
    <w:name w:val="Point 1 (letter)"/>
    <w:basedOn w:val="Normal"/>
    <w:rsid w:val="007D53B6"/>
    <w:pPr>
      <w:numPr>
        <w:ilvl w:val="3"/>
        <w:numId w:val="32"/>
      </w:numPr>
    </w:pPr>
  </w:style>
  <w:style w:type="paragraph" w:customStyle="1" w:styleId="Point2letter">
    <w:name w:val="Point 2 (letter)"/>
    <w:basedOn w:val="Normal"/>
    <w:rsid w:val="007D53B6"/>
    <w:pPr>
      <w:numPr>
        <w:ilvl w:val="5"/>
        <w:numId w:val="32"/>
      </w:numPr>
    </w:pPr>
  </w:style>
  <w:style w:type="paragraph" w:customStyle="1" w:styleId="Point3letter">
    <w:name w:val="Point 3 (letter)"/>
    <w:basedOn w:val="Normal"/>
    <w:rsid w:val="007D53B6"/>
    <w:pPr>
      <w:numPr>
        <w:ilvl w:val="7"/>
        <w:numId w:val="32"/>
      </w:numPr>
    </w:pPr>
  </w:style>
  <w:style w:type="paragraph" w:customStyle="1" w:styleId="Point4letter">
    <w:name w:val="Point 4 (letter)"/>
    <w:basedOn w:val="Normal"/>
    <w:rsid w:val="007D53B6"/>
    <w:pPr>
      <w:numPr>
        <w:ilvl w:val="8"/>
        <w:numId w:val="32"/>
      </w:numPr>
    </w:pPr>
  </w:style>
  <w:style w:type="paragraph" w:customStyle="1" w:styleId="Bullet0">
    <w:name w:val="Bullet 0"/>
    <w:basedOn w:val="Normal"/>
    <w:rsid w:val="007D53B6"/>
    <w:pPr>
      <w:numPr>
        <w:numId w:val="33"/>
      </w:numPr>
    </w:pPr>
  </w:style>
  <w:style w:type="paragraph" w:customStyle="1" w:styleId="Bullet1">
    <w:name w:val="Bullet 1"/>
    <w:basedOn w:val="Normal"/>
    <w:rsid w:val="007D53B6"/>
    <w:pPr>
      <w:numPr>
        <w:numId w:val="34"/>
      </w:numPr>
    </w:pPr>
  </w:style>
  <w:style w:type="paragraph" w:customStyle="1" w:styleId="Bullet2">
    <w:name w:val="Bullet 2"/>
    <w:basedOn w:val="Normal"/>
    <w:rsid w:val="007D53B6"/>
    <w:pPr>
      <w:numPr>
        <w:numId w:val="35"/>
      </w:numPr>
    </w:pPr>
  </w:style>
  <w:style w:type="paragraph" w:customStyle="1" w:styleId="Bullet3">
    <w:name w:val="Bullet 3"/>
    <w:basedOn w:val="Normal"/>
    <w:rsid w:val="007D53B6"/>
    <w:pPr>
      <w:numPr>
        <w:numId w:val="36"/>
      </w:numPr>
    </w:pPr>
  </w:style>
  <w:style w:type="paragraph" w:customStyle="1" w:styleId="Bullet4">
    <w:name w:val="Bullet 4"/>
    <w:basedOn w:val="Normal"/>
    <w:rsid w:val="007D53B6"/>
    <w:pPr>
      <w:numPr>
        <w:numId w:val="37"/>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38"/>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rsid w:val="007D53B6"/>
    <w:rPr>
      <w:b/>
      <w:u w:val="single"/>
      <w:shd w:val="clear" w:color="auto" w:fill="auto"/>
    </w:rPr>
  </w:style>
  <w:style w:type="character" w:customStyle="1" w:styleId="Deleted">
    <w:name w:val="Deleted"/>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jc w:val="both"/>
    </w:pPr>
    <w:rPr>
      <w:rFonts w:ascii="Times New Roman" w:hAnsi="Times New Roman"/>
      <w:sz w:val="24"/>
      <w:szCs w:val="22"/>
      <w:lang w:eastAsia="en-US"/>
    </w:rPr>
  </w:style>
  <w:style w:type="paragraph" w:styleId="Heading1">
    <w:name w:val="heading 1"/>
    <w:basedOn w:val="Normal"/>
    <w:next w:val="Text1"/>
    <w:link w:val="Heading1Char"/>
    <w:uiPriority w:val="9"/>
    <w:qFormat/>
    <w:rsid w:val="007D53B6"/>
    <w:pPr>
      <w:keepNext/>
      <w:numPr>
        <w:numId w:val="31"/>
      </w:numPr>
      <w:spacing w:before="360"/>
      <w:outlineLvl w:val="0"/>
    </w:pPr>
    <w:rPr>
      <w:rFonts w:eastAsia="Malgun Gothic"/>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31"/>
      </w:numPr>
      <w:outlineLvl w:val="1"/>
    </w:pPr>
    <w:rPr>
      <w:rFonts w:eastAsia="Malgun Gothic"/>
      <w:b/>
      <w:bCs/>
      <w:szCs w:val="26"/>
    </w:rPr>
  </w:style>
  <w:style w:type="paragraph" w:styleId="Heading3">
    <w:name w:val="heading 3"/>
    <w:basedOn w:val="Normal"/>
    <w:next w:val="Text1"/>
    <w:link w:val="Heading3Char"/>
    <w:uiPriority w:val="9"/>
    <w:semiHidden/>
    <w:unhideWhenUsed/>
    <w:qFormat/>
    <w:rsid w:val="007D53B6"/>
    <w:pPr>
      <w:keepNext/>
      <w:numPr>
        <w:ilvl w:val="2"/>
        <w:numId w:val="31"/>
      </w:numPr>
      <w:outlineLvl w:val="2"/>
    </w:pPr>
    <w:rPr>
      <w:rFonts w:eastAsia="Malgun Gothic"/>
      <w:bCs/>
      <w:i/>
    </w:rPr>
  </w:style>
  <w:style w:type="paragraph" w:styleId="Heading4">
    <w:name w:val="heading 4"/>
    <w:basedOn w:val="Normal"/>
    <w:next w:val="Text1"/>
    <w:link w:val="Heading4Char"/>
    <w:uiPriority w:val="9"/>
    <w:semiHidden/>
    <w:unhideWhenUsed/>
    <w:qFormat/>
    <w:rsid w:val="007D53B6"/>
    <w:pPr>
      <w:keepNext/>
      <w:numPr>
        <w:ilvl w:val="3"/>
        <w:numId w:val="31"/>
      </w:numPr>
      <w:outlineLvl w:val="3"/>
    </w:pPr>
    <w:rPr>
      <w:rFonts w:eastAsia="Malgun Gothic"/>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
    <w:name w:val="Art"/>
    <w:basedOn w:val="Normal"/>
    <w:rsid w:val="00D77105"/>
  </w:style>
  <w:style w:type="character" w:styleId="CommentReference">
    <w:name w:val="annotation reference"/>
    <w:uiPriority w:val="99"/>
    <w:semiHidden/>
    <w:unhideWhenUsed/>
    <w:rsid w:val="00FA2318"/>
    <w:rPr>
      <w:sz w:val="16"/>
      <w:szCs w:val="16"/>
    </w:rPr>
  </w:style>
  <w:style w:type="paragraph" w:styleId="CommentText">
    <w:name w:val="annotation text"/>
    <w:basedOn w:val="Normal"/>
    <w:link w:val="CommentTextChar"/>
    <w:uiPriority w:val="99"/>
    <w:semiHidden/>
    <w:unhideWhenUsed/>
    <w:rsid w:val="00FA2318"/>
    <w:rPr>
      <w:sz w:val="20"/>
      <w:szCs w:val="20"/>
    </w:rPr>
  </w:style>
  <w:style w:type="character" w:customStyle="1" w:styleId="CommentTextChar">
    <w:name w:val="Comment Text Char"/>
    <w:link w:val="CommentText"/>
    <w:uiPriority w:val="99"/>
    <w:semiHidden/>
    <w:rsid w:val="00FA231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A2318"/>
    <w:rPr>
      <w:b/>
      <w:bCs/>
    </w:rPr>
  </w:style>
  <w:style w:type="character" w:customStyle="1" w:styleId="CommentSubjectChar">
    <w:name w:val="Comment Subject Char"/>
    <w:link w:val="CommentSubject"/>
    <w:uiPriority w:val="99"/>
    <w:semiHidden/>
    <w:rsid w:val="00FA2318"/>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FA2318"/>
    <w:pPr>
      <w:spacing w:before="0" w:after="0"/>
    </w:pPr>
    <w:rPr>
      <w:rFonts w:ascii="Tahoma" w:hAnsi="Tahoma" w:cs="Tahoma"/>
      <w:sz w:val="16"/>
      <w:szCs w:val="16"/>
    </w:rPr>
  </w:style>
  <w:style w:type="character" w:customStyle="1" w:styleId="BalloonTextChar">
    <w:name w:val="Balloon Text Char"/>
    <w:link w:val="BalloonText"/>
    <w:uiPriority w:val="99"/>
    <w:semiHidden/>
    <w:rsid w:val="00FA2318"/>
    <w:rPr>
      <w:rFonts w:ascii="Tahoma" w:hAnsi="Tahoma" w:cs="Tahoma"/>
      <w:sz w:val="16"/>
      <w:szCs w:val="16"/>
      <w:lang w:val="en-GB"/>
    </w:rPr>
  </w:style>
  <w:style w:type="paragraph" w:styleId="Revision">
    <w:name w:val="Revision"/>
    <w:hidden/>
    <w:uiPriority w:val="99"/>
    <w:semiHidden/>
    <w:rsid w:val="00FA2318"/>
    <w:rPr>
      <w:rFonts w:ascii="Times New Roman" w:hAnsi="Times New Roman"/>
      <w:sz w:val="24"/>
      <w:szCs w:val="22"/>
      <w:lang w:eastAsia="en-US"/>
    </w:rPr>
  </w:style>
  <w:style w:type="paragraph" w:styleId="ListBullet">
    <w:name w:val="List Bullet"/>
    <w:basedOn w:val="Normal"/>
    <w:uiPriority w:val="99"/>
    <w:semiHidden/>
    <w:unhideWhenUsed/>
    <w:rsid w:val="0017470F"/>
    <w:pPr>
      <w:numPr>
        <w:numId w:val="1"/>
      </w:numPr>
      <w:contextualSpacing/>
    </w:pPr>
  </w:style>
  <w:style w:type="paragraph" w:styleId="ListBullet2">
    <w:name w:val="List Bullet 2"/>
    <w:basedOn w:val="Normal"/>
    <w:uiPriority w:val="99"/>
    <w:semiHidden/>
    <w:unhideWhenUsed/>
    <w:rsid w:val="0017470F"/>
    <w:pPr>
      <w:numPr>
        <w:numId w:val="2"/>
      </w:numPr>
      <w:contextualSpacing/>
    </w:pPr>
  </w:style>
  <w:style w:type="paragraph" w:styleId="ListBullet3">
    <w:name w:val="List Bullet 3"/>
    <w:basedOn w:val="Normal"/>
    <w:uiPriority w:val="99"/>
    <w:semiHidden/>
    <w:unhideWhenUsed/>
    <w:rsid w:val="0017470F"/>
    <w:pPr>
      <w:numPr>
        <w:numId w:val="3"/>
      </w:numPr>
      <w:contextualSpacing/>
    </w:pPr>
  </w:style>
  <w:style w:type="paragraph" w:styleId="ListBullet4">
    <w:name w:val="List Bullet 4"/>
    <w:basedOn w:val="Normal"/>
    <w:uiPriority w:val="99"/>
    <w:semiHidden/>
    <w:unhideWhenUsed/>
    <w:rsid w:val="0017470F"/>
    <w:pPr>
      <w:numPr>
        <w:numId w:val="4"/>
      </w:numPr>
      <w:contextualSpacing/>
    </w:pPr>
  </w:style>
  <w:style w:type="character" w:styleId="Hyperlink">
    <w:name w:val="Hyperlink"/>
    <w:uiPriority w:val="99"/>
    <w:unhideWhenUsed/>
    <w:rsid w:val="00EF666F"/>
    <w:rPr>
      <w:color w:val="0000FF"/>
      <w:u w:val="single"/>
    </w:rPr>
  </w:style>
  <w:style w:type="paragraph" w:styleId="Caption">
    <w:name w:val="caption"/>
    <w:basedOn w:val="Normal"/>
    <w:next w:val="Normal"/>
    <w:uiPriority w:val="35"/>
    <w:semiHidden/>
    <w:unhideWhenUsed/>
    <w:qFormat/>
    <w:rsid w:val="00B43E03"/>
    <w:pPr>
      <w:spacing w:before="0" w:after="200"/>
    </w:pPr>
    <w:rPr>
      <w:b/>
      <w:bCs/>
      <w:color w:val="4F81BD"/>
      <w:sz w:val="18"/>
      <w:szCs w:val="18"/>
    </w:rPr>
  </w:style>
  <w:style w:type="paragraph" w:styleId="TableofFigures">
    <w:name w:val="table of figures"/>
    <w:basedOn w:val="Normal"/>
    <w:next w:val="Normal"/>
    <w:uiPriority w:val="99"/>
    <w:semiHidden/>
    <w:unhideWhenUsed/>
    <w:rsid w:val="00B43E03"/>
    <w:pPr>
      <w:spacing w:after="0"/>
    </w:pPr>
  </w:style>
  <w:style w:type="paragraph" w:styleId="ListNumber">
    <w:name w:val="List Number"/>
    <w:basedOn w:val="Normal"/>
    <w:uiPriority w:val="99"/>
    <w:semiHidden/>
    <w:unhideWhenUsed/>
    <w:rsid w:val="00B43E03"/>
    <w:pPr>
      <w:numPr>
        <w:numId w:val="6"/>
      </w:numPr>
      <w:contextualSpacing/>
    </w:pPr>
  </w:style>
  <w:style w:type="paragraph" w:styleId="ListNumber2">
    <w:name w:val="List Number 2"/>
    <w:basedOn w:val="Normal"/>
    <w:uiPriority w:val="99"/>
    <w:semiHidden/>
    <w:unhideWhenUsed/>
    <w:rsid w:val="00B43E03"/>
    <w:pPr>
      <w:numPr>
        <w:numId w:val="7"/>
      </w:numPr>
      <w:contextualSpacing/>
    </w:pPr>
  </w:style>
  <w:style w:type="paragraph" w:styleId="ListNumber3">
    <w:name w:val="List Number 3"/>
    <w:basedOn w:val="Normal"/>
    <w:uiPriority w:val="99"/>
    <w:semiHidden/>
    <w:unhideWhenUsed/>
    <w:rsid w:val="00B43E03"/>
    <w:pPr>
      <w:numPr>
        <w:numId w:val="8"/>
      </w:numPr>
      <w:contextualSpacing/>
    </w:pPr>
  </w:style>
  <w:style w:type="paragraph" w:styleId="ListNumber4">
    <w:name w:val="List Number 4"/>
    <w:basedOn w:val="Normal"/>
    <w:uiPriority w:val="99"/>
    <w:semiHidden/>
    <w:unhideWhenUsed/>
    <w:rsid w:val="00B43E03"/>
    <w:pPr>
      <w:numPr>
        <w:numId w:val="9"/>
      </w:numPr>
      <w:contextualSpacing/>
    </w:pPr>
  </w:style>
  <w:style w:type="character" w:styleId="FollowedHyperlink">
    <w:name w:val="FollowedHyperlink"/>
    <w:uiPriority w:val="99"/>
    <w:semiHidden/>
    <w:unhideWhenUsed/>
    <w:rsid w:val="00314202"/>
    <w:rPr>
      <w:color w:val="800080"/>
      <w:u w:val="single"/>
    </w:rPr>
  </w:style>
  <w:style w:type="paragraph" w:styleId="ListParagraph">
    <w:name w:val="List Paragraph"/>
    <w:basedOn w:val="Normal"/>
    <w:uiPriority w:val="34"/>
    <w:qFormat/>
    <w:rsid w:val="00A561DB"/>
    <w:pPr>
      <w:spacing w:before="0" w:after="0"/>
      <w:ind w:left="720"/>
      <w:jc w:val="left"/>
    </w:pPr>
    <w:rPr>
      <w:rFonts w:ascii="Calibri" w:hAnsi="Calibri"/>
      <w:sz w:val="22"/>
    </w:rPr>
  </w:style>
  <w:style w:type="character" w:styleId="Strong">
    <w:name w:val="Strong"/>
    <w:uiPriority w:val="22"/>
    <w:qFormat/>
    <w:rsid w:val="000952EF"/>
    <w:rPr>
      <w:b/>
      <w:bCs/>
    </w:rPr>
  </w:style>
  <w:style w:type="character" w:styleId="Emphasis">
    <w:name w:val="Emphasis"/>
    <w:uiPriority w:val="20"/>
    <w:qFormat/>
    <w:rsid w:val="00B37D30"/>
    <w:rPr>
      <w:i/>
      <w:iCs/>
    </w:rPr>
  </w:style>
  <w:style w:type="paragraph" w:styleId="Header">
    <w:name w:val="header"/>
    <w:basedOn w:val="Normal"/>
    <w:link w:val="HeaderChar"/>
    <w:uiPriority w:val="99"/>
    <w:unhideWhenUsed/>
    <w:rsid w:val="00CF0870"/>
    <w:pPr>
      <w:tabs>
        <w:tab w:val="center" w:pos="4535"/>
        <w:tab w:val="right" w:pos="9071"/>
      </w:tabs>
      <w:spacing w:before="0"/>
    </w:pPr>
  </w:style>
  <w:style w:type="character" w:customStyle="1" w:styleId="HeaderChar">
    <w:name w:val="Header Char"/>
    <w:link w:val="Header"/>
    <w:uiPriority w:val="99"/>
    <w:rsid w:val="00CF0870"/>
    <w:rPr>
      <w:rFonts w:ascii="Times New Roman" w:hAnsi="Times New Roman" w:cs="Times New Roman"/>
      <w:sz w:val="24"/>
      <w:lang w:val="en-GB"/>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link w:val="Heading1"/>
    <w:uiPriority w:val="9"/>
    <w:rsid w:val="007D53B6"/>
    <w:rPr>
      <w:rFonts w:ascii="Times New Roman" w:eastAsia="Malgun Gothic" w:hAnsi="Times New Roman" w:cs="Times New Roman"/>
      <w:b/>
      <w:bCs/>
      <w:smallCaps/>
      <w:sz w:val="24"/>
      <w:szCs w:val="28"/>
      <w:shd w:val="clear" w:color="auto" w:fill="auto"/>
      <w:lang w:val="en-GB"/>
    </w:rPr>
  </w:style>
  <w:style w:type="character" w:customStyle="1" w:styleId="Heading2Char">
    <w:name w:val="Heading 2 Char"/>
    <w:link w:val="Heading2"/>
    <w:uiPriority w:val="9"/>
    <w:semiHidden/>
    <w:rsid w:val="007D53B6"/>
    <w:rPr>
      <w:rFonts w:ascii="Times New Roman" w:eastAsia="Malgun Gothic" w:hAnsi="Times New Roman" w:cs="Times New Roman"/>
      <w:b/>
      <w:bCs/>
      <w:sz w:val="24"/>
      <w:szCs w:val="26"/>
      <w:shd w:val="clear" w:color="auto" w:fill="auto"/>
      <w:lang w:val="en-GB"/>
    </w:rPr>
  </w:style>
  <w:style w:type="character" w:customStyle="1" w:styleId="Heading3Char">
    <w:name w:val="Heading 3 Char"/>
    <w:link w:val="Heading3"/>
    <w:uiPriority w:val="9"/>
    <w:semiHidden/>
    <w:rsid w:val="007D53B6"/>
    <w:rPr>
      <w:rFonts w:ascii="Times New Roman" w:eastAsia="Malgun Gothic" w:hAnsi="Times New Roman" w:cs="Times New Roman"/>
      <w:bCs/>
      <w:i/>
      <w:sz w:val="24"/>
      <w:shd w:val="clear" w:color="auto" w:fill="auto"/>
      <w:lang w:val="en-GB"/>
    </w:rPr>
  </w:style>
  <w:style w:type="character" w:customStyle="1" w:styleId="Heading4Char">
    <w:name w:val="Heading 4 Char"/>
    <w:link w:val="Heading4"/>
    <w:uiPriority w:val="9"/>
    <w:semiHidden/>
    <w:rsid w:val="007D53B6"/>
    <w:rPr>
      <w:rFonts w:ascii="Times New Roman" w:eastAsia="Malgun Gothic"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CF0870"/>
    <w:pPr>
      <w:tabs>
        <w:tab w:val="center" w:pos="7285"/>
        <w:tab w:val="right" w:pos="14003"/>
      </w:tabs>
      <w:spacing w:before="0"/>
    </w:p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25"/>
      </w:numPr>
    </w:pPr>
  </w:style>
  <w:style w:type="paragraph" w:customStyle="1" w:styleId="Tiret1">
    <w:name w:val="Tiret 1"/>
    <w:basedOn w:val="Point1"/>
    <w:rsid w:val="007D53B6"/>
    <w:pPr>
      <w:numPr>
        <w:numId w:val="26"/>
      </w:numPr>
    </w:pPr>
  </w:style>
  <w:style w:type="paragraph" w:customStyle="1" w:styleId="Tiret2">
    <w:name w:val="Tiret 2"/>
    <w:basedOn w:val="Point2"/>
    <w:rsid w:val="007D53B6"/>
    <w:pPr>
      <w:numPr>
        <w:numId w:val="27"/>
      </w:numPr>
    </w:pPr>
  </w:style>
  <w:style w:type="paragraph" w:customStyle="1" w:styleId="Tiret3">
    <w:name w:val="Tiret 3"/>
    <w:basedOn w:val="Point3"/>
    <w:rsid w:val="007D53B6"/>
    <w:pPr>
      <w:numPr>
        <w:numId w:val="28"/>
      </w:numPr>
    </w:pPr>
  </w:style>
  <w:style w:type="paragraph" w:customStyle="1" w:styleId="Tiret4">
    <w:name w:val="Tiret 4"/>
    <w:basedOn w:val="Point4"/>
    <w:rsid w:val="007D53B6"/>
    <w:pPr>
      <w:numPr>
        <w:numId w:val="29"/>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30"/>
      </w:numPr>
    </w:pPr>
  </w:style>
  <w:style w:type="paragraph" w:customStyle="1" w:styleId="NumPar2">
    <w:name w:val="NumPar 2"/>
    <w:basedOn w:val="Normal"/>
    <w:next w:val="Text1"/>
    <w:rsid w:val="007D53B6"/>
    <w:pPr>
      <w:numPr>
        <w:ilvl w:val="1"/>
        <w:numId w:val="30"/>
      </w:numPr>
    </w:pPr>
  </w:style>
  <w:style w:type="paragraph" w:customStyle="1" w:styleId="NumPar3">
    <w:name w:val="NumPar 3"/>
    <w:basedOn w:val="Normal"/>
    <w:next w:val="Text1"/>
    <w:rsid w:val="007D53B6"/>
    <w:pPr>
      <w:numPr>
        <w:ilvl w:val="2"/>
        <w:numId w:val="30"/>
      </w:numPr>
    </w:pPr>
  </w:style>
  <w:style w:type="paragraph" w:customStyle="1" w:styleId="NumPar4">
    <w:name w:val="NumPar 4"/>
    <w:basedOn w:val="Normal"/>
    <w:next w:val="Text1"/>
    <w:rsid w:val="007D53B6"/>
    <w:pPr>
      <w:numPr>
        <w:ilvl w:val="3"/>
        <w:numId w:val="30"/>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rsid w:val="007D53B6"/>
    <w:rPr>
      <w:color w:val="0000FF"/>
      <w:shd w:val="clear" w:color="auto" w:fill="auto"/>
    </w:rPr>
  </w:style>
  <w:style w:type="character" w:customStyle="1" w:styleId="Marker1">
    <w:name w:val="Marker1"/>
    <w:rsid w:val="007D53B6"/>
    <w:rPr>
      <w:color w:val="008000"/>
      <w:shd w:val="clear" w:color="auto" w:fill="auto"/>
    </w:rPr>
  </w:style>
  <w:style w:type="character" w:customStyle="1" w:styleId="Marker2">
    <w:name w:val="Marker2"/>
    <w:rsid w:val="007D53B6"/>
    <w:rPr>
      <w:color w:val="FF0000"/>
      <w:shd w:val="clear" w:color="auto" w:fill="auto"/>
    </w:rPr>
  </w:style>
  <w:style w:type="paragraph" w:customStyle="1" w:styleId="Point0number">
    <w:name w:val="Point 0 (number)"/>
    <w:basedOn w:val="Normal"/>
    <w:rsid w:val="007D53B6"/>
    <w:pPr>
      <w:numPr>
        <w:numId w:val="32"/>
      </w:numPr>
    </w:pPr>
  </w:style>
  <w:style w:type="paragraph" w:customStyle="1" w:styleId="Point1number">
    <w:name w:val="Point 1 (number)"/>
    <w:basedOn w:val="Normal"/>
    <w:rsid w:val="007D53B6"/>
    <w:pPr>
      <w:numPr>
        <w:ilvl w:val="2"/>
        <w:numId w:val="32"/>
      </w:numPr>
    </w:pPr>
  </w:style>
  <w:style w:type="paragraph" w:customStyle="1" w:styleId="Point2number">
    <w:name w:val="Point 2 (number)"/>
    <w:basedOn w:val="Normal"/>
    <w:rsid w:val="007D53B6"/>
    <w:pPr>
      <w:numPr>
        <w:ilvl w:val="4"/>
        <w:numId w:val="32"/>
      </w:numPr>
    </w:pPr>
  </w:style>
  <w:style w:type="paragraph" w:customStyle="1" w:styleId="Point3number">
    <w:name w:val="Point 3 (number)"/>
    <w:basedOn w:val="Normal"/>
    <w:rsid w:val="007D53B6"/>
    <w:pPr>
      <w:numPr>
        <w:ilvl w:val="6"/>
        <w:numId w:val="32"/>
      </w:numPr>
    </w:pPr>
  </w:style>
  <w:style w:type="paragraph" w:customStyle="1" w:styleId="Point0letter">
    <w:name w:val="Point 0 (letter)"/>
    <w:basedOn w:val="Normal"/>
    <w:rsid w:val="007D53B6"/>
    <w:pPr>
      <w:numPr>
        <w:ilvl w:val="1"/>
        <w:numId w:val="32"/>
      </w:numPr>
    </w:pPr>
  </w:style>
  <w:style w:type="paragraph" w:customStyle="1" w:styleId="Point1letter">
    <w:name w:val="Point 1 (letter)"/>
    <w:basedOn w:val="Normal"/>
    <w:rsid w:val="007D53B6"/>
    <w:pPr>
      <w:numPr>
        <w:ilvl w:val="3"/>
        <w:numId w:val="32"/>
      </w:numPr>
    </w:pPr>
  </w:style>
  <w:style w:type="paragraph" w:customStyle="1" w:styleId="Point2letter">
    <w:name w:val="Point 2 (letter)"/>
    <w:basedOn w:val="Normal"/>
    <w:rsid w:val="007D53B6"/>
    <w:pPr>
      <w:numPr>
        <w:ilvl w:val="5"/>
        <w:numId w:val="32"/>
      </w:numPr>
    </w:pPr>
  </w:style>
  <w:style w:type="paragraph" w:customStyle="1" w:styleId="Point3letter">
    <w:name w:val="Point 3 (letter)"/>
    <w:basedOn w:val="Normal"/>
    <w:rsid w:val="007D53B6"/>
    <w:pPr>
      <w:numPr>
        <w:ilvl w:val="7"/>
        <w:numId w:val="32"/>
      </w:numPr>
    </w:pPr>
  </w:style>
  <w:style w:type="paragraph" w:customStyle="1" w:styleId="Point4letter">
    <w:name w:val="Point 4 (letter)"/>
    <w:basedOn w:val="Normal"/>
    <w:rsid w:val="007D53B6"/>
    <w:pPr>
      <w:numPr>
        <w:ilvl w:val="8"/>
        <w:numId w:val="32"/>
      </w:numPr>
    </w:pPr>
  </w:style>
  <w:style w:type="paragraph" w:customStyle="1" w:styleId="Bullet0">
    <w:name w:val="Bullet 0"/>
    <w:basedOn w:val="Normal"/>
    <w:rsid w:val="007D53B6"/>
    <w:pPr>
      <w:numPr>
        <w:numId w:val="33"/>
      </w:numPr>
    </w:pPr>
  </w:style>
  <w:style w:type="paragraph" w:customStyle="1" w:styleId="Bullet1">
    <w:name w:val="Bullet 1"/>
    <w:basedOn w:val="Normal"/>
    <w:rsid w:val="007D53B6"/>
    <w:pPr>
      <w:numPr>
        <w:numId w:val="34"/>
      </w:numPr>
    </w:pPr>
  </w:style>
  <w:style w:type="paragraph" w:customStyle="1" w:styleId="Bullet2">
    <w:name w:val="Bullet 2"/>
    <w:basedOn w:val="Normal"/>
    <w:rsid w:val="007D53B6"/>
    <w:pPr>
      <w:numPr>
        <w:numId w:val="35"/>
      </w:numPr>
    </w:pPr>
  </w:style>
  <w:style w:type="paragraph" w:customStyle="1" w:styleId="Bullet3">
    <w:name w:val="Bullet 3"/>
    <w:basedOn w:val="Normal"/>
    <w:rsid w:val="007D53B6"/>
    <w:pPr>
      <w:numPr>
        <w:numId w:val="36"/>
      </w:numPr>
    </w:pPr>
  </w:style>
  <w:style w:type="paragraph" w:customStyle="1" w:styleId="Bullet4">
    <w:name w:val="Bullet 4"/>
    <w:basedOn w:val="Normal"/>
    <w:rsid w:val="007D53B6"/>
    <w:pPr>
      <w:numPr>
        <w:numId w:val="37"/>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38"/>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rsid w:val="007D53B6"/>
    <w:rPr>
      <w:b/>
      <w:u w:val="single"/>
      <w:shd w:val="clear" w:color="auto" w:fill="auto"/>
    </w:rPr>
  </w:style>
  <w:style w:type="character" w:customStyle="1" w:styleId="Deleted">
    <w:name w:val="Deleted"/>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4738">
      <w:bodyDiv w:val="1"/>
      <w:marLeft w:val="0"/>
      <w:marRight w:val="0"/>
      <w:marTop w:val="0"/>
      <w:marBottom w:val="0"/>
      <w:divBdr>
        <w:top w:val="none" w:sz="0" w:space="0" w:color="auto"/>
        <w:left w:val="none" w:sz="0" w:space="0" w:color="auto"/>
        <w:bottom w:val="none" w:sz="0" w:space="0" w:color="auto"/>
        <w:right w:val="none" w:sz="0" w:space="0" w:color="auto"/>
      </w:divBdr>
    </w:div>
    <w:div w:id="509486542">
      <w:bodyDiv w:val="1"/>
      <w:marLeft w:val="0"/>
      <w:marRight w:val="0"/>
      <w:marTop w:val="0"/>
      <w:marBottom w:val="0"/>
      <w:divBdr>
        <w:top w:val="none" w:sz="0" w:space="0" w:color="auto"/>
        <w:left w:val="none" w:sz="0" w:space="0" w:color="auto"/>
        <w:bottom w:val="none" w:sz="0" w:space="0" w:color="auto"/>
        <w:right w:val="none" w:sz="0" w:space="0" w:color="auto"/>
      </w:divBdr>
    </w:div>
    <w:div w:id="557786827">
      <w:bodyDiv w:val="1"/>
      <w:marLeft w:val="0"/>
      <w:marRight w:val="0"/>
      <w:marTop w:val="0"/>
      <w:marBottom w:val="0"/>
      <w:divBdr>
        <w:top w:val="none" w:sz="0" w:space="0" w:color="auto"/>
        <w:left w:val="none" w:sz="0" w:space="0" w:color="auto"/>
        <w:bottom w:val="none" w:sz="0" w:space="0" w:color="auto"/>
        <w:right w:val="none" w:sz="0" w:space="0" w:color="auto"/>
      </w:divBdr>
    </w:div>
    <w:div w:id="835612227">
      <w:bodyDiv w:val="1"/>
      <w:marLeft w:val="0"/>
      <w:marRight w:val="0"/>
      <w:marTop w:val="0"/>
      <w:marBottom w:val="0"/>
      <w:divBdr>
        <w:top w:val="none" w:sz="0" w:space="0" w:color="auto"/>
        <w:left w:val="none" w:sz="0" w:space="0" w:color="auto"/>
        <w:bottom w:val="none" w:sz="0" w:space="0" w:color="auto"/>
        <w:right w:val="none" w:sz="0" w:space="0" w:color="auto"/>
      </w:divBdr>
    </w:div>
    <w:div w:id="1043679986">
      <w:bodyDiv w:val="1"/>
      <w:marLeft w:val="0"/>
      <w:marRight w:val="0"/>
      <w:marTop w:val="0"/>
      <w:marBottom w:val="0"/>
      <w:divBdr>
        <w:top w:val="none" w:sz="0" w:space="0" w:color="auto"/>
        <w:left w:val="none" w:sz="0" w:space="0" w:color="auto"/>
        <w:bottom w:val="none" w:sz="0" w:space="0" w:color="auto"/>
        <w:right w:val="none" w:sz="0" w:space="0" w:color="auto"/>
      </w:divBdr>
      <w:divsChild>
        <w:div w:id="380519053">
          <w:marLeft w:val="0"/>
          <w:marRight w:val="0"/>
          <w:marTop w:val="0"/>
          <w:marBottom w:val="0"/>
          <w:divBdr>
            <w:top w:val="none" w:sz="0" w:space="0" w:color="auto"/>
            <w:left w:val="none" w:sz="0" w:space="0" w:color="auto"/>
            <w:bottom w:val="none" w:sz="0" w:space="0" w:color="auto"/>
            <w:right w:val="none" w:sz="0" w:space="0" w:color="auto"/>
          </w:divBdr>
          <w:divsChild>
            <w:div w:id="359942880">
              <w:marLeft w:val="0"/>
              <w:marRight w:val="0"/>
              <w:marTop w:val="0"/>
              <w:marBottom w:val="0"/>
              <w:divBdr>
                <w:top w:val="none" w:sz="0" w:space="0" w:color="auto"/>
                <w:left w:val="none" w:sz="0" w:space="0" w:color="auto"/>
                <w:bottom w:val="none" w:sz="0" w:space="0" w:color="auto"/>
                <w:right w:val="none" w:sz="0" w:space="0" w:color="auto"/>
              </w:divBdr>
              <w:divsChild>
                <w:div w:id="1597668551">
                  <w:marLeft w:val="0"/>
                  <w:marRight w:val="0"/>
                  <w:marTop w:val="0"/>
                  <w:marBottom w:val="0"/>
                  <w:divBdr>
                    <w:top w:val="none" w:sz="0" w:space="0" w:color="auto"/>
                    <w:left w:val="none" w:sz="0" w:space="0" w:color="auto"/>
                    <w:bottom w:val="none" w:sz="0" w:space="0" w:color="auto"/>
                    <w:right w:val="none" w:sz="0" w:space="0" w:color="auto"/>
                  </w:divBdr>
                  <w:divsChild>
                    <w:div w:id="1008170939">
                      <w:marLeft w:val="1"/>
                      <w:marRight w:val="1"/>
                      <w:marTop w:val="0"/>
                      <w:marBottom w:val="0"/>
                      <w:divBdr>
                        <w:top w:val="none" w:sz="0" w:space="0" w:color="auto"/>
                        <w:left w:val="none" w:sz="0" w:space="0" w:color="auto"/>
                        <w:bottom w:val="none" w:sz="0" w:space="0" w:color="auto"/>
                        <w:right w:val="none" w:sz="0" w:space="0" w:color="auto"/>
                      </w:divBdr>
                      <w:divsChild>
                        <w:div w:id="1934893757">
                          <w:marLeft w:val="0"/>
                          <w:marRight w:val="0"/>
                          <w:marTop w:val="0"/>
                          <w:marBottom w:val="0"/>
                          <w:divBdr>
                            <w:top w:val="none" w:sz="0" w:space="0" w:color="auto"/>
                            <w:left w:val="none" w:sz="0" w:space="0" w:color="auto"/>
                            <w:bottom w:val="none" w:sz="0" w:space="0" w:color="auto"/>
                            <w:right w:val="none" w:sz="0" w:space="0" w:color="auto"/>
                          </w:divBdr>
                          <w:divsChild>
                            <w:div w:id="56903318">
                              <w:marLeft w:val="0"/>
                              <w:marRight w:val="0"/>
                              <w:marTop w:val="0"/>
                              <w:marBottom w:val="360"/>
                              <w:divBdr>
                                <w:top w:val="none" w:sz="0" w:space="0" w:color="auto"/>
                                <w:left w:val="none" w:sz="0" w:space="0" w:color="auto"/>
                                <w:bottom w:val="none" w:sz="0" w:space="0" w:color="auto"/>
                                <w:right w:val="none" w:sz="0" w:space="0" w:color="auto"/>
                              </w:divBdr>
                              <w:divsChild>
                                <w:div w:id="75251763">
                                  <w:marLeft w:val="0"/>
                                  <w:marRight w:val="0"/>
                                  <w:marTop w:val="0"/>
                                  <w:marBottom w:val="360"/>
                                  <w:divBdr>
                                    <w:top w:val="none" w:sz="0" w:space="0" w:color="auto"/>
                                    <w:left w:val="none" w:sz="0" w:space="0" w:color="auto"/>
                                    <w:bottom w:val="none" w:sz="0" w:space="0" w:color="auto"/>
                                    <w:right w:val="none" w:sz="0" w:space="0" w:color="auto"/>
                                  </w:divBdr>
                                  <w:divsChild>
                                    <w:div w:id="795832738">
                                      <w:marLeft w:val="0"/>
                                      <w:marRight w:val="0"/>
                                      <w:marTop w:val="0"/>
                                      <w:marBottom w:val="0"/>
                                      <w:divBdr>
                                        <w:top w:val="none" w:sz="0" w:space="0" w:color="auto"/>
                                        <w:left w:val="none" w:sz="0" w:space="0" w:color="auto"/>
                                        <w:bottom w:val="none" w:sz="0" w:space="0" w:color="auto"/>
                                        <w:right w:val="none" w:sz="0" w:space="0" w:color="auto"/>
                                      </w:divBdr>
                                      <w:divsChild>
                                        <w:div w:id="92602923">
                                          <w:marLeft w:val="0"/>
                                          <w:marRight w:val="0"/>
                                          <w:marTop w:val="0"/>
                                          <w:marBottom w:val="0"/>
                                          <w:divBdr>
                                            <w:top w:val="none" w:sz="0" w:space="0" w:color="auto"/>
                                            <w:left w:val="none" w:sz="0" w:space="0" w:color="auto"/>
                                            <w:bottom w:val="none" w:sz="0" w:space="0" w:color="auto"/>
                                            <w:right w:val="none" w:sz="0" w:space="0" w:color="auto"/>
                                          </w:divBdr>
                                          <w:divsChild>
                                            <w:div w:id="206008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3251649">
      <w:bodyDiv w:val="1"/>
      <w:marLeft w:val="0"/>
      <w:marRight w:val="0"/>
      <w:marTop w:val="0"/>
      <w:marBottom w:val="0"/>
      <w:divBdr>
        <w:top w:val="none" w:sz="0" w:space="0" w:color="auto"/>
        <w:left w:val="none" w:sz="0" w:space="0" w:color="auto"/>
        <w:bottom w:val="none" w:sz="0" w:space="0" w:color="auto"/>
        <w:right w:val="none" w:sz="0" w:space="0" w:color="auto"/>
      </w:divBdr>
    </w:div>
    <w:div w:id="1694072087">
      <w:bodyDiv w:val="1"/>
      <w:marLeft w:val="0"/>
      <w:marRight w:val="0"/>
      <w:marTop w:val="0"/>
      <w:marBottom w:val="0"/>
      <w:divBdr>
        <w:top w:val="none" w:sz="0" w:space="0" w:color="auto"/>
        <w:left w:val="none" w:sz="0" w:space="0" w:color="auto"/>
        <w:bottom w:val="none" w:sz="0" w:space="0" w:color="auto"/>
        <w:right w:val="none" w:sz="0" w:space="0" w:color="auto"/>
      </w:divBdr>
    </w:div>
    <w:div w:id="1802844076">
      <w:bodyDiv w:val="1"/>
      <w:marLeft w:val="0"/>
      <w:marRight w:val="0"/>
      <w:marTop w:val="0"/>
      <w:marBottom w:val="0"/>
      <w:divBdr>
        <w:top w:val="none" w:sz="0" w:space="0" w:color="auto"/>
        <w:left w:val="none" w:sz="0" w:space="0" w:color="auto"/>
        <w:bottom w:val="none" w:sz="0" w:space="0" w:color="auto"/>
        <w:right w:val="none" w:sz="0" w:space="0" w:color="auto"/>
      </w:divBdr>
      <w:divsChild>
        <w:div w:id="289475654">
          <w:marLeft w:val="0"/>
          <w:marRight w:val="0"/>
          <w:marTop w:val="0"/>
          <w:marBottom w:val="0"/>
          <w:divBdr>
            <w:top w:val="none" w:sz="0" w:space="0" w:color="auto"/>
            <w:left w:val="none" w:sz="0" w:space="0" w:color="auto"/>
            <w:bottom w:val="none" w:sz="0" w:space="0" w:color="auto"/>
            <w:right w:val="none" w:sz="0" w:space="0" w:color="auto"/>
          </w:divBdr>
          <w:divsChild>
            <w:div w:id="463499906">
              <w:marLeft w:val="0"/>
              <w:marRight w:val="0"/>
              <w:marTop w:val="0"/>
              <w:marBottom w:val="0"/>
              <w:divBdr>
                <w:top w:val="none" w:sz="0" w:space="0" w:color="auto"/>
                <w:left w:val="none" w:sz="0" w:space="0" w:color="auto"/>
                <w:bottom w:val="none" w:sz="0" w:space="0" w:color="auto"/>
                <w:right w:val="none" w:sz="0" w:space="0" w:color="auto"/>
              </w:divBdr>
              <w:divsChild>
                <w:div w:id="1219441284">
                  <w:marLeft w:val="0"/>
                  <w:marRight w:val="0"/>
                  <w:marTop w:val="0"/>
                  <w:marBottom w:val="0"/>
                  <w:divBdr>
                    <w:top w:val="none" w:sz="0" w:space="0" w:color="auto"/>
                    <w:left w:val="none" w:sz="0" w:space="0" w:color="auto"/>
                    <w:bottom w:val="none" w:sz="0" w:space="0" w:color="auto"/>
                    <w:right w:val="none" w:sz="0" w:space="0" w:color="auto"/>
                  </w:divBdr>
                  <w:divsChild>
                    <w:div w:id="513766136">
                      <w:marLeft w:val="1"/>
                      <w:marRight w:val="1"/>
                      <w:marTop w:val="0"/>
                      <w:marBottom w:val="0"/>
                      <w:divBdr>
                        <w:top w:val="none" w:sz="0" w:space="0" w:color="auto"/>
                        <w:left w:val="none" w:sz="0" w:space="0" w:color="auto"/>
                        <w:bottom w:val="none" w:sz="0" w:space="0" w:color="auto"/>
                        <w:right w:val="none" w:sz="0" w:space="0" w:color="auto"/>
                      </w:divBdr>
                      <w:divsChild>
                        <w:div w:id="1636906742">
                          <w:marLeft w:val="0"/>
                          <w:marRight w:val="0"/>
                          <w:marTop w:val="0"/>
                          <w:marBottom w:val="0"/>
                          <w:divBdr>
                            <w:top w:val="none" w:sz="0" w:space="0" w:color="auto"/>
                            <w:left w:val="none" w:sz="0" w:space="0" w:color="auto"/>
                            <w:bottom w:val="none" w:sz="0" w:space="0" w:color="auto"/>
                            <w:right w:val="none" w:sz="0" w:space="0" w:color="auto"/>
                          </w:divBdr>
                          <w:divsChild>
                            <w:div w:id="916401001">
                              <w:marLeft w:val="0"/>
                              <w:marRight w:val="0"/>
                              <w:marTop w:val="0"/>
                              <w:marBottom w:val="360"/>
                              <w:divBdr>
                                <w:top w:val="none" w:sz="0" w:space="0" w:color="auto"/>
                                <w:left w:val="none" w:sz="0" w:space="0" w:color="auto"/>
                                <w:bottom w:val="none" w:sz="0" w:space="0" w:color="auto"/>
                                <w:right w:val="none" w:sz="0" w:space="0" w:color="auto"/>
                              </w:divBdr>
                              <w:divsChild>
                                <w:div w:id="313607454">
                                  <w:marLeft w:val="0"/>
                                  <w:marRight w:val="0"/>
                                  <w:marTop w:val="0"/>
                                  <w:marBottom w:val="360"/>
                                  <w:divBdr>
                                    <w:top w:val="none" w:sz="0" w:space="0" w:color="auto"/>
                                    <w:left w:val="none" w:sz="0" w:space="0" w:color="auto"/>
                                    <w:bottom w:val="none" w:sz="0" w:space="0" w:color="auto"/>
                                    <w:right w:val="none" w:sz="0" w:space="0" w:color="auto"/>
                                  </w:divBdr>
                                  <w:divsChild>
                                    <w:div w:id="1481581114">
                                      <w:marLeft w:val="0"/>
                                      <w:marRight w:val="0"/>
                                      <w:marTop w:val="0"/>
                                      <w:marBottom w:val="0"/>
                                      <w:divBdr>
                                        <w:top w:val="none" w:sz="0" w:space="0" w:color="auto"/>
                                        <w:left w:val="none" w:sz="0" w:space="0" w:color="auto"/>
                                        <w:bottom w:val="none" w:sz="0" w:space="0" w:color="auto"/>
                                        <w:right w:val="none" w:sz="0" w:space="0" w:color="auto"/>
                                      </w:divBdr>
                                      <w:divsChild>
                                        <w:div w:id="1022174029">
                                          <w:marLeft w:val="0"/>
                                          <w:marRight w:val="0"/>
                                          <w:marTop w:val="0"/>
                                          <w:marBottom w:val="0"/>
                                          <w:divBdr>
                                            <w:top w:val="none" w:sz="0" w:space="0" w:color="auto"/>
                                            <w:left w:val="none" w:sz="0" w:space="0" w:color="auto"/>
                                            <w:bottom w:val="none" w:sz="0" w:space="0" w:color="auto"/>
                                            <w:right w:val="none" w:sz="0" w:space="0" w:color="auto"/>
                                          </w:divBdr>
                                          <w:divsChild>
                                            <w:div w:id="207750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justice/gender-equality/files/documents/151203_strategic_engagement_en.pdf" TargetMode="External"/><Relationship Id="rId13" Type="http://schemas.openxmlformats.org/officeDocument/2006/relationships/hyperlink" Target="https://rm.coe.int/CoERMPublicCommonSearchServices/DisplayDCTMContent?documentId=090000168048358b" TargetMode="External"/><Relationship Id="rId3" Type="http://schemas.openxmlformats.org/officeDocument/2006/relationships/hyperlink" Target="http://www.consilium.europa.eu/en/press/press-releases/2015/10/26-fac-conclusions-gender-development/" TargetMode="External"/><Relationship Id="rId7" Type="http://schemas.openxmlformats.org/officeDocument/2006/relationships/hyperlink" Target="https://www.consilium.europa.eu/uedocs/cms_data/docs/pressdata/en/lsa/113226.pdf" TargetMode="External"/><Relationship Id="rId12" Type="http://schemas.openxmlformats.org/officeDocument/2006/relationships/hyperlink" Target="https://wcd.coe.int/ViewDoc.jsp?Ref=CM/Res%282014%2943&amp;Language=lanFrench&amp;Ver=original&amp;Site=COE&amp;BackColorInternet=DBDCF2&amp;BackColorIntranet=FDC864&amp;BackColorLogged=FDC864" TargetMode="External"/><Relationship Id="rId2" Type="http://schemas.openxmlformats.org/officeDocument/2006/relationships/hyperlink" Target="http://www.consilium.europa.eu/en/press/press-releases/2015/05/26-fac-dev-council-conclusions-gender-development/" TargetMode="External"/><Relationship Id="rId1" Type="http://schemas.openxmlformats.org/officeDocument/2006/relationships/hyperlink" Target="http://tbinternet.ohchr.org/_layouts/treatybodyexternal/Download.aspx?symbolno=CRPD%2fC%2fEU%2fCO%2f1&amp;Lang=en" TargetMode="External"/><Relationship Id="rId6" Type="http://schemas.openxmlformats.org/officeDocument/2006/relationships/hyperlink" Target="http://eur-lex.europa.eu/legal-content/EN/TXT/?qid=1396540108305&amp;uri=CELEX:52010DC0491" TargetMode="External"/><Relationship Id="rId11" Type="http://schemas.openxmlformats.org/officeDocument/2006/relationships/hyperlink" Target="https://rm.coe.int/CoERMPublicCommonSearchServices/DisplayDCTMContent?documentId=09000016800d383a" TargetMode="External"/><Relationship Id="rId5" Type="http://schemas.openxmlformats.org/officeDocument/2006/relationships/hyperlink" Target="http://www.consilium.europa.eu/uedocs/cmsUpload/16173cor.en08.pdf" TargetMode="External"/><Relationship Id="rId10" Type="http://schemas.openxmlformats.org/officeDocument/2006/relationships/hyperlink" Target="http://eige.europa.eu/node/393" TargetMode="External"/><Relationship Id="rId4" Type="http://schemas.openxmlformats.org/officeDocument/2006/relationships/hyperlink" Target="http://data.consilium.europa.eu/doc/document/ST-10897-2015-INIT/en/pdf" TargetMode="External"/><Relationship Id="rId9" Type="http://schemas.openxmlformats.org/officeDocument/2006/relationships/hyperlink" Target="http://fra.europa.eu/en/publication/2014/violence-against-women-eu-wide-survey-main-results-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47089-1841-458B-8923-F0EBF526A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13</Pages>
  <Words>4889</Words>
  <Characters>26405</Characters>
  <Application>Microsoft Office Word</Application>
  <DocSecurity>0</DocSecurity>
  <Lines>400</Lines>
  <Paragraphs>93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31201</CharactersWithSpaces>
  <SharedDoc>false</SharedDoc>
  <HLinks>
    <vt:vector size="78" baseType="variant">
      <vt:variant>
        <vt:i4>4784222</vt:i4>
      </vt:variant>
      <vt:variant>
        <vt:i4>36</vt:i4>
      </vt:variant>
      <vt:variant>
        <vt:i4>0</vt:i4>
      </vt:variant>
      <vt:variant>
        <vt:i4>5</vt:i4>
      </vt:variant>
      <vt:variant>
        <vt:lpwstr>https://rm.coe.int/CoERMPublicCommonSearchServices/DisplayDCTMContent?documentId=090000168048358b</vt:lpwstr>
      </vt:variant>
      <vt:variant>
        <vt:lpwstr/>
      </vt:variant>
      <vt:variant>
        <vt:i4>196696</vt:i4>
      </vt:variant>
      <vt:variant>
        <vt:i4>33</vt:i4>
      </vt:variant>
      <vt:variant>
        <vt:i4>0</vt:i4>
      </vt:variant>
      <vt:variant>
        <vt:i4>5</vt:i4>
      </vt:variant>
      <vt:variant>
        <vt:lpwstr>https://wcd.coe.int/ViewDoc.jsp?Ref=CM/Res%282014%2943&amp;Language=lanFrench&amp;Ver=original&amp;Site=COE&amp;BackColorInternet=DBDCF2&amp;BackColorIntranet=FDC864&amp;BackColorLogged=FDC864</vt:lpwstr>
      </vt:variant>
      <vt:variant>
        <vt:lpwstr/>
      </vt:variant>
      <vt:variant>
        <vt:i4>4587535</vt:i4>
      </vt:variant>
      <vt:variant>
        <vt:i4>30</vt:i4>
      </vt:variant>
      <vt:variant>
        <vt:i4>0</vt:i4>
      </vt:variant>
      <vt:variant>
        <vt:i4>5</vt:i4>
      </vt:variant>
      <vt:variant>
        <vt:lpwstr>https://rm.coe.int/CoERMPublicCommonSearchServices/DisplayDCTMContent?documentId=09000016800d383a</vt:lpwstr>
      </vt:variant>
      <vt:variant>
        <vt:lpwstr/>
      </vt:variant>
      <vt:variant>
        <vt:i4>3932197</vt:i4>
      </vt:variant>
      <vt:variant>
        <vt:i4>27</vt:i4>
      </vt:variant>
      <vt:variant>
        <vt:i4>0</vt:i4>
      </vt:variant>
      <vt:variant>
        <vt:i4>5</vt:i4>
      </vt:variant>
      <vt:variant>
        <vt:lpwstr>http://eige.europa.eu/node/393</vt:lpwstr>
      </vt:variant>
      <vt:variant>
        <vt:lpwstr/>
      </vt:variant>
      <vt:variant>
        <vt:i4>7995447</vt:i4>
      </vt:variant>
      <vt:variant>
        <vt:i4>24</vt:i4>
      </vt:variant>
      <vt:variant>
        <vt:i4>0</vt:i4>
      </vt:variant>
      <vt:variant>
        <vt:i4>5</vt:i4>
      </vt:variant>
      <vt:variant>
        <vt:lpwstr>http://fra.europa.eu/en/publication/2014/violence-against-women-eu-wide-survey-main-results-report</vt:lpwstr>
      </vt:variant>
      <vt:variant>
        <vt:lpwstr/>
      </vt:variant>
      <vt:variant>
        <vt:i4>4915313</vt:i4>
      </vt:variant>
      <vt:variant>
        <vt:i4>21</vt:i4>
      </vt:variant>
      <vt:variant>
        <vt:i4>0</vt:i4>
      </vt:variant>
      <vt:variant>
        <vt:i4>5</vt:i4>
      </vt:variant>
      <vt:variant>
        <vt:lpwstr>http://ec.europa.eu/justice/gender-equality/files/documents/151203_strategic_engagement_en.pdf</vt:lpwstr>
      </vt:variant>
      <vt:variant>
        <vt:lpwstr/>
      </vt:variant>
      <vt:variant>
        <vt:i4>4915324</vt:i4>
      </vt:variant>
      <vt:variant>
        <vt:i4>18</vt:i4>
      </vt:variant>
      <vt:variant>
        <vt:i4>0</vt:i4>
      </vt:variant>
      <vt:variant>
        <vt:i4>5</vt:i4>
      </vt:variant>
      <vt:variant>
        <vt:lpwstr>https://www.consilium.europa.eu/uedocs/cms_data/docs/pressdata/en/lsa/113226.pdf</vt:lpwstr>
      </vt:variant>
      <vt:variant>
        <vt:lpwstr/>
      </vt:variant>
      <vt:variant>
        <vt:i4>6553704</vt:i4>
      </vt:variant>
      <vt:variant>
        <vt:i4>15</vt:i4>
      </vt:variant>
      <vt:variant>
        <vt:i4>0</vt:i4>
      </vt:variant>
      <vt:variant>
        <vt:i4>5</vt:i4>
      </vt:variant>
      <vt:variant>
        <vt:lpwstr>http://eur-lex.europa.eu/legal-content/EN/TXT/?qid=1396540108305&amp;uri=CELEX:52010DC0491</vt:lpwstr>
      </vt:variant>
      <vt:variant>
        <vt:lpwstr/>
      </vt:variant>
      <vt:variant>
        <vt:i4>2031628</vt:i4>
      </vt:variant>
      <vt:variant>
        <vt:i4>12</vt:i4>
      </vt:variant>
      <vt:variant>
        <vt:i4>0</vt:i4>
      </vt:variant>
      <vt:variant>
        <vt:i4>5</vt:i4>
      </vt:variant>
      <vt:variant>
        <vt:lpwstr>http://www.consilium.europa.eu/uedocs/cmsUpload/16173cor.en08.pdf</vt:lpwstr>
      </vt:variant>
      <vt:variant>
        <vt:lpwstr/>
      </vt:variant>
      <vt:variant>
        <vt:i4>7077929</vt:i4>
      </vt:variant>
      <vt:variant>
        <vt:i4>9</vt:i4>
      </vt:variant>
      <vt:variant>
        <vt:i4>0</vt:i4>
      </vt:variant>
      <vt:variant>
        <vt:i4>5</vt:i4>
      </vt:variant>
      <vt:variant>
        <vt:lpwstr>http://data.consilium.europa.eu/doc/document/ST-10897-2015-INIT/en/pdf</vt:lpwstr>
      </vt:variant>
      <vt:variant>
        <vt:lpwstr/>
      </vt:variant>
      <vt:variant>
        <vt:i4>5177370</vt:i4>
      </vt:variant>
      <vt:variant>
        <vt:i4>6</vt:i4>
      </vt:variant>
      <vt:variant>
        <vt:i4>0</vt:i4>
      </vt:variant>
      <vt:variant>
        <vt:i4>5</vt:i4>
      </vt:variant>
      <vt:variant>
        <vt:lpwstr>http://www.consilium.europa.eu/en/press/press-releases/2015/10/26-fac-conclusions-gender-development/</vt:lpwstr>
      </vt:variant>
      <vt:variant>
        <vt:lpwstr/>
      </vt:variant>
      <vt:variant>
        <vt:i4>4653072</vt:i4>
      </vt:variant>
      <vt:variant>
        <vt:i4>3</vt:i4>
      </vt:variant>
      <vt:variant>
        <vt:i4>0</vt:i4>
      </vt:variant>
      <vt:variant>
        <vt:i4>5</vt:i4>
      </vt:variant>
      <vt:variant>
        <vt:lpwstr>http://www.consilium.europa.eu/en/press/press-releases/2015/05/26-fac-dev-council-conclusions-gender-development/</vt:lpwstr>
      </vt:variant>
      <vt:variant>
        <vt:lpwstr/>
      </vt:variant>
      <vt:variant>
        <vt:i4>5767292</vt:i4>
      </vt:variant>
      <vt:variant>
        <vt:i4>0</vt:i4>
      </vt:variant>
      <vt:variant>
        <vt:i4>0</vt:i4>
      </vt:variant>
      <vt:variant>
        <vt:i4>5</vt:i4>
      </vt:variant>
      <vt:variant>
        <vt:lpwstr>http://tbinternet.ohchr.org/_layouts/treatybodyexternal/Download.aspx?symbolno=CRPD%2fC%2fEU%2fCO%2f1&amp;Lang=en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boehmsa</dc:creator>
  <cp:lastModifiedBy>JANSEN Colette (SG)</cp:lastModifiedBy>
  <cp:revision>2</cp:revision>
  <cp:lastPrinted>2016-02-22T09:48:00Z</cp:lastPrinted>
  <dcterms:created xsi:type="dcterms:W3CDTF">2016-03-04T14:45:00Z</dcterms:created>
  <dcterms:modified xsi:type="dcterms:W3CDTF">2016-03-04T14:45:00Z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SJ-019</vt:lpwstr>
  </property>
  <property fmtid="{D5CDD505-2E9C-101B-9397-08002B2CF9AE}" pid="10" name="DQCStatus">
    <vt:lpwstr>Yellow (DQC version 03)</vt:lpwstr>
  </property>
</Properties>
</file>