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436" w:rsidRDefault="007A0E1F" w:rsidP="007A0E1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382678F143CB488195A4E5F9960C8355" style="width:451pt;height:348.45pt">
            <v:imagedata r:id="rId9" o:title=""/>
          </v:shape>
        </w:pict>
      </w:r>
    </w:p>
    <w:bookmarkEnd w:id="0"/>
    <w:p w:rsidR="00D12436" w:rsidRDefault="00D12436">
      <w:pPr>
        <w:rPr>
          <w:noProof/>
        </w:rPr>
        <w:sectPr w:rsidR="00D12436" w:rsidSect="007A0E1F">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D12436" w:rsidRDefault="007A0E1F">
      <w:pPr>
        <w:keepNext/>
        <w:spacing w:after="240" w:line="240" w:lineRule="auto"/>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 xml:space="preserve">1. Introducere </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 xml:space="preserve">În discursul său privind starea Uniunii, pronunțat în fața Parlamentului European </w:t>
      </w:r>
      <w:r>
        <w:rPr>
          <w:rFonts w:ascii="Times New Roman" w:hAnsi="Times New Roman"/>
          <w:noProof/>
          <w:sz w:val="24"/>
        </w:rPr>
        <w:t>la 9 septembrie 2015, președintele Juncker a anunțat crearea unui pilon european al drepturilor sociale. Această inițiativă face parte din eforturile depuse de Comisie pentru o uniune economică și monetară (UEM)</w:t>
      </w:r>
      <w:r>
        <w:rPr>
          <w:rStyle w:val="FootnoteReference"/>
          <w:rFonts w:ascii="Times New Roman" w:hAnsi="Times New Roman"/>
          <w:noProof/>
          <w:sz w:val="24"/>
        </w:rPr>
        <w:footnoteReference w:id="2"/>
      </w:r>
      <w:r>
        <w:rPr>
          <w:rFonts w:ascii="Times New Roman" w:hAnsi="Times New Roman"/>
          <w:noProof/>
          <w:sz w:val="24"/>
        </w:rPr>
        <w:t xml:space="preserve"> mai profundă și mai echitabilă și din progr</w:t>
      </w:r>
      <w:r>
        <w:rPr>
          <w:rFonts w:ascii="Times New Roman" w:hAnsi="Times New Roman"/>
          <w:noProof/>
          <w:sz w:val="24"/>
        </w:rPr>
        <w:t>amul de lucru al Comisiei pentru 2016.</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În discursul său, președintele Juncker a declarat următoarele: „</w:t>
      </w:r>
      <w:r>
        <w:rPr>
          <w:rFonts w:ascii="Times New Roman" w:hAnsi="Times New Roman"/>
          <w:i/>
          <w:noProof/>
          <w:sz w:val="24"/>
        </w:rPr>
        <w:t>Trebuie să ne intensificăm eforturile în vederea instituirii unei piețe a muncii echitabile și cu adevărat paneuropene</w:t>
      </w:r>
      <w:r>
        <w:rPr>
          <w:rFonts w:ascii="Times New Roman" w:hAnsi="Times New Roman"/>
          <w:noProof/>
          <w:sz w:val="24"/>
        </w:rPr>
        <w:t>.</w:t>
      </w:r>
      <w:r>
        <w:rPr>
          <w:rFonts w:ascii="Times New Roman" w:hAnsi="Times New Roman"/>
          <w:i/>
          <w:noProof/>
          <w:sz w:val="24"/>
        </w:rPr>
        <w:t xml:space="preserve"> (...) Ca parte a acestor eforturi</w:t>
      </w:r>
      <w:r>
        <w:rPr>
          <w:rFonts w:ascii="Times New Roman" w:hAnsi="Times New Roman"/>
          <w:i/>
          <w:noProof/>
          <w:sz w:val="24"/>
        </w:rPr>
        <w:t>, doresc să elaborez un pilon european al drepturilor sociale, care să țină seama de realitățile aflate în evoluție ale societăților din Europa și ale mediului profesional și care să poată fi considerat un punct de reper pentru convergența reînnoită din ca</w:t>
      </w:r>
      <w:r>
        <w:rPr>
          <w:rFonts w:ascii="Times New Roman" w:hAnsi="Times New Roman"/>
          <w:i/>
          <w:noProof/>
          <w:sz w:val="24"/>
        </w:rPr>
        <w:t>drul zonei euro. Pilonul european al drepturilor sociale ar trebui să completeze ceea ce am dobândit deja împreună în materie de protecție a lucrătorilor în UE. Mă aștept ca partenerii sociali să joace un rol central în acest proces. Cred că este oportun s</w:t>
      </w:r>
      <w:r>
        <w:rPr>
          <w:rFonts w:ascii="Times New Roman" w:hAnsi="Times New Roman"/>
          <w:i/>
          <w:noProof/>
          <w:sz w:val="24"/>
        </w:rPr>
        <w:t>ă demarăm această inițiativă în cadrul zonei euro, permițându-le în același timp și celorlalte state membre ale UE să participe dacă își doresc acest lucru</w:t>
      </w:r>
      <w:r>
        <w:rPr>
          <w:rFonts w:ascii="Times New Roman" w:hAnsi="Times New Roman"/>
          <w:noProof/>
          <w:sz w:val="24"/>
        </w:rPr>
        <w:t xml:space="preserve">.” </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Prezenta comunicare descrie calea de urmat pentru pilonul european al drepturilor sociale. Aceast</w:t>
      </w:r>
      <w:r>
        <w:rPr>
          <w:rFonts w:ascii="Times New Roman" w:hAnsi="Times New Roman"/>
          <w:noProof/>
          <w:sz w:val="24"/>
        </w:rPr>
        <w:t>a stabilește principiile care stau la baza inițiativei, discută rolul, sfera de aplicare și natura acesteia și lansează o amplă consultare care vizează colectarea de feedback. O primă prezentare preliminară a pilonului este anexată prezentei comunicări pen</w:t>
      </w:r>
      <w:r>
        <w:rPr>
          <w:rFonts w:ascii="Times New Roman" w:hAnsi="Times New Roman"/>
          <w:noProof/>
          <w:sz w:val="24"/>
        </w:rPr>
        <w:t>tru a facilita discutarea acesteia. Prezenta comunicare este însoțită de două documente de lucru ale serviciilor Comisiei: primul descrie principalele tendințe economice ale pieței forței de muncă și societale pe care se bazează pilonul și la abordarea căr</w:t>
      </w:r>
      <w:r>
        <w:rPr>
          <w:rFonts w:ascii="Times New Roman" w:hAnsi="Times New Roman"/>
          <w:noProof/>
          <w:sz w:val="24"/>
        </w:rPr>
        <w:t xml:space="preserve">ora ar trebui să contribuie acesta, iar al doilea reamintește cele mai relevante </w:t>
      </w:r>
      <w:r>
        <w:rPr>
          <w:rFonts w:ascii="Times New Roman" w:hAnsi="Times New Roman"/>
          <w:i/>
          <w:noProof/>
          <w:sz w:val="24"/>
        </w:rPr>
        <w:t>acquis</w:t>
      </w:r>
      <w:r>
        <w:rPr>
          <w:rFonts w:ascii="Times New Roman" w:hAnsi="Times New Roman"/>
          <w:noProof/>
          <w:sz w:val="24"/>
        </w:rPr>
        <w:t>-uri juridice la nivelul UE</w:t>
      </w:r>
      <w:r>
        <w:rPr>
          <w:rStyle w:val="FootnoteReference"/>
          <w:rFonts w:ascii="Times New Roman" w:hAnsi="Times New Roman"/>
          <w:noProof/>
          <w:sz w:val="24"/>
        </w:rPr>
        <w:footnoteReference w:id="3"/>
      </w:r>
      <w:r>
        <w:rPr>
          <w:noProof/>
        </w:rPr>
        <w:t>.</w:t>
      </w:r>
      <w:r>
        <w:rPr>
          <w:rFonts w:ascii="Times New Roman" w:hAnsi="Times New Roman"/>
          <w:noProof/>
          <w:sz w:val="24"/>
        </w:rPr>
        <w:t xml:space="preserve"> </w:t>
      </w:r>
    </w:p>
    <w:p w:rsidR="00D12436" w:rsidRDefault="007A0E1F">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2. De ce un pilon european al drepturilor sociale ?</w:t>
      </w:r>
    </w:p>
    <w:p w:rsidR="00D12436" w:rsidRDefault="007A0E1F">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2.1. O economie socială de piață cu grad ridicat de competitivitate</w:t>
      </w:r>
    </w:p>
    <w:p w:rsidR="00D12436" w:rsidRDefault="007A0E1F">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Acțiunea la nivelu</w:t>
      </w:r>
      <w:r>
        <w:rPr>
          <w:rFonts w:ascii="Times New Roman" w:hAnsi="Times New Roman"/>
          <w:noProof/>
          <w:sz w:val="24"/>
        </w:rPr>
        <w:t>l UE reflectă principiile fondatoare ale Uniunii și se bazează pe convingerea că dezvoltarea economică ar trebui să conducă la un nivel de progres și coeziune socială mai mare și că, deși asigură mecanisme de siguranță adecvate în concordanță cu valorile e</w:t>
      </w:r>
      <w:r>
        <w:rPr>
          <w:rFonts w:ascii="Times New Roman" w:hAnsi="Times New Roman"/>
          <w:noProof/>
          <w:sz w:val="24"/>
        </w:rPr>
        <w:t>uropene, politica socială ar trebui să fie concepută, de asemenea, ca un factor productiv, care reduce inegalitatea, maximizează crearea de locuri de muncă și permite afirmarea capitalului uman al Europei. Această convingere este confirmată prin dovezi pri</w:t>
      </w:r>
      <w:r>
        <w:rPr>
          <w:rFonts w:ascii="Times New Roman" w:hAnsi="Times New Roman"/>
          <w:noProof/>
          <w:sz w:val="24"/>
        </w:rPr>
        <w:t xml:space="preserve">vind ocuparea forței de muncă și performanțele sociale. Statele membre cu cele mai bune rezultate din punct de vedere economic au elaborat politici sociale mai ambițioase și mai eficiente, nu doar ca rezultat al dezvoltării economice, ci ca parte centrală </w:t>
      </w:r>
      <w:r>
        <w:rPr>
          <w:rFonts w:ascii="Times New Roman" w:hAnsi="Times New Roman"/>
          <w:noProof/>
          <w:sz w:val="24"/>
        </w:rPr>
        <w:t xml:space="preserve">a modelului lor de creștere. Un factor-cheie este conceperea sistemelor de protecție socială și îndeplinirea rolului instituțiilor pieței forței de muncă, precum și sprijinul pentru crearea de locuri de muncă. </w:t>
      </w:r>
    </w:p>
    <w:p w:rsidR="00D12436" w:rsidRDefault="007A0E1F">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lastRenderedPageBreak/>
        <w:t>Această abordare este, de asemenea, în centrul agendei economice globale a Comisiei actuale, așa cum este ilustrat de analiza sa anuală a creșterii pentru 2016. Prin concentrarea asupra promovării reformelor structurale, a politicilor fiscale și de investi</w:t>
      </w:r>
      <w:r>
        <w:rPr>
          <w:rFonts w:ascii="Times New Roman" w:hAnsi="Times New Roman"/>
          <w:noProof/>
          <w:sz w:val="24"/>
        </w:rPr>
        <w:t>ț</w:t>
      </w:r>
      <w:r>
        <w:rPr>
          <w:rFonts w:ascii="Times New Roman" w:hAnsi="Times New Roman"/>
          <w:noProof/>
          <w:sz w:val="24"/>
        </w:rPr>
        <w:t xml:space="preserve">ii responsabile, Comisia a pus un accent clar pe considerațiile sociale și pe echitatea socială. </w:t>
      </w:r>
    </w:p>
    <w:p w:rsidR="00D12436" w:rsidRDefault="007A0E1F">
      <w:pPr>
        <w:keepLines/>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În conformitate cu principiul subsidiarității, statele membre sunt în primul rând competente pentru definirea politicilor sociale și a ocupării forței de mun</w:t>
      </w:r>
      <w:r>
        <w:rPr>
          <w:rFonts w:ascii="Times New Roman" w:hAnsi="Times New Roman"/>
          <w:noProof/>
          <w:sz w:val="24"/>
        </w:rPr>
        <w:t>că. Aceste politici includ dreptul muncii și organizarea sistemelor de protecție socială. O astfel de competență este recunoscută în tratatele UE care, de la fondarea Comunității Economice Europene, prevăd și un rol prin care UE să completeze acțiunile sta</w:t>
      </w:r>
      <w:r>
        <w:rPr>
          <w:rFonts w:ascii="Times New Roman" w:hAnsi="Times New Roman"/>
          <w:noProof/>
          <w:sz w:val="24"/>
        </w:rPr>
        <w:t>telor membre. Articolul 3 din Tratatul privind Uniunea Europeană reflectă acest obiectiv de ansamblu care prevede că Uniunea „</w:t>
      </w:r>
      <w:r>
        <w:rPr>
          <w:rFonts w:ascii="Times New Roman" w:hAnsi="Times New Roman"/>
          <w:i/>
          <w:noProof/>
          <w:sz w:val="24"/>
        </w:rPr>
        <w:t>acționează pentru dezvoltarea durabilă a Europei, întemeiată pe o creștere economică echilibrată și pe stabilitatea prețurilor, pe</w:t>
      </w:r>
      <w:r>
        <w:rPr>
          <w:rFonts w:ascii="Times New Roman" w:hAnsi="Times New Roman"/>
          <w:i/>
          <w:noProof/>
          <w:sz w:val="24"/>
        </w:rPr>
        <w:t xml:space="preserve"> o economie socială de piață cu grad ridicat de competitivitate, care tinde spre ocuparea deplină a forței de muncă și spre progres social, precum și pe un nivel înalt de protecție și de îmbunătățire a calității mediului</w:t>
      </w:r>
      <w:r>
        <w:rPr>
          <w:rFonts w:ascii="Times New Roman" w:hAnsi="Times New Roman"/>
          <w:noProof/>
          <w:sz w:val="24"/>
        </w:rPr>
        <w:t>”.</w:t>
      </w:r>
    </w:p>
    <w:p w:rsidR="00D12436" w:rsidRDefault="007A0E1F">
      <w:pPr>
        <w:pStyle w:val="PlainText"/>
        <w:spacing w:after="360"/>
        <w:jc w:val="both"/>
        <w:rPr>
          <w:rFonts w:ascii="Times New Roman" w:hAnsi="Times New Roman" w:cs="Times New Roman"/>
          <w:noProof/>
          <w:sz w:val="24"/>
          <w:szCs w:val="24"/>
        </w:rPr>
      </w:pPr>
      <w:r>
        <w:rPr>
          <w:rFonts w:ascii="Times New Roman" w:hAnsi="Times New Roman"/>
          <w:noProof/>
          <w:sz w:val="24"/>
        </w:rPr>
        <w:t xml:space="preserve">Din acest motiv, crearea și aprofundarea pieței unice europene a evoluat în strânsă corelație cu dezvoltarea unui </w:t>
      </w:r>
      <w:r>
        <w:rPr>
          <w:rFonts w:ascii="Times New Roman" w:hAnsi="Times New Roman"/>
          <w:i/>
          <w:noProof/>
          <w:sz w:val="24"/>
        </w:rPr>
        <w:t>acquis</w:t>
      </w:r>
      <w:r>
        <w:rPr>
          <w:rFonts w:ascii="Times New Roman" w:hAnsi="Times New Roman"/>
          <w:noProof/>
          <w:sz w:val="24"/>
        </w:rPr>
        <w:t xml:space="preserve"> juridic în domeniul social la nivelul UE, pentru a asigura condiții de concurență echitabile, a limita riscul de dumping social sau „un</w:t>
      </w:r>
      <w:r>
        <w:rPr>
          <w:rFonts w:ascii="Times New Roman" w:hAnsi="Times New Roman"/>
          <w:noProof/>
          <w:sz w:val="24"/>
        </w:rPr>
        <w:t>iformizarea la un nivel inferior” și a facilita integrarea economică și socială. Acesta este, de asemenea, motivul pentru care, începând din anii 1990, ocuparea forței de muncă și considerentele sociale au fost o caracteristică esențială a procesului de co</w:t>
      </w:r>
      <w:r>
        <w:rPr>
          <w:rFonts w:ascii="Times New Roman" w:hAnsi="Times New Roman"/>
          <w:noProof/>
          <w:sz w:val="24"/>
        </w:rPr>
        <w:t>ordonare a politicii economice la nivelul UE, în prezent cunoscut drept semestrul european. Ideea care stă la baza pilonului european al drepturilor sociale respectă această logică și răspunde unei duble necesități: depășirea crizei și perspectiva ulterioa</w:t>
      </w:r>
      <w:r>
        <w:rPr>
          <w:rFonts w:ascii="Times New Roman" w:hAnsi="Times New Roman"/>
          <w:noProof/>
          <w:sz w:val="24"/>
        </w:rPr>
        <w:t xml:space="preserve">ră acesteia, precum și evoluția către o UEM mai aprofundată și mai echitabilă. </w:t>
      </w:r>
    </w:p>
    <w:p w:rsidR="00D12436" w:rsidRDefault="007A0E1F">
      <w:pPr>
        <w:pStyle w:val="PlainText"/>
        <w:keepNext/>
        <w:spacing w:before="120" w:after="240"/>
        <w:jc w:val="both"/>
        <w:rPr>
          <w:rFonts w:ascii="Times New Roman" w:hAnsi="Times New Roman" w:cs="Times New Roman"/>
          <w:b/>
          <w:noProof/>
          <w:sz w:val="24"/>
          <w:szCs w:val="24"/>
        </w:rPr>
      </w:pPr>
      <w:r>
        <w:rPr>
          <w:rFonts w:ascii="Times New Roman" w:hAnsi="Times New Roman"/>
          <w:b/>
          <w:noProof/>
          <w:sz w:val="24"/>
        </w:rPr>
        <w:t xml:space="preserve">2.2. Depășirea crizei și perspectiva ulterioară acesteia </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 xml:space="preserve">Europa este pe cale de a ieși din cea mai gravă criză cu care s-a confruntat în ultimele decenii: fiecare stat membru </w:t>
      </w:r>
      <w:r>
        <w:rPr>
          <w:rFonts w:ascii="Times New Roman" w:hAnsi="Times New Roman"/>
          <w:noProof/>
          <w:sz w:val="24"/>
        </w:rPr>
        <w:t>ș</w:t>
      </w:r>
      <w:r>
        <w:rPr>
          <w:rFonts w:ascii="Times New Roman" w:hAnsi="Times New Roman"/>
          <w:noProof/>
          <w:sz w:val="24"/>
        </w:rPr>
        <w:t>i UE în ansamblu se confruntă cu consecințe politice, economice și sociale, încercând, în același timp, să anticipeze evoluțiile viitoare. Criza a avut efecte grave și vizibile asupra societății și a economiei Europei. Sistemele de protecție socială au at</w:t>
      </w:r>
      <w:r>
        <w:rPr>
          <w:rFonts w:ascii="Times New Roman" w:hAnsi="Times New Roman"/>
          <w:noProof/>
          <w:sz w:val="24"/>
        </w:rPr>
        <w:t xml:space="preserve">enuat o parte din impact, dar șomajul a crescut, o parte importantă din populație este expusă riscului de sărăcie, finanțele publice au fost suprasolicitate și performanțele naționale au înregistrat divergențe semnificative. Șomajul, în special, a avut un </w:t>
      </w:r>
      <w:r>
        <w:rPr>
          <w:rFonts w:ascii="Times New Roman" w:hAnsi="Times New Roman"/>
          <w:noProof/>
          <w:sz w:val="24"/>
        </w:rPr>
        <w:t>efect foarte grav asupra cetățenilor și a societății timp de mai mulți ani: aproape 22 de milioane de persoane sunt încă în situație de șomaj și în căutarea unui loc de muncă (aproape 17 milioane în zona euro), din care 10 milioane se află în această situa</w:t>
      </w:r>
      <w:r>
        <w:rPr>
          <w:rFonts w:ascii="Times New Roman" w:hAnsi="Times New Roman"/>
          <w:noProof/>
          <w:sz w:val="24"/>
        </w:rPr>
        <w:t>ț</w:t>
      </w:r>
      <w:r>
        <w:rPr>
          <w:rFonts w:ascii="Times New Roman" w:hAnsi="Times New Roman"/>
          <w:noProof/>
          <w:sz w:val="24"/>
        </w:rPr>
        <w:t xml:space="preserve">ie de mai mult de un an. </w:t>
      </w:r>
    </w:p>
    <w:p w:rsidR="00D12436" w:rsidRDefault="007A0E1F">
      <w:pPr>
        <w:pStyle w:val="PlainText"/>
        <w:spacing w:after="240"/>
        <w:jc w:val="both"/>
        <w:rPr>
          <w:rFonts w:ascii="Times New Roman" w:hAnsi="Times New Roman"/>
          <w:noProof/>
          <w:sz w:val="24"/>
        </w:rPr>
      </w:pPr>
      <w:r>
        <w:rPr>
          <w:rFonts w:ascii="Times New Roman" w:hAnsi="Times New Roman"/>
          <w:noProof/>
          <w:sz w:val="24"/>
        </w:rPr>
        <w:t>De asemenea, criza a ascuns parțial unele tendințe fundamentale de lungă durată și le-a accentuat pe altele. Printre acestea se numără, de exemplu, modificări ale structurilor societale, familiale și ale modelelor de organizare a</w:t>
      </w:r>
      <w:r>
        <w:rPr>
          <w:rFonts w:ascii="Times New Roman" w:hAnsi="Times New Roman"/>
          <w:noProof/>
          <w:sz w:val="24"/>
        </w:rPr>
        <w:t xml:space="preserve"> muncii; activități profesionale mai îndelungate și mai diversificate; o forță de muncă mai diversificată și răspândirea noilor forme de muncă; paradoxul dintre creșterea nivelurilor de educație și un nivel răspândit de necorelare a competențelor; creștere</w:t>
      </w:r>
      <w:r>
        <w:rPr>
          <w:rFonts w:ascii="Times New Roman" w:hAnsi="Times New Roman"/>
          <w:noProof/>
          <w:sz w:val="24"/>
        </w:rPr>
        <w:t xml:space="preserve">a inegalităților; noi nevoi și oportunități care decurg din progresele înregistrate în ceea ce privește speranța de viață și îmbătrânirea populației; schimbări tehnologice și digitalizarea societății și a economiei. </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Domeniul de aplicare și natura provocăr</w:t>
      </w:r>
      <w:r>
        <w:rPr>
          <w:rFonts w:ascii="Times New Roman" w:hAnsi="Times New Roman"/>
          <w:noProof/>
          <w:sz w:val="24"/>
        </w:rPr>
        <w:t xml:space="preserve">ilor cu care se confruntă sectorul ocupațional și societatea în general s-au schimbat radical față de secolul XX și există multe tendințe noi sau </w:t>
      </w:r>
      <w:r>
        <w:rPr>
          <w:rFonts w:ascii="Times New Roman" w:hAnsi="Times New Roman"/>
          <w:noProof/>
          <w:sz w:val="24"/>
        </w:rPr>
        <w:lastRenderedPageBreak/>
        <w:t>viitoare la care Europa va trebui să se adapteze. Obiectivele politicii sociale și capacitatea acesteia de a p</w:t>
      </w:r>
      <w:r>
        <w:rPr>
          <w:rFonts w:ascii="Times New Roman" w:hAnsi="Times New Roman"/>
          <w:noProof/>
          <w:sz w:val="24"/>
        </w:rPr>
        <w:t>roduce rezultate sunt puse la încercare în mod semnificativ, iar capacitatea Europei de a asigura funcționarea corectă și echitabilă a piețelor muncii și a sistemelor de protecție socială este esențială pentru capacitatea sa de a stimula productivitatea, d</w:t>
      </w:r>
      <w:r>
        <w:rPr>
          <w:rFonts w:ascii="Times New Roman" w:hAnsi="Times New Roman"/>
          <w:noProof/>
          <w:sz w:val="24"/>
        </w:rPr>
        <w:t xml:space="preserve">e a fi competitivă la nivel mondial, de a consolida coeziunea socială și a crește nivelul de trai al cetățenilor săi. </w:t>
      </w:r>
    </w:p>
    <w:p w:rsidR="00D12436" w:rsidRDefault="007A0E1F">
      <w:pPr>
        <w:pStyle w:val="PlainText"/>
        <w:spacing w:after="240"/>
        <w:jc w:val="both"/>
        <w:rPr>
          <w:rFonts w:ascii="Times New Roman" w:hAnsi="Times New Roman" w:cs="Times New Roman"/>
          <w:noProof/>
          <w:color w:val="000000"/>
          <w:sz w:val="24"/>
          <w:szCs w:val="24"/>
        </w:rPr>
      </w:pPr>
      <w:r>
        <w:rPr>
          <w:rFonts w:ascii="Times New Roman" w:hAnsi="Times New Roman"/>
          <w:noProof/>
          <w:sz w:val="24"/>
        </w:rPr>
        <w:t>O astfel de dezbatere câștigă teren pe plan internațional, precum și la nivelul fiecărui stat membru</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În pofida incertitudinilor privind</w:t>
      </w:r>
      <w:r>
        <w:rPr>
          <w:rFonts w:ascii="Times New Roman" w:hAnsi="Times New Roman"/>
          <w:noProof/>
          <w:sz w:val="24"/>
        </w:rPr>
        <w:t xml:space="preserve"> viitorul, există tot mai multe dovezi și un consens general cu privire la necesitatea de a consolida legătura dintre dezvoltările economică, socială și de mediu, cu privire la faptul că inegalitățile frânează dezvoltarea economică, precum și cu privire la</w:t>
      </w:r>
      <w:r>
        <w:rPr>
          <w:rFonts w:ascii="Times New Roman" w:hAnsi="Times New Roman"/>
          <w:noProof/>
          <w:sz w:val="24"/>
        </w:rPr>
        <w:t xml:space="preserve"> necesitatea de a crea un model de creștere mai favorabil incluziunii, astfel cum se prevede în obiectivele de dezvoltare durabilă adoptate de Organizația Națiunilor Unite în septembrie 2015, precum și în repetatele concluzii ale </w:t>
      </w:r>
      <w:r>
        <w:rPr>
          <w:rFonts w:ascii="Times New Roman" w:hAnsi="Times New Roman"/>
          <w:noProof/>
          <w:color w:val="000000"/>
          <w:sz w:val="24"/>
        </w:rPr>
        <w:t xml:space="preserve">G20. </w:t>
      </w:r>
      <w:r>
        <w:rPr>
          <w:rFonts w:ascii="Times New Roman" w:hAnsi="Times New Roman"/>
          <w:noProof/>
          <w:sz w:val="24"/>
        </w:rPr>
        <w:t>Această agendă global</w:t>
      </w:r>
      <w:r>
        <w:rPr>
          <w:rFonts w:ascii="Times New Roman" w:hAnsi="Times New Roman"/>
          <w:noProof/>
          <w:sz w:val="24"/>
        </w:rPr>
        <w:t>ă se bazează în mare măsură pe numeroasele analize efectuate de organizații internaționale, cum ar fi Organizația pentru Cooperare și Dezvoltare Economică, Banca Mondială, Organizația Internațională a Muncii și Fondul Monetar Internațional.</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Aceste publicaț</w:t>
      </w:r>
      <w:r>
        <w:rPr>
          <w:rFonts w:ascii="Times New Roman" w:hAnsi="Times New Roman"/>
          <w:noProof/>
          <w:sz w:val="24"/>
        </w:rPr>
        <w:t>ii arată că un important mecanism de transmisie între creșterea pe termen lung, egalitate și progresul social este reprezentat de investițiile în capitalul uman. Ele confirmă, de asemenea, că inegalitatea între venituri poate avea un impact negativ pe term</w:t>
      </w:r>
      <w:r>
        <w:rPr>
          <w:rFonts w:ascii="Times New Roman" w:hAnsi="Times New Roman"/>
          <w:noProof/>
          <w:sz w:val="24"/>
        </w:rPr>
        <w:t>en lung asupra potențialului de creștere economică prin consolidarea și accentuarea inegalităților de șanse existente, prin limitarea dezvoltării competențelor și prin restrângerea mobilității sociale și profesionale. În economiile avansate, care își întem</w:t>
      </w:r>
      <w:r>
        <w:rPr>
          <w:rFonts w:ascii="Times New Roman" w:hAnsi="Times New Roman"/>
          <w:noProof/>
          <w:sz w:val="24"/>
        </w:rPr>
        <w:t xml:space="preserve">eiază prosperitatea pe creșterea productivității și pe capacitatea lor de a inova, performanțele economice și sociale sunt cele două fețe ale aceleiași monede. </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Politicile sociale moderne ar trebui să se bazeze pe investiții în capitalul uman, având la baz</w:t>
      </w:r>
      <w:r>
        <w:rPr>
          <w:rFonts w:ascii="Times New Roman" w:hAnsi="Times New Roman"/>
          <w:noProof/>
          <w:sz w:val="24"/>
        </w:rPr>
        <w:t>ă egalitatea de șanse, prevenirea și protecția împotriva riscurilor sociale, existența unor dispozitive de siguranță eficace și a unor stimulente pentru a avea acces la piața forței de muncă, astfel încât cetățenii să poată duce o viață decentă, să își sch</w:t>
      </w:r>
      <w:r>
        <w:rPr>
          <w:rFonts w:ascii="Times New Roman" w:hAnsi="Times New Roman"/>
          <w:noProof/>
          <w:sz w:val="24"/>
        </w:rPr>
        <w:t xml:space="preserve">imbe statutul personal și profesional de-a lungul vieții și să își valorifice în mod optim talentul. </w:t>
      </w:r>
    </w:p>
    <w:p w:rsidR="00D12436" w:rsidRDefault="007A0E1F">
      <w:pPr>
        <w:pStyle w:val="PlainText"/>
        <w:keepNext/>
        <w:keepLines/>
        <w:spacing w:after="240"/>
        <w:jc w:val="both"/>
        <w:rPr>
          <w:rFonts w:ascii="Times New Roman" w:hAnsi="Times New Roman" w:cs="Times New Roman"/>
          <w:b/>
          <w:noProof/>
          <w:sz w:val="24"/>
          <w:szCs w:val="24"/>
        </w:rPr>
      </w:pPr>
      <w:r>
        <w:rPr>
          <w:rFonts w:ascii="Times New Roman" w:hAnsi="Times New Roman"/>
          <w:b/>
          <w:noProof/>
          <w:sz w:val="24"/>
        </w:rPr>
        <w:t>2.3. Către o uniune economică și monetară mai aprofundată și mai echitabilă</w:t>
      </w:r>
    </w:p>
    <w:p w:rsidR="00D12436" w:rsidRDefault="007A0E1F">
      <w:pPr>
        <w:pStyle w:val="PlainText"/>
        <w:keepNext/>
        <w:keepLines/>
        <w:spacing w:after="240"/>
        <w:jc w:val="both"/>
        <w:rPr>
          <w:rFonts w:ascii="Times New Roman" w:hAnsi="Times New Roman" w:cs="Times New Roman"/>
          <w:noProof/>
          <w:sz w:val="24"/>
          <w:szCs w:val="24"/>
        </w:rPr>
      </w:pPr>
      <w:r>
        <w:rPr>
          <w:rFonts w:ascii="Times New Roman" w:hAnsi="Times New Roman"/>
          <w:noProof/>
          <w:sz w:val="24"/>
        </w:rPr>
        <w:t>Zona euro trage învățăminte din criza din ultimii ani și s-a angajat într-un p</w:t>
      </w:r>
      <w:r>
        <w:rPr>
          <w:rFonts w:ascii="Times New Roman" w:hAnsi="Times New Roman"/>
          <w:noProof/>
          <w:sz w:val="24"/>
        </w:rPr>
        <w:t>roces de integrare și consolidare aprofundate. Acesta trebuie să includă, în mod necesar, o dimensiune socială. Raportul celor cinci președinți pe tema finalizării UEM a Europei</w:t>
      </w:r>
      <w:r>
        <w:rPr>
          <w:rStyle w:val="FootnoteReference"/>
          <w:rFonts w:ascii="Times New Roman" w:hAnsi="Times New Roman"/>
          <w:noProof/>
          <w:sz w:val="24"/>
        </w:rPr>
        <w:footnoteReference w:id="5"/>
      </w:r>
      <w:r>
        <w:rPr>
          <w:rFonts w:ascii="Times New Roman" w:hAnsi="Times New Roman"/>
          <w:noProof/>
          <w:sz w:val="24"/>
        </w:rPr>
        <w:t xml:space="preserve"> subliniază că „</w:t>
      </w:r>
      <w:r>
        <w:rPr>
          <w:rFonts w:ascii="Times New Roman" w:hAnsi="Times New Roman"/>
          <w:i/>
          <w:noProof/>
          <w:sz w:val="24"/>
        </w:rPr>
        <w:t>ambiția Europei ar trebui să obțină un „rating social AAA</w:t>
      </w:r>
      <w:r>
        <w:rPr>
          <w:rFonts w:ascii="Times New Roman" w:hAnsi="Times New Roman"/>
          <w:noProof/>
          <w:sz w:val="24"/>
        </w:rPr>
        <w:t xml:space="preserve">” și </w:t>
      </w:r>
      <w:r>
        <w:rPr>
          <w:rFonts w:ascii="Times New Roman" w:hAnsi="Times New Roman"/>
          <w:noProof/>
          <w:sz w:val="24"/>
        </w:rPr>
        <w:t>că „</w:t>
      </w:r>
      <w:r>
        <w:rPr>
          <w:rFonts w:ascii="Times New Roman" w:hAnsi="Times New Roman"/>
          <w:i/>
          <w:noProof/>
          <w:sz w:val="24"/>
        </w:rPr>
        <w:t>pentru ca UEM să aibă succes, piața forței de muncă și sistemele de protecție socială trebuie să funcționeze corect și echitabil în toate statele membre din zona euro</w:t>
      </w:r>
      <w:r>
        <w:rPr>
          <w:rFonts w:ascii="Times New Roman" w:hAnsi="Times New Roman"/>
          <w:noProof/>
          <w:sz w:val="24"/>
        </w:rPr>
        <w:t>”. Reamintind că nu există un „model universal”, raportul subliniază faptul că provocă</w:t>
      </w:r>
      <w:r>
        <w:rPr>
          <w:rFonts w:ascii="Times New Roman" w:hAnsi="Times New Roman"/>
          <w:noProof/>
          <w:sz w:val="24"/>
        </w:rPr>
        <w:t>rile sunt adesea similare de la un stat membru la altul. Acesta solicită, de asemenea, punerea unui accent mai puternic pe ocuparea forței de muncă și pe obținerea unor performanțe sociale ca parte a unui proces mai amplu de convergență ascendentă spre rea</w:t>
      </w:r>
      <w:r>
        <w:rPr>
          <w:rFonts w:ascii="Times New Roman" w:hAnsi="Times New Roman"/>
          <w:noProof/>
          <w:sz w:val="24"/>
        </w:rPr>
        <w:t>lizarea unor structuri economice mai flexibile în cadrul zonei euro.</w:t>
      </w:r>
    </w:p>
    <w:p w:rsidR="00D12436" w:rsidRDefault="007A0E1F">
      <w:pPr>
        <w:pStyle w:val="PlainText"/>
        <w:keepLines/>
        <w:spacing w:after="240"/>
        <w:jc w:val="both"/>
        <w:rPr>
          <w:rFonts w:ascii="Times New Roman" w:hAnsi="Times New Roman" w:cs="Times New Roman"/>
          <w:noProof/>
          <w:sz w:val="24"/>
          <w:szCs w:val="24"/>
        </w:rPr>
      </w:pPr>
      <w:r>
        <w:rPr>
          <w:rFonts w:ascii="Times New Roman" w:hAnsi="Times New Roman"/>
          <w:noProof/>
          <w:sz w:val="24"/>
        </w:rPr>
        <w:t>Acesta nu este doar un imperativ politic sau social, ci, de asemenea, o necesitate economică: experiența din ultimii zece ani și jumătate a demonstrat că dezechilibrele persistente în unu</w:t>
      </w:r>
      <w:r>
        <w:rPr>
          <w:rFonts w:ascii="Times New Roman" w:hAnsi="Times New Roman"/>
          <w:noProof/>
          <w:sz w:val="24"/>
        </w:rPr>
        <w:t>l sau mai multe state membre pot pune în pericol stabilitatea zonei euro în ansamblu și că incapacitatea de a corecta aceste dezechilibre poate duce la divergențe și mai costisitoare. În urma crizei din 2007-2008, zona euro a devenit mai eterogenă, unele ț</w:t>
      </w:r>
      <w:r>
        <w:rPr>
          <w:rFonts w:ascii="Times New Roman" w:hAnsi="Times New Roman"/>
          <w:noProof/>
          <w:sz w:val="24"/>
        </w:rPr>
        <w:t>ări fiind afectate în mod deosebit, iar acest caracter eterogen poate fi redus doar în timp. Privind în perspectivă, este clar că viitorul succes al zonei euro depinde, în mare măsură, de eficacitatea piețelor naționale ale muncii și a sistemelor de protec</w:t>
      </w:r>
      <w:r>
        <w:rPr>
          <w:rFonts w:ascii="Times New Roman" w:hAnsi="Times New Roman"/>
          <w:noProof/>
          <w:sz w:val="24"/>
        </w:rPr>
        <w:t>ț</w:t>
      </w:r>
      <w:r>
        <w:rPr>
          <w:rFonts w:ascii="Times New Roman" w:hAnsi="Times New Roman"/>
          <w:noProof/>
          <w:sz w:val="24"/>
        </w:rPr>
        <w:t>ie socială precum și a capacității economiei de a absorbi șocurile și a se adapta la acestea.</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Piețele forței de muncă performante și favorabile incluziunii trebuie să combine în mod eficient elemente de flexibilitate și securitate, ceea ce poate permite a</w:t>
      </w:r>
      <w:r>
        <w:rPr>
          <w:rFonts w:ascii="Times New Roman" w:hAnsi="Times New Roman"/>
          <w:noProof/>
          <w:sz w:val="24"/>
        </w:rPr>
        <w:t>tingerea unor niveluri ridicate de ocupare a forței de muncă și de capacitate de ajustare. Noțiunea conexă de „flexicuritate” nu este nouă, însă în urma crizei, și ținând seama de un sector ocupațional în schimbare, este momentul să se redefinească modul î</w:t>
      </w:r>
      <w:r>
        <w:rPr>
          <w:rFonts w:ascii="Times New Roman" w:hAnsi="Times New Roman"/>
          <w:noProof/>
          <w:sz w:val="24"/>
        </w:rPr>
        <w:t xml:space="preserve">n care aceasta poate fi pusă în aplicare în mod optim. Întreprinderile sunt interesate de un mediu de afaceri previzibil și sigur din punct de vedere juridic, de capacitatea de a atrage lucrători calificați și productivi, dar și de a se adapta la evoluția </w:t>
      </w:r>
      <w:r>
        <w:rPr>
          <w:rFonts w:ascii="Times New Roman" w:hAnsi="Times New Roman"/>
          <w:noProof/>
          <w:sz w:val="24"/>
        </w:rPr>
        <w:t>rapidă a realităților pieței. Lucrătorii sunt interesați de securitatea locurilor de muncă și a veniturilor, de posibilitatea de a concilia viața profesională și viața privată, dar și de oportunitățile de a răspunde la noi provocări și a se adapta pe parcu</w:t>
      </w:r>
      <w:r>
        <w:rPr>
          <w:rFonts w:ascii="Times New Roman" w:hAnsi="Times New Roman"/>
          <w:noProof/>
          <w:sz w:val="24"/>
        </w:rPr>
        <w:t>rsul întregii lor cariere, de a acumula în continuu competențe, de-a lungul vieții. Șomerii și persoanele inactive caută adesea modalități de a pătrunde pe piața muncii, care să nu-i prindă în capcana unor locuri de muncă de slabă calitate, cu salarii scăz</w:t>
      </w:r>
      <w:r>
        <w:rPr>
          <w:rFonts w:ascii="Times New Roman" w:hAnsi="Times New Roman"/>
          <w:noProof/>
          <w:sz w:val="24"/>
        </w:rPr>
        <w:t>ute, sau să-i lipsească de drepturi sociale esențiale. Economia și societatea, în special în zona euro, sunt interesate de dezvoltarea și utilizarea mai bună a competențelor, de o mai mare flexibilitate și capacitate de rezistență, de coeziune socială și d</w:t>
      </w:r>
      <w:r>
        <w:rPr>
          <w:rFonts w:ascii="Times New Roman" w:hAnsi="Times New Roman"/>
          <w:noProof/>
          <w:sz w:val="24"/>
        </w:rPr>
        <w:t xml:space="preserve">e o distribuire corectă și eficace a drepturilor, taxelor și veniturilor, inclusiv pentru generațiile următoare. </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În același timp, șomajul ridicat și îmbătrânirea populației, laolaltă cu presiunile asupra finanțelor publice și necesitatea de a reduce la mi</w:t>
      </w:r>
      <w:r>
        <w:rPr>
          <w:rFonts w:ascii="Times New Roman" w:hAnsi="Times New Roman"/>
          <w:noProof/>
          <w:sz w:val="24"/>
        </w:rPr>
        <w:t>nimum efectele de contagiune între țări, care decurg din dezechilibre macroeconomice, au pus în evidență problema performanței sistemelor naționale de protecție socială, din mai multe puncte de vedere: în primul rând, în ceea ce privește caracterul lor ade</w:t>
      </w:r>
      <w:r>
        <w:rPr>
          <w:rFonts w:ascii="Times New Roman" w:hAnsi="Times New Roman"/>
          <w:noProof/>
          <w:sz w:val="24"/>
        </w:rPr>
        <w:t>cvat și sustenabilitatea lor fiscală în funcție de evoluția nevoilor sociale, inclusiv necesitatea de a aborda sărăcia; în al doilea rând, în ceea ce privește impactul acestora asupra creării de locuri de muncă, atât din perspectiva unui angajator cât și a</w:t>
      </w:r>
      <w:r>
        <w:rPr>
          <w:rFonts w:ascii="Times New Roman" w:hAnsi="Times New Roman"/>
          <w:noProof/>
          <w:sz w:val="24"/>
        </w:rPr>
        <w:t xml:space="preserve"> unei persoane aflate în căutarea unui loc de muncă, inclusiv capacitatea acestora de a face munca atrăgătoare din punct de vedere financiar și de a consolida competențele și capacitatea cetățenilor de a participa pe deplin în societate și în al treilea râ</w:t>
      </w:r>
      <w:r>
        <w:rPr>
          <w:rFonts w:ascii="Times New Roman" w:hAnsi="Times New Roman"/>
          <w:noProof/>
          <w:sz w:val="24"/>
        </w:rPr>
        <w:t>nd, un aspect care este deosebit de important pentru zona euro, în ceea ce privește capacitatea lor de a absorbi șocurile macroeconomice și de a exercita o funcție automată de stabilizare. Ratele ridicate de ocupare a forței de muncă, o rată a șomajului re</w:t>
      </w:r>
      <w:r>
        <w:rPr>
          <w:rFonts w:ascii="Times New Roman" w:hAnsi="Times New Roman"/>
          <w:noProof/>
          <w:sz w:val="24"/>
        </w:rPr>
        <w:t>dusă și sisteme de protecție socială bine concepute sunt esențiale pentru sănătatea finanțelor publice, iar divergențele prea puternice de pe piața forței de muncă și dintre performanțele sociale creează o amenințare pentru funcționarea zonei euro. Ca part</w:t>
      </w:r>
      <w:r>
        <w:rPr>
          <w:rFonts w:ascii="Times New Roman" w:hAnsi="Times New Roman"/>
          <w:noProof/>
          <w:sz w:val="24"/>
        </w:rPr>
        <w:t>e a măsurilor luate în vederea îmbunătățirii supravegherii bugetare la nivelul UE, procesul de reflecție privind calitatea finanțelor publice, din care o parte importantă este reprezentată de sistemele de protecție socială, a condus la acordarea unei atenț</w:t>
      </w:r>
      <w:r>
        <w:rPr>
          <w:rFonts w:ascii="Times New Roman" w:hAnsi="Times New Roman"/>
          <w:noProof/>
          <w:sz w:val="24"/>
        </w:rPr>
        <w:t>ii sporite aspectelor legate de echitatea și eficiența veniturilor și cheltuielilor publice.</w:t>
      </w:r>
    </w:p>
    <w:p w:rsidR="00D12436" w:rsidRDefault="007A0E1F">
      <w:pPr>
        <w:rPr>
          <w:rFonts w:ascii="Times New Roman" w:hAnsi="Times New Roman" w:cs="Times New Roman"/>
          <w:b/>
          <w:noProof/>
          <w:sz w:val="24"/>
          <w:szCs w:val="24"/>
        </w:rPr>
      </w:pPr>
      <w:r>
        <w:rPr>
          <w:noProof/>
        </w:rPr>
        <w:br w:type="page"/>
      </w:r>
    </w:p>
    <w:p w:rsidR="00D12436" w:rsidRDefault="007A0E1F">
      <w:pPr>
        <w:keepNext/>
        <w:spacing w:before="120" w:after="240" w:line="240" w:lineRule="auto"/>
        <w:jc w:val="both"/>
        <w:rPr>
          <w:rFonts w:ascii="Times New Roman" w:hAnsi="Times New Roman" w:cs="Times New Roman"/>
          <w:b/>
          <w:noProof/>
          <w:sz w:val="24"/>
          <w:szCs w:val="24"/>
        </w:rPr>
      </w:pPr>
      <w:r>
        <w:rPr>
          <w:rFonts w:ascii="Times New Roman" w:hAnsi="Times New Roman"/>
          <w:b/>
          <w:noProof/>
          <w:sz w:val="24"/>
        </w:rPr>
        <w:t xml:space="preserve">2.4. Valorificarea unei experiențe bogate </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Pilonul european al drepturilor sociale se poate baza pe o experiență și pe practici extrem de valoroase: în multe dom</w:t>
      </w:r>
      <w:r>
        <w:rPr>
          <w:rFonts w:ascii="Times New Roman" w:hAnsi="Times New Roman"/>
          <w:noProof/>
          <w:sz w:val="24"/>
        </w:rPr>
        <w:t xml:space="preserve">enii, cele mai bune rezultate la nivel mondial au fost obținute în Europa, iar soluțiile sunt bine cunoscute. Cu toate acestea, având în vedere amploarea provocărilor de astăzi, automulțumirea și condiția de </w:t>
      </w:r>
      <w:r>
        <w:rPr>
          <w:rFonts w:ascii="Times New Roman" w:hAnsi="Times New Roman"/>
          <w:i/>
          <w:noProof/>
          <w:sz w:val="24"/>
        </w:rPr>
        <w:t>status quo</w:t>
      </w:r>
      <w:r>
        <w:rPr>
          <w:rFonts w:ascii="Times New Roman" w:hAnsi="Times New Roman"/>
          <w:noProof/>
          <w:sz w:val="24"/>
        </w:rPr>
        <w:t xml:space="preserve"> nu reprezintă o opțiune. Sunt, de ase</w:t>
      </w:r>
      <w:r>
        <w:rPr>
          <w:rFonts w:ascii="Times New Roman" w:hAnsi="Times New Roman"/>
          <w:noProof/>
          <w:sz w:val="24"/>
        </w:rPr>
        <w:t>menea, multe de învățat din schimbarea rapidă a realităților la nivel mondial.</w:t>
      </w:r>
    </w:p>
    <w:p w:rsidR="00D12436" w:rsidRDefault="007A0E1F">
      <w:pPr>
        <w:pStyle w:val="PlainText"/>
        <w:keepLines/>
        <w:spacing w:after="240"/>
        <w:jc w:val="both"/>
        <w:rPr>
          <w:rFonts w:ascii="Times New Roman" w:hAnsi="Times New Roman" w:cs="Times New Roman"/>
          <w:noProof/>
          <w:sz w:val="24"/>
          <w:szCs w:val="24"/>
        </w:rPr>
      </w:pPr>
      <w:r>
        <w:rPr>
          <w:rFonts w:ascii="Times New Roman" w:hAnsi="Times New Roman"/>
          <w:noProof/>
          <w:sz w:val="24"/>
        </w:rPr>
        <w:t>Recunoscând că situațiile diferă foarte mult de la un stat membru la altul, pilonul se poate baza, de asemenea, pe valorile și principiile comune împărtășite la nivel național, european și internațional. Aceste valori și principii ocupă un loc de frunte în</w:t>
      </w:r>
      <w:r>
        <w:rPr>
          <w:rFonts w:ascii="Times New Roman" w:hAnsi="Times New Roman"/>
          <w:noProof/>
          <w:sz w:val="24"/>
        </w:rPr>
        <w:t xml:space="preserve"> documentele de referință, cum ar fi Tratatul privind Uniunea Europeană (TUE), Tratatul privind funcționarea Uniunii Europene (TFUE), Carta drepturilor fundamentale a Uniunii Europene și jurisprudența Curții de Justiție a Uniunii Europene, precum și în ins</w:t>
      </w:r>
      <w:r>
        <w:rPr>
          <w:rFonts w:ascii="Times New Roman" w:hAnsi="Times New Roman"/>
          <w:noProof/>
          <w:sz w:val="24"/>
        </w:rPr>
        <w:t xml:space="preserve">trumentele internaționale, cum sunt Carta socială adoptată de Consiliul Europei și recomandările Organizației Internaționale a Muncii. </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Astfel de cadre acoperă adesea o gamă largă de domenii, în care definesc principii generale și standarde minime, acestea urmând a fi completate la nivel național, regional sau local. Principala problemă în Europa nu este neapărat una de recunoaștere a drep</w:t>
      </w:r>
      <w:r>
        <w:rPr>
          <w:rFonts w:ascii="Times New Roman" w:hAnsi="Times New Roman"/>
          <w:noProof/>
          <w:sz w:val="24"/>
        </w:rPr>
        <w:t xml:space="preserve">turilor, ci mai degrabă de adoptare și punere în aplicare efectivă a acestora, ținând seama de evoluția rapidă a mediului social, juridic și economic. </w:t>
      </w:r>
    </w:p>
    <w:p w:rsidR="00D12436" w:rsidRDefault="007A0E1F">
      <w:pPr>
        <w:pStyle w:val="PlainText"/>
        <w:spacing w:after="120"/>
        <w:jc w:val="both"/>
        <w:rPr>
          <w:rFonts w:ascii="Times New Roman" w:hAnsi="Times New Roman" w:cs="Times New Roman"/>
          <w:noProof/>
          <w:sz w:val="24"/>
          <w:szCs w:val="24"/>
        </w:rPr>
      </w:pPr>
      <w:r>
        <w:rPr>
          <w:rFonts w:ascii="Times New Roman" w:hAnsi="Times New Roman"/>
          <w:noProof/>
          <w:sz w:val="24"/>
        </w:rPr>
        <w:t>De-a lungul anilor, Comisia a luat o serie de inițiative pentru a consolida eforturile asupra priorități</w:t>
      </w:r>
      <w:r>
        <w:rPr>
          <w:rFonts w:ascii="Times New Roman" w:hAnsi="Times New Roman"/>
          <w:noProof/>
          <w:sz w:val="24"/>
        </w:rPr>
        <w:t xml:space="preserve">lor stringente și pentru a actualiza </w:t>
      </w:r>
      <w:r>
        <w:rPr>
          <w:rFonts w:ascii="Times New Roman" w:hAnsi="Times New Roman"/>
          <w:i/>
          <w:noProof/>
          <w:sz w:val="24"/>
        </w:rPr>
        <w:t>acquis</w:t>
      </w:r>
      <w:r>
        <w:rPr>
          <w:rFonts w:ascii="Times New Roman" w:hAnsi="Times New Roman"/>
          <w:noProof/>
          <w:sz w:val="24"/>
        </w:rPr>
        <w:t>-ul UE. Aceste eforturi respectă logica unei mai bune legiferări: aceasta nu înseamnă mai puțină reglementare, ci o abordare a reglementării care să țină seama pe deplin de impactul economic, social și de mediu pe</w:t>
      </w:r>
      <w:r>
        <w:rPr>
          <w:rFonts w:ascii="Times New Roman" w:hAnsi="Times New Roman"/>
          <w:noProof/>
          <w:sz w:val="24"/>
        </w:rPr>
        <w:t xml:space="preserve"> teren, pentru a garanta că fiecare inițiativă își atinge scopul în modul cel mai bun. În cursul prezentului mandat, Comisia a lansat fondurile structurale și de investiții europene pentru perioada 2014-2020, dintre care aproximativ 20 % sunt mobilizate pr</w:t>
      </w:r>
      <w:r>
        <w:rPr>
          <w:rFonts w:ascii="Times New Roman" w:hAnsi="Times New Roman"/>
          <w:noProof/>
          <w:sz w:val="24"/>
        </w:rPr>
        <w:t xml:space="preserve">in intermediul Fondului social european. De asemenea, ea a acționat pe mai multe fronturi, dintre care menționăm doar câteva: </w:t>
      </w:r>
    </w:p>
    <w:p w:rsidR="00D12436" w:rsidRDefault="007A0E1F">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acordarea unei atenții mai mari aspectelor sociale în cadrul semestrului european de coordonare a politicilor economice, utilizar</w:t>
      </w:r>
      <w:r>
        <w:rPr>
          <w:rFonts w:ascii="Times New Roman" w:hAnsi="Times New Roman"/>
          <w:noProof/>
          <w:sz w:val="24"/>
        </w:rPr>
        <w:t>ea de indicatori sociali în cadrul așa-numitei proceduri privind dezechilibrele macroeconomice, promovarea „analizei comparative sociale” și o evaluare a impactului social al noului program de sprijin în vederea stabilității pentru Grecia;</w:t>
      </w:r>
    </w:p>
    <w:p w:rsidR="00D12436" w:rsidRDefault="007A0E1F">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integrarea obiec</w:t>
      </w:r>
      <w:r>
        <w:rPr>
          <w:rFonts w:ascii="Times New Roman" w:hAnsi="Times New Roman"/>
          <w:noProof/>
          <w:sz w:val="24"/>
        </w:rPr>
        <w:t>tivelor sociale în cadrul inițiativelor emblematice, cum ar fi Planul de investiții pentru Europa, uniunea energetică și piața unică digitală;</w:t>
      </w:r>
    </w:p>
    <w:p w:rsidR="00D12436" w:rsidRDefault="007A0E1F">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prezentarea unui angajament strategic pentru egalitatea de gen pentru perioada 2016-2019;</w:t>
      </w:r>
    </w:p>
    <w:p w:rsidR="00D12436" w:rsidRDefault="007A0E1F">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concentrarea sprijinulu</w:t>
      </w:r>
      <w:r>
        <w:rPr>
          <w:rFonts w:ascii="Times New Roman" w:hAnsi="Times New Roman"/>
          <w:noProof/>
          <w:sz w:val="24"/>
        </w:rPr>
        <w:t xml:space="preserve">i financiar pentru statele membre în vederea instituirii unei garanții pentru tineret, care prevede că toți tinerii sub 25 de ani ar trebui să primească o ofertă de calitate în termen de 4 luni de la terminarea studiilor sau de la intrarea în șomaj; </w:t>
      </w:r>
    </w:p>
    <w:p w:rsidR="00D12436" w:rsidRDefault="007A0E1F">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emite</w:t>
      </w:r>
      <w:r>
        <w:rPr>
          <w:rFonts w:ascii="Times New Roman" w:hAnsi="Times New Roman"/>
          <w:noProof/>
          <w:sz w:val="24"/>
        </w:rPr>
        <w:t xml:space="preserve">rea unor orientări pentru statele membre privind reintegrarea șomerilor de lungă durată pe piața forței de muncă; </w:t>
      </w:r>
    </w:p>
    <w:p w:rsidR="00D12436" w:rsidRDefault="007A0E1F">
      <w:pPr>
        <w:pStyle w:val="PlainText"/>
        <w:numPr>
          <w:ilvl w:val="0"/>
          <w:numId w:val="18"/>
        </w:numPr>
        <w:spacing w:after="120"/>
        <w:ind w:left="714" w:hanging="357"/>
        <w:jc w:val="both"/>
        <w:rPr>
          <w:rFonts w:ascii="Times New Roman" w:hAnsi="Times New Roman" w:cs="Times New Roman"/>
          <w:noProof/>
          <w:sz w:val="24"/>
          <w:szCs w:val="24"/>
        </w:rPr>
      </w:pPr>
      <w:r>
        <w:rPr>
          <w:rFonts w:ascii="Times New Roman" w:hAnsi="Times New Roman"/>
          <w:noProof/>
          <w:sz w:val="24"/>
        </w:rPr>
        <w:t>propunerea unui act european privind accesibilitatea, care să faciliteze accesul la bunuri și servicii esențiale pentru persoanele cu handica</w:t>
      </w:r>
      <w:r>
        <w:rPr>
          <w:rFonts w:ascii="Times New Roman" w:hAnsi="Times New Roman"/>
          <w:noProof/>
          <w:sz w:val="24"/>
        </w:rPr>
        <w:t xml:space="preserve">p în cadrul pieței unice. </w:t>
      </w:r>
    </w:p>
    <w:p w:rsidR="00D12436" w:rsidRDefault="007A0E1F">
      <w:pPr>
        <w:pStyle w:val="PlainText"/>
        <w:numPr>
          <w:ilvl w:val="0"/>
          <w:numId w:val="18"/>
        </w:numPr>
        <w:spacing w:after="240"/>
        <w:ind w:left="714" w:hanging="357"/>
        <w:jc w:val="both"/>
        <w:rPr>
          <w:rFonts w:ascii="Times New Roman" w:hAnsi="Times New Roman" w:cs="Times New Roman"/>
          <w:noProof/>
          <w:sz w:val="24"/>
          <w:szCs w:val="24"/>
        </w:rPr>
      </w:pPr>
      <w:r>
        <w:rPr>
          <w:rFonts w:ascii="Times New Roman" w:hAnsi="Times New Roman"/>
          <w:noProof/>
          <w:sz w:val="24"/>
        </w:rPr>
        <w:t>propunerea unei revizuiri a Directivei privind detașarea lucrătorilor pentru a promova principiul remunerării egale pentru muncă egală în același loc.</w:t>
      </w:r>
    </w:p>
    <w:p w:rsidR="00D12436" w:rsidRDefault="007A0E1F">
      <w:pPr>
        <w:pStyle w:val="PlainText"/>
        <w:pageBreakBefore/>
        <w:spacing w:after="240"/>
        <w:jc w:val="both"/>
        <w:rPr>
          <w:rFonts w:ascii="Times New Roman" w:hAnsi="Times New Roman" w:cs="Times New Roman"/>
          <w:noProof/>
          <w:sz w:val="24"/>
          <w:szCs w:val="24"/>
        </w:rPr>
      </w:pPr>
      <w:r>
        <w:rPr>
          <w:rFonts w:ascii="Times New Roman" w:hAnsi="Times New Roman"/>
          <w:noProof/>
          <w:sz w:val="24"/>
        </w:rPr>
        <w:t>Se lucrează, de asemenea, la câteva aspecte suplimentare în 2016 și se va cont</w:t>
      </w:r>
      <w:r>
        <w:rPr>
          <w:rFonts w:ascii="Times New Roman" w:hAnsi="Times New Roman"/>
          <w:noProof/>
          <w:sz w:val="24"/>
        </w:rPr>
        <w:t xml:space="preserve">inua în paralel cu consultarea privind pilonul: pentru un nou început care să promoveze echilibrul dintre viața profesională și cea personală pentru părinții care lucrează; pentru o agendă europeană pentru competențe; și pentru o evaluare aprofundată a 24 </w:t>
      </w:r>
      <w:r>
        <w:rPr>
          <w:rFonts w:ascii="Times New Roman" w:hAnsi="Times New Roman"/>
          <w:noProof/>
          <w:sz w:val="24"/>
        </w:rPr>
        <w:t>de directive privind sănătatea și securitatea la locul de muncă, care ar trebui să contribuie la evaluarea relevanței, eficacității și coerenței acestora pentru a menține un nivel ridicat de protecție a sănătății și siguranței lucrătorilor, având în vedere</w:t>
      </w:r>
      <w:r>
        <w:rPr>
          <w:rFonts w:ascii="Times New Roman" w:hAnsi="Times New Roman"/>
          <w:noProof/>
          <w:sz w:val="24"/>
        </w:rPr>
        <w:t xml:space="preserve"> noile riscuri, simplificând și modernizând în același timp legislația aplicabilă, inclusiv pentru a facilita implementarea acesteia de către IMM-uri. Aceste exemple ilustrează rolul de sprijin, de orientare și de definire pe care UE îl poate juca în domen</w:t>
      </w:r>
      <w:r>
        <w:rPr>
          <w:rFonts w:ascii="Times New Roman" w:hAnsi="Times New Roman"/>
          <w:noProof/>
          <w:sz w:val="24"/>
        </w:rPr>
        <w:t>iul social, precum și alte acțiuni care pot avea loc începând de la înființarea pilonului.</w:t>
      </w:r>
    </w:p>
    <w:p w:rsidR="00D12436" w:rsidRDefault="007A0E1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O prioritate-cheie pentru Comisie este, de asemenea, de a încuraja dialogul social la toate nivelurile. În urma unei conferințe la nivel înalt pe tema unui nou încep</w:t>
      </w:r>
      <w:r>
        <w:rPr>
          <w:rFonts w:ascii="Times New Roman" w:hAnsi="Times New Roman"/>
          <w:noProof/>
          <w:sz w:val="24"/>
        </w:rPr>
        <w:t>ut pentru dialogul social la nivel european, în martie 2015, partenerii sociali europeni la nivel interprofesional au convenit pregătirea unei analize comune aprofundate a ocupării forței de muncă și a unui program de lucru comun pentru perioada 2015-2017.</w:t>
      </w:r>
      <w:r>
        <w:rPr>
          <w:rFonts w:ascii="Times New Roman" w:hAnsi="Times New Roman"/>
          <w:noProof/>
          <w:sz w:val="24"/>
        </w:rPr>
        <w:t xml:space="preserve"> Au început negocierile pentru un acord-cadru autonom privind îmbătrânirea activă, sunt în curs de pregătire concluzii comune privind chestiunea echilibrului dintre viața profesională și cea privată, iar un grup de lucru analizează punerea în aplicare de c</w:t>
      </w:r>
      <w:r>
        <w:rPr>
          <w:rFonts w:ascii="Times New Roman" w:hAnsi="Times New Roman"/>
          <w:noProof/>
          <w:sz w:val="24"/>
        </w:rPr>
        <w:t>ătre membrii lor a propriilor acorduri-cadru autonome anterioare. Partenerii sociali sectoriali al UE, reprezentații a 43 de sectoare diferite și reprezentând 75 % din forța de muncă, au continuat, de asemenea, să ducă la bun sfârșit programele lor de lucr</w:t>
      </w:r>
      <w:r>
        <w:rPr>
          <w:rFonts w:ascii="Times New Roman" w:hAnsi="Times New Roman"/>
          <w:noProof/>
          <w:sz w:val="24"/>
        </w:rPr>
        <w:t xml:space="preserve">u comune respective. </w:t>
      </w:r>
    </w:p>
    <w:p w:rsidR="00D12436" w:rsidRDefault="007A0E1F">
      <w:pPr>
        <w:keepNext/>
        <w:spacing w:after="240" w:line="240" w:lineRule="auto"/>
        <w:jc w:val="both"/>
        <w:rPr>
          <w:rFonts w:ascii="Times New Roman" w:eastAsia="SimSun" w:hAnsi="Times New Roman" w:cs="Times New Roman"/>
          <w:b/>
          <w:iCs/>
          <w:noProof/>
          <w:kern w:val="3"/>
          <w:sz w:val="24"/>
          <w:szCs w:val="24"/>
        </w:rPr>
      </w:pPr>
      <w:r>
        <w:rPr>
          <w:rFonts w:ascii="Times New Roman" w:hAnsi="Times New Roman"/>
          <w:b/>
          <w:noProof/>
          <w:kern w:val="3"/>
          <w:sz w:val="24"/>
        </w:rPr>
        <w:t>3. Pilonul european al drepturilor sociale: rol, domeniu de aplicare și natură juridică</w:t>
      </w:r>
    </w:p>
    <w:p w:rsidR="00D12436" w:rsidRDefault="007A0E1F">
      <w:pPr>
        <w:spacing w:after="240" w:line="240" w:lineRule="auto"/>
        <w:jc w:val="both"/>
        <w:rPr>
          <w:rFonts w:ascii="Times New Roman" w:hAnsi="Times New Roman" w:cs="Times New Roman"/>
          <w:noProof/>
          <w:sz w:val="24"/>
          <w:szCs w:val="24"/>
        </w:rPr>
      </w:pPr>
      <w:r>
        <w:rPr>
          <w:rFonts w:ascii="Times New Roman" w:hAnsi="Times New Roman"/>
          <w:noProof/>
          <w:sz w:val="24"/>
        </w:rPr>
        <w:t>Scopul pilonului este de a exprima o serie de principii esențiale pentru sprijinirea funcționării corecte și echitabile a piețelor muncii și a sis</w:t>
      </w:r>
      <w:r>
        <w:rPr>
          <w:rFonts w:ascii="Times New Roman" w:hAnsi="Times New Roman"/>
          <w:noProof/>
          <w:sz w:val="24"/>
        </w:rPr>
        <w:t xml:space="preserve">temelor de protecție socială. Astfel cum a indicat președintele Juncker, pilonul va fi elaborat în cadrul zonei euro, permițând, în același timp, și altor state membre ale UE să se alăture dacă își doresc acest lucru. </w:t>
      </w:r>
    </w:p>
    <w:p w:rsidR="00D12436" w:rsidRDefault="007A0E1F">
      <w:pPr>
        <w:spacing w:after="240" w:line="240" w:lineRule="auto"/>
        <w:jc w:val="both"/>
        <w:rPr>
          <w:rFonts w:ascii="Times New Roman" w:hAnsi="Times New Roman" w:cs="Times New Roman"/>
          <w:noProof/>
          <w:color w:val="FF0000"/>
          <w:sz w:val="24"/>
          <w:szCs w:val="24"/>
        </w:rPr>
      </w:pPr>
      <w:r>
        <w:rPr>
          <w:rFonts w:ascii="Times New Roman" w:hAnsi="Times New Roman"/>
          <w:noProof/>
          <w:sz w:val="24"/>
        </w:rPr>
        <w:t>Astfel, pilonul va putea să se bazeze</w:t>
      </w:r>
      <w:r>
        <w:rPr>
          <w:rFonts w:ascii="Times New Roman" w:hAnsi="Times New Roman"/>
          <w:noProof/>
          <w:sz w:val="24"/>
        </w:rPr>
        <w:t xml:space="preserve"> pe </w:t>
      </w:r>
      <w:r>
        <w:rPr>
          <w:rFonts w:ascii="Times New Roman" w:hAnsi="Times New Roman"/>
          <w:i/>
          <w:noProof/>
          <w:sz w:val="24"/>
        </w:rPr>
        <w:t>acquis</w:t>
      </w:r>
      <w:r>
        <w:rPr>
          <w:rFonts w:ascii="Times New Roman" w:hAnsi="Times New Roman"/>
          <w:noProof/>
          <w:sz w:val="24"/>
        </w:rPr>
        <w:t xml:space="preserve">-ul social existent al UE și să-l completeze, iar principiile cuprinse în acesta vor pune un accent deosebit pe abordarea nevoilor și provocărilor cu care se confruntă zona euro. Odată instituit, pilonul ar trebui să devină un cadru de referință </w:t>
      </w:r>
      <w:r>
        <w:rPr>
          <w:rFonts w:ascii="Times New Roman" w:hAnsi="Times New Roman"/>
          <w:noProof/>
          <w:sz w:val="24"/>
        </w:rPr>
        <w:t>pentru verificarea performanțelor sociale și de ocupare a forței de muncă ale statelor membre participante, pentru stimularea reformelor la nivel național și, mai specific, pentru a servi ca punct de reper pentru convergența reînnoită din cadrul zonei euro</w:t>
      </w:r>
      <w:r>
        <w:rPr>
          <w:rFonts w:ascii="Times New Roman" w:hAnsi="Times New Roman"/>
          <w:noProof/>
          <w:sz w:val="24"/>
        </w:rPr>
        <w:t>.</w:t>
      </w:r>
    </w:p>
    <w:p w:rsidR="00D12436" w:rsidRDefault="007A0E1F">
      <w:pPr>
        <w:keepNext/>
        <w:spacing w:before="120" w:after="240" w:line="240" w:lineRule="auto"/>
        <w:jc w:val="both"/>
        <w:rPr>
          <w:rFonts w:ascii="Times New Roman" w:hAnsi="Times New Roman" w:cs="Times New Roman"/>
          <w:b/>
          <w:noProof/>
          <w:sz w:val="24"/>
          <w:szCs w:val="24"/>
        </w:rPr>
      </w:pPr>
      <w:r>
        <w:rPr>
          <w:rFonts w:ascii="Times New Roman" w:hAnsi="Times New Roman"/>
          <w:b/>
          <w:noProof/>
          <w:sz w:val="24"/>
        </w:rPr>
        <w:t xml:space="preserve">3.1. Sublinierea principiilor adecvate pentru realitățile actuale și viitoare </w:t>
      </w:r>
    </w:p>
    <w:p w:rsidR="00D12436" w:rsidRDefault="007A0E1F">
      <w:pPr>
        <w:spacing w:after="240" w:line="240" w:lineRule="auto"/>
        <w:jc w:val="both"/>
        <w:rPr>
          <w:rFonts w:ascii="Times New Roman" w:hAnsi="Times New Roman" w:cs="Times New Roman"/>
          <w:noProof/>
          <w:sz w:val="24"/>
          <w:szCs w:val="24"/>
        </w:rPr>
      </w:pPr>
      <w:r>
        <w:rPr>
          <w:rFonts w:ascii="Times New Roman" w:hAnsi="Times New Roman"/>
          <w:noProof/>
          <w:sz w:val="24"/>
        </w:rPr>
        <w:t>În anexa la prezenta comunicare, o primă prezentare preliminară a pilonului este propusă în vederea dezbaterii. Principiile au fost selectate atât pentru viabilitatea lor econ</w:t>
      </w:r>
      <w:r>
        <w:rPr>
          <w:rFonts w:ascii="Times New Roman" w:hAnsi="Times New Roman"/>
          <w:noProof/>
          <w:sz w:val="24"/>
        </w:rPr>
        <w:t xml:space="preserve">omică, cât și pentru importanța lor socială deosebită pentru statele membre participante. </w:t>
      </w:r>
    </w:p>
    <w:p w:rsidR="00D12436" w:rsidRDefault="007A0E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Propunerea este structurată în jurul a trei teme principale: </w:t>
      </w:r>
    </w:p>
    <w:p w:rsidR="00D12436" w:rsidRDefault="007A0E1F">
      <w:pPr>
        <w:pStyle w:val="ListParagraph"/>
        <w:numPr>
          <w:ilvl w:val="0"/>
          <w:numId w:val="7"/>
        </w:numPr>
        <w:spacing w:after="240" w:line="240" w:lineRule="auto"/>
        <w:contextualSpacing w:val="0"/>
        <w:jc w:val="both"/>
        <w:rPr>
          <w:rFonts w:ascii="Times New Roman" w:hAnsi="Times New Roman" w:cs="Times New Roman"/>
          <w:noProof/>
          <w:sz w:val="24"/>
          <w:szCs w:val="24"/>
        </w:rPr>
      </w:pPr>
      <w:r>
        <w:rPr>
          <w:rFonts w:ascii="Times New Roman" w:hAnsi="Times New Roman"/>
          <w:noProof/>
          <w:sz w:val="24"/>
        </w:rPr>
        <w:t>Egalitatea de șanse și accesul la piața muncii, inclusiv dezvoltarea competențelor și învățarea pe tot parcursul vieții și susținerea activă pentru ocuparea forței de muncă, pentru sporirea șanselor de angajare, facilitarea tranzițiilor între diferite stat</w:t>
      </w:r>
      <w:r>
        <w:rPr>
          <w:rFonts w:ascii="Times New Roman" w:hAnsi="Times New Roman"/>
          <w:noProof/>
          <w:sz w:val="24"/>
        </w:rPr>
        <w:t xml:space="preserve">ute și îmbunătățirea capacității de inserție profesională a persoanelor. </w:t>
      </w:r>
    </w:p>
    <w:p w:rsidR="00D12436" w:rsidRDefault="007A0E1F">
      <w:pPr>
        <w:pStyle w:val="ListParagraph"/>
        <w:numPr>
          <w:ilvl w:val="0"/>
          <w:numId w:val="7"/>
        </w:numPr>
        <w:spacing w:after="24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rPr>
        <w:t>Condiții de muncă echitabile, care să stabilească un echilibru adecvat și fiabil al drepturilor și obligațiilor între angajați și angajatori, precum și între flexibilitate și securit</w:t>
      </w:r>
      <w:r>
        <w:rPr>
          <w:rFonts w:ascii="Times New Roman" w:hAnsi="Times New Roman"/>
          <w:noProof/>
          <w:sz w:val="24"/>
        </w:rPr>
        <w:t xml:space="preserve">ate, pentru a facilita crearea de locuri de muncă, capacitatea de absorbție a locurilor de muncă și adaptabilitatea întreprinderilor și promovarea dialogului social. </w:t>
      </w:r>
    </w:p>
    <w:p w:rsidR="00D12436" w:rsidRDefault="007A0E1F">
      <w:pPr>
        <w:pStyle w:val="ListParagraph"/>
        <w:numPr>
          <w:ilvl w:val="0"/>
          <w:numId w:val="7"/>
        </w:numPr>
        <w:spacing w:after="24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rPr>
        <w:t>Protecție socială adecvată și durabilă, precum și acces la servicii esențiale de înaltă c</w:t>
      </w:r>
      <w:r>
        <w:rPr>
          <w:rFonts w:ascii="Times New Roman" w:hAnsi="Times New Roman"/>
          <w:noProof/>
          <w:sz w:val="24"/>
        </w:rPr>
        <w:t xml:space="preserve">alitate, inclusiv la asistență medicală și îngrijire pe termen lung, în vederea asigurării unei vieți demne și a protecției împotriva riscurilor și pentru a permite cetățenilor să participe pe deplin la piața muncii și, în sens mai larg, la viața socială. </w:t>
      </w:r>
    </w:p>
    <w:p w:rsidR="00D12436" w:rsidRDefault="007A0E1F">
      <w:pPr>
        <w:pStyle w:val="PlainText"/>
        <w:spacing w:after="240"/>
        <w:jc w:val="both"/>
        <w:rPr>
          <w:rFonts w:ascii="Times New Roman" w:hAnsi="Times New Roman" w:cs="Times New Roman"/>
          <w:noProof/>
          <w:sz w:val="24"/>
          <w:szCs w:val="24"/>
        </w:rPr>
      </w:pPr>
      <w:r>
        <w:rPr>
          <w:rFonts w:ascii="Times New Roman" w:hAnsi="Times New Roman"/>
          <w:noProof/>
          <w:sz w:val="24"/>
        </w:rPr>
        <w:t xml:space="preserve">Sunt identificate o serie de domenii de politică , la care sunt atașate diferite principii. Aceste principii au ca punct de plecare o serie de drepturi deja înscrise în dreptul UE și în alte surse relevante de drept și stabilesc mai detaliat modalitățile </w:t>
      </w:r>
      <w:r>
        <w:rPr>
          <w:rFonts w:ascii="Times New Roman" w:hAnsi="Times New Roman"/>
          <w:noProof/>
          <w:sz w:val="24"/>
        </w:rPr>
        <w:t xml:space="preserve">de funcționare posibile ale acestora. Aceste formule se inspiră, de asemenea, din orientările existente la nivelul UE, de exemplu în contextul coordonării politicilor economice, încercând, în același timp, să țină seama de ultimele tendințe. </w:t>
      </w:r>
    </w:p>
    <w:p w:rsidR="00D12436" w:rsidRDefault="007A0E1F">
      <w:pPr>
        <w:spacing w:after="360" w:line="240" w:lineRule="auto"/>
        <w:jc w:val="both"/>
        <w:rPr>
          <w:rFonts w:ascii="Times New Roman" w:hAnsi="Times New Roman" w:cs="Times New Roman"/>
          <w:noProof/>
          <w:sz w:val="24"/>
          <w:szCs w:val="24"/>
        </w:rPr>
      </w:pPr>
      <w:r>
        <w:rPr>
          <w:rFonts w:ascii="Times New Roman" w:hAnsi="Times New Roman"/>
          <w:noProof/>
          <w:sz w:val="24"/>
        </w:rPr>
        <w:t>Pentru fiecar</w:t>
      </w:r>
      <w:r>
        <w:rPr>
          <w:rFonts w:ascii="Times New Roman" w:hAnsi="Times New Roman"/>
          <w:noProof/>
          <w:sz w:val="24"/>
        </w:rPr>
        <w:t>e dintre aceste principii, situația din Europa variază foarte mult și există multe dificultăți practice, mari și mici, pentru abordarea lor. În general, acestea includ diferite interese între persoane fizice, întreprinderi și societate; compromisurile even</w:t>
      </w:r>
      <w:r>
        <w:rPr>
          <w:rFonts w:ascii="Times New Roman" w:hAnsi="Times New Roman"/>
          <w:noProof/>
          <w:sz w:val="24"/>
        </w:rPr>
        <w:t>tuale între soluțiile pe termen scurt și cele pe termen lung; existența unor „zone gri”, inclusiv ca urmare a ambiguității noțiunii de activitate și chestiunea „cine și ce plătește”, în funcție de rolul preconizat al finanțării private sau publice. Există,</w:t>
      </w:r>
      <w:r>
        <w:rPr>
          <w:rFonts w:ascii="Times New Roman" w:hAnsi="Times New Roman"/>
          <w:noProof/>
          <w:sz w:val="24"/>
        </w:rPr>
        <w:t xml:space="preserve"> de asemenea, provocarea pe care o reprezintă elaborarea de noi standarde și practici în așa fel încât să fie în concordanță cu nevoile unei economii dinamice pentru a sprijini procesul de convergență ascendentă între regiunile și statele membre. </w:t>
      </w:r>
    </w:p>
    <w:p w:rsidR="00D12436" w:rsidRDefault="007A0E1F">
      <w:pPr>
        <w:spacing w:after="240" w:line="240" w:lineRule="auto"/>
        <w:jc w:val="both"/>
        <w:rPr>
          <w:rFonts w:ascii="Times New Roman" w:hAnsi="Times New Roman" w:cs="Times New Roman"/>
          <w:noProof/>
          <w:sz w:val="24"/>
          <w:szCs w:val="24"/>
        </w:rPr>
      </w:pPr>
      <w:r>
        <w:rPr>
          <w:rFonts w:ascii="Times New Roman" w:hAnsi="Times New Roman"/>
          <w:noProof/>
          <w:sz w:val="24"/>
        </w:rPr>
        <w:t>Logica p</w:t>
      </w:r>
      <w:r>
        <w:rPr>
          <w:rFonts w:ascii="Times New Roman" w:hAnsi="Times New Roman"/>
          <w:noProof/>
          <w:sz w:val="24"/>
        </w:rPr>
        <w:t>ilonului și a discuțiilor care conduc la acesta, nu este de a ascunde aceste diferențe și tensiuni, ci de a le expune și a le aborda dintr-o nouă perspectivă, care să țină seama de realitățile în continuă schimbare de pe piața muncii și de diversitatea sit</w:t>
      </w:r>
      <w:r>
        <w:rPr>
          <w:rFonts w:ascii="Times New Roman" w:hAnsi="Times New Roman"/>
          <w:noProof/>
          <w:sz w:val="24"/>
        </w:rPr>
        <w:t>uațiilor din Europa. În acest sens, pilonul ar trebui să contribuie la modernizarea, extinderea și aprofundarea drepturilor sociale, la locul de muncă și în societate, prin facilitarea absorbției efective a acestora și prin promovarea unor practici care po</w:t>
      </w:r>
      <w:r>
        <w:rPr>
          <w:rFonts w:ascii="Times New Roman" w:hAnsi="Times New Roman"/>
          <w:noProof/>
          <w:sz w:val="24"/>
        </w:rPr>
        <w:t>t fi avantajoase din punct de vedere personal, din perspectiva întreprinderilor și din punct de vedere societal.</w:t>
      </w:r>
    </w:p>
    <w:p w:rsidR="00D12436" w:rsidRDefault="007A0E1F">
      <w:pPr>
        <w:keepNext/>
        <w:spacing w:before="240" w:after="240" w:line="240" w:lineRule="auto"/>
        <w:jc w:val="both"/>
        <w:rPr>
          <w:rFonts w:ascii="Times New Roman" w:hAnsi="Times New Roman" w:cs="Times New Roman"/>
          <w:b/>
          <w:noProof/>
          <w:sz w:val="24"/>
          <w:szCs w:val="24"/>
        </w:rPr>
      </w:pPr>
      <w:r>
        <w:rPr>
          <w:rFonts w:ascii="Times New Roman" w:hAnsi="Times New Roman"/>
          <w:b/>
          <w:noProof/>
          <w:sz w:val="24"/>
        </w:rPr>
        <w:t>3.2. Valoarea adăugată pentru zona euro și UE în ansamblu</w:t>
      </w:r>
    </w:p>
    <w:p w:rsidR="00D12436" w:rsidRDefault="007A0E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Pilonul nu repetă și nici nu parafrazează </w:t>
      </w:r>
      <w:r>
        <w:rPr>
          <w:rFonts w:ascii="Times New Roman" w:hAnsi="Times New Roman"/>
          <w:i/>
          <w:noProof/>
          <w:sz w:val="24"/>
        </w:rPr>
        <w:t>acquis</w:t>
      </w:r>
      <w:r>
        <w:rPr>
          <w:rFonts w:ascii="Times New Roman" w:hAnsi="Times New Roman"/>
          <w:noProof/>
          <w:sz w:val="24"/>
        </w:rPr>
        <w:t>-ul UE: acesta definește mai în detal</w:t>
      </w:r>
      <w:r>
        <w:rPr>
          <w:rFonts w:ascii="Times New Roman" w:hAnsi="Times New Roman"/>
          <w:noProof/>
          <w:sz w:val="24"/>
        </w:rPr>
        <w:t xml:space="preserve">iu principiile și angajamentele care pot genera o mai mare convergență în interiorul zonei euro. De asemenea, în același mod în care pilonul nu înlocuiește </w:t>
      </w:r>
      <w:r>
        <w:rPr>
          <w:rFonts w:ascii="Times New Roman" w:hAnsi="Times New Roman"/>
          <w:i/>
          <w:noProof/>
          <w:sz w:val="24"/>
        </w:rPr>
        <w:t>acquis</w:t>
      </w:r>
      <w:r>
        <w:rPr>
          <w:rFonts w:ascii="Times New Roman" w:hAnsi="Times New Roman"/>
          <w:noProof/>
          <w:sz w:val="24"/>
        </w:rPr>
        <w:t xml:space="preserve"> -ul, principiile propuse aici nu înlocuiesc drepturile existente: ele oferă o modalitate de a</w:t>
      </w:r>
      <w:r>
        <w:rPr>
          <w:rFonts w:ascii="Times New Roman" w:hAnsi="Times New Roman"/>
          <w:noProof/>
          <w:sz w:val="24"/>
        </w:rPr>
        <w:t xml:space="preserve"> evalua și, pe viitor, de a apropia pentru o mai bună performanță politicile sociale și de ocupare a forței de muncă naționale. </w:t>
      </w:r>
    </w:p>
    <w:p w:rsidR="00D12436" w:rsidRDefault="007A0E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Dar procesul care conduce la pilon ar trebui, de asemenea, să fie o ocazie de a revizui </w:t>
      </w:r>
      <w:r>
        <w:rPr>
          <w:rFonts w:ascii="Times New Roman" w:hAnsi="Times New Roman"/>
          <w:i/>
          <w:noProof/>
          <w:sz w:val="24"/>
        </w:rPr>
        <w:t>acquis</w:t>
      </w:r>
      <w:r>
        <w:rPr>
          <w:rFonts w:ascii="Times New Roman" w:hAnsi="Times New Roman"/>
          <w:noProof/>
          <w:sz w:val="24"/>
        </w:rPr>
        <w:t xml:space="preserve">-ul. </w:t>
      </w:r>
      <w:r>
        <w:rPr>
          <w:rFonts w:ascii="Times New Roman" w:hAnsi="Times New Roman"/>
          <w:i/>
          <w:noProof/>
          <w:sz w:val="24"/>
        </w:rPr>
        <w:t>Acquis</w:t>
      </w:r>
      <w:r>
        <w:rPr>
          <w:rFonts w:ascii="Times New Roman" w:hAnsi="Times New Roman"/>
          <w:noProof/>
          <w:sz w:val="24"/>
        </w:rPr>
        <w:t>-ul actual a fost crea</w:t>
      </w:r>
      <w:r>
        <w:rPr>
          <w:rFonts w:ascii="Times New Roman" w:hAnsi="Times New Roman"/>
          <w:noProof/>
          <w:sz w:val="24"/>
        </w:rPr>
        <w:t xml:space="preserve">t pas cu pas, la momente diferite în timp, iar unele domenii au fost acoperite mai bine decât altele. Consultarea cu privire la pilon oferă ocazia de a avea o perspectivă globală asupra </w:t>
      </w:r>
      <w:r>
        <w:rPr>
          <w:rFonts w:ascii="Times New Roman" w:hAnsi="Times New Roman"/>
          <w:i/>
          <w:noProof/>
          <w:sz w:val="24"/>
        </w:rPr>
        <w:t>acquis</w:t>
      </w:r>
      <w:r>
        <w:rPr>
          <w:rFonts w:ascii="Times New Roman" w:hAnsi="Times New Roman"/>
          <w:noProof/>
          <w:sz w:val="24"/>
        </w:rPr>
        <w:t>-ului, de a reexamina relevanța acestuia în lumina noilor tendin</w:t>
      </w:r>
      <w:r>
        <w:rPr>
          <w:rFonts w:ascii="Times New Roman" w:hAnsi="Times New Roman"/>
          <w:noProof/>
          <w:sz w:val="24"/>
        </w:rPr>
        <w:t>ț</w:t>
      </w:r>
      <w:r>
        <w:rPr>
          <w:rFonts w:ascii="Times New Roman" w:hAnsi="Times New Roman"/>
          <w:noProof/>
          <w:sz w:val="24"/>
        </w:rPr>
        <w:t xml:space="preserve">e și de a identifica domenii posibile pentru acțiuni viitoare, la nivelul corespunzător. </w:t>
      </w:r>
    </w:p>
    <w:p w:rsidR="00D12436" w:rsidRDefault="007A0E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 astfel de bilanț ar trebui să fie îndeosebi util pentru a răspunde la următoarele întrebări: există deficiențe privind punerea în aplicare a </w:t>
      </w:r>
      <w:r>
        <w:rPr>
          <w:rFonts w:ascii="Times New Roman" w:hAnsi="Times New Roman"/>
          <w:i/>
          <w:noProof/>
          <w:sz w:val="24"/>
        </w:rPr>
        <w:t>acquis</w:t>
      </w:r>
      <w:r>
        <w:rPr>
          <w:rFonts w:ascii="Times New Roman" w:hAnsi="Times New Roman"/>
          <w:noProof/>
          <w:sz w:val="24"/>
        </w:rPr>
        <w:t>-ului? Există l</w:t>
      </w:r>
      <w:r>
        <w:rPr>
          <w:rFonts w:ascii="Times New Roman" w:hAnsi="Times New Roman"/>
          <w:noProof/>
          <w:sz w:val="24"/>
        </w:rPr>
        <w:t>acune fundamentale privind drepturile sociale stabilite la nivelul UE? Cum pot aceste deficiențe și/sau lacune să fie contabilizate? Acesta este, de asemenea, motivul pentru care procesul de consultare care a dus la pilon va fi deschis tuturor statelor mem</w:t>
      </w:r>
      <w:r>
        <w:rPr>
          <w:rFonts w:ascii="Times New Roman" w:hAnsi="Times New Roman"/>
          <w:noProof/>
          <w:sz w:val="24"/>
        </w:rPr>
        <w:t>bre și ar trebui să sprijine, de asemenea, țările care nu fac parte din zona euro să decidă asupra eventualei lor participări la pilon.</w:t>
      </w:r>
    </w:p>
    <w:p w:rsidR="00D12436" w:rsidRDefault="007A0E1F">
      <w:pPr>
        <w:spacing w:after="240" w:line="240" w:lineRule="auto"/>
        <w:jc w:val="both"/>
        <w:rPr>
          <w:rFonts w:ascii="Times New Roman" w:hAnsi="Times New Roman" w:cs="Times New Roman"/>
          <w:noProof/>
          <w:sz w:val="24"/>
          <w:szCs w:val="24"/>
        </w:rPr>
      </w:pPr>
      <w:r>
        <w:rPr>
          <w:rFonts w:ascii="Times New Roman" w:hAnsi="Times New Roman"/>
          <w:noProof/>
          <w:sz w:val="24"/>
        </w:rPr>
        <w:t>Activitățile de instituire a pilonului vor completa alte eforturi aflate în curs de desfășurare și care vizează aprofund</w:t>
      </w:r>
      <w:r>
        <w:rPr>
          <w:rFonts w:ascii="Times New Roman" w:hAnsi="Times New Roman"/>
          <w:noProof/>
          <w:sz w:val="24"/>
        </w:rPr>
        <w:t>area UEM</w:t>
      </w:r>
      <w:r>
        <w:rPr>
          <w:rStyle w:val="FootnoteReference"/>
          <w:rFonts w:ascii="Times New Roman" w:hAnsi="Times New Roman"/>
          <w:noProof/>
          <w:sz w:val="24"/>
        </w:rPr>
        <w:footnoteReference w:id="6"/>
      </w:r>
      <w:r>
        <w:rPr>
          <w:rFonts w:ascii="Times New Roman" w:hAnsi="Times New Roman"/>
          <w:noProof/>
          <w:sz w:val="24"/>
        </w:rPr>
        <w:t xml:space="preserve"> și ar trebui să servească drept contribuție la elaborarea Cărții albe privind viitorul UEM a Europei, prevăzute pentru primăvara anului 2017. În special, raportul celor cinci președinți referitor la finalizarea UEM a Europei a evidențiat necesita</w:t>
      </w:r>
      <w:r>
        <w:rPr>
          <w:rFonts w:ascii="Times New Roman" w:hAnsi="Times New Roman"/>
          <w:noProof/>
          <w:sz w:val="24"/>
        </w:rPr>
        <w:t>tea de a continua procesul de convergență orientat spre realizarea unor structuri economice mai flexibile, și de a face astfel de procese mai stricte pe termen mediu. Acest lucru s-ar putea realiza prin ajungerea la un acord cu privire la un set de standar</w:t>
      </w:r>
      <w:r>
        <w:rPr>
          <w:rFonts w:ascii="Times New Roman" w:hAnsi="Times New Roman"/>
          <w:noProof/>
          <w:sz w:val="24"/>
        </w:rPr>
        <w:t xml:space="preserve">de comune de înalt nivel, care ar trebui să se concentreze, printre altele, pe piețele forței de muncă. </w:t>
      </w:r>
    </w:p>
    <w:p w:rsidR="00D12436" w:rsidRDefault="007A0E1F">
      <w:pPr>
        <w:spacing w:after="240" w:line="240" w:lineRule="auto"/>
        <w:jc w:val="both"/>
        <w:rPr>
          <w:rFonts w:ascii="Times New Roman" w:hAnsi="Times New Roman" w:cs="Times New Roman"/>
          <w:noProof/>
          <w:sz w:val="24"/>
          <w:szCs w:val="24"/>
        </w:rPr>
      </w:pPr>
      <w:r>
        <w:rPr>
          <w:rFonts w:ascii="Times New Roman" w:hAnsi="Times New Roman"/>
          <w:noProof/>
          <w:sz w:val="24"/>
        </w:rPr>
        <w:t>În cele din urmă, natura juridică a pilonului în sine va trebui să ia în considerare domeniul de aplicare și limitările juridice la nivelul UE și al zo</w:t>
      </w:r>
      <w:r>
        <w:rPr>
          <w:rFonts w:ascii="Times New Roman" w:hAnsi="Times New Roman"/>
          <w:noProof/>
          <w:sz w:val="24"/>
        </w:rPr>
        <w:t xml:space="preserve">nei euro. De exemplu, articolul 153 din Tratatul privind funcționarea Uniunii Europene nu prevede în mod clar competența Uniunii de a legifera cu privire la „remunerație”. </w:t>
      </w:r>
    </w:p>
    <w:p w:rsidR="00D12436" w:rsidRDefault="007A0E1F">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În timp ce diverse instrumente pot fi luate în considerare pentru instituirea pilon</w:t>
      </w:r>
      <w:r>
        <w:rPr>
          <w:rFonts w:ascii="Times New Roman" w:hAnsi="Times New Roman"/>
          <w:noProof/>
          <w:sz w:val="24"/>
        </w:rPr>
        <w:t xml:space="preserve">ului, cum ar fi o recomandare, Comisia va considera esențială implicarea Parlamentului European și Consiliului, precum și a celorlalte instituții ale UE, și obținerea unui sprijin larg pentru punerea sa în aplicare. </w:t>
      </w:r>
    </w:p>
    <w:p w:rsidR="00D12436" w:rsidRDefault="007A0E1F">
      <w:pPr>
        <w:keepNext/>
        <w:rPr>
          <w:rFonts w:ascii="Times New Roman" w:eastAsia="SimSun" w:hAnsi="Times New Roman" w:cs="Times New Roman"/>
          <w:b/>
          <w:iCs/>
          <w:noProof/>
          <w:kern w:val="3"/>
          <w:sz w:val="24"/>
          <w:szCs w:val="24"/>
        </w:rPr>
      </w:pPr>
      <w:r>
        <w:rPr>
          <w:rFonts w:ascii="Times New Roman" w:hAnsi="Times New Roman"/>
          <w:b/>
          <w:noProof/>
          <w:kern w:val="3"/>
          <w:sz w:val="24"/>
        </w:rPr>
        <w:t xml:space="preserve">4. Obiectivele consultării </w:t>
      </w:r>
    </w:p>
    <w:p w:rsidR="00D12436" w:rsidRDefault="007A0E1F">
      <w:pPr>
        <w:widowControl w:val="0"/>
        <w:autoSpaceDE w:val="0"/>
        <w:autoSpaceDN w:val="0"/>
        <w:adjustRightInd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Instituirea</w:t>
      </w:r>
      <w:r>
        <w:rPr>
          <w:rFonts w:ascii="Times New Roman" w:hAnsi="Times New Roman"/>
          <w:noProof/>
          <w:sz w:val="24"/>
        </w:rPr>
        <w:t xml:space="preserve"> unui pilon reprezintă ocazia de a orienta procesul de reflecție către drepturile sociale existente, către nevoile speciale ale zonei euro, către realitățile în schimbare de pe piața muncii, precum și către reformele necesare la toate nivelurile. Procesul </w:t>
      </w:r>
      <w:r>
        <w:rPr>
          <w:rFonts w:ascii="Times New Roman" w:hAnsi="Times New Roman"/>
          <w:noProof/>
          <w:sz w:val="24"/>
        </w:rPr>
        <w:t>de consultare ar trebui, prin urmare, să fie cât mai amplu cu putință.</w:t>
      </w:r>
    </w:p>
    <w:p w:rsidR="00D12436" w:rsidRDefault="007A0E1F">
      <w:pPr>
        <w:keepNext/>
        <w:spacing w:after="240" w:line="240" w:lineRule="auto"/>
        <w:jc w:val="both"/>
        <w:rPr>
          <w:rFonts w:ascii="Times New Roman" w:hAnsi="Times New Roman"/>
          <w:b/>
          <w:noProof/>
          <w:sz w:val="24"/>
        </w:rPr>
      </w:pPr>
      <w:r>
        <w:rPr>
          <w:rFonts w:ascii="Times New Roman" w:hAnsi="Times New Roman"/>
          <w:b/>
          <w:noProof/>
          <w:sz w:val="24"/>
        </w:rPr>
        <w:t xml:space="preserve">4.1. Rezultatele sugerate </w:t>
      </w:r>
    </w:p>
    <w:p w:rsidR="00D12436" w:rsidRDefault="007A0E1F">
      <w:pPr>
        <w:spacing w:after="120" w:line="240" w:lineRule="auto"/>
        <w:jc w:val="both"/>
        <w:rPr>
          <w:rFonts w:ascii="Times New Roman" w:hAnsi="Times New Roman" w:cs="Times New Roman"/>
          <w:noProof/>
          <w:sz w:val="24"/>
          <w:szCs w:val="24"/>
        </w:rPr>
      </w:pPr>
      <w:r>
        <w:rPr>
          <w:rFonts w:ascii="Times New Roman" w:hAnsi="Times New Roman"/>
          <w:noProof/>
          <w:sz w:val="24"/>
        </w:rPr>
        <w:t>Procesul de consultare are trei scopuri principale:</w:t>
      </w:r>
    </w:p>
    <w:p w:rsidR="00D12436" w:rsidRDefault="007A0E1F">
      <w:pPr>
        <w:pStyle w:val="ListParagraph"/>
        <w:numPr>
          <w:ilvl w:val="0"/>
          <w:numId w:val="7"/>
        </w:numPr>
        <w:spacing w:after="12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Un prim scop este de a efectua o evaluare a </w:t>
      </w:r>
      <w:r>
        <w:rPr>
          <w:rFonts w:ascii="Times New Roman" w:hAnsi="Times New Roman"/>
          <w:i/>
          <w:noProof/>
          <w:sz w:val="24"/>
        </w:rPr>
        <w:t>acquis</w:t>
      </w:r>
      <w:r>
        <w:rPr>
          <w:rFonts w:ascii="Times New Roman" w:hAnsi="Times New Roman"/>
          <w:noProof/>
          <w:sz w:val="24"/>
        </w:rPr>
        <w:t>-ului actual al UE. În special, această consultare ar trebui să ajute la stabilirea măsurii în care drepturile existente sunt practicate și rămân relevante pentru provocările prezente și viitoare, și/sau dacă noi modalități de aplicare a acestor drepturi a</w:t>
      </w:r>
      <w:r>
        <w:rPr>
          <w:rFonts w:ascii="Times New Roman" w:hAnsi="Times New Roman"/>
          <w:noProof/>
          <w:sz w:val="24"/>
        </w:rPr>
        <w:t xml:space="preserve">r trebui să fie luate în considerare. </w:t>
      </w:r>
    </w:p>
    <w:p w:rsidR="00D12436" w:rsidRDefault="007A0E1F">
      <w:pPr>
        <w:pStyle w:val="ListParagraph"/>
        <w:numPr>
          <w:ilvl w:val="0"/>
          <w:numId w:val="7"/>
        </w:numPr>
        <w:spacing w:after="12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rPr>
        <w:t>Un al doilea scop este de a reflecta asupra noilor tendințe în ceea ce privește modelele de activitate și de societate, având în vedere impactul evoluției demografice, al noilor tehnologii și al altor factori de impor</w:t>
      </w:r>
      <w:r>
        <w:rPr>
          <w:rFonts w:ascii="Times New Roman" w:hAnsi="Times New Roman"/>
          <w:noProof/>
          <w:sz w:val="24"/>
        </w:rPr>
        <w:t>tanță pentru viața activă și condițiile sociale. Identificarea celor mai bune practici și lecțiile învățate din inovarea socială ar trebui să fie încurajate în mod activ.</w:t>
      </w:r>
    </w:p>
    <w:p w:rsidR="00D12436" w:rsidRDefault="007A0E1F">
      <w:pPr>
        <w:pStyle w:val="ListParagraph"/>
        <w:numPr>
          <w:ilvl w:val="0"/>
          <w:numId w:val="7"/>
        </w:numPr>
        <w:spacing w:after="120" w:line="240" w:lineRule="auto"/>
        <w:contextualSpacing w:val="0"/>
        <w:jc w:val="both"/>
        <w:rPr>
          <w:noProof/>
        </w:rPr>
      </w:pPr>
      <w:r>
        <w:rPr>
          <w:rFonts w:ascii="Times New Roman" w:hAnsi="Times New Roman"/>
          <w:noProof/>
          <w:sz w:val="24"/>
        </w:rPr>
        <w:t>Un al treilea scop este de a colecta opinii și a primi feedback cu privire la conturu</w:t>
      </w:r>
      <w:r>
        <w:rPr>
          <w:rFonts w:ascii="Times New Roman" w:hAnsi="Times New Roman"/>
          <w:noProof/>
          <w:sz w:val="24"/>
        </w:rPr>
        <w:t>l pilonului european al drepturilor sociale în sine. Consultarea ar trebui să servească pentru a discuta domeniul de aplicare și conținutul acestuia, precum și rolul lui ca parte a dimensiunii sociale a UEM, să reflecteze asupra nevoilor specifice ale zone</w:t>
      </w:r>
      <w:r>
        <w:rPr>
          <w:rFonts w:ascii="Times New Roman" w:hAnsi="Times New Roman"/>
          <w:noProof/>
          <w:sz w:val="24"/>
        </w:rPr>
        <w:t>i euro, să discute specificitatea principiilor propuse aici și să analizeze provocările aferente legate de acestea. Această consultare ar trebui, de asemenea, să ajute statele membre care nu fac parte din zona euro să decidă dacă doresc să participe la pil</w:t>
      </w:r>
      <w:r>
        <w:rPr>
          <w:rFonts w:ascii="Times New Roman" w:hAnsi="Times New Roman"/>
          <w:noProof/>
          <w:sz w:val="24"/>
        </w:rPr>
        <w:t xml:space="preserve">on. </w:t>
      </w:r>
    </w:p>
    <w:p w:rsidR="00D12436" w:rsidRDefault="007A0E1F">
      <w:pPr>
        <w:spacing w:before="240" w:after="240" w:line="240" w:lineRule="auto"/>
        <w:jc w:val="both"/>
        <w:rPr>
          <w:rFonts w:ascii="Times New Roman" w:hAnsi="Times New Roman" w:cs="Times New Roman"/>
          <w:b/>
          <w:noProof/>
          <w:sz w:val="24"/>
          <w:szCs w:val="24"/>
        </w:rPr>
      </w:pPr>
      <w:r>
        <w:rPr>
          <w:rFonts w:ascii="Times New Roman" w:hAnsi="Times New Roman"/>
          <w:noProof/>
          <w:sz w:val="24"/>
        </w:rPr>
        <w:t xml:space="preserve">Procesul de consultare ar trebui să fie încheiat până la 31 decembrie 2016 și va constitui baza propunerii finale de pilon pe care Comisia o va prezenta la începutul anului 2017. </w:t>
      </w:r>
    </w:p>
    <w:p w:rsidR="00D12436" w:rsidRDefault="007A0E1F">
      <w:pPr>
        <w:keepNext/>
        <w:spacing w:before="360" w:after="240" w:line="240" w:lineRule="auto"/>
        <w:jc w:val="both"/>
        <w:rPr>
          <w:rFonts w:ascii="Times New Roman" w:hAnsi="Times New Roman" w:cs="Times New Roman"/>
          <w:b/>
          <w:noProof/>
          <w:sz w:val="24"/>
          <w:szCs w:val="24"/>
        </w:rPr>
      </w:pPr>
      <w:r>
        <w:rPr>
          <w:rFonts w:ascii="Times New Roman" w:hAnsi="Times New Roman"/>
          <w:b/>
          <w:noProof/>
          <w:sz w:val="24"/>
        </w:rPr>
        <w:t>4.2. Mobilizarea pentru dezbatere</w:t>
      </w:r>
    </w:p>
    <w:p w:rsidR="00D12436" w:rsidRDefault="007A0E1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lunile următoare, Comisia va iniți</w:t>
      </w:r>
      <w:r>
        <w:rPr>
          <w:rFonts w:ascii="Times New Roman" w:hAnsi="Times New Roman"/>
          <w:noProof/>
          <w:sz w:val="24"/>
        </w:rPr>
        <w:t>a o consultare activă cu alte instituții ale UE, autorități și parlamente naționale, sindicate și asociații profesionale, ONG-uri, furnizori de servicii sociale, experți din mediul academic, precum și cu publicul. La nivel național, Comisia va facilita dis</w:t>
      </w:r>
      <w:r>
        <w:rPr>
          <w:rFonts w:ascii="Times New Roman" w:hAnsi="Times New Roman"/>
          <w:noProof/>
          <w:sz w:val="24"/>
        </w:rPr>
        <w:t xml:space="preserve">cuții prin intermediul reprezentanțelor sale în statele membre. </w:t>
      </w:r>
    </w:p>
    <w:p w:rsidR="00D12436" w:rsidRDefault="007A0E1F">
      <w:pPr>
        <w:spacing w:after="360" w:line="240" w:lineRule="auto"/>
        <w:jc w:val="both"/>
        <w:rPr>
          <w:rFonts w:ascii="Times New Roman" w:eastAsia="Times New Roman" w:hAnsi="Times New Roman" w:cs="Times New Roman"/>
          <w:noProof/>
          <w:sz w:val="24"/>
          <w:szCs w:val="24"/>
        </w:rPr>
      </w:pPr>
      <w:r>
        <w:rPr>
          <w:rFonts w:ascii="Times New Roman" w:hAnsi="Times New Roman"/>
          <w:noProof/>
          <w:sz w:val="24"/>
        </w:rPr>
        <w:t>Partenerii sociali vor fi invitați să joace un rol activ în conturarea pilonului. Comisia va solicita, de asemenea, avizul Comitetului Economic și Social European și al Comitetul Regiunilor.</w:t>
      </w:r>
    </w:p>
    <w:p w:rsidR="00D12436" w:rsidRDefault="007A0E1F">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4.3. Feedback structurat</w:t>
      </w:r>
    </w:p>
    <w:p w:rsidR="00D12436" w:rsidRDefault="007A0E1F">
      <w:pPr>
        <w:keepNext/>
        <w:keepLines/>
        <w:spacing w:after="120" w:line="240" w:lineRule="auto"/>
        <w:jc w:val="both"/>
        <w:rPr>
          <w:rFonts w:ascii="Times New Roman" w:hAnsi="Times New Roman" w:cs="Times New Roman"/>
          <w:b/>
          <w:noProof/>
          <w:sz w:val="24"/>
          <w:szCs w:val="24"/>
        </w:rPr>
      </w:pPr>
      <w:r>
        <w:rPr>
          <w:rFonts w:ascii="Times New Roman" w:hAnsi="Times New Roman"/>
          <w:noProof/>
          <w:sz w:val="24"/>
        </w:rPr>
        <w:t>În plus față de consultarea publică, vor fi organizate trei direcții de lucru pentru a alimenta dezbaterea, câte una pentru fiecare rezultat sugerat evidențiat mai sus:</w:t>
      </w:r>
    </w:p>
    <w:p w:rsidR="00D12436" w:rsidRDefault="007A0E1F">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i/>
          <w:noProof/>
          <w:sz w:val="24"/>
        </w:rPr>
        <w:t>Acquis</w:t>
      </w:r>
      <w:r>
        <w:rPr>
          <w:rFonts w:ascii="Times New Roman" w:hAnsi="Times New Roman"/>
          <w:noProof/>
          <w:sz w:val="24"/>
        </w:rPr>
        <w:t>-ul social al UE: bilanț.</w:t>
      </w:r>
    </w:p>
    <w:p w:rsidR="00D12436" w:rsidRDefault="007A0E1F">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Viitorul sistemelor de activit</w:t>
      </w:r>
      <w:r>
        <w:rPr>
          <w:rFonts w:ascii="Times New Roman" w:hAnsi="Times New Roman"/>
          <w:noProof/>
          <w:sz w:val="24"/>
        </w:rPr>
        <w:t>ate și de asigurări sociale: provocări și oportunități.</w:t>
      </w:r>
    </w:p>
    <w:p w:rsidR="00D12436" w:rsidRDefault="007A0E1F">
      <w:pPr>
        <w:pStyle w:val="ListParagraph"/>
        <w:numPr>
          <w:ilvl w:val="0"/>
          <w:numId w:val="7"/>
        </w:numPr>
        <w:spacing w:before="120" w:after="24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Rolul pilonului european al drepturilor sociale ca parte a unei UEM mai profunde și mai echitabile.</w:t>
      </w:r>
    </w:p>
    <w:p w:rsidR="00D12436" w:rsidRDefault="007A0E1F">
      <w:pPr>
        <w:spacing w:after="240" w:line="240" w:lineRule="auto"/>
        <w:jc w:val="both"/>
        <w:rPr>
          <w:rFonts w:ascii="Times New Roman" w:hAnsi="Times New Roman" w:cs="Times New Roman"/>
          <w:i/>
          <w:noProof/>
          <w:sz w:val="24"/>
          <w:szCs w:val="24"/>
        </w:rPr>
      </w:pPr>
      <w:r>
        <w:rPr>
          <w:rFonts w:ascii="Times New Roman" w:hAnsi="Times New Roman"/>
          <w:noProof/>
          <w:sz w:val="24"/>
        </w:rPr>
        <w:t>Comisia va organiza o conferință europeană până la sfârșitul anului 2016 cu scopul de a colecta feed</w:t>
      </w:r>
      <w:r>
        <w:rPr>
          <w:rFonts w:ascii="Times New Roman" w:hAnsi="Times New Roman"/>
          <w:noProof/>
          <w:sz w:val="24"/>
        </w:rPr>
        <w:t>back.</w:t>
      </w:r>
    </w:p>
    <w:p w:rsidR="00D12436" w:rsidRDefault="007A0E1F">
      <w:pPr>
        <w:keepNext/>
        <w:spacing w:after="240" w:line="240" w:lineRule="auto"/>
        <w:jc w:val="both"/>
        <w:rPr>
          <w:rFonts w:ascii="Times New Roman" w:hAnsi="Times New Roman" w:cs="Times New Roman"/>
          <w:b/>
          <w:noProof/>
          <w:sz w:val="24"/>
          <w:szCs w:val="24"/>
        </w:rPr>
      </w:pPr>
      <w:r>
        <w:rPr>
          <w:rFonts w:ascii="Times New Roman" w:hAnsi="Times New Roman"/>
          <w:b/>
          <w:noProof/>
          <w:sz w:val="24"/>
        </w:rPr>
        <w:t>4.4. Informarea dezbaterii</w:t>
      </w:r>
    </w:p>
    <w:p w:rsidR="00D12436" w:rsidRDefault="007A0E1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Se creează o pagină web dedicată pentru consultare la adresa: </w:t>
      </w:r>
      <w:hyperlink r:id="rId16">
        <w:r>
          <w:rPr>
            <w:rStyle w:val="Hyperlink"/>
            <w:rFonts w:ascii="Times New Roman" w:hAnsi="Times New Roman"/>
            <w:noProof/>
            <w:color w:val="auto"/>
            <w:sz w:val="24"/>
          </w:rPr>
          <w:t>http://ec.europa.eu/priorities/</w:t>
        </w:r>
        <w:r>
          <w:rPr>
            <w:rStyle w:val="Hyperlink"/>
            <w:rFonts w:ascii="Times New Roman" w:eastAsia="Times New Roman" w:hAnsi="Times New Roman" w:cs="Times New Roman"/>
            <w:noProof/>
            <w:color w:val="auto"/>
            <w:sz w:val="24"/>
            <w:szCs w:val="24"/>
          </w:rPr>
          <w:br/>
        </w:r>
        <w:r>
          <w:rPr>
            <w:rStyle w:val="Hyperlink"/>
            <w:rFonts w:ascii="Times New Roman" w:hAnsi="Times New Roman"/>
            <w:noProof/>
            <w:color w:val="auto"/>
            <w:sz w:val="24"/>
          </w:rPr>
          <w:t>deeper-and-fairer-economic-and-monetary-union/european-pillar-social-rights</w:t>
        </w:r>
      </w:hyperlink>
      <w:r>
        <w:rPr>
          <w:rFonts w:ascii="Times New Roman" w:hAnsi="Times New Roman"/>
          <w:noProof/>
          <w:sz w:val="24"/>
        </w:rPr>
        <w:t xml:space="preserve"> </w:t>
      </w:r>
    </w:p>
    <w:p w:rsidR="00D12436" w:rsidRDefault="007A0E1F">
      <w:pPr>
        <w:spacing w:after="0" w:line="240" w:lineRule="auto"/>
        <w:jc w:val="both"/>
        <w:rPr>
          <w:rFonts w:ascii="Times New Roman" w:hAnsi="Times New Roman" w:cs="Times New Roman"/>
          <w:noProof/>
          <w:sz w:val="24"/>
          <w:szCs w:val="24"/>
        </w:rPr>
      </w:pPr>
      <w:r>
        <w:rPr>
          <w:rFonts w:ascii="Times New Roman" w:hAnsi="Times New Roman"/>
          <w:noProof/>
          <w:sz w:val="24"/>
        </w:rPr>
        <w:t>Aceasta va include:</w:t>
      </w:r>
    </w:p>
    <w:p w:rsidR="00D12436" w:rsidRDefault="007A0E1F">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prezenta comunicare și documentele de lucru aferente ale serviciilor Comisiei;</w:t>
      </w:r>
    </w:p>
    <w:p w:rsidR="00D12436" w:rsidRDefault="007A0E1F">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o serie de fișe informative, elaborate de serviciile Comisiei, care prezintă în </w:t>
      </w:r>
      <w:r>
        <w:rPr>
          <w:rFonts w:ascii="Times New Roman" w:hAnsi="Times New Roman"/>
          <w:noProof/>
          <w:sz w:val="24"/>
        </w:rPr>
        <w:t xml:space="preserve">detaliu raționamentul economic și juridic care justifică domeniile incluse în structura pilonului, anexate la prezenta comunicare; </w:t>
      </w:r>
    </w:p>
    <w:p w:rsidR="00D12436" w:rsidRDefault="007A0E1F">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activitățile prevăzute în cadrul fiecărui flux de lucru menționat mai sus;</w:t>
      </w:r>
    </w:p>
    <w:p w:rsidR="00D12436" w:rsidRDefault="007A0E1F">
      <w:pPr>
        <w:pStyle w:val="ListParagraph"/>
        <w:numPr>
          <w:ilvl w:val="0"/>
          <w:numId w:val="7"/>
        </w:numPr>
        <w:spacing w:before="120" w:after="24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o listă a reuniunilor și evenimentelor prevăzute </w:t>
      </w:r>
      <w:r>
        <w:rPr>
          <w:rFonts w:ascii="Times New Roman" w:hAnsi="Times New Roman"/>
          <w:noProof/>
          <w:sz w:val="24"/>
        </w:rPr>
        <w:t>la nivel național și la nivelul UE în următoarele luni.</w:t>
      </w:r>
    </w:p>
    <w:p w:rsidR="00D12436" w:rsidRDefault="007A0E1F">
      <w:pPr>
        <w:keepNext/>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5. Întrebări pentru consultare</w:t>
      </w:r>
    </w:p>
    <w:p w:rsidR="00D12436" w:rsidRDefault="007A0E1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invită toate părțile interesate să răspundă la întrebările adresate în prezenta comunicare și să formuleze orice observații suplimentare până la </w:t>
      </w:r>
      <w:r>
        <w:rPr>
          <w:rFonts w:ascii="Times New Roman" w:hAnsi="Times New Roman"/>
          <w:b/>
          <w:noProof/>
          <w:sz w:val="24"/>
        </w:rPr>
        <w:t>31 decembrie 201</w:t>
      </w:r>
      <w:r>
        <w:rPr>
          <w:rFonts w:ascii="Times New Roman" w:hAnsi="Times New Roman"/>
          <w:b/>
          <w:noProof/>
          <w:sz w:val="24"/>
        </w:rPr>
        <w:t>6</w:t>
      </w:r>
      <w:r>
        <w:rPr>
          <w:rFonts w:ascii="Times New Roman" w:hAnsi="Times New Roman"/>
          <w:noProof/>
          <w:sz w:val="24"/>
        </w:rPr>
        <w:t xml:space="preserve">. </w:t>
      </w:r>
    </w:p>
    <w:p w:rsidR="00D12436" w:rsidRDefault="007A0E1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Acest lucru poate fi realizat prin completarea unui chestionar online, disponibil pe pagina web dedicată menționată mai sus, trimițându-l prin e-mail la următoarea adresă: </w:t>
      </w:r>
    </w:p>
    <w:p w:rsidR="00D12436" w:rsidRDefault="007A0E1F">
      <w:pPr>
        <w:spacing w:after="240" w:line="240" w:lineRule="auto"/>
        <w:jc w:val="both"/>
        <w:rPr>
          <w:rFonts w:ascii="Times New Roman" w:eastAsia="Times New Roman" w:hAnsi="Times New Roman" w:cs="Times New Roman"/>
          <w:noProof/>
          <w:sz w:val="24"/>
          <w:szCs w:val="24"/>
        </w:rPr>
      </w:pPr>
      <w:hyperlink r:id="rId17">
        <w:r>
          <w:rPr>
            <w:rStyle w:val="Hyperlink"/>
            <w:rFonts w:ascii="Times New Roman" w:hAnsi="Times New Roman"/>
            <w:noProof/>
            <w:sz w:val="24"/>
          </w:rPr>
          <w:t>EM</w:t>
        </w:r>
        <w:r>
          <w:rPr>
            <w:rStyle w:val="Hyperlink"/>
            <w:rFonts w:ascii="Times New Roman" w:hAnsi="Times New Roman"/>
            <w:noProof/>
            <w:sz w:val="24"/>
          </w:rPr>
          <w:t>PL-EUROPEAN-PILLAR-OF-SOCIAL-RIGHTS@ec.europa.eu</w:t>
        </w:r>
      </w:hyperlink>
      <w:r>
        <w:rPr>
          <w:noProof/>
        </w:rPr>
        <w:t xml:space="preserve"> </w:t>
      </w:r>
    </w:p>
    <w:p w:rsidR="00D12436" w:rsidRDefault="007A0E1F">
      <w:pPr>
        <w:pageBreakBefore/>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sau prin poștă, la următoarea adresă:</w:t>
      </w:r>
    </w:p>
    <w:p w:rsidR="00D12436" w:rsidRDefault="007A0E1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EUROPEAN COMMISSION</w:t>
      </w:r>
    </w:p>
    <w:p w:rsidR="00D12436" w:rsidRDefault="007A0E1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Directorate-General Employment, Social Affairs and Inclusion</w:t>
      </w:r>
    </w:p>
    <w:p w:rsidR="00D12436" w:rsidRDefault="007A0E1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Rue Joseph II, 27 – 00/120</w:t>
      </w:r>
    </w:p>
    <w:p w:rsidR="00D12436" w:rsidRDefault="007A0E1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B-1049 BRUXELLES</w:t>
      </w:r>
      <w:r>
        <w:rPr>
          <w:rStyle w:val="FootnoteReference"/>
          <w:rFonts w:ascii="Times New Roman" w:hAnsi="Times New Roman"/>
          <w:noProof/>
          <w:sz w:val="24"/>
        </w:rPr>
        <w:footnoteReference w:id="7"/>
      </w:r>
      <w:r>
        <w:rPr>
          <w:rFonts w:ascii="Times New Roman" w:hAnsi="Times New Roman"/>
          <w:noProof/>
          <w:sz w:val="24"/>
        </w:rPr>
        <w:t xml:space="preserve"> </w:t>
      </w:r>
    </w:p>
    <w:p w:rsidR="00D12436" w:rsidRDefault="00D12436">
      <w:pPr>
        <w:keepNext/>
        <w:spacing w:after="240" w:line="240" w:lineRule="auto"/>
        <w:jc w:val="both"/>
        <w:rPr>
          <w:rFonts w:ascii="Times New Roman" w:eastAsia="Times New Roman" w:hAnsi="Times New Roman" w:cs="Times New Roman"/>
          <w:noProof/>
          <w:sz w:val="24"/>
          <w:szCs w:val="24"/>
        </w:rPr>
      </w:pPr>
    </w:p>
    <w:p w:rsidR="00D12436" w:rsidRDefault="007A0E1F">
      <w:pPr>
        <w:keepNext/>
        <w:spacing w:after="240" w:line="240" w:lineRule="auto"/>
        <w:jc w:val="both"/>
        <w:rPr>
          <w:rFonts w:ascii="Times New Roman" w:eastAsia="Times New Roman" w:hAnsi="Times New Roman" w:cs="Times New Roman"/>
          <w:i/>
          <w:noProof/>
          <w:sz w:val="24"/>
          <w:szCs w:val="24"/>
        </w:rPr>
      </w:pPr>
      <w:r>
        <w:rPr>
          <w:rFonts w:ascii="Times New Roman" w:hAnsi="Times New Roman"/>
          <w:noProof/>
          <w:sz w:val="24"/>
        </w:rPr>
        <w:t xml:space="preserve">Întrebările cu privire la care Comisia </w:t>
      </w:r>
      <w:r>
        <w:rPr>
          <w:rFonts w:ascii="Times New Roman" w:hAnsi="Times New Roman"/>
          <w:noProof/>
          <w:sz w:val="24"/>
        </w:rPr>
        <w:t>Europeană solicită opinii sunt următoarele:</w:t>
      </w:r>
    </w:p>
    <w:p w:rsidR="00D12436" w:rsidRDefault="007A0E1F">
      <w:pPr>
        <w:keepNext/>
        <w:spacing w:after="240" w:line="240" w:lineRule="auto"/>
        <w:jc w:val="both"/>
        <w:rPr>
          <w:rFonts w:ascii="Times New Roman" w:hAnsi="Times New Roman" w:cs="Times New Roman"/>
          <w:noProof/>
          <w:sz w:val="24"/>
          <w:szCs w:val="24"/>
        </w:rPr>
      </w:pPr>
      <w:r>
        <w:rPr>
          <w:rFonts w:ascii="Times New Roman" w:hAnsi="Times New Roman"/>
          <w:i/>
          <w:noProof/>
          <w:sz w:val="24"/>
        </w:rPr>
        <w:t>Privind situația socială și „acquis”-ul social al UE</w:t>
      </w:r>
    </w:p>
    <w:p w:rsidR="00D12436" w:rsidRDefault="007A0E1F">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Care considerați că sunt cele mai urgente priorități sociale și de ocupare a forței de muncă?</w:t>
      </w:r>
    </w:p>
    <w:p w:rsidR="00D12436" w:rsidRDefault="00D12436">
      <w:pPr>
        <w:pStyle w:val="ListParagraph"/>
        <w:spacing w:after="240" w:line="240" w:lineRule="auto"/>
        <w:jc w:val="both"/>
        <w:rPr>
          <w:rFonts w:ascii="Times New Roman" w:hAnsi="Times New Roman" w:cs="Times New Roman"/>
          <w:noProof/>
          <w:sz w:val="24"/>
          <w:szCs w:val="24"/>
        </w:rPr>
      </w:pPr>
    </w:p>
    <w:p w:rsidR="00D12436" w:rsidRDefault="007A0E1F">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Cum putem ține cont de diferitele situații sociale și de ocupare</w:t>
      </w:r>
      <w:r>
        <w:rPr>
          <w:rFonts w:ascii="Times New Roman" w:hAnsi="Times New Roman"/>
          <w:noProof/>
          <w:sz w:val="24"/>
        </w:rPr>
        <w:t xml:space="preserve"> a forței de muncă în Europa?</w:t>
      </w:r>
    </w:p>
    <w:p w:rsidR="00D12436" w:rsidRDefault="00D12436">
      <w:pPr>
        <w:pStyle w:val="ListParagraph"/>
        <w:rPr>
          <w:rFonts w:ascii="Times New Roman" w:hAnsi="Times New Roman" w:cs="Times New Roman"/>
          <w:noProof/>
          <w:sz w:val="24"/>
          <w:szCs w:val="24"/>
        </w:rPr>
      </w:pPr>
    </w:p>
    <w:p w:rsidR="00D12436" w:rsidRDefault="007A0E1F">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Este </w:t>
      </w:r>
      <w:r>
        <w:rPr>
          <w:rFonts w:ascii="Times New Roman" w:hAnsi="Times New Roman"/>
          <w:i/>
          <w:noProof/>
          <w:sz w:val="24"/>
        </w:rPr>
        <w:t>acquis</w:t>
      </w:r>
      <w:r>
        <w:rPr>
          <w:rFonts w:ascii="Times New Roman" w:hAnsi="Times New Roman"/>
          <w:noProof/>
          <w:sz w:val="24"/>
        </w:rPr>
        <w:t>-ul UE actual și considerați utile acțiuni viitoare ale UE?</w:t>
      </w:r>
    </w:p>
    <w:p w:rsidR="00D12436" w:rsidRDefault="007A0E1F">
      <w:pPr>
        <w:keepNext/>
        <w:spacing w:after="240" w:line="240" w:lineRule="auto"/>
        <w:jc w:val="both"/>
        <w:rPr>
          <w:rFonts w:ascii="Times New Roman" w:eastAsia="Times New Roman" w:hAnsi="Times New Roman" w:cs="Times New Roman"/>
          <w:i/>
          <w:noProof/>
          <w:sz w:val="24"/>
          <w:szCs w:val="24"/>
        </w:rPr>
      </w:pPr>
      <w:r>
        <w:rPr>
          <w:rFonts w:ascii="Times New Roman" w:hAnsi="Times New Roman"/>
          <w:i/>
          <w:noProof/>
          <w:sz w:val="24"/>
        </w:rPr>
        <w:t>Privind viitorul sistemelor de activitate și de asigurări sociale</w:t>
      </w:r>
    </w:p>
    <w:p w:rsidR="00D12436" w:rsidRDefault="007A0E1F">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Care ar fi, după părerea dumneavoastră, tendințele cu cel mai ridicat potențial de trans</w:t>
      </w:r>
      <w:r>
        <w:rPr>
          <w:rFonts w:ascii="Times New Roman" w:hAnsi="Times New Roman"/>
          <w:noProof/>
          <w:sz w:val="24"/>
        </w:rPr>
        <w:t>formare?</w:t>
      </w:r>
    </w:p>
    <w:p w:rsidR="00D12436" w:rsidRDefault="00D12436">
      <w:pPr>
        <w:pStyle w:val="ListParagraph"/>
        <w:spacing w:after="240" w:line="240" w:lineRule="auto"/>
        <w:jc w:val="both"/>
        <w:rPr>
          <w:rFonts w:ascii="Times New Roman" w:hAnsi="Times New Roman" w:cs="Times New Roman"/>
          <w:noProof/>
          <w:sz w:val="24"/>
          <w:szCs w:val="24"/>
        </w:rPr>
      </w:pPr>
    </w:p>
    <w:p w:rsidR="00D12436" w:rsidRDefault="007A0E1F">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Care ar fi principalele riscuri și oportunități legate de aceste tendințe?</w:t>
      </w:r>
    </w:p>
    <w:p w:rsidR="00D12436" w:rsidRDefault="00D12436">
      <w:pPr>
        <w:pStyle w:val="ListParagraph"/>
        <w:spacing w:after="240" w:line="240" w:lineRule="auto"/>
        <w:jc w:val="both"/>
        <w:rPr>
          <w:rFonts w:ascii="Times New Roman" w:hAnsi="Times New Roman" w:cs="Times New Roman"/>
          <w:noProof/>
          <w:sz w:val="24"/>
          <w:szCs w:val="24"/>
        </w:rPr>
      </w:pPr>
    </w:p>
    <w:p w:rsidR="00D12436" w:rsidRDefault="007A0E1F">
      <w:pPr>
        <w:pStyle w:val="ListParagraph"/>
        <w:numPr>
          <w:ilvl w:val="0"/>
          <w:numId w:val="23"/>
        </w:numPr>
        <w:spacing w:after="240" w:line="240" w:lineRule="auto"/>
        <w:jc w:val="both"/>
        <w:rPr>
          <w:rFonts w:ascii="Times New Roman" w:eastAsia="Times New Roman" w:hAnsi="Times New Roman" w:cs="Times New Roman"/>
          <w:i/>
          <w:noProof/>
          <w:sz w:val="24"/>
          <w:szCs w:val="24"/>
        </w:rPr>
      </w:pPr>
      <w:r>
        <w:rPr>
          <w:rFonts w:ascii="Times New Roman" w:hAnsi="Times New Roman"/>
          <w:noProof/>
          <w:sz w:val="24"/>
        </w:rPr>
        <w:t>Există politici, practici, instituții sau cabinete private - actuale sau emergente - pe care le-ați recomanda ca puncte de referință?</w:t>
      </w:r>
    </w:p>
    <w:p w:rsidR="00D12436" w:rsidRDefault="007A0E1F">
      <w:pPr>
        <w:keepNext/>
        <w:spacing w:after="240" w:line="240" w:lineRule="auto"/>
        <w:jc w:val="both"/>
        <w:rPr>
          <w:rFonts w:ascii="Times New Roman" w:eastAsia="Times New Roman" w:hAnsi="Times New Roman" w:cs="Times New Roman"/>
          <w:i/>
          <w:noProof/>
          <w:sz w:val="24"/>
          <w:szCs w:val="24"/>
        </w:rPr>
      </w:pPr>
      <w:r>
        <w:rPr>
          <w:rFonts w:ascii="Times New Roman" w:hAnsi="Times New Roman"/>
          <w:i/>
          <w:noProof/>
          <w:sz w:val="24"/>
        </w:rPr>
        <w:t>Privind pilonul european al drepturi</w:t>
      </w:r>
      <w:r>
        <w:rPr>
          <w:rFonts w:ascii="Times New Roman" w:hAnsi="Times New Roman"/>
          <w:i/>
          <w:noProof/>
          <w:sz w:val="24"/>
        </w:rPr>
        <w:t>lor sociale</w:t>
      </w:r>
    </w:p>
    <w:p w:rsidR="00D12436" w:rsidRDefault="007A0E1F">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Sunteți de acord cu abordarea propusă aici pentru instituirea unui pilon european al drepturilor sociale?</w:t>
      </w:r>
    </w:p>
    <w:p w:rsidR="00D12436" w:rsidRDefault="00D12436">
      <w:pPr>
        <w:pStyle w:val="ListParagraph"/>
        <w:spacing w:after="240" w:line="240" w:lineRule="auto"/>
        <w:jc w:val="both"/>
        <w:rPr>
          <w:rFonts w:ascii="Times New Roman" w:hAnsi="Times New Roman" w:cs="Times New Roman"/>
          <w:noProof/>
          <w:sz w:val="24"/>
          <w:szCs w:val="24"/>
        </w:rPr>
      </w:pPr>
    </w:p>
    <w:p w:rsidR="00D12436" w:rsidRDefault="007A0E1F">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Sunteți de acord cu domeniul de aplicare al pilonului, cu domeniile și principiile propuse aici? Există aspecte care nu sunt exprimate sa</w:t>
      </w:r>
      <w:r>
        <w:rPr>
          <w:rFonts w:ascii="Times New Roman" w:hAnsi="Times New Roman"/>
          <w:noProof/>
          <w:sz w:val="24"/>
        </w:rPr>
        <w:t>u acoperite în mod adecvat până în prezent?</w:t>
      </w:r>
    </w:p>
    <w:p w:rsidR="00D12436" w:rsidRDefault="00D12436">
      <w:pPr>
        <w:pStyle w:val="ListParagraph"/>
        <w:spacing w:after="240" w:line="240" w:lineRule="auto"/>
        <w:jc w:val="both"/>
        <w:rPr>
          <w:rFonts w:ascii="Times New Roman" w:hAnsi="Times New Roman" w:cs="Times New Roman"/>
          <w:noProof/>
          <w:sz w:val="24"/>
          <w:szCs w:val="24"/>
        </w:rPr>
      </w:pPr>
    </w:p>
    <w:p w:rsidR="00D12436" w:rsidRDefault="007A0E1F">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Ce domenii și principii ar fi mai importante ca parte a unei convergențe reînnoite pentru zona euro? </w:t>
      </w:r>
    </w:p>
    <w:p w:rsidR="00D12436" w:rsidRDefault="00D12436">
      <w:pPr>
        <w:pStyle w:val="ListParagraph"/>
        <w:spacing w:after="240" w:line="240" w:lineRule="auto"/>
        <w:jc w:val="both"/>
        <w:rPr>
          <w:rFonts w:ascii="Times New Roman" w:hAnsi="Times New Roman" w:cs="Times New Roman"/>
          <w:noProof/>
          <w:sz w:val="24"/>
          <w:szCs w:val="24"/>
        </w:rPr>
      </w:pPr>
    </w:p>
    <w:p w:rsidR="00D12436" w:rsidRDefault="007A0E1F">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noProof/>
          <w:sz w:val="24"/>
        </w:rPr>
        <w:t>Cum ar trebui formulate și puse în practică acestea? În special, puteți identifica domeniul de aplicare și v</w:t>
      </w:r>
      <w:r>
        <w:rPr>
          <w:rFonts w:ascii="Times New Roman" w:hAnsi="Times New Roman"/>
          <w:noProof/>
          <w:sz w:val="24"/>
        </w:rPr>
        <w:t>aloarea adăugată a standardelor minime sau a criteriilor de referință în anumite domenii și, în caz afirmativ, le puteți nominaliza?</w:t>
      </w:r>
    </w:p>
    <w:p w:rsidR="00D12436" w:rsidRDefault="007A0E1F">
      <w:pPr>
        <w:keepLines/>
        <w:rPr>
          <w:rFonts w:ascii="Times New Roman" w:eastAsia="Times New Roman" w:hAnsi="Times New Roman" w:cs="Times New Roman"/>
          <w:noProof/>
          <w:sz w:val="24"/>
          <w:szCs w:val="24"/>
        </w:rPr>
      </w:pPr>
      <w:r>
        <w:rPr>
          <w:rFonts w:ascii="Times New Roman" w:hAnsi="Times New Roman"/>
          <w:noProof/>
          <w:sz w:val="24"/>
        </w:rPr>
        <w:t>Este, de asemenea, posibil să formulați observații cu privire la fiecare domeniu și principiu al pilonului propus prin comp</w:t>
      </w:r>
      <w:r>
        <w:rPr>
          <w:rFonts w:ascii="Times New Roman" w:hAnsi="Times New Roman"/>
          <w:noProof/>
          <w:sz w:val="24"/>
        </w:rPr>
        <w:t>letarea unui chestionar online mai specific, pe pagina web a consultării.</w:t>
      </w:r>
    </w:p>
    <w:sectPr w:rsidR="00D12436">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436" w:rsidRDefault="007A0E1F">
      <w:pPr>
        <w:spacing w:after="0" w:line="240" w:lineRule="auto"/>
      </w:pPr>
      <w:r>
        <w:separator/>
      </w:r>
    </w:p>
  </w:endnote>
  <w:endnote w:type="continuationSeparator" w:id="0">
    <w:p w:rsidR="00D12436" w:rsidRDefault="007A0E1F">
      <w:pPr>
        <w:spacing w:after="0" w:line="240" w:lineRule="auto"/>
      </w:pPr>
      <w:r>
        <w:continuationSeparator/>
      </w:r>
    </w:p>
  </w:endnote>
  <w:endnote w:type="continuationNotice" w:id="1">
    <w:p w:rsidR="00D12436" w:rsidRDefault="00D124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1F" w:rsidRPr="007A0E1F" w:rsidRDefault="007A0E1F" w:rsidP="007A0E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1F" w:rsidRPr="007A0E1F" w:rsidRDefault="007A0E1F" w:rsidP="007A0E1F">
    <w:pPr>
      <w:pStyle w:val="FooterCoverPage"/>
      <w:rPr>
        <w:rFonts w:ascii="Arial" w:hAnsi="Arial" w:cs="Arial"/>
        <w:b/>
        <w:sz w:val="48"/>
      </w:rPr>
    </w:pPr>
    <w:r w:rsidRPr="007A0E1F">
      <w:rPr>
        <w:rFonts w:ascii="Arial" w:hAnsi="Arial" w:cs="Arial"/>
        <w:b/>
        <w:sz w:val="48"/>
      </w:rPr>
      <w:t>RO</w:t>
    </w:r>
    <w:r w:rsidRPr="007A0E1F">
      <w:rPr>
        <w:rFonts w:ascii="Arial" w:hAnsi="Arial" w:cs="Arial"/>
        <w:b/>
        <w:sz w:val="48"/>
      </w:rPr>
      <w:tab/>
    </w:r>
    <w:r w:rsidRPr="007A0E1F">
      <w:rPr>
        <w:rFonts w:ascii="Arial" w:hAnsi="Arial" w:cs="Arial"/>
        <w:b/>
        <w:sz w:val="48"/>
      </w:rPr>
      <w:tab/>
    </w:r>
    <w:fldSimple w:instr=" DOCVARIABLE &quot;LW_Confidence&quot; \* MERGEFORMAT ">
      <w:r>
        <w:t xml:space="preserve"> </w:t>
      </w:r>
    </w:fldSimple>
    <w:r w:rsidRPr="007A0E1F">
      <w:tab/>
    </w:r>
    <w:r w:rsidRPr="007A0E1F">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1F" w:rsidRPr="007A0E1F" w:rsidRDefault="007A0E1F" w:rsidP="007A0E1F">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436" w:rsidRDefault="00D1243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5338135"/>
      <w:docPartObj>
        <w:docPartGallery w:val="Page Numbers (Bottom of Page)"/>
        <w:docPartUnique/>
      </w:docPartObj>
    </w:sdtPr>
    <w:sdtEndPr>
      <w:rPr>
        <w:noProof/>
      </w:rPr>
    </w:sdtEndPr>
    <w:sdtContent>
      <w:p w:rsidR="00D12436" w:rsidRDefault="007A0E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D12436" w:rsidRDefault="00D1243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436" w:rsidRDefault="00D124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436" w:rsidRDefault="007A0E1F">
      <w:pPr>
        <w:spacing w:after="0" w:line="240" w:lineRule="auto"/>
      </w:pPr>
      <w:r>
        <w:separator/>
      </w:r>
    </w:p>
  </w:footnote>
  <w:footnote w:type="continuationSeparator" w:id="0">
    <w:p w:rsidR="00D12436" w:rsidRDefault="007A0E1F">
      <w:pPr>
        <w:spacing w:after="0" w:line="240" w:lineRule="auto"/>
      </w:pPr>
      <w:r>
        <w:continuationSeparator/>
      </w:r>
    </w:p>
  </w:footnote>
  <w:footnote w:type="continuationNotice" w:id="1">
    <w:p w:rsidR="00D12436" w:rsidRDefault="00D12436">
      <w:pPr>
        <w:spacing w:after="0" w:line="240" w:lineRule="auto"/>
      </w:pPr>
    </w:p>
  </w:footnote>
  <w:footnote w:id="2">
    <w:p w:rsidR="00D12436" w:rsidRDefault="007A0E1F">
      <w:pPr>
        <w:pStyle w:val="Default"/>
        <w:jc w:val="both"/>
        <w:rPr>
          <w:rFonts w:ascii="Times New Roman" w:hAnsi="Times New Roman" w:cs="Times New Roman"/>
          <w:sz w:val="20"/>
          <w:szCs w:val="20"/>
          <w:lang w:val="en-US"/>
        </w:rPr>
      </w:pPr>
      <w:r>
        <w:rPr>
          <w:rStyle w:val="FootnoteReference"/>
          <w:rFonts w:ascii="Times New Roman" w:hAnsi="Times New Roman"/>
          <w:sz w:val="20"/>
        </w:rPr>
        <w:footnoteRef/>
      </w:r>
      <w:r>
        <w:rPr>
          <w:rFonts w:ascii="Times New Roman" w:hAnsi="Times New Roman"/>
          <w:sz w:val="20"/>
        </w:rPr>
        <w:t xml:space="preserve"> Orientări politice pentru viitoarea Comisie Europeană, 15 iulie 2014, „Un nou început pentru Europa: Agenda mea pentru locuri de muncă, creștere, echitate și schimbări democratice”.</w:t>
      </w:r>
    </w:p>
  </w:footnote>
  <w:footnote w:id="3">
    <w:p w:rsidR="00D12436" w:rsidRDefault="007A0E1F">
      <w:pPr>
        <w:pStyle w:val="Default"/>
        <w:jc w:val="both"/>
        <w:rPr>
          <w:rFonts w:ascii="Times New Roman" w:hAnsi="Times New Roman" w:cs="Times New Roman"/>
          <w:sz w:val="20"/>
          <w:szCs w:val="20"/>
          <w:lang w:val="en-GB"/>
        </w:rPr>
      </w:pPr>
      <w:r>
        <w:rPr>
          <w:rStyle w:val="FootnoteReference"/>
          <w:rFonts w:ascii="Times New Roman" w:hAnsi="Times New Roman"/>
          <w:sz w:val="20"/>
        </w:rPr>
        <w:footnoteRef/>
      </w:r>
      <w:r>
        <w:rPr>
          <w:rStyle w:val="FootnoteReference"/>
          <w:rFonts w:ascii="Times New Roman" w:hAnsi="Times New Roman"/>
        </w:rPr>
        <w:t xml:space="preserve"> </w:t>
      </w:r>
      <w:r>
        <w:rPr>
          <w:rFonts w:ascii="Times New Roman" w:hAnsi="Times New Roman"/>
          <w:sz w:val="20"/>
        </w:rPr>
        <w:t>Documentul de lucru al serviciilor Comisiei intitulat „Principalele ten</w:t>
      </w:r>
      <w:r>
        <w:rPr>
          <w:rFonts w:ascii="Times New Roman" w:hAnsi="Times New Roman"/>
          <w:sz w:val="20"/>
        </w:rPr>
        <w:t>dințe economice, de ocupare a forței de muncă și sociale care stau la baza pilonului european al drepturilor sociale” [SWD (2016) 51] și „</w:t>
      </w:r>
      <w:r>
        <w:rPr>
          <w:rFonts w:ascii="Times New Roman" w:hAnsi="Times New Roman"/>
          <w:i/>
          <w:sz w:val="20"/>
        </w:rPr>
        <w:t>Acquis</w:t>
      </w:r>
      <w:r>
        <w:rPr>
          <w:rFonts w:ascii="Times New Roman" w:hAnsi="Times New Roman"/>
          <w:sz w:val="20"/>
        </w:rPr>
        <w:t>-ul social al UE” [SWD (2016) 50] din 8 martie 2016.</w:t>
      </w:r>
    </w:p>
  </w:footnote>
  <w:footnote w:id="4">
    <w:p w:rsidR="00D12436" w:rsidRDefault="007A0E1F">
      <w:pPr>
        <w:pStyle w:val="Default"/>
        <w:jc w:val="both"/>
        <w:rPr>
          <w:rFonts w:ascii="Times New Roman" w:hAnsi="Times New Roman" w:cs="Times New Roman"/>
          <w:highlight w:val="yellow"/>
        </w:rPr>
      </w:pPr>
      <w:r>
        <w:rPr>
          <w:rStyle w:val="FootnoteReference"/>
          <w:rFonts w:ascii="Times New Roman" w:hAnsi="Times New Roman"/>
          <w:color w:val="auto"/>
          <w:sz w:val="20"/>
        </w:rPr>
        <w:footnoteRef/>
      </w:r>
      <w:r>
        <w:rPr>
          <w:rStyle w:val="FootnoteReference"/>
          <w:color w:val="auto"/>
          <w:sz w:val="20"/>
        </w:rPr>
        <w:t xml:space="preserve"> </w:t>
      </w:r>
      <w:r>
        <w:rPr>
          <w:rFonts w:ascii="Times New Roman" w:hAnsi="Times New Roman"/>
          <w:sz w:val="20"/>
        </w:rPr>
        <w:t xml:space="preserve">A se vedea, de exemplu, OIM (2015), </w:t>
      </w:r>
      <w:r>
        <w:rPr>
          <w:rFonts w:ascii="Times New Roman" w:hAnsi="Times New Roman"/>
          <w:i/>
          <w:sz w:val="20"/>
        </w:rPr>
        <w:t>”The future of work c</w:t>
      </w:r>
      <w:r>
        <w:rPr>
          <w:rFonts w:ascii="Times New Roman" w:hAnsi="Times New Roman"/>
          <w:i/>
          <w:sz w:val="20"/>
        </w:rPr>
        <w:t>entenary initiative”</w:t>
      </w:r>
      <w:r>
        <w:rPr>
          <w:rFonts w:ascii="Times New Roman" w:hAnsi="Times New Roman"/>
          <w:sz w:val="20"/>
        </w:rPr>
        <w:t xml:space="preserve"> (Inițiativa centenarului OIM privind viitorul muncii); OCDE (2016), </w:t>
      </w:r>
      <w:r>
        <w:rPr>
          <w:rFonts w:ascii="Times New Roman" w:hAnsi="Times New Roman"/>
          <w:i/>
          <w:sz w:val="20"/>
        </w:rPr>
        <w:t>”Policy Forum on the future of work”</w:t>
      </w:r>
      <w:r>
        <w:rPr>
          <w:rFonts w:ascii="Times New Roman" w:hAnsi="Times New Roman"/>
          <w:sz w:val="20"/>
        </w:rPr>
        <w:t xml:space="preserve"> (Forumul politicilor privind viitorul muncii); Bertelsmann Stiftung (2015), </w:t>
      </w:r>
      <w:r>
        <w:rPr>
          <w:rFonts w:ascii="Times New Roman" w:hAnsi="Times New Roman"/>
          <w:i/>
          <w:sz w:val="20"/>
        </w:rPr>
        <w:t>”Redesigning European welfare states – Ways forward”</w:t>
      </w:r>
      <w:r>
        <w:rPr>
          <w:rFonts w:ascii="Times New Roman" w:hAnsi="Times New Roman"/>
          <w:sz w:val="20"/>
        </w:rPr>
        <w:t xml:space="preserve"> (</w:t>
      </w:r>
      <w:r>
        <w:rPr>
          <w:rFonts w:ascii="Times New Roman" w:hAnsi="Times New Roman"/>
          <w:sz w:val="20"/>
        </w:rPr>
        <w:t>Redefinirea statelor-providență europene - calea de urmat); Bundesministerium für Arbeit und Soziales (2015), ”</w:t>
      </w:r>
      <w:r>
        <w:rPr>
          <w:rFonts w:ascii="Times New Roman" w:hAnsi="Times New Roman"/>
          <w:i/>
          <w:sz w:val="20"/>
        </w:rPr>
        <w:t>Green Paper:</w:t>
      </w:r>
      <w:r>
        <w:rPr>
          <w:rFonts w:ascii="Times New Roman" w:hAnsi="Times New Roman"/>
          <w:sz w:val="20"/>
        </w:rPr>
        <w:t xml:space="preserve"> </w:t>
      </w:r>
      <w:r>
        <w:rPr>
          <w:rFonts w:ascii="Times New Roman" w:hAnsi="Times New Roman"/>
          <w:i/>
          <w:sz w:val="20"/>
        </w:rPr>
        <w:t>Re-Imagining Work.</w:t>
      </w:r>
      <w:r>
        <w:rPr>
          <w:rFonts w:ascii="Times New Roman" w:hAnsi="Times New Roman"/>
          <w:sz w:val="20"/>
        </w:rPr>
        <w:t xml:space="preserve"> </w:t>
      </w:r>
      <w:r>
        <w:rPr>
          <w:rFonts w:ascii="Times New Roman" w:hAnsi="Times New Roman"/>
          <w:i/>
          <w:sz w:val="20"/>
        </w:rPr>
        <w:t>Work 4.0</w:t>
      </w:r>
      <w:r>
        <w:rPr>
          <w:rFonts w:ascii="Times New Roman" w:hAnsi="Times New Roman"/>
          <w:sz w:val="20"/>
        </w:rPr>
        <w:t>” (Cartea verde: Reimaginarea muncii. Munca 4.0), Forumul economic mondial (2016), ”</w:t>
      </w:r>
      <w:r>
        <w:rPr>
          <w:rFonts w:ascii="Times New Roman" w:hAnsi="Times New Roman"/>
          <w:i/>
          <w:sz w:val="20"/>
        </w:rPr>
        <w:t>The Future of Jobs: E</w:t>
      </w:r>
      <w:r>
        <w:rPr>
          <w:rFonts w:ascii="Times New Roman" w:hAnsi="Times New Roman"/>
          <w:i/>
          <w:sz w:val="20"/>
        </w:rPr>
        <w:t>mployment, Skills and Workforce Strategy for the Fourth Industrial Revolution</w:t>
      </w:r>
      <w:r>
        <w:rPr>
          <w:rFonts w:ascii="Times New Roman" w:hAnsi="Times New Roman"/>
          <w:sz w:val="20"/>
        </w:rPr>
        <w:t xml:space="preserve">” (Viitorul locurilor de muncă: Strategie privind ocuparea forței de muncă, competențele și forța de muncă pentru cea de-a patra revoluție industrială); OCDE, FMI, Banca Mondială </w:t>
      </w:r>
      <w:r>
        <w:rPr>
          <w:rFonts w:ascii="Times New Roman" w:hAnsi="Times New Roman"/>
          <w:sz w:val="20"/>
        </w:rPr>
        <w:t>ș</w:t>
      </w:r>
      <w:r>
        <w:rPr>
          <w:rFonts w:ascii="Times New Roman" w:hAnsi="Times New Roman"/>
          <w:sz w:val="20"/>
        </w:rPr>
        <w:t>i OIM (2015), ”</w:t>
      </w:r>
      <w:r>
        <w:rPr>
          <w:rFonts w:ascii="Times New Roman" w:hAnsi="Times New Roman"/>
          <w:i/>
          <w:sz w:val="20"/>
        </w:rPr>
        <w:t>Income inequality and labour income share in G20 countries: Trends, Impacts and Causes</w:t>
      </w:r>
      <w:r>
        <w:rPr>
          <w:rFonts w:ascii="Times New Roman" w:hAnsi="Times New Roman"/>
          <w:sz w:val="20"/>
        </w:rPr>
        <w:t xml:space="preserve">” (Inegalitatea veniturilor și cota venitului din muncă în țările G20:Tendințe, efecte și cauze). </w:t>
      </w:r>
    </w:p>
  </w:footnote>
  <w:footnote w:id="5">
    <w:p w:rsidR="00D12436" w:rsidRDefault="007A0E1F">
      <w:pPr>
        <w:pStyle w:val="FootnoteText"/>
        <w:jc w:val="both"/>
      </w:pPr>
      <w:r>
        <w:rPr>
          <w:rStyle w:val="FootnoteReference"/>
          <w:rFonts w:ascii="Times New Roman" w:hAnsi="Times New Roman"/>
        </w:rPr>
        <w:footnoteRef/>
      </w:r>
      <w:r>
        <w:rPr>
          <w:rFonts w:ascii="Times New Roman" w:hAnsi="Times New Roman"/>
        </w:rPr>
        <w:t xml:space="preserve"> „Finalizarea uniunii economice și monetare a Europei”</w:t>
      </w:r>
      <w:r>
        <w:rPr>
          <w:rFonts w:ascii="Times New Roman" w:hAnsi="Times New Roman"/>
        </w:rPr>
        <w:t>, raport întocmit de Jean-Claude Juncker, în cooperare cu Donald Tusk, Jeroen Dijsselbloem, Mario Draghi și Martin Schulz, iunie 2015.</w:t>
      </w:r>
      <w:r>
        <w:rPr>
          <w:rStyle w:val="Caractresdenotedebasdepage"/>
        </w:rPr>
        <w:t xml:space="preserve"> </w:t>
      </w:r>
      <w:r>
        <w:rPr>
          <w:rFonts w:ascii="Times New Roman" w:hAnsi="Times New Roman"/>
        </w:rPr>
        <w:t>În cadrul contribuției lor comune la raport, Franța și Germania, de exemplu, au subliniat necesitatea de a consolida coop</w:t>
      </w:r>
      <w:r>
        <w:rPr>
          <w:rFonts w:ascii="Times New Roman" w:hAnsi="Times New Roman"/>
        </w:rPr>
        <w:t xml:space="preserve">erarea și orientările comune în anumite domenii, cum ar fi politicile active privind piața muncii și sistemele de asigurări sociale. A se vedea, de asemenea, </w:t>
      </w:r>
      <w:r>
        <w:rPr>
          <w:rFonts w:ascii="Times New Roman" w:hAnsi="Times New Roman"/>
          <w:color w:val="000000"/>
        </w:rPr>
        <w:t>Centrul european de strategie politică (2015), „Dimensiunea socială a uniunii economice și monetar</w:t>
      </w:r>
      <w:r>
        <w:rPr>
          <w:rFonts w:ascii="Times New Roman" w:hAnsi="Times New Roman"/>
          <w:color w:val="000000"/>
        </w:rPr>
        <w:t>e”.</w:t>
      </w:r>
      <w:r>
        <w:rPr>
          <w:rFonts w:ascii="Times New Roman" w:hAnsi="Times New Roman"/>
        </w:rPr>
        <w:t xml:space="preserve"> </w:t>
      </w:r>
    </w:p>
  </w:footnote>
  <w:footnote w:id="6">
    <w:p w:rsidR="00D12436" w:rsidRDefault="007A0E1F">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 (2015) 600 din 21 octombrie 2015, intitulată „Pași către finalizarea uniunii economice și monetare”.</w:t>
      </w:r>
    </w:p>
  </w:footnote>
  <w:footnote w:id="7">
    <w:p w:rsidR="00D12436" w:rsidRDefault="007A0E1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Vă rugăm să luați la cunoștință faptul că toate contribuțiile primite, împreună cu datele privind identitatea participantului la consultare, v</w:t>
      </w:r>
      <w:r>
        <w:rPr>
          <w:rFonts w:ascii="Times New Roman" w:hAnsi="Times New Roman"/>
        </w:rPr>
        <w:t>or fi publicate pe internet, cu excepția cazului în care participantul nu este de acord cu publicarea datelor cu caracter personal, motivând că aceasta ar putea aduce atingere intereselor sale legitime. În acest caz, contribuția poate fi publicată păstrând</w:t>
      </w:r>
      <w:r>
        <w:rPr>
          <w:rFonts w:ascii="Times New Roman" w:hAnsi="Times New Roman"/>
        </w:rPr>
        <w:t>u-se anonimatul autorului. În caz contrar, contribuția nu va fi publicată și, în principiu, nici conținutul acesteia nu va fi luat în considerare.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1F" w:rsidRPr="007A0E1F" w:rsidRDefault="007A0E1F" w:rsidP="007A0E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1F" w:rsidRPr="007A0E1F" w:rsidRDefault="007A0E1F" w:rsidP="007A0E1F">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1F" w:rsidRPr="007A0E1F" w:rsidRDefault="007A0E1F" w:rsidP="007A0E1F">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436" w:rsidRDefault="00D1243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436" w:rsidRDefault="00D12436">
    <w:pPr>
      <w:pStyle w:val="Header"/>
      <w:jc w:val="right"/>
    </w:pPr>
  </w:p>
  <w:p w:rsidR="00D12436" w:rsidRDefault="00D1243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436" w:rsidRDefault="00D124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9C1457"/>
    <w:multiLevelType w:val="hybridMultilevel"/>
    <w:tmpl w:val="E51AA030"/>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5F5EA0"/>
    <w:multiLevelType w:val="hybridMultilevel"/>
    <w:tmpl w:val="B9987802"/>
    <w:lvl w:ilvl="0" w:tplc="0809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1B7D34B1"/>
    <w:multiLevelType w:val="hybridMultilevel"/>
    <w:tmpl w:val="FB78AE86"/>
    <w:lvl w:ilvl="0" w:tplc="D660CF96">
      <w:start w:val="1"/>
      <w:numFmt w:val="decimal"/>
      <w:lvlText w:val="%1)"/>
      <w:lvlJc w:val="left"/>
      <w:pPr>
        <w:ind w:left="720" w:hanging="360"/>
      </w:pPr>
      <w:rPr>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22AA7B19"/>
    <w:multiLevelType w:val="hybridMultilevel"/>
    <w:tmpl w:val="4D762A72"/>
    <w:lvl w:ilvl="0" w:tplc="041D0011">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5">
    <w:nsid w:val="22D04BCA"/>
    <w:multiLevelType w:val="multilevel"/>
    <w:tmpl w:val="7420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937DAD"/>
    <w:multiLevelType w:val="hybridMultilevel"/>
    <w:tmpl w:val="4232E050"/>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57E18F2"/>
    <w:multiLevelType w:val="hybridMultilevel"/>
    <w:tmpl w:val="483A6F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3D151471"/>
    <w:multiLevelType w:val="hybridMultilevel"/>
    <w:tmpl w:val="32240B54"/>
    <w:lvl w:ilvl="0" w:tplc="0428F2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4D3BA1"/>
    <w:multiLevelType w:val="hybridMultilevel"/>
    <w:tmpl w:val="A8D2F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5853184"/>
    <w:multiLevelType w:val="hybridMultilevel"/>
    <w:tmpl w:val="8B0233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6753EE3"/>
    <w:multiLevelType w:val="hybridMultilevel"/>
    <w:tmpl w:val="ACEE9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C4110A7"/>
    <w:multiLevelType w:val="hybridMultilevel"/>
    <w:tmpl w:val="268AD6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20551C9"/>
    <w:multiLevelType w:val="hybridMultilevel"/>
    <w:tmpl w:val="BFD25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2EF5C39"/>
    <w:multiLevelType w:val="hybridMultilevel"/>
    <w:tmpl w:val="63F076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5F3F4EA9"/>
    <w:multiLevelType w:val="hybridMultilevel"/>
    <w:tmpl w:val="2A987962"/>
    <w:lvl w:ilvl="0" w:tplc="31F290D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5AA768B"/>
    <w:multiLevelType w:val="hybridMultilevel"/>
    <w:tmpl w:val="ABA2E320"/>
    <w:lvl w:ilvl="0" w:tplc="F60AA468">
      <w:start w:val="1"/>
      <w:numFmt w:val="bullet"/>
      <w:lvlText w:val="-"/>
      <w:lvlJc w:val="left"/>
      <w:pPr>
        <w:ind w:left="1080" w:hanging="360"/>
      </w:pPr>
      <w:rPr>
        <w:rFonts w:ascii="Times New Roman" w:eastAsiaTheme="minorHAnsi" w:hAnsi="Times New Roman" w:cs="Times New Roman" w:hint="default"/>
        <w:color w:val="1F497D"/>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nsid w:val="673F234B"/>
    <w:multiLevelType w:val="hybridMultilevel"/>
    <w:tmpl w:val="5D8C5B60"/>
    <w:lvl w:ilvl="0" w:tplc="0809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nsid w:val="6B166CED"/>
    <w:multiLevelType w:val="hybridMultilevel"/>
    <w:tmpl w:val="51DA727E"/>
    <w:lvl w:ilvl="0" w:tplc="E22676A0">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19">
    <w:nsid w:val="74640298"/>
    <w:multiLevelType w:val="hybridMultilevel"/>
    <w:tmpl w:val="79287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7C13A8"/>
    <w:multiLevelType w:val="hybridMultilevel"/>
    <w:tmpl w:val="484884E2"/>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nsid w:val="74900DBB"/>
    <w:multiLevelType w:val="hybridMultilevel"/>
    <w:tmpl w:val="2F0E8AD8"/>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nsid w:val="7E3D5012"/>
    <w:multiLevelType w:val="hybridMultilevel"/>
    <w:tmpl w:val="FFB2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2"/>
  </w:num>
  <w:num w:numId="3">
    <w:abstractNumId w:val="5"/>
  </w:num>
  <w:num w:numId="4">
    <w:abstractNumId w:val="13"/>
  </w:num>
  <w:num w:numId="5">
    <w:abstractNumId w:val="15"/>
  </w:num>
  <w:num w:numId="6">
    <w:abstractNumId w:val="9"/>
  </w:num>
  <w:num w:numId="7">
    <w:abstractNumId w:val="1"/>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4"/>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6"/>
  </w:num>
  <w:num w:numId="17">
    <w:abstractNumId w:val="17"/>
  </w:num>
  <w:num w:numId="18">
    <w:abstractNumId w:val="2"/>
  </w:num>
  <w:num w:numId="19">
    <w:abstractNumId w:val="12"/>
  </w:num>
  <w:num w:numId="20">
    <w:abstractNumId w:val="21"/>
  </w:num>
  <w:num w:numId="21">
    <w:abstractNumId w:val="6"/>
  </w:num>
  <w:num w:numId="22">
    <w:abstractNumId w:val="0"/>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382678F143CB488195A4E5F9960C8355"/>
    <w:docVar w:name="LW_CROSSREFERENCE" w:val="{SWD(2016) 50 final}_x000b_{SWD(2016) 51 final}"/>
    <w:docVar w:name="LW_DocType" w:val="NORMAL"/>
    <w:docVar w:name="LW_EMISSION" w:val="8.3.2016"/>
    <w:docVar w:name="LW_EMISSION_ISODATE" w:val="2016-03-08"/>
    <w:docVar w:name="LW_EMISSION_LOCATION" w:val="STR"/>
    <w:docVar w:name="LW_EMISSION_PREFIX" w:val="Strasbourg,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127"/>
    <w:docVar w:name="LW_REF.INTERNE" w:val="&lt;UNUSED&gt;"/>
    <w:docVar w:name="LW_SOUS.TITRE.OBJ.CP" w:val="&lt;UNUSED&gt;"/>
    <w:docVar w:name="LW_SUPERTITRE" w:val="&lt;UNUSED&gt;"/>
    <w:docVar w:name="LW_TITRE.OBJ.CP" w:val="Lansarea unei consult\u259?ri privind un pilon european al drepturilor sociale"/>
    <w:docVar w:name="LW_TYPE.DOC.CP" w:val="COMUNICARE A COMISIEI C\u258?TRE PARLAMENTUL EUROPEAN, CONSILIU, COMITETUL ECONOMIC \u536?I SOCIAL EUROPEAN \u536?I COMITETUL REGIUNILOR"/>
    <w:docVar w:name="LW_TYPE.DOC.CP.USERTEXT" w:val="&lt;EMPTY&gt;"/>
  </w:docVars>
  <w:rsids>
    <w:rsidRoot w:val="00D12436"/>
    <w:rsid w:val="007A0E1F"/>
    <w:rsid w:val="00D1243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ootnote 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SUPERS"/>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Georgia" w:hAnsi="Georgia" w:cs="Georgia"/>
      <w:color w:val="000000"/>
      <w:sz w:val="24"/>
      <w:szCs w:val="24"/>
    </w:rPr>
  </w:style>
  <w:style w:type="character" w:customStyle="1" w:styleId="st1">
    <w:name w:val="st1"/>
    <w:basedOn w:val="DefaultParagraphFont"/>
  </w:style>
  <w:style w:type="paragraph" w:customStyle="1" w:styleId="Body">
    <w:name w:val="Body"/>
    <w:pPr>
      <w:pBdr>
        <w:top w:val="nil"/>
        <w:left w:val="nil"/>
        <w:bottom w:val="nil"/>
        <w:right w:val="nil"/>
        <w:between w:val="nil"/>
        <w:bar w:val="nil"/>
      </w:pBdr>
      <w:spacing w:after="120" w:line="240" w:lineRule="auto"/>
      <w:jc w:val="both"/>
    </w:pPr>
    <w:rPr>
      <w:rFonts w:ascii="Verdana" w:eastAsia="Times New Roman" w:hAnsi="Verdana" w:cs="Times New Roman"/>
      <w:color w:val="000000"/>
      <w:sz w:val="20"/>
      <w:szCs w:val="24"/>
      <w:u w:color="000000"/>
      <w:bdr w:val="nil"/>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ootnote 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SUPERS"/>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Georgia" w:hAnsi="Georgia" w:cs="Georgia"/>
      <w:color w:val="000000"/>
      <w:sz w:val="24"/>
      <w:szCs w:val="24"/>
    </w:rPr>
  </w:style>
  <w:style w:type="character" w:customStyle="1" w:styleId="st1">
    <w:name w:val="st1"/>
    <w:basedOn w:val="DefaultParagraphFont"/>
  </w:style>
  <w:style w:type="paragraph" w:customStyle="1" w:styleId="Body">
    <w:name w:val="Body"/>
    <w:pPr>
      <w:pBdr>
        <w:top w:val="nil"/>
        <w:left w:val="nil"/>
        <w:bottom w:val="nil"/>
        <w:right w:val="nil"/>
        <w:between w:val="nil"/>
        <w:bar w:val="nil"/>
      </w:pBdr>
      <w:spacing w:after="120" w:line="240" w:lineRule="auto"/>
      <w:jc w:val="both"/>
    </w:pPr>
    <w:rPr>
      <w:rFonts w:ascii="Verdana" w:eastAsia="Times New Roman" w:hAnsi="Verdana" w:cs="Times New Roman"/>
      <w:color w:val="000000"/>
      <w:sz w:val="20"/>
      <w:szCs w:val="24"/>
      <w:u w:color="000000"/>
      <w:bdr w:val="nil"/>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13181">
      <w:bodyDiv w:val="1"/>
      <w:marLeft w:val="0"/>
      <w:marRight w:val="0"/>
      <w:marTop w:val="0"/>
      <w:marBottom w:val="0"/>
      <w:divBdr>
        <w:top w:val="none" w:sz="0" w:space="0" w:color="auto"/>
        <w:left w:val="none" w:sz="0" w:space="0" w:color="auto"/>
        <w:bottom w:val="none" w:sz="0" w:space="0" w:color="auto"/>
        <w:right w:val="none" w:sz="0" w:space="0" w:color="auto"/>
      </w:divBdr>
      <w:divsChild>
        <w:div w:id="1350519874">
          <w:marLeft w:val="0"/>
          <w:marRight w:val="0"/>
          <w:marTop w:val="0"/>
          <w:marBottom w:val="0"/>
          <w:divBdr>
            <w:top w:val="none" w:sz="0" w:space="0" w:color="auto"/>
            <w:left w:val="none" w:sz="0" w:space="0" w:color="auto"/>
            <w:bottom w:val="none" w:sz="0" w:space="0" w:color="auto"/>
            <w:right w:val="none" w:sz="0" w:space="0" w:color="auto"/>
          </w:divBdr>
          <w:divsChild>
            <w:div w:id="72439869">
              <w:marLeft w:val="0"/>
              <w:marRight w:val="0"/>
              <w:marTop w:val="0"/>
              <w:marBottom w:val="0"/>
              <w:divBdr>
                <w:top w:val="none" w:sz="0" w:space="0" w:color="auto"/>
                <w:left w:val="none" w:sz="0" w:space="0" w:color="auto"/>
                <w:bottom w:val="none" w:sz="0" w:space="0" w:color="auto"/>
                <w:right w:val="none" w:sz="0" w:space="0" w:color="auto"/>
              </w:divBdr>
              <w:divsChild>
                <w:div w:id="478503129">
                  <w:marLeft w:val="0"/>
                  <w:marRight w:val="0"/>
                  <w:marTop w:val="0"/>
                  <w:marBottom w:val="0"/>
                  <w:divBdr>
                    <w:top w:val="none" w:sz="0" w:space="0" w:color="auto"/>
                    <w:left w:val="none" w:sz="0" w:space="0" w:color="auto"/>
                    <w:bottom w:val="none" w:sz="0" w:space="0" w:color="auto"/>
                    <w:right w:val="none" w:sz="0" w:space="0" w:color="auto"/>
                  </w:divBdr>
                  <w:divsChild>
                    <w:div w:id="2118212395">
                      <w:marLeft w:val="0"/>
                      <w:marRight w:val="0"/>
                      <w:marTop w:val="0"/>
                      <w:marBottom w:val="0"/>
                      <w:divBdr>
                        <w:top w:val="none" w:sz="0" w:space="0" w:color="auto"/>
                        <w:left w:val="none" w:sz="0" w:space="0" w:color="auto"/>
                        <w:bottom w:val="none" w:sz="0" w:space="0" w:color="auto"/>
                        <w:right w:val="none" w:sz="0" w:space="0" w:color="auto"/>
                      </w:divBdr>
                      <w:divsChild>
                        <w:div w:id="1682928748">
                          <w:marLeft w:val="0"/>
                          <w:marRight w:val="0"/>
                          <w:marTop w:val="0"/>
                          <w:marBottom w:val="0"/>
                          <w:divBdr>
                            <w:top w:val="none" w:sz="0" w:space="0" w:color="auto"/>
                            <w:left w:val="none" w:sz="0" w:space="0" w:color="auto"/>
                            <w:bottom w:val="none" w:sz="0" w:space="0" w:color="auto"/>
                            <w:right w:val="none" w:sz="0" w:space="0" w:color="auto"/>
                          </w:divBdr>
                          <w:divsChild>
                            <w:div w:id="2110197764">
                              <w:marLeft w:val="0"/>
                              <w:marRight w:val="0"/>
                              <w:marTop w:val="0"/>
                              <w:marBottom w:val="0"/>
                              <w:divBdr>
                                <w:top w:val="none" w:sz="0" w:space="0" w:color="auto"/>
                                <w:left w:val="none" w:sz="0" w:space="0" w:color="auto"/>
                                <w:bottom w:val="none" w:sz="0" w:space="0" w:color="auto"/>
                                <w:right w:val="none" w:sz="0" w:space="0" w:color="auto"/>
                              </w:divBdr>
                              <w:divsChild>
                                <w:div w:id="602617236">
                                  <w:marLeft w:val="0"/>
                                  <w:marRight w:val="0"/>
                                  <w:marTop w:val="0"/>
                                  <w:marBottom w:val="0"/>
                                  <w:divBdr>
                                    <w:top w:val="none" w:sz="0" w:space="0" w:color="auto"/>
                                    <w:left w:val="none" w:sz="0" w:space="0" w:color="auto"/>
                                    <w:bottom w:val="none" w:sz="0" w:space="0" w:color="auto"/>
                                    <w:right w:val="none" w:sz="0" w:space="0" w:color="auto"/>
                                  </w:divBdr>
                                  <w:divsChild>
                                    <w:div w:id="1151361358">
                                      <w:marLeft w:val="0"/>
                                      <w:marRight w:val="0"/>
                                      <w:marTop w:val="0"/>
                                      <w:marBottom w:val="0"/>
                                      <w:divBdr>
                                        <w:top w:val="none" w:sz="0" w:space="0" w:color="auto"/>
                                        <w:left w:val="none" w:sz="0" w:space="0" w:color="auto"/>
                                        <w:bottom w:val="none" w:sz="0" w:space="0" w:color="auto"/>
                                        <w:right w:val="none" w:sz="0" w:space="0" w:color="auto"/>
                                      </w:divBdr>
                                      <w:divsChild>
                                        <w:div w:id="133814649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645162">
      <w:bodyDiv w:val="1"/>
      <w:marLeft w:val="0"/>
      <w:marRight w:val="0"/>
      <w:marTop w:val="0"/>
      <w:marBottom w:val="0"/>
      <w:divBdr>
        <w:top w:val="none" w:sz="0" w:space="0" w:color="auto"/>
        <w:left w:val="none" w:sz="0" w:space="0" w:color="auto"/>
        <w:bottom w:val="none" w:sz="0" w:space="0" w:color="auto"/>
        <w:right w:val="none" w:sz="0" w:space="0" w:color="auto"/>
      </w:divBdr>
    </w:div>
    <w:div w:id="413934384">
      <w:bodyDiv w:val="1"/>
      <w:marLeft w:val="0"/>
      <w:marRight w:val="0"/>
      <w:marTop w:val="0"/>
      <w:marBottom w:val="0"/>
      <w:divBdr>
        <w:top w:val="none" w:sz="0" w:space="0" w:color="auto"/>
        <w:left w:val="none" w:sz="0" w:space="0" w:color="auto"/>
        <w:bottom w:val="none" w:sz="0" w:space="0" w:color="auto"/>
        <w:right w:val="none" w:sz="0" w:space="0" w:color="auto"/>
      </w:divBdr>
    </w:div>
    <w:div w:id="477497327">
      <w:bodyDiv w:val="1"/>
      <w:marLeft w:val="0"/>
      <w:marRight w:val="0"/>
      <w:marTop w:val="0"/>
      <w:marBottom w:val="0"/>
      <w:divBdr>
        <w:top w:val="none" w:sz="0" w:space="0" w:color="auto"/>
        <w:left w:val="none" w:sz="0" w:space="0" w:color="auto"/>
        <w:bottom w:val="none" w:sz="0" w:space="0" w:color="auto"/>
        <w:right w:val="none" w:sz="0" w:space="0" w:color="auto"/>
      </w:divBdr>
    </w:div>
    <w:div w:id="531528633">
      <w:bodyDiv w:val="1"/>
      <w:marLeft w:val="0"/>
      <w:marRight w:val="0"/>
      <w:marTop w:val="0"/>
      <w:marBottom w:val="0"/>
      <w:divBdr>
        <w:top w:val="none" w:sz="0" w:space="0" w:color="auto"/>
        <w:left w:val="none" w:sz="0" w:space="0" w:color="auto"/>
        <w:bottom w:val="none" w:sz="0" w:space="0" w:color="auto"/>
        <w:right w:val="none" w:sz="0" w:space="0" w:color="auto"/>
      </w:divBdr>
    </w:div>
    <w:div w:id="777527738">
      <w:bodyDiv w:val="1"/>
      <w:marLeft w:val="0"/>
      <w:marRight w:val="0"/>
      <w:marTop w:val="0"/>
      <w:marBottom w:val="0"/>
      <w:divBdr>
        <w:top w:val="none" w:sz="0" w:space="0" w:color="auto"/>
        <w:left w:val="none" w:sz="0" w:space="0" w:color="auto"/>
        <w:bottom w:val="none" w:sz="0" w:space="0" w:color="auto"/>
        <w:right w:val="none" w:sz="0" w:space="0" w:color="auto"/>
      </w:divBdr>
      <w:divsChild>
        <w:div w:id="110168282">
          <w:marLeft w:val="0"/>
          <w:marRight w:val="0"/>
          <w:marTop w:val="0"/>
          <w:marBottom w:val="0"/>
          <w:divBdr>
            <w:top w:val="none" w:sz="0" w:space="0" w:color="auto"/>
            <w:left w:val="none" w:sz="0" w:space="0" w:color="auto"/>
            <w:bottom w:val="none" w:sz="0" w:space="0" w:color="auto"/>
            <w:right w:val="none" w:sz="0" w:space="0" w:color="auto"/>
          </w:divBdr>
          <w:divsChild>
            <w:div w:id="397829100">
              <w:marLeft w:val="0"/>
              <w:marRight w:val="0"/>
              <w:marTop w:val="0"/>
              <w:marBottom w:val="150"/>
              <w:divBdr>
                <w:top w:val="none" w:sz="0" w:space="0" w:color="auto"/>
                <w:left w:val="none" w:sz="0" w:space="0" w:color="auto"/>
                <w:bottom w:val="none" w:sz="0" w:space="0" w:color="auto"/>
                <w:right w:val="none" w:sz="0" w:space="0" w:color="auto"/>
              </w:divBdr>
              <w:divsChild>
                <w:div w:id="972908215">
                  <w:marLeft w:val="0"/>
                  <w:marRight w:val="0"/>
                  <w:marTop w:val="0"/>
                  <w:marBottom w:val="0"/>
                  <w:divBdr>
                    <w:top w:val="none" w:sz="0" w:space="0" w:color="auto"/>
                    <w:left w:val="none" w:sz="0" w:space="0" w:color="auto"/>
                    <w:bottom w:val="none" w:sz="0" w:space="0" w:color="auto"/>
                    <w:right w:val="none" w:sz="0" w:space="0" w:color="auto"/>
                  </w:divBdr>
                  <w:divsChild>
                    <w:div w:id="1495881165">
                      <w:marLeft w:val="0"/>
                      <w:marRight w:val="0"/>
                      <w:marTop w:val="0"/>
                      <w:marBottom w:val="0"/>
                      <w:divBdr>
                        <w:top w:val="none" w:sz="0" w:space="0" w:color="auto"/>
                        <w:left w:val="none" w:sz="0" w:space="0" w:color="auto"/>
                        <w:bottom w:val="none" w:sz="0" w:space="0" w:color="auto"/>
                        <w:right w:val="none" w:sz="0" w:space="0" w:color="auto"/>
                      </w:divBdr>
                      <w:divsChild>
                        <w:div w:id="1531798804">
                          <w:marLeft w:val="0"/>
                          <w:marRight w:val="0"/>
                          <w:marTop w:val="0"/>
                          <w:marBottom w:val="0"/>
                          <w:divBdr>
                            <w:top w:val="none" w:sz="0" w:space="0" w:color="auto"/>
                            <w:left w:val="none" w:sz="0" w:space="0" w:color="auto"/>
                            <w:bottom w:val="none" w:sz="0" w:space="0" w:color="auto"/>
                            <w:right w:val="none" w:sz="0" w:space="0" w:color="auto"/>
                          </w:divBdr>
                          <w:divsChild>
                            <w:div w:id="985932524">
                              <w:marLeft w:val="0"/>
                              <w:marRight w:val="0"/>
                              <w:marTop w:val="0"/>
                              <w:marBottom w:val="0"/>
                              <w:divBdr>
                                <w:top w:val="none" w:sz="0" w:space="0" w:color="auto"/>
                                <w:left w:val="none" w:sz="0" w:space="0" w:color="auto"/>
                                <w:bottom w:val="none" w:sz="0" w:space="0" w:color="auto"/>
                                <w:right w:val="none" w:sz="0" w:space="0" w:color="auto"/>
                              </w:divBdr>
                              <w:divsChild>
                                <w:div w:id="510723127">
                                  <w:marLeft w:val="0"/>
                                  <w:marRight w:val="-3600"/>
                                  <w:marTop w:val="150"/>
                                  <w:marBottom w:val="0"/>
                                  <w:divBdr>
                                    <w:top w:val="none" w:sz="0" w:space="0" w:color="auto"/>
                                    <w:left w:val="none" w:sz="0" w:space="0" w:color="auto"/>
                                    <w:bottom w:val="none" w:sz="0" w:space="0" w:color="auto"/>
                                    <w:right w:val="none" w:sz="0" w:space="0" w:color="auto"/>
                                  </w:divBdr>
                                  <w:divsChild>
                                    <w:div w:id="1167982626">
                                      <w:marLeft w:val="0"/>
                                      <w:marRight w:val="3600"/>
                                      <w:marTop w:val="0"/>
                                      <w:marBottom w:val="0"/>
                                      <w:divBdr>
                                        <w:top w:val="none" w:sz="0" w:space="0" w:color="auto"/>
                                        <w:left w:val="none" w:sz="0" w:space="0" w:color="auto"/>
                                        <w:bottom w:val="none" w:sz="0" w:space="0" w:color="auto"/>
                                        <w:right w:val="none" w:sz="0" w:space="0" w:color="auto"/>
                                      </w:divBdr>
                                      <w:divsChild>
                                        <w:div w:id="853762020">
                                          <w:marLeft w:val="0"/>
                                          <w:marRight w:val="0"/>
                                          <w:marTop w:val="0"/>
                                          <w:marBottom w:val="0"/>
                                          <w:divBdr>
                                            <w:top w:val="none" w:sz="0" w:space="0" w:color="auto"/>
                                            <w:left w:val="none" w:sz="0" w:space="0" w:color="auto"/>
                                            <w:bottom w:val="none" w:sz="0" w:space="0" w:color="auto"/>
                                            <w:right w:val="none" w:sz="0" w:space="0" w:color="auto"/>
                                          </w:divBdr>
                                          <w:divsChild>
                                            <w:div w:id="817965500">
                                              <w:marLeft w:val="0"/>
                                              <w:marRight w:val="0"/>
                                              <w:marTop w:val="0"/>
                                              <w:marBottom w:val="0"/>
                                              <w:divBdr>
                                                <w:top w:val="none" w:sz="0" w:space="0" w:color="auto"/>
                                                <w:left w:val="none" w:sz="0" w:space="0" w:color="auto"/>
                                                <w:bottom w:val="none" w:sz="0" w:space="0" w:color="auto"/>
                                                <w:right w:val="none" w:sz="0" w:space="0" w:color="auto"/>
                                              </w:divBdr>
                                              <w:divsChild>
                                                <w:div w:id="421297535">
                                                  <w:marLeft w:val="0"/>
                                                  <w:marRight w:val="0"/>
                                                  <w:marTop w:val="0"/>
                                                  <w:marBottom w:val="0"/>
                                                  <w:divBdr>
                                                    <w:top w:val="none" w:sz="0" w:space="0" w:color="auto"/>
                                                    <w:left w:val="none" w:sz="0" w:space="0" w:color="auto"/>
                                                    <w:bottom w:val="none" w:sz="0" w:space="0" w:color="auto"/>
                                                    <w:right w:val="none" w:sz="0" w:space="0" w:color="auto"/>
                                                  </w:divBdr>
                                                  <w:divsChild>
                                                    <w:div w:id="1367372695">
                                                      <w:marLeft w:val="0"/>
                                                      <w:marRight w:val="0"/>
                                                      <w:marTop w:val="0"/>
                                                      <w:marBottom w:val="0"/>
                                                      <w:divBdr>
                                                        <w:top w:val="none" w:sz="0" w:space="0" w:color="auto"/>
                                                        <w:left w:val="none" w:sz="0" w:space="0" w:color="auto"/>
                                                        <w:bottom w:val="none" w:sz="0" w:space="0" w:color="auto"/>
                                                        <w:right w:val="none" w:sz="0" w:space="0" w:color="auto"/>
                                                      </w:divBdr>
                                                      <w:divsChild>
                                                        <w:div w:id="43660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1553756">
      <w:bodyDiv w:val="1"/>
      <w:marLeft w:val="0"/>
      <w:marRight w:val="0"/>
      <w:marTop w:val="0"/>
      <w:marBottom w:val="0"/>
      <w:divBdr>
        <w:top w:val="none" w:sz="0" w:space="0" w:color="auto"/>
        <w:left w:val="none" w:sz="0" w:space="0" w:color="auto"/>
        <w:bottom w:val="none" w:sz="0" w:space="0" w:color="auto"/>
        <w:right w:val="none" w:sz="0" w:space="0" w:color="auto"/>
      </w:divBdr>
    </w:div>
    <w:div w:id="939803106">
      <w:bodyDiv w:val="1"/>
      <w:marLeft w:val="0"/>
      <w:marRight w:val="0"/>
      <w:marTop w:val="0"/>
      <w:marBottom w:val="0"/>
      <w:divBdr>
        <w:top w:val="none" w:sz="0" w:space="0" w:color="auto"/>
        <w:left w:val="none" w:sz="0" w:space="0" w:color="auto"/>
        <w:bottom w:val="none" w:sz="0" w:space="0" w:color="auto"/>
        <w:right w:val="none" w:sz="0" w:space="0" w:color="auto"/>
      </w:divBdr>
    </w:div>
    <w:div w:id="1014768200">
      <w:bodyDiv w:val="1"/>
      <w:marLeft w:val="0"/>
      <w:marRight w:val="0"/>
      <w:marTop w:val="0"/>
      <w:marBottom w:val="0"/>
      <w:divBdr>
        <w:top w:val="none" w:sz="0" w:space="0" w:color="auto"/>
        <w:left w:val="none" w:sz="0" w:space="0" w:color="auto"/>
        <w:bottom w:val="none" w:sz="0" w:space="0" w:color="auto"/>
        <w:right w:val="none" w:sz="0" w:space="0" w:color="auto"/>
      </w:divBdr>
      <w:divsChild>
        <w:div w:id="845025112">
          <w:marLeft w:val="0"/>
          <w:marRight w:val="0"/>
          <w:marTop w:val="0"/>
          <w:marBottom w:val="0"/>
          <w:divBdr>
            <w:top w:val="none" w:sz="0" w:space="0" w:color="auto"/>
            <w:left w:val="none" w:sz="0" w:space="0" w:color="auto"/>
            <w:bottom w:val="none" w:sz="0" w:space="0" w:color="auto"/>
            <w:right w:val="none" w:sz="0" w:space="0" w:color="auto"/>
          </w:divBdr>
          <w:divsChild>
            <w:div w:id="1993025647">
              <w:marLeft w:val="0"/>
              <w:marRight w:val="0"/>
              <w:marTop w:val="0"/>
              <w:marBottom w:val="0"/>
              <w:divBdr>
                <w:top w:val="none" w:sz="0" w:space="0" w:color="auto"/>
                <w:left w:val="none" w:sz="0" w:space="0" w:color="auto"/>
                <w:bottom w:val="none" w:sz="0" w:space="0" w:color="auto"/>
                <w:right w:val="none" w:sz="0" w:space="0" w:color="auto"/>
              </w:divBdr>
              <w:divsChild>
                <w:div w:id="9900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024466">
      <w:bodyDiv w:val="1"/>
      <w:marLeft w:val="0"/>
      <w:marRight w:val="0"/>
      <w:marTop w:val="0"/>
      <w:marBottom w:val="0"/>
      <w:divBdr>
        <w:top w:val="none" w:sz="0" w:space="0" w:color="auto"/>
        <w:left w:val="none" w:sz="0" w:space="0" w:color="auto"/>
        <w:bottom w:val="none" w:sz="0" w:space="0" w:color="auto"/>
        <w:right w:val="none" w:sz="0" w:space="0" w:color="auto"/>
      </w:divBdr>
    </w:div>
    <w:div w:id="1500390516">
      <w:bodyDiv w:val="1"/>
      <w:marLeft w:val="0"/>
      <w:marRight w:val="0"/>
      <w:marTop w:val="0"/>
      <w:marBottom w:val="0"/>
      <w:divBdr>
        <w:top w:val="none" w:sz="0" w:space="0" w:color="auto"/>
        <w:left w:val="none" w:sz="0" w:space="0" w:color="auto"/>
        <w:bottom w:val="none" w:sz="0" w:space="0" w:color="auto"/>
        <w:right w:val="none" w:sz="0" w:space="0" w:color="auto"/>
      </w:divBdr>
    </w:div>
    <w:div w:id="1626109914">
      <w:bodyDiv w:val="1"/>
      <w:marLeft w:val="0"/>
      <w:marRight w:val="0"/>
      <w:marTop w:val="0"/>
      <w:marBottom w:val="0"/>
      <w:divBdr>
        <w:top w:val="none" w:sz="0" w:space="0" w:color="auto"/>
        <w:left w:val="none" w:sz="0" w:space="0" w:color="auto"/>
        <w:bottom w:val="none" w:sz="0" w:space="0" w:color="auto"/>
        <w:right w:val="none" w:sz="0" w:space="0" w:color="auto"/>
      </w:divBdr>
      <w:divsChild>
        <w:div w:id="773980172">
          <w:marLeft w:val="0"/>
          <w:marRight w:val="0"/>
          <w:marTop w:val="0"/>
          <w:marBottom w:val="0"/>
          <w:divBdr>
            <w:top w:val="none" w:sz="0" w:space="0" w:color="auto"/>
            <w:left w:val="none" w:sz="0" w:space="0" w:color="auto"/>
            <w:bottom w:val="none" w:sz="0" w:space="0" w:color="auto"/>
            <w:right w:val="none" w:sz="0" w:space="0" w:color="auto"/>
          </w:divBdr>
          <w:divsChild>
            <w:div w:id="822505317">
              <w:marLeft w:val="0"/>
              <w:marRight w:val="0"/>
              <w:marTop w:val="0"/>
              <w:marBottom w:val="0"/>
              <w:divBdr>
                <w:top w:val="none" w:sz="0" w:space="0" w:color="auto"/>
                <w:left w:val="none" w:sz="0" w:space="0" w:color="auto"/>
                <w:bottom w:val="none" w:sz="0" w:space="0" w:color="auto"/>
                <w:right w:val="none" w:sz="0" w:space="0" w:color="auto"/>
              </w:divBdr>
              <w:divsChild>
                <w:div w:id="5406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78345">
      <w:bodyDiv w:val="1"/>
      <w:marLeft w:val="0"/>
      <w:marRight w:val="0"/>
      <w:marTop w:val="0"/>
      <w:marBottom w:val="0"/>
      <w:divBdr>
        <w:top w:val="none" w:sz="0" w:space="0" w:color="auto"/>
        <w:left w:val="none" w:sz="0" w:space="0" w:color="auto"/>
        <w:bottom w:val="none" w:sz="0" w:space="0" w:color="auto"/>
        <w:right w:val="none" w:sz="0" w:space="0" w:color="auto"/>
      </w:divBdr>
    </w:div>
    <w:div w:id="1995596024">
      <w:bodyDiv w:val="1"/>
      <w:marLeft w:val="0"/>
      <w:marRight w:val="0"/>
      <w:marTop w:val="0"/>
      <w:marBottom w:val="0"/>
      <w:divBdr>
        <w:top w:val="none" w:sz="0" w:space="0" w:color="auto"/>
        <w:left w:val="none" w:sz="0" w:space="0" w:color="auto"/>
        <w:bottom w:val="none" w:sz="0" w:space="0" w:color="auto"/>
        <w:right w:val="none" w:sz="0" w:space="0" w:color="auto"/>
      </w:divBdr>
    </w:div>
    <w:div w:id="203334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EMPL-EUROPEAN-PILLAR-OF-SOCIAL-RIGHTS@ec.europa.e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c.europa.eu/priorities/deeper-and-fairer-economic-and-monetary-union/european-pillar-social-right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73538-E43D-433F-A392-F0433B86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5073</Words>
  <Characters>28612</Characters>
  <Application>Microsoft Office Word</Application>
  <DocSecurity>0</DocSecurity>
  <Lines>427</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2016-03-04T18:07:00Z</dcterms:created>
  <dcterms:modified xsi:type="dcterms:W3CDTF">2016-03-10T15:15:00Z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