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33704772"/>
      <w:bookmarkStart w:id="1" w:name="_Toc431918262"/>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387DC9E0EC74B6FB494CB4E2B557676" style="width:450.75pt;height:361.5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Heading1"/>
        <w:spacing w:after="240"/>
        <w:rPr>
          <w:rFonts w:ascii="Times New Roman" w:hAnsi="Times New Roman" w:cs="Times New Roman"/>
          <w:noProof/>
          <w:color w:val="auto"/>
        </w:rPr>
      </w:pPr>
      <w:bookmarkStart w:id="3" w:name="_GoBack"/>
      <w:bookmarkEnd w:id="3"/>
      <w:r>
        <w:rPr>
          <w:rFonts w:ascii="Times New Roman" w:hAnsi="Times New Roman" w:cs="Times New Roman"/>
          <w:noProof/>
          <w:color w:val="auto"/>
        </w:rPr>
        <w:lastRenderedPageBreak/>
        <w:t xml:space="preserve">Introduction </w:t>
      </w:r>
      <w:bookmarkEnd w:id="0"/>
    </w:p>
    <w:p>
      <w:pPr>
        <w:widowControl w:val="0"/>
        <w:spacing w:after="120"/>
        <w:jc w:val="both"/>
        <w:rPr>
          <w:rFonts w:ascii="Times New Roman" w:hAnsi="Times New Roman"/>
          <w:noProof/>
          <w:sz w:val="24"/>
          <w:szCs w:val="24"/>
        </w:rPr>
      </w:pPr>
      <w:r>
        <w:rPr>
          <w:rFonts w:ascii="Times New Roman" w:hAnsi="Times New Roman"/>
          <w:noProof/>
          <w:sz w:val="24"/>
          <w:szCs w:val="24"/>
        </w:rPr>
        <w:t>The world is witnessing a dramatic increase in the amount and variety of data being produced</w:t>
      </w:r>
      <w:r>
        <w:rPr>
          <w:rFonts w:ascii="Times New Roman" w:eastAsia="Times New Roman" w:hAnsi="Times New Roman"/>
          <w:noProof/>
          <w:sz w:val="24"/>
          <w:szCs w:val="24"/>
        </w:rPr>
        <w:t>. Alongside the data created by billions of people using digital devices and services for personal and professional reasons, and the data generated by the increasing number of connected objects, there is data from research, from digitised literature &amp; archives and from public services such as hospitals and land registries.</w:t>
      </w:r>
      <w:r>
        <w:rPr>
          <w:rFonts w:ascii="Times New Roman" w:hAnsi="Times New Roman"/>
          <w:noProof/>
          <w:sz w:val="24"/>
          <w:szCs w:val="24"/>
        </w:rPr>
        <w:t xml:space="preserve"> This "Big Data" phenomenon creates new possibilities to share knowledge, to carry out research and to develop and implement public policies.</w:t>
      </w:r>
    </w:p>
    <w:p>
      <w:pPr>
        <w:widowControl w:val="0"/>
        <w:spacing w:after="120"/>
        <w:jc w:val="both"/>
        <w:rPr>
          <w:rFonts w:ascii="Times New Roman" w:eastAsia="Times New Roman" w:hAnsi="Times New Roman"/>
          <w:noProof/>
          <w:sz w:val="24"/>
          <w:szCs w:val="24"/>
        </w:rPr>
      </w:pPr>
      <w:r>
        <w:rPr>
          <w:rFonts w:ascii="Times New Roman" w:hAnsi="Times New Roman"/>
          <w:noProof/>
          <w:sz w:val="24"/>
          <w:szCs w:val="24"/>
        </w:rPr>
        <w:t xml:space="preserve">It is also becoming easier to exploit this data thanks to the Cloud. The Cloud can be understood as the combination of three interdependent elements: the data infrastructures which store and manage data; the high-bandwidth networks which transport data; and the ever more powerful computers which can be used to process the data. The ability to analyse and exploit this Big Data is having an impact on the global economy and society, </w:t>
      </w:r>
      <w:r>
        <w:rPr>
          <w:rFonts w:ascii="Times New Roman" w:eastAsia="Times New Roman" w:hAnsi="Times New Roman"/>
          <w:noProof/>
          <w:sz w:val="24"/>
          <w:szCs w:val="24"/>
        </w:rPr>
        <w:t xml:space="preserve">opening up the possibility of major industrial and social innovations. A key part of this impact is the change in </w:t>
      </w:r>
      <w:r>
        <w:rPr>
          <w:rFonts w:ascii="Times New Roman" w:hAnsi="Times New Roman"/>
          <w:noProof/>
          <w:sz w:val="24"/>
          <w:szCs w:val="24"/>
        </w:rPr>
        <w:t xml:space="preserve">the way scientific research is carried out, as we move rapidly towards </w:t>
      </w:r>
      <w:hyperlink r:id="rId19" w:history="1">
        <w:r>
          <w:rPr>
            <w:rStyle w:val="Hyperlink"/>
            <w:rFonts w:ascii="Times New Roman" w:hAnsi="Times New Roman"/>
            <w:noProof/>
            <w:sz w:val="24"/>
            <w:szCs w:val="24"/>
          </w:rPr>
          <w:t>Open Science</w:t>
        </w:r>
      </w:hyperlink>
      <w:r>
        <w:rPr>
          <w:rFonts w:ascii="Times New Roman" w:hAnsi="Times New Roman"/>
          <w:noProof/>
          <w:sz w:val="24"/>
          <w:szCs w:val="24"/>
        </w:rPr>
        <w:t>.</w:t>
      </w:r>
      <w:r>
        <w:rPr>
          <w:rStyle w:val="FootnoteReference"/>
          <w:rFonts w:ascii="Times New Roman" w:hAnsi="Times New Roman"/>
          <w:noProof/>
          <w:sz w:val="24"/>
          <w:szCs w:val="24"/>
        </w:rPr>
        <w:t xml:space="preserve"> </w:t>
      </w:r>
    </w:p>
    <w:p>
      <w:pPr>
        <w:spacing w:before="120"/>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The Cloud makes it possible to move, share and re-use data seamlessly across global markets and borders, and among institutions and research disciplines. With the current capacity available in Europe, the </w:t>
      </w:r>
      <w:r>
        <w:rPr>
          <w:rFonts w:ascii="Times New Roman" w:hAnsi="Times New Roman"/>
          <w:noProof/>
          <w:sz w:val="24"/>
          <w:szCs w:val="24"/>
        </w:rPr>
        <w:t>data produced by EU research and industry is often processed elsewhere and European researchers and innovators tend to move to the places where high data and computing capacity is more immediately available. At the same time, as Europe is the largest producer of scientific knowledge in the world, it is well placed to take the global lead in the developing of a science cloud.</w:t>
      </w:r>
    </w:p>
    <w:p>
      <w:pPr>
        <w:spacing w:before="120"/>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To fully exploit the potential of data as a key driver of Open Science and the </w:t>
      </w:r>
      <w:hyperlink r:id="rId20" w:history="1">
        <w:r>
          <w:rPr>
            <w:rStyle w:val="Hyperlink"/>
            <w:rFonts w:ascii="Times New Roman" w:eastAsia="Times New Roman" w:hAnsi="Times New Roman"/>
            <w:noProof/>
            <w:sz w:val="24"/>
            <w:szCs w:val="24"/>
          </w:rPr>
          <w:t>4</w:t>
        </w:r>
        <w:r>
          <w:rPr>
            <w:rStyle w:val="Hyperlink"/>
            <w:rFonts w:ascii="Times New Roman" w:eastAsia="Times New Roman" w:hAnsi="Times New Roman"/>
            <w:noProof/>
            <w:sz w:val="24"/>
            <w:szCs w:val="24"/>
            <w:vertAlign w:val="superscript"/>
          </w:rPr>
          <w:t>th</w:t>
        </w:r>
        <w:r>
          <w:rPr>
            <w:rStyle w:val="Hyperlink"/>
            <w:rFonts w:ascii="Times New Roman" w:eastAsia="Times New Roman" w:hAnsi="Times New Roman"/>
            <w:noProof/>
            <w:sz w:val="24"/>
            <w:szCs w:val="24"/>
          </w:rPr>
          <w:t xml:space="preserve"> industrial revolution</w:t>
        </w:r>
      </w:hyperlink>
      <w:r>
        <w:rPr>
          <w:rFonts w:ascii="Times New Roman" w:eastAsia="Times New Roman" w:hAnsi="Times New Roman"/>
          <w:noProof/>
          <w:sz w:val="24"/>
          <w:szCs w:val="24"/>
        </w:rPr>
        <w:t>, Europe needs to answer several specific questions:</w:t>
      </w:r>
    </w:p>
    <w:p>
      <w:pPr>
        <w:pStyle w:val="ListParagraph"/>
        <w:numPr>
          <w:ilvl w:val="0"/>
          <w:numId w:val="67"/>
        </w:numPr>
        <w:spacing w:before="120"/>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How to maximise the incentives for sharing data and to increase the capacity to exploit them? </w:t>
      </w:r>
    </w:p>
    <w:p>
      <w:pPr>
        <w:pStyle w:val="ListParagraph"/>
        <w:numPr>
          <w:ilvl w:val="0"/>
          <w:numId w:val="67"/>
        </w:numPr>
        <w:spacing w:before="120"/>
        <w:jc w:val="both"/>
        <w:rPr>
          <w:rFonts w:ascii="Times New Roman" w:eastAsia="Times New Roman" w:hAnsi="Times New Roman"/>
          <w:noProof/>
          <w:sz w:val="24"/>
          <w:szCs w:val="24"/>
        </w:rPr>
      </w:pPr>
      <w:r>
        <w:rPr>
          <w:rFonts w:ascii="Times New Roman" w:eastAsia="Times New Roman" w:hAnsi="Times New Roman"/>
          <w:noProof/>
          <w:sz w:val="24"/>
          <w:szCs w:val="24"/>
        </w:rPr>
        <w:t>How to ensure that data can be used as widely as possible, across scientific disciplines and between the public and the private sector?</w:t>
      </w:r>
    </w:p>
    <w:p>
      <w:pPr>
        <w:pStyle w:val="ListParagraph"/>
        <w:numPr>
          <w:ilvl w:val="0"/>
          <w:numId w:val="67"/>
        </w:numPr>
        <w:spacing w:before="120"/>
        <w:jc w:val="both"/>
        <w:rPr>
          <w:rFonts w:ascii="Times New Roman" w:eastAsia="Times New Roman" w:hAnsi="Times New Roman"/>
          <w:noProof/>
          <w:sz w:val="24"/>
          <w:szCs w:val="24"/>
        </w:rPr>
      </w:pPr>
      <w:r>
        <w:rPr>
          <w:rFonts w:ascii="Times New Roman" w:eastAsia="Times New Roman" w:hAnsi="Times New Roman"/>
          <w:noProof/>
          <w:sz w:val="24"/>
          <w:szCs w:val="24"/>
        </w:rPr>
        <w:t>How better to interconnect the existing and the new data infrastructures across Europe?</w:t>
      </w:r>
    </w:p>
    <w:p>
      <w:pPr>
        <w:pStyle w:val="ListParagraph"/>
        <w:numPr>
          <w:ilvl w:val="0"/>
          <w:numId w:val="67"/>
        </w:numPr>
        <w:spacing w:before="120"/>
        <w:jc w:val="both"/>
        <w:rPr>
          <w:rFonts w:ascii="Times New Roman" w:eastAsia="Times New Roman" w:hAnsi="Times New Roman"/>
          <w:noProof/>
          <w:sz w:val="24"/>
          <w:szCs w:val="24"/>
        </w:rPr>
      </w:pPr>
      <w:r>
        <w:rPr>
          <w:rFonts w:ascii="Times New Roman" w:eastAsia="Times New Roman" w:hAnsi="Times New Roman"/>
          <w:noProof/>
          <w:sz w:val="24"/>
          <w:szCs w:val="24"/>
        </w:rPr>
        <w:t>How best to coordinate the support available to European data infrastructures as they move towards exascale computing</w:t>
      </w:r>
      <w:r>
        <w:rPr>
          <w:rStyle w:val="FootnoteReference"/>
          <w:rFonts w:ascii="Times New Roman" w:eastAsia="Times New Roman" w:hAnsi="Times New Roman"/>
          <w:noProof/>
          <w:sz w:val="24"/>
          <w:szCs w:val="24"/>
        </w:rPr>
        <w:footnoteReference w:id="2"/>
      </w:r>
      <w:r>
        <w:rPr>
          <w:rFonts w:ascii="Times New Roman" w:eastAsia="Times New Roman" w:hAnsi="Times New Roman"/>
          <w:noProof/>
          <w:sz w:val="24"/>
          <w:szCs w:val="24"/>
        </w:rPr>
        <w:t>?</w:t>
      </w:r>
    </w:p>
    <w:p>
      <w:pPr>
        <w:spacing w:before="120"/>
        <w:jc w:val="both"/>
        <w:rPr>
          <w:rFonts w:ascii="Times New Roman" w:hAnsi="Times New Roman"/>
          <w:noProof/>
          <w:sz w:val="24"/>
          <w:szCs w:val="24"/>
        </w:rPr>
      </w:pPr>
      <w:r>
        <w:rPr>
          <w:rFonts w:ascii="Times New Roman" w:eastAsia="Times New Roman" w:hAnsi="Times New Roman"/>
          <w:noProof/>
          <w:sz w:val="24"/>
          <w:szCs w:val="24"/>
        </w:rPr>
        <w:t>The potential gains for s</w:t>
      </w:r>
      <w:r>
        <w:rPr>
          <w:rFonts w:ascii="Times New Roman" w:hAnsi="Times New Roman"/>
          <w:noProof/>
          <w:sz w:val="24"/>
          <w:szCs w:val="24"/>
        </w:rPr>
        <w:t xml:space="preserve">cience, technology, and innovation </w:t>
      </w:r>
      <w:r>
        <w:rPr>
          <w:rFonts w:ascii="Times New Roman" w:eastAsia="Times New Roman" w:hAnsi="Times New Roman"/>
          <w:noProof/>
          <w:sz w:val="24"/>
          <w:szCs w:val="24"/>
        </w:rPr>
        <w:t xml:space="preserve">from addressing these challenges </w:t>
      </w:r>
      <w:r>
        <w:rPr>
          <w:rFonts w:ascii="Times New Roman" w:hAnsi="Times New Roman"/>
          <w:noProof/>
          <w:sz w:val="24"/>
          <w:szCs w:val="24"/>
        </w:rPr>
        <w:t xml:space="preserve">were highlighted by the </w:t>
      </w:r>
      <w:hyperlink r:id="rId21" w:history="1">
        <w:r>
          <w:rPr>
            <w:rStyle w:val="Hyperlink"/>
            <w:rFonts w:ascii="Times New Roman" w:hAnsi="Times New Roman"/>
            <w:noProof/>
            <w:sz w:val="24"/>
            <w:szCs w:val="24"/>
          </w:rPr>
          <w:t>scientific community itself,</w:t>
        </w:r>
      </w:hyperlink>
      <w:r>
        <w:rPr>
          <w:rFonts w:ascii="Times New Roman" w:hAnsi="Times New Roman"/>
          <w:noProof/>
          <w:sz w:val="24"/>
          <w:szCs w:val="24"/>
        </w:rPr>
        <w:t xml:space="preserve"> but also by </w:t>
      </w:r>
      <w:hyperlink r:id="rId22" w:history="1">
        <w:r>
          <w:rPr>
            <w:rStyle w:val="Hyperlink"/>
            <w:rFonts w:ascii="Times New Roman" w:eastAsia="Times New Roman" w:hAnsi="Times New Roman"/>
            <w:noProof/>
            <w:sz w:val="24"/>
            <w:szCs w:val="24"/>
          </w:rPr>
          <w:t>OECD Governments</w:t>
        </w:r>
      </w:hyperlink>
      <w:r>
        <w:rPr>
          <w:rFonts w:ascii="Times New Roman" w:eastAsia="Times New Roman" w:hAnsi="Times New Roman"/>
          <w:noProof/>
          <w:sz w:val="24"/>
          <w:szCs w:val="24"/>
        </w:rPr>
        <w:t>. The importance for the whole economy and society of addressing these challenges was confirmed by the EU's Member States in 2015.</w:t>
      </w:r>
      <w:r>
        <w:rPr>
          <w:rStyle w:val="FootnoteReference"/>
          <w:rFonts w:ascii="Times New Roman" w:eastAsia="Times New Roman" w:hAnsi="Times New Roman"/>
          <w:noProof/>
          <w:sz w:val="24"/>
          <w:szCs w:val="24"/>
        </w:rPr>
        <w:footnoteReference w:id="3"/>
      </w:r>
      <w:r>
        <w:rPr>
          <w:rFonts w:ascii="Times New Roman" w:eastAsia="Times New Roman" w:hAnsi="Times New Roman"/>
          <w:noProof/>
          <w:sz w:val="24"/>
          <w:szCs w:val="24"/>
        </w:rPr>
        <w:t xml:space="preserve"> This Communication proposes as a direct response a European Cloud Initiative which can secure Europe's place in the global data-driven economy.</w:t>
      </w:r>
      <w:r>
        <w:rPr>
          <w:rStyle w:val="FootnoteReference"/>
          <w:rFonts w:ascii="Times New Roman" w:hAnsi="Times New Roman"/>
          <w:noProof/>
          <w:sz w:val="24"/>
          <w:szCs w:val="24"/>
        </w:rPr>
        <w:footnoteReference w:id="4"/>
      </w:r>
      <w:r>
        <w:rPr>
          <w:rFonts w:ascii="Times New Roman" w:eastAsia="Times New Roman" w:hAnsi="Times New Roman"/>
          <w:noProof/>
          <w:sz w:val="24"/>
          <w:szCs w:val="24"/>
        </w:rPr>
        <w:t xml:space="preserve"> </w:t>
      </w:r>
    </w:p>
    <w:p>
      <w:pPr>
        <w:spacing w:before="120"/>
        <w:jc w:val="both"/>
        <w:rPr>
          <w:rFonts w:ascii="Times New Roman" w:hAnsi="Times New Roman"/>
          <w:noProof/>
          <w:sz w:val="24"/>
          <w:szCs w:val="24"/>
        </w:rPr>
      </w:pPr>
      <w:r>
        <w:rPr>
          <w:rFonts w:ascii="Times New Roman" w:hAnsi="Times New Roman"/>
          <w:noProof/>
          <w:sz w:val="24"/>
          <w:szCs w:val="24"/>
        </w:rPr>
        <w:t xml:space="preserve">The </w:t>
      </w:r>
      <w:r>
        <w:rPr>
          <w:rFonts w:ascii="Times New Roman" w:eastAsia="Times New Roman" w:hAnsi="Times New Roman"/>
          <w:noProof/>
          <w:sz w:val="24"/>
          <w:szCs w:val="24"/>
        </w:rPr>
        <w:t>European Cloud Initiative</w:t>
      </w:r>
      <w:r>
        <w:rPr>
          <w:rFonts w:ascii="Times New Roman" w:hAnsi="Times New Roman"/>
          <w:noProof/>
          <w:sz w:val="24"/>
          <w:szCs w:val="24"/>
        </w:rPr>
        <w:t xml:space="preserve"> builds on the Digital Single Market (DSM) Strategy, which aims, </w:t>
      </w:r>
      <w:r>
        <w:rPr>
          <w:rFonts w:ascii="Times New Roman" w:hAnsi="Times New Roman"/>
          <w:i/>
          <w:noProof/>
          <w:sz w:val="24"/>
          <w:szCs w:val="24"/>
        </w:rPr>
        <w:t>inter alia</w:t>
      </w:r>
      <w:r>
        <w:rPr>
          <w:rFonts w:ascii="Times New Roman" w:hAnsi="Times New Roman"/>
          <w:noProof/>
          <w:sz w:val="24"/>
          <w:szCs w:val="24"/>
        </w:rPr>
        <w:t>, to maximise the growth potential of the European digital economy.</w:t>
      </w:r>
      <w:r>
        <w:rPr>
          <w:rStyle w:val="FootnoteReference"/>
          <w:rFonts w:ascii="Times New Roman" w:hAnsi="Times New Roman"/>
          <w:noProof/>
          <w:sz w:val="24"/>
          <w:szCs w:val="24"/>
        </w:rPr>
        <w:footnoteReference w:id="5"/>
      </w:r>
      <w:r>
        <w:rPr>
          <w:rFonts w:ascii="Times New Roman" w:hAnsi="Times New Roman"/>
          <w:noProof/>
          <w:sz w:val="24"/>
          <w:szCs w:val="24"/>
        </w:rPr>
        <w:t xml:space="preserve"> </w:t>
      </w:r>
      <w:r>
        <w:rPr>
          <w:rFonts w:ascii="Times New Roman" w:eastAsia="Times New Roman" w:hAnsi="Times New Roman"/>
          <w:noProof/>
          <w:sz w:val="24"/>
          <w:szCs w:val="24"/>
        </w:rPr>
        <w:t xml:space="preserve">It aims to develop </w:t>
      </w:r>
      <w:r>
        <w:rPr>
          <w:rFonts w:ascii="Times New Roman" w:hAnsi="Times New Roman"/>
          <w:noProof/>
          <w:sz w:val="24"/>
          <w:szCs w:val="24"/>
        </w:rPr>
        <w:t xml:space="preserve">a trusted, open environment for the scientific community for storing, sharing and re-using scientific data and results, the </w:t>
      </w:r>
      <w:r>
        <w:rPr>
          <w:rFonts w:ascii="Times New Roman" w:hAnsi="Times New Roman"/>
          <w:b/>
          <w:noProof/>
          <w:sz w:val="24"/>
          <w:szCs w:val="24"/>
        </w:rPr>
        <w:t>European Open Science Cloud</w:t>
      </w:r>
      <w:r>
        <w:rPr>
          <w:rFonts w:ascii="Times New Roman" w:hAnsi="Times New Roman"/>
          <w:noProof/>
          <w:sz w:val="24"/>
          <w:szCs w:val="24"/>
        </w:rPr>
        <w:t>.</w:t>
      </w:r>
      <w:r>
        <w:rPr>
          <w:rStyle w:val="FootnoteReference"/>
          <w:rFonts w:ascii="Times New Roman" w:hAnsi="Times New Roman"/>
          <w:noProof/>
          <w:sz w:val="24"/>
          <w:szCs w:val="24"/>
        </w:rPr>
        <w:footnoteReference w:id="6"/>
      </w:r>
      <w:r>
        <w:rPr>
          <w:rFonts w:ascii="Times New Roman" w:hAnsi="Times New Roman"/>
          <w:noProof/>
          <w:sz w:val="24"/>
          <w:szCs w:val="24"/>
        </w:rPr>
        <w:t xml:space="preserve"> It aims to deploy the underpinning super-computing capacity, the fast connectivity and the high-capacity cloud solutions they need via a </w:t>
      </w:r>
      <w:r>
        <w:rPr>
          <w:rFonts w:ascii="Times New Roman" w:hAnsi="Times New Roman"/>
          <w:b/>
          <w:noProof/>
          <w:sz w:val="24"/>
          <w:szCs w:val="24"/>
        </w:rPr>
        <w:t>European Data Infrastructure</w:t>
      </w:r>
      <w:r>
        <w:rPr>
          <w:rFonts w:ascii="Times New Roman" w:hAnsi="Times New Roman"/>
          <w:noProof/>
          <w:sz w:val="24"/>
          <w:szCs w:val="24"/>
        </w:rPr>
        <w:t>.</w:t>
      </w:r>
      <w:r>
        <w:rPr>
          <w:rStyle w:val="FootnoteReference"/>
          <w:rFonts w:ascii="Times New Roman" w:hAnsi="Times New Roman"/>
          <w:noProof/>
          <w:sz w:val="24"/>
          <w:szCs w:val="24"/>
        </w:rPr>
        <w:footnoteReference w:id="7"/>
      </w:r>
      <w:r>
        <w:rPr>
          <w:rFonts w:ascii="Times New Roman" w:hAnsi="Times New Roman"/>
          <w:noProof/>
          <w:sz w:val="24"/>
          <w:szCs w:val="24"/>
        </w:rPr>
        <w:t xml:space="preserve"> Focussing initially on the scientific community, the user base will be expanded to the public sector and to industry, creating solutions and technologies that will benefit all areas of the economy and society. Achieving this will require a collaborative effort open to all those interested in exploiting the data revolution in Europe as an essential component of global growth.</w:t>
      </w:r>
    </w:p>
    <w:p>
      <w:pPr>
        <w:spacing w:before="120" w:after="120"/>
        <w:jc w:val="both"/>
        <w:rPr>
          <w:rFonts w:ascii="Times New Roman" w:hAnsi="Times New Roman"/>
          <w:noProof/>
          <w:sz w:val="24"/>
          <w:szCs w:val="24"/>
        </w:rPr>
      </w:pPr>
      <w:r>
        <w:rPr>
          <w:rFonts w:ascii="Times New Roman" w:hAnsi="Times New Roman"/>
          <w:noProof/>
          <w:sz w:val="24"/>
          <w:szCs w:val="24"/>
        </w:rPr>
        <w:t>The European Cloud Initiative builds on the achievements of the European Cloud Strategy</w:t>
      </w:r>
      <w:r>
        <w:rPr>
          <w:rStyle w:val="FootnoteReference"/>
          <w:rFonts w:ascii="Times New Roman" w:hAnsi="Times New Roman"/>
          <w:noProof/>
          <w:sz w:val="24"/>
          <w:szCs w:val="24"/>
        </w:rPr>
        <w:footnoteReference w:id="8"/>
      </w:r>
      <w:r>
        <w:rPr>
          <w:rFonts w:ascii="Times New Roman" w:hAnsi="Times New Roman"/>
          <w:noProof/>
          <w:sz w:val="24"/>
          <w:szCs w:val="24"/>
        </w:rPr>
        <w:t xml:space="preserve"> and the High Performance Computing (HPC) Strategy.</w:t>
      </w:r>
      <w:r>
        <w:rPr>
          <w:rStyle w:val="FootnoteReference"/>
          <w:rFonts w:ascii="Times New Roman" w:hAnsi="Times New Roman"/>
          <w:noProof/>
          <w:sz w:val="24"/>
          <w:szCs w:val="24"/>
        </w:rPr>
        <w:footnoteReference w:id="9"/>
      </w:r>
      <w:r>
        <w:rPr>
          <w:rFonts w:ascii="Times New Roman" w:hAnsi="Times New Roman"/>
          <w:noProof/>
          <w:sz w:val="24"/>
          <w:szCs w:val="24"/>
        </w:rPr>
        <w:t xml:space="preserve"> It will build on initiatives such as the recently announced Important Project of Common European Interest (IPCEI) on HPC and Big Data enabled applications.</w:t>
      </w:r>
      <w:r>
        <w:rPr>
          <w:rStyle w:val="FootnoteReference"/>
          <w:rFonts w:ascii="Times New Roman" w:hAnsi="Times New Roman"/>
          <w:noProof/>
          <w:sz w:val="24"/>
          <w:szCs w:val="24"/>
        </w:rPr>
        <w:footnoteReference w:id="10"/>
      </w:r>
      <w:r>
        <w:rPr>
          <w:rFonts w:ascii="Times New Roman" w:hAnsi="Times New Roman"/>
          <w:noProof/>
          <w:sz w:val="24"/>
          <w:szCs w:val="24"/>
        </w:rPr>
        <w:t xml:space="preserve"> It takes forward the policy developed in the Communication on Big Data</w:t>
      </w:r>
      <w:r>
        <w:rPr>
          <w:rStyle w:val="FootnoteReference"/>
          <w:rFonts w:ascii="Times New Roman" w:hAnsi="Times New Roman"/>
          <w:noProof/>
          <w:sz w:val="24"/>
          <w:szCs w:val="24"/>
        </w:rPr>
        <w:footnoteReference w:id="11"/>
      </w:r>
      <w:r>
        <w:rPr>
          <w:rFonts w:ascii="Times New Roman" w:hAnsi="Times New Roman"/>
          <w:noProof/>
          <w:sz w:val="24"/>
          <w:szCs w:val="24"/>
        </w:rPr>
        <w:t xml:space="preserve"> and supports the European Open Science policy agenda which aims to increase the quality and impact of science,</w:t>
      </w:r>
      <w:r>
        <w:rPr>
          <w:rStyle w:val="FootnoteReference"/>
          <w:rFonts w:ascii="Times New Roman" w:hAnsi="Times New Roman"/>
          <w:noProof/>
          <w:sz w:val="24"/>
          <w:szCs w:val="24"/>
        </w:rPr>
        <w:footnoteReference w:id="12"/>
      </w:r>
      <w:r>
        <w:rPr>
          <w:rFonts w:ascii="Times New Roman" w:hAnsi="Times New Roman"/>
          <w:noProof/>
          <w:sz w:val="24"/>
          <w:szCs w:val="24"/>
        </w:rPr>
        <w:t xml:space="preserve"> building on the achievements of Open Access.</w:t>
      </w:r>
      <w:r>
        <w:rPr>
          <w:rStyle w:val="FootnoteReference"/>
          <w:rFonts w:ascii="Times New Roman" w:hAnsi="Times New Roman"/>
          <w:noProof/>
          <w:sz w:val="24"/>
          <w:szCs w:val="24"/>
        </w:rPr>
        <w:footnoteReference w:id="13"/>
      </w:r>
      <w:r>
        <w:rPr>
          <w:rFonts w:ascii="Times New Roman" w:hAnsi="Times New Roman"/>
          <w:noProof/>
          <w:sz w:val="24"/>
          <w:szCs w:val="24"/>
        </w:rPr>
        <w:t xml:space="preserve"> This Communication marks the beginning of a process whereby the Commission will engage with the Member States and with all relevant stakeholders to ensure the European Cloud Initiative can achieve its objectives.</w:t>
      </w:r>
      <w:r>
        <w:rPr>
          <w:noProof/>
        </w:rPr>
        <w:t xml:space="preserve"> </w:t>
      </w:r>
    </w:p>
    <w:p>
      <w:pPr>
        <w:jc w:val="both"/>
        <w:rPr>
          <w:rFonts w:ascii="Times New Roman" w:hAnsi="Times New Roman"/>
          <w:noProof/>
          <w:sz w:val="24"/>
          <w:szCs w:val="24"/>
        </w:rPr>
      </w:pPr>
      <w:r>
        <w:rPr>
          <w:rFonts w:ascii="Times New Roman" w:hAnsi="Times New Roman"/>
          <w:noProof/>
          <w:sz w:val="24"/>
          <w:szCs w:val="24"/>
        </w:rPr>
        <w:t xml:space="preserve">The European Cloud Initiative will be complemented by further action under the Digital Single Market strategy covering cloud contracts </w:t>
      </w:r>
      <w:r>
        <w:rPr>
          <w:rFonts w:ascii="Times New Roman" w:hAnsi="Times New Roman"/>
          <w:noProof/>
          <w:sz w:val="24"/>
          <w:szCs w:val="24"/>
          <w:lang w:eastAsia="en-GB"/>
        </w:rPr>
        <w:t xml:space="preserve">for business users </w:t>
      </w:r>
      <w:r>
        <w:rPr>
          <w:rFonts w:ascii="Times New Roman" w:hAnsi="Times New Roman"/>
          <w:noProof/>
          <w:sz w:val="24"/>
          <w:szCs w:val="24"/>
        </w:rPr>
        <w:t>and switching of cloud services providers, as well as by the Free Flow of Data initiative.</w:t>
      </w:r>
      <w:r>
        <w:rPr>
          <w:rStyle w:val="FootnoteReference"/>
          <w:rFonts w:ascii="Times New Roman" w:hAnsi="Times New Roman"/>
          <w:noProof/>
          <w:sz w:val="24"/>
          <w:szCs w:val="24"/>
        </w:rPr>
        <w:footnoteReference w:id="14"/>
      </w:r>
    </w:p>
    <w:p>
      <w:pPr>
        <w:pStyle w:val="Heading1"/>
        <w:rPr>
          <w:rFonts w:ascii="Times New Roman" w:hAnsi="Times New Roman" w:cs="Times New Roman"/>
          <w:noProof/>
          <w:color w:val="auto"/>
        </w:rPr>
      </w:pPr>
      <w:bookmarkStart w:id="4" w:name="_Toc431403944"/>
      <w:bookmarkStart w:id="5" w:name="_Toc436639847"/>
      <w:bookmarkStart w:id="6" w:name="_Toc431918265"/>
      <w:bookmarkStart w:id="7" w:name="_Toc433704775"/>
      <w:bookmarkEnd w:id="1"/>
      <w:bookmarkEnd w:id="4"/>
      <w:r>
        <w:rPr>
          <w:rFonts w:ascii="Times New Roman" w:hAnsi="Times New Roman" w:cs="Times New Roman"/>
          <w:noProof/>
          <w:color w:val="auto"/>
        </w:rPr>
        <w:t>Five reasons why Europe is not yet fully tapping into the potential</w:t>
      </w:r>
      <w:bookmarkEnd w:id="5"/>
      <w:r>
        <w:rPr>
          <w:rFonts w:ascii="Times New Roman" w:hAnsi="Times New Roman" w:cs="Times New Roman"/>
          <w:noProof/>
          <w:color w:val="auto"/>
        </w:rPr>
        <w:t xml:space="preserve"> of data</w:t>
      </w:r>
    </w:p>
    <w:p>
      <w:pPr>
        <w:rPr>
          <w:rFonts w:ascii="Times New Roman" w:hAnsi="Times New Roman"/>
          <w:noProof/>
        </w:rPr>
      </w:pPr>
    </w:p>
    <w:bookmarkEnd w:id="6"/>
    <w:bookmarkEnd w:id="7"/>
    <w:p>
      <w:pPr>
        <w:spacing w:before="120"/>
        <w:jc w:val="both"/>
        <w:rPr>
          <w:rFonts w:ascii="Times New Roman" w:hAnsi="Times New Roman"/>
          <w:noProof/>
          <w:sz w:val="24"/>
          <w:szCs w:val="24"/>
        </w:rPr>
      </w:pPr>
      <w:r>
        <w:rPr>
          <w:rFonts w:ascii="Times New Roman" w:eastAsia="Times New Roman" w:hAnsi="Times New Roman"/>
          <w:noProof/>
          <w:sz w:val="24"/>
          <w:szCs w:val="24"/>
        </w:rPr>
        <w:t xml:space="preserve">First, many European businesses, research communities and public bodies are yet to tap into the full potential of </w:t>
      </w:r>
      <w:r>
        <w:rPr>
          <w:rFonts w:ascii="Times New Roman" w:eastAsia="Times New Roman" w:hAnsi="Times New Roman"/>
          <w:b/>
          <w:noProof/>
          <w:sz w:val="24"/>
          <w:szCs w:val="24"/>
        </w:rPr>
        <w:t>data</w:t>
      </w:r>
      <w:r>
        <w:rPr>
          <w:rFonts w:ascii="Times New Roman" w:eastAsia="Times New Roman" w:hAnsi="Times New Roman"/>
          <w:noProof/>
          <w:sz w:val="24"/>
          <w:szCs w:val="24"/>
        </w:rPr>
        <w:t xml:space="preserve"> and of its potentially transformative effect on traditional sectors and on the way research is conducted.</w:t>
      </w:r>
      <w:r>
        <w:rPr>
          <w:rStyle w:val="FootnoteReference"/>
          <w:rFonts w:ascii="Times New Roman" w:eastAsia="Times New Roman" w:hAnsi="Times New Roman"/>
          <w:noProof/>
          <w:sz w:val="24"/>
          <w:szCs w:val="24"/>
        </w:rPr>
        <w:footnoteReference w:id="15"/>
      </w:r>
      <w:r>
        <w:rPr>
          <w:rFonts w:ascii="Times New Roman" w:eastAsia="Times New Roman" w:hAnsi="Times New Roman"/>
          <w:noProof/>
          <w:sz w:val="24"/>
          <w:szCs w:val="24"/>
        </w:rPr>
        <w:t xml:space="preserve"> </w:t>
      </w:r>
      <w:r>
        <w:rPr>
          <w:rFonts w:ascii="Times New Roman" w:eastAsia="Times New Roman" w:hAnsi="Times New Roman"/>
          <w:b/>
          <w:noProof/>
          <w:sz w:val="24"/>
          <w:szCs w:val="24"/>
        </w:rPr>
        <w:t>Data coming from publicly funded research is not always open</w:t>
      </w:r>
      <w:r>
        <w:rPr>
          <w:rFonts w:ascii="Times New Roman" w:eastAsia="Times New Roman" w:hAnsi="Times New Roman"/>
          <w:noProof/>
          <w:sz w:val="24"/>
          <w:szCs w:val="24"/>
        </w:rPr>
        <w:t xml:space="preserve">; likewise data generated or collected by businesses is often not shared, and not always for commercial reasons. While some still see data as an asset to be protected many in business (especially SMEs), academia and public sectors are simply unaware of the value of data sharing. Reasons include </w:t>
      </w:r>
      <w:r>
        <w:rPr>
          <w:rFonts w:ascii="Times New Roman" w:eastAsia="Times New Roman" w:hAnsi="Times New Roman"/>
          <w:b/>
          <w:noProof/>
          <w:sz w:val="24"/>
          <w:szCs w:val="24"/>
        </w:rPr>
        <w:t>the lack of a clear structure of incentives</w:t>
      </w:r>
      <w:r>
        <w:rPr>
          <w:rFonts w:ascii="Times New Roman" w:eastAsia="Times New Roman" w:hAnsi="Times New Roman"/>
          <w:noProof/>
          <w:sz w:val="24"/>
          <w:szCs w:val="24"/>
        </w:rPr>
        <w:t xml:space="preserve"> and rewards for data sharing (mainly in academia), of a clear legal basis</w:t>
      </w:r>
      <w:r>
        <w:rPr>
          <w:rStyle w:val="FootnoteReference"/>
          <w:rFonts w:ascii="Times New Roman" w:eastAsia="Times New Roman" w:hAnsi="Times New Roman"/>
          <w:noProof/>
          <w:sz w:val="24"/>
          <w:szCs w:val="24"/>
        </w:rPr>
        <w:footnoteReference w:id="16"/>
      </w:r>
      <w:r>
        <w:rPr>
          <w:rFonts w:ascii="Times New Roman" w:eastAsia="Times New Roman" w:hAnsi="Times New Roman"/>
          <w:noProof/>
          <w:sz w:val="24"/>
          <w:szCs w:val="24"/>
        </w:rPr>
        <w:t xml:space="preserve"> (mainly in the public sector) and the shortage of data-related skills and lack of recognition of their value (in all sectors). </w:t>
      </w:r>
      <w:r>
        <w:rPr>
          <w:rFonts w:ascii="Times New Roman" w:hAnsi="Times New Roman"/>
          <w:noProof/>
          <w:sz w:val="24"/>
        </w:rPr>
        <w:t xml:space="preserve">The EU data protection framework prevents restrictions to the free movement of personal data on the grounds of </w:t>
      </w:r>
      <w:r>
        <w:rPr>
          <w:rFonts w:ascii="Times New Roman" w:eastAsia="Times New Roman" w:hAnsi="Times New Roman"/>
          <w:noProof/>
          <w:sz w:val="24"/>
          <w:szCs w:val="24"/>
        </w:rPr>
        <w:t>privacy and personal data protection. Other legal and technical barriers to the free movement of data are yet to be tackled by t</w:t>
      </w:r>
      <w:r>
        <w:rPr>
          <w:rFonts w:ascii="Times New Roman" w:hAnsi="Times New Roman"/>
          <w:noProof/>
          <w:sz w:val="24"/>
          <w:szCs w:val="24"/>
        </w:rPr>
        <w:t>he upcoming DSM initiative on the Free Flow of Data.</w:t>
      </w:r>
    </w:p>
    <w:p>
      <w:pPr>
        <w:widowControl w:val="0"/>
        <w:spacing w:before="120"/>
        <w:jc w:val="both"/>
        <w:rPr>
          <w:rFonts w:ascii="Times New Roman" w:hAnsi="Times New Roman"/>
          <w:noProof/>
          <w:sz w:val="24"/>
          <w:szCs w:val="24"/>
        </w:rPr>
      </w:pPr>
      <w:r>
        <w:rPr>
          <w:rFonts w:ascii="Times New Roman" w:eastAsia="Times New Roman" w:hAnsi="Times New Roman"/>
          <w:noProof/>
          <w:sz w:val="24"/>
          <w:szCs w:val="24"/>
        </w:rPr>
        <w:t xml:space="preserve">Second, </w:t>
      </w:r>
      <w:r>
        <w:rPr>
          <w:rFonts w:ascii="Times New Roman" w:eastAsia="Times New Roman" w:hAnsi="Times New Roman"/>
          <w:b/>
          <w:noProof/>
          <w:sz w:val="24"/>
          <w:szCs w:val="24"/>
        </w:rPr>
        <w:t>lack of interoperability</w:t>
      </w:r>
      <w:r>
        <w:rPr>
          <w:rFonts w:ascii="Times New Roman" w:eastAsia="Times New Roman" w:hAnsi="Times New Roman"/>
          <w:noProof/>
          <w:sz w:val="24"/>
          <w:szCs w:val="24"/>
        </w:rPr>
        <w:t xml:space="preserve"> </w:t>
      </w:r>
      <w:r>
        <w:rPr>
          <w:rFonts w:ascii="Times New Roman" w:hAnsi="Times New Roman"/>
          <w:noProof/>
          <w:sz w:val="24"/>
          <w:szCs w:val="24"/>
        </w:rPr>
        <w:t>prevents addressing grand societal challenges that require efficient data sharing and a multidisciplinary, multi-actor approach</w:t>
      </w:r>
      <w:r>
        <w:rPr>
          <w:rFonts w:ascii="Times New Roman" w:eastAsia="Times New Roman" w:hAnsi="Times New Roman"/>
          <w:noProof/>
          <w:sz w:val="24"/>
          <w:szCs w:val="24"/>
        </w:rPr>
        <w:t xml:space="preserve">, e.g. climate change which cannot be addressed by climatologists alone. </w:t>
      </w:r>
      <w:r>
        <w:rPr>
          <w:rFonts w:ascii="Times New Roman" w:hAnsi="Times New Roman"/>
          <w:noProof/>
          <w:sz w:val="24"/>
          <w:szCs w:val="24"/>
        </w:rPr>
        <w:t>While interoperability and data sharing have been tackled in some sectors (e.g. location of data by the INSPIRE Directive,</w:t>
      </w:r>
      <w:r>
        <w:rPr>
          <w:rStyle w:val="FootnoteReference"/>
          <w:rFonts w:ascii="Times New Roman" w:hAnsi="Times New Roman"/>
          <w:noProof/>
          <w:sz w:val="24"/>
          <w:szCs w:val="24"/>
        </w:rPr>
        <w:footnoteReference w:id="17"/>
      </w:r>
      <w:r>
        <w:rPr>
          <w:rFonts w:ascii="Times New Roman" w:hAnsi="Times New Roman"/>
          <w:noProof/>
          <w:sz w:val="24"/>
          <w:szCs w:val="24"/>
        </w:rPr>
        <w:t xml:space="preserve"> health data by the patients' rights Directive</w:t>
      </w:r>
      <w:r>
        <w:rPr>
          <w:rStyle w:val="FootnoteReference"/>
          <w:rFonts w:ascii="Times New Roman" w:hAnsi="Times New Roman"/>
          <w:noProof/>
          <w:sz w:val="24"/>
          <w:szCs w:val="24"/>
        </w:rPr>
        <w:footnoteReference w:id="18"/>
      </w:r>
      <w:r>
        <w:rPr>
          <w:rFonts w:ascii="Times New Roman" w:hAnsi="Times New Roman"/>
          <w:noProof/>
          <w:sz w:val="24"/>
          <w:szCs w:val="24"/>
        </w:rPr>
        <w:t>)</w:t>
      </w:r>
      <w:r>
        <w:rPr>
          <w:rFonts w:ascii="Times New Roman" w:eastAsia="Times New Roman" w:hAnsi="Times New Roman"/>
          <w:noProof/>
          <w:sz w:val="24"/>
          <w:szCs w:val="24"/>
        </w:rPr>
        <w:t xml:space="preserve"> many data sets remain unavailable to scientists, industry, public administrations and policy makers</w:t>
      </w:r>
      <w:r>
        <w:rPr>
          <w:rFonts w:ascii="Times New Roman" w:hAnsi="Times New Roman"/>
          <w:noProof/>
          <w:sz w:val="24"/>
          <w:szCs w:val="24"/>
        </w:rPr>
        <w:t>. While interoperability of administrative data mainly requires minimum standards, legal certainty in terms of access and usage and practical support,</w:t>
      </w:r>
      <w:r>
        <w:rPr>
          <w:rStyle w:val="FootnoteReference"/>
          <w:rFonts w:ascii="Times New Roman" w:hAnsi="Times New Roman"/>
          <w:noProof/>
          <w:sz w:val="24"/>
          <w:szCs w:val="24"/>
        </w:rPr>
        <w:footnoteReference w:id="19"/>
      </w:r>
      <w:r>
        <w:rPr>
          <w:rFonts w:ascii="Times New Roman" w:hAnsi="Times New Roman"/>
          <w:noProof/>
          <w:sz w:val="24"/>
          <w:szCs w:val="24"/>
        </w:rPr>
        <w:t xml:space="preserve"> sharing research data is also hampered by the size of datasets, its varied formats, the complexity of the software needed to analyse it and deep-rooted walls between disciplines. Simple 'meta-data'</w:t>
      </w:r>
      <w:r>
        <w:rPr>
          <w:rStyle w:val="FootnoteReference"/>
          <w:rFonts w:ascii="Times New Roman" w:hAnsi="Times New Roman"/>
          <w:noProof/>
          <w:sz w:val="24"/>
          <w:szCs w:val="24"/>
        </w:rPr>
        <w:footnoteReference w:id="20"/>
      </w:r>
      <w:r>
        <w:rPr>
          <w:rFonts w:ascii="Times New Roman" w:hAnsi="Times New Roman"/>
          <w:noProof/>
          <w:sz w:val="24"/>
          <w:szCs w:val="24"/>
        </w:rPr>
        <w:t xml:space="preserve"> to identify data and specifications for data-sharing are needed to make them widely accessible and available to be processed through common, open source data analysis tools. Issues of long-term preservation and curation of data</w:t>
      </w:r>
      <w:r>
        <w:rPr>
          <w:rFonts w:ascii="Times New Roman" w:hAnsi="Times New Roman"/>
          <w:i/>
          <w:noProof/>
          <w:sz w:val="24"/>
          <w:szCs w:val="24"/>
        </w:rPr>
        <w:t xml:space="preserve"> </w:t>
      </w:r>
      <w:r>
        <w:rPr>
          <w:rFonts w:ascii="Times New Roman" w:hAnsi="Times New Roman"/>
          <w:noProof/>
          <w:sz w:val="24"/>
          <w:szCs w:val="24"/>
        </w:rPr>
        <w:t>must also be tackled. There are already global grassroots initiatives</w:t>
      </w:r>
      <w:r>
        <w:rPr>
          <w:rStyle w:val="FootnoteReference"/>
          <w:rFonts w:ascii="Times New Roman" w:hAnsi="Times New Roman"/>
          <w:noProof/>
          <w:sz w:val="24"/>
          <w:szCs w:val="24"/>
        </w:rPr>
        <w:footnoteReference w:id="21"/>
      </w:r>
      <w:r>
        <w:rPr>
          <w:rFonts w:ascii="Times New Roman" w:hAnsi="Times New Roman"/>
          <w:noProof/>
          <w:sz w:val="24"/>
          <w:szCs w:val="24"/>
        </w:rPr>
        <w:t xml:space="preserve"> and some Member States are advancing in this area but the European participation in these initiatives is limited and those efforts are largely fragmented.</w:t>
      </w:r>
    </w:p>
    <w:p>
      <w:pPr>
        <w:spacing w:before="120" w:after="120"/>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Third, </w:t>
      </w:r>
      <w:r>
        <w:rPr>
          <w:rFonts w:ascii="Times New Roman" w:eastAsia="Times New Roman" w:hAnsi="Times New Roman"/>
          <w:b/>
          <w:noProof/>
          <w:sz w:val="24"/>
          <w:szCs w:val="24"/>
        </w:rPr>
        <w:t>fragmentation</w:t>
      </w:r>
      <w:r>
        <w:rPr>
          <w:rFonts w:ascii="Times New Roman" w:eastAsia="Times New Roman" w:hAnsi="Times New Roman"/>
          <w:noProof/>
          <w:sz w:val="24"/>
          <w:szCs w:val="24"/>
        </w:rPr>
        <w:t xml:space="preserve"> hampers data-driven science.</w:t>
      </w:r>
      <w:r>
        <w:rPr>
          <w:rStyle w:val="FootnoteReference"/>
          <w:rFonts w:ascii="Times New Roman" w:eastAsia="Times New Roman" w:hAnsi="Times New Roman"/>
          <w:noProof/>
          <w:sz w:val="24"/>
          <w:szCs w:val="24"/>
        </w:rPr>
        <w:footnoteReference w:id="22"/>
      </w:r>
      <w:r>
        <w:rPr>
          <w:rFonts w:ascii="Times New Roman" w:eastAsia="Times New Roman" w:hAnsi="Times New Roman"/>
          <w:noProof/>
          <w:sz w:val="24"/>
          <w:szCs w:val="24"/>
        </w:rPr>
        <w:t xml:space="preserve"> Data infrastructures are split by scientific and economic domains, by countries and by governance models. Access policies for networking, data storage and computing differ. Disconnected and slow data and computing infrastructures hinder scientific discovery, create silos and slow down the circulation of knowledge. Shareable research data, open data analysis tools and connected computing facilities need to be available to the great majority of researchers</w:t>
      </w:r>
      <w:r>
        <w:rPr>
          <w:rStyle w:val="FootnoteReference"/>
          <w:rFonts w:ascii="Times New Roman" w:eastAsia="Times New Roman" w:hAnsi="Times New Roman"/>
          <w:noProof/>
          <w:sz w:val="24"/>
          <w:szCs w:val="24"/>
        </w:rPr>
        <w:footnoteReference w:id="23"/>
      </w:r>
      <w:r>
        <w:rPr>
          <w:rFonts w:ascii="Times New Roman" w:eastAsia="Times New Roman" w:hAnsi="Times New Roman"/>
          <w:noProof/>
          <w:sz w:val="24"/>
          <w:szCs w:val="24"/>
        </w:rPr>
        <w:t xml:space="preserve"> in Europe, not only to top scientists of leading disciplines from key research institutions. Moreover, </w:t>
      </w:r>
      <w:r>
        <w:rPr>
          <w:rFonts w:ascii="Times New Roman" w:hAnsi="Times New Roman"/>
          <w:noProof/>
          <w:sz w:val="24"/>
          <w:szCs w:val="24"/>
        </w:rPr>
        <w:t>Europe's universities and research centres generally operate within national structures and lack a European-scale environment for computational, storage and data analysis. This makes scientific cooperation in the EU more difficult, particularly multi-disciplinary cooperation based on data.</w:t>
      </w:r>
      <w:r>
        <w:rPr>
          <w:rStyle w:val="FootnoteReference"/>
          <w:rFonts w:ascii="Times New Roman" w:hAnsi="Times New Roman"/>
          <w:noProof/>
          <w:sz w:val="24"/>
          <w:szCs w:val="24"/>
        </w:rPr>
        <w:footnoteReference w:id="24"/>
      </w:r>
      <w:r>
        <w:rPr>
          <w:rFonts w:ascii="Times New Roman" w:eastAsia="Times New Roman" w:hAnsi="Times New Roman"/>
          <w:noProof/>
          <w:sz w:val="24"/>
          <w:szCs w:val="24"/>
        </w:rPr>
        <w:t xml:space="preserve"> </w:t>
      </w:r>
      <w:r>
        <w:rPr>
          <w:rFonts w:ascii="Times New Roman" w:eastAsia="Times New Roman" w:hAnsi="Times New Roman"/>
          <w:noProof/>
          <w:sz w:val="24"/>
        </w:rPr>
        <w:t>In a recent public consultation,</w:t>
      </w:r>
      <w:r>
        <w:rPr>
          <w:rStyle w:val="FootnoteReference"/>
          <w:rFonts w:ascii="Times New Roman" w:eastAsia="Times New Roman" w:hAnsi="Times New Roman"/>
          <w:noProof/>
          <w:sz w:val="24"/>
        </w:rPr>
        <w:footnoteReference w:id="25"/>
      </w:r>
      <w:r>
        <w:rPr>
          <w:rFonts w:ascii="Times New Roman" w:eastAsia="Times New Roman" w:hAnsi="Times New Roman"/>
          <w:noProof/>
          <w:sz w:val="24"/>
        </w:rPr>
        <w:t xml:space="preserve"> the vast majority of the respondents answered that the European Open Science Cloud would make science more efficient by better sharing of resources at national and international level.</w:t>
      </w:r>
    </w:p>
    <w:p>
      <w:pPr>
        <w:widowControl w:val="0"/>
        <w:spacing w:after="120"/>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Fourth, there is surging demand in Europe for </w:t>
      </w:r>
      <w:r>
        <w:rPr>
          <w:rFonts w:ascii="Times New Roman" w:eastAsia="Times New Roman" w:hAnsi="Times New Roman"/>
          <w:b/>
          <w:noProof/>
          <w:sz w:val="24"/>
          <w:szCs w:val="24"/>
        </w:rPr>
        <w:t>a world-class High Performance Computing (HPC) infrastructure to process data</w:t>
      </w:r>
      <w:r>
        <w:rPr>
          <w:rStyle w:val="FootnoteReference"/>
          <w:rFonts w:ascii="Times New Roman" w:eastAsia="Times New Roman" w:hAnsi="Times New Roman"/>
          <w:b/>
          <w:noProof/>
          <w:sz w:val="24"/>
          <w:szCs w:val="24"/>
        </w:rPr>
        <w:footnoteReference w:id="26"/>
      </w:r>
      <w:r>
        <w:rPr>
          <w:rFonts w:ascii="Times New Roman" w:eastAsia="Times New Roman" w:hAnsi="Times New Roman"/>
          <w:noProof/>
          <w:sz w:val="24"/>
          <w:szCs w:val="24"/>
        </w:rPr>
        <w:t xml:space="preserve"> in science and engineering. The simulation of a complete next-generation airplane; climate modelling; linking genome to health; understanding the human brain; </w:t>
      </w:r>
      <w:r>
        <w:rPr>
          <w:rFonts w:ascii="Times New Roman" w:eastAsia="Times New Roman" w:hAnsi="Times New Roman"/>
          <w:i/>
          <w:noProof/>
          <w:sz w:val="24"/>
          <w:szCs w:val="24"/>
        </w:rPr>
        <w:t>in silico</w:t>
      </w:r>
      <w:r>
        <w:rPr>
          <w:rFonts w:ascii="Times New Roman" w:eastAsia="Times New Roman" w:hAnsi="Times New Roman"/>
          <w:noProof/>
          <w:sz w:val="24"/>
          <w:szCs w:val="24"/>
        </w:rPr>
        <w:t xml:space="preserve"> testing of cosmetics to reduce animal testing – all need exascale computing capabilities. While in the long term, </w:t>
      </w:r>
      <w:r>
        <w:rPr>
          <w:rFonts w:ascii="Times New Roman" w:eastAsia="Times New Roman" w:hAnsi="Times New Roman"/>
          <w:b/>
          <w:noProof/>
          <w:sz w:val="24"/>
          <w:szCs w:val="24"/>
        </w:rPr>
        <w:t>quantum computing</w:t>
      </w:r>
      <w:r>
        <w:rPr>
          <w:rFonts w:ascii="Times New Roman" w:eastAsia="Times New Roman" w:hAnsi="Times New Roman"/>
          <w:noProof/>
          <w:sz w:val="24"/>
          <w:szCs w:val="24"/>
        </w:rPr>
        <w:t xml:space="preserve"> holds the promise to solve computational problems that are beyond current supercomputers,</w:t>
      </w:r>
      <w:r>
        <w:rPr>
          <w:rStyle w:val="FootnoteReference"/>
          <w:rFonts w:ascii="Times New Roman" w:eastAsia="Times New Roman" w:hAnsi="Times New Roman"/>
          <w:noProof/>
          <w:sz w:val="24"/>
          <w:szCs w:val="24"/>
        </w:rPr>
        <w:footnoteReference w:id="27"/>
      </w:r>
      <w:r>
        <w:rPr>
          <w:rFonts w:ascii="Times New Roman" w:eastAsia="Times New Roman" w:hAnsi="Times New Roman"/>
          <w:noProof/>
          <w:sz w:val="24"/>
          <w:szCs w:val="24"/>
        </w:rPr>
        <w:t xml:space="preserve"> EU competitiveness also depends on the support of HPC for pan-European data infrastructures.</w:t>
      </w:r>
    </w:p>
    <w:p>
      <w:pPr>
        <w:spacing w:after="120"/>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Worldwide, the USA, China, Japan, Russia and India are advancing swiftly. They have declared HPC a strategic priority, they fund programmes to develop national HPC ecosystems </w:t>
      </w:r>
      <w:r>
        <w:rPr>
          <w:rFonts w:ascii="Times New Roman" w:hAnsi="Times New Roman"/>
          <w:noProof/>
          <w:sz w:val="24"/>
          <w:szCs w:val="24"/>
        </w:rPr>
        <w:t>(hardware, software, applications, skills, services and interconnections)</w:t>
      </w:r>
      <w:r>
        <w:rPr>
          <w:rFonts w:ascii="Times New Roman" w:eastAsia="Times New Roman" w:hAnsi="Times New Roman"/>
          <w:noProof/>
          <w:sz w:val="24"/>
          <w:szCs w:val="24"/>
        </w:rPr>
        <w:t xml:space="preserve"> and work on the deployment of exascale supercomputers.</w:t>
      </w:r>
      <w:r>
        <w:rPr>
          <w:rStyle w:val="FootnoteReference"/>
          <w:rFonts w:ascii="Times New Roman" w:eastAsia="Times New Roman" w:hAnsi="Times New Roman"/>
          <w:noProof/>
          <w:sz w:val="24"/>
          <w:szCs w:val="24"/>
        </w:rPr>
        <w:footnoteReference w:id="28"/>
      </w:r>
      <w:r>
        <w:rPr>
          <w:rFonts w:ascii="Times New Roman" w:eastAsia="Times New Roman" w:hAnsi="Times New Roman"/>
          <w:noProof/>
          <w:sz w:val="24"/>
          <w:szCs w:val="24"/>
        </w:rPr>
        <w:t xml:space="preserve"> Europe is not participating in the HPC race in line with its economic and knowledge potential; it is falling behind other regions as it fails to invest in its HPC ecosystem and to reap the benefits of intellectual property in this field. On the supply side, EU industry provides about 5% of HPC resources worldwide, while it consumes one third of it. As Europe </w:t>
      </w:r>
      <w:r>
        <w:rPr>
          <w:rFonts w:ascii="Times New Roman" w:eastAsia="Times New Roman" w:hAnsi="Times New Roman"/>
          <w:noProof/>
          <w:sz w:val="24"/>
        </w:rPr>
        <w:t>depends ever more on other regions for critical technology</w:t>
      </w:r>
      <w:r>
        <w:rPr>
          <w:rFonts w:ascii="Times New Roman" w:eastAsia="Times New Roman" w:hAnsi="Times New Roman"/>
          <w:noProof/>
          <w:sz w:val="24"/>
          <w:szCs w:val="24"/>
        </w:rPr>
        <w:t>, t</w:t>
      </w:r>
      <w:r>
        <w:rPr>
          <w:rFonts w:ascii="Times New Roman" w:eastAsia="Times New Roman" w:hAnsi="Times New Roman"/>
          <w:noProof/>
          <w:sz w:val="24"/>
        </w:rPr>
        <w:t>he risk is that it gets technologically locked, delayed or deprived of strategic know-how</w:t>
      </w:r>
      <w:r>
        <w:rPr>
          <w:rFonts w:ascii="Times New Roman" w:eastAsia="Times New Roman" w:hAnsi="Times New Roman"/>
          <w:noProof/>
          <w:sz w:val="24"/>
          <w:szCs w:val="24"/>
        </w:rPr>
        <w:t>. Europe also lags in terms of sheer total computing power:</w:t>
      </w:r>
      <w:r>
        <w:rPr>
          <w:rFonts w:ascii="Times New Roman" w:hAnsi="Times New Roman"/>
          <w:noProof/>
        </w:rPr>
        <w:t xml:space="preserve"> </w:t>
      </w:r>
      <w:r>
        <w:rPr>
          <w:rFonts w:ascii="Times New Roman" w:eastAsia="Times New Roman" w:hAnsi="Times New Roman"/>
          <w:noProof/>
          <w:sz w:val="24"/>
          <w:szCs w:val="24"/>
        </w:rPr>
        <w:t>only one out of ten leading HPC infrastructures is in the EU, Germany's Höchstleistungsrechenzentrum Stuttgart ranking 8</w:t>
      </w:r>
      <w:r>
        <w:rPr>
          <w:rFonts w:ascii="Times New Roman" w:eastAsia="Times New Roman" w:hAnsi="Times New Roman"/>
          <w:noProof/>
          <w:sz w:val="24"/>
          <w:szCs w:val="24"/>
          <w:vertAlign w:val="superscript"/>
        </w:rPr>
        <w:t>th</w:t>
      </w:r>
      <w:r>
        <w:rPr>
          <w:rFonts w:ascii="Times New Roman" w:eastAsia="Times New Roman" w:hAnsi="Times New Roman"/>
          <w:noProof/>
          <w:sz w:val="24"/>
          <w:szCs w:val="24"/>
        </w:rPr>
        <w:t>. The USA has five and China has the fastest world supercomputer since 2013.</w:t>
      </w:r>
    </w:p>
    <w:p>
      <w:pPr>
        <w:spacing w:after="120"/>
        <w:jc w:val="both"/>
        <w:rPr>
          <w:rFonts w:ascii="Times New Roman" w:hAnsi="Times New Roman"/>
          <w:noProof/>
          <w:sz w:val="24"/>
          <w:szCs w:val="24"/>
        </w:rPr>
      </w:pPr>
      <w:r>
        <w:rPr>
          <w:rFonts w:ascii="Times New Roman" w:eastAsia="Times New Roman" w:hAnsi="Times New Roman"/>
          <w:noProof/>
          <w:sz w:val="24"/>
          <w:szCs w:val="24"/>
        </w:rPr>
        <w:t xml:space="preserve">No single Member State alone has the financial resources to develop </w:t>
      </w:r>
      <w:r>
        <w:rPr>
          <w:rFonts w:ascii="Times New Roman" w:eastAsia="Times New Roman" w:hAnsi="Times New Roman"/>
          <w:b/>
          <w:noProof/>
          <w:sz w:val="24"/>
          <w:szCs w:val="24"/>
        </w:rPr>
        <w:t>the necessary HPC ecosystem</w:t>
      </w:r>
      <w:r>
        <w:rPr>
          <w:rFonts w:ascii="Times New Roman" w:hAnsi="Times New Roman"/>
          <w:noProof/>
          <w:sz w:val="24"/>
          <w:szCs w:val="24"/>
        </w:rPr>
        <w:t>,</w:t>
      </w:r>
      <w:r>
        <w:rPr>
          <w:rFonts w:ascii="Times New Roman" w:eastAsia="Times New Roman" w:hAnsi="Times New Roman"/>
          <w:noProof/>
          <w:sz w:val="24"/>
          <w:szCs w:val="24"/>
        </w:rPr>
        <w:t xml:space="preserve"> in competitive time frames with respect to the US, Japan or China.</w:t>
      </w:r>
      <w:r>
        <w:rPr>
          <w:rStyle w:val="FootnoteReference"/>
          <w:rFonts w:ascii="Times New Roman" w:eastAsia="Times New Roman" w:hAnsi="Times New Roman"/>
          <w:noProof/>
          <w:sz w:val="24"/>
          <w:szCs w:val="24"/>
        </w:rPr>
        <w:footnoteReference w:id="29"/>
      </w:r>
      <w:r>
        <w:rPr>
          <w:rFonts w:ascii="Times New Roman" w:eastAsia="Times New Roman" w:hAnsi="Times New Roman"/>
          <w:noProof/>
          <w:sz w:val="24"/>
          <w:szCs w:val="24"/>
        </w:rPr>
        <w:t xml:space="preserve"> However to date no common action is taken to bridge the gap between internal demand and EU supply.</w:t>
      </w:r>
      <w:r>
        <w:rPr>
          <w:rStyle w:val="FootnoteReference"/>
          <w:rFonts w:ascii="Times New Roman" w:eastAsia="Times New Roman" w:hAnsi="Times New Roman"/>
          <w:noProof/>
          <w:sz w:val="24"/>
          <w:szCs w:val="24"/>
        </w:rPr>
        <w:footnoteReference w:id="30"/>
      </w:r>
      <w:r>
        <w:rPr>
          <w:rFonts w:ascii="Times New Roman" w:eastAsia="Times New Roman" w:hAnsi="Times New Roman"/>
          <w:noProof/>
          <w:sz w:val="24"/>
          <w:szCs w:val="24"/>
        </w:rPr>
        <w:t xml:space="preserve"> The EU set up a contractual Public-Private Partnership on HPC to develop exascale technology, but there is no European framework to integrate it in large scale computing systems. </w:t>
      </w:r>
    </w:p>
    <w:p>
      <w:pPr>
        <w:spacing w:after="120"/>
        <w:jc w:val="both"/>
        <w:rPr>
          <w:rFonts w:ascii="Times New Roman" w:hAnsi="Times New Roman"/>
          <w:noProof/>
          <w:sz w:val="24"/>
          <w:szCs w:val="24"/>
        </w:rPr>
      </w:pPr>
      <w:r>
        <w:rPr>
          <w:rFonts w:ascii="Times New Roman" w:hAnsi="Times New Roman"/>
          <w:noProof/>
          <w:sz w:val="24"/>
          <w:szCs w:val="24"/>
        </w:rPr>
        <w:t>Finally, scientific data producers and users must be able to re-use data and to use advanced analytics techniques, such as text and data mining, in an environment that is at least as dependable as their own facilities. Member States have made strong reference to the importance of EU research data and to ensure that data-driven science benefits European society.</w:t>
      </w:r>
      <w:r>
        <w:rPr>
          <w:rStyle w:val="FootnoteReference"/>
          <w:rFonts w:ascii="Times New Roman" w:hAnsi="Times New Roman"/>
          <w:noProof/>
          <w:sz w:val="24"/>
          <w:szCs w:val="24"/>
        </w:rPr>
        <w:footnoteReference w:id="31"/>
      </w:r>
      <w:r>
        <w:rPr>
          <w:rFonts w:ascii="Times New Roman" w:hAnsi="Times New Roman"/>
          <w:noProof/>
          <w:sz w:val="24"/>
          <w:szCs w:val="24"/>
        </w:rPr>
        <w:t xml:space="preserve"> </w:t>
      </w:r>
      <w:r>
        <w:rPr>
          <w:rFonts w:ascii="Times New Roman" w:hAnsi="Times New Roman"/>
          <w:noProof/>
          <w:sz w:val="24"/>
        </w:rPr>
        <w:t>Any use and re-use of scientific data needs to ensure that personal data are adequately protected according to the EU data protection rules.</w:t>
      </w:r>
      <w:r>
        <w:rPr>
          <w:rStyle w:val="FootnoteReference"/>
          <w:rFonts w:ascii="Times New Roman" w:hAnsi="Times New Roman"/>
          <w:noProof/>
          <w:sz w:val="24"/>
        </w:rPr>
        <w:footnoteReference w:id="32"/>
      </w:r>
      <w:r>
        <w:rPr>
          <w:rFonts w:ascii="Times New Roman" w:hAnsi="Times New Roman"/>
          <w:noProof/>
          <w:sz w:val="24"/>
        </w:rPr>
        <w:t xml:space="preserve"> These </w:t>
      </w:r>
      <w:r>
        <w:rPr>
          <w:rFonts w:ascii="Times New Roman" w:hAnsi="Times New Roman"/>
          <w:noProof/>
          <w:color w:val="000000"/>
          <w:sz w:val="24"/>
        </w:rPr>
        <w:t>and forthcoming revision of EU Copyright legislation</w:t>
      </w:r>
      <w:r>
        <w:rPr>
          <w:rStyle w:val="FootnoteReference"/>
          <w:rFonts w:ascii="Times New Roman" w:hAnsi="Times New Roman"/>
          <w:noProof/>
          <w:color w:val="000000"/>
          <w:sz w:val="24"/>
        </w:rPr>
        <w:footnoteReference w:id="33"/>
      </w:r>
      <w:r>
        <w:rPr>
          <w:rFonts w:ascii="Times New Roman" w:hAnsi="Times New Roman"/>
          <w:noProof/>
          <w:color w:val="000000"/>
          <w:sz w:val="24"/>
        </w:rPr>
        <w:t xml:space="preserve"> </w:t>
      </w:r>
      <w:r>
        <w:rPr>
          <w:rFonts w:ascii="Times New Roman" w:hAnsi="Times New Roman"/>
          <w:noProof/>
          <w:sz w:val="24"/>
        </w:rPr>
        <w:t>provide general frameworks which are relevant in this context.</w:t>
      </w:r>
    </w:p>
    <w:p>
      <w:pPr>
        <w:pStyle w:val="Heading1"/>
        <w:rPr>
          <w:rFonts w:ascii="Times New Roman" w:hAnsi="Times New Roman" w:cs="Times New Roman"/>
          <w:noProof/>
          <w:color w:val="auto"/>
        </w:rPr>
      </w:pPr>
      <w:bookmarkStart w:id="8" w:name="_Toc431918266"/>
      <w:bookmarkStart w:id="9" w:name="_Toc433704776"/>
      <w:r>
        <w:rPr>
          <w:rFonts w:ascii="Times New Roman" w:hAnsi="Times New Roman" w:cs="Times New Roman"/>
          <w:noProof/>
          <w:color w:val="auto"/>
        </w:rPr>
        <w:t>What are the solutions?</w:t>
      </w:r>
      <w:bookmarkEnd w:id="8"/>
      <w:bookmarkEnd w:id="9"/>
    </w:p>
    <w:p>
      <w:pPr>
        <w:pStyle w:val="Heading2"/>
        <w:numPr>
          <w:ilvl w:val="0"/>
          <w:numId w:val="57"/>
        </w:numPr>
        <w:spacing w:after="120"/>
        <w:ind w:left="567" w:hanging="567"/>
        <w:rPr>
          <w:rFonts w:ascii="Times New Roman" w:hAnsi="Times New Roman"/>
          <w:noProof/>
          <w:color w:val="auto"/>
        </w:rPr>
      </w:pPr>
      <w:r>
        <w:rPr>
          <w:rFonts w:ascii="Times New Roman" w:hAnsi="Times New Roman"/>
          <w:noProof/>
          <w:color w:val="auto"/>
        </w:rPr>
        <w:t>European Open Science Cloud</w:t>
      </w:r>
    </w:p>
    <w:p>
      <w:pPr>
        <w:jc w:val="both"/>
        <w:rPr>
          <w:rFonts w:ascii="Times New Roman" w:hAnsi="Times New Roman"/>
          <w:noProof/>
          <w:sz w:val="24"/>
          <w:szCs w:val="24"/>
        </w:rPr>
      </w:pPr>
      <w:r>
        <w:rPr>
          <w:rFonts w:ascii="Times New Roman" w:hAnsi="Times New Roman"/>
          <w:noProof/>
          <w:sz w:val="24"/>
          <w:szCs w:val="24"/>
        </w:rPr>
        <w:t>The European Open Science Cloud aims to give Europe a global lead in scientific data infrastructures, to ensure that European scientists reap the full benefits of data-driven science. Practically, it will offer 1.7 million European researchers and 70 million professionals in science and technology a virtual environment with free at the point of use, open and seamless services for storage, management, analysis and re-use of research data, across borders and scientific disciplines. Its development will be driven by the scientific community, who are the most advanced users and the largest producers of science in the world. The European Open Science Cloud will be also open for education and training purposes in higher education and, over time, to government and business users as the technologies developed will be promoted for wider application.</w:t>
      </w: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The European Open Science Cloud will start by federating existing scientific data infrastructures, today scattered across disciplines and Member States. This will make access to scientific data easier, cheaper and more efficient. It will enable the creation of new market opportunities and new solutions in key areas such as health, environment, or transport. The European Open Science Cloud will provide a secure environment where privacy and data protection must be guaranteed by design, </w:t>
      </w:r>
      <w:r>
        <w:rPr>
          <w:rFonts w:ascii="Times New Roman" w:hAnsi="Times New Roman"/>
          <w:noProof/>
          <w:sz w:val="24"/>
        </w:rPr>
        <w:t>based on recognised standards</w:t>
      </w:r>
      <w:r>
        <w:rPr>
          <w:rFonts w:ascii="Times New Roman" w:hAnsi="Times New Roman"/>
          <w:noProof/>
          <w:sz w:val="24"/>
          <w:szCs w:val="24"/>
        </w:rPr>
        <w:t>, and where users can be confident concerning data security and liability risks. It will leverage other actions taken by the Commission to promote Open Science in Europe, such as open access to scientific publications and data in Horizon 2020, and convene key stakeholders to co-design the next actions. The governance of the European Open Science Cloud will be determined upon conclusion of a thorough preparation process that is already under way.</w:t>
      </w:r>
    </w:p>
    <w:p>
      <w:pPr>
        <w:spacing w:before="120"/>
        <w:jc w:val="both"/>
        <w:rPr>
          <w:rFonts w:ascii="Times New Roman" w:hAnsi="Times New Roman"/>
          <w:noProof/>
          <w:sz w:val="24"/>
          <w:szCs w:val="24"/>
        </w:rPr>
      </w:pPr>
      <w:r>
        <w:rPr>
          <w:rFonts w:ascii="Times New Roman" w:hAnsi="Times New Roman"/>
          <w:noProof/>
          <w:sz w:val="24"/>
          <w:szCs w:val="24"/>
        </w:rPr>
        <w:t>Specifically, to develop the European Open Science Cloud it will be necessary to:</w:t>
      </w:r>
    </w:p>
    <w:p>
      <w:pPr>
        <w:jc w:val="both"/>
        <w:rPr>
          <w:rFonts w:ascii="Times New Roman" w:hAnsi="Times New Roman"/>
          <w:noProof/>
          <w:sz w:val="24"/>
          <w:szCs w:val="24"/>
        </w:rPr>
      </w:pPr>
    </w:p>
    <w:p>
      <w:pPr>
        <w:pStyle w:val="ListParagraph"/>
        <w:numPr>
          <w:ilvl w:val="0"/>
          <w:numId w:val="69"/>
        </w:numPr>
        <w:jc w:val="both"/>
        <w:rPr>
          <w:rFonts w:ascii="Times New Roman" w:hAnsi="Times New Roman"/>
          <w:noProof/>
          <w:sz w:val="24"/>
          <w:szCs w:val="24"/>
        </w:rPr>
      </w:pPr>
      <w:r>
        <w:rPr>
          <w:rFonts w:ascii="Times New Roman" w:hAnsi="Times New Roman"/>
          <w:b/>
          <w:noProof/>
          <w:sz w:val="24"/>
          <w:szCs w:val="24"/>
        </w:rPr>
        <w:t>Make all scientific data produced by the Horizon 2020 Programme open by default</w:t>
      </w:r>
      <w:r>
        <w:rPr>
          <w:rFonts w:ascii="Times New Roman" w:hAnsi="Times New Roman"/>
          <w:noProof/>
          <w:sz w:val="24"/>
          <w:szCs w:val="24"/>
        </w:rPr>
        <w:t>. This will extend the current pilot,</w:t>
      </w:r>
      <w:r>
        <w:rPr>
          <w:rStyle w:val="FootnoteReference"/>
          <w:rFonts w:ascii="Times New Roman" w:hAnsi="Times New Roman"/>
          <w:noProof/>
          <w:sz w:val="24"/>
          <w:szCs w:val="24"/>
        </w:rPr>
        <w:footnoteReference w:id="34"/>
      </w:r>
      <w:r>
        <w:rPr>
          <w:rFonts w:ascii="Times New Roman" w:hAnsi="Times New Roman"/>
          <w:noProof/>
          <w:sz w:val="24"/>
          <w:szCs w:val="24"/>
        </w:rPr>
        <w:t xml:space="preserve"> whereby projects implement Data Management Plans to make research data findable, accessible, interoperable and re-usable (FAIR principles).</w:t>
      </w:r>
      <w:r>
        <w:rPr>
          <w:rStyle w:val="FootnoteReference"/>
          <w:rFonts w:ascii="Times New Roman" w:hAnsi="Times New Roman"/>
          <w:noProof/>
          <w:sz w:val="24"/>
          <w:szCs w:val="24"/>
        </w:rPr>
        <w:footnoteReference w:id="35"/>
      </w:r>
    </w:p>
    <w:p>
      <w:pPr>
        <w:pStyle w:val="ListParagraph"/>
        <w:numPr>
          <w:ilvl w:val="0"/>
          <w:numId w:val="69"/>
        </w:numPr>
        <w:jc w:val="both"/>
        <w:rPr>
          <w:rFonts w:ascii="Times New Roman" w:hAnsi="Times New Roman"/>
          <w:noProof/>
          <w:sz w:val="24"/>
          <w:szCs w:val="24"/>
        </w:rPr>
      </w:pPr>
      <w:r>
        <w:rPr>
          <w:rFonts w:ascii="Times New Roman" w:hAnsi="Times New Roman"/>
          <w:b/>
          <w:noProof/>
          <w:sz w:val="24"/>
          <w:szCs w:val="24"/>
        </w:rPr>
        <w:t>Raise awareness</w:t>
      </w:r>
      <w:r>
        <w:rPr>
          <w:rFonts w:ascii="Times New Roman" w:hAnsi="Times New Roman"/>
          <w:noProof/>
          <w:sz w:val="24"/>
          <w:szCs w:val="24"/>
        </w:rPr>
        <w:t xml:space="preserve"> </w:t>
      </w:r>
      <w:r>
        <w:rPr>
          <w:rFonts w:ascii="Times New Roman" w:hAnsi="Times New Roman"/>
          <w:b/>
          <w:noProof/>
          <w:sz w:val="24"/>
          <w:szCs w:val="24"/>
        </w:rPr>
        <w:t>and change incentive structures</w:t>
      </w:r>
      <w:r>
        <w:rPr>
          <w:rFonts w:ascii="Times New Roman" w:hAnsi="Times New Roman"/>
          <w:noProof/>
          <w:sz w:val="24"/>
          <w:szCs w:val="24"/>
        </w:rPr>
        <w:t xml:space="preserve"> for academics, industry and public services to share their data, and improve data management training, literacy and data stewardship skills. In parallel, principles and guidelines on access to research data in Europe</w:t>
      </w:r>
      <w:r>
        <w:rPr>
          <w:rStyle w:val="FootnoteReference"/>
          <w:rFonts w:ascii="Times New Roman" w:hAnsi="Times New Roman"/>
          <w:noProof/>
          <w:sz w:val="24"/>
          <w:szCs w:val="24"/>
        </w:rPr>
        <w:footnoteReference w:id="36"/>
      </w:r>
      <w:r>
        <w:rPr>
          <w:rFonts w:ascii="Times New Roman" w:hAnsi="Times New Roman"/>
          <w:noProof/>
          <w:sz w:val="24"/>
          <w:szCs w:val="24"/>
        </w:rPr>
        <w:t xml:space="preserve"> will be reviewed to strengthen and coordinate their implementation.</w:t>
      </w:r>
    </w:p>
    <w:p>
      <w:pPr>
        <w:pStyle w:val="ListParagraph"/>
        <w:numPr>
          <w:ilvl w:val="0"/>
          <w:numId w:val="69"/>
        </w:numPr>
        <w:jc w:val="both"/>
        <w:rPr>
          <w:rFonts w:ascii="Times New Roman" w:hAnsi="Times New Roman"/>
          <w:noProof/>
          <w:sz w:val="24"/>
          <w:szCs w:val="24"/>
        </w:rPr>
      </w:pPr>
      <w:r>
        <w:rPr>
          <w:rFonts w:ascii="Times New Roman" w:hAnsi="Times New Roman"/>
          <w:noProof/>
          <w:sz w:val="24"/>
          <w:szCs w:val="24"/>
        </w:rPr>
        <w:t xml:space="preserve">Develop specifications for </w:t>
      </w:r>
      <w:r>
        <w:rPr>
          <w:rFonts w:ascii="Times New Roman" w:hAnsi="Times New Roman"/>
          <w:b/>
          <w:noProof/>
          <w:sz w:val="24"/>
          <w:szCs w:val="24"/>
        </w:rPr>
        <w:t>interoperability</w:t>
      </w:r>
      <w:r>
        <w:rPr>
          <w:rFonts w:ascii="Times New Roman" w:hAnsi="Times New Roman"/>
          <w:noProof/>
          <w:sz w:val="24"/>
          <w:szCs w:val="24"/>
        </w:rPr>
        <w:t xml:space="preserve"> </w:t>
      </w:r>
      <w:r>
        <w:rPr>
          <w:rFonts w:ascii="Times New Roman" w:hAnsi="Times New Roman"/>
          <w:b/>
          <w:noProof/>
          <w:sz w:val="24"/>
          <w:szCs w:val="24"/>
        </w:rPr>
        <w:t xml:space="preserve">and data sharing </w:t>
      </w:r>
      <w:r>
        <w:rPr>
          <w:rFonts w:ascii="Times New Roman" w:hAnsi="Times New Roman"/>
          <w:noProof/>
          <w:sz w:val="24"/>
          <w:szCs w:val="24"/>
        </w:rPr>
        <w:t>across disciplines and infrastructures, building on existing initiatives such as the Research Data Alliance and the Belmont Forum and legal provisions such as INSPIRE. Over time, any emerging standardization needs will be addressed through the DSM Priorities for ICT Standardisation.</w:t>
      </w:r>
    </w:p>
    <w:p>
      <w:pPr>
        <w:pStyle w:val="ListParagraph"/>
        <w:numPr>
          <w:ilvl w:val="0"/>
          <w:numId w:val="69"/>
        </w:numPr>
        <w:jc w:val="both"/>
        <w:rPr>
          <w:rFonts w:ascii="Times New Roman" w:hAnsi="Times New Roman"/>
          <w:noProof/>
          <w:sz w:val="24"/>
          <w:szCs w:val="24"/>
        </w:rPr>
      </w:pPr>
      <w:r>
        <w:rPr>
          <w:rFonts w:ascii="Times New Roman" w:hAnsi="Times New Roman"/>
          <w:noProof/>
          <w:sz w:val="24"/>
          <w:szCs w:val="24"/>
        </w:rPr>
        <w:t xml:space="preserve">Create </w:t>
      </w:r>
      <w:r>
        <w:rPr>
          <w:rFonts w:ascii="Times New Roman" w:hAnsi="Times New Roman"/>
          <w:b/>
          <w:noProof/>
          <w:sz w:val="24"/>
          <w:szCs w:val="24"/>
        </w:rPr>
        <w:t xml:space="preserve">a fit-for-purpose pan-European governance structure </w:t>
      </w:r>
      <w:r>
        <w:rPr>
          <w:rFonts w:ascii="Times New Roman" w:hAnsi="Times New Roman"/>
          <w:noProof/>
          <w:sz w:val="24"/>
          <w:szCs w:val="24"/>
        </w:rPr>
        <w:t>to federate scientific data infrastructures</w:t>
      </w:r>
      <w:r>
        <w:rPr>
          <w:rFonts w:ascii="Times New Roman" w:hAnsi="Times New Roman"/>
          <w:b/>
          <w:noProof/>
          <w:sz w:val="24"/>
          <w:szCs w:val="24"/>
        </w:rPr>
        <w:t xml:space="preserve"> </w:t>
      </w:r>
      <w:r>
        <w:rPr>
          <w:rFonts w:ascii="Times New Roman" w:hAnsi="Times New Roman"/>
          <w:noProof/>
          <w:sz w:val="24"/>
          <w:szCs w:val="24"/>
        </w:rPr>
        <w:t>and overcome fragmentation</w:t>
      </w:r>
      <w:r>
        <w:rPr>
          <w:rFonts w:ascii="Times New Roman" w:hAnsi="Times New Roman"/>
          <w:b/>
          <w:noProof/>
          <w:sz w:val="24"/>
          <w:szCs w:val="24"/>
        </w:rPr>
        <w:t xml:space="preserve">. </w:t>
      </w:r>
      <w:r>
        <w:rPr>
          <w:rFonts w:ascii="Times New Roman" w:hAnsi="Times New Roman"/>
          <w:noProof/>
          <w:sz w:val="24"/>
          <w:szCs w:val="24"/>
        </w:rPr>
        <w:t>The institutional set-up will oversee long-term funding, sustainability, data preservation and stewardship. It will build on existing structures to involve scientific users, research funders and implementers.</w:t>
      </w:r>
      <w:r>
        <w:rPr>
          <w:rStyle w:val="FootnoteReference"/>
          <w:rFonts w:ascii="Times New Roman" w:hAnsi="Times New Roman"/>
          <w:noProof/>
          <w:sz w:val="24"/>
          <w:szCs w:val="24"/>
        </w:rPr>
        <w:footnoteReference w:id="37"/>
      </w:r>
    </w:p>
    <w:p>
      <w:pPr>
        <w:pStyle w:val="ListParagraph"/>
        <w:numPr>
          <w:ilvl w:val="0"/>
          <w:numId w:val="69"/>
        </w:numPr>
        <w:spacing w:after="120"/>
        <w:ind w:left="714" w:hanging="357"/>
        <w:jc w:val="both"/>
        <w:rPr>
          <w:rFonts w:ascii="Times New Roman" w:hAnsi="Times New Roman"/>
          <w:noProof/>
          <w:sz w:val="24"/>
          <w:szCs w:val="24"/>
        </w:rPr>
      </w:pPr>
      <w:r>
        <w:rPr>
          <w:rFonts w:ascii="Times New Roman" w:hAnsi="Times New Roman"/>
          <w:noProof/>
          <w:sz w:val="24"/>
          <w:szCs w:val="24"/>
        </w:rPr>
        <w:t xml:space="preserve">Develop </w:t>
      </w:r>
      <w:r>
        <w:rPr>
          <w:rFonts w:ascii="Times New Roman" w:hAnsi="Times New Roman"/>
          <w:b/>
          <w:noProof/>
          <w:sz w:val="24"/>
          <w:szCs w:val="24"/>
        </w:rPr>
        <w:t xml:space="preserve">cloud-based services for Open Science. </w:t>
      </w:r>
      <w:r>
        <w:rPr>
          <w:rFonts w:ascii="Times New Roman" w:hAnsi="Times New Roman"/>
          <w:noProof/>
          <w:sz w:val="24"/>
          <w:szCs w:val="24"/>
        </w:rPr>
        <w:t xml:space="preserve">Supported by the European Data Infrastructure, they will allow researchers </w:t>
      </w:r>
      <w:r>
        <w:rPr>
          <w:rFonts w:ascii="Times New Roman" w:eastAsia="Times New Roman" w:hAnsi="Times New Roman"/>
          <w:noProof/>
          <w:sz w:val="24"/>
          <w:szCs w:val="24"/>
        </w:rPr>
        <w:t>to find and access shared research data, to employ advanced analytical software, to use high-performance computing resources and to learn about best data-driven science practices from leading disciplines.</w:t>
      </w:r>
    </w:p>
    <w:p>
      <w:pPr>
        <w:pStyle w:val="ListParagraph"/>
        <w:numPr>
          <w:ilvl w:val="0"/>
          <w:numId w:val="69"/>
        </w:numPr>
        <w:spacing w:after="120"/>
        <w:ind w:left="714" w:hanging="357"/>
        <w:jc w:val="both"/>
        <w:rPr>
          <w:rFonts w:ascii="Times New Roman" w:hAnsi="Times New Roman"/>
          <w:noProof/>
          <w:sz w:val="24"/>
          <w:szCs w:val="24"/>
        </w:rPr>
      </w:pPr>
      <w:r>
        <w:rPr>
          <w:rFonts w:ascii="Times New Roman" w:eastAsia="Times New Roman" w:hAnsi="Times New Roman"/>
          <w:b/>
          <w:noProof/>
          <w:sz w:val="24"/>
          <w:szCs w:val="24"/>
        </w:rPr>
        <w:t>Enlarge the scientific user base</w:t>
      </w:r>
      <w:r>
        <w:rPr>
          <w:rFonts w:ascii="Times New Roman" w:eastAsia="Times New Roman" w:hAnsi="Times New Roman"/>
          <w:noProof/>
          <w:sz w:val="24"/>
          <w:szCs w:val="24"/>
        </w:rPr>
        <w:t xml:space="preserve"> of the European Open Science Cloud to researchers and innovators from all disciplines and Member States, as well as from partner countries and global initiatives, so that they contribute to excellence and partake in the benefits of the initiative.</w:t>
      </w:r>
      <w:r>
        <w:rPr>
          <w:rStyle w:val="FootnoteReference"/>
          <w:rFonts w:ascii="Times New Roman" w:eastAsia="Times New Roman" w:hAnsi="Times New Roman"/>
          <w:noProof/>
          <w:sz w:val="24"/>
          <w:szCs w:val="24"/>
        </w:rPr>
        <w:footnoteReference w:id="38"/>
      </w:r>
    </w:p>
    <w:p>
      <w:pPr>
        <w:spacing w:after="120"/>
        <w:jc w:val="both"/>
        <w:rPr>
          <w:rFonts w:ascii="Times New Roman" w:hAnsi="Times New Roman"/>
          <w:bCs/>
          <w:noProof/>
          <w:sz w:val="24"/>
          <w:szCs w:val="24"/>
        </w:rPr>
      </w:pPr>
      <w:r>
        <w:rPr>
          <w:rFonts w:ascii="Times New Roman" w:hAnsi="Times New Roman"/>
          <w:noProof/>
          <w:sz w:val="24"/>
          <w:szCs w:val="24"/>
        </w:rPr>
        <w:t>The initiative will reinforce other Open Science actions that the Council</w:t>
      </w:r>
      <w:r>
        <w:rPr>
          <w:rStyle w:val="FootnoteReference"/>
          <w:rFonts w:ascii="Times New Roman" w:hAnsi="Times New Roman"/>
          <w:noProof/>
          <w:sz w:val="24"/>
          <w:szCs w:val="24"/>
        </w:rPr>
        <w:footnoteReference w:id="39"/>
      </w:r>
      <w:r>
        <w:rPr>
          <w:rFonts w:ascii="Times New Roman" w:hAnsi="Times New Roman"/>
          <w:noProof/>
          <w:sz w:val="24"/>
          <w:szCs w:val="24"/>
        </w:rPr>
        <w:t xml:space="preserve"> and the European Parliament</w:t>
      </w:r>
      <w:r>
        <w:rPr>
          <w:rStyle w:val="FootnoteReference"/>
          <w:rFonts w:ascii="Times New Roman" w:hAnsi="Times New Roman"/>
          <w:noProof/>
          <w:sz w:val="24"/>
          <w:szCs w:val="24"/>
        </w:rPr>
        <w:footnoteReference w:id="40"/>
      </w:r>
      <w:r>
        <w:rPr>
          <w:rFonts w:ascii="Times New Roman" w:hAnsi="Times New Roman"/>
          <w:noProof/>
          <w:sz w:val="24"/>
          <w:szCs w:val="24"/>
        </w:rPr>
        <w:t xml:space="preserve"> called for, and actions in the context of the forthcoming Open Science policy agenda of the Commission. It will foster best practices of data findability and accessibility and help researchers get their data skills recognised and rewarded; allow easier replicability of results and limit data wastage e.g. of clinical trial data (research integrity); contribute to clarification of the funding model for data generation and preservation, reducing rent-seeking and priming the market for innovative research services (e.g. advanced text and data mining). The initiative may also help address issues of data clearance and personal data protection.</w:t>
      </w:r>
      <w:r>
        <w:rPr>
          <w:rStyle w:val="FootnoteReference"/>
          <w:rFonts w:ascii="Times New Roman" w:hAnsi="Times New Roman"/>
          <w:noProof/>
          <w:sz w:val="24"/>
          <w:szCs w:val="24"/>
        </w:rPr>
        <w:footnoteReference w:id="41"/>
      </w:r>
      <w:r>
        <w:rPr>
          <w:rFonts w:ascii="Times New Roman" w:hAnsi="Times New Roman"/>
          <w:noProof/>
          <w:sz w:val="24"/>
          <w:szCs w:val="24"/>
        </w:rPr>
        <w:t xml:space="preserve"> </w:t>
      </w:r>
      <w:r>
        <w:rPr>
          <w:rFonts w:ascii="Times New Roman" w:hAnsi="Times New Roman"/>
          <w:bCs/>
          <w:noProof/>
          <w:sz w:val="24"/>
          <w:szCs w:val="24"/>
        </w:rPr>
        <w:t xml:space="preserve">The Commission will consult stakeholders and work with R&amp;D providers on the need for implementing guidelines for the scientific </w:t>
      </w:r>
      <w:r>
        <w:rPr>
          <w:rFonts w:ascii="Times New Roman" w:hAnsi="Times New Roman"/>
          <w:noProof/>
          <w:sz w:val="24"/>
        </w:rPr>
        <w:t xml:space="preserve">domain regarding </w:t>
      </w:r>
      <w:r>
        <w:rPr>
          <w:rFonts w:ascii="Times New Roman" w:hAnsi="Times New Roman"/>
          <w:bCs/>
          <w:noProof/>
          <w:sz w:val="24"/>
          <w:szCs w:val="24"/>
        </w:rPr>
        <w:t xml:space="preserve">Union </w:t>
      </w:r>
      <w:r>
        <w:rPr>
          <w:rFonts w:ascii="Times New Roman" w:hAnsi="Times New Roman"/>
          <w:noProof/>
          <w:sz w:val="24"/>
        </w:rPr>
        <w:t>policy and law in Data Protection</w:t>
      </w:r>
      <w:r>
        <w:rPr>
          <w:rFonts w:ascii="Times New Roman" w:hAnsi="Times New Roman"/>
          <w:bCs/>
          <w:noProof/>
          <w:sz w:val="24"/>
          <w:szCs w:val="24"/>
        </w:rPr>
        <w:t>, and on the need to ensure that the initiative implements "by-design" the legal principles at the earliest possible stage.</w:t>
      </w:r>
    </w:p>
    <w:tbl>
      <w:tblPr>
        <w:tblStyle w:val="TableGrid"/>
        <w:tblW w:w="9180" w:type="dxa"/>
        <w:tblLook w:val="04A0" w:firstRow="1" w:lastRow="0" w:firstColumn="1" w:lastColumn="0" w:noHBand="0" w:noVBand="1"/>
      </w:tblPr>
      <w:tblGrid>
        <w:gridCol w:w="7763"/>
        <w:gridCol w:w="1417"/>
      </w:tblGrid>
      <w:tr>
        <w:tc>
          <w:tcPr>
            <w:tcW w:w="7763" w:type="dxa"/>
          </w:tcPr>
          <w:p>
            <w:pPr>
              <w:keepNext/>
              <w:spacing w:before="60" w:after="60"/>
              <w:jc w:val="both"/>
              <w:rPr>
                <w:rFonts w:ascii="Times New Roman" w:hAnsi="Times New Roman"/>
                <w:b/>
                <w:bCs/>
                <w:noProof/>
                <w:sz w:val="24"/>
                <w:szCs w:val="24"/>
              </w:rPr>
            </w:pPr>
            <w:r>
              <w:rPr>
                <w:rFonts w:ascii="Times New Roman" w:hAnsi="Times New Roman"/>
                <w:b/>
                <w:bCs/>
                <w:noProof/>
                <w:sz w:val="24"/>
                <w:szCs w:val="24"/>
              </w:rPr>
              <w:t xml:space="preserve">Actions </w:t>
            </w:r>
          </w:p>
        </w:tc>
        <w:tc>
          <w:tcPr>
            <w:tcW w:w="1417" w:type="dxa"/>
          </w:tcPr>
          <w:p>
            <w:pPr>
              <w:spacing w:before="60" w:after="60"/>
              <w:jc w:val="both"/>
              <w:rPr>
                <w:rFonts w:ascii="Times New Roman" w:hAnsi="Times New Roman"/>
                <w:b/>
                <w:bCs/>
                <w:noProof/>
                <w:sz w:val="24"/>
                <w:szCs w:val="24"/>
              </w:rPr>
            </w:pPr>
            <w:r>
              <w:rPr>
                <w:rFonts w:ascii="Times New Roman" w:hAnsi="Times New Roman"/>
                <w:b/>
                <w:bCs/>
                <w:noProof/>
                <w:sz w:val="24"/>
                <w:szCs w:val="24"/>
              </w:rPr>
              <w:t>Timeline</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szCs w:val="24"/>
              </w:rPr>
              <w:t>The Commission will work with global policy and research partners to foster cooperation and to create a level playing field in scientific data sharing and data-driven science.</w:t>
            </w:r>
          </w:p>
        </w:tc>
        <w:tc>
          <w:tcPr>
            <w:tcW w:w="1417" w:type="dxa"/>
          </w:tcPr>
          <w:p>
            <w:pPr>
              <w:spacing w:before="60" w:after="60"/>
              <w:jc w:val="both"/>
              <w:rPr>
                <w:rFonts w:ascii="Times New Roman" w:hAnsi="Times New Roman"/>
                <w:bCs/>
                <w:noProof/>
                <w:sz w:val="24"/>
                <w:szCs w:val="24"/>
              </w:rPr>
            </w:pPr>
            <w:r>
              <w:rPr>
                <w:rFonts w:ascii="Times New Roman" w:hAnsi="Times New Roman"/>
                <w:bCs/>
                <w:noProof/>
                <w:sz w:val="24"/>
                <w:szCs w:val="24"/>
              </w:rPr>
              <w:t>As of 2016</w:t>
            </w:r>
          </w:p>
        </w:tc>
      </w:tr>
      <w:tr>
        <w:tc>
          <w:tcPr>
            <w:tcW w:w="7763" w:type="dxa"/>
          </w:tcPr>
          <w:p>
            <w:pPr>
              <w:spacing w:before="60" w:after="60"/>
              <w:jc w:val="both"/>
              <w:rPr>
                <w:rFonts w:ascii="Times New Roman" w:hAnsi="Times New Roman"/>
                <w:noProof/>
                <w:sz w:val="24"/>
                <w:szCs w:val="24"/>
              </w:rPr>
            </w:pPr>
            <w:r>
              <w:rPr>
                <w:rFonts w:ascii="Times New Roman" w:hAnsi="Times New Roman"/>
                <w:bCs/>
                <w:noProof/>
                <w:sz w:val="24"/>
                <w:szCs w:val="24"/>
              </w:rPr>
              <w:t>The Commission will use</w:t>
            </w:r>
            <w:r>
              <w:rPr>
                <w:rFonts w:ascii="Times New Roman" w:hAnsi="Times New Roman"/>
                <w:noProof/>
                <w:sz w:val="24"/>
                <w:szCs w:val="24"/>
              </w:rPr>
              <w:t xml:space="preserve"> the Horizon 2020 Work Programmes to provide funding to integrate and consolidate e-infrastructure platforms, to federate existing research infrastructures and scientific clouds and to </w:t>
            </w:r>
            <w:r>
              <w:rPr>
                <w:rFonts w:ascii="Times New Roman" w:hAnsi="Times New Roman"/>
                <w:bCs/>
                <w:noProof/>
                <w:sz w:val="24"/>
                <w:szCs w:val="24"/>
              </w:rPr>
              <w:t>support the development of cloud-based services for Open Science.</w:t>
            </w:r>
          </w:p>
        </w:tc>
        <w:tc>
          <w:tcPr>
            <w:tcW w:w="1417" w:type="dxa"/>
          </w:tcPr>
          <w:p>
            <w:pPr>
              <w:spacing w:before="60" w:after="60"/>
              <w:jc w:val="both"/>
              <w:rPr>
                <w:rFonts w:ascii="Times New Roman" w:hAnsi="Times New Roman"/>
                <w:bCs/>
                <w:noProof/>
                <w:sz w:val="24"/>
                <w:szCs w:val="24"/>
              </w:rPr>
            </w:pPr>
            <w:r>
              <w:rPr>
                <w:rFonts w:ascii="Times New Roman" w:hAnsi="Times New Roman"/>
                <w:bCs/>
                <w:noProof/>
                <w:sz w:val="24"/>
                <w:szCs w:val="24"/>
              </w:rPr>
              <w:t>As of 2016</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szCs w:val="24"/>
              </w:rPr>
              <w:t xml:space="preserve">The Commission will make open research data the default option, while ensuring opt-outs, for all new projects of the Horizon 2020 programme. </w:t>
            </w:r>
          </w:p>
        </w:tc>
        <w:tc>
          <w:tcPr>
            <w:tcW w:w="1417" w:type="dxa"/>
          </w:tcPr>
          <w:p>
            <w:pPr>
              <w:spacing w:before="60" w:after="60"/>
              <w:jc w:val="both"/>
              <w:rPr>
                <w:rFonts w:ascii="Times New Roman" w:hAnsi="Times New Roman"/>
                <w:bCs/>
                <w:noProof/>
                <w:sz w:val="24"/>
                <w:szCs w:val="24"/>
              </w:rPr>
            </w:pPr>
            <w:r>
              <w:rPr>
                <w:rFonts w:ascii="Times New Roman" w:hAnsi="Times New Roman"/>
                <w:bCs/>
                <w:noProof/>
                <w:sz w:val="24"/>
                <w:szCs w:val="24"/>
              </w:rPr>
              <w:t>As of 2017</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szCs w:val="24"/>
              </w:rPr>
              <w:t>The Commission will review the 2012 Commission Recommendation on access to and preservation of scientific information</w:t>
            </w:r>
            <w:r>
              <w:rPr>
                <w:rStyle w:val="FootnoteReference"/>
                <w:rFonts w:ascii="Times New Roman" w:hAnsi="Times New Roman"/>
                <w:noProof/>
                <w:sz w:val="24"/>
                <w:szCs w:val="24"/>
              </w:rPr>
              <w:footnoteReference w:id="42"/>
            </w:r>
            <w:r>
              <w:rPr>
                <w:rFonts w:ascii="Times New Roman" w:hAnsi="Times New Roman"/>
                <w:noProof/>
                <w:sz w:val="24"/>
                <w:szCs w:val="24"/>
              </w:rPr>
              <w:t xml:space="preserve"> to encourage scientific data sharing and the creation of incentive schemes, rewards systems and education and training programmes for researchers and businesses to share data, in close relation with the DSM 'Free flow of data' initiative. </w:t>
            </w:r>
          </w:p>
        </w:tc>
        <w:tc>
          <w:tcPr>
            <w:tcW w:w="1417" w:type="dxa"/>
          </w:tcPr>
          <w:p>
            <w:pPr>
              <w:spacing w:before="60" w:after="60"/>
              <w:jc w:val="both"/>
              <w:rPr>
                <w:rFonts w:ascii="Times New Roman" w:hAnsi="Times New Roman"/>
                <w:bCs/>
                <w:noProof/>
                <w:sz w:val="24"/>
                <w:szCs w:val="24"/>
              </w:rPr>
            </w:pPr>
            <w:r>
              <w:rPr>
                <w:rFonts w:ascii="Times New Roman" w:hAnsi="Times New Roman"/>
                <w:bCs/>
                <w:noProof/>
                <w:sz w:val="24"/>
                <w:szCs w:val="24"/>
              </w:rPr>
              <w:t>As of 2017</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szCs w:val="24"/>
              </w:rPr>
              <w:t>The Commission will work with Member States to connect the priority European research infrastructures</w:t>
            </w:r>
            <w:r>
              <w:rPr>
                <w:rStyle w:val="FootnoteReference"/>
                <w:rFonts w:ascii="Times New Roman" w:hAnsi="Times New Roman"/>
                <w:noProof/>
                <w:sz w:val="24"/>
                <w:szCs w:val="24"/>
              </w:rPr>
              <w:footnoteReference w:id="43"/>
            </w:r>
            <w:r>
              <w:rPr>
                <w:rFonts w:ascii="Times New Roman" w:hAnsi="Times New Roman"/>
                <w:noProof/>
                <w:sz w:val="24"/>
                <w:szCs w:val="24"/>
              </w:rPr>
              <w:t xml:space="preserve"> to the European Open Science Cloud.</w:t>
            </w:r>
          </w:p>
        </w:tc>
        <w:tc>
          <w:tcPr>
            <w:tcW w:w="1417" w:type="dxa"/>
          </w:tcPr>
          <w:p>
            <w:pPr>
              <w:spacing w:before="60" w:after="60"/>
              <w:jc w:val="both"/>
              <w:rPr>
                <w:rFonts w:ascii="Times New Roman" w:hAnsi="Times New Roman"/>
                <w:bCs/>
                <w:noProof/>
                <w:sz w:val="24"/>
                <w:szCs w:val="24"/>
              </w:rPr>
            </w:pPr>
            <w:r>
              <w:rPr>
                <w:rFonts w:ascii="Times New Roman" w:hAnsi="Times New Roman"/>
                <w:bCs/>
                <w:noProof/>
                <w:sz w:val="24"/>
                <w:szCs w:val="24"/>
              </w:rPr>
              <w:t>As of 2017</w:t>
            </w:r>
          </w:p>
        </w:tc>
      </w:tr>
      <w:tr>
        <w:tc>
          <w:tcPr>
            <w:tcW w:w="7763" w:type="dxa"/>
          </w:tcPr>
          <w:p>
            <w:pPr>
              <w:spacing w:before="60" w:after="60"/>
              <w:jc w:val="both"/>
              <w:rPr>
                <w:rFonts w:ascii="Times New Roman" w:hAnsi="Times New Roman"/>
                <w:noProof/>
                <w:sz w:val="24"/>
                <w:szCs w:val="24"/>
              </w:rPr>
            </w:pPr>
            <w:r>
              <w:rPr>
                <w:rFonts w:ascii="Times New Roman" w:hAnsi="Times New Roman"/>
                <w:noProof/>
                <w:sz w:val="24"/>
                <w:szCs w:val="24"/>
              </w:rPr>
              <w:t>Together with stakeholders and relevant global initiatives, the Commission will work towards an Action Plan for scientific data interoperability, including 'meta-data', specifications and certification.</w:t>
            </w:r>
          </w:p>
        </w:tc>
        <w:tc>
          <w:tcPr>
            <w:tcW w:w="1417" w:type="dxa"/>
          </w:tcPr>
          <w:p>
            <w:pPr>
              <w:spacing w:before="60" w:after="60"/>
              <w:jc w:val="both"/>
              <w:rPr>
                <w:rFonts w:ascii="Times New Roman" w:hAnsi="Times New Roman"/>
                <w:bCs/>
                <w:noProof/>
                <w:sz w:val="24"/>
                <w:szCs w:val="24"/>
              </w:rPr>
            </w:pPr>
            <w:r>
              <w:rPr>
                <w:rFonts w:ascii="Times New Roman" w:hAnsi="Times New Roman"/>
                <w:bCs/>
                <w:noProof/>
                <w:sz w:val="24"/>
                <w:szCs w:val="24"/>
              </w:rPr>
              <w:t>By end 2017</w:t>
            </w:r>
          </w:p>
        </w:tc>
      </w:tr>
    </w:tbl>
    <w:p>
      <w:pPr>
        <w:spacing w:after="120"/>
        <w:jc w:val="both"/>
        <w:rPr>
          <w:rFonts w:ascii="Times New Roman" w:eastAsia="Times New Roman" w:hAnsi="Times New Roman"/>
          <w:noProof/>
          <w:sz w:val="24"/>
          <w:szCs w:val="24"/>
        </w:rPr>
      </w:pPr>
    </w:p>
    <w:p>
      <w:pPr>
        <w:pStyle w:val="Heading2"/>
        <w:numPr>
          <w:ilvl w:val="0"/>
          <w:numId w:val="57"/>
        </w:numPr>
        <w:spacing w:after="120"/>
        <w:ind w:left="567" w:hanging="567"/>
        <w:rPr>
          <w:rFonts w:ascii="Times New Roman" w:hAnsi="Times New Roman"/>
          <w:noProof/>
          <w:color w:val="auto"/>
        </w:rPr>
      </w:pPr>
      <w:r>
        <w:rPr>
          <w:rFonts w:ascii="Times New Roman" w:hAnsi="Times New Roman"/>
          <w:noProof/>
          <w:color w:val="auto"/>
        </w:rPr>
        <w:t>European Data Infrastructure</w:t>
      </w:r>
    </w:p>
    <w:p>
      <w:pPr>
        <w:widowControl w:val="0"/>
        <w:spacing w:after="240"/>
        <w:jc w:val="both"/>
        <w:rPr>
          <w:rFonts w:ascii="Times New Roman" w:hAnsi="Times New Roman"/>
          <w:noProof/>
          <w:sz w:val="24"/>
          <w:szCs w:val="24"/>
        </w:rPr>
      </w:pPr>
      <w:r>
        <w:rPr>
          <w:rFonts w:ascii="Times New Roman" w:hAnsi="Times New Roman"/>
          <w:noProof/>
          <w:sz w:val="24"/>
          <w:szCs w:val="24"/>
        </w:rPr>
        <w:t>The</w:t>
      </w:r>
      <w:r>
        <w:rPr>
          <w:rFonts w:ascii="Times New Roman" w:hAnsi="Times New Roman"/>
          <w:b/>
          <w:noProof/>
          <w:sz w:val="24"/>
          <w:szCs w:val="24"/>
        </w:rPr>
        <w:t xml:space="preserve"> European Data Infrastructure</w:t>
      </w:r>
      <w:r>
        <w:rPr>
          <w:rFonts w:ascii="Times New Roman" w:hAnsi="Times New Roman"/>
          <w:noProof/>
          <w:sz w:val="24"/>
          <w:szCs w:val="24"/>
        </w:rPr>
        <w:t>, once fully implemented, will underpin the European Open Science Cloud. Europe needs integrated world-class HPC capability, high-speed connectivity and leading-edge data and software services</w:t>
      </w:r>
      <w:r>
        <w:rPr>
          <w:rStyle w:val="FootnoteReference"/>
          <w:rFonts w:ascii="Times New Roman" w:hAnsi="Times New Roman"/>
          <w:noProof/>
          <w:sz w:val="24"/>
          <w:szCs w:val="24"/>
        </w:rPr>
        <w:footnoteReference w:id="44"/>
      </w:r>
      <w:r>
        <w:rPr>
          <w:rFonts w:ascii="Times New Roman" w:hAnsi="Times New Roman"/>
          <w:noProof/>
          <w:sz w:val="24"/>
          <w:szCs w:val="24"/>
        </w:rPr>
        <w:t xml:space="preserve"> for its scientists and for other lead users from industry (including SMEs) and the public sector. This infrastructure will allow fully unlocking the value of Big Data and digital by default.</w:t>
      </w:r>
      <w:r>
        <w:rPr>
          <w:rStyle w:val="FootnoteReference"/>
          <w:rFonts w:ascii="Times New Roman" w:hAnsi="Times New Roman"/>
          <w:noProof/>
          <w:sz w:val="24"/>
          <w:szCs w:val="24"/>
        </w:rPr>
        <w:footnoteReference w:id="45"/>
      </w:r>
      <w:r>
        <w:rPr>
          <w:rFonts w:ascii="Times New Roman" w:hAnsi="Times New Roman"/>
          <w:noProof/>
          <w:sz w:val="24"/>
          <w:szCs w:val="24"/>
        </w:rPr>
        <w:t xml:space="preserve"> The European Data Infrastructure will also support the EU to rank among the world's top supercomputing powers by </w:t>
      </w:r>
      <w:r>
        <w:rPr>
          <w:rFonts w:ascii="Times New Roman" w:hAnsi="Times New Roman"/>
          <w:b/>
          <w:noProof/>
          <w:sz w:val="24"/>
          <w:szCs w:val="24"/>
        </w:rPr>
        <w:t>realising exascale supercomputers around 2022, based on EU technology, which would rank in the first 3 places of the world</w:t>
      </w:r>
      <w:r>
        <w:rPr>
          <w:rFonts w:ascii="Times New Roman" w:hAnsi="Times New Roman"/>
          <w:noProof/>
          <w:sz w:val="24"/>
          <w:szCs w:val="24"/>
        </w:rPr>
        <w:t>. Europe should aim to have at least two sources of this technology.</w:t>
      </w:r>
    </w:p>
    <w:p>
      <w:pPr>
        <w:widowControl w:val="0"/>
        <w:spacing w:after="240"/>
        <w:jc w:val="both"/>
        <w:rPr>
          <w:rFonts w:ascii="Times New Roman" w:hAnsi="Times New Roman"/>
          <w:noProof/>
          <w:sz w:val="24"/>
          <w:szCs w:val="24"/>
        </w:rPr>
      </w:pPr>
      <w:r>
        <w:rPr>
          <w:rFonts w:ascii="Times New Roman" w:hAnsi="Times New Roman"/>
          <w:noProof/>
          <w:sz w:val="24"/>
          <w:szCs w:val="24"/>
        </w:rPr>
        <w:t>While the existing HPC strategy</w:t>
      </w:r>
      <w:r>
        <w:rPr>
          <w:rStyle w:val="FootnoteReference"/>
          <w:rFonts w:ascii="Times New Roman" w:hAnsi="Times New Roman"/>
          <w:noProof/>
          <w:sz w:val="24"/>
          <w:szCs w:val="24"/>
        </w:rPr>
        <w:footnoteReference w:id="46"/>
      </w:r>
      <w:r>
        <w:rPr>
          <w:rFonts w:ascii="Times New Roman" w:hAnsi="Times New Roman"/>
          <w:noProof/>
          <w:sz w:val="24"/>
          <w:szCs w:val="24"/>
        </w:rPr>
        <w:t xml:space="preserve"> supports research and development of marketable HPC technologies, it does not foresee realising an exascale supercomputer. The European Data Infrastructure will gather the necessary resources and capabilities, to close the chain from research and development to the delivery and operation of the exascale HPC systems co-designed between users and suppliers. This will include data connectivity and big data storage to make sure that supercomputing services are available across the EU, no matter where supercomputers are located. A first step was recently taken by Luxembourg, France, Italy and Spain, with an </w:t>
      </w:r>
      <w:r>
        <w:rPr>
          <w:rFonts w:ascii="Times New Roman" w:hAnsi="Times New Roman"/>
          <w:b/>
          <w:noProof/>
          <w:sz w:val="24"/>
          <w:szCs w:val="24"/>
        </w:rPr>
        <w:t>Important Project of Common European Interest (</w:t>
      </w:r>
      <w:hyperlink r:id="rId23" w:tgtFrame="_blank" w:tooltip="IPCEI - New window" w:history="1">
        <w:r>
          <w:rPr>
            <w:rFonts w:ascii="Times New Roman" w:hAnsi="Times New Roman"/>
            <w:b/>
            <w:noProof/>
            <w:sz w:val="24"/>
            <w:szCs w:val="24"/>
          </w:rPr>
          <w:t>IPCEI</w:t>
        </w:r>
      </w:hyperlink>
      <w:r>
        <w:rPr>
          <w:rFonts w:ascii="Times New Roman" w:hAnsi="Times New Roman"/>
          <w:b/>
          <w:noProof/>
          <w:sz w:val="24"/>
          <w:szCs w:val="24"/>
        </w:rPr>
        <w:t>) on HPC and Big Data enabled applications.</w:t>
      </w:r>
      <w:r>
        <w:rPr>
          <w:rStyle w:val="FootnoteReference"/>
          <w:rFonts w:ascii="Times New Roman" w:hAnsi="Times New Roman"/>
          <w:noProof/>
          <w:sz w:val="24"/>
          <w:szCs w:val="24"/>
        </w:rPr>
        <w:footnoteReference w:id="47"/>
      </w:r>
      <w:r>
        <w:rPr>
          <w:rFonts w:ascii="Times New Roman" w:hAnsi="Times New Roman"/>
          <w:noProof/>
          <w:sz w:val="24"/>
          <w:szCs w:val="24"/>
        </w:rPr>
        <w:t xml:space="preserve"> </w:t>
      </w:r>
    </w:p>
    <w:p>
      <w:pPr>
        <w:widowControl w:val="0"/>
        <w:spacing w:after="240"/>
        <w:jc w:val="both"/>
        <w:rPr>
          <w:rFonts w:ascii="Times New Roman" w:hAnsi="Times New Roman"/>
          <w:noProof/>
          <w:sz w:val="24"/>
          <w:szCs w:val="24"/>
        </w:rPr>
      </w:pPr>
      <w:r>
        <w:rPr>
          <w:rFonts w:ascii="Times New Roman" w:hAnsi="Times New Roman"/>
          <w:noProof/>
          <w:sz w:val="24"/>
          <w:szCs w:val="24"/>
        </w:rPr>
        <w:t>Building on the Pan-European High Performance Computing infrastructure and services (PRACE), the trans-European high speed network (GÉANT), the contractual Public-Private Partnership on HPC,</w:t>
      </w:r>
      <w:r>
        <w:rPr>
          <w:rStyle w:val="FootnoteReference"/>
          <w:rFonts w:ascii="Times New Roman" w:hAnsi="Times New Roman"/>
          <w:noProof/>
          <w:sz w:val="24"/>
          <w:szCs w:val="24"/>
        </w:rPr>
        <w:footnoteReference w:id="48"/>
      </w:r>
      <w:r>
        <w:rPr>
          <w:rFonts w:ascii="Times New Roman" w:hAnsi="Times New Roman"/>
          <w:noProof/>
          <w:sz w:val="24"/>
          <w:szCs w:val="24"/>
        </w:rPr>
        <w:t xml:space="preserve"> the ECSEL Joint Undertaking,</w:t>
      </w:r>
      <w:r>
        <w:rPr>
          <w:rStyle w:val="FootnoteReference"/>
          <w:rFonts w:ascii="Times New Roman" w:hAnsi="Times New Roman"/>
          <w:noProof/>
          <w:sz w:val="24"/>
          <w:szCs w:val="24"/>
        </w:rPr>
        <w:footnoteReference w:id="49"/>
      </w:r>
      <w:r>
        <w:rPr>
          <w:rFonts w:ascii="Times New Roman" w:hAnsi="Times New Roman"/>
          <w:noProof/>
          <w:sz w:val="24"/>
          <w:szCs w:val="24"/>
        </w:rPr>
        <w:t xml:space="preserve"> and the IPCEI on HPC and Big Data, the Commission and participating Member States will:</w:t>
      </w:r>
    </w:p>
    <w:p>
      <w:pPr>
        <w:pStyle w:val="ListParagraph"/>
        <w:widowControl w:val="0"/>
        <w:numPr>
          <w:ilvl w:val="0"/>
          <w:numId w:val="80"/>
        </w:numPr>
        <w:spacing w:after="240"/>
        <w:jc w:val="both"/>
        <w:rPr>
          <w:rFonts w:ascii="Times New Roman" w:hAnsi="Times New Roman"/>
          <w:noProof/>
          <w:sz w:val="24"/>
          <w:szCs w:val="24"/>
        </w:rPr>
      </w:pPr>
      <w:r>
        <w:rPr>
          <w:rFonts w:ascii="Times New Roman" w:hAnsi="Times New Roman"/>
          <w:noProof/>
          <w:sz w:val="24"/>
          <w:szCs w:val="24"/>
        </w:rPr>
        <w:t xml:space="preserve">foster an HPC ecosystem capable of developing new European technology such as </w:t>
      </w:r>
      <w:r>
        <w:rPr>
          <w:rFonts w:ascii="Times New Roman" w:hAnsi="Times New Roman"/>
          <w:b/>
          <w:noProof/>
          <w:sz w:val="24"/>
          <w:szCs w:val="24"/>
        </w:rPr>
        <w:t>low power HPC chips;</w:t>
      </w:r>
      <w:r>
        <w:rPr>
          <w:rStyle w:val="FootnoteReference"/>
          <w:rFonts w:ascii="Times New Roman" w:hAnsi="Times New Roman"/>
          <w:noProof/>
          <w:sz w:val="24"/>
          <w:szCs w:val="24"/>
        </w:rPr>
        <w:footnoteReference w:id="50"/>
      </w:r>
    </w:p>
    <w:p>
      <w:pPr>
        <w:pStyle w:val="ListParagraph"/>
        <w:widowControl w:val="0"/>
        <w:numPr>
          <w:ilvl w:val="0"/>
          <w:numId w:val="80"/>
        </w:numPr>
        <w:spacing w:after="240"/>
        <w:jc w:val="both"/>
        <w:rPr>
          <w:rFonts w:ascii="Times New Roman" w:hAnsi="Times New Roman"/>
          <w:noProof/>
          <w:sz w:val="24"/>
          <w:szCs w:val="24"/>
        </w:rPr>
      </w:pPr>
      <w:r>
        <w:rPr>
          <w:rFonts w:ascii="Times New Roman" w:hAnsi="Times New Roman"/>
          <w:noProof/>
          <w:sz w:val="24"/>
          <w:szCs w:val="24"/>
        </w:rPr>
        <w:t>integrate technologies into system prototypes, co-designing</w:t>
      </w:r>
      <w:r>
        <w:rPr>
          <w:rStyle w:val="FootnoteReference"/>
          <w:rFonts w:ascii="Times New Roman" w:hAnsi="Times New Roman"/>
          <w:noProof/>
          <w:sz w:val="24"/>
          <w:szCs w:val="24"/>
        </w:rPr>
        <w:footnoteReference w:id="51"/>
      </w:r>
      <w:r>
        <w:rPr>
          <w:rFonts w:ascii="Times New Roman" w:hAnsi="Times New Roman"/>
          <w:noProof/>
          <w:sz w:val="24"/>
          <w:szCs w:val="24"/>
        </w:rPr>
        <w:t xml:space="preserve">  solutions and procuring HPC systems; the resulting HPC infrastructure will focus on </w:t>
      </w:r>
      <w:r>
        <w:rPr>
          <w:rFonts w:ascii="Times New Roman" w:hAnsi="Times New Roman"/>
          <w:b/>
          <w:noProof/>
          <w:sz w:val="24"/>
          <w:szCs w:val="24"/>
        </w:rPr>
        <w:t>supercomputers of top-range capabilities</w:t>
      </w:r>
      <w:r>
        <w:rPr>
          <w:rFonts w:ascii="Times New Roman" w:hAnsi="Times New Roman"/>
          <w:noProof/>
          <w:sz w:val="24"/>
          <w:szCs w:val="24"/>
        </w:rPr>
        <w:t xml:space="preserve"> connected to mid-range EU national computing centres and to pan-European data and software infrastructure to offer supercomputing as a service;</w:t>
      </w:r>
      <w:r>
        <w:rPr>
          <w:rStyle w:val="FootnoteReference"/>
          <w:rFonts w:ascii="Times New Roman" w:hAnsi="Times New Roman"/>
          <w:noProof/>
          <w:sz w:val="24"/>
          <w:szCs w:val="24"/>
        </w:rPr>
        <w:t xml:space="preserve"> </w:t>
      </w:r>
    </w:p>
    <w:p>
      <w:pPr>
        <w:pStyle w:val="ListParagraph"/>
        <w:widowControl w:val="0"/>
        <w:numPr>
          <w:ilvl w:val="0"/>
          <w:numId w:val="80"/>
        </w:numPr>
        <w:spacing w:after="240"/>
        <w:jc w:val="both"/>
        <w:rPr>
          <w:rFonts w:ascii="Times New Roman" w:hAnsi="Times New Roman"/>
          <w:noProof/>
          <w:sz w:val="24"/>
          <w:szCs w:val="24"/>
        </w:rPr>
      </w:pPr>
      <w:r>
        <w:rPr>
          <w:rFonts w:ascii="Times New Roman" w:hAnsi="Times New Roman"/>
          <w:noProof/>
          <w:sz w:val="24"/>
          <w:szCs w:val="24"/>
        </w:rPr>
        <w:t>provide</w:t>
      </w:r>
      <w:r>
        <w:rPr>
          <w:rFonts w:ascii="Times New Roman" w:hAnsi="Times New Roman"/>
          <w:b/>
          <w:noProof/>
          <w:sz w:val="24"/>
          <w:szCs w:val="24"/>
        </w:rPr>
        <w:t xml:space="preserve"> seamless, high-speed, reliable and secure connectivity</w:t>
      </w:r>
      <w:r>
        <w:rPr>
          <w:rFonts w:ascii="Times New Roman" w:hAnsi="Times New Roman"/>
          <w:noProof/>
          <w:sz w:val="24"/>
          <w:szCs w:val="24"/>
        </w:rPr>
        <w:t xml:space="preserve"> to make HPC accessible across the EU; the trans-European high speed network (GÉANT) and National Research and Education Networks (NREN) already connect 50 million researchers and students; these infrastructures will be upgraded to match the increase of data volumes to be transferred and the extension of the user base.</w:t>
      </w:r>
    </w:p>
    <w:p>
      <w:pPr>
        <w:widowControl w:val="0"/>
        <w:spacing w:after="240"/>
        <w:jc w:val="both"/>
        <w:rPr>
          <w:rFonts w:ascii="Times New Roman" w:hAnsi="Times New Roman"/>
          <w:noProof/>
          <w:sz w:val="24"/>
          <w:szCs w:val="24"/>
        </w:rPr>
      </w:pPr>
      <w:r>
        <w:rPr>
          <w:rFonts w:ascii="Times New Roman" w:hAnsi="Times New Roman"/>
          <w:noProof/>
          <w:sz w:val="24"/>
          <w:szCs w:val="24"/>
        </w:rPr>
        <w:t xml:space="preserve">The </w:t>
      </w:r>
      <w:r>
        <w:rPr>
          <w:rFonts w:ascii="Times New Roman" w:hAnsi="Times New Roman"/>
          <w:b/>
          <w:noProof/>
          <w:sz w:val="24"/>
          <w:szCs w:val="24"/>
        </w:rPr>
        <w:t>European Data Infrastructure</w:t>
      </w:r>
      <w:r>
        <w:rPr>
          <w:rFonts w:ascii="Times New Roman" w:hAnsi="Times New Roman"/>
          <w:noProof/>
          <w:sz w:val="24"/>
          <w:szCs w:val="24"/>
        </w:rPr>
        <w:t xml:space="preserve"> will contribute to the digitisation of industry, to develop European platforms for new, strategic applications (e.g. medical research, aerospace, energy) and to foster industrial innovation. It will </w:t>
      </w:r>
      <w:r>
        <w:rPr>
          <w:rFonts w:ascii="Times New Roman" w:hAnsi="Times New Roman"/>
          <w:b/>
          <w:noProof/>
          <w:sz w:val="24"/>
          <w:szCs w:val="24"/>
        </w:rPr>
        <w:t>widen the user base of HPC</w:t>
      </w:r>
      <w:r>
        <w:rPr>
          <w:rFonts w:ascii="Times New Roman" w:hAnsi="Times New Roman"/>
          <w:noProof/>
          <w:sz w:val="24"/>
          <w:szCs w:val="24"/>
        </w:rPr>
        <w:t>, providing easier access via the Cloud both to researchers in key scientific disciplines and to the long tail of science. Industry, particularly SMEs without in-house capabilities and public authorities (e.g. smart cities and transport) will benefit from cloud-based and easy-to-use HPC resources, applications and analytics tools.</w:t>
      </w:r>
      <w:r>
        <w:rPr>
          <w:rStyle w:val="FootnoteReference"/>
          <w:rFonts w:ascii="Times New Roman" w:hAnsi="Times New Roman"/>
          <w:noProof/>
          <w:sz w:val="24"/>
          <w:szCs w:val="24"/>
        </w:rPr>
        <w:footnoteReference w:id="52"/>
      </w:r>
      <w:r>
        <w:rPr>
          <w:rFonts w:ascii="Times New Roman" w:hAnsi="Times New Roman"/>
          <w:noProof/>
          <w:sz w:val="24"/>
          <w:szCs w:val="24"/>
        </w:rPr>
        <w:t xml:space="preserve"> In this context, the Commission will foster the deployment of processing and exploitation capacities for Sentinel satellites' data, Copernicus services information and other Earth Observation data, so as to enable the cross-fertilisation of different data sets, encourage the development of innovative products and services and maximise the socio economic benefits of Earth Observation data in Europe.</w:t>
      </w:r>
    </w:p>
    <w:p>
      <w:pPr>
        <w:widowControl w:val="0"/>
        <w:spacing w:after="240"/>
        <w:jc w:val="both"/>
        <w:rPr>
          <w:rFonts w:ascii="Times New Roman" w:hAnsi="Times New Roman"/>
          <w:noProof/>
          <w:sz w:val="24"/>
          <w:szCs w:val="24"/>
        </w:rPr>
      </w:pPr>
      <w:r>
        <w:rPr>
          <w:rFonts w:ascii="Times New Roman" w:hAnsi="Times New Roman"/>
          <w:noProof/>
          <w:sz w:val="24"/>
          <w:szCs w:val="24"/>
        </w:rPr>
        <w:t>The European Data Infrastructure will work in combination with the national and regional, scientific and public data centres. It will develop and implement best practices based on certification schemes, common European and global standards and specifications</w:t>
      </w:r>
      <w:r>
        <w:rPr>
          <w:rStyle w:val="FootnoteReference"/>
          <w:rFonts w:ascii="Times New Roman" w:hAnsi="Times New Roman"/>
          <w:noProof/>
          <w:sz w:val="24"/>
          <w:szCs w:val="24"/>
        </w:rPr>
        <w:footnoteReference w:id="53"/>
      </w:r>
      <w:r>
        <w:rPr>
          <w:rFonts w:ascii="Times New Roman" w:hAnsi="Times New Roman"/>
          <w:noProof/>
          <w:sz w:val="24"/>
          <w:szCs w:val="24"/>
        </w:rPr>
        <w:t xml:space="preserve"> to tackle the current lack of interoperability between national and disciplinary data centres.</w:t>
      </w:r>
      <w:r>
        <w:rPr>
          <w:rStyle w:val="FootnoteReference"/>
          <w:rFonts w:ascii="Times New Roman" w:hAnsi="Times New Roman"/>
          <w:noProof/>
          <w:sz w:val="24"/>
          <w:szCs w:val="24"/>
        </w:rPr>
        <w:footnoteReference w:id="54"/>
      </w:r>
    </w:p>
    <w:p>
      <w:pPr>
        <w:spacing w:after="120"/>
        <w:jc w:val="both"/>
        <w:rPr>
          <w:rFonts w:ascii="Times New Roman" w:eastAsia="Times New Roman" w:hAnsi="Times New Roman"/>
          <w:noProof/>
          <w:sz w:val="24"/>
          <w:szCs w:val="24"/>
        </w:rPr>
      </w:pPr>
      <w:r>
        <w:rPr>
          <w:rFonts w:ascii="Times New Roman" w:hAnsi="Times New Roman"/>
          <w:noProof/>
          <w:sz w:val="24"/>
          <w:szCs w:val="24"/>
        </w:rPr>
        <w:t>The European Data Infrastructure will include a governance structure for the management and the development of the data infrastructure and services,</w:t>
      </w:r>
      <w:r>
        <w:rPr>
          <w:rStyle w:val="FootnoteReference"/>
          <w:rFonts w:ascii="Times New Roman" w:hAnsi="Times New Roman"/>
          <w:noProof/>
          <w:sz w:val="24"/>
          <w:szCs w:val="24"/>
        </w:rPr>
        <w:footnoteReference w:id="55"/>
      </w:r>
      <w:r>
        <w:rPr>
          <w:rFonts w:ascii="Times New Roman" w:hAnsi="Times New Roman"/>
          <w:noProof/>
          <w:sz w:val="24"/>
          <w:szCs w:val="24"/>
        </w:rPr>
        <w:t xml:space="preserve"> decision making on funding, long-term sustainability and security. The governance should involve users (the European Open Science Cloud</w:t>
      </w:r>
      <w:r>
        <w:rPr>
          <w:rFonts w:ascii="Times New Roman" w:eastAsia="Times New Roman" w:hAnsi="Times New Roman"/>
          <w:noProof/>
          <w:sz w:val="24"/>
          <w:szCs w:val="24"/>
        </w:rPr>
        <w:t xml:space="preserve"> and other long-term users such as the public sector</w:t>
      </w:r>
      <w:r>
        <w:rPr>
          <w:rFonts w:ascii="Times New Roman" w:hAnsi="Times New Roman"/>
          <w:noProof/>
          <w:sz w:val="24"/>
          <w:szCs w:val="24"/>
        </w:rPr>
        <w:t>), implementers (PRACE, GEANT) and funders, and should build on existing governance structures</w:t>
      </w:r>
      <w:r>
        <w:rPr>
          <w:rFonts w:ascii="Times New Roman" w:eastAsia="Times New Roman" w:hAnsi="Times New Roman"/>
          <w:noProof/>
          <w:sz w:val="24"/>
          <w:szCs w:val="24"/>
        </w:rPr>
        <w:t>.</w:t>
      </w:r>
    </w:p>
    <w:tbl>
      <w:tblPr>
        <w:tblStyle w:val="TableGrid"/>
        <w:tblW w:w="9039" w:type="dxa"/>
        <w:tblLook w:val="04A0" w:firstRow="1" w:lastRow="0" w:firstColumn="1" w:lastColumn="0" w:noHBand="0" w:noVBand="1"/>
      </w:tblPr>
      <w:tblGrid>
        <w:gridCol w:w="7574"/>
        <w:gridCol w:w="1465"/>
      </w:tblGrid>
      <w:tr>
        <w:tc>
          <w:tcPr>
            <w:tcW w:w="7574" w:type="dxa"/>
          </w:tcPr>
          <w:p>
            <w:pPr>
              <w:spacing w:before="60" w:after="60"/>
              <w:jc w:val="both"/>
              <w:rPr>
                <w:rFonts w:ascii="Times New Roman" w:hAnsi="Times New Roman"/>
                <w:b/>
                <w:bCs/>
                <w:noProof/>
                <w:sz w:val="24"/>
                <w:szCs w:val="24"/>
              </w:rPr>
            </w:pPr>
            <w:r>
              <w:rPr>
                <w:rFonts w:ascii="Times New Roman" w:hAnsi="Times New Roman"/>
                <w:b/>
                <w:bCs/>
                <w:noProof/>
                <w:sz w:val="24"/>
                <w:szCs w:val="24"/>
              </w:rPr>
              <w:t>Actions</w:t>
            </w:r>
          </w:p>
        </w:tc>
        <w:tc>
          <w:tcPr>
            <w:tcW w:w="1465" w:type="dxa"/>
          </w:tcPr>
          <w:p>
            <w:pPr>
              <w:spacing w:before="60" w:after="60"/>
              <w:jc w:val="both"/>
              <w:rPr>
                <w:rFonts w:ascii="Times New Roman" w:hAnsi="Times New Roman"/>
                <w:b/>
                <w:bCs/>
                <w:noProof/>
                <w:sz w:val="24"/>
                <w:szCs w:val="24"/>
              </w:rPr>
            </w:pPr>
            <w:r>
              <w:rPr>
                <w:rFonts w:ascii="Times New Roman" w:hAnsi="Times New Roman"/>
                <w:b/>
                <w:bCs/>
                <w:noProof/>
                <w:sz w:val="24"/>
                <w:szCs w:val="24"/>
              </w:rPr>
              <w:t>Timeline</w:t>
            </w:r>
          </w:p>
        </w:tc>
      </w:tr>
      <w:tr>
        <w:tc>
          <w:tcPr>
            <w:tcW w:w="7574" w:type="dxa"/>
          </w:tcPr>
          <w:p>
            <w:pPr>
              <w:spacing w:before="60" w:after="60"/>
              <w:jc w:val="both"/>
              <w:rPr>
                <w:rFonts w:ascii="Times New Roman" w:hAnsi="Times New Roman"/>
                <w:noProof/>
                <w:sz w:val="24"/>
                <w:szCs w:val="24"/>
              </w:rPr>
            </w:pPr>
            <w:r>
              <w:rPr>
                <w:rFonts w:ascii="Times New Roman" w:hAnsi="Times New Roman"/>
                <w:noProof/>
                <w:sz w:val="24"/>
                <w:szCs w:val="24"/>
              </w:rPr>
              <w:t>The Commission and participating Member States should develop and deploy a large scale European HPC, data and network infrastructure, including:</w:t>
            </w:r>
          </w:p>
          <w:p>
            <w:pPr>
              <w:pStyle w:val="ListParagraph"/>
              <w:numPr>
                <w:ilvl w:val="0"/>
                <w:numId w:val="76"/>
              </w:numPr>
              <w:spacing w:before="60" w:after="60"/>
              <w:jc w:val="both"/>
              <w:rPr>
                <w:rFonts w:ascii="Times New Roman" w:hAnsi="Times New Roman"/>
                <w:b/>
                <w:bCs/>
                <w:noProof/>
                <w:sz w:val="24"/>
                <w:szCs w:val="24"/>
              </w:rPr>
            </w:pPr>
            <w:r>
              <w:rPr>
                <w:rFonts w:ascii="Times New Roman" w:hAnsi="Times New Roman"/>
                <w:noProof/>
                <w:sz w:val="24"/>
                <w:szCs w:val="24"/>
              </w:rPr>
              <w:t>the acquisition of two co-designed, prototype exascale supercomputers and two operational systems which will rank in the top three of the world;</w:t>
            </w:r>
          </w:p>
          <w:p>
            <w:pPr>
              <w:pStyle w:val="ListParagraph"/>
              <w:numPr>
                <w:ilvl w:val="0"/>
                <w:numId w:val="76"/>
              </w:numPr>
              <w:spacing w:before="60" w:after="60"/>
              <w:jc w:val="both"/>
              <w:rPr>
                <w:rFonts w:ascii="Times New Roman" w:hAnsi="Times New Roman"/>
                <w:b/>
                <w:bCs/>
                <w:noProof/>
                <w:sz w:val="24"/>
                <w:szCs w:val="24"/>
              </w:rPr>
            </w:pPr>
            <w:r>
              <w:rPr>
                <w:rFonts w:ascii="Times New Roman" w:hAnsi="Times New Roman"/>
                <w:noProof/>
                <w:sz w:val="24"/>
                <w:szCs w:val="24"/>
              </w:rPr>
              <w:t>the establishment of a European Big Data centre,</w:t>
            </w:r>
            <w:r>
              <w:rPr>
                <w:rFonts w:ascii="Times New Roman" w:hAnsi="Times New Roman"/>
                <w:noProof/>
                <w:sz w:val="20"/>
                <w:szCs w:val="20"/>
                <w:vertAlign w:val="superscript"/>
              </w:rPr>
              <w:footnoteReference w:id="56"/>
            </w:r>
          </w:p>
          <w:p>
            <w:pPr>
              <w:pStyle w:val="ListParagraph"/>
              <w:numPr>
                <w:ilvl w:val="0"/>
                <w:numId w:val="76"/>
              </w:numPr>
              <w:spacing w:before="60" w:after="60"/>
              <w:jc w:val="both"/>
              <w:rPr>
                <w:rFonts w:ascii="Times New Roman" w:hAnsi="Times New Roman"/>
                <w:b/>
                <w:bCs/>
                <w:noProof/>
                <w:sz w:val="24"/>
                <w:szCs w:val="24"/>
              </w:rPr>
            </w:pPr>
            <w:r>
              <w:rPr>
                <w:rFonts w:ascii="Times New Roman" w:hAnsi="Times New Roman"/>
                <w:noProof/>
                <w:sz w:val="24"/>
                <w:szCs w:val="24"/>
              </w:rPr>
              <w:t>the upgrade of the backbone network for research and innovation (GEANT) and the integration of European public services networks.</w:t>
            </w:r>
          </w:p>
        </w:tc>
        <w:tc>
          <w:tcPr>
            <w:tcW w:w="1465" w:type="dxa"/>
          </w:tcPr>
          <w:p>
            <w:pPr>
              <w:spacing w:before="60" w:after="60"/>
              <w:jc w:val="both"/>
              <w:rPr>
                <w:rFonts w:ascii="Times New Roman" w:hAnsi="Times New Roman"/>
                <w:bCs/>
                <w:noProof/>
                <w:sz w:val="24"/>
                <w:szCs w:val="24"/>
              </w:rPr>
            </w:pPr>
            <w:r>
              <w:rPr>
                <w:rFonts w:ascii="Times New Roman" w:hAnsi="Times New Roman"/>
                <w:bCs/>
                <w:noProof/>
                <w:sz w:val="24"/>
                <w:szCs w:val="24"/>
              </w:rPr>
              <w:t>2016-2020</w:t>
            </w:r>
          </w:p>
          <w:p>
            <w:pPr>
              <w:spacing w:before="60" w:after="60"/>
              <w:jc w:val="both"/>
              <w:rPr>
                <w:rFonts w:ascii="Times New Roman" w:hAnsi="Times New Roman"/>
                <w:bCs/>
                <w:noProof/>
                <w:sz w:val="24"/>
                <w:szCs w:val="24"/>
              </w:rPr>
            </w:pPr>
          </w:p>
          <w:p>
            <w:pPr>
              <w:spacing w:before="60" w:after="60"/>
              <w:jc w:val="both"/>
              <w:rPr>
                <w:rFonts w:ascii="Times New Roman" w:hAnsi="Times New Roman"/>
                <w:b/>
                <w:bCs/>
                <w:noProof/>
                <w:sz w:val="24"/>
                <w:szCs w:val="24"/>
              </w:rPr>
            </w:pPr>
          </w:p>
          <w:p>
            <w:pPr>
              <w:spacing w:before="60" w:after="60"/>
              <w:jc w:val="both"/>
              <w:rPr>
                <w:rFonts w:ascii="Times New Roman" w:hAnsi="Times New Roman"/>
                <w:bCs/>
                <w:noProof/>
                <w:sz w:val="24"/>
                <w:szCs w:val="24"/>
              </w:rPr>
            </w:pPr>
            <w:r>
              <w:rPr>
                <w:rFonts w:ascii="Times New Roman" w:hAnsi="Times New Roman"/>
                <w:bCs/>
                <w:noProof/>
                <w:sz w:val="24"/>
                <w:szCs w:val="24"/>
              </w:rPr>
              <w:t>as of 2018</w:t>
            </w:r>
          </w:p>
          <w:p>
            <w:pPr>
              <w:spacing w:before="60" w:after="60"/>
              <w:jc w:val="both"/>
              <w:rPr>
                <w:rFonts w:ascii="Times New Roman" w:hAnsi="Times New Roman"/>
                <w:b/>
                <w:bCs/>
                <w:noProof/>
                <w:sz w:val="24"/>
                <w:szCs w:val="24"/>
              </w:rPr>
            </w:pPr>
          </w:p>
          <w:p>
            <w:pPr>
              <w:spacing w:before="60" w:after="60"/>
              <w:jc w:val="both"/>
              <w:rPr>
                <w:rFonts w:ascii="Times New Roman" w:hAnsi="Times New Roman"/>
                <w:bCs/>
                <w:noProof/>
                <w:sz w:val="24"/>
                <w:szCs w:val="24"/>
              </w:rPr>
            </w:pPr>
            <w:r>
              <w:rPr>
                <w:rFonts w:ascii="Times New Roman" w:hAnsi="Times New Roman"/>
                <w:bCs/>
                <w:noProof/>
                <w:sz w:val="24"/>
                <w:szCs w:val="24"/>
              </w:rPr>
              <w:t>as of 2016</w:t>
            </w:r>
          </w:p>
          <w:p>
            <w:pPr>
              <w:spacing w:before="60" w:after="60"/>
              <w:jc w:val="both"/>
              <w:rPr>
                <w:rFonts w:ascii="Times New Roman" w:hAnsi="Times New Roman"/>
                <w:bCs/>
                <w:noProof/>
                <w:sz w:val="24"/>
                <w:szCs w:val="24"/>
              </w:rPr>
            </w:pPr>
          </w:p>
          <w:p>
            <w:pPr>
              <w:spacing w:before="60" w:after="60"/>
              <w:jc w:val="both"/>
              <w:rPr>
                <w:rFonts w:ascii="Times New Roman" w:hAnsi="Times New Roman"/>
                <w:b/>
                <w:bCs/>
                <w:noProof/>
                <w:sz w:val="24"/>
                <w:szCs w:val="24"/>
              </w:rPr>
            </w:pPr>
            <w:r>
              <w:rPr>
                <w:rFonts w:ascii="Times New Roman" w:hAnsi="Times New Roman"/>
                <w:bCs/>
                <w:noProof/>
                <w:sz w:val="24"/>
                <w:szCs w:val="24"/>
              </w:rPr>
              <w:t>as of 2016</w:t>
            </w:r>
          </w:p>
        </w:tc>
      </w:tr>
    </w:tbl>
    <w:p>
      <w:pPr>
        <w:widowControl w:val="0"/>
        <w:spacing w:before="240" w:after="240"/>
        <w:jc w:val="both"/>
        <w:rPr>
          <w:rFonts w:ascii="Times New Roman" w:hAnsi="Times New Roman"/>
          <w:b/>
          <w:noProof/>
          <w:sz w:val="24"/>
          <w:szCs w:val="24"/>
        </w:rPr>
      </w:pPr>
      <w:r>
        <w:rPr>
          <w:rFonts w:ascii="Times New Roman" w:hAnsi="Times New Roman"/>
          <w:b/>
          <w:noProof/>
          <w:sz w:val="24"/>
          <w:szCs w:val="24"/>
        </w:rPr>
        <w:t>Exploiting the potential of quantum technologies</w:t>
      </w:r>
    </w:p>
    <w:p>
      <w:pPr>
        <w:widowControl w:val="0"/>
        <w:spacing w:after="240"/>
        <w:jc w:val="both"/>
        <w:rPr>
          <w:rFonts w:ascii="Times New Roman" w:hAnsi="Times New Roman"/>
          <w:noProof/>
          <w:sz w:val="24"/>
          <w:szCs w:val="24"/>
        </w:rPr>
      </w:pPr>
      <w:r>
        <w:rPr>
          <w:rFonts w:ascii="Times New Roman" w:hAnsi="Times New Roman"/>
          <w:noProof/>
          <w:sz w:val="24"/>
          <w:szCs w:val="24"/>
        </w:rPr>
        <w:t>The next breakthrough in supercomputing and secure networking may be based on quantum technologies. Leading companies in Europe, Asia-Pacific and North America are starting to invest in quantum, but a higher level of investment is necessary to reach marketable products. Europe has to be at the forefront of these future advances.</w:t>
      </w:r>
      <w:r>
        <w:rPr>
          <w:rStyle w:val="FootnoteReference"/>
          <w:rFonts w:ascii="Times New Roman" w:hAnsi="Times New Roman"/>
          <w:noProof/>
          <w:sz w:val="24"/>
          <w:szCs w:val="24"/>
        </w:rPr>
        <w:footnoteReference w:id="57"/>
      </w:r>
      <w:r>
        <w:rPr>
          <w:rFonts w:ascii="Times New Roman" w:hAnsi="Times New Roman"/>
          <w:noProof/>
          <w:sz w:val="24"/>
          <w:szCs w:val="24"/>
        </w:rPr>
        <w:t xml:space="preserve"> The European Data Infrastructure should be complemented by an ambitious, long-term and large-scale flagship initiative to unlock the full potential of quantum technologies, accelerate their development and bring commercial products to public and private users. The European Commission will start the preparatory steps for the flagship, including consultation of stakeholders, impact assessment, taking into account results of the interim evaluation of the Horizon 2020 Programme by the end of 2017.</w:t>
      </w:r>
      <w:r>
        <w:rPr>
          <w:rStyle w:val="FootnoteReference"/>
          <w:rFonts w:ascii="Times New Roman" w:hAnsi="Times New Roman"/>
          <w:noProof/>
          <w:sz w:val="24"/>
          <w:szCs w:val="24"/>
        </w:rPr>
        <w:footnoteReference w:id="58"/>
      </w:r>
    </w:p>
    <w:tbl>
      <w:tblPr>
        <w:tblStyle w:val="TableGrid"/>
        <w:tblW w:w="9039" w:type="dxa"/>
        <w:tblLook w:val="04A0" w:firstRow="1" w:lastRow="0" w:firstColumn="1" w:lastColumn="0" w:noHBand="0" w:noVBand="1"/>
      </w:tblPr>
      <w:tblGrid>
        <w:gridCol w:w="7574"/>
        <w:gridCol w:w="1465"/>
      </w:tblGrid>
      <w:tr>
        <w:tc>
          <w:tcPr>
            <w:tcW w:w="7574" w:type="dxa"/>
          </w:tcPr>
          <w:p>
            <w:pPr>
              <w:keepNext/>
              <w:spacing w:before="60" w:after="60"/>
              <w:jc w:val="both"/>
              <w:rPr>
                <w:rFonts w:ascii="Times New Roman" w:hAnsi="Times New Roman"/>
                <w:b/>
                <w:noProof/>
                <w:sz w:val="24"/>
                <w:szCs w:val="24"/>
              </w:rPr>
            </w:pPr>
            <w:r>
              <w:rPr>
                <w:rFonts w:ascii="Times New Roman" w:hAnsi="Times New Roman"/>
                <w:b/>
                <w:noProof/>
                <w:sz w:val="24"/>
                <w:szCs w:val="24"/>
              </w:rPr>
              <w:t>Action</w:t>
            </w:r>
          </w:p>
        </w:tc>
        <w:tc>
          <w:tcPr>
            <w:tcW w:w="1465" w:type="dxa"/>
          </w:tcPr>
          <w:p>
            <w:pPr>
              <w:spacing w:before="60" w:after="60"/>
              <w:jc w:val="both"/>
              <w:rPr>
                <w:rFonts w:ascii="Times New Roman" w:hAnsi="Times New Roman"/>
                <w:b/>
                <w:bCs/>
                <w:noProof/>
                <w:sz w:val="24"/>
                <w:szCs w:val="24"/>
              </w:rPr>
            </w:pPr>
            <w:r>
              <w:rPr>
                <w:rFonts w:ascii="Times New Roman" w:hAnsi="Times New Roman"/>
                <w:b/>
                <w:bCs/>
                <w:noProof/>
                <w:sz w:val="24"/>
                <w:szCs w:val="24"/>
              </w:rPr>
              <w:t>Timeline</w:t>
            </w:r>
          </w:p>
        </w:tc>
      </w:tr>
      <w:tr>
        <w:tc>
          <w:tcPr>
            <w:tcW w:w="7574" w:type="dxa"/>
          </w:tcPr>
          <w:p>
            <w:pPr>
              <w:spacing w:before="60" w:after="60"/>
              <w:jc w:val="both"/>
              <w:rPr>
                <w:rFonts w:ascii="Times New Roman" w:hAnsi="Times New Roman"/>
                <w:b/>
                <w:bCs/>
                <w:noProof/>
                <w:sz w:val="24"/>
                <w:szCs w:val="24"/>
              </w:rPr>
            </w:pPr>
            <w:r>
              <w:rPr>
                <w:rFonts w:ascii="Times New Roman" w:hAnsi="Times New Roman"/>
                <w:noProof/>
                <w:sz w:val="24"/>
                <w:szCs w:val="24"/>
              </w:rPr>
              <w:t>The European Commission will start the preparatory steps for the flagship, including consultation of stakeholders, impact assessment,</w:t>
            </w:r>
            <w:r>
              <w:rPr>
                <w:rStyle w:val="FootnoteReference"/>
                <w:rFonts w:ascii="Times New Roman" w:hAnsi="Times New Roman"/>
                <w:noProof/>
                <w:sz w:val="24"/>
                <w:szCs w:val="24"/>
              </w:rPr>
              <w:footnoteReference w:id="59"/>
            </w:r>
            <w:r>
              <w:rPr>
                <w:rFonts w:ascii="Times New Roman" w:hAnsi="Times New Roman"/>
                <w:noProof/>
                <w:sz w:val="24"/>
                <w:szCs w:val="24"/>
              </w:rPr>
              <w:t xml:space="preserve"> taking into account results of the interim evaluation of the Horizon 2020 Programme by the end of 2017,</w:t>
            </w:r>
            <w:r>
              <w:rPr>
                <w:rStyle w:val="FootnoteReference"/>
                <w:rFonts w:ascii="Times New Roman" w:hAnsi="Times New Roman"/>
                <w:noProof/>
                <w:sz w:val="24"/>
                <w:szCs w:val="24"/>
              </w:rPr>
              <w:footnoteReference w:id="60"/>
            </w:r>
            <w:r>
              <w:rPr>
                <w:rFonts w:ascii="Times New Roman" w:hAnsi="Times New Roman"/>
                <w:noProof/>
                <w:sz w:val="24"/>
                <w:szCs w:val="24"/>
              </w:rPr>
              <w:t xml:space="preserve"> with the aim to launch the ramp up phase in 2018.</w:t>
            </w:r>
            <w:r>
              <w:rPr>
                <w:rStyle w:val="FootnoteReference"/>
                <w:rFonts w:ascii="Times New Roman" w:hAnsi="Times New Roman"/>
                <w:noProof/>
                <w:sz w:val="24"/>
                <w:szCs w:val="24"/>
              </w:rPr>
              <w:footnoteReference w:id="61"/>
            </w:r>
          </w:p>
        </w:tc>
        <w:tc>
          <w:tcPr>
            <w:tcW w:w="1465" w:type="dxa"/>
          </w:tcPr>
          <w:p>
            <w:pPr>
              <w:spacing w:before="60" w:after="60"/>
              <w:jc w:val="both"/>
              <w:rPr>
                <w:rFonts w:ascii="Times New Roman" w:hAnsi="Times New Roman"/>
                <w:b/>
                <w:bCs/>
                <w:noProof/>
                <w:sz w:val="24"/>
                <w:szCs w:val="24"/>
              </w:rPr>
            </w:pPr>
            <w:r>
              <w:rPr>
                <w:rFonts w:ascii="Times New Roman" w:hAnsi="Times New Roman"/>
                <w:bCs/>
                <w:noProof/>
                <w:sz w:val="24"/>
                <w:szCs w:val="24"/>
              </w:rPr>
              <w:t>2016-2019</w:t>
            </w:r>
          </w:p>
        </w:tc>
      </w:tr>
    </w:tbl>
    <w:p>
      <w:pPr>
        <w:pStyle w:val="Heading2"/>
        <w:numPr>
          <w:ilvl w:val="0"/>
          <w:numId w:val="57"/>
        </w:numPr>
        <w:spacing w:after="120"/>
        <w:rPr>
          <w:rFonts w:ascii="Times New Roman" w:hAnsi="Times New Roman"/>
          <w:noProof/>
          <w:color w:val="auto"/>
        </w:rPr>
      </w:pPr>
      <w:r>
        <w:rPr>
          <w:rFonts w:ascii="Times New Roman" w:hAnsi="Times New Roman"/>
          <w:noProof/>
          <w:color w:val="auto"/>
        </w:rPr>
        <w:t>Widening access and building trust</w:t>
      </w:r>
    </w:p>
    <w:p>
      <w:pPr>
        <w:spacing w:before="120" w:after="120"/>
        <w:jc w:val="both"/>
        <w:rPr>
          <w:rFonts w:ascii="Times New Roman" w:hAnsi="Times New Roman"/>
          <w:noProof/>
          <w:sz w:val="24"/>
          <w:szCs w:val="24"/>
        </w:rPr>
      </w:pPr>
      <w:r>
        <w:rPr>
          <w:rFonts w:ascii="Times New Roman" w:eastAsia="Times New Roman" w:hAnsi="Times New Roman"/>
          <w:noProof/>
          <w:sz w:val="24"/>
          <w:szCs w:val="24"/>
        </w:rPr>
        <w:t>The uptake of cloud services in the public sector is uneven and slow.</w:t>
      </w:r>
      <w:r>
        <w:rPr>
          <w:rStyle w:val="FootnoteReference"/>
          <w:rFonts w:ascii="Times New Roman" w:eastAsia="Times New Roman" w:hAnsi="Times New Roman"/>
          <w:noProof/>
          <w:sz w:val="24"/>
          <w:szCs w:val="24"/>
        </w:rPr>
        <w:footnoteReference w:id="62"/>
      </w:r>
      <w:r>
        <w:rPr>
          <w:rFonts w:ascii="Times New Roman" w:eastAsia="Times New Roman" w:hAnsi="Times New Roman"/>
          <w:noProof/>
          <w:sz w:val="24"/>
          <w:szCs w:val="24"/>
        </w:rPr>
        <w:t xml:space="preserve"> This is due to lack of trust and limited synergies between the public sector and the academia. Fragmentation in terms of data infrastructures is an obstacle for building critical mass and common solutions for different user groups.</w:t>
      </w:r>
      <w:r>
        <w:rPr>
          <w:rFonts w:ascii="Times New Roman" w:hAnsi="Times New Roman"/>
          <w:noProof/>
          <w:sz w:val="24"/>
          <w:szCs w:val="24"/>
        </w:rPr>
        <w:t xml:space="preserve"> The </w:t>
      </w:r>
      <w:r>
        <w:rPr>
          <w:rFonts w:ascii="Times New Roman" w:hAnsi="Times New Roman"/>
          <w:b/>
          <w:noProof/>
          <w:sz w:val="24"/>
          <w:szCs w:val="24"/>
        </w:rPr>
        <w:t>user base of the European Open Science Cloud and of the European Data Infrastructure will be widened to the public secto</w:t>
      </w:r>
      <w:r>
        <w:rPr>
          <w:rFonts w:ascii="Times New Roman" w:hAnsi="Times New Roman"/>
          <w:noProof/>
          <w:sz w:val="24"/>
          <w:szCs w:val="24"/>
        </w:rPr>
        <w:t>r, for example through large-scale pilots involving eGovernment</w:t>
      </w:r>
      <w:r>
        <w:rPr>
          <w:rStyle w:val="FootnoteReference"/>
          <w:rFonts w:ascii="Times New Roman" w:hAnsi="Times New Roman"/>
          <w:noProof/>
          <w:sz w:val="24"/>
          <w:szCs w:val="24"/>
        </w:rPr>
        <w:footnoteReference w:id="63"/>
      </w:r>
      <w:r>
        <w:rPr>
          <w:rFonts w:ascii="Times New Roman" w:hAnsi="Times New Roman"/>
          <w:noProof/>
          <w:sz w:val="24"/>
          <w:szCs w:val="24"/>
        </w:rPr>
        <w:t xml:space="preserve"> and public sector stakeholders and by progressively opening the European Data Infrastructure to </w:t>
      </w:r>
      <w:r>
        <w:rPr>
          <w:rFonts w:ascii="Times New Roman" w:hAnsi="Times New Roman"/>
          <w:b/>
          <w:noProof/>
          <w:sz w:val="24"/>
          <w:szCs w:val="24"/>
        </w:rPr>
        <w:t>users from industry</w:t>
      </w:r>
      <w:r>
        <w:rPr>
          <w:rFonts w:ascii="Times New Roman" w:hAnsi="Times New Roman"/>
          <w:noProof/>
          <w:sz w:val="24"/>
          <w:szCs w:val="24"/>
        </w:rPr>
        <w:t xml:space="preserve"> and the public sector to achieve a European dimension. Over time, the European Open Science Cloud will ensure that public data is fully </w:t>
      </w:r>
      <w:r>
        <w:rPr>
          <w:rFonts w:ascii="Times New Roman" w:eastAsia="Times New Roman" w:hAnsi="Times New Roman"/>
          <w:noProof/>
          <w:sz w:val="24"/>
          <w:szCs w:val="24"/>
        </w:rPr>
        <w:t>discoverable, accessible and exploitable by scientists, policy makers and businesses</w:t>
      </w:r>
      <w:r>
        <w:rPr>
          <w:rFonts w:ascii="Times New Roman" w:hAnsi="Times New Roman"/>
          <w:noProof/>
          <w:sz w:val="24"/>
          <w:szCs w:val="24"/>
        </w:rPr>
        <w:t>. Lessons learnt will provide concrete guidance for the adoption of cloud-based services by public administrations across Europe.</w:t>
      </w:r>
    </w:p>
    <w:p>
      <w:pPr>
        <w:spacing w:after="100" w:afterAutospacing="1"/>
        <w:jc w:val="both"/>
        <w:outlineLvl w:val="3"/>
        <w:rPr>
          <w:rFonts w:ascii="Times New Roman" w:hAnsi="Times New Roman"/>
          <w:noProof/>
          <w:sz w:val="24"/>
          <w:szCs w:val="24"/>
        </w:rPr>
      </w:pPr>
      <w:r>
        <w:rPr>
          <w:rFonts w:ascii="Times New Roman" w:hAnsi="Times New Roman"/>
          <w:noProof/>
          <w:sz w:val="24"/>
          <w:szCs w:val="24"/>
        </w:rPr>
        <w:t xml:space="preserve">As the public sector generates massive amounts of data (e.g. Copernicus earth observation, INSPIRE location data) and needs larger computing capacity (e.g. for real time traffic and travel information systems, for smart city applications or for policy modelling), it will benefit from economies of scale, flexibility and continuity. The public will thus benefit from cheaper, faster, better and interconnected public services and from better policy making based on affordable and secure compute- and data-intensive services. </w:t>
      </w:r>
    </w:p>
    <w:p>
      <w:pPr>
        <w:spacing w:after="100" w:afterAutospacing="1"/>
        <w:jc w:val="both"/>
        <w:outlineLvl w:val="3"/>
        <w:rPr>
          <w:rFonts w:ascii="Times New Roman" w:hAnsi="Times New Roman"/>
          <w:noProof/>
          <w:sz w:val="24"/>
          <w:szCs w:val="24"/>
        </w:rPr>
      </w:pPr>
      <w:r>
        <w:rPr>
          <w:rFonts w:ascii="Times New Roman" w:hAnsi="Times New Roman"/>
          <w:noProof/>
          <w:sz w:val="24"/>
          <w:szCs w:val="24"/>
        </w:rPr>
        <w:t>In similar fashion, the European Open Science Cloud and the European Data Infrastructure will benefit businesses, including SMEs, that lack cost-effective and easy access to data storage, services and advanced computing. Actions will be taken to progressively widen the user base to innovative SMEs and industry, via data and software centres of excellence and data services innovation hubs for SMEs. These actions will require close cooperation with the private sector: SMEs, large scientific and industrial users of HPC and the Cloud services industry, who needs to be involved from the start.</w:t>
      </w:r>
    </w:p>
    <w:p>
      <w:pPr>
        <w:spacing w:before="100" w:beforeAutospacing="1" w:after="100" w:afterAutospacing="1"/>
        <w:jc w:val="both"/>
        <w:outlineLvl w:val="3"/>
        <w:rPr>
          <w:rFonts w:ascii="Times New Roman" w:hAnsi="Times New Roman"/>
          <w:noProof/>
          <w:sz w:val="24"/>
          <w:szCs w:val="24"/>
        </w:rPr>
      </w:pPr>
      <w:r>
        <w:rPr>
          <w:rFonts w:ascii="Times New Roman" w:hAnsi="Times New Roman"/>
          <w:noProof/>
          <w:sz w:val="24"/>
          <w:szCs w:val="24"/>
        </w:rPr>
        <w:t xml:space="preserve">Additionally, the European Cloud Initiative will need to meet </w:t>
      </w:r>
      <w:r>
        <w:rPr>
          <w:rFonts w:ascii="Times New Roman" w:hAnsi="Times New Roman"/>
          <w:b/>
          <w:noProof/>
          <w:sz w:val="24"/>
          <w:szCs w:val="24"/>
        </w:rPr>
        <w:t>high standards of quality, reliability and confidentiality</w:t>
      </w:r>
      <w:r>
        <w:rPr>
          <w:rFonts w:ascii="Times New Roman" w:hAnsi="Times New Roman"/>
          <w:noProof/>
          <w:sz w:val="24"/>
          <w:szCs w:val="24"/>
        </w:rPr>
        <w:t xml:space="preserve">, to ensure protection of personal data and intellectual property, </w:t>
      </w:r>
      <w:r>
        <w:rPr>
          <w:rFonts w:ascii="Times New Roman" w:hAnsi="Times New Roman"/>
          <w:b/>
          <w:noProof/>
          <w:sz w:val="24"/>
          <w:szCs w:val="24"/>
        </w:rPr>
        <w:t>and security</w:t>
      </w:r>
      <w:r>
        <w:rPr>
          <w:rFonts w:ascii="Times New Roman" w:hAnsi="Times New Roman"/>
          <w:noProof/>
          <w:sz w:val="24"/>
          <w:szCs w:val="24"/>
        </w:rPr>
        <w:t xml:space="preserve"> – in terms of resilience and protection against intrusion. Existing public sector facilities - notably the Connecting Europe Facility (CEF) Digital Service Infrastructure (DSI) building blocks related to trust and security - can be reused and deployed by the scientific community for cost savings, ease of access, and overall consistency. The general framework will be provided by the general data protection rules, the NIS Directive</w:t>
      </w:r>
      <w:r>
        <w:rPr>
          <w:rStyle w:val="FootnoteReference"/>
          <w:rFonts w:ascii="Times New Roman" w:hAnsi="Times New Roman"/>
          <w:noProof/>
          <w:sz w:val="24"/>
          <w:szCs w:val="24"/>
        </w:rPr>
        <w:footnoteReference w:id="64"/>
      </w:r>
      <w:r>
        <w:rPr>
          <w:rFonts w:ascii="Times New Roman" w:hAnsi="Times New Roman"/>
          <w:noProof/>
          <w:sz w:val="24"/>
          <w:szCs w:val="24"/>
        </w:rPr>
        <w:t xml:space="preserve"> and the revision of the EU copyright legislation. Given the global nature of cloud computing, it is essential that the European data economy remains connected to the rest of the world and that the global standards of data protection are raised to a high level essentially equivalent to that in Europe.</w:t>
      </w:r>
    </w:p>
    <w:p>
      <w:pPr>
        <w:spacing w:before="100" w:beforeAutospacing="1" w:after="100" w:afterAutospacing="1"/>
        <w:jc w:val="both"/>
        <w:outlineLvl w:val="3"/>
        <w:rPr>
          <w:rFonts w:ascii="Times New Roman" w:hAnsi="Times New Roman"/>
          <w:noProof/>
          <w:sz w:val="24"/>
          <w:szCs w:val="24"/>
        </w:rPr>
      </w:pPr>
      <w:r>
        <w:rPr>
          <w:rFonts w:ascii="Times New Roman" w:hAnsi="Times New Roman"/>
          <w:noProof/>
          <w:sz w:val="24"/>
          <w:szCs w:val="24"/>
        </w:rPr>
        <w:t>Working on appropriate standards is part of the DSM Priorities for ICT Standardisation Plan</w:t>
      </w:r>
      <w:r>
        <w:rPr>
          <w:rStyle w:val="FootnoteReference"/>
          <w:rFonts w:ascii="Times New Roman" w:hAnsi="Times New Roman"/>
          <w:noProof/>
          <w:sz w:val="24"/>
          <w:szCs w:val="24"/>
        </w:rPr>
        <w:footnoteReference w:id="65"/>
      </w:r>
      <w:r>
        <w:rPr>
          <w:rFonts w:ascii="Times New Roman" w:hAnsi="Times New Roman"/>
          <w:noProof/>
          <w:sz w:val="24"/>
          <w:szCs w:val="24"/>
        </w:rPr>
        <w:t>; a suitable certification scheme will be designed at EU level to guarantee security, data portability, and interoperability in compliance with legal requirements,</w:t>
      </w:r>
      <w:r>
        <w:rPr>
          <w:rStyle w:val="FootnoteReference"/>
          <w:rFonts w:ascii="Times New Roman" w:hAnsi="Times New Roman"/>
          <w:noProof/>
          <w:sz w:val="24"/>
          <w:szCs w:val="24"/>
        </w:rPr>
        <w:footnoteReference w:id="66"/>
      </w:r>
      <w:r>
        <w:rPr>
          <w:rFonts w:ascii="Times New Roman" w:hAnsi="Times New Roman"/>
          <w:noProof/>
          <w:sz w:val="24"/>
          <w:szCs w:val="24"/>
        </w:rPr>
        <w:t xml:space="preserve"> including the certification scheme already provided for in General Data Protection Regulation for personal data security. While a number of certification schemes</w:t>
      </w:r>
      <w:r>
        <w:rPr>
          <w:rStyle w:val="FootnoteReference"/>
          <w:rFonts w:ascii="Times New Roman" w:hAnsi="Times New Roman"/>
          <w:noProof/>
          <w:sz w:val="24"/>
          <w:szCs w:val="24"/>
        </w:rPr>
        <w:footnoteReference w:id="67"/>
      </w:r>
      <w:r>
        <w:rPr>
          <w:rFonts w:ascii="Times New Roman" w:hAnsi="Times New Roman"/>
          <w:noProof/>
          <w:sz w:val="24"/>
          <w:szCs w:val="24"/>
        </w:rPr>
        <w:t xml:space="preserve"> exist, their scope and application vary considerably, and there is no common approach on minimum requirements in the procurement or management of public sector cloud resources. In this respect, collaboration with industry and public authorities will match the capability of industry with the requirements of science and the public sector.</w:t>
      </w:r>
    </w:p>
    <w:p>
      <w:pPr>
        <w:spacing w:before="120" w:after="120"/>
        <w:jc w:val="both"/>
        <w:rPr>
          <w:rFonts w:ascii="Times New Roman" w:hAnsi="Times New Roman"/>
          <w:noProof/>
          <w:sz w:val="24"/>
          <w:szCs w:val="24"/>
        </w:rPr>
      </w:pPr>
      <w:r>
        <w:rPr>
          <w:rFonts w:ascii="Times New Roman" w:hAnsi="Times New Roman"/>
          <w:noProof/>
          <w:sz w:val="24"/>
        </w:rPr>
        <w:t>Widening of access to the European Open Science Cloud and European Data Infrastructure will be carried out in line with the appropriate legislation, in particular for what concerns the re-use of data for other purposes.</w:t>
      </w:r>
      <w:r>
        <w:rPr>
          <w:rFonts w:ascii="Times New Roman" w:hAnsi="Times New Roman"/>
          <w:noProof/>
          <w:sz w:val="24"/>
          <w:szCs w:val="24"/>
        </w:rPr>
        <w:t xml:space="preserve"> </w:t>
      </w:r>
    </w:p>
    <w:p>
      <w:pPr>
        <w:rPr>
          <w:noProof/>
        </w:rPr>
      </w:pPr>
    </w:p>
    <w:tbl>
      <w:tblPr>
        <w:tblStyle w:val="TableGrid"/>
        <w:tblW w:w="9039" w:type="dxa"/>
        <w:tblLook w:val="04A0" w:firstRow="1" w:lastRow="0" w:firstColumn="1" w:lastColumn="0" w:noHBand="0" w:noVBand="1"/>
      </w:tblPr>
      <w:tblGrid>
        <w:gridCol w:w="7574"/>
        <w:gridCol w:w="1465"/>
      </w:tblGrid>
      <w:tr>
        <w:tc>
          <w:tcPr>
            <w:tcW w:w="7574" w:type="dxa"/>
          </w:tcPr>
          <w:p>
            <w:pPr>
              <w:tabs>
                <w:tab w:val="left" w:pos="3095"/>
              </w:tabs>
              <w:spacing w:after="60"/>
              <w:jc w:val="both"/>
              <w:rPr>
                <w:rFonts w:ascii="Times New Roman" w:hAnsi="Times New Roman"/>
                <w:b/>
                <w:noProof/>
                <w:sz w:val="24"/>
                <w:szCs w:val="24"/>
              </w:rPr>
            </w:pPr>
            <w:r>
              <w:rPr>
                <w:rFonts w:ascii="Times New Roman" w:hAnsi="Times New Roman"/>
                <w:b/>
                <w:noProof/>
                <w:sz w:val="24"/>
                <w:szCs w:val="24"/>
              </w:rPr>
              <w:t>Actions</w:t>
            </w:r>
          </w:p>
        </w:tc>
        <w:tc>
          <w:tcPr>
            <w:tcW w:w="1465" w:type="dxa"/>
          </w:tcPr>
          <w:p>
            <w:pPr>
              <w:spacing w:before="60" w:after="60"/>
              <w:jc w:val="both"/>
              <w:rPr>
                <w:rFonts w:ascii="Times New Roman" w:hAnsi="Times New Roman"/>
                <w:b/>
                <w:bCs/>
                <w:noProof/>
                <w:sz w:val="24"/>
                <w:szCs w:val="24"/>
              </w:rPr>
            </w:pPr>
            <w:r>
              <w:rPr>
                <w:rFonts w:ascii="Times New Roman" w:hAnsi="Times New Roman"/>
                <w:b/>
                <w:bCs/>
                <w:noProof/>
                <w:sz w:val="24"/>
                <w:szCs w:val="24"/>
              </w:rPr>
              <w:t>Timeline</w:t>
            </w:r>
          </w:p>
        </w:tc>
      </w:tr>
      <w:tr>
        <w:tc>
          <w:tcPr>
            <w:tcW w:w="7574" w:type="dxa"/>
          </w:tcPr>
          <w:p>
            <w:pPr>
              <w:tabs>
                <w:tab w:val="left" w:pos="3095"/>
              </w:tabs>
              <w:spacing w:after="60"/>
              <w:jc w:val="both"/>
              <w:rPr>
                <w:rFonts w:ascii="Times New Roman" w:hAnsi="Times New Roman"/>
                <w:noProof/>
                <w:sz w:val="24"/>
                <w:szCs w:val="24"/>
              </w:rPr>
            </w:pPr>
            <w:r>
              <w:rPr>
                <w:rFonts w:ascii="Times New Roman" w:hAnsi="Times New Roman"/>
                <w:noProof/>
                <w:sz w:val="24"/>
                <w:szCs w:val="24"/>
              </w:rPr>
              <w:t>In partnership with industry and the public sector, the Commission undertakes to:</w:t>
            </w:r>
          </w:p>
          <w:p>
            <w:pPr>
              <w:pStyle w:val="ListParagraph"/>
              <w:numPr>
                <w:ilvl w:val="0"/>
                <w:numId w:val="78"/>
              </w:numPr>
              <w:jc w:val="both"/>
              <w:rPr>
                <w:rFonts w:ascii="Times New Roman" w:hAnsi="Times New Roman"/>
                <w:noProof/>
                <w:sz w:val="24"/>
                <w:szCs w:val="24"/>
              </w:rPr>
            </w:pPr>
            <w:r>
              <w:rPr>
                <w:rFonts w:ascii="Times New Roman" w:hAnsi="Times New Roman"/>
                <w:noProof/>
                <w:sz w:val="24"/>
                <w:szCs w:val="24"/>
              </w:rPr>
              <w:t>adapt HPC and Big Data solutions to a cloud environment in order to enable broad access, notably for SMEs;</w:t>
            </w:r>
          </w:p>
          <w:p>
            <w:pPr>
              <w:pStyle w:val="ListParagraph"/>
              <w:numPr>
                <w:ilvl w:val="0"/>
                <w:numId w:val="78"/>
              </w:numPr>
              <w:jc w:val="both"/>
              <w:rPr>
                <w:rFonts w:ascii="Times New Roman" w:hAnsi="Times New Roman"/>
                <w:noProof/>
                <w:sz w:val="24"/>
                <w:szCs w:val="24"/>
              </w:rPr>
            </w:pPr>
            <w:r>
              <w:rPr>
                <w:rFonts w:ascii="Times New Roman" w:hAnsi="Times New Roman"/>
                <w:noProof/>
                <w:sz w:val="24"/>
                <w:szCs w:val="24"/>
              </w:rPr>
              <w:t>develop an ecosystem to strengthen the cloud industry in Europe, using the European Open Science Cloud as a testbed for innovative cloud technology solutions;</w:t>
            </w:r>
          </w:p>
          <w:p>
            <w:pPr>
              <w:pStyle w:val="ListParagraph"/>
              <w:numPr>
                <w:ilvl w:val="0"/>
                <w:numId w:val="78"/>
              </w:numPr>
              <w:jc w:val="both"/>
              <w:rPr>
                <w:rFonts w:ascii="Times New Roman" w:hAnsi="Times New Roman"/>
                <w:noProof/>
                <w:sz w:val="24"/>
                <w:szCs w:val="24"/>
              </w:rPr>
            </w:pPr>
            <w:r>
              <w:rPr>
                <w:rFonts w:ascii="Times New Roman" w:hAnsi="Times New Roman"/>
                <w:noProof/>
                <w:sz w:val="24"/>
                <w:szCs w:val="24"/>
              </w:rPr>
              <w:t>create a platform for public authorities to open their data and services, creating a "Government as a Service" (GaaS) base for the EU.</w:t>
            </w:r>
          </w:p>
        </w:tc>
        <w:tc>
          <w:tcPr>
            <w:tcW w:w="1465" w:type="dxa"/>
          </w:tcPr>
          <w:p>
            <w:pPr>
              <w:spacing w:before="60" w:after="60"/>
              <w:jc w:val="both"/>
              <w:rPr>
                <w:rFonts w:ascii="Times New Roman" w:hAnsi="Times New Roman"/>
                <w:bCs/>
                <w:noProof/>
                <w:sz w:val="24"/>
                <w:szCs w:val="24"/>
              </w:rPr>
            </w:pPr>
            <w:r>
              <w:rPr>
                <w:rFonts w:ascii="Times New Roman" w:hAnsi="Times New Roman"/>
                <w:bCs/>
                <w:noProof/>
                <w:sz w:val="24"/>
                <w:szCs w:val="24"/>
              </w:rPr>
              <w:t>2016-20</w:t>
            </w:r>
          </w:p>
        </w:tc>
      </w:tr>
      <w:tr>
        <w:tc>
          <w:tcPr>
            <w:tcW w:w="7574" w:type="dxa"/>
          </w:tcPr>
          <w:p>
            <w:pPr>
              <w:tabs>
                <w:tab w:val="left" w:pos="3095"/>
              </w:tabs>
              <w:spacing w:before="60" w:after="60"/>
              <w:jc w:val="both"/>
              <w:rPr>
                <w:rFonts w:ascii="Times New Roman" w:hAnsi="Times New Roman"/>
                <w:noProof/>
                <w:sz w:val="24"/>
                <w:szCs w:val="24"/>
              </w:rPr>
            </w:pPr>
            <w:r>
              <w:rPr>
                <w:rFonts w:ascii="Times New Roman" w:hAnsi="Times New Roman"/>
                <w:noProof/>
                <w:sz w:val="24"/>
                <w:szCs w:val="24"/>
              </w:rPr>
              <w:t>In order to facilitate the uptake of big data technologies, the Commission will provide a big data test environment (large-scale pilots) for public administrations, including in the framework of the proposed IPCEI.</w:t>
            </w:r>
          </w:p>
        </w:tc>
        <w:tc>
          <w:tcPr>
            <w:tcW w:w="1465" w:type="dxa"/>
          </w:tcPr>
          <w:p>
            <w:pPr>
              <w:spacing w:before="60" w:after="60"/>
              <w:jc w:val="both"/>
              <w:rPr>
                <w:rFonts w:ascii="Times New Roman" w:hAnsi="Times New Roman"/>
                <w:bCs/>
                <w:noProof/>
                <w:sz w:val="24"/>
                <w:szCs w:val="24"/>
              </w:rPr>
            </w:pPr>
            <w:r>
              <w:rPr>
                <w:rFonts w:ascii="Times New Roman" w:hAnsi="Times New Roman"/>
                <w:bCs/>
                <w:noProof/>
                <w:sz w:val="24"/>
                <w:szCs w:val="24"/>
              </w:rPr>
              <w:t>As of 2016</w:t>
            </w:r>
          </w:p>
        </w:tc>
      </w:tr>
      <w:tr>
        <w:tc>
          <w:tcPr>
            <w:tcW w:w="7574" w:type="dxa"/>
            <w:tcBorders>
              <w:bottom w:val="single" w:sz="4" w:space="0" w:color="auto"/>
            </w:tcBorders>
          </w:tcPr>
          <w:p>
            <w:pPr>
              <w:spacing w:before="100" w:beforeAutospacing="1" w:after="100" w:afterAutospacing="1"/>
              <w:jc w:val="both"/>
              <w:outlineLvl w:val="3"/>
              <w:rPr>
                <w:rFonts w:ascii="Times New Roman" w:hAnsi="Times New Roman"/>
                <w:noProof/>
                <w:sz w:val="24"/>
                <w:szCs w:val="24"/>
              </w:rPr>
            </w:pPr>
            <w:r>
              <w:rPr>
                <w:rFonts w:ascii="Times New Roman" w:hAnsi="Times New Roman"/>
                <w:noProof/>
                <w:sz w:val="24"/>
                <w:szCs w:val="24"/>
              </w:rPr>
              <w:t>The Commission working with industry and Member States will promote the use of existing relevant certifications and standards, and – where appropriate – the creation of European-level certification and labelling, in particular to support public procurement of cloud services.</w:t>
            </w:r>
          </w:p>
        </w:tc>
        <w:tc>
          <w:tcPr>
            <w:tcW w:w="1465" w:type="dxa"/>
          </w:tcPr>
          <w:p>
            <w:pPr>
              <w:spacing w:before="60" w:after="60"/>
              <w:jc w:val="both"/>
              <w:rPr>
                <w:rFonts w:ascii="Times New Roman" w:hAnsi="Times New Roman"/>
                <w:bCs/>
                <w:noProof/>
                <w:sz w:val="24"/>
                <w:szCs w:val="24"/>
              </w:rPr>
            </w:pPr>
            <w:r>
              <w:rPr>
                <w:rFonts w:ascii="Times New Roman" w:hAnsi="Times New Roman"/>
                <w:bCs/>
                <w:noProof/>
                <w:sz w:val="24"/>
                <w:szCs w:val="24"/>
              </w:rPr>
              <w:t xml:space="preserve">As of 2016 </w:t>
            </w:r>
          </w:p>
        </w:tc>
      </w:tr>
    </w:tbl>
    <w:p>
      <w:pPr>
        <w:keepNext/>
        <w:spacing w:before="100" w:beforeAutospacing="1" w:after="100" w:afterAutospacing="1"/>
        <w:jc w:val="both"/>
        <w:rPr>
          <w:rFonts w:ascii="Times New Roman" w:hAnsi="Times New Roman"/>
          <w:b/>
          <w:noProof/>
          <w:sz w:val="24"/>
          <w:szCs w:val="24"/>
          <w:lang w:val="fr-BE"/>
        </w:rPr>
      </w:pPr>
      <w:r>
        <w:rPr>
          <w:rFonts w:ascii="Times New Roman" w:hAnsi="Times New Roman"/>
          <w:b/>
          <w:noProof/>
          <w:sz w:val="24"/>
          <w:szCs w:val="24"/>
          <w:lang w:val="fr-BE"/>
        </w:rPr>
        <w:t>Financial implications</w:t>
      </w:r>
    </w:p>
    <w:p>
      <w:pPr>
        <w:pStyle w:val="Body"/>
        <w:spacing w:after="120"/>
        <w:jc w:val="both"/>
        <w:rPr>
          <w:rFonts w:ascii="Times New Roman" w:hAnsi="Times New Roman" w:cs="Times New Roman"/>
          <w:noProof/>
          <w:color w:val="auto"/>
          <w:sz w:val="24"/>
          <w:szCs w:val="24"/>
          <w:lang w:val="en-GB"/>
        </w:rPr>
      </w:pPr>
      <w:r>
        <w:rPr>
          <w:rFonts w:ascii="Times New Roman" w:hAnsi="Times New Roman"/>
          <w:noProof/>
          <w:sz w:val="24"/>
          <w:szCs w:val="24"/>
          <w:lang w:val="fr-BE"/>
        </w:rPr>
        <w:t xml:space="preserve">Digital transformation in Europe requires scale. </w:t>
      </w:r>
      <w:r>
        <w:rPr>
          <w:rFonts w:ascii="Times New Roman" w:hAnsi="Times New Roman" w:cs="Times New Roman"/>
          <w:noProof/>
          <w:color w:val="auto"/>
          <w:sz w:val="24"/>
          <w:szCs w:val="24"/>
          <w:lang w:val="en-GB"/>
        </w:rPr>
        <w:t>Various sources of EU financing can be identified for the European Cloud Initiative:</w:t>
      </w:r>
    </w:p>
    <w:p>
      <w:pPr>
        <w:pStyle w:val="Body"/>
        <w:numPr>
          <w:ilvl w:val="0"/>
          <w:numId w:val="68"/>
        </w:numPr>
        <w:spacing w:after="12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Horizon 2020 Framework Programme for Research and Innovation (Horizon 2020)</w:t>
      </w:r>
    </w:p>
    <w:p>
      <w:pPr>
        <w:pStyle w:val="Body"/>
        <w:numPr>
          <w:ilvl w:val="0"/>
          <w:numId w:val="68"/>
        </w:numPr>
        <w:spacing w:after="12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Connecting Europe Facility (CEF)</w:t>
      </w:r>
    </w:p>
    <w:p>
      <w:pPr>
        <w:pStyle w:val="Body"/>
        <w:numPr>
          <w:ilvl w:val="0"/>
          <w:numId w:val="68"/>
        </w:numPr>
        <w:spacing w:after="12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European Structural and Investment Funds (ESIF)</w:t>
      </w:r>
    </w:p>
    <w:p>
      <w:pPr>
        <w:pStyle w:val="Body"/>
        <w:numPr>
          <w:ilvl w:val="0"/>
          <w:numId w:val="68"/>
        </w:numPr>
        <w:spacing w:after="12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European Fund for Strategic Investments (EFSI)</w:t>
      </w:r>
    </w:p>
    <w:p>
      <w:pPr>
        <w:pStyle w:val="Body"/>
        <w:spacing w:after="12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Different sources of financing are necessary to support the full investment cycle. Large infrastructure projects are supported initially by public grants and, as they mature, by risk-sharing and market-based instruments. However, since such initiatives require consistent and coordinated efforts, the fragmentation of available budget sources is clearly a drawback.</w:t>
      </w:r>
    </w:p>
    <w:p>
      <w:pPr>
        <w:pStyle w:val="Body"/>
        <w:spacing w:after="12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Existing funding under Horizon 2020 will allow to support the European Open Science Cloud and to kick-start the European Data Infrastructure. Initial estimation of the required additional public and private investment is €4.7 billion in the period of 5 years. This includes €3.5 billion for data infrastructure,</w:t>
      </w:r>
      <w:r>
        <w:rPr>
          <w:rStyle w:val="FootnoteReference"/>
          <w:rFonts w:ascii="Times New Roman" w:hAnsi="Times New Roman" w:cs="Times New Roman"/>
          <w:noProof/>
          <w:color w:val="auto"/>
          <w:sz w:val="24"/>
          <w:szCs w:val="24"/>
          <w:lang w:val="en-GB"/>
        </w:rPr>
        <w:footnoteReference w:id="68"/>
      </w:r>
      <w:r>
        <w:rPr>
          <w:rFonts w:ascii="Times New Roman" w:hAnsi="Times New Roman" w:cs="Times New Roman"/>
          <w:noProof/>
          <w:color w:val="auto"/>
          <w:sz w:val="24"/>
          <w:szCs w:val="24"/>
          <w:lang w:val="en-GB"/>
        </w:rPr>
        <w:t xml:space="preserve"> €1 billion for a large-scale EU-wide Quantum Technologies flagship and €0.2 billion for actions on widening access and building trust. Additional provisions will be discussed with Member States for enlarging support to the European Open Science Cloud beyond Horizon 2020. The initiative will over time generate revenue of its own as its use by the scientific community, innovative start-ups and the public sector takes off. </w:t>
      </w:r>
    </w:p>
    <w:p>
      <w:pPr>
        <w:pStyle w:val="Body"/>
        <w:spacing w:after="12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The Commission intends to propose how the different sources of financing at EU and national level could be blended in order to realise the objectives of the present Communication in full; it will discuss them with the Member States following appropriate evaluation, assessments of impacts and consultation. Infrastructure of this level of ambition will require strong involvement of the Member States, in particular by leveraging structural funds and EFSI</w:t>
      </w:r>
      <w:r>
        <w:rPr>
          <w:rStyle w:val="FootnoteReference"/>
          <w:rFonts w:ascii="Times New Roman" w:hAnsi="Times New Roman" w:cs="Times New Roman"/>
          <w:noProof/>
          <w:color w:val="auto"/>
          <w:sz w:val="24"/>
          <w:szCs w:val="24"/>
          <w:lang w:val="en-GB"/>
        </w:rPr>
        <w:footnoteReference w:id="69"/>
      </w:r>
      <w:r>
        <w:rPr>
          <w:rFonts w:ascii="Times New Roman" w:hAnsi="Times New Roman" w:cs="Times New Roman"/>
          <w:noProof/>
          <w:color w:val="auto"/>
          <w:sz w:val="24"/>
          <w:szCs w:val="24"/>
          <w:lang w:val="en-GB"/>
        </w:rPr>
        <w:t xml:space="preserve"> guarantees, but also significant investments from the private sector and appropriate coordinating mechanisms. In this respect, the proposed Important Project of Common European Interest (IPCEI) on HPC and Big Data shows the possibilities and the positive effects of Member States' engagement.</w:t>
      </w:r>
    </w:p>
    <w:tbl>
      <w:tblPr>
        <w:tblStyle w:val="TableGrid"/>
        <w:tblW w:w="9039" w:type="dxa"/>
        <w:tblLook w:val="04A0" w:firstRow="1" w:lastRow="0" w:firstColumn="1" w:lastColumn="0" w:noHBand="0" w:noVBand="1"/>
      </w:tblPr>
      <w:tblGrid>
        <w:gridCol w:w="7574"/>
        <w:gridCol w:w="1465"/>
      </w:tblGrid>
      <w:tr>
        <w:tc>
          <w:tcPr>
            <w:tcW w:w="7574" w:type="dxa"/>
          </w:tcPr>
          <w:p>
            <w:pPr>
              <w:tabs>
                <w:tab w:val="left" w:pos="3095"/>
              </w:tabs>
              <w:spacing w:after="60"/>
              <w:jc w:val="both"/>
              <w:rPr>
                <w:rFonts w:ascii="Times New Roman" w:hAnsi="Times New Roman"/>
                <w:b/>
                <w:noProof/>
                <w:sz w:val="24"/>
                <w:szCs w:val="24"/>
              </w:rPr>
            </w:pPr>
            <w:r>
              <w:rPr>
                <w:rFonts w:ascii="Times New Roman" w:hAnsi="Times New Roman"/>
                <w:b/>
                <w:noProof/>
                <w:sz w:val="24"/>
                <w:szCs w:val="24"/>
              </w:rPr>
              <w:t>Actions</w:t>
            </w:r>
          </w:p>
        </w:tc>
        <w:tc>
          <w:tcPr>
            <w:tcW w:w="1465" w:type="dxa"/>
          </w:tcPr>
          <w:p>
            <w:pPr>
              <w:spacing w:before="60" w:after="60"/>
              <w:jc w:val="both"/>
              <w:rPr>
                <w:rFonts w:ascii="Times New Roman" w:hAnsi="Times New Roman"/>
                <w:b/>
                <w:bCs/>
                <w:noProof/>
                <w:sz w:val="24"/>
                <w:szCs w:val="24"/>
              </w:rPr>
            </w:pPr>
            <w:r>
              <w:rPr>
                <w:rFonts w:ascii="Times New Roman" w:hAnsi="Times New Roman"/>
                <w:b/>
                <w:bCs/>
                <w:noProof/>
                <w:sz w:val="24"/>
                <w:szCs w:val="24"/>
              </w:rPr>
              <w:t>Timeline</w:t>
            </w:r>
          </w:p>
        </w:tc>
      </w:tr>
      <w:tr>
        <w:tc>
          <w:tcPr>
            <w:tcW w:w="7574" w:type="dxa"/>
          </w:tcPr>
          <w:p>
            <w:pPr>
              <w:spacing w:before="60" w:after="60"/>
              <w:jc w:val="both"/>
              <w:rPr>
                <w:rFonts w:ascii="Times New Roman" w:hAnsi="Times New Roman"/>
                <w:noProof/>
                <w:sz w:val="24"/>
                <w:szCs w:val="24"/>
              </w:rPr>
            </w:pPr>
            <w:r>
              <w:rPr>
                <w:rFonts w:ascii="Times New Roman" w:hAnsi="Times New Roman"/>
                <w:noProof/>
                <w:sz w:val="24"/>
                <w:szCs w:val="24"/>
              </w:rPr>
              <w:t>In cooperation with Member States and stakeholders, the Commission will explore appropriate governance and financing mechanisms for the Open Science Cloud and the European Data Infrastructure and define an implementation Roadmap.</w:t>
            </w:r>
          </w:p>
        </w:tc>
        <w:tc>
          <w:tcPr>
            <w:tcW w:w="1465" w:type="dxa"/>
          </w:tcPr>
          <w:p>
            <w:pPr>
              <w:spacing w:before="60" w:after="60"/>
              <w:jc w:val="both"/>
              <w:rPr>
                <w:rFonts w:ascii="Times New Roman" w:hAnsi="Times New Roman"/>
                <w:bCs/>
                <w:noProof/>
                <w:sz w:val="24"/>
                <w:szCs w:val="24"/>
              </w:rPr>
            </w:pPr>
            <w:r>
              <w:rPr>
                <w:rFonts w:ascii="Times New Roman" w:hAnsi="Times New Roman"/>
                <w:bCs/>
                <w:noProof/>
                <w:sz w:val="24"/>
                <w:szCs w:val="24"/>
              </w:rPr>
              <w:t>As of 2016</w:t>
            </w:r>
          </w:p>
        </w:tc>
      </w:tr>
      <w:tr>
        <w:tc>
          <w:tcPr>
            <w:tcW w:w="7574" w:type="dxa"/>
          </w:tcPr>
          <w:p>
            <w:pPr>
              <w:jc w:val="both"/>
              <w:rPr>
                <w:rFonts w:ascii="Times New Roman" w:hAnsi="Times New Roman"/>
                <w:noProof/>
                <w:sz w:val="24"/>
                <w:szCs w:val="24"/>
              </w:rPr>
            </w:pPr>
            <w:r>
              <w:rPr>
                <w:rFonts w:ascii="Times New Roman" w:hAnsi="Times New Roman"/>
                <w:noProof/>
                <w:sz w:val="24"/>
                <w:szCs w:val="24"/>
              </w:rPr>
              <w:t>The Commission will put forward approaches for blending different funding streams, for discussion with Member States and stakeholders, in order to realise the objectives of this Communication.</w:t>
            </w:r>
          </w:p>
        </w:tc>
        <w:tc>
          <w:tcPr>
            <w:tcW w:w="1465" w:type="dxa"/>
          </w:tcPr>
          <w:p>
            <w:pPr>
              <w:spacing w:before="60" w:after="60"/>
              <w:jc w:val="both"/>
              <w:rPr>
                <w:rFonts w:ascii="Times New Roman" w:hAnsi="Times New Roman"/>
                <w:bCs/>
                <w:noProof/>
                <w:sz w:val="24"/>
                <w:szCs w:val="24"/>
              </w:rPr>
            </w:pPr>
            <w:r>
              <w:rPr>
                <w:rFonts w:ascii="Times New Roman" w:hAnsi="Times New Roman"/>
                <w:bCs/>
                <w:noProof/>
                <w:sz w:val="24"/>
                <w:szCs w:val="24"/>
              </w:rPr>
              <w:t>2016</w:t>
            </w:r>
          </w:p>
        </w:tc>
      </w:tr>
    </w:tbl>
    <w:p>
      <w:pPr>
        <w:keepNext/>
        <w:spacing w:before="100" w:beforeAutospacing="1" w:after="100" w:afterAutospacing="1"/>
        <w:jc w:val="both"/>
        <w:rPr>
          <w:rFonts w:ascii="Times New Roman" w:hAnsi="Times New Roman"/>
          <w:b/>
          <w:noProof/>
          <w:sz w:val="24"/>
          <w:szCs w:val="24"/>
        </w:rPr>
      </w:pPr>
      <w:r>
        <w:rPr>
          <w:rFonts w:ascii="Times New Roman" w:hAnsi="Times New Roman"/>
          <w:b/>
          <w:noProof/>
          <w:sz w:val="24"/>
          <w:szCs w:val="24"/>
        </w:rPr>
        <w:t>CONCLUSIONS</w:t>
      </w:r>
    </w:p>
    <w:p>
      <w:pPr>
        <w:pStyle w:val="Body"/>
        <w:spacing w:after="120"/>
        <w:jc w:val="both"/>
        <w:rPr>
          <w:rStyle w:val="Strong"/>
          <w:rFonts w:ascii="Times New Roman" w:hAnsi="Times New Roman" w:cs="Times New Roman"/>
          <w:b w:val="0"/>
          <w:noProof/>
          <w:color w:val="auto"/>
          <w:sz w:val="24"/>
          <w:szCs w:val="24"/>
          <w:lang w:val="en-GB"/>
        </w:rPr>
      </w:pPr>
      <w:r>
        <w:rPr>
          <w:rFonts w:ascii="Times New Roman" w:hAnsi="Times New Roman" w:cs="Times New Roman"/>
          <w:noProof/>
          <w:color w:val="auto"/>
          <w:sz w:val="24"/>
          <w:szCs w:val="24"/>
          <w:lang w:val="en-GB"/>
        </w:rPr>
        <w:t>The European Cloud Initiative is designed to help science, industry and public authorities in Europe access world-class data infrastructures and cloud-based services as they become the decisive factors for success in the digital economy.</w:t>
      </w:r>
      <w:r>
        <w:rPr>
          <w:rStyle w:val="Strong"/>
          <w:rFonts w:ascii="Times New Roman" w:hAnsi="Times New Roman" w:cs="Times New Roman"/>
          <w:b w:val="0"/>
          <w:noProof/>
          <w:color w:val="auto"/>
          <w:sz w:val="24"/>
          <w:szCs w:val="24"/>
          <w:lang w:val="en-GB"/>
        </w:rPr>
        <w:t xml:space="preserve"> </w:t>
      </w:r>
    </w:p>
    <w:p>
      <w:pPr>
        <w:pStyle w:val="Body"/>
        <w:spacing w:after="120"/>
        <w:jc w:val="both"/>
        <w:rPr>
          <w:rFonts w:ascii="Times New Roman" w:hAnsi="Times New Roman" w:cs="Times New Roman"/>
          <w:noProof/>
          <w:color w:val="auto"/>
          <w:sz w:val="24"/>
          <w:szCs w:val="24"/>
          <w:lang w:val="en-GB"/>
        </w:rPr>
      </w:pPr>
      <w:r>
        <w:rPr>
          <w:rStyle w:val="Strong"/>
          <w:rFonts w:ascii="Times New Roman" w:hAnsi="Times New Roman" w:cs="Times New Roman"/>
          <w:noProof/>
          <w:color w:val="auto"/>
          <w:sz w:val="24"/>
          <w:szCs w:val="24"/>
          <w:lang w:val="en-GB"/>
        </w:rPr>
        <w:t xml:space="preserve">A European Cloud Initiative should open up to every research centre, every research project and every researcher in Europe the world-class supercomputing, data storage and analysis capacity which they need </w:t>
      </w:r>
      <w:r>
        <w:rPr>
          <w:rFonts w:ascii="Times New Roman" w:hAnsi="Times New Roman" w:cs="Times New Roman"/>
          <w:noProof/>
          <w:color w:val="auto"/>
          <w:sz w:val="24"/>
          <w:szCs w:val="24"/>
          <w:lang w:val="en-GB"/>
        </w:rPr>
        <w:t xml:space="preserve">to succeed in the global, data-driven innovation system. </w:t>
      </w:r>
    </w:p>
    <w:p>
      <w:pPr>
        <w:pStyle w:val="Body"/>
        <w:spacing w:after="120"/>
        <w:jc w:val="both"/>
        <w:rPr>
          <w:rFonts w:ascii="Times New Roman" w:hAnsi="Times New Roman"/>
          <w:noProof/>
          <w:sz w:val="24"/>
          <w:szCs w:val="24"/>
          <w:lang w:val="en-GB"/>
        </w:rPr>
      </w:pPr>
      <w:r>
        <w:rPr>
          <w:rFonts w:ascii="Times New Roman" w:hAnsi="Times New Roman" w:cs="Times New Roman"/>
          <w:noProof/>
          <w:color w:val="auto"/>
          <w:sz w:val="24"/>
          <w:szCs w:val="24"/>
          <w:lang w:val="en-GB"/>
        </w:rPr>
        <w:t xml:space="preserve">The Initiative will make it possible to </w:t>
      </w:r>
      <w:r>
        <w:rPr>
          <w:rFonts w:ascii="Times New Roman" w:eastAsia="Times New Roman" w:hAnsi="Times New Roman" w:cs="Times New Roman"/>
          <w:noProof/>
          <w:color w:val="auto"/>
          <w:sz w:val="24"/>
          <w:szCs w:val="24"/>
          <w:lang w:val="en-GB"/>
        </w:rPr>
        <w:t xml:space="preserve">widen the user-base of the infrastructures and services to the public sector and to industry, including SMEs, </w:t>
      </w:r>
      <w:r>
        <w:rPr>
          <w:rFonts w:ascii="Times New Roman" w:hAnsi="Times New Roman"/>
          <w:noProof/>
          <w:sz w:val="24"/>
          <w:szCs w:val="24"/>
          <w:lang w:val="en-GB"/>
        </w:rPr>
        <w:t xml:space="preserve">guaranteeing an adequate level of security, data portability, interoperability as well as compliance with EU legal requirements. </w:t>
      </w:r>
    </w:p>
    <w:p>
      <w:pPr>
        <w:pStyle w:val="Body"/>
        <w:spacing w:after="120"/>
        <w:jc w:val="both"/>
        <w:rPr>
          <w:rFonts w:ascii="Times New Roman" w:hAnsi="Times New Roman"/>
          <w:noProof/>
          <w:sz w:val="24"/>
          <w:szCs w:val="24"/>
          <w:lang w:val="en-GB"/>
        </w:rPr>
      </w:pPr>
      <w:r>
        <w:rPr>
          <w:rFonts w:ascii="Times New Roman" w:hAnsi="Times New Roman"/>
          <w:noProof/>
          <w:sz w:val="24"/>
          <w:szCs w:val="24"/>
          <w:lang w:val="en-GB"/>
        </w:rPr>
        <w:t xml:space="preserve">The extent to which the Member States and private sector embrace the gains to be made from addressing this challenge, and commit to working together to address them will determine the success of the initiative. </w:t>
      </w:r>
    </w:p>
    <w:p>
      <w:pPr>
        <w:pStyle w:val="Body"/>
        <w:spacing w:after="120"/>
        <w:jc w:val="both"/>
        <w:rPr>
          <w:rFonts w:ascii="Times New Roman" w:hAnsi="Times New Roman" w:cs="Times New Roman"/>
          <w:noProof/>
          <w:color w:val="auto"/>
          <w:sz w:val="24"/>
          <w:szCs w:val="24"/>
          <w:lang w:val="en-GB"/>
        </w:rPr>
      </w:pPr>
    </w:p>
    <w:sectPr>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r>
      <w:fldChar w:fldCharType="begin"/>
    </w:r>
    <w:r>
      <w:instrText xml:space="preserve"> PAGE   \* MERGEFORMAT </w:instrText>
    </w:r>
    <w:r>
      <w:fldChar w:fldCharType="separate"/>
    </w:r>
    <w:r>
      <w:rPr>
        <w:noProof/>
      </w:rPr>
      <w:t>2</w:t>
    </w:r>
    <w:r>
      <w:rPr>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Style w:val="tgc"/>
          <w:rFonts w:ascii="Times New Roman" w:hAnsi="Times New Roman"/>
          <w:bCs/>
        </w:rPr>
        <w:t>Exa-scale</w:t>
      </w:r>
      <w:r>
        <w:rPr>
          <w:rStyle w:val="tgc"/>
          <w:rFonts w:ascii="Times New Roman" w:hAnsi="Times New Roman"/>
        </w:rPr>
        <w:t xml:space="preserve"> computing refers to computing systems capable of at least one exaFLOPS – 10</w:t>
      </w:r>
      <w:r>
        <w:rPr>
          <w:rStyle w:val="tgc"/>
          <w:rFonts w:ascii="Times New Roman" w:hAnsi="Times New Roman"/>
          <w:vertAlign w:val="superscript"/>
        </w:rPr>
        <w:t>18</w:t>
      </w:r>
      <w:r>
        <w:rPr>
          <w:rStyle w:val="tgc"/>
          <w:rFonts w:ascii="Times New Roman" w:hAnsi="Times New Roman"/>
        </w:rPr>
        <w:t xml:space="preserve"> calculations per second – about 1.000 times faster than today's machines.</w:t>
      </w:r>
    </w:p>
  </w:footnote>
  <w:footnote w:id="3">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See </w:t>
      </w:r>
      <w:r>
        <w:rPr>
          <w:rFonts w:ascii="Times New Roman" w:eastAsia="Times New Roman" w:hAnsi="Times New Roman"/>
        </w:rPr>
        <w:t xml:space="preserve">the </w:t>
      </w:r>
      <w:hyperlink r:id="rId1" w:history="1">
        <w:r>
          <w:rPr>
            <w:rStyle w:val="Hyperlink"/>
            <w:rFonts w:ascii="Times New Roman" w:eastAsia="Times New Roman" w:hAnsi="Times New Roman"/>
          </w:rPr>
          <w:t>Conclusions</w:t>
        </w:r>
      </w:hyperlink>
      <w:r>
        <w:rPr>
          <w:rFonts w:ascii="Times New Roman" w:eastAsia="Times New Roman" w:hAnsi="Times New Roman"/>
        </w:rPr>
        <w:t xml:space="preserve"> of the Competitiveness Council, 2015</w:t>
      </w:r>
      <w:r>
        <w:rPr>
          <w:rFonts w:ascii="Times New Roman" w:hAnsi="Times New Roman"/>
        </w:rPr>
        <w:t xml:space="preserve">  </w:t>
      </w:r>
    </w:p>
  </w:footnote>
  <w:footnote w:id="4">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Speech of President Juncker on October 2015;  http://bit.ly/1Y52pGi</w:t>
      </w:r>
    </w:p>
  </w:footnote>
  <w:footnote w:id="5">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COM(2015) 192 final</w:t>
      </w:r>
    </w:p>
  </w:footnote>
  <w:footnote w:id="6">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Preparatory work started through a Commission High Level Expert Group, tasked to issue advice on its set-up: http://bit.ly/1RK7lhh</w:t>
      </w:r>
    </w:p>
  </w:footnote>
  <w:footnote w:id="7">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Preparatory work undertaken i.e. through advisory groups such as the e-</w:t>
      </w:r>
      <w:r>
        <w:rPr>
          <w:rFonts w:ascii="Times New Roman" w:hAnsi="Times New Roman"/>
        </w:rPr>
        <w:t>infrastructures Reflection Group.</w:t>
      </w:r>
    </w:p>
  </w:footnote>
  <w:footnote w:id="8">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COM(2012) 529 final and results of working groups http://bit.ly/1QVrvIb</w:t>
      </w:r>
    </w:p>
  </w:footnote>
  <w:footnote w:id="9">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COM(2012) 45 final</w:t>
      </w:r>
    </w:p>
  </w:footnote>
  <w:footnote w:id="10">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The objective is to support the development of new industrial uses of HPC and to guarantee access to HPC facilities for public and private research,  http://bit.ly/1RMFq0i</w:t>
      </w:r>
    </w:p>
  </w:footnote>
  <w:footnote w:id="11">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COM(2014) 442 final</w:t>
      </w:r>
    </w:p>
  </w:footnote>
  <w:footnote w:id="12">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Council policy debate (9385/15); Council Conclusions (8970/15)</w:t>
      </w:r>
    </w:p>
  </w:footnote>
  <w:footnote w:id="13">
    <w:p>
      <w:pPr>
        <w:pStyle w:val="FootnoteText"/>
        <w:tabs>
          <w:tab w:val="left" w:pos="5945"/>
        </w:tabs>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COM(2012) 401 final</w:t>
      </w:r>
      <w:r>
        <w:rPr>
          <w:rFonts w:ascii="Times New Roman" w:hAnsi="Times New Roman"/>
        </w:rPr>
        <w:tab/>
      </w:r>
    </w:p>
  </w:footnote>
  <w:footnote w:id="14">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Possible legislative proposals will be subject to Commission better regulation requirements, in line with Commission’s Better Regulation Guidelines, SWD(2015) 111</w:t>
      </w:r>
    </w:p>
  </w:footnote>
  <w:footnote w:id="15">
    <w:p>
      <w:pPr>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This is the case in e.g. health </w:t>
      </w:r>
      <w:hyperlink r:id="rId2" w:history="1">
        <w:r>
          <w:rPr>
            <w:rStyle w:val="Hyperlink"/>
            <w:rFonts w:ascii="Times New Roman" w:hAnsi="Times New Roman"/>
            <w:color w:val="auto"/>
            <w:sz w:val="20"/>
            <w:szCs w:val="20"/>
            <w:u w:val="none"/>
          </w:rPr>
          <w:t>http://bit.ly/1XEeaTN</w:t>
        </w:r>
      </w:hyperlink>
      <w:r>
        <w:rPr>
          <w:sz w:val="20"/>
          <w:szCs w:val="20"/>
        </w:rPr>
        <w:t xml:space="preserve"> </w:t>
      </w:r>
      <w:r>
        <w:rPr>
          <w:rFonts w:ascii="Times New Roman" w:hAnsi="Times New Roman"/>
          <w:sz w:val="20"/>
          <w:szCs w:val="20"/>
        </w:rPr>
        <w:t xml:space="preserve"> (and ERC projects BIOTENSORS, DIOCLES, SMAC), astronomy (e.g. SparseAstro); climate change, migration or the Internet (e.g. DIADEM, MIGRANT, RAPID, THINKBIG).</w:t>
      </w:r>
    </w:p>
  </w:footnote>
  <w:footnote w:id="16">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The INSPIRE Directive 2007/2/EC provides an acquis for the sharing of European location data. However, the scope of the application of these laws is limited to specific data and services for environmental, natural disasters and health policies and not all obstacles with regard to data policies have been lifted effectively.</w:t>
      </w:r>
    </w:p>
  </w:footnote>
  <w:footnote w:id="17">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Regulation 1089/2010 implementing Directive 2007/2/EC</w:t>
      </w:r>
    </w:p>
  </w:footnote>
  <w:footnote w:id="18">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Work on the eHealth Network set up under Directive 2011/24 on patients' rights, eHealth Digital Service Infrastructure ePrescription and Patient Summary services to exchange of health data and the recent Joint Action supporting the eHealth Network report on the "Use of cloud computing in health" to support use of data other than for the direct care of an individual patient.</w:t>
      </w:r>
    </w:p>
  </w:footnote>
  <w:footnote w:id="19">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Tackled by the Commission's ISA Programme: http://bit.ly/24DxWUs</w:t>
      </w:r>
    </w:p>
  </w:footnote>
  <w:footnote w:id="20">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This may include high-quality statistical meta-data from official statistics to enhance data browsability, interoperability and integration.</w:t>
      </w:r>
    </w:p>
  </w:footnote>
  <w:footnote w:id="21">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Several global initiatives address this: the FAIR data principles, the G8 Principles for Open Research Data Science, RDA guidelines, Belmont Forum recommendations, OECD principles and discipline-specific guidelines.</w:t>
      </w:r>
    </w:p>
  </w:footnote>
  <w:footnote w:id="22">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Consultation on Science 2.0 flagged the lack of integration of existing infrastructures as an obstacle for scientists' work.</w:t>
      </w:r>
    </w:p>
  </w:footnote>
  <w:footnote w:id="23">
    <w:p>
      <w:pPr>
        <w:autoSpaceDE w:val="0"/>
        <w:autoSpaceDN w:val="0"/>
        <w:adjustRightInd w:val="0"/>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Calibri" w:hAnsi="Times New Roman"/>
          <w:sz w:val="20"/>
          <w:szCs w:val="20"/>
        </w:rPr>
        <w:t>Researchers are either unaware (54 %) or do not have a facility (37 %) to store and maintain their data (bit.ly/206u6hm).</w:t>
      </w:r>
    </w:p>
  </w:footnote>
  <w:footnote w:id="24">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http://bit.ly/1SkL9wm</w:t>
      </w:r>
    </w:p>
  </w:footnote>
  <w:footnote w:id="25">
    <w:p>
      <w:pPr>
        <w:pStyle w:val="FootnoteText"/>
        <w:spacing w:after="0" w:line="240" w:lineRule="auto"/>
        <w:rPr>
          <w:rFonts w:ascii="Times New Roman" w:hAnsi="Times New Roman"/>
          <w:lang w:val="en-US"/>
        </w:rPr>
      </w:pPr>
      <w:r>
        <w:rPr>
          <w:rStyle w:val="FootnoteReference"/>
          <w:rFonts w:ascii="Times New Roman" w:hAnsi="Times New Roman"/>
        </w:rPr>
        <w:footnoteRef/>
      </w:r>
      <w:r>
        <w:rPr>
          <w:rFonts w:ascii="Times New Roman" w:hAnsi="Times New Roman"/>
        </w:rPr>
        <w:t xml:space="preserve"> http://bit.ly/1JEymCY</w:t>
      </w:r>
    </w:p>
  </w:footnote>
  <w:footnote w:id="26">
    <w:p>
      <w:pPr>
        <w:ind w:left="142" w:hanging="142"/>
        <w:rPr>
          <w:rFonts w:ascii="Times New Roman" w:hAnsi="Times New Roman"/>
          <w:sz w:val="20"/>
          <w:szCs w:val="20"/>
        </w:rPr>
      </w:pPr>
      <w:r>
        <w:rPr>
          <w:rStyle w:val="FootnoteReference"/>
          <w:rFonts w:ascii="Times New Roman" w:hAnsi="Times New Roman"/>
          <w:sz w:val="20"/>
          <w:szCs w:val="20"/>
        </w:rPr>
        <w:footnoteRef/>
      </w:r>
      <w:r>
        <w:rPr>
          <w:rFonts w:ascii="Times New Roman" w:eastAsia="Calibri" w:hAnsi="Times New Roman"/>
          <w:sz w:val="20"/>
          <w:szCs w:val="20"/>
        </w:rPr>
        <w:t xml:space="preserve"> Requests for computing cycles about double PRACE availability: </w:t>
      </w:r>
      <w:r>
        <w:rPr>
          <w:rFonts w:ascii="Times New Roman" w:hAnsi="Times New Roman"/>
          <w:sz w:val="20"/>
          <w:szCs w:val="20"/>
        </w:rPr>
        <w:t>http://bit.ly/1So2sgc</w:t>
      </w:r>
    </w:p>
  </w:footnote>
  <w:footnote w:id="27">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SWD(2016) 107</w:t>
      </w:r>
    </w:p>
  </w:footnote>
  <w:footnote w:id="28">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SWD(2016) 106</w:t>
      </w:r>
    </w:p>
  </w:footnote>
  <w:footnote w:id="29">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The US Department of Defence will invest $525 Million for acquiring 3 pre-exa-scale systems in 2017/2018 ('CORAL'). Japan plans to invest $1.38 Billion to install a near-exa-scale system in 2019.</w:t>
      </w:r>
    </w:p>
  </w:footnote>
  <w:footnote w:id="30">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While PRACE allows sharing computing resources of some Member States, the procurement of HPC systems is a national decision without EU coordination or funding.</w:t>
      </w:r>
    </w:p>
  </w:footnote>
  <w:footnote w:id="31">
    <w:p>
      <w:pPr>
        <w:pStyle w:val="Default"/>
        <w:ind w:left="142" w:hanging="142"/>
        <w:jc w:val="both"/>
        <w:rPr>
          <w:sz w:val="20"/>
          <w:szCs w:val="20"/>
          <w:lang w:val="pt-PT"/>
        </w:rPr>
      </w:pPr>
      <w:r>
        <w:rPr>
          <w:rStyle w:val="FootnoteReference"/>
          <w:sz w:val="20"/>
          <w:szCs w:val="20"/>
        </w:rPr>
        <w:footnoteRef/>
      </w:r>
      <w:r>
        <w:rPr>
          <w:sz w:val="20"/>
          <w:szCs w:val="20"/>
          <w:lang w:val="pt-PT"/>
        </w:rPr>
        <w:t xml:space="preserve"> Council conclusions (8970/15).</w:t>
      </w:r>
    </w:p>
  </w:footnote>
  <w:footnote w:id="32">
    <w:p>
      <w:pPr>
        <w:pStyle w:val="FootnoteText"/>
        <w:spacing w:after="0" w:line="240" w:lineRule="auto"/>
        <w:ind w:left="142" w:hanging="142"/>
        <w:jc w:val="both"/>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 (2012) 9 final</w:t>
      </w:r>
    </w:p>
  </w:footnote>
  <w:footnote w:id="33">
    <w:p>
      <w:pPr>
        <w:pStyle w:val="FootnoteText"/>
        <w:spacing w:after="0" w:line="240" w:lineRule="auto"/>
        <w:ind w:left="142" w:hanging="142"/>
        <w:jc w:val="both"/>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 (2015) 626 final</w:t>
      </w:r>
    </w:p>
  </w:footnote>
  <w:footnote w:id="34">
    <w:p>
      <w:pPr>
        <w:pStyle w:val="PlainText"/>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Horizon 2020 Open Research Data Pilot currently covers :  Future and Emerging Technologies, Research infrastructures, Information and Communication Technologies, the ‘nanosafety’ and ‘modelling’ topics in the Nanotechnologies, Advanced Materials, Advanced Manufacturing and Processing, and Biotechnology WP, selected topics within the Societal Challenges: Food security, sustainable agriculture and forestry, marine and maritime and inland water research and the bioeconomy; Climate Action, Environment, Resource Efficiency and Raw materials – except raw materials; Europe in a changing world – inclusive, innovative and reflective Societies; Science with and for Society as well as the cross cutting activity and focus area Smart and Sustainable Cities. Note that projects that are not part of these "core areas" can still join on a voluntary basis.</w:t>
      </w:r>
    </w:p>
  </w:footnote>
  <w:footnote w:id="35">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The existing opt-out options, where open access to data would be contrary to future commercial application or data privacy and personal data protection, security and protection of EU classified information will be maintained. The analysis of the pilot showed that most projects apply open data, but that opt-out options are also important.</w:t>
      </w:r>
    </w:p>
  </w:footnote>
  <w:footnote w:id="36">
    <w:p>
      <w:pPr>
        <w:pStyle w:val="FootnoteText"/>
        <w:spacing w:after="4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C(2012) 4890 final</w:t>
      </w:r>
    </w:p>
  </w:footnote>
  <w:footnote w:id="37">
    <w:p>
      <w:pPr>
        <w:ind w:left="142" w:hanging="142"/>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Such as ESFRI, INSPIRE, eIRG, GEANT, PRACE, ELIXIR, the Belmont Forum and similar federating initiatives.</w:t>
      </w:r>
    </w:p>
  </w:footnote>
  <w:footnote w:id="38">
    <w:p>
      <w:pPr>
        <w:pStyle w:val="FootnoteText"/>
        <w:spacing w:after="4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New Commission initiatives may be financed under ESIF provided that the Member States agree to finance them and to modify their operational programmes accordingly.</w:t>
      </w:r>
    </w:p>
  </w:footnote>
  <w:footnote w:id="39">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Council Conclusions (8970/15).</w:t>
      </w:r>
    </w:p>
  </w:footnote>
  <w:footnote w:id="40">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European Parliament Report 2015/2147(INI).</w:t>
      </w:r>
    </w:p>
  </w:footnote>
  <w:footnote w:id="41">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While fully respecting Articles 7 and 8 of the Charter of Fundamental Rights of the European Union and current and forthcoming provisions on use of data for research purposes, the initiative may develop, for instance, services for IPR-conscious text and data mining, access control for different uses, irreversible anonymisation of sensitive data before data fusion, 'personal data spaces' to preserve privacy and foster uptake of innovative uses or rely on machine-readable licencing and privacy meta-data attached to data-sets accessible via the cloud and provide guidelines and best practices for compliant organisational processes supporting the initiative. While these are technical, by-design and by default tools and processes, they may help reduce the incidence of malpractice and reduce non-conformity with legal provisions.</w:t>
      </w:r>
    </w:p>
  </w:footnote>
  <w:footnote w:id="42">
    <w:p>
      <w:pPr>
        <w:pStyle w:val="FootnoteText"/>
        <w:spacing w:after="6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C(2012) 4890 final</w:t>
      </w:r>
    </w:p>
  </w:footnote>
  <w:footnote w:id="43">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As identified by the European Strategic Forum on Research Infrastructures (ESFRI) http://bit.ly/1pfqOe7</w:t>
      </w:r>
    </w:p>
  </w:footnote>
  <w:footnote w:id="44">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Including existing services by OpenAIRE, EUDAT, EGI, IndigoDataCloud, HelixNebula, PRACE, GÉANT.</w:t>
      </w:r>
    </w:p>
  </w:footnote>
  <w:footnote w:id="45">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'Digital by default' refers to services and processes that are made available online or in a digital form by default.</w:t>
      </w:r>
    </w:p>
  </w:footnote>
  <w:footnote w:id="46">
    <w:p>
      <w:pPr>
        <w:pStyle w:val="FootnoteText"/>
        <w:spacing w:after="0" w:line="240" w:lineRule="auto"/>
        <w:ind w:left="142" w:hanging="142"/>
        <w:jc w:val="both"/>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COM(2012) 45 final</w:t>
      </w:r>
    </w:p>
  </w:footnote>
  <w:footnote w:id="47">
    <w:p>
      <w:pPr>
        <w:pStyle w:val="FootnoteText"/>
        <w:spacing w:after="0" w:line="240" w:lineRule="auto"/>
        <w:jc w:val="both"/>
        <w:rPr>
          <w:rFonts w:ascii="Times New Roman" w:hAnsi="Times New Roman"/>
          <w:lang w:val="pt-PT"/>
        </w:rPr>
      </w:pPr>
      <w:r>
        <w:rPr>
          <w:rFonts w:ascii="Times New Roman" w:hAnsi="Times New Roman"/>
          <w:vertAlign w:val="superscript"/>
          <w:lang w:val="pt-PT"/>
        </w:rPr>
        <w:t>47</w:t>
      </w:r>
      <w:r>
        <w:rPr>
          <w:rFonts w:ascii="Times New Roman" w:hAnsi="Times New Roman"/>
          <w:lang w:val="pt-PT"/>
        </w:rPr>
        <w:t xml:space="preserve"> http://bit.ly/1QxERan</w:t>
      </w:r>
    </w:p>
  </w:footnote>
  <w:footnote w:id="48">
    <w:p>
      <w:pPr>
        <w:pStyle w:val="FootnoteText"/>
        <w:spacing w:after="0" w:line="240" w:lineRule="auto"/>
        <w:jc w:val="both"/>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http://bit.ly/1WZH8wF</w:t>
      </w:r>
    </w:p>
  </w:footnote>
  <w:footnote w:id="49">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http://www.ecsel-ju.eu</w:t>
      </w:r>
    </w:p>
  </w:footnote>
  <w:footnote w:id="50">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Energy efficient exa-scale machines would impact the full spectrum of computing and bring Europe technical, economic and social advantages. Currently, a single exa-scale machine would need a dedicated power plant of 700MW to operate, enough to power 140.000 households for a year. Thus the need for low power chips.</w:t>
      </w:r>
    </w:p>
  </w:footnote>
  <w:footnote w:id="51">
    <w:p>
      <w:pPr>
        <w:pStyle w:val="FootnoteText"/>
        <w:spacing w:after="0" w:line="240" w:lineRule="auto"/>
        <w:ind w:left="142" w:hanging="142"/>
        <w:rPr>
          <w:rFonts w:ascii="Times New Roman" w:hAnsi="Times New Roman"/>
        </w:rPr>
      </w:pPr>
      <w:r>
        <w:rPr>
          <w:rStyle w:val="FootnoteReference"/>
          <w:rFonts w:ascii="Times New Roman" w:hAnsi="Times New Roman"/>
        </w:rPr>
        <w:footnoteRef/>
      </w:r>
      <w:r>
        <w:rPr>
          <w:rFonts w:ascii="Times New Roman" w:hAnsi="Times New Roman"/>
        </w:rPr>
        <w:t xml:space="preserve"> Co-design is an approach to design aiming to actively involve customers and users in the design process to help ensure the result meets their needs and is usable</w:t>
      </w:r>
      <w:r>
        <w:rPr>
          <w:rFonts w:ascii="Times New Roman" w:hAnsi="Times New Roman"/>
          <w:lang w:val="en"/>
        </w:rPr>
        <w:t>.</w:t>
      </w:r>
    </w:p>
  </w:footnote>
  <w:footnote w:id="52">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http://bit.ly/1pqny20</w:t>
      </w:r>
    </w:p>
  </w:footnote>
  <w:footnote w:id="53">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RDA-Europe has started the interaction with the ICT standardisation multi stakeholder group to submit best practice implementations for data infrastructure interoperability developed in the Research Data Alliance.</w:t>
      </w:r>
    </w:p>
  </w:footnote>
  <w:footnote w:id="54">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Such as INSPIRE interoperable spatial data and services specifications.</w:t>
      </w:r>
    </w:p>
  </w:footnote>
  <w:footnote w:id="55">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Building on existing services by OpenAIRE, EUDAT, EGI, IndigoDataCloud, HelixNebula, PRACE, GÉANT.</w:t>
      </w:r>
    </w:p>
  </w:footnote>
  <w:footnote w:id="56">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E.g. hosted by JRC for multidisciplinary data but focused on INSPIRE/GEOSS/Copernicus spatial data.</w:t>
      </w:r>
    </w:p>
  </w:footnote>
  <w:footnote w:id="57">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https://goo.gl/zBVi8N</w:t>
      </w:r>
    </w:p>
  </w:footnote>
  <w:footnote w:id="58">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SWD(2016) 107</w:t>
      </w:r>
    </w:p>
  </w:footnote>
  <w:footnote w:id="59">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The impact assessment will be part of the preparatory process for relevant funding programmes under the post 2020 financial perspective. Any additional implementation measure likely to have significant impacts may require separate, individual impact assessments.</w:t>
      </w:r>
    </w:p>
  </w:footnote>
  <w:footnote w:id="60">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SWD(2016) 107</w:t>
      </w:r>
    </w:p>
  </w:footnote>
  <w:footnote w:id="61">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FET Flagships as described in Horizon 2020 reference documents.</w:t>
      </w:r>
    </w:p>
  </w:footnote>
  <w:footnote w:id="62">
    <w:p>
      <w:pPr>
        <w:pStyle w:val="FootnoteText"/>
        <w:spacing w:after="0" w:line="240" w:lineRule="auto"/>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SMART 2013/0043: </w:t>
      </w:r>
      <w:r>
        <w:rPr>
          <w:rFonts w:ascii="Times New Roman" w:eastAsia="Times New Roman" w:hAnsi="Times New Roman"/>
        </w:rPr>
        <w:t>Public sector organisations trail the private sector, with a 10% difference in 2013 in the use of cloud computing services.</w:t>
      </w:r>
    </w:p>
  </w:footnote>
  <w:footnote w:id="63">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 eGovernment Action Plan  2016-2020 – accelerating the digital transformation of government</w:t>
      </w:r>
    </w:p>
  </w:footnote>
  <w:footnote w:id="64">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 (2013) 48</w:t>
      </w:r>
    </w:p>
  </w:footnote>
  <w:footnote w:id="6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COM(2016) 176</w:t>
      </w:r>
    </w:p>
  </w:footnote>
  <w:footnote w:id="6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Regulation 765/2008</w:t>
      </w:r>
    </w:p>
  </w:footnote>
  <w:footnote w:id="67">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https://resilience.enisa.europa.eu/cloud-computing-certification</w:t>
      </w:r>
    </w:p>
  </w:footnote>
  <w:footnote w:id="68">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SWD(2016) 106</w:t>
      </w:r>
    </w:p>
  </w:footnote>
  <w:footnote w:id="69">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Advisory services of EIB under the European Investment Advisory Hub will also be involved.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CE6C1F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E84060A4"/>
    <w:lvl w:ilvl="0" w:tplc="5C8CF8B0">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3"/>
    <w:multiLevelType w:val="hybridMultilevel"/>
    <w:tmpl w:val="A74A4AE8"/>
    <w:lvl w:ilvl="0" w:tplc="5C8CF8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4"/>
    <w:multiLevelType w:val="hybridMultilevel"/>
    <w:tmpl w:val="428A2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0000005"/>
    <w:multiLevelType w:val="hybridMultilevel"/>
    <w:tmpl w:val="13FC2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6"/>
    <w:multiLevelType w:val="hybridMultilevel"/>
    <w:tmpl w:val="FBE65C8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D0780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0000008"/>
    <w:multiLevelType w:val="hybridMultilevel"/>
    <w:tmpl w:val="270EC5BA"/>
    <w:lvl w:ilvl="0" w:tplc="149280E0">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00000009"/>
    <w:multiLevelType w:val="hybridMultilevel"/>
    <w:tmpl w:val="FA505B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0000000A"/>
    <w:multiLevelType w:val="hybridMultilevel"/>
    <w:tmpl w:val="703E9A14"/>
    <w:lvl w:ilvl="0" w:tplc="CE2270C4">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000000B"/>
    <w:multiLevelType w:val="hybridMultilevel"/>
    <w:tmpl w:val="DBCE1A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DC962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D0E0B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C50C1A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000000F"/>
    <w:multiLevelType w:val="hybridMultilevel"/>
    <w:tmpl w:val="7CB818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0000010"/>
    <w:multiLevelType w:val="hybridMultilevel"/>
    <w:tmpl w:val="9C16616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93E433F0"/>
    <w:lvl w:ilvl="0" w:tplc="5C8CF8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00000012"/>
    <w:multiLevelType w:val="hybridMultilevel"/>
    <w:tmpl w:val="AABA1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693C80EA"/>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9">
    <w:nsid w:val="00000014"/>
    <w:multiLevelType w:val="hybridMultilevel"/>
    <w:tmpl w:val="0700092E"/>
    <w:lvl w:ilvl="0" w:tplc="1B7CEC52">
      <w:start w:val="2"/>
      <w:numFmt w:val="decimal"/>
      <w:lvlText w:val="%1."/>
      <w:lvlJc w:val="left"/>
      <w:pPr>
        <w:ind w:left="720" w:hanging="360"/>
      </w:pPr>
      <w:rPr>
        <w:rFonts w:hint="default"/>
      </w:rPr>
    </w:lvl>
    <w:lvl w:ilvl="1" w:tplc="64E65552">
      <w:start w:val="1"/>
      <w:numFmt w:val="bullet"/>
      <w:lvlText w:val="-"/>
      <w:lvlJc w:val="left"/>
      <w:pPr>
        <w:ind w:left="1440" w:hanging="360"/>
      </w:pPr>
      <w:rPr>
        <w:rFonts w:ascii="Calibri" w:eastAsiaTheme="minorHAnsi"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00000015"/>
    <w:multiLevelType w:val="hybridMultilevel"/>
    <w:tmpl w:val="FB489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14B24118"/>
    <w:lvl w:ilvl="0" w:tplc="08090001">
      <w:start w:val="1"/>
      <w:numFmt w:val="bullet"/>
      <w:lvlText w:val=""/>
      <w:lvlJc w:val="left"/>
      <w:pPr>
        <w:ind w:left="360" w:hanging="360"/>
      </w:pPr>
      <w:rPr>
        <w:rFonts w:ascii="Symbol" w:hAnsi="Symbol" w:hint="default"/>
      </w:rPr>
    </w:lvl>
    <w:lvl w:ilvl="1" w:tplc="64E65552">
      <w:start w:val="1"/>
      <w:numFmt w:val="bullet"/>
      <w:lvlText w:val="-"/>
      <w:lvlJc w:val="left"/>
      <w:pPr>
        <w:ind w:left="1080" w:hanging="360"/>
      </w:pPr>
      <w:rPr>
        <w:rFonts w:ascii="Calibri" w:eastAsiaTheme="minorHAnsi" w:hAnsi="Calibri"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00000017"/>
    <w:multiLevelType w:val="hybridMultilevel"/>
    <w:tmpl w:val="CAF6C1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00000018"/>
    <w:multiLevelType w:val="hybridMultilevel"/>
    <w:tmpl w:val="211E0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00000019"/>
    <w:multiLevelType w:val="hybridMultilevel"/>
    <w:tmpl w:val="56EE4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0000001A"/>
    <w:multiLevelType w:val="hybridMultilevel"/>
    <w:tmpl w:val="D428B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2A22D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0D7464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0000001D"/>
    <w:multiLevelType w:val="hybridMultilevel"/>
    <w:tmpl w:val="472824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0000001E"/>
    <w:multiLevelType w:val="hybridMultilevel"/>
    <w:tmpl w:val="7974DB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01346370"/>
    <w:multiLevelType w:val="multilevel"/>
    <w:tmpl w:val="37C0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0AD23A3A"/>
    <w:multiLevelType w:val="hybridMultilevel"/>
    <w:tmpl w:val="F300D2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0E5E6073"/>
    <w:multiLevelType w:val="hybridMultilevel"/>
    <w:tmpl w:val="D5049680"/>
    <w:lvl w:ilvl="0" w:tplc="61AC71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166E2232"/>
    <w:multiLevelType w:val="hybridMultilevel"/>
    <w:tmpl w:val="2D5A5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17583CFB"/>
    <w:multiLevelType w:val="hybridMultilevel"/>
    <w:tmpl w:val="4A6A3C1E"/>
    <w:lvl w:ilvl="0" w:tplc="696A77E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1A1B4001"/>
    <w:multiLevelType w:val="hybridMultilevel"/>
    <w:tmpl w:val="2E10A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21F61393"/>
    <w:multiLevelType w:val="hybridMultilevel"/>
    <w:tmpl w:val="4A923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271E5F62"/>
    <w:multiLevelType w:val="hybridMultilevel"/>
    <w:tmpl w:val="183CF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27C97AA5"/>
    <w:multiLevelType w:val="hybridMultilevel"/>
    <w:tmpl w:val="D0E0B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289D3793"/>
    <w:multiLevelType w:val="hybridMultilevel"/>
    <w:tmpl w:val="7C4A8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2A1220DE"/>
    <w:multiLevelType w:val="hybridMultilevel"/>
    <w:tmpl w:val="1AC69A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2B800FFF"/>
    <w:multiLevelType w:val="hybridMultilevel"/>
    <w:tmpl w:val="A15CC720"/>
    <w:lvl w:ilvl="0" w:tplc="61AC7172">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2">
    <w:nsid w:val="2CDC4050"/>
    <w:multiLevelType w:val="hybridMultilevel"/>
    <w:tmpl w:val="1B2EF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4">
    <w:nsid w:val="35BA4EF8"/>
    <w:multiLevelType w:val="hybridMultilevel"/>
    <w:tmpl w:val="ACB2DDDA"/>
    <w:lvl w:ilvl="0" w:tplc="A94A0FE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3953606B"/>
    <w:multiLevelType w:val="hybridMultilevel"/>
    <w:tmpl w:val="843E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39CB68B0"/>
    <w:multiLevelType w:val="hybridMultilevel"/>
    <w:tmpl w:val="8FB46B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3A4778DE"/>
    <w:multiLevelType w:val="hybridMultilevel"/>
    <w:tmpl w:val="3F6C5CA4"/>
    <w:lvl w:ilvl="0" w:tplc="61AC71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497D0821"/>
    <w:multiLevelType w:val="hybridMultilevel"/>
    <w:tmpl w:val="FBB03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4B2B027D"/>
    <w:multiLevelType w:val="hybridMultilevel"/>
    <w:tmpl w:val="4C140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528451E2"/>
    <w:multiLevelType w:val="hybridMultilevel"/>
    <w:tmpl w:val="069E3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5B8C60B9"/>
    <w:multiLevelType w:val="hybridMultilevel"/>
    <w:tmpl w:val="888CFF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5E3D1925"/>
    <w:multiLevelType w:val="hybridMultilevel"/>
    <w:tmpl w:val="A1DE6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16534BA"/>
    <w:multiLevelType w:val="hybridMultilevel"/>
    <w:tmpl w:val="5FFCDE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686F4A4A"/>
    <w:multiLevelType w:val="hybridMultilevel"/>
    <w:tmpl w:val="6E7E6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6AB144DF"/>
    <w:multiLevelType w:val="hybridMultilevel"/>
    <w:tmpl w:val="C2F029A2"/>
    <w:lvl w:ilvl="0" w:tplc="61AC7172">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6B1262E3"/>
    <w:multiLevelType w:val="hybridMultilevel"/>
    <w:tmpl w:val="68B45AD4"/>
    <w:lvl w:ilvl="0" w:tplc="08090011">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nsid w:val="6B4B619B"/>
    <w:multiLevelType w:val="hybridMultilevel"/>
    <w:tmpl w:val="078A78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6B8E76DF"/>
    <w:multiLevelType w:val="hybridMultilevel"/>
    <w:tmpl w:val="852C65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nsid w:val="6D227628"/>
    <w:multiLevelType w:val="hybridMultilevel"/>
    <w:tmpl w:val="6CBA9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6E4F1415"/>
    <w:multiLevelType w:val="hybridMultilevel"/>
    <w:tmpl w:val="501A5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707878AE"/>
    <w:multiLevelType w:val="hybridMultilevel"/>
    <w:tmpl w:val="888CFF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
    <w:nsid w:val="7EFB4566"/>
    <w:multiLevelType w:val="hybridMultilevel"/>
    <w:tmpl w:val="31E6C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6"/>
  </w:num>
  <w:num w:numId="6">
    <w:abstractNumId w:val="7"/>
  </w:num>
  <w:num w:numId="7">
    <w:abstractNumId w:val="51"/>
  </w:num>
  <w:num w:numId="8">
    <w:abstractNumId w:val="19"/>
  </w:num>
  <w:num w:numId="9">
    <w:abstractNumId w:val="21"/>
  </w:num>
  <w:num w:numId="10">
    <w:abstractNumId w:val="3"/>
  </w:num>
  <w:num w:numId="11">
    <w:abstractNumId w:val="1"/>
  </w:num>
  <w:num w:numId="12">
    <w:abstractNumId w:val="16"/>
  </w:num>
  <w:num w:numId="13">
    <w:abstractNumId w:val="2"/>
  </w:num>
  <w:num w:numId="14">
    <w:abstractNumId w:val="4"/>
  </w:num>
  <w:num w:numId="15">
    <w:abstractNumId w:val="6"/>
  </w:num>
  <w:num w:numId="16">
    <w:abstractNumId w:val="27"/>
  </w:num>
  <w:num w:numId="17">
    <w:abstractNumId w:val="23"/>
  </w:num>
  <w:num w:numId="18">
    <w:abstractNumId w:val="28"/>
  </w:num>
  <w:num w:numId="19">
    <w:abstractNumId w:val="29"/>
  </w:num>
  <w:num w:numId="20">
    <w:abstractNumId w:val="17"/>
  </w:num>
  <w:num w:numId="21">
    <w:abstractNumId w:val="11"/>
  </w:num>
  <w:num w:numId="22">
    <w:abstractNumId w:val="12"/>
  </w:num>
  <w:num w:numId="23">
    <w:abstractNumId w:val="18"/>
  </w:num>
  <w:num w:numId="24">
    <w:abstractNumId w:val="20"/>
  </w:num>
  <w:num w:numId="25">
    <w:abstractNumId w:val="24"/>
  </w:num>
  <w:num w:numId="26">
    <w:abstractNumId w:val="5"/>
  </w:num>
  <w:num w:numId="27">
    <w:abstractNumId w:val="25"/>
  </w:num>
  <w:num w:numId="28">
    <w:abstractNumId w:val="13"/>
  </w:num>
  <w:num w:numId="29">
    <w:abstractNumId w:val="14"/>
  </w:num>
  <w:num w:numId="30">
    <w:abstractNumId w:val="0"/>
  </w:num>
  <w:num w:numId="31">
    <w:abstractNumId w:val="15"/>
  </w:num>
  <w:num w:numId="32">
    <w:abstractNumId w:val="22"/>
  </w:num>
  <w:num w:numId="33">
    <w:abstractNumId w:val="61"/>
  </w:num>
  <w:num w:numId="34">
    <w:abstractNumId w:val="50"/>
  </w:num>
  <w:num w:numId="35">
    <w:abstractNumId w:val="9"/>
    <w:lvlOverride w:ilvl="0">
      <w:startOverride w:val="1"/>
    </w:lvlOverride>
  </w:num>
  <w:num w:numId="36">
    <w:abstractNumId w:val="9"/>
    <w:lvlOverride w:ilvl="0">
      <w:startOverride w:val="1"/>
    </w:lvlOverride>
  </w:num>
  <w:num w:numId="37">
    <w:abstractNumId w:val="9"/>
    <w:lvlOverride w:ilvl="0">
      <w:startOverride w:val="1"/>
    </w:lvlOverride>
  </w:num>
  <w:num w:numId="38">
    <w:abstractNumId w:val="40"/>
  </w:num>
  <w:num w:numId="39">
    <w:abstractNumId w:val="9"/>
  </w:num>
  <w:num w:numId="40">
    <w:abstractNumId w:val="9"/>
    <w:lvlOverride w:ilvl="0">
      <w:startOverride w:val="1"/>
    </w:lvlOverride>
  </w:num>
  <w:num w:numId="41">
    <w:abstractNumId w:val="9"/>
  </w:num>
  <w:num w:numId="42">
    <w:abstractNumId w:val="35"/>
  </w:num>
  <w:num w:numId="43">
    <w:abstractNumId w:val="48"/>
  </w:num>
  <w:num w:numId="44">
    <w:abstractNumId w:val="38"/>
  </w:num>
  <w:num w:numId="45">
    <w:abstractNumId w:val="9"/>
    <w:lvlOverride w:ilvl="0">
      <w:startOverride w:val="1"/>
    </w:lvlOverride>
  </w:num>
  <w:num w:numId="46">
    <w:abstractNumId w:val="9"/>
  </w:num>
  <w:num w:numId="47">
    <w:abstractNumId w:val="9"/>
  </w:num>
  <w:num w:numId="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num>
  <w:num w:numId="50">
    <w:abstractNumId w:val="37"/>
  </w:num>
  <w:num w:numId="51">
    <w:abstractNumId w:val="33"/>
  </w:num>
  <w:num w:numId="52">
    <w:abstractNumId w:val="36"/>
  </w:num>
  <w:num w:numId="53">
    <w:abstractNumId w:val="49"/>
  </w:num>
  <w:num w:numId="54">
    <w:abstractNumId w:val="9"/>
  </w:num>
  <w:num w:numId="55">
    <w:abstractNumId w:val="9"/>
  </w:num>
  <w:num w:numId="56">
    <w:abstractNumId w:val="9"/>
  </w:num>
  <w:num w:numId="57">
    <w:abstractNumId w:val="57"/>
  </w:num>
  <w:num w:numId="58">
    <w:abstractNumId w:val="9"/>
  </w:num>
  <w:num w:numId="59">
    <w:abstractNumId w:val="9"/>
  </w:num>
  <w:num w:numId="60">
    <w:abstractNumId w:val="9"/>
  </w:num>
  <w:num w:numId="61">
    <w:abstractNumId w:val="56"/>
  </w:num>
  <w:num w:numId="62">
    <w:abstractNumId w:val="42"/>
  </w:num>
  <w:num w:numId="63">
    <w:abstractNumId w:val="46"/>
  </w:num>
  <w:num w:numId="64">
    <w:abstractNumId w:val="53"/>
  </w:num>
  <w:num w:numId="65">
    <w:abstractNumId w:val="34"/>
  </w:num>
  <w:num w:numId="66">
    <w:abstractNumId w:val="32"/>
  </w:num>
  <w:num w:numId="67">
    <w:abstractNumId w:val="59"/>
  </w:num>
  <w:num w:numId="68">
    <w:abstractNumId w:val="62"/>
  </w:num>
  <w:num w:numId="69">
    <w:abstractNumId w:val="60"/>
  </w:num>
  <w:num w:numId="70">
    <w:abstractNumId w:val="54"/>
  </w:num>
  <w:num w:numId="71">
    <w:abstractNumId w:val="9"/>
  </w:num>
  <w:num w:numId="72">
    <w:abstractNumId w:val="9"/>
  </w:num>
  <w:num w:numId="73">
    <w:abstractNumId w:val="58"/>
  </w:num>
  <w:num w:numId="74">
    <w:abstractNumId w:val="45"/>
  </w:num>
  <w:num w:numId="75">
    <w:abstractNumId w:val="31"/>
  </w:num>
  <w:num w:numId="76">
    <w:abstractNumId w:val="55"/>
  </w:num>
  <w:num w:numId="77">
    <w:abstractNumId w:val="47"/>
  </w:num>
  <w:num w:numId="78">
    <w:abstractNumId w:val="44"/>
  </w:num>
  <w:num w:numId="79">
    <w:abstractNumId w:val="41"/>
  </w:num>
  <w:num w:numId="80">
    <w:abstractNumId w:val="52"/>
  </w:num>
  <w:num w:numId="81">
    <w:abstractNumId w:val="3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C387DC9E0EC74B6FB494CB4E2B557676"/>
    <w:docVar w:name="LW_CROSSREFERENCE" w:val="{SWD(2016) 106 final}_x000b_{SWD(2016) 107 final}"/>
    <w:docVar w:name="LW_DocType" w:val="NORMAL"/>
    <w:docVar w:name="LW_EMISSION" w:val="19.4.2016"/>
    <w:docVar w:name="LW_EMISSION_ISODATE" w:val="2016-04-19"/>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178"/>
    <w:docVar w:name="LW_REF.INTERNE" w:val="&lt;UNUSED&gt;"/>
    <w:docVar w:name="LW_SOUS.TITRE.OBJ.CP" w:val="&lt;UNUSED&gt;"/>
    <w:docVar w:name="LW_SUPERTITRE" w:val="&lt;UNUSED&gt;"/>
    <w:docVar w:name="LW_TITRE.OBJ.CP" w:val="European Cloud Initiative - Building a competitive data and knowledge economy in Europe"/>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hAnsi="Calibri" w:cs="Times New Roman"/>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pPr>
      <w:keepNext/>
      <w:keepLines/>
      <w:numPr>
        <w:numId w:val="1"/>
      </w:numPr>
      <w:spacing w:before="200" w:line="276" w:lineRule="auto"/>
      <w:outlineLvl w:val="1"/>
    </w:pPr>
    <w:rPr>
      <w:rFonts w:asciiTheme="majorHAnsi" w:eastAsia="Times New Roman" w:hAnsiTheme="majorHAnsi"/>
      <w:b/>
      <w:bCs/>
      <w:color w:val="4F81BD"/>
      <w:sz w:val="28"/>
      <w:szCs w:val="28"/>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uiPriority w:val="34"/>
    <w:qFormat/>
    <w:pPr>
      <w:ind w:left="72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r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2Char">
    <w:name w:val="Heading 2 Char"/>
    <w:basedOn w:val="DefaultParagraphFont"/>
    <w:link w:val="Heading2"/>
    <w:uiPriority w:val="9"/>
    <w:rPr>
      <w:rFonts w:asciiTheme="majorHAnsi" w:eastAsia="Times New Roman" w:hAnsiTheme="majorHAnsi" w:cs="Times New Roman"/>
      <w:b/>
      <w:bCs/>
      <w:color w:val="4F81BD"/>
      <w:sz w:val="28"/>
      <w:szCs w:val="28"/>
    </w:rPr>
  </w:style>
  <w:style w:type="paragraph" w:styleId="TOC2">
    <w:name w:val="toc 2"/>
    <w:basedOn w:val="Normal"/>
    <w:next w:val="Normal"/>
    <w:uiPriority w:val="39"/>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
    <w:basedOn w:val="DefaultParagraphFont"/>
    <w:link w:val="FootnoteText"/>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qFormat/>
    <w:rPr>
      <w:vertAlign w:val="superscript"/>
    </w:rPr>
  </w:style>
  <w:style w:type="paragraph" w:customStyle="1" w:styleId="FootnotesymbolCarZchn">
    <w:name w:val="Footnote symbol Car Zchn"/>
    <w:basedOn w:val="Normal"/>
    <w:link w:val="FootnoteReference"/>
    <w:uiPriority w:val="99"/>
    <w:pPr>
      <w:spacing w:after="160" w:line="240" w:lineRule="exact"/>
      <w:jc w:val="both"/>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ind w:left="-850" w:right="-850"/>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jc w:val="both"/>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48"/>
      </w:numPr>
      <w:spacing w:before="120" w:after="120"/>
      <w:jc w:val="both"/>
    </w:pPr>
    <w:rPr>
      <w:rFonts w:ascii="Times New Roman" w:eastAsia="Times New Roman" w:hAnsi="Times New Roman"/>
      <w:sz w:val="24"/>
      <w:szCs w:val="24"/>
    </w:rPr>
  </w:style>
  <w:style w:type="paragraph" w:customStyle="1" w:styleId="Point1number">
    <w:name w:val="Point 1 (number)"/>
    <w:basedOn w:val="Normal"/>
    <w:pPr>
      <w:numPr>
        <w:ilvl w:val="2"/>
        <w:numId w:val="48"/>
      </w:numPr>
      <w:spacing w:before="120" w:after="120"/>
      <w:jc w:val="both"/>
    </w:pPr>
    <w:rPr>
      <w:rFonts w:ascii="Times New Roman" w:eastAsia="Times New Roman" w:hAnsi="Times New Roman"/>
      <w:sz w:val="24"/>
      <w:szCs w:val="24"/>
    </w:rPr>
  </w:style>
  <w:style w:type="paragraph" w:customStyle="1" w:styleId="Point2number">
    <w:name w:val="Point 2 (number)"/>
    <w:basedOn w:val="Normal"/>
    <w:pPr>
      <w:numPr>
        <w:ilvl w:val="4"/>
        <w:numId w:val="48"/>
      </w:numPr>
      <w:spacing w:before="120" w:after="120"/>
      <w:jc w:val="both"/>
    </w:pPr>
    <w:rPr>
      <w:rFonts w:ascii="Times New Roman" w:eastAsia="Times New Roman" w:hAnsi="Times New Roman"/>
      <w:sz w:val="24"/>
      <w:szCs w:val="24"/>
    </w:rPr>
  </w:style>
  <w:style w:type="paragraph" w:customStyle="1" w:styleId="Point3number">
    <w:name w:val="Point 3 (number)"/>
    <w:basedOn w:val="Normal"/>
    <w:pPr>
      <w:numPr>
        <w:ilvl w:val="6"/>
        <w:numId w:val="48"/>
      </w:numPr>
      <w:spacing w:before="120" w:after="120"/>
      <w:jc w:val="both"/>
    </w:pPr>
    <w:rPr>
      <w:rFonts w:ascii="Times New Roman" w:eastAsia="Times New Roman" w:hAnsi="Times New Roman"/>
      <w:sz w:val="24"/>
      <w:szCs w:val="24"/>
    </w:rPr>
  </w:style>
  <w:style w:type="paragraph" w:customStyle="1" w:styleId="Point0letter">
    <w:name w:val="Point 0 (letter)"/>
    <w:basedOn w:val="Normal"/>
    <w:pPr>
      <w:numPr>
        <w:ilvl w:val="1"/>
        <w:numId w:val="48"/>
      </w:numPr>
      <w:spacing w:before="120" w:after="120"/>
      <w:jc w:val="both"/>
    </w:pPr>
    <w:rPr>
      <w:rFonts w:ascii="Times New Roman" w:eastAsia="Times New Roman" w:hAnsi="Times New Roman"/>
      <w:sz w:val="24"/>
      <w:szCs w:val="24"/>
    </w:rPr>
  </w:style>
  <w:style w:type="paragraph" w:customStyle="1" w:styleId="Point1letter">
    <w:name w:val="Point 1 (letter)"/>
    <w:basedOn w:val="Normal"/>
    <w:pPr>
      <w:numPr>
        <w:ilvl w:val="3"/>
        <w:numId w:val="48"/>
      </w:numPr>
      <w:spacing w:before="120" w:after="120"/>
      <w:jc w:val="both"/>
    </w:pPr>
    <w:rPr>
      <w:rFonts w:ascii="Times New Roman" w:eastAsia="Times New Roman" w:hAnsi="Times New Roman"/>
      <w:sz w:val="24"/>
      <w:szCs w:val="24"/>
    </w:rPr>
  </w:style>
  <w:style w:type="paragraph" w:customStyle="1" w:styleId="Point2letter">
    <w:name w:val="Point 2 (letter)"/>
    <w:basedOn w:val="Normal"/>
    <w:pPr>
      <w:numPr>
        <w:ilvl w:val="5"/>
        <w:numId w:val="48"/>
      </w:numPr>
      <w:spacing w:before="120" w:after="120"/>
      <w:jc w:val="both"/>
    </w:pPr>
    <w:rPr>
      <w:rFonts w:ascii="Times New Roman" w:eastAsia="Times New Roman" w:hAnsi="Times New Roman"/>
      <w:sz w:val="24"/>
      <w:szCs w:val="24"/>
    </w:rPr>
  </w:style>
  <w:style w:type="paragraph" w:customStyle="1" w:styleId="Point3letter">
    <w:name w:val="Point 3 (letter)"/>
    <w:basedOn w:val="Normal"/>
    <w:pPr>
      <w:numPr>
        <w:ilvl w:val="7"/>
        <w:numId w:val="48"/>
      </w:numPr>
      <w:spacing w:before="120" w:after="120"/>
      <w:jc w:val="both"/>
    </w:pPr>
    <w:rPr>
      <w:rFonts w:ascii="Times New Roman" w:eastAsia="Times New Roman" w:hAnsi="Times New Roman"/>
      <w:sz w:val="24"/>
      <w:szCs w:val="24"/>
    </w:rPr>
  </w:style>
  <w:style w:type="paragraph" w:customStyle="1" w:styleId="Point4letter">
    <w:name w:val="Point 4 (letter)"/>
    <w:basedOn w:val="Normal"/>
    <w:pPr>
      <w:numPr>
        <w:ilvl w:val="8"/>
        <w:numId w:val="48"/>
      </w:numPr>
      <w:spacing w:before="120" w:after="120"/>
      <w:jc w:val="both"/>
    </w:pPr>
    <w:rPr>
      <w:rFonts w:ascii="Times New Roman" w:eastAsia="Times New Roman" w:hAnsi="Times New Roman"/>
      <w:sz w:val="24"/>
      <w:szCs w:val="24"/>
    </w:rPr>
  </w:style>
  <w:style w:type="paragraph" w:customStyle="1" w:styleId="Bullet0">
    <w:name w:val="Bullet 0"/>
    <w:basedOn w:val="Normal"/>
    <w:pPr>
      <w:spacing w:before="120" w:after="120"/>
      <w:jc w:val="both"/>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a3520normalp3">
    <w:name w:val="a__35__20_normal_p3"/>
    <w:basedOn w:val="Normal"/>
    <w:pPr>
      <w:spacing w:after="120"/>
      <w:ind w:right="57"/>
      <w:jc w:val="both"/>
    </w:pPr>
    <w:rPr>
      <w:rFonts w:ascii="Times New Roman" w:eastAsia="Times New Roman" w:hAnsi="Times New Roman"/>
      <w:sz w:val="24"/>
      <w:szCs w:val="24"/>
      <w:lang w:eastAsia="en-GB"/>
    </w:rPr>
  </w:style>
  <w:style w:type="paragraph" w:customStyle="1" w:styleId="atiret201p8">
    <w:name w:val="a_tiret_20_1_p8"/>
    <w:basedOn w:val="Normal"/>
    <w:pPr>
      <w:spacing w:after="40"/>
      <w:ind w:right="57"/>
      <w:jc w:val="both"/>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Pr>
      <w:rFonts w:cs="Consolas"/>
      <w:szCs w:val="21"/>
    </w:rPr>
  </w:style>
  <w:style w:type="character" w:customStyle="1" w:styleId="PlainTextChar">
    <w:name w:val="Plain Text Char"/>
    <w:basedOn w:val="DefaultParagraphFont"/>
    <w:link w:val="PlainText"/>
    <w:uiPriority w:val="99"/>
    <w:rPr>
      <w:rFonts w:ascii="Calibri" w:hAnsi="Calibri"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hAnsi="Calibri" w:cs="Times New Roman"/>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pPr>
      <w:keepNext/>
      <w:keepLines/>
      <w:numPr>
        <w:numId w:val="1"/>
      </w:numPr>
      <w:spacing w:before="200" w:line="276" w:lineRule="auto"/>
      <w:outlineLvl w:val="1"/>
    </w:pPr>
    <w:rPr>
      <w:rFonts w:asciiTheme="majorHAnsi" w:eastAsia="Times New Roman" w:hAnsiTheme="majorHAnsi"/>
      <w:b/>
      <w:bCs/>
      <w:color w:val="4F81BD"/>
      <w:sz w:val="28"/>
      <w:szCs w:val="28"/>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uiPriority w:val="34"/>
    <w:qFormat/>
    <w:pPr>
      <w:ind w:left="72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r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2Char">
    <w:name w:val="Heading 2 Char"/>
    <w:basedOn w:val="DefaultParagraphFont"/>
    <w:link w:val="Heading2"/>
    <w:uiPriority w:val="9"/>
    <w:rPr>
      <w:rFonts w:asciiTheme="majorHAnsi" w:eastAsia="Times New Roman" w:hAnsiTheme="majorHAnsi" w:cs="Times New Roman"/>
      <w:b/>
      <w:bCs/>
      <w:color w:val="4F81BD"/>
      <w:sz w:val="28"/>
      <w:szCs w:val="28"/>
    </w:rPr>
  </w:style>
  <w:style w:type="paragraph" w:styleId="TOC2">
    <w:name w:val="toc 2"/>
    <w:basedOn w:val="Normal"/>
    <w:next w:val="Normal"/>
    <w:uiPriority w:val="39"/>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
    <w:basedOn w:val="DefaultParagraphFont"/>
    <w:link w:val="FootnoteText"/>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qFormat/>
    <w:rPr>
      <w:vertAlign w:val="superscript"/>
    </w:rPr>
  </w:style>
  <w:style w:type="paragraph" w:customStyle="1" w:styleId="FootnotesymbolCarZchn">
    <w:name w:val="Footnote symbol Car Zchn"/>
    <w:basedOn w:val="Normal"/>
    <w:link w:val="FootnoteReference"/>
    <w:uiPriority w:val="99"/>
    <w:pPr>
      <w:spacing w:after="160" w:line="240" w:lineRule="exact"/>
      <w:jc w:val="both"/>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ind w:left="-850" w:right="-850"/>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jc w:val="both"/>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48"/>
      </w:numPr>
      <w:spacing w:before="120" w:after="120"/>
      <w:jc w:val="both"/>
    </w:pPr>
    <w:rPr>
      <w:rFonts w:ascii="Times New Roman" w:eastAsia="Times New Roman" w:hAnsi="Times New Roman"/>
      <w:sz w:val="24"/>
      <w:szCs w:val="24"/>
    </w:rPr>
  </w:style>
  <w:style w:type="paragraph" w:customStyle="1" w:styleId="Point1number">
    <w:name w:val="Point 1 (number)"/>
    <w:basedOn w:val="Normal"/>
    <w:pPr>
      <w:numPr>
        <w:ilvl w:val="2"/>
        <w:numId w:val="48"/>
      </w:numPr>
      <w:spacing w:before="120" w:after="120"/>
      <w:jc w:val="both"/>
    </w:pPr>
    <w:rPr>
      <w:rFonts w:ascii="Times New Roman" w:eastAsia="Times New Roman" w:hAnsi="Times New Roman"/>
      <w:sz w:val="24"/>
      <w:szCs w:val="24"/>
    </w:rPr>
  </w:style>
  <w:style w:type="paragraph" w:customStyle="1" w:styleId="Point2number">
    <w:name w:val="Point 2 (number)"/>
    <w:basedOn w:val="Normal"/>
    <w:pPr>
      <w:numPr>
        <w:ilvl w:val="4"/>
        <w:numId w:val="48"/>
      </w:numPr>
      <w:spacing w:before="120" w:after="120"/>
      <w:jc w:val="both"/>
    </w:pPr>
    <w:rPr>
      <w:rFonts w:ascii="Times New Roman" w:eastAsia="Times New Roman" w:hAnsi="Times New Roman"/>
      <w:sz w:val="24"/>
      <w:szCs w:val="24"/>
    </w:rPr>
  </w:style>
  <w:style w:type="paragraph" w:customStyle="1" w:styleId="Point3number">
    <w:name w:val="Point 3 (number)"/>
    <w:basedOn w:val="Normal"/>
    <w:pPr>
      <w:numPr>
        <w:ilvl w:val="6"/>
        <w:numId w:val="48"/>
      </w:numPr>
      <w:spacing w:before="120" w:after="120"/>
      <w:jc w:val="both"/>
    </w:pPr>
    <w:rPr>
      <w:rFonts w:ascii="Times New Roman" w:eastAsia="Times New Roman" w:hAnsi="Times New Roman"/>
      <w:sz w:val="24"/>
      <w:szCs w:val="24"/>
    </w:rPr>
  </w:style>
  <w:style w:type="paragraph" w:customStyle="1" w:styleId="Point0letter">
    <w:name w:val="Point 0 (letter)"/>
    <w:basedOn w:val="Normal"/>
    <w:pPr>
      <w:numPr>
        <w:ilvl w:val="1"/>
        <w:numId w:val="48"/>
      </w:numPr>
      <w:spacing w:before="120" w:after="120"/>
      <w:jc w:val="both"/>
    </w:pPr>
    <w:rPr>
      <w:rFonts w:ascii="Times New Roman" w:eastAsia="Times New Roman" w:hAnsi="Times New Roman"/>
      <w:sz w:val="24"/>
      <w:szCs w:val="24"/>
    </w:rPr>
  </w:style>
  <w:style w:type="paragraph" w:customStyle="1" w:styleId="Point1letter">
    <w:name w:val="Point 1 (letter)"/>
    <w:basedOn w:val="Normal"/>
    <w:pPr>
      <w:numPr>
        <w:ilvl w:val="3"/>
        <w:numId w:val="48"/>
      </w:numPr>
      <w:spacing w:before="120" w:after="120"/>
      <w:jc w:val="both"/>
    </w:pPr>
    <w:rPr>
      <w:rFonts w:ascii="Times New Roman" w:eastAsia="Times New Roman" w:hAnsi="Times New Roman"/>
      <w:sz w:val="24"/>
      <w:szCs w:val="24"/>
    </w:rPr>
  </w:style>
  <w:style w:type="paragraph" w:customStyle="1" w:styleId="Point2letter">
    <w:name w:val="Point 2 (letter)"/>
    <w:basedOn w:val="Normal"/>
    <w:pPr>
      <w:numPr>
        <w:ilvl w:val="5"/>
        <w:numId w:val="48"/>
      </w:numPr>
      <w:spacing w:before="120" w:after="120"/>
      <w:jc w:val="both"/>
    </w:pPr>
    <w:rPr>
      <w:rFonts w:ascii="Times New Roman" w:eastAsia="Times New Roman" w:hAnsi="Times New Roman"/>
      <w:sz w:val="24"/>
      <w:szCs w:val="24"/>
    </w:rPr>
  </w:style>
  <w:style w:type="paragraph" w:customStyle="1" w:styleId="Point3letter">
    <w:name w:val="Point 3 (letter)"/>
    <w:basedOn w:val="Normal"/>
    <w:pPr>
      <w:numPr>
        <w:ilvl w:val="7"/>
        <w:numId w:val="48"/>
      </w:numPr>
      <w:spacing w:before="120" w:after="120"/>
      <w:jc w:val="both"/>
    </w:pPr>
    <w:rPr>
      <w:rFonts w:ascii="Times New Roman" w:eastAsia="Times New Roman" w:hAnsi="Times New Roman"/>
      <w:sz w:val="24"/>
      <w:szCs w:val="24"/>
    </w:rPr>
  </w:style>
  <w:style w:type="paragraph" w:customStyle="1" w:styleId="Point4letter">
    <w:name w:val="Point 4 (letter)"/>
    <w:basedOn w:val="Normal"/>
    <w:pPr>
      <w:numPr>
        <w:ilvl w:val="8"/>
        <w:numId w:val="48"/>
      </w:numPr>
      <w:spacing w:before="120" w:after="120"/>
      <w:jc w:val="both"/>
    </w:pPr>
    <w:rPr>
      <w:rFonts w:ascii="Times New Roman" w:eastAsia="Times New Roman" w:hAnsi="Times New Roman"/>
      <w:sz w:val="24"/>
      <w:szCs w:val="24"/>
    </w:rPr>
  </w:style>
  <w:style w:type="paragraph" w:customStyle="1" w:styleId="Bullet0">
    <w:name w:val="Bullet 0"/>
    <w:basedOn w:val="Normal"/>
    <w:pPr>
      <w:spacing w:before="120" w:after="120"/>
      <w:jc w:val="both"/>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a3520normalp3">
    <w:name w:val="a__35__20_normal_p3"/>
    <w:basedOn w:val="Normal"/>
    <w:pPr>
      <w:spacing w:after="120"/>
      <w:ind w:right="57"/>
      <w:jc w:val="both"/>
    </w:pPr>
    <w:rPr>
      <w:rFonts w:ascii="Times New Roman" w:eastAsia="Times New Roman" w:hAnsi="Times New Roman"/>
      <w:sz w:val="24"/>
      <w:szCs w:val="24"/>
      <w:lang w:eastAsia="en-GB"/>
    </w:rPr>
  </w:style>
  <w:style w:type="paragraph" w:customStyle="1" w:styleId="atiret201p8">
    <w:name w:val="a_tiret_20_1_p8"/>
    <w:basedOn w:val="Normal"/>
    <w:pPr>
      <w:spacing w:after="40"/>
      <w:ind w:right="57"/>
      <w:jc w:val="both"/>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Pr>
      <w:rFonts w:cs="Consolas"/>
      <w:szCs w:val="21"/>
    </w:rPr>
  </w:style>
  <w:style w:type="character" w:customStyle="1" w:styleId="PlainTextChar">
    <w:name w:val="Plain Text Char"/>
    <w:basedOn w:val="DefaultParagraphFont"/>
    <w:link w:val="PlainText"/>
    <w:uiPriority w:val="99"/>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4400">
      <w:bodyDiv w:val="1"/>
      <w:marLeft w:val="0"/>
      <w:marRight w:val="0"/>
      <w:marTop w:val="0"/>
      <w:marBottom w:val="0"/>
      <w:divBdr>
        <w:top w:val="none" w:sz="0" w:space="0" w:color="auto"/>
        <w:left w:val="none" w:sz="0" w:space="0" w:color="auto"/>
        <w:bottom w:val="none" w:sz="0" w:space="0" w:color="auto"/>
        <w:right w:val="none" w:sz="0" w:space="0" w:color="auto"/>
      </w:divBdr>
    </w:div>
    <w:div w:id="38633166">
      <w:bodyDiv w:val="1"/>
      <w:marLeft w:val="0"/>
      <w:marRight w:val="0"/>
      <w:marTop w:val="0"/>
      <w:marBottom w:val="0"/>
      <w:divBdr>
        <w:top w:val="none" w:sz="0" w:space="0" w:color="auto"/>
        <w:left w:val="none" w:sz="0" w:space="0" w:color="auto"/>
        <w:bottom w:val="none" w:sz="0" w:space="0" w:color="auto"/>
        <w:right w:val="none" w:sz="0" w:space="0" w:color="auto"/>
      </w:divBdr>
    </w:div>
    <w:div w:id="210272050">
      <w:bodyDiv w:val="1"/>
      <w:marLeft w:val="0"/>
      <w:marRight w:val="0"/>
      <w:marTop w:val="0"/>
      <w:marBottom w:val="0"/>
      <w:divBdr>
        <w:top w:val="none" w:sz="0" w:space="0" w:color="auto"/>
        <w:left w:val="none" w:sz="0" w:space="0" w:color="auto"/>
        <w:bottom w:val="none" w:sz="0" w:space="0" w:color="auto"/>
        <w:right w:val="none" w:sz="0" w:space="0" w:color="auto"/>
      </w:divBdr>
    </w:div>
    <w:div w:id="262998522">
      <w:bodyDiv w:val="1"/>
      <w:marLeft w:val="0"/>
      <w:marRight w:val="0"/>
      <w:marTop w:val="0"/>
      <w:marBottom w:val="0"/>
      <w:divBdr>
        <w:top w:val="none" w:sz="0" w:space="0" w:color="auto"/>
        <w:left w:val="none" w:sz="0" w:space="0" w:color="auto"/>
        <w:bottom w:val="none" w:sz="0" w:space="0" w:color="auto"/>
        <w:right w:val="none" w:sz="0" w:space="0" w:color="auto"/>
      </w:divBdr>
      <w:divsChild>
        <w:div w:id="652639795">
          <w:marLeft w:val="0"/>
          <w:marRight w:val="0"/>
          <w:marTop w:val="0"/>
          <w:marBottom w:val="0"/>
          <w:divBdr>
            <w:top w:val="none" w:sz="0" w:space="0" w:color="auto"/>
            <w:left w:val="none" w:sz="0" w:space="0" w:color="auto"/>
            <w:bottom w:val="none" w:sz="0" w:space="0" w:color="auto"/>
            <w:right w:val="none" w:sz="0" w:space="0" w:color="auto"/>
          </w:divBdr>
          <w:divsChild>
            <w:div w:id="1011568249">
              <w:marLeft w:val="0"/>
              <w:marRight w:val="0"/>
              <w:marTop w:val="0"/>
              <w:marBottom w:val="0"/>
              <w:divBdr>
                <w:top w:val="none" w:sz="0" w:space="0" w:color="auto"/>
                <w:left w:val="none" w:sz="0" w:space="0" w:color="auto"/>
                <w:bottom w:val="none" w:sz="0" w:space="0" w:color="auto"/>
                <w:right w:val="none" w:sz="0" w:space="0" w:color="auto"/>
              </w:divBdr>
              <w:divsChild>
                <w:div w:id="1827937921">
                  <w:marLeft w:val="0"/>
                  <w:marRight w:val="0"/>
                  <w:marTop w:val="0"/>
                  <w:marBottom w:val="0"/>
                  <w:divBdr>
                    <w:top w:val="none" w:sz="0" w:space="0" w:color="auto"/>
                    <w:left w:val="none" w:sz="0" w:space="0" w:color="auto"/>
                    <w:bottom w:val="none" w:sz="0" w:space="0" w:color="auto"/>
                    <w:right w:val="none" w:sz="0" w:space="0" w:color="auto"/>
                  </w:divBdr>
                  <w:divsChild>
                    <w:div w:id="749035820">
                      <w:marLeft w:val="0"/>
                      <w:marRight w:val="0"/>
                      <w:marTop w:val="150"/>
                      <w:marBottom w:val="300"/>
                      <w:divBdr>
                        <w:top w:val="none" w:sz="0" w:space="0" w:color="auto"/>
                        <w:left w:val="none" w:sz="0" w:space="0" w:color="auto"/>
                        <w:bottom w:val="none" w:sz="0" w:space="0" w:color="auto"/>
                        <w:right w:val="none" w:sz="0" w:space="0" w:color="auto"/>
                      </w:divBdr>
                      <w:divsChild>
                        <w:div w:id="124735668">
                          <w:marLeft w:val="0"/>
                          <w:marRight w:val="0"/>
                          <w:marTop w:val="0"/>
                          <w:marBottom w:val="0"/>
                          <w:divBdr>
                            <w:top w:val="none" w:sz="0" w:space="0" w:color="auto"/>
                            <w:left w:val="none" w:sz="0" w:space="0" w:color="auto"/>
                            <w:bottom w:val="none" w:sz="0" w:space="0" w:color="auto"/>
                            <w:right w:val="none" w:sz="0" w:space="0" w:color="auto"/>
                          </w:divBdr>
                          <w:divsChild>
                            <w:div w:id="1554997775">
                              <w:marLeft w:val="0"/>
                              <w:marRight w:val="0"/>
                              <w:marTop w:val="0"/>
                              <w:marBottom w:val="0"/>
                              <w:divBdr>
                                <w:top w:val="none" w:sz="0" w:space="0" w:color="auto"/>
                                <w:left w:val="none" w:sz="0" w:space="0" w:color="auto"/>
                                <w:bottom w:val="none" w:sz="0" w:space="0" w:color="auto"/>
                                <w:right w:val="none" w:sz="0" w:space="0" w:color="auto"/>
                              </w:divBdr>
                              <w:divsChild>
                                <w:div w:id="1102455686">
                                  <w:marLeft w:val="0"/>
                                  <w:marRight w:val="0"/>
                                  <w:marTop w:val="0"/>
                                  <w:marBottom w:val="0"/>
                                  <w:divBdr>
                                    <w:top w:val="none" w:sz="0" w:space="0" w:color="auto"/>
                                    <w:left w:val="none" w:sz="0" w:space="0" w:color="auto"/>
                                    <w:bottom w:val="none" w:sz="0" w:space="0" w:color="auto"/>
                                    <w:right w:val="none" w:sz="0" w:space="0" w:color="auto"/>
                                  </w:divBdr>
                                  <w:divsChild>
                                    <w:div w:id="1530949361">
                                      <w:marLeft w:val="0"/>
                                      <w:marRight w:val="0"/>
                                      <w:marTop w:val="0"/>
                                      <w:marBottom w:val="0"/>
                                      <w:divBdr>
                                        <w:top w:val="none" w:sz="0" w:space="0" w:color="auto"/>
                                        <w:left w:val="none" w:sz="0" w:space="0" w:color="auto"/>
                                        <w:bottom w:val="none" w:sz="0" w:space="0" w:color="auto"/>
                                        <w:right w:val="none" w:sz="0" w:space="0" w:color="auto"/>
                                      </w:divBdr>
                                      <w:divsChild>
                                        <w:div w:id="554314831">
                                          <w:marLeft w:val="0"/>
                                          <w:marRight w:val="0"/>
                                          <w:marTop w:val="0"/>
                                          <w:marBottom w:val="0"/>
                                          <w:divBdr>
                                            <w:top w:val="none" w:sz="0" w:space="0" w:color="auto"/>
                                            <w:left w:val="none" w:sz="0" w:space="0" w:color="auto"/>
                                            <w:bottom w:val="none" w:sz="0" w:space="0" w:color="auto"/>
                                            <w:right w:val="none" w:sz="0" w:space="0" w:color="auto"/>
                                          </w:divBdr>
                                          <w:divsChild>
                                            <w:div w:id="394593151">
                                              <w:marLeft w:val="0"/>
                                              <w:marRight w:val="0"/>
                                              <w:marTop w:val="0"/>
                                              <w:marBottom w:val="0"/>
                                              <w:divBdr>
                                                <w:top w:val="none" w:sz="0" w:space="0" w:color="auto"/>
                                                <w:left w:val="none" w:sz="0" w:space="0" w:color="auto"/>
                                                <w:bottom w:val="none" w:sz="0" w:space="0" w:color="auto"/>
                                                <w:right w:val="none" w:sz="0" w:space="0" w:color="auto"/>
                                              </w:divBdr>
                                              <w:divsChild>
                                                <w:div w:id="161548376">
                                                  <w:marLeft w:val="0"/>
                                                  <w:marRight w:val="0"/>
                                                  <w:marTop w:val="0"/>
                                                  <w:marBottom w:val="0"/>
                                                  <w:divBdr>
                                                    <w:top w:val="none" w:sz="0" w:space="0" w:color="auto"/>
                                                    <w:left w:val="none" w:sz="0" w:space="0" w:color="auto"/>
                                                    <w:bottom w:val="none" w:sz="0" w:space="0" w:color="auto"/>
                                                    <w:right w:val="none" w:sz="0" w:space="0" w:color="auto"/>
                                                  </w:divBdr>
                                                  <w:divsChild>
                                                    <w:div w:id="14038620">
                                                      <w:marLeft w:val="0"/>
                                                      <w:marRight w:val="0"/>
                                                      <w:marTop w:val="0"/>
                                                      <w:marBottom w:val="0"/>
                                                      <w:divBdr>
                                                        <w:top w:val="none" w:sz="0" w:space="0" w:color="auto"/>
                                                        <w:left w:val="none" w:sz="0" w:space="0" w:color="auto"/>
                                                        <w:bottom w:val="none" w:sz="0" w:space="0" w:color="auto"/>
                                                        <w:right w:val="none" w:sz="0" w:space="0" w:color="auto"/>
                                                      </w:divBdr>
                                                      <w:divsChild>
                                                        <w:div w:id="2101295428">
                                                          <w:marLeft w:val="0"/>
                                                          <w:marRight w:val="0"/>
                                                          <w:marTop w:val="0"/>
                                                          <w:marBottom w:val="0"/>
                                                          <w:divBdr>
                                                            <w:top w:val="none" w:sz="0" w:space="0" w:color="auto"/>
                                                            <w:left w:val="none" w:sz="0" w:space="0" w:color="auto"/>
                                                            <w:bottom w:val="none" w:sz="0" w:space="0" w:color="auto"/>
                                                            <w:right w:val="none" w:sz="0" w:space="0" w:color="auto"/>
                                                          </w:divBdr>
                                                          <w:divsChild>
                                                            <w:div w:id="78145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4790373">
      <w:bodyDiv w:val="1"/>
      <w:marLeft w:val="0"/>
      <w:marRight w:val="0"/>
      <w:marTop w:val="0"/>
      <w:marBottom w:val="0"/>
      <w:divBdr>
        <w:top w:val="none" w:sz="0" w:space="0" w:color="auto"/>
        <w:left w:val="none" w:sz="0" w:space="0" w:color="auto"/>
        <w:bottom w:val="none" w:sz="0" w:space="0" w:color="auto"/>
        <w:right w:val="none" w:sz="0" w:space="0" w:color="auto"/>
      </w:divBdr>
    </w:div>
    <w:div w:id="861357001">
      <w:bodyDiv w:val="1"/>
      <w:marLeft w:val="0"/>
      <w:marRight w:val="0"/>
      <w:marTop w:val="0"/>
      <w:marBottom w:val="0"/>
      <w:divBdr>
        <w:top w:val="none" w:sz="0" w:space="0" w:color="auto"/>
        <w:left w:val="none" w:sz="0" w:space="0" w:color="auto"/>
        <w:bottom w:val="none" w:sz="0" w:space="0" w:color="auto"/>
        <w:right w:val="none" w:sz="0" w:space="0" w:color="auto"/>
      </w:divBdr>
    </w:div>
    <w:div w:id="872158644">
      <w:bodyDiv w:val="1"/>
      <w:marLeft w:val="0"/>
      <w:marRight w:val="0"/>
      <w:marTop w:val="0"/>
      <w:marBottom w:val="0"/>
      <w:divBdr>
        <w:top w:val="none" w:sz="0" w:space="0" w:color="auto"/>
        <w:left w:val="none" w:sz="0" w:space="0" w:color="auto"/>
        <w:bottom w:val="none" w:sz="0" w:space="0" w:color="auto"/>
        <w:right w:val="none" w:sz="0" w:space="0" w:color="auto"/>
      </w:divBdr>
    </w:div>
    <w:div w:id="881819374">
      <w:bodyDiv w:val="1"/>
      <w:marLeft w:val="0"/>
      <w:marRight w:val="0"/>
      <w:marTop w:val="0"/>
      <w:marBottom w:val="0"/>
      <w:divBdr>
        <w:top w:val="none" w:sz="0" w:space="0" w:color="auto"/>
        <w:left w:val="none" w:sz="0" w:space="0" w:color="auto"/>
        <w:bottom w:val="none" w:sz="0" w:space="0" w:color="auto"/>
        <w:right w:val="none" w:sz="0" w:space="0" w:color="auto"/>
      </w:divBdr>
    </w:div>
    <w:div w:id="915242221">
      <w:bodyDiv w:val="1"/>
      <w:marLeft w:val="0"/>
      <w:marRight w:val="0"/>
      <w:marTop w:val="0"/>
      <w:marBottom w:val="0"/>
      <w:divBdr>
        <w:top w:val="none" w:sz="0" w:space="0" w:color="auto"/>
        <w:left w:val="none" w:sz="0" w:space="0" w:color="auto"/>
        <w:bottom w:val="none" w:sz="0" w:space="0" w:color="auto"/>
        <w:right w:val="none" w:sz="0" w:space="0" w:color="auto"/>
      </w:divBdr>
    </w:div>
    <w:div w:id="1022053489">
      <w:bodyDiv w:val="1"/>
      <w:marLeft w:val="0"/>
      <w:marRight w:val="0"/>
      <w:marTop w:val="0"/>
      <w:marBottom w:val="0"/>
      <w:divBdr>
        <w:top w:val="none" w:sz="0" w:space="0" w:color="auto"/>
        <w:left w:val="none" w:sz="0" w:space="0" w:color="auto"/>
        <w:bottom w:val="none" w:sz="0" w:space="0" w:color="auto"/>
        <w:right w:val="none" w:sz="0" w:space="0" w:color="auto"/>
      </w:divBdr>
    </w:div>
    <w:div w:id="1063799540">
      <w:bodyDiv w:val="1"/>
      <w:marLeft w:val="0"/>
      <w:marRight w:val="0"/>
      <w:marTop w:val="0"/>
      <w:marBottom w:val="0"/>
      <w:divBdr>
        <w:top w:val="none" w:sz="0" w:space="0" w:color="auto"/>
        <w:left w:val="none" w:sz="0" w:space="0" w:color="auto"/>
        <w:bottom w:val="none" w:sz="0" w:space="0" w:color="auto"/>
        <w:right w:val="none" w:sz="0" w:space="0" w:color="auto"/>
      </w:divBdr>
    </w:div>
    <w:div w:id="1187059832">
      <w:bodyDiv w:val="1"/>
      <w:marLeft w:val="0"/>
      <w:marRight w:val="0"/>
      <w:marTop w:val="0"/>
      <w:marBottom w:val="0"/>
      <w:divBdr>
        <w:top w:val="none" w:sz="0" w:space="0" w:color="auto"/>
        <w:left w:val="none" w:sz="0" w:space="0" w:color="auto"/>
        <w:bottom w:val="none" w:sz="0" w:space="0" w:color="auto"/>
        <w:right w:val="none" w:sz="0" w:space="0" w:color="auto"/>
      </w:divBdr>
    </w:div>
    <w:div w:id="1235703527">
      <w:bodyDiv w:val="1"/>
      <w:marLeft w:val="0"/>
      <w:marRight w:val="0"/>
      <w:marTop w:val="0"/>
      <w:marBottom w:val="0"/>
      <w:divBdr>
        <w:top w:val="none" w:sz="0" w:space="0" w:color="auto"/>
        <w:left w:val="none" w:sz="0" w:space="0" w:color="auto"/>
        <w:bottom w:val="none" w:sz="0" w:space="0" w:color="auto"/>
        <w:right w:val="none" w:sz="0" w:space="0" w:color="auto"/>
      </w:divBdr>
    </w:div>
    <w:div w:id="1600260783">
      <w:bodyDiv w:val="1"/>
      <w:marLeft w:val="0"/>
      <w:marRight w:val="0"/>
      <w:marTop w:val="0"/>
      <w:marBottom w:val="0"/>
      <w:divBdr>
        <w:top w:val="none" w:sz="0" w:space="0" w:color="auto"/>
        <w:left w:val="none" w:sz="0" w:space="0" w:color="auto"/>
        <w:bottom w:val="none" w:sz="0" w:space="0" w:color="auto"/>
        <w:right w:val="none" w:sz="0" w:space="0" w:color="auto"/>
      </w:divBdr>
    </w:div>
    <w:div w:id="1663508111">
      <w:bodyDiv w:val="1"/>
      <w:marLeft w:val="0"/>
      <w:marRight w:val="0"/>
      <w:marTop w:val="0"/>
      <w:marBottom w:val="0"/>
      <w:divBdr>
        <w:top w:val="none" w:sz="0" w:space="0" w:color="auto"/>
        <w:left w:val="none" w:sz="0" w:space="0" w:color="auto"/>
        <w:bottom w:val="none" w:sz="0" w:space="0" w:color="auto"/>
        <w:right w:val="none" w:sz="0" w:space="0" w:color="auto"/>
      </w:divBdr>
    </w:div>
    <w:div w:id="1788966373">
      <w:bodyDiv w:val="1"/>
      <w:marLeft w:val="0"/>
      <w:marRight w:val="0"/>
      <w:marTop w:val="0"/>
      <w:marBottom w:val="0"/>
      <w:divBdr>
        <w:top w:val="none" w:sz="0" w:space="0" w:color="auto"/>
        <w:left w:val="none" w:sz="0" w:space="0" w:color="auto"/>
        <w:bottom w:val="none" w:sz="0" w:space="0" w:color="auto"/>
        <w:right w:val="none" w:sz="0" w:space="0" w:color="auto"/>
      </w:divBdr>
    </w:div>
    <w:div w:id="1889680872">
      <w:bodyDiv w:val="1"/>
      <w:marLeft w:val="0"/>
      <w:marRight w:val="0"/>
      <w:marTop w:val="0"/>
      <w:marBottom w:val="0"/>
      <w:divBdr>
        <w:top w:val="none" w:sz="0" w:space="0" w:color="auto"/>
        <w:left w:val="none" w:sz="0" w:space="0" w:color="auto"/>
        <w:bottom w:val="none" w:sz="0" w:space="0" w:color="auto"/>
        <w:right w:val="none" w:sz="0" w:space="0" w:color="auto"/>
      </w:divBdr>
    </w:div>
    <w:div w:id="1945723520">
      <w:bodyDiv w:val="1"/>
      <w:marLeft w:val="0"/>
      <w:marRight w:val="0"/>
      <w:marTop w:val="0"/>
      <w:marBottom w:val="0"/>
      <w:divBdr>
        <w:top w:val="none" w:sz="0" w:space="0" w:color="auto"/>
        <w:left w:val="none" w:sz="0" w:space="0" w:color="auto"/>
        <w:bottom w:val="none" w:sz="0" w:space="0" w:color="auto"/>
        <w:right w:val="none" w:sz="0" w:space="0" w:color="auto"/>
      </w:divBdr>
    </w:div>
    <w:div w:id="1981226709">
      <w:bodyDiv w:val="1"/>
      <w:marLeft w:val="0"/>
      <w:marRight w:val="0"/>
      <w:marTop w:val="0"/>
      <w:marBottom w:val="0"/>
      <w:divBdr>
        <w:top w:val="none" w:sz="0" w:space="0" w:color="auto"/>
        <w:left w:val="none" w:sz="0" w:space="0" w:color="auto"/>
        <w:bottom w:val="none" w:sz="0" w:space="0" w:color="auto"/>
        <w:right w:val="none" w:sz="0" w:space="0" w:color="auto"/>
      </w:divBdr>
    </w:div>
    <w:div w:id="21155172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rd-alliance.org/data-harvest-report-sharing-data-knowledge-jobs-and-growth.html"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digital-single-market/fourth-industrial-revolution"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europa.eu/rapid/press-release_IP-14-673_en.htm" TargetMode="Externa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s://ec.europa.eu/digital-single-market/news/final-report-science-20-public-consultation"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oecd.org/sti/daejeon-declaration-2015.htm" TargetMode="Externa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bit.ly/1XEeaTN" TargetMode="External"/><Relationship Id="rId1" Type="http://schemas.openxmlformats.org/officeDocument/2006/relationships/hyperlink" Target="http://data.consilium.europa.eu/doc/document/ST-8993-2015-IN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20E5476FAC51741A1F5BC0165845EC3" ma:contentTypeVersion="5" ma:contentTypeDescription="Create a new document." ma:contentTypeScope="" ma:versionID="208fc6e14f3027d677af42dfa873c364">
  <xsd:schema xmlns:xsd="http://www.w3.org/2001/XMLSchema" xmlns:xs="http://www.w3.org/2001/XMLSchema" xmlns:p="http://schemas.microsoft.com/office/2006/metadata/properties" xmlns:ns3="6c0a7cf1-69ef-4cdd-8eb7-11759c7884ff" xmlns:ns4="93bbd658-8f79-4973-8fca-5728f05d054b" targetNamespace="http://schemas.microsoft.com/office/2006/metadata/properties" ma:root="true" ma:fieldsID="215b981fb90ea46784358da5893241a2" ns3:_="" ns4:_="">
    <xsd:import namespace="6c0a7cf1-69ef-4cdd-8eb7-11759c7884ff"/>
    <xsd:import namespace="93bbd658-8f79-4973-8fca-5728f05d054b"/>
    <xsd:element name="properties">
      <xsd:complexType>
        <xsd:sequence>
          <xsd:element name="documentManagement">
            <xsd:complexType>
              <xsd:all>
                <xsd:element ref="ns3:EC_Collab_Reference" minOccurs="0"/>
                <xsd:element ref="ns3:EC_Collab_DocumentLanguage"/>
                <xsd:element ref="ns4:Sort_x0020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a7cf1-69ef-4cdd-8eb7-11759c7884f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93bbd658-8f79-4973-8fca-5728f05d054b" elementFormDefault="qualified">
    <xsd:import namespace="http://schemas.microsoft.com/office/2006/documentManagement/types"/>
    <xsd:import namespace="http://schemas.microsoft.com/office/infopath/2007/PartnerControls"/>
    <xsd:element name="Sort_x0020_Order" ma:index="14" nillable="true" ma:displayName="Sort Order" ma:description="Sort Order" ma:internalName="Sort_x0020_Ord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6c0a7cf1-69ef-4cdd-8eb7-11759c7884ff">EN</EC_Collab_DocumentLanguage>
    <EC_Collab_Reference xmlns="6c0a7cf1-69ef-4cdd-8eb7-11759c7884ff" xsi:nil="true"/>
    <Sort_x0020_Order xmlns="93bbd658-8f79-4973-8fca-5728f05d054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AE97A-6726-47F8-9492-06A961136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a7cf1-69ef-4cdd-8eb7-11759c7884ff"/>
    <ds:schemaRef ds:uri="93bbd658-8f79-4973-8fca-5728f05d0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552368-7F70-4174-AE14-70D7385FA0DE}">
  <ds:schemaRefs>
    <ds:schemaRef ds:uri="http://schemas.microsoft.com/office/2006/metadata/properties"/>
    <ds:schemaRef ds:uri="http://schemas.microsoft.com/office/infopath/2007/PartnerControls"/>
    <ds:schemaRef ds:uri="6c0a7cf1-69ef-4cdd-8eb7-11759c7884ff"/>
    <ds:schemaRef ds:uri="93bbd658-8f79-4973-8fca-5728f05d054b"/>
  </ds:schemaRefs>
</ds:datastoreItem>
</file>

<file path=customXml/itemProps3.xml><?xml version="1.0" encoding="utf-8"?>
<ds:datastoreItem xmlns:ds="http://schemas.openxmlformats.org/officeDocument/2006/customXml" ds:itemID="{73819B5D-7E80-44DB-A395-9A68A1C9A9F5}">
  <ds:schemaRefs>
    <ds:schemaRef ds:uri="http://schemas.microsoft.com/sharepoint/v3/contenttype/forms"/>
  </ds:schemaRefs>
</ds:datastoreItem>
</file>

<file path=customXml/itemProps4.xml><?xml version="1.0" encoding="utf-8"?>
<ds:datastoreItem xmlns:ds="http://schemas.openxmlformats.org/officeDocument/2006/customXml" ds:itemID="{796CBF93-593B-47F8-91D2-397CBC0F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4874</Words>
  <Characters>27880</Characters>
  <Application>Microsoft Office Word</Application>
  <DocSecurity>0</DocSecurity>
  <Lines>457</Lines>
  <Paragraphs>132</Paragraphs>
  <ScaleCrop>false</ScaleCrop>
  <HeadingPairs>
    <vt:vector size="2" baseType="variant">
      <vt:variant>
        <vt:lpstr>Title</vt:lpstr>
      </vt:variant>
      <vt:variant>
        <vt:i4>1</vt:i4>
      </vt:variant>
    </vt:vector>
  </HeadingPairs>
  <TitlesOfParts>
    <vt:vector size="1" baseType="lpstr">
      <vt:lpstr>EU Cloud post ISC</vt:lpstr>
    </vt:vector>
  </TitlesOfParts>
  <Manager/>
  <Company/>
  <LinksUpToDate>false</LinksUpToDate>
  <CharactersWithSpaces>32622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Cloud post ISC</dc:title>
  <dc:creator/>
  <cp:lastModifiedBy/>
  <cp:revision>1</cp:revision>
  <dcterms:created xsi:type="dcterms:W3CDTF">2016-04-18T09:58:00Z</dcterms:created>
  <dcterms:modified xsi:type="dcterms:W3CDTF">2016-04-18T14:16:00Z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ContentTypeId">
    <vt:lpwstr>0x01010400A361D9231F476D4DB24C588A41746E15</vt:lpwstr>
  </property>
</Properties>
</file>