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FD5" w:rsidRDefault="005F12DE">
      <w:pPr>
        <w:pStyle w:val="Pagedecouverture"/>
        <w:rPr>
          <w:noProof/>
        </w:rPr>
      </w:pPr>
      <w:bookmarkStart w:id="0" w:name="LW_BM_COVERPAGE"/>
      <w:bookmarkStart w:id="1" w:name="_Toc433704772"/>
      <w:bookmarkStart w:id="2" w:name="_Toc431918262"/>
      <w:bookmarkStart w:id="3" w:name="_GoBack"/>
      <w:bookmarkEnd w:id="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BBDAFCC4AC340EA92F63566F2072ADD" style="width:450pt;height:361.5pt">
            <v:imagedata r:id="rId12" o:title=""/>
          </v:shape>
        </w:pict>
      </w:r>
    </w:p>
    <w:bookmarkEnd w:id="0"/>
    <w:p w:rsidR="005B5FD5" w:rsidRDefault="005B5FD5">
      <w:pPr>
        <w:rPr>
          <w:noProof/>
        </w:rPr>
        <w:sectPr w:rsidR="005B5FD5">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bookmarkEnd w:id="1"/>
    <w:bookmarkEnd w:id="2"/>
    <w:p w:rsidR="005B5FD5" w:rsidRDefault="005F12DE">
      <w:pPr>
        <w:pStyle w:val="Heading1"/>
        <w:spacing w:after="240"/>
        <w:rPr>
          <w:rFonts w:ascii="Times New Roman" w:hAnsi="Times New Roman" w:cs="Times New Roman"/>
          <w:noProof/>
          <w:color w:val="auto"/>
          <w:lang w:val="fr-BE"/>
        </w:rPr>
      </w:pPr>
      <w:r>
        <w:rPr>
          <w:rFonts w:ascii="Times New Roman" w:hAnsi="Times New Roman"/>
          <w:noProof/>
          <w:color w:val="auto"/>
          <w:lang w:val="fr-BE"/>
        </w:rPr>
        <w:lastRenderedPageBreak/>
        <w:t xml:space="preserve">Introduction </w:t>
      </w:r>
    </w:p>
    <w:p w:rsidR="005B5FD5" w:rsidRDefault="005F12DE">
      <w:pPr>
        <w:widowControl w:val="0"/>
        <w:spacing w:after="120"/>
        <w:jc w:val="both"/>
        <w:rPr>
          <w:rFonts w:ascii="Times New Roman" w:hAnsi="Times New Roman"/>
          <w:noProof/>
          <w:sz w:val="24"/>
          <w:szCs w:val="24"/>
          <w:lang w:val="fr-BE"/>
        </w:rPr>
      </w:pPr>
      <w:r>
        <w:rPr>
          <w:rFonts w:ascii="Times New Roman" w:hAnsi="Times New Roman"/>
          <w:noProof/>
          <w:sz w:val="24"/>
          <w:lang w:val="fr-BE"/>
        </w:rPr>
        <w:t xml:space="preserve">On assiste aujourd'hui à une augmentation spectaculaire de la quantité et de la </w:t>
      </w:r>
      <w:r>
        <w:rPr>
          <w:rFonts w:ascii="Times New Roman" w:hAnsi="Times New Roman"/>
          <w:noProof/>
          <w:sz w:val="24"/>
          <w:lang w:val="fr-BE"/>
        </w:rPr>
        <w:t>diversité de données produites. Parallèlement aux données créées par des milliards de personnes utilisant des appareils et services numériques à des fins privées et professionnelles, et aux données générées par les objets connectés, de plus en plus nombreu</w:t>
      </w:r>
      <w:r>
        <w:rPr>
          <w:rFonts w:ascii="Times New Roman" w:hAnsi="Times New Roman"/>
          <w:noProof/>
          <w:sz w:val="24"/>
          <w:lang w:val="fr-BE"/>
        </w:rPr>
        <w:t xml:space="preserve">x, d'autres données proviennent de la recherche, de la littérature et des archives numérisées, ainsi que des services publics tels que les hôpitaux et les registres fonciers. Ce phénomène des mégadonnées («big data») crée de nouvelles opportunités pour le </w:t>
      </w:r>
      <w:r>
        <w:rPr>
          <w:rFonts w:ascii="Times New Roman" w:hAnsi="Times New Roman"/>
          <w:noProof/>
          <w:sz w:val="24"/>
          <w:lang w:val="fr-BE"/>
        </w:rPr>
        <w:t>partage des connaissances, la recherche et l'élaboration et la mise en œuvre de politiques publiques.</w:t>
      </w:r>
    </w:p>
    <w:p w:rsidR="005B5FD5" w:rsidRDefault="005F12DE">
      <w:pPr>
        <w:widowControl w:val="0"/>
        <w:spacing w:after="120"/>
        <w:jc w:val="both"/>
        <w:rPr>
          <w:rFonts w:ascii="Times New Roman" w:eastAsia="Times New Roman" w:hAnsi="Times New Roman"/>
          <w:noProof/>
          <w:sz w:val="24"/>
          <w:szCs w:val="24"/>
          <w:lang w:val="fr-BE"/>
        </w:rPr>
      </w:pPr>
      <w:r>
        <w:rPr>
          <w:rFonts w:ascii="Times New Roman" w:hAnsi="Times New Roman"/>
          <w:noProof/>
          <w:sz w:val="24"/>
          <w:lang w:val="fr-BE"/>
        </w:rPr>
        <w:t>Il devient aussi plus facile d’exploiter ces données grâce à l’informatique en nuage. L’informatique en nuage peut être définie comme la combinaison de tr</w:t>
      </w:r>
      <w:r>
        <w:rPr>
          <w:rFonts w:ascii="Times New Roman" w:hAnsi="Times New Roman"/>
          <w:noProof/>
          <w:sz w:val="24"/>
          <w:lang w:val="fr-BE"/>
        </w:rPr>
        <w:t>ois éléments interdépendants: les infrastructures de données, qui stockent et gèrent les données; les réseaux à haut débit, qui transportent les données; et les ordinateurs de plus en plus puissants qui peuvent être utilisés pour traiter les données. La ca</w:t>
      </w:r>
      <w:r>
        <w:rPr>
          <w:rFonts w:ascii="Times New Roman" w:hAnsi="Times New Roman"/>
          <w:noProof/>
          <w:sz w:val="24"/>
          <w:lang w:val="fr-BE"/>
        </w:rPr>
        <w:t xml:space="preserve">pacité d’analyse et d’exploitation de ces mégadonnées a des répercussions sur l’économie mondiale et la société, ouvrant la voie à d’importantes innovations industrielles et sociales. Un élément essentiel de répercussions réside dans le changement dans la </w:t>
      </w:r>
      <w:r>
        <w:rPr>
          <w:rFonts w:ascii="Times New Roman" w:hAnsi="Times New Roman"/>
          <w:noProof/>
          <w:sz w:val="24"/>
          <w:lang w:val="fr-BE"/>
        </w:rPr>
        <w:t xml:space="preserve">manière dont est menée la recherche scientifique, au vu de l'évolution rapide vers la </w:t>
      </w:r>
      <w:hyperlink r:id="rId19">
        <w:r>
          <w:rPr>
            <w:rStyle w:val="Hyperlink"/>
            <w:rFonts w:ascii="Times New Roman" w:hAnsi="Times New Roman"/>
            <w:noProof/>
            <w:sz w:val="24"/>
            <w:lang w:val="fr-BE"/>
          </w:rPr>
          <w:t>science ouverte</w:t>
        </w:r>
      </w:hyperlink>
      <w:r>
        <w:rPr>
          <w:noProof/>
          <w:lang w:val="fr-BE"/>
        </w:rPr>
        <w:t xml:space="preserve"> </w:t>
      </w:r>
      <w:r>
        <w:rPr>
          <w:rFonts w:ascii="Times New Roman" w:hAnsi="Times New Roman"/>
          <w:noProof/>
          <w:sz w:val="24"/>
          <w:lang w:val="fr-BE"/>
        </w:rPr>
        <w:t>que nous connaissons actuellement.</w:t>
      </w:r>
      <w:r>
        <w:rPr>
          <w:rStyle w:val="FootnoteReference"/>
          <w:rFonts w:ascii="Times New Roman" w:hAnsi="Times New Roman"/>
          <w:noProof/>
          <w:sz w:val="24"/>
          <w:lang w:val="fr-BE"/>
        </w:rPr>
        <w:t xml:space="preserve"> </w:t>
      </w:r>
    </w:p>
    <w:p w:rsidR="005B5FD5" w:rsidRDefault="005F12DE">
      <w:pPr>
        <w:spacing w:before="120"/>
        <w:jc w:val="both"/>
        <w:rPr>
          <w:rFonts w:ascii="Times New Roman" w:eastAsia="Times New Roman" w:hAnsi="Times New Roman"/>
          <w:noProof/>
          <w:sz w:val="24"/>
          <w:szCs w:val="24"/>
          <w:lang w:val="fr-BE"/>
        </w:rPr>
      </w:pPr>
      <w:r>
        <w:rPr>
          <w:rFonts w:ascii="Times New Roman" w:hAnsi="Times New Roman"/>
          <w:noProof/>
          <w:sz w:val="24"/>
          <w:lang w:val="fr-BE"/>
        </w:rPr>
        <w:t>L’infor</w:t>
      </w:r>
      <w:r>
        <w:rPr>
          <w:rFonts w:ascii="Times New Roman" w:hAnsi="Times New Roman"/>
          <w:noProof/>
          <w:sz w:val="24"/>
          <w:lang w:val="fr-BE"/>
        </w:rPr>
        <w:t>matique en nuage permet de déplacer, de partager et de réutiliser des données sans discontinuité sur les marchés mondiaux et par-delà les frontières, et entre les institutions et les disciplines de recherche. Compte tenu des capacités actuellement disponib</w:t>
      </w:r>
      <w:r>
        <w:rPr>
          <w:rFonts w:ascii="Times New Roman" w:hAnsi="Times New Roman"/>
          <w:noProof/>
          <w:sz w:val="24"/>
          <w:lang w:val="fr-BE"/>
        </w:rPr>
        <w:t xml:space="preserve">les en Europe, les données produites par la recherche et l’industrie de l'UE sont souvent traitées ailleurs et les chercheurs et innovateurs européens ont tendance à se déplacer là où des capacités élevées en matière de données et d'informatique sont plus </w:t>
      </w:r>
      <w:r>
        <w:rPr>
          <w:rFonts w:ascii="Times New Roman" w:hAnsi="Times New Roman"/>
          <w:noProof/>
          <w:sz w:val="24"/>
          <w:lang w:val="fr-BE"/>
        </w:rPr>
        <w:t>immédiatement disponibles. Parallèlement, l’Europe étant le plus grand producteur de connaissances scientifiques dans le monde, elle est bien placée pour jouer un rôle moteur au niveau mondial dans le développement d’une informatique en nuage au service de</w:t>
      </w:r>
      <w:r>
        <w:rPr>
          <w:rFonts w:ascii="Times New Roman" w:hAnsi="Times New Roman"/>
          <w:noProof/>
          <w:sz w:val="24"/>
          <w:lang w:val="fr-BE"/>
        </w:rPr>
        <w:t xml:space="preserve"> la science.</w:t>
      </w:r>
    </w:p>
    <w:p w:rsidR="005B5FD5" w:rsidRDefault="005F12DE">
      <w:pPr>
        <w:spacing w:before="120"/>
        <w:jc w:val="both"/>
        <w:rPr>
          <w:rFonts w:ascii="Times New Roman" w:eastAsia="Times New Roman" w:hAnsi="Times New Roman"/>
          <w:noProof/>
          <w:sz w:val="24"/>
          <w:szCs w:val="24"/>
          <w:lang w:val="fr-BE"/>
        </w:rPr>
      </w:pPr>
      <w:r>
        <w:rPr>
          <w:rFonts w:ascii="Times New Roman" w:hAnsi="Times New Roman"/>
          <w:noProof/>
          <w:sz w:val="24"/>
          <w:lang w:val="fr-BE"/>
        </w:rPr>
        <w:t xml:space="preserve">Si elle veut exploiter pleinement le potentiel de données comme vecteur essentiel de la science ouverte et de la </w:t>
      </w:r>
      <w:hyperlink r:id="rId20">
        <w:r>
          <w:rPr>
            <w:rStyle w:val="Hyperlink"/>
            <w:rFonts w:ascii="Times New Roman" w:hAnsi="Times New Roman"/>
            <w:noProof/>
            <w:sz w:val="24"/>
            <w:lang w:val="fr-BE"/>
          </w:rPr>
          <w:t>4</w:t>
        </w:r>
        <w:r>
          <w:rPr>
            <w:rStyle w:val="Hyperlink"/>
            <w:rFonts w:ascii="Times New Roman" w:hAnsi="Times New Roman"/>
            <w:noProof/>
            <w:sz w:val="24"/>
            <w:vertAlign w:val="superscript"/>
            <w:lang w:val="fr-BE"/>
          </w:rPr>
          <w:t>e</w:t>
        </w:r>
        <w:r>
          <w:rPr>
            <w:rStyle w:val="Hyperlink"/>
            <w:rFonts w:ascii="Times New Roman" w:hAnsi="Times New Roman"/>
            <w:noProof/>
            <w:sz w:val="24"/>
            <w:lang w:val="fr-BE"/>
          </w:rPr>
          <w:t xml:space="preserve"> révolution industrielle</w:t>
        </w:r>
      </w:hyperlink>
      <w:r>
        <w:rPr>
          <w:noProof/>
          <w:lang w:val="fr-BE"/>
        </w:rPr>
        <w:t xml:space="preserve">, </w:t>
      </w:r>
      <w:r>
        <w:rPr>
          <w:rFonts w:ascii="Times New Roman" w:hAnsi="Times New Roman"/>
          <w:noProof/>
          <w:sz w:val="24"/>
          <w:lang w:val="fr-BE"/>
        </w:rPr>
        <w:t xml:space="preserve">l’Europe </w:t>
      </w:r>
      <w:r>
        <w:rPr>
          <w:rFonts w:ascii="Times New Roman" w:hAnsi="Times New Roman"/>
          <w:noProof/>
          <w:sz w:val="24"/>
          <w:lang w:val="fr-BE"/>
        </w:rPr>
        <w:t>doit répondre à un certain nombre de questions spécifiques:</w:t>
      </w:r>
    </w:p>
    <w:p w:rsidR="005B5FD5" w:rsidRDefault="005F12DE">
      <w:pPr>
        <w:pStyle w:val="ListParagraph"/>
        <w:numPr>
          <w:ilvl w:val="0"/>
          <w:numId w:val="67"/>
        </w:numPr>
        <w:spacing w:before="120"/>
        <w:jc w:val="both"/>
        <w:rPr>
          <w:rFonts w:ascii="Times New Roman" w:eastAsia="Times New Roman" w:hAnsi="Times New Roman"/>
          <w:noProof/>
          <w:sz w:val="24"/>
          <w:szCs w:val="24"/>
          <w:lang w:val="fr-BE"/>
        </w:rPr>
      </w:pPr>
      <w:r>
        <w:rPr>
          <w:rFonts w:ascii="Times New Roman" w:hAnsi="Times New Roman"/>
          <w:noProof/>
          <w:sz w:val="24"/>
          <w:lang w:val="fr-BE"/>
        </w:rPr>
        <w:t xml:space="preserve">Comment maximiser les incitations au partage des données et accroître la capacité de les exploiter? </w:t>
      </w:r>
    </w:p>
    <w:p w:rsidR="005B5FD5" w:rsidRDefault="005F12DE">
      <w:pPr>
        <w:pStyle w:val="ListParagraph"/>
        <w:numPr>
          <w:ilvl w:val="0"/>
          <w:numId w:val="67"/>
        </w:numPr>
        <w:spacing w:before="120"/>
        <w:jc w:val="both"/>
        <w:rPr>
          <w:rFonts w:ascii="Times New Roman" w:eastAsia="Times New Roman" w:hAnsi="Times New Roman"/>
          <w:noProof/>
          <w:sz w:val="24"/>
          <w:szCs w:val="24"/>
          <w:lang w:val="fr-BE"/>
        </w:rPr>
      </w:pPr>
      <w:r>
        <w:rPr>
          <w:rFonts w:ascii="Times New Roman" w:hAnsi="Times New Roman"/>
          <w:noProof/>
          <w:sz w:val="24"/>
          <w:lang w:val="fr-BE"/>
        </w:rPr>
        <w:t>Comment faire en sorte que les données puissent être utilisées aussi largement que possible, da</w:t>
      </w:r>
      <w:r>
        <w:rPr>
          <w:rFonts w:ascii="Times New Roman" w:hAnsi="Times New Roman"/>
          <w:noProof/>
          <w:sz w:val="24"/>
          <w:lang w:val="fr-BE"/>
        </w:rPr>
        <w:t>ns les différentes disciplines scientifiques et entre les secteurs public et privé?</w:t>
      </w:r>
    </w:p>
    <w:p w:rsidR="005B5FD5" w:rsidRDefault="005F12DE">
      <w:pPr>
        <w:pStyle w:val="ListParagraph"/>
        <w:numPr>
          <w:ilvl w:val="0"/>
          <w:numId w:val="67"/>
        </w:numPr>
        <w:spacing w:before="120"/>
        <w:jc w:val="both"/>
        <w:rPr>
          <w:rFonts w:ascii="Times New Roman" w:eastAsia="Times New Roman" w:hAnsi="Times New Roman"/>
          <w:noProof/>
          <w:sz w:val="24"/>
          <w:szCs w:val="24"/>
          <w:lang w:val="fr-BE"/>
        </w:rPr>
      </w:pPr>
      <w:r>
        <w:rPr>
          <w:rFonts w:ascii="Times New Roman" w:hAnsi="Times New Roman"/>
          <w:noProof/>
          <w:sz w:val="24"/>
          <w:lang w:val="fr-BE"/>
        </w:rPr>
        <w:t>Comment mieux interconnecter les infrastructures de données existantes et nouvelles dans l’ensemble de l’Europe?</w:t>
      </w:r>
    </w:p>
    <w:p w:rsidR="005B5FD5" w:rsidRDefault="005F12DE">
      <w:pPr>
        <w:pStyle w:val="ListParagraph"/>
        <w:numPr>
          <w:ilvl w:val="0"/>
          <w:numId w:val="67"/>
        </w:numPr>
        <w:spacing w:before="120"/>
        <w:jc w:val="both"/>
        <w:rPr>
          <w:rFonts w:ascii="Times New Roman" w:eastAsia="Times New Roman" w:hAnsi="Times New Roman"/>
          <w:noProof/>
          <w:sz w:val="24"/>
          <w:szCs w:val="24"/>
          <w:lang w:val="fr-BE"/>
        </w:rPr>
      </w:pPr>
      <w:r>
        <w:rPr>
          <w:rFonts w:ascii="Times New Roman" w:hAnsi="Times New Roman"/>
          <w:noProof/>
          <w:sz w:val="24"/>
          <w:lang w:val="fr-BE"/>
        </w:rPr>
        <w:t>Comment coordonner au mieux le soutien mis à la disposition</w:t>
      </w:r>
      <w:r>
        <w:rPr>
          <w:rFonts w:ascii="Times New Roman" w:hAnsi="Times New Roman"/>
          <w:noProof/>
          <w:sz w:val="24"/>
          <w:lang w:val="fr-BE"/>
        </w:rPr>
        <w:t xml:space="preserve"> des infrastructures de données européennes dans leur transition vers le calcul à l'échelle exa (exascale)</w:t>
      </w:r>
      <w:r>
        <w:rPr>
          <w:rStyle w:val="FootnoteReference"/>
          <w:rFonts w:ascii="Times New Roman" w:hAnsi="Times New Roman"/>
          <w:noProof/>
          <w:sz w:val="24"/>
        </w:rPr>
        <w:footnoteReference w:id="2"/>
      </w:r>
      <w:r>
        <w:rPr>
          <w:rFonts w:ascii="Times New Roman" w:hAnsi="Times New Roman"/>
          <w:noProof/>
          <w:sz w:val="24"/>
          <w:lang w:val="fr-BE"/>
        </w:rPr>
        <w:t>?</w:t>
      </w:r>
    </w:p>
    <w:p w:rsidR="005B5FD5" w:rsidRDefault="005F12DE">
      <w:pPr>
        <w:spacing w:before="120"/>
        <w:jc w:val="both"/>
        <w:rPr>
          <w:rFonts w:ascii="Times New Roman" w:hAnsi="Times New Roman"/>
          <w:noProof/>
          <w:sz w:val="24"/>
          <w:szCs w:val="24"/>
          <w:lang w:val="fr-BE"/>
        </w:rPr>
      </w:pPr>
      <w:r>
        <w:rPr>
          <w:rFonts w:ascii="Times New Roman" w:hAnsi="Times New Roman"/>
          <w:noProof/>
          <w:sz w:val="24"/>
          <w:lang w:val="fr-BE"/>
        </w:rPr>
        <w:lastRenderedPageBreak/>
        <w:t>Les gains potentiels pour la science, la technologie et l'innovation que promettent les actions visant à relever ces défis ont été soulignés par la</w:t>
      </w:r>
      <w:r>
        <w:rPr>
          <w:rFonts w:ascii="Times New Roman" w:hAnsi="Times New Roman"/>
          <w:noProof/>
          <w:sz w:val="24"/>
          <w:lang w:val="fr-BE"/>
        </w:rPr>
        <w:t xml:space="preserve"> </w:t>
      </w:r>
      <w:hyperlink r:id="rId21">
        <w:r>
          <w:rPr>
            <w:rStyle w:val="Hyperlink"/>
            <w:rFonts w:ascii="Times New Roman" w:hAnsi="Times New Roman"/>
            <w:noProof/>
            <w:sz w:val="24"/>
            <w:lang w:val="fr-BE"/>
          </w:rPr>
          <w:t>communauté scientifique elle-même</w:t>
        </w:r>
      </w:hyperlink>
      <w:r>
        <w:rPr>
          <w:noProof/>
          <w:lang w:val="fr-BE"/>
        </w:rPr>
        <w:t>,</w:t>
      </w:r>
      <w:r>
        <w:rPr>
          <w:rFonts w:ascii="Times New Roman" w:hAnsi="Times New Roman"/>
          <w:noProof/>
          <w:sz w:val="24"/>
          <w:lang w:val="fr-BE"/>
        </w:rPr>
        <w:t xml:space="preserve"> mais aussi par les </w:t>
      </w:r>
      <w:hyperlink r:id="rId22">
        <w:r>
          <w:rPr>
            <w:rStyle w:val="Hyperlink"/>
            <w:rFonts w:ascii="Times New Roman" w:hAnsi="Times New Roman"/>
            <w:noProof/>
            <w:sz w:val="24"/>
            <w:lang w:val="fr-BE"/>
          </w:rPr>
          <w:t>gouvernements de pa</w:t>
        </w:r>
        <w:r>
          <w:rPr>
            <w:rStyle w:val="Hyperlink"/>
            <w:rFonts w:ascii="Times New Roman" w:hAnsi="Times New Roman"/>
            <w:noProof/>
            <w:sz w:val="24"/>
            <w:lang w:val="fr-BE"/>
          </w:rPr>
          <w:t>ys de l'OCDE</w:t>
        </w:r>
      </w:hyperlink>
      <w:r>
        <w:rPr>
          <w:noProof/>
          <w:lang w:val="fr-BE"/>
        </w:rPr>
        <w:t>.</w:t>
      </w:r>
      <w:r>
        <w:rPr>
          <w:rFonts w:ascii="Times New Roman" w:hAnsi="Times New Roman"/>
          <w:noProof/>
          <w:sz w:val="24"/>
          <w:lang w:val="fr-BE"/>
        </w:rPr>
        <w:t xml:space="preserve"> L’importance que revêt, pour l’ensemble de l’économie et de la société, la capacité à relever ces défis a été confirmée par les États membres de l’UE en 2015</w:t>
      </w:r>
      <w:r>
        <w:rPr>
          <w:rStyle w:val="FootnoteReference"/>
          <w:rFonts w:ascii="Times New Roman" w:hAnsi="Times New Roman"/>
          <w:noProof/>
          <w:sz w:val="24"/>
        </w:rPr>
        <w:footnoteReference w:id="3"/>
      </w:r>
      <w:r>
        <w:rPr>
          <w:rFonts w:ascii="Times New Roman" w:hAnsi="Times New Roman"/>
          <w:noProof/>
          <w:sz w:val="24"/>
          <w:lang w:val="fr-BE"/>
        </w:rPr>
        <w:t xml:space="preserve">. La présente communication propose, en réponse directe à ces défis, une initiative </w:t>
      </w:r>
      <w:r>
        <w:rPr>
          <w:rFonts w:ascii="Times New Roman" w:hAnsi="Times New Roman"/>
          <w:noProof/>
          <w:sz w:val="24"/>
          <w:lang w:val="fr-BE"/>
        </w:rPr>
        <w:t>européenne sur l’informatique en nuage à même d'asseoir la place de l’Europe dans l’économie fondée sur les données au niveau mondial</w:t>
      </w:r>
      <w:r>
        <w:rPr>
          <w:rStyle w:val="FootnoteReference"/>
          <w:rFonts w:ascii="Times New Roman" w:hAnsi="Times New Roman"/>
          <w:noProof/>
          <w:sz w:val="24"/>
        </w:rPr>
        <w:footnoteReference w:id="4"/>
      </w:r>
      <w:r>
        <w:rPr>
          <w:rFonts w:ascii="Times New Roman" w:hAnsi="Times New Roman"/>
          <w:noProof/>
          <w:sz w:val="24"/>
          <w:lang w:val="fr-BE"/>
        </w:rPr>
        <w:t xml:space="preserve">. </w:t>
      </w:r>
    </w:p>
    <w:p w:rsidR="005B5FD5" w:rsidRDefault="005F12DE">
      <w:pPr>
        <w:spacing w:before="120"/>
        <w:jc w:val="both"/>
        <w:rPr>
          <w:rFonts w:ascii="Times New Roman" w:hAnsi="Times New Roman"/>
          <w:noProof/>
          <w:sz w:val="24"/>
          <w:szCs w:val="24"/>
          <w:lang w:val="fr-BE"/>
        </w:rPr>
      </w:pPr>
      <w:r>
        <w:rPr>
          <w:rFonts w:ascii="Times New Roman" w:hAnsi="Times New Roman"/>
          <w:noProof/>
          <w:sz w:val="24"/>
          <w:lang w:val="fr-BE"/>
        </w:rPr>
        <w:t>L’initiative européenne sur l’informatique en nuage s’appuie sur la stratégie pour un marché unique numérique, qui vise</w:t>
      </w:r>
      <w:r>
        <w:rPr>
          <w:rFonts w:ascii="Times New Roman" w:hAnsi="Times New Roman"/>
          <w:noProof/>
          <w:sz w:val="24"/>
          <w:lang w:val="fr-BE"/>
        </w:rPr>
        <w:t>, entre autres, à maximiser le potentiel de croissance de l'économie numérique européenne</w:t>
      </w:r>
      <w:r>
        <w:rPr>
          <w:rStyle w:val="FootnoteReference"/>
          <w:rFonts w:ascii="Times New Roman" w:hAnsi="Times New Roman"/>
          <w:noProof/>
          <w:sz w:val="24"/>
        </w:rPr>
        <w:footnoteReference w:id="5"/>
      </w:r>
      <w:r>
        <w:rPr>
          <w:rFonts w:ascii="Times New Roman" w:hAnsi="Times New Roman"/>
          <w:noProof/>
          <w:sz w:val="24"/>
          <w:lang w:val="fr-BE"/>
        </w:rPr>
        <w:t>. Elle vise à développer un environnement fiable et ouvert permettant à la communauté scientifique de stocker, partager et réutiliser des données et résultats scienti</w:t>
      </w:r>
      <w:r>
        <w:rPr>
          <w:rFonts w:ascii="Times New Roman" w:hAnsi="Times New Roman"/>
          <w:noProof/>
          <w:sz w:val="24"/>
          <w:lang w:val="fr-BE"/>
        </w:rPr>
        <w:t xml:space="preserve">fiques, le </w:t>
      </w:r>
      <w:r>
        <w:rPr>
          <w:rFonts w:ascii="Times New Roman" w:hAnsi="Times New Roman"/>
          <w:b/>
          <w:i/>
          <w:noProof/>
          <w:sz w:val="24"/>
          <w:lang w:val="fr-BE"/>
        </w:rPr>
        <w:t>European Open Science Cloud</w:t>
      </w:r>
      <w:r>
        <w:rPr>
          <w:rFonts w:ascii="Times New Roman" w:hAnsi="Times New Roman"/>
          <w:noProof/>
          <w:sz w:val="24"/>
          <w:lang w:val="fr-BE"/>
        </w:rPr>
        <w:t xml:space="preserve"> (nuage européen pour la science ouverte)</w:t>
      </w:r>
      <w:r>
        <w:rPr>
          <w:rStyle w:val="FootnoteReference"/>
          <w:rFonts w:ascii="Times New Roman" w:hAnsi="Times New Roman"/>
          <w:noProof/>
          <w:sz w:val="24"/>
        </w:rPr>
        <w:footnoteReference w:id="6"/>
      </w:r>
      <w:r>
        <w:rPr>
          <w:rFonts w:ascii="Times New Roman" w:hAnsi="Times New Roman"/>
          <w:noProof/>
          <w:sz w:val="24"/>
          <w:lang w:val="fr-BE"/>
        </w:rPr>
        <w:t xml:space="preserve">. </w:t>
      </w:r>
      <w:r>
        <w:rPr>
          <w:rFonts w:ascii="Times New Roman" w:hAnsi="Times New Roman"/>
          <w:noProof/>
          <w:sz w:val="24"/>
          <w:szCs w:val="24"/>
          <w:lang w:val="fr-BE"/>
        </w:rPr>
        <w:t>Il s'agit de</w:t>
      </w:r>
      <w:r>
        <w:rPr>
          <w:rFonts w:ascii="Times New Roman" w:hAnsi="Times New Roman"/>
          <w:noProof/>
          <w:sz w:val="24"/>
          <w:lang w:val="fr-BE"/>
        </w:rPr>
        <w:t xml:space="preserve"> développer les capacités sous-jacentes de calcul intensif, la connectivité rapide et les solutions d’informatique en nuage à haute capacité dont elle a besoin gr</w:t>
      </w:r>
      <w:r>
        <w:rPr>
          <w:rFonts w:ascii="Times New Roman" w:hAnsi="Times New Roman"/>
          <w:noProof/>
          <w:sz w:val="24"/>
          <w:lang w:val="fr-BE"/>
        </w:rPr>
        <w:t xml:space="preserve">âce à une </w:t>
      </w:r>
      <w:r>
        <w:rPr>
          <w:rFonts w:ascii="Times New Roman" w:hAnsi="Times New Roman"/>
          <w:b/>
          <w:noProof/>
          <w:sz w:val="24"/>
          <w:lang w:val="fr-BE"/>
        </w:rPr>
        <w:t>infrastructure de données</w:t>
      </w:r>
      <w:r>
        <w:rPr>
          <w:rFonts w:ascii="Times New Roman" w:hAnsi="Times New Roman"/>
          <w:noProof/>
          <w:sz w:val="24"/>
          <w:lang w:val="fr-BE"/>
        </w:rPr>
        <w:t xml:space="preserve"> </w:t>
      </w:r>
      <w:r>
        <w:rPr>
          <w:rFonts w:ascii="Times New Roman" w:hAnsi="Times New Roman"/>
          <w:b/>
          <w:noProof/>
          <w:sz w:val="24"/>
          <w:lang w:val="fr-BE"/>
        </w:rPr>
        <w:t>européenne</w:t>
      </w:r>
      <w:r>
        <w:rPr>
          <w:rStyle w:val="FootnoteReference"/>
          <w:rFonts w:ascii="Times New Roman" w:hAnsi="Times New Roman"/>
          <w:noProof/>
          <w:sz w:val="24"/>
        </w:rPr>
        <w:footnoteReference w:id="7"/>
      </w:r>
      <w:r>
        <w:rPr>
          <w:rFonts w:ascii="Times New Roman" w:hAnsi="Times New Roman"/>
          <w:noProof/>
          <w:sz w:val="24"/>
          <w:lang w:val="fr-BE"/>
        </w:rPr>
        <w:t>. Axée initialement sur la communauté scientifique, la base d'utilisateurs sera étendue au secteur public et à l’industrie, ainsi qu'à la création de solutions et de technologies qui bénéficieront à tous les s</w:t>
      </w:r>
      <w:r>
        <w:rPr>
          <w:rFonts w:ascii="Times New Roman" w:hAnsi="Times New Roman"/>
          <w:noProof/>
          <w:sz w:val="24"/>
          <w:lang w:val="fr-BE"/>
        </w:rPr>
        <w:t>ecteurs de l’économie et de la société. Pour y parvenir, il faudra consentir un effort de collaboration ouvert à tous ceux qui sont intéressés par l’exploitation de la révolution des données en Europe en tant que composante essentielle de la croissance mon</w:t>
      </w:r>
      <w:r>
        <w:rPr>
          <w:rFonts w:ascii="Times New Roman" w:hAnsi="Times New Roman"/>
          <w:noProof/>
          <w:sz w:val="24"/>
          <w:lang w:val="fr-BE"/>
        </w:rPr>
        <w:t>diale.</w:t>
      </w:r>
    </w:p>
    <w:p w:rsidR="005B5FD5" w:rsidRDefault="005F12DE">
      <w:pPr>
        <w:spacing w:before="120" w:after="120"/>
        <w:jc w:val="both"/>
        <w:rPr>
          <w:rFonts w:ascii="Times New Roman" w:hAnsi="Times New Roman"/>
          <w:noProof/>
          <w:sz w:val="24"/>
          <w:szCs w:val="24"/>
          <w:lang w:val="fr-BE"/>
        </w:rPr>
      </w:pPr>
      <w:r>
        <w:rPr>
          <w:rFonts w:ascii="Times New Roman" w:hAnsi="Times New Roman"/>
          <w:noProof/>
          <w:sz w:val="24"/>
          <w:lang w:val="fr-BE"/>
        </w:rPr>
        <w:t>L’initiative européenne sur l’informatique en nuage s’appuie sur les réalisations de la stratégie européenne en matière d’informatique en nuage</w:t>
      </w:r>
      <w:r>
        <w:rPr>
          <w:rStyle w:val="FootnoteReference"/>
          <w:rFonts w:ascii="Times New Roman" w:hAnsi="Times New Roman"/>
          <w:noProof/>
          <w:sz w:val="24"/>
        </w:rPr>
        <w:footnoteReference w:id="8"/>
      </w:r>
      <w:r>
        <w:rPr>
          <w:rFonts w:ascii="Times New Roman" w:hAnsi="Times New Roman"/>
          <w:noProof/>
          <w:sz w:val="24"/>
          <w:lang w:val="fr-BE"/>
        </w:rPr>
        <w:t xml:space="preserve"> et de la stratégie en matière de calcul à haute performance (CHP)</w:t>
      </w:r>
      <w:r>
        <w:rPr>
          <w:rStyle w:val="FootnoteReference"/>
          <w:rFonts w:ascii="Times New Roman" w:hAnsi="Times New Roman"/>
          <w:noProof/>
          <w:sz w:val="24"/>
        </w:rPr>
        <w:footnoteReference w:id="9"/>
      </w:r>
      <w:r>
        <w:rPr>
          <w:rFonts w:ascii="Times New Roman" w:hAnsi="Times New Roman"/>
          <w:noProof/>
          <w:sz w:val="24"/>
          <w:lang w:val="fr-BE"/>
        </w:rPr>
        <w:t xml:space="preserve">. Elle prolongera des initiatives </w:t>
      </w:r>
      <w:r>
        <w:rPr>
          <w:rFonts w:ascii="Times New Roman" w:hAnsi="Times New Roman"/>
          <w:noProof/>
          <w:sz w:val="24"/>
          <w:lang w:val="fr-BE"/>
        </w:rPr>
        <w:t>telles que le projet important d’intérêt européen commun (PIIEC) sur les applications compatibles avec le CHP et les mégadonnées, récemment annoncé</w:t>
      </w:r>
      <w:r>
        <w:rPr>
          <w:rStyle w:val="FootnoteReference"/>
          <w:rFonts w:ascii="Times New Roman" w:hAnsi="Times New Roman"/>
          <w:noProof/>
          <w:sz w:val="24"/>
        </w:rPr>
        <w:footnoteReference w:id="10"/>
      </w:r>
      <w:r>
        <w:rPr>
          <w:rFonts w:ascii="Times New Roman" w:hAnsi="Times New Roman"/>
          <w:noProof/>
          <w:sz w:val="24"/>
          <w:lang w:val="fr-BE"/>
        </w:rPr>
        <w:t>. Elle donne une impulsion à la politique définie dans la communication sur les mégadonnées</w:t>
      </w:r>
      <w:r>
        <w:rPr>
          <w:rStyle w:val="FootnoteReference"/>
          <w:rFonts w:ascii="Times New Roman" w:hAnsi="Times New Roman"/>
          <w:noProof/>
          <w:sz w:val="24"/>
        </w:rPr>
        <w:footnoteReference w:id="11"/>
      </w:r>
      <w:r>
        <w:rPr>
          <w:rFonts w:ascii="Times New Roman" w:hAnsi="Times New Roman"/>
          <w:noProof/>
          <w:sz w:val="24"/>
          <w:lang w:val="fr-BE"/>
        </w:rPr>
        <w:t xml:space="preserve"> et soutient le </w:t>
      </w:r>
      <w:r>
        <w:rPr>
          <w:rFonts w:ascii="Times New Roman" w:hAnsi="Times New Roman"/>
          <w:noProof/>
          <w:sz w:val="24"/>
          <w:lang w:val="fr-BE"/>
        </w:rPr>
        <w:t>programme politique européen en matière de science ouverte, qui vise à améliorer la qualité et l’impact de la science</w:t>
      </w:r>
      <w:r>
        <w:rPr>
          <w:rStyle w:val="FootnoteReference"/>
          <w:rFonts w:ascii="Times New Roman" w:hAnsi="Times New Roman"/>
          <w:noProof/>
          <w:sz w:val="24"/>
        </w:rPr>
        <w:footnoteReference w:id="12"/>
      </w:r>
      <w:r>
        <w:rPr>
          <w:rFonts w:ascii="Times New Roman" w:hAnsi="Times New Roman"/>
          <w:noProof/>
          <w:sz w:val="24"/>
          <w:lang w:val="fr-BE"/>
        </w:rPr>
        <w:t>, en s’appuyant sur les réalisations de l’accès ouvert</w:t>
      </w:r>
      <w:r>
        <w:rPr>
          <w:rStyle w:val="FootnoteReference"/>
          <w:rFonts w:ascii="Times New Roman" w:hAnsi="Times New Roman"/>
          <w:noProof/>
          <w:sz w:val="24"/>
        </w:rPr>
        <w:footnoteReference w:id="13"/>
      </w:r>
      <w:r>
        <w:rPr>
          <w:rFonts w:ascii="Times New Roman" w:hAnsi="Times New Roman"/>
          <w:noProof/>
          <w:sz w:val="24"/>
          <w:lang w:val="fr-BE"/>
        </w:rPr>
        <w:t>. La présente communication marque le début d’un processus par lequel la Commission</w:t>
      </w:r>
      <w:r>
        <w:rPr>
          <w:rFonts w:ascii="Times New Roman" w:hAnsi="Times New Roman"/>
          <w:noProof/>
          <w:sz w:val="24"/>
          <w:lang w:val="fr-BE"/>
        </w:rPr>
        <w:t xml:space="preserve"> s’emploiera, avec les États membres et toutes les parties intéressées, à faire en sorte que l’initiative européenne sur l’informatique en nuage atteigne ses objectifs.</w:t>
      </w:r>
      <w:r>
        <w:rPr>
          <w:noProof/>
          <w:lang w:val="fr-BE"/>
        </w:rPr>
        <w:t xml:space="preserve"> </w:t>
      </w:r>
    </w:p>
    <w:p w:rsidR="005B5FD5" w:rsidRDefault="005F12DE">
      <w:pPr>
        <w:jc w:val="both"/>
        <w:rPr>
          <w:rFonts w:ascii="Times New Roman" w:hAnsi="Times New Roman"/>
          <w:noProof/>
          <w:sz w:val="24"/>
          <w:szCs w:val="24"/>
          <w:lang w:val="fr-BE"/>
        </w:rPr>
      </w:pPr>
      <w:r>
        <w:rPr>
          <w:rFonts w:ascii="Times New Roman" w:hAnsi="Times New Roman"/>
          <w:noProof/>
          <w:sz w:val="24"/>
          <w:lang w:val="fr-BE"/>
        </w:rPr>
        <w:t>L’initiative européenne sur l’informatique en nuage sera complétée par des mesures sup</w:t>
      </w:r>
      <w:r>
        <w:rPr>
          <w:rFonts w:ascii="Times New Roman" w:hAnsi="Times New Roman"/>
          <w:noProof/>
          <w:sz w:val="24"/>
          <w:lang w:val="fr-BE"/>
        </w:rPr>
        <w:t xml:space="preserve">plémentaires au titre de la stratégie pour un marché unique numérique qui couvre les contrats d’informatique en nuage pour les entreprises utilisatrices et le changement de </w:t>
      </w:r>
      <w:r>
        <w:rPr>
          <w:rFonts w:ascii="Times New Roman" w:hAnsi="Times New Roman"/>
          <w:noProof/>
          <w:sz w:val="24"/>
          <w:lang w:val="fr-BE"/>
        </w:rPr>
        <w:lastRenderedPageBreak/>
        <w:t>fournisseur de services d’informatique en nuage, ainsi que par l’initiative en mati</w:t>
      </w:r>
      <w:r>
        <w:rPr>
          <w:rFonts w:ascii="Times New Roman" w:hAnsi="Times New Roman"/>
          <w:noProof/>
          <w:sz w:val="24"/>
          <w:lang w:val="fr-BE"/>
        </w:rPr>
        <w:t>ère de libre circulation des données</w:t>
      </w:r>
      <w:r>
        <w:rPr>
          <w:rStyle w:val="FootnoteReference"/>
          <w:rFonts w:ascii="Times New Roman" w:hAnsi="Times New Roman"/>
          <w:noProof/>
          <w:sz w:val="24"/>
        </w:rPr>
        <w:footnoteReference w:id="14"/>
      </w:r>
      <w:r>
        <w:rPr>
          <w:rFonts w:ascii="Times New Roman" w:hAnsi="Times New Roman"/>
          <w:noProof/>
          <w:sz w:val="24"/>
          <w:lang w:val="fr-BE"/>
        </w:rPr>
        <w:t>.</w:t>
      </w:r>
    </w:p>
    <w:p w:rsidR="005B5FD5" w:rsidRDefault="005F12DE">
      <w:pPr>
        <w:pStyle w:val="Heading1"/>
        <w:rPr>
          <w:rFonts w:ascii="Times New Roman" w:hAnsi="Times New Roman" w:cs="Times New Roman"/>
          <w:noProof/>
          <w:color w:val="auto"/>
          <w:lang w:val="fr-BE"/>
        </w:rPr>
      </w:pPr>
      <w:bookmarkStart w:id="4" w:name="_Toc431403944"/>
      <w:bookmarkStart w:id="5" w:name="_Toc436639847"/>
      <w:bookmarkStart w:id="6" w:name="_Toc431918265"/>
      <w:bookmarkStart w:id="7" w:name="_Toc433704775"/>
      <w:bookmarkEnd w:id="4"/>
      <w:r>
        <w:rPr>
          <w:rFonts w:ascii="Times New Roman" w:hAnsi="Times New Roman"/>
          <w:noProof/>
          <w:color w:val="auto"/>
          <w:lang w:val="fr-BE"/>
        </w:rPr>
        <w:t>Cinq raisons pour lesquelles l’Europe n’exploite pas encore pleinement le potentiel</w:t>
      </w:r>
      <w:bookmarkEnd w:id="5"/>
      <w:r>
        <w:rPr>
          <w:rFonts w:ascii="Times New Roman" w:hAnsi="Times New Roman"/>
          <w:noProof/>
          <w:color w:val="auto"/>
          <w:lang w:val="fr-BE"/>
        </w:rPr>
        <w:t xml:space="preserve"> des données</w:t>
      </w:r>
    </w:p>
    <w:p w:rsidR="005B5FD5" w:rsidRDefault="005B5FD5">
      <w:pPr>
        <w:rPr>
          <w:rFonts w:ascii="Times New Roman" w:hAnsi="Times New Roman"/>
          <w:noProof/>
          <w:lang w:val="fr-BE"/>
        </w:rPr>
      </w:pPr>
    </w:p>
    <w:bookmarkEnd w:id="6"/>
    <w:bookmarkEnd w:id="7"/>
    <w:p w:rsidR="005B5FD5" w:rsidRDefault="005F12DE">
      <w:pPr>
        <w:spacing w:before="120"/>
        <w:jc w:val="both"/>
        <w:rPr>
          <w:rFonts w:ascii="Times New Roman" w:hAnsi="Times New Roman"/>
          <w:noProof/>
          <w:sz w:val="24"/>
          <w:szCs w:val="24"/>
          <w:lang w:val="fr-BE"/>
        </w:rPr>
      </w:pPr>
      <w:r>
        <w:rPr>
          <w:rFonts w:ascii="Times New Roman" w:hAnsi="Times New Roman"/>
          <w:noProof/>
          <w:sz w:val="24"/>
          <w:lang w:val="fr-BE"/>
        </w:rPr>
        <w:t>Premièrement, bon nombre d'entreprises, de communautés de recherche et d'organismes publics européens n'exploitent pas e</w:t>
      </w:r>
      <w:r>
        <w:rPr>
          <w:rFonts w:ascii="Times New Roman" w:hAnsi="Times New Roman"/>
          <w:noProof/>
          <w:sz w:val="24"/>
          <w:lang w:val="fr-BE"/>
        </w:rPr>
        <w:t xml:space="preserve">ncore pleinement le potentiel des </w:t>
      </w:r>
      <w:r>
        <w:rPr>
          <w:rFonts w:ascii="Times New Roman" w:hAnsi="Times New Roman"/>
          <w:b/>
          <w:noProof/>
          <w:sz w:val="24"/>
          <w:lang w:val="fr-BE"/>
        </w:rPr>
        <w:t>données</w:t>
      </w:r>
      <w:r>
        <w:rPr>
          <w:rFonts w:ascii="Times New Roman" w:hAnsi="Times New Roman"/>
          <w:noProof/>
          <w:sz w:val="24"/>
          <w:lang w:val="fr-BE"/>
        </w:rPr>
        <w:t xml:space="preserve"> et de leur impact potentiellement transformateur sur les secteurs traditionnels et sur l’organisation de la recherche</w:t>
      </w:r>
      <w:r>
        <w:rPr>
          <w:rStyle w:val="FootnoteReference"/>
          <w:rFonts w:ascii="Times New Roman" w:hAnsi="Times New Roman"/>
          <w:noProof/>
          <w:sz w:val="24"/>
        </w:rPr>
        <w:footnoteReference w:id="15"/>
      </w:r>
      <w:r>
        <w:rPr>
          <w:rFonts w:ascii="Times New Roman" w:hAnsi="Times New Roman"/>
          <w:noProof/>
          <w:sz w:val="24"/>
          <w:lang w:val="fr-BE"/>
        </w:rPr>
        <w:t xml:space="preserve">. </w:t>
      </w:r>
      <w:r>
        <w:rPr>
          <w:rFonts w:ascii="Times New Roman" w:hAnsi="Times New Roman"/>
          <w:b/>
          <w:noProof/>
          <w:sz w:val="24"/>
          <w:lang w:val="fr-BE"/>
        </w:rPr>
        <w:t>Les données provenant de la recherche publique ne sont pas toujours en accès libre</w:t>
      </w:r>
      <w:r>
        <w:rPr>
          <w:rFonts w:ascii="Times New Roman" w:hAnsi="Times New Roman"/>
          <w:noProof/>
          <w:sz w:val="24"/>
          <w:lang w:val="fr-BE"/>
        </w:rPr>
        <w:t>; de même, l</w:t>
      </w:r>
      <w:r>
        <w:rPr>
          <w:rFonts w:ascii="Times New Roman" w:hAnsi="Times New Roman"/>
          <w:noProof/>
          <w:sz w:val="24"/>
          <w:lang w:val="fr-BE"/>
        </w:rPr>
        <w:t xml:space="preserve">es données générées ou collectées par les entreprises ne sont bien souvent pas partagées, et pas toujours pour des raisons commerciales. Si certains considèrent encore les données comme un atout à protéger, nombreux sont ceux qui, dans les entreprises (en </w:t>
      </w:r>
      <w:r>
        <w:rPr>
          <w:rFonts w:ascii="Times New Roman" w:hAnsi="Times New Roman"/>
          <w:noProof/>
          <w:sz w:val="24"/>
          <w:lang w:val="fr-BE"/>
        </w:rPr>
        <w:t xml:space="preserve">particulier les PME), les universités et le secteur public, ignorent tout simplement la valeur du partage de données. Cela s'explique notamment par </w:t>
      </w:r>
      <w:r>
        <w:rPr>
          <w:rFonts w:ascii="Times New Roman" w:hAnsi="Times New Roman"/>
          <w:b/>
          <w:noProof/>
          <w:sz w:val="24"/>
          <w:lang w:val="fr-BE"/>
        </w:rPr>
        <w:t>l'absence de structure claire des mesures d'incitation</w:t>
      </w:r>
      <w:r>
        <w:rPr>
          <w:rFonts w:ascii="Times New Roman" w:hAnsi="Times New Roman"/>
          <w:noProof/>
          <w:sz w:val="24"/>
          <w:lang w:val="fr-BE"/>
        </w:rPr>
        <w:t xml:space="preserve">, l'absence de récompenses pour le partage de données </w:t>
      </w:r>
      <w:r>
        <w:rPr>
          <w:rFonts w:ascii="Times New Roman" w:hAnsi="Times New Roman"/>
          <w:noProof/>
          <w:sz w:val="24"/>
          <w:lang w:val="fr-BE"/>
        </w:rPr>
        <w:t>(principalement dans les milieux universitaires) et de base juridique claire</w:t>
      </w:r>
      <w:r>
        <w:rPr>
          <w:rStyle w:val="FootnoteReference"/>
          <w:rFonts w:ascii="Times New Roman" w:hAnsi="Times New Roman"/>
          <w:noProof/>
          <w:sz w:val="24"/>
        </w:rPr>
        <w:footnoteReference w:id="16"/>
      </w:r>
      <w:r>
        <w:rPr>
          <w:rFonts w:ascii="Times New Roman" w:hAnsi="Times New Roman"/>
          <w:noProof/>
          <w:sz w:val="24"/>
          <w:lang w:val="fr-BE"/>
        </w:rPr>
        <w:t xml:space="preserve"> (principalement dans le secteur public) ainsi que par la pénurie de compétences relatives aux données et le manque de reconnaissance de leur valeur (tous secteurs confondus). Le </w:t>
      </w:r>
      <w:r>
        <w:rPr>
          <w:rFonts w:ascii="Times New Roman" w:hAnsi="Times New Roman"/>
          <w:noProof/>
          <w:sz w:val="24"/>
          <w:lang w:val="fr-BE"/>
        </w:rPr>
        <w:t xml:space="preserve">cadre de protection des données de l'UE empêche les restrictions à la libre circulation des données à caractère personnel pour des motifs de protection de la vie privée et des données à caractère personnel. D'autres obstacles juridiques et techniques à la </w:t>
      </w:r>
      <w:r>
        <w:rPr>
          <w:rFonts w:ascii="Times New Roman" w:hAnsi="Times New Roman"/>
          <w:noProof/>
          <w:sz w:val="24"/>
          <w:lang w:val="fr-BE"/>
        </w:rPr>
        <w:t>libre circulation des données doivent encore être levés au moyen de la future initiative du marché unique numérique relative à la libre circulation des données.</w:t>
      </w:r>
    </w:p>
    <w:p w:rsidR="005B5FD5" w:rsidRDefault="005F12DE">
      <w:pPr>
        <w:widowControl w:val="0"/>
        <w:spacing w:before="120"/>
        <w:jc w:val="both"/>
        <w:rPr>
          <w:rFonts w:ascii="Times New Roman" w:hAnsi="Times New Roman"/>
          <w:noProof/>
          <w:sz w:val="24"/>
          <w:szCs w:val="24"/>
          <w:lang w:val="fr-BE"/>
        </w:rPr>
      </w:pPr>
      <w:r>
        <w:rPr>
          <w:rFonts w:ascii="Times New Roman" w:hAnsi="Times New Roman"/>
          <w:noProof/>
          <w:sz w:val="24"/>
          <w:lang w:val="fr-BE"/>
        </w:rPr>
        <w:t xml:space="preserve">Deuxièmement, le </w:t>
      </w:r>
      <w:r>
        <w:rPr>
          <w:rFonts w:ascii="Times New Roman" w:hAnsi="Times New Roman"/>
          <w:b/>
          <w:noProof/>
          <w:sz w:val="24"/>
          <w:lang w:val="fr-BE"/>
        </w:rPr>
        <w:t>manque d’interopérabilité</w:t>
      </w:r>
      <w:r>
        <w:rPr>
          <w:rFonts w:ascii="Times New Roman" w:hAnsi="Times New Roman"/>
          <w:noProof/>
          <w:sz w:val="24"/>
          <w:lang w:val="fr-BE"/>
        </w:rPr>
        <w:t xml:space="preserve"> empêche de relever les grands défis de société qui n</w:t>
      </w:r>
      <w:r>
        <w:rPr>
          <w:rFonts w:ascii="Times New Roman" w:hAnsi="Times New Roman"/>
          <w:noProof/>
          <w:sz w:val="24"/>
          <w:lang w:val="fr-BE"/>
        </w:rPr>
        <w:t>écessitent un partage efficient des données et une approche pluridisciplinaire et multi-acteurs, comme, par exemple, le problème du changement climatique, qui ne peut être résolu par les climatologues seuls. Si l'interopérabilité et le partage de données o</w:t>
      </w:r>
      <w:r>
        <w:rPr>
          <w:rFonts w:ascii="Times New Roman" w:hAnsi="Times New Roman"/>
          <w:noProof/>
          <w:sz w:val="24"/>
          <w:lang w:val="fr-BE"/>
        </w:rPr>
        <w:t>nt déjà fait l'objet de mesures dans certains secteurs (par exemple la localisation des données dans le cadre de la directive INSPIRE</w:t>
      </w:r>
      <w:r>
        <w:rPr>
          <w:rStyle w:val="FootnoteReference"/>
          <w:rFonts w:ascii="Times New Roman" w:hAnsi="Times New Roman"/>
          <w:noProof/>
          <w:sz w:val="24"/>
        </w:rPr>
        <w:footnoteReference w:id="17"/>
      </w:r>
      <w:r>
        <w:rPr>
          <w:rFonts w:ascii="Times New Roman" w:hAnsi="Times New Roman"/>
          <w:noProof/>
          <w:sz w:val="24"/>
          <w:lang w:val="fr-BE"/>
        </w:rPr>
        <w:t xml:space="preserve"> et les données en matière de santé dans le cadre de la directive sur les droits des patients</w:t>
      </w:r>
      <w:r>
        <w:rPr>
          <w:rStyle w:val="FootnoteReference"/>
          <w:rFonts w:ascii="Times New Roman" w:hAnsi="Times New Roman"/>
          <w:noProof/>
          <w:sz w:val="24"/>
        </w:rPr>
        <w:footnoteReference w:id="18"/>
      </w:r>
      <w:r>
        <w:rPr>
          <w:rFonts w:ascii="Times New Roman" w:hAnsi="Times New Roman"/>
          <w:noProof/>
          <w:sz w:val="24"/>
          <w:lang w:val="fr-BE"/>
        </w:rPr>
        <w:t xml:space="preserve">), de nombreux ensembles de </w:t>
      </w:r>
      <w:r>
        <w:rPr>
          <w:rFonts w:ascii="Times New Roman" w:hAnsi="Times New Roman"/>
          <w:noProof/>
          <w:sz w:val="24"/>
          <w:lang w:val="fr-BE"/>
        </w:rPr>
        <w:t>données demeurent néanmoins indisponibles pour les scientifiques, l'industrie, les administrations publiques et les décideurs politiques. Si l’interopérabilité des données administratives nécessite principalement des normes minimales et une sécurité juridi</w:t>
      </w:r>
      <w:r>
        <w:rPr>
          <w:rFonts w:ascii="Times New Roman" w:hAnsi="Times New Roman"/>
          <w:noProof/>
          <w:sz w:val="24"/>
          <w:lang w:val="fr-BE"/>
        </w:rPr>
        <w:t>que en termes d’accès et d’utilisation, ainsi qu'un soutien pratique</w:t>
      </w:r>
      <w:r>
        <w:rPr>
          <w:rStyle w:val="FootnoteReference"/>
          <w:rFonts w:ascii="Times New Roman" w:hAnsi="Times New Roman"/>
          <w:noProof/>
          <w:sz w:val="24"/>
        </w:rPr>
        <w:footnoteReference w:id="19"/>
      </w:r>
      <w:r>
        <w:rPr>
          <w:rFonts w:ascii="Times New Roman" w:hAnsi="Times New Roman"/>
          <w:noProof/>
          <w:sz w:val="24"/>
          <w:lang w:val="fr-BE"/>
        </w:rPr>
        <w:t>, le partage des données de la recherche est également entravé par la taille des ensembles de données, ses formats variés, la complexité du logiciel nécessaire pour l'analyser et un clois</w:t>
      </w:r>
      <w:r>
        <w:rPr>
          <w:rFonts w:ascii="Times New Roman" w:hAnsi="Times New Roman"/>
          <w:noProof/>
          <w:sz w:val="24"/>
          <w:lang w:val="fr-BE"/>
        </w:rPr>
        <w:t>onnement bien ancré entre les disciplines. Des «métadonnées» simples</w:t>
      </w:r>
      <w:r>
        <w:rPr>
          <w:rStyle w:val="FootnoteReference"/>
          <w:rFonts w:ascii="Times New Roman" w:hAnsi="Times New Roman"/>
          <w:noProof/>
          <w:sz w:val="24"/>
        </w:rPr>
        <w:footnoteReference w:id="20"/>
      </w:r>
      <w:r>
        <w:rPr>
          <w:rFonts w:ascii="Times New Roman" w:hAnsi="Times New Roman"/>
          <w:noProof/>
          <w:sz w:val="24"/>
          <w:lang w:val="fr-BE"/>
        </w:rPr>
        <w:t xml:space="preserve"> permettant d'identifier des données et des spécifications pour le partage de données sont nécessaires pour les rendre largement accessibles et prêtes à être traitées au moyen d'outils co</w:t>
      </w:r>
      <w:r>
        <w:rPr>
          <w:rFonts w:ascii="Times New Roman" w:hAnsi="Times New Roman"/>
          <w:noProof/>
          <w:sz w:val="24"/>
          <w:lang w:val="fr-BE"/>
        </w:rPr>
        <w:t>mmuns d’analyse de données à source ouverte. Il convient aussi d'aborder les questions de la protection et de la conservation à long terme des données. Il existe déjà des initiatives de terrain à l'échelle mondiale</w:t>
      </w:r>
      <w:r>
        <w:rPr>
          <w:rStyle w:val="FootnoteReference"/>
          <w:rFonts w:ascii="Times New Roman" w:hAnsi="Times New Roman"/>
          <w:noProof/>
          <w:sz w:val="24"/>
        </w:rPr>
        <w:footnoteReference w:id="21"/>
      </w:r>
      <w:r>
        <w:rPr>
          <w:rFonts w:ascii="Times New Roman" w:hAnsi="Times New Roman"/>
          <w:noProof/>
          <w:sz w:val="24"/>
          <w:lang w:val="fr-BE"/>
        </w:rPr>
        <w:t xml:space="preserve"> et certains États membres font des progr</w:t>
      </w:r>
      <w:r>
        <w:rPr>
          <w:rFonts w:ascii="Times New Roman" w:hAnsi="Times New Roman"/>
          <w:noProof/>
          <w:sz w:val="24"/>
          <w:lang w:val="fr-BE"/>
        </w:rPr>
        <w:t>ès dans ce domaine, mais la participation européenne à ces initiatives est limitée et ces efforts sont largement fragmentés.</w:t>
      </w:r>
    </w:p>
    <w:p w:rsidR="005B5FD5" w:rsidRDefault="005F12DE">
      <w:pPr>
        <w:spacing w:before="120" w:after="120"/>
        <w:jc w:val="both"/>
        <w:rPr>
          <w:rFonts w:ascii="Times New Roman" w:eastAsia="Times New Roman" w:hAnsi="Times New Roman"/>
          <w:noProof/>
          <w:sz w:val="24"/>
          <w:szCs w:val="24"/>
          <w:lang w:val="fr-BE"/>
        </w:rPr>
      </w:pPr>
      <w:r>
        <w:rPr>
          <w:rFonts w:ascii="Times New Roman" w:hAnsi="Times New Roman"/>
          <w:noProof/>
          <w:sz w:val="24"/>
          <w:lang w:val="fr-BE"/>
        </w:rPr>
        <w:t xml:space="preserve">Troisièmement, la </w:t>
      </w:r>
      <w:r>
        <w:rPr>
          <w:rFonts w:ascii="Times New Roman" w:hAnsi="Times New Roman"/>
          <w:b/>
          <w:noProof/>
          <w:sz w:val="24"/>
          <w:lang w:val="fr-BE"/>
        </w:rPr>
        <w:t xml:space="preserve">fragmentation </w:t>
      </w:r>
      <w:r>
        <w:rPr>
          <w:rFonts w:ascii="Times New Roman" w:hAnsi="Times New Roman"/>
          <w:noProof/>
          <w:sz w:val="24"/>
          <w:lang w:val="fr-BE"/>
        </w:rPr>
        <w:t>constitue une entrave à la science fondée sur les données</w:t>
      </w:r>
      <w:r>
        <w:rPr>
          <w:rStyle w:val="FootnoteReference"/>
          <w:rFonts w:ascii="Times New Roman" w:hAnsi="Times New Roman"/>
          <w:noProof/>
          <w:sz w:val="24"/>
        </w:rPr>
        <w:footnoteReference w:id="22"/>
      </w:r>
      <w:r>
        <w:rPr>
          <w:rFonts w:ascii="Times New Roman" w:hAnsi="Times New Roman"/>
          <w:noProof/>
          <w:sz w:val="24"/>
          <w:lang w:val="fr-BE"/>
        </w:rPr>
        <w:t xml:space="preserve">. Les infrastructures de données sont </w:t>
      </w:r>
      <w:r>
        <w:rPr>
          <w:rFonts w:ascii="Times New Roman" w:hAnsi="Times New Roman"/>
          <w:noProof/>
          <w:sz w:val="24"/>
          <w:lang w:val="fr-BE"/>
        </w:rPr>
        <w:t>fragmentées entre les domaines scientifiques et économiques, les pays et les modèles de gouvernance. Les politiques d’accès pour la mise en réseau, le stockage de données et les infrastructures informatiques diffèrent. Des infrastructures de données et inf</w:t>
      </w:r>
      <w:r>
        <w:rPr>
          <w:rFonts w:ascii="Times New Roman" w:hAnsi="Times New Roman"/>
          <w:noProof/>
          <w:sz w:val="24"/>
          <w:lang w:val="fr-BE"/>
        </w:rPr>
        <w:t>ormatiques déconnectées et lentes freinent la découverte scientifique, génèrent des cloisonnements et ralentissent la circulation des connaissances. Des données de la recherche pouvant être partagées, des outils d’analyse de données ouverts et des systèmes</w:t>
      </w:r>
      <w:r>
        <w:rPr>
          <w:rFonts w:ascii="Times New Roman" w:hAnsi="Times New Roman"/>
          <w:noProof/>
          <w:sz w:val="24"/>
          <w:lang w:val="fr-BE"/>
        </w:rPr>
        <w:t xml:space="preserve"> informatiques connectés doivent être disponibles pour la grande majorité des chercheurs</w:t>
      </w:r>
      <w:r>
        <w:rPr>
          <w:rStyle w:val="FootnoteReference"/>
          <w:rFonts w:ascii="Times New Roman" w:hAnsi="Times New Roman"/>
          <w:noProof/>
          <w:sz w:val="24"/>
        </w:rPr>
        <w:footnoteReference w:id="23"/>
      </w:r>
      <w:r>
        <w:rPr>
          <w:rFonts w:ascii="Times New Roman" w:hAnsi="Times New Roman"/>
          <w:noProof/>
          <w:sz w:val="24"/>
          <w:lang w:val="fr-BE"/>
        </w:rPr>
        <w:t xml:space="preserve"> en Europe, et pas seulement pour les scientifiques de haut niveau appartenant aux disciplines phares des principaux organismes de recherche. De plus, les universités </w:t>
      </w:r>
      <w:r>
        <w:rPr>
          <w:rFonts w:ascii="Times New Roman" w:hAnsi="Times New Roman"/>
          <w:noProof/>
          <w:sz w:val="24"/>
          <w:lang w:val="fr-BE"/>
        </w:rPr>
        <w:t>et les centres de recherche européens opèrent généralement dans le cadre de structures nationales et ne disposent pas d'un environnement de dimension européenne pour l'analyse informatique, l'analyse du stockage et l'analyse des données, ce qui rend la coo</w:t>
      </w:r>
      <w:r>
        <w:rPr>
          <w:rFonts w:ascii="Times New Roman" w:hAnsi="Times New Roman"/>
          <w:noProof/>
          <w:sz w:val="24"/>
          <w:lang w:val="fr-BE"/>
        </w:rPr>
        <w:t>pération scientifique dans l’UE plus difficile, en particulier la coopération pluridisciplinaire basée sur des données</w:t>
      </w:r>
      <w:r>
        <w:rPr>
          <w:rStyle w:val="FootnoteReference"/>
          <w:rFonts w:ascii="Times New Roman" w:hAnsi="Times New Roman"/>
          <w:noProof/>
          <w:sz w:val="24"/>
        </w:rPr>
        <w:footnoteReference w:id="24"/>
      </w:r>
      <w:r>
        <w:rPr>
          <w:rFonts w:ascii="Times New Roman" w:hAnsi="Times New Roman"/>
          <w:noProof/>
          <w:sz w:val="24"/>
          <w:lang w:val="fr-BE"/>
        </w:rPr>
        <w:t>. Dans le cadre d’une récente consultation publique</w:t>
      </w:r>
      <w:r>
        <w:rPr>
          <w:rStyle w:val="FootnoteReference"/>
          <w:rFonts w:ascii="Times New Roman" w:hAnsi="Times New Roman"/>
          <w:noProof/>
          <w:sz w:val="24"/>
        </w:rPr>
        <w:footnoteReference w:id="25"/>
      </w:r>
      <w:r>
        <w:rPr>
          <w:rFonts w:ascii="Times New Roman" w:hAnsi="Times New Roman"/>
          <w:noProof/>
          <w:sz w:val="24"/>
          <w:lang w:val="fr-BE"/>
        </w:rPr>
        <w:t>, la grande majorité des personnes interrogées a répondu que le nuage européen pour l</w:t>
      </w:r>
      <w:r>
        <w:rPr>
          <w:rFonts w:ascii="Times New Roman" w:hAnsi="Times New Roman"/>
          <w:noProof/>
          <w:sz w:val="24"/>
          <w:lang w:val="fr-BE"/>
        </w:rPr>
        <w:t>a science ouverte rendrait la science plus efficace en améliorant le partage des ressources aux niveaux national et international.</w:t>
      </w:r>
    </w:p>
    <w:p w:rsidR="005B5FD5" w:rsidRDefault="005F12DE">
      <w:pPr>
        <w:widowControl w:val="0"/>
        <w:spacing w:after="120"/>
        <w:jc w:val="both"/>
        <w:rPr>
          <w:rFonts w:ascii="Times New Roman" w:eastAsia="Times New Roman" w:hAnsi="Times New Roman"/>
          <w:noProof/>
          <w:sz w:val="24"/>
          <w:szCs w:val="24"/>
          <w:lang w:val="fr-BE"/>
        </w:rPr>
      </w:pPr>
      <w:r>
        <w:rPr>
          <w:rFonts w:ascii="Times New Roman" w:hAnsi="Times New Roman"/>
          <w:noProof/>
          <w:sz w:val="24"/>
          <w:lang w:val="fr-BE"/>
        </w:rPr>
        <w:t xml:space="preserve">Quatrièmement, on constate, en Europe, une montée de la demande pour une </w:t>
      </w:r>
      <w:r>
        <w:rPr>
          <w:rFonts w:ascii="Times New Roman" w:hAnsi="Times New Roman"/>
          <w:b/>
          <w:noProof/>
          <w:sz w:val="24"/>
          <w:lang w:val="fr-BE"/>
        </w:rPr>
        <w:t>infrastructure de calcul à haute performance (CHP) d</w:t>
      </w:r>
      <w:r>
        <w:rPr>
          <w:rFonts w:ascii="Times New Roman" w:hAnsi="Times New Roman"/>
          <w:b/>
          <w:noProof/>
          <w:sz w:val="24"/>
          <w:lang w:val="fr-BE"/>
        </w:rPr>
        <w:t>e rang mondial permettant de traiter des données</w:t>
      </w:r>
      <w:r>
        <w:rPr>
          <w:rStyle w:val="FootnoteReference"/>
          <w:rFonts w:ascii="Times New Roman" w:hAnsi="Times New Roman"/>
          <w:b/>
          <w:noProof/>
          <w:sz w:val="24"/>
        </w:rPr>
        <w:footnoteReference w:id="26"/>
      </w:r>
      <w:r>
        <w:rPr>
          <w:rFonts w:ascii="Times New Roman" w:hAnsi="Times New Roman"/>
          <w:noProof/>
          <w:sz w:val="24"/>
          <w:lang w:val="fr-BE"/>
        </w:rPr>
        <w:t xml:space="preserve"> dans les domaines de la science et de l’ingénierie: simulation d’un avion de nouvelle génération complet; modélisation du climat; lien entre génome et santé; compréhension du cerveau humain; tests </w:t>
      </w:r>
      <w:r>
        <w:rPr>
          <w:rFonts w:ascii="Times New Roman" w:hAnsi="Times New Roman"/>
          <w:i/>
          <w:noProof/>
          <w:sz w:val="24"/>
          <w:lang w:val="fr-BE"/>
        </w:rPr>
        <w:t>in silico</w:t>
      </w:r>
      <w:r>
        <w:rPr>
          <w:rFonts w:ascii="Times New Roman" w:hAnsi="Times New Roman"/>
          <w:noProof/>
          <w:sz w:val="24"/>
          <w:lang w:val="fr-BE"/>
        </w:rPr>
        <w:t xml:space="preserve"> de cosmétiques pour réduire l’expérimentation animale – toutes ces initiatives nécessitent des capacités de calcul à l'échelle exa (exascale). Si, à long terme, l’</w:t>
      </w:r>
      <w:r>
        <w:rPr>
          <w:rFonts w:ascii="Times New Roman" w:hAnsi="Times New Roman"/>
          <w:b/>
          <w:noProof/>
          <w:sz w:val="24"/>
          <w:lang w:val="fr-BE"/>
        </w:rPr>
        <w:t>informatique quantique</w:t>
      </w:r>
      <w:r>
        <w:rPr>
          <w:rFonts w:ascii="Times New Roman" w:hAnsi="Times New Roman"/>
          <w:noProof/>
          <w:sz w:val="24"/>
          <w:lang w:val="fr-BE"/>
        </w:rPr>
        <w:t xml:space="preserve"> recèle la promesse de résoudre les problèmes de calcul dont l'ampleur</w:t>
      </w:r>
      <w:r>
        <w:rPr>
          <w:rFonts w:ascii="Times New Roman" w:hAnsi="Times New Roman"/>
          <w:noProof/>
          <w:sz w:val="24"/>
          <w:lang w:val="fr-BE"/>
        </w:rPr>
        <w:t xml:space="preserve"> dépasse les capacités des superordinateurs actuels</w:t>
      </w:r>
      <w:r>
        <w:rPr>
          <w:rStyle w:val="FootnoteReference"/>
          <w:rFonts w:ascii="Times New Roman" w:hAnsi="Times New Roman"/>
          <w:noProof/>
          <w:sz w:val="24"/>
        </w:rPr>
        <w:footnoteReference w:id="27"/>
      </w:r>
      <w:r>
        <w:rPr>
          <w:rFonts w:ascii="Times New Roman" w:hAnsi="Times New Roman"/>
          <w:noProof/>
          <w:sz w:val="24"/>
          <w:lang w:val="fr-BE"/>
        </w:rPr>
        <w:t>, la compétitivité de l’UE dépend néanmoins aussi du soutien apporté par le CHP aux infrastructures de données paneuropéennes.</w:t>
      </w:r>
    </w:p>
    <w:p w:rsidR="005B5FD5" w:rsidRDefault="005F12DE">
      <w:pPr>
        <w:spacing w:after="120"/>
        <w:jc w:val="both"/>
        <w:rPr>
          <w:rFonts w:ascii="Times New Roman" w:eastAsia="Times New Roman" w:hAnsi="Times New Roman"/>
          <w:noProof/>
          <w:sz w:val="24"/>
          <w:szCs w:val="24"/>
          <w:lang w:val="fr-BE"/>
        </w:rPr>
      </w:pPr>
      <w:r>
        <w:rPr>
          <w:rFonts w:ascii="Times New Roman" w:hAnsi="Times New Roman"/>
          <w:noProof/>
          <w:sz w:val="24"/>
          <w:lang w:val="fr-BE"/>
        </w:rPr>
        <w:t>À l'échelle mondiale, les États-Unis, la Chine, le Japon, la Russie et l’Inde</w:t>
      </w:r>
      <w:r>
        <w:rPr>
          <w:rFonts w:ascii="Times New Roman" w:hAnsi="Times New Roman"/>
          <w:noProof/>
          <w:sz w:val="24"/>
          <w:lang w:val="fr-BE"/>
        </w:rPr>
        <w:t xml:space="preserve"> avancent rapidement. Ces pays ont fait du CHP une priorité stratégique; ils financent des programmes de développement d’écosystèmes CHP nationaux (matériel, logiciels, applications, compétences, services et interconnexions) et travaillent au déploiement d</w:t>
      </w:r>
      <w:r>
        <w:rPr>
          <w:rFonts w:ascii="Times New Roman" w:hAnsi="Times New Roman"/>
          <w:noProof/>
          <w:sz w:val="24"/>
          <w:lang w:val="fr-BE"/>
        </w:rPr>
        <w:t>e superordinateurs exaflopiques</w:t>
      </w:r>
      <w:r>
        <w:rPr>
          <w:rStyle w:val="FootnoteReference"/>
          <w:rFonts w:ascii="Times New Roman" w:hAnsi="Times New Roman"/>
          <w:noProof/>
          <w:sz w:val="24"/>
        </w:rPr>
        <w:footnoteReference w:id="28"/>
      </w:r>
      <w:r>
        <w:rPr>
          <w:rFonts w:ascii="Times New Roman" w:hAnsi="Times New Roman"/>
          <w:noProof/>
          <w:sz w:val="24"/>
          <w:lang w:val="fr-BE"/>
        </w:rPr>
        <w:t>. L’Europe ne participe pas à la course au CHP à la hauteur de son potentiel économique et de connaissances; elle accuse un retard par rapport à d’autres régions parce qu’elle n'investit pas dans son écosystème CHP et ne tir</w:t>
      </w:r>
      <w:r>
        <w:rPr>
          <w:rFonts w:ascii="Times New Roman" w:hAnsi="Times New Roman"/>
          <w:noProof/>
          <w:sz w:val="24"/>
          <w:lang w:val="fr-BE"/>
        </w:rPr>
        <w:t>e pas profit des avantages de la propriété intellectuelle dans ce domaine. Du côté de l’offre, l’industrie européenne fournit environ 5 % des ressources CHP dans le monde, alors qu’elle consomme un tiers de celles-ci. L’Europe dépendant de plus en plus d'a</w:t>
      </w:r>
      <w:r>
        <w:rPr>
          <w:rFonts w:ascii="Times New Roman" w:hAnsi="Times New Roman"/>
          <w:noProof/>
          <w:sz w:val="24"/>
          <w:lang w:val="fr-BE"/>
        </w:rPr>
        <w:t>utres régions pour la technologie critique, elle est exposée à un risque de blocage ou de retard sur le plan technologique ou risque d'être privée de savoir-faire stratégique. L’Europe est également à la traîne en simples termes de puissance de calcul tota</w:t>
      </w:r>
      <w:r>
        <w:rPr>
          <w:rFonts w:ascii="Times New Roman" w:hAnsi="Times New Roman"/>
          <w:noProof/>
          <w:sz w:val="24"/>
          <w:lang w:val="fr-BE"/>
        </w:rPr>
        <w:t>le:</w:t>
      </w:r>
      <w:r>
        <w:rPr>
          <w:rFonts w:ascii="Times New Roman" w:hAnsi="Times New Roman"/>
          <w:noProof/>
          <w:lang w:val="fr-BE"/>
        </w:rPr>
        <w:t xml:space="preserve"> </w:t>
      </w:r>
      <w:r>
        <w:rPr>
          <w:rFonts w:ascii="Times New Roman" w:hAnsi="Times New Roman"/>
          <w:noProof/>
          <w:sz w:val="24"/>
          <w:lang w:val="fr-BE"/>
        </w:rPr>
        <w:t>seule une des dix infrastructures de CHP de premier plan est établie dans l’UE, à savoir le Höchstleistungsrechenzentrum Stuttgart, en Allemagne, qui se classe au 8</w:t>
      </w:r>
      <w:r>
        <w:rPr>
          <w:rFonts w:ascii="Times New Roman" w:hAnsi="Times New Roman"/>
          <w:noProof/>
          <w:sz w:val="24"/>
          <w:vertAlign w:val="superscript"/>
          <w:lang w:val="fr-BE"/>
        </w:rPr>
        <w:t>e</w:t>
      </w:r>
      <w:r>
        <w:rPr>
          <w:rFonts w:ascii="Times New Roman" w:hAnsi="Times New Roman"/>
          <w:noProof/>
          <w:sz w:val="24"/>
          <w:lang w:val="fr-BE"/>
        </w:rPr>
        <w:t> rang mondial. Les États-Unis en comptent cinq et la Chine dispose du superordinateur l</w:t>
      </w:r>
      <w:r>
        <w:rPr>
          <w:rFonts w:ascii="Times New Roman" w:hAnsi="Times New Roman"/>
          <w:noProof/>
          <w:sz w:val="24"/>
          <w:lang w:val="fr-BE"/>
        </w:rPr>
        <w:t>e plus rapide au monde depuis 2013.</w:t>
      </w:r>
    </w:p>
    <w:p w:rsidR="005B5FD5" w:rsidRDefault="005F12DE">
      <w:pPr>
        <w:spacing w:after="120"/>
        <w:jc w:val="both"/>
        <w:rPr>
          <w:rFonts w:ascii="Times New Roman" w:hAnsi="Times New Roman"/>
          <w:noProof/>
          <w:sz w:val="24"/>
          <w:szCs w:val="24"/>
          <w:lang w:val="fr-BE"/>
        </w:rPr>
      </w:pPr>
      <w:r>
        <w:rPr>
          <w:rFonts w:ascii="Times New Roman" w:hAnsi="Times New Roman"/>
          <w:noProof/>
          <w:sz w:val="24"/>
          <w:lang w:val="fr-BE"/>
        </w:rPr>
        <w:t>Aucun État membre ne dispose à lui seul des ressources financières suffisantes pour développer l’</w:t>
      </w:r>
      <w:r>
        <w:rPr>
          <w:rFonts w:ascii="Times New Roman" w:hAnsi="Times New Roman"/>
          <w:b/>
          <w:noProof/>
          <w:sz w:val="24"/>
          <w:lang w:val="fr-BE"/>
        </w:rPr>
        <w:t>écosystème CHP nécessaire</w:t>
      </w:r>
      <w:r>
        <w:rPr>
          <w:rFonts w:ascii="Times New Roman" w:hAnsi="Times New Roman"/>
          <w:noProof/>
          <w:sz w:val="24"/>
          <w:lang w:val="fr-BE"/>
        </w:rPr>
        <w:t xml:space="preserve"> dans des délais permettant de rester compétitif par rapport aux États-Unis, au Japon ou à la Chin</w:t>
      </w:r>
      <w:r>
        <w:rPr>
          <w:rFonts w:ascii="Times New Roman" w:hAnsi="Times New Roman"/>
          <w:noProof/>
          <w:sz w:val="24"/>
          <w:lang w:val="fr-BE"/>
        </w:rPr>
        <w:t>e</w:t>
      </w:r>
      <w:r>
        <w:rPr>
          <w:rStyle w:val="FootnoteReference"/>
          <w:rFonts w:ascii="Times New Roman" w:hAnsi="Times New Roman"/>
          <w:noProof/>
          <w:sz w:val="24"/>
        </w:rPr>
        <w:footnoteReference w:id="29"/>
      </w:r>
      <w:r>
        <w:rPr>
          <w:rFonts w:ascii="Times New Roman" w:hAnsi="Times New Roman"/>
          <w:noProof/>
          <w:sz w:val="24"/>
          <w:lang w:val="fr-BE"/>
        </w:rPr>
        <w:t>. Toutefois, à ce jour, aucune mesure commune n'a été prise pour combler l’écart entre la demande interne et l’offre de l’UE</w:t>
      </w:r>
      <w:r>
        <w:rPr>
          <w:rStyle w:val="FootnoteReference"/>
          <w:rFonts w:ascii="Times New Roman" w:hAnsi="Times New Roman"/>
          <w:noProof/>
          <w:sz w:val="24"/>
        </w:rPr>
        <w:footnoteReference w:id="30"/>
      </w:r>
      <w:r>
        <w:rPr>
          <w:rFonts w:ascii="Times New Roman" w:hAnsi="Times New Roman"/>
          <w:noProof/>
          <w:sz w:val="24"/>
          <w:lang w:val="fr-BE"/>
        </w:rPr>
        <w:t>. L’UE a mis en place un partenariat public-privé contractuel sur le CHP pour développer une technologie exascale, mais il n’exis</w:t>
      </w:r>
      <w:r>
        <w:rPr>
          <w:rFonts w:ascii="Times New Roman" w:hAnsi="Times New Roman"/>
          <w:noProof/>
          <w:sz w:val="24"/>
          <w:lang w:val="fr-BE"/>
        </w:rPr>
        <w:t xml:space="preserve">te pas de cadre européen pour l’intégrer dans des systèmes informatiques à grande échelle. </w:t>
      </w:r>
    </w:p>
    <w:p w:rsidR="005B5FD5" w:rsidRDefault="005F12DE">
      <w:pPr>
        <w:spacing w:after="120"/>
        <w:jc w:val="both"/>
        <w:rPr>
          <w:rFonts w:ascii="Times New Roman" w:hAnsi="Times New Roman"/>
          <w:noProof/>
          <w:sz w:val="24"/>
          <w:szCs w:val="24"/>
          <w:lang w:val="fr-BE"/>
        </w:rPr>
      </w:pPr>
      <w:r>
        <w:rPr>
          <w:rFonts w:ascii="Times New Roman" w:hAnsi="Times New Roman"/>
          <w:noProof/>
          <w:sz w:val="24"/>
          <w:lang w:val="fr-BE"/>
        </w:rPr>
        <w:t>Enfin, les producteurs et les utilisateurs de données scientifiques doivent être en mesure de réutiliser les données et d’utiliser des techniques d'analyse de point</w:t>
      </w:r>
      <w:r>
        <w:rPr>
          <w:rFonts w:ascii="Times New Roman" w:hAnsi="Times New Roman"/>
          <w:noProof/>
          <w:sz w:val="24"/>
          <w:lang w:val="fr-BE"/>
        </w:rPr>
        <w:t>e, telles que la fouille de textes et de données, dans un environnement qui soit au moins aussi fiable que leurs propres installations. Les États membres ont fortement insisté sur l’importance des données de la recherche de l’UE et sur la nécessité de fair</w:t>
      </w:r>
      <w:r>
        <w:rPr>
          <w:rFonts w:ascii="Times New Roman" w:hAnsi="Times New Roman"/>
          <w:noProof/>
          <w:sz w:val="24"/>
          <w:lang w:val="fr-BE"/>
        </w:rPr>
        <w:t>e en sorte que la science fondée sur les données profite à la société européenne</w:t>
      </w:r>
      <w:r>
        <w:rPr>
          <w:rStyle w:val="FootnoteReference"/>
          <w:rFonts w:ascii="Times New Roman" w:hAnsi="Times New Roman"/>
          <w:noProof/>
          <w:sz w:val="24"/>
        </w:rPr>
        <w:footnoteReference w:id="31"/>
      </w:r>
      <w:r>
        <w:rPr>
          <w:rFonts w:ascii="Times New Roman" w:hAnsi="Times New Roman"/>
          <w:noProof/>
          <w:sz w:val="24"/>
          <w:lang w:val="fr-BE"/>
        </w:rPr>
        <w:t>. Toute utilisation et toute réutilisation de données scientifiques doivent faire en sorte que les données à caractère personnel soient correctement protégées selon les règles</w:t>
      </w:r>
      <w:r>
        <w:rPr>
          <w:rFonts w:ascii="Times New Roman" w:hAnsi="Times New Roman"/>
          <w:noProof/>
          <w:sz w:val="24"/>
          <w:lang w:val="fr-BE"/>
        </w:rPr>
        <w:t xml:space="preserve"> de l'UE en matière de protection des données</w:t>
      </w:r>
      <w:r>
        <w:rPr>
          <w:rStyle w:val="FootnoteReference"/>
          <w:rFonts w:ascii="Times New Roman" w:hAnsi="Times New Roman"/>
          <w:noProof/>
          <w:sz w:val="24"/>
        </w:rPr>
        <w:footnoteReference w:id="32"/>
      </w:r>
      <w:r>
        <w:rPr>
          <w:rFonts w:ascii="Times New Roman" w:hAnsi="Times New Roman"/>
          <w:noProof/>
          <w:sz w:val="24"/>
          <w:lang w:val="fr-BE"/>
        </w:rPr>
        <w:t>. La présente révision de la législation européenne en matière de droit d’auteur et celle qui suivra</w:t>
      </w:r>
      <w:r>
        <w:rPr>
          <w:rStyle w:val="FootnoteReference"/>
          <w:rFonts w:ascii="Times New Roman" w:hAnsi="Times New Roman"/>
          <w:noProof/>
          <w:color w:val="000000"/>
          <w:sz w:val="24"/>
        </w:rPr>
        <w:footnoteReference w:id="33"/>
      </w:r>
      <w:r>
        <w:rPr>
          <w:rFonts w:ascii="Times New Roman" w:hAnsi="Times New Roman"/>
          <w:noProof/>
          <w:sz w:val="24"/>
          <w:lang w:val="fr-BE"/>
        </w:rPr>
        <w:t xml:space="preserve"> fournissent des cadres généraux présentant un intérêt dans ce contexte.</w:t>
      </w:r>
    </w:p>
    <w:p w:rsidR="005B5FD5" w:rsidRDefault="005F12DE">
      <w:pPr>
        <w:pStyle w:val="Heading1"/>
        <w:rPr>
          <w:rFonts w:ascii="Times New Roman" w:hAnsi="Times New Roman" w:cs="Times New Roman"/>
          <w:noProof/>
          <w:color w:val="auto"/>
        </w:rPr>
      </w:pPr>
      <w:bookmarkStart w:id="8" w:name="_Toc431918266"/>
      <w:bookmarkStart w:id="9" w:name="_Toc433704776"/>
      <w:r>
        <w:rPr>
          <w:rFonts w:ascii="Times New Roman" w:hAnsi="Times New Roman"/>
          <w:noProof/>
          <w:color w:val="auto"/>
        </w:rPr>
        <w:t>Quelles solutions existent?</w:t>
      </w:r>
      <w:bookmarkEnd w:id="8"/>
      <w:bookmarkEnd w:id="9"/>
    </w:p>
    <w:p w:rsidR="005B5FD5" w:rsidRDefault="005F12DE">
      <w:pPr>
        <w:pStyle w:val="Heading2"/>
        <w:numPr>
          <w:ilvl w:val="0"/>
          <w:numId w:val="57"/>
        </w:numPr>
        <w:spacing w:after="120"/>
        <w:ind w:left="567" w:hanging="567"/>
        <w:rPr>
          <w:rFonts w:ascii="Times New Roman" w:hAnsi="Times New Roman"/>
          <w:noProof/>
          <w:color w:val="auto"/>
          <w:lang w:val="fr-BE"/>
        </w:rPr>
      </w:pPr>
      <w:r>
        <w:rPr>
          <w:rFonts w:ascii="Times New Roman" w:hAnsi="Times New Roman"/>
          <w:noProof/>
          <w:color w:val="auto"/>
          <w:lang w:val="fr-BE"/>
        </w:rPr>
        <w:t xml:space="preserve">Nuage </w:t>
      </w:r>
      <w:r>
        <w:rPr>
          <w:rFonts w:ascii="Times New Roman" w:hAnsi="Times New Roman"/>
          <w:noProof/>
          <w:color w:val="auto"/>
          <w:lang w:val="fr-BE"/>
        </w:rPr>
        <w:t>européen pour la science ouverte</w:t>
      </w:r>
    </w:p>
    <w:p w:rsidR="005B5FD5" w:rsidRDefault="005F12DE">
      <w:pPr>
        <w:jc w:val="both"/>
        <w:rPr>
          <w:rFonts w:ascii="Times New Roman" w:hAnsi="Times New Roman"/>
          <w:noProof/>
          <w:sz w:val="24"/>
          <w:szCs w:val="24"/>
          <w:lang w:val="fr-BE"/>
        </w:rPr>
      </w:pPr>
      <w:r>
        <w:rPr>
          <w:rFonts w:ascii="Times New Roman" w:hAnsi="Times New Roman"/>
          <w:noProof/>
          <w:sz w:val="24"/>
          <w:lang w:val="fr-BE"/>
        </w:rPr>
        <w:t>Le nuage européen pour la science ouverte vise à conférer à l’Europe une position de leader mondial dans le domaine des infrastructures de données scientifiques, afin de permettre aux scientifiques européens de tirer pleine</w:t>
      </w:r>
      <w:r>
        <w:rPr>
          <w:rFonts w:ascii="Times New Roman" w:hAnsi="Times New Roman"/>
          <w:noProof/>
          <w:sz w:val="24"/>
          <w:lang w:val="fr-BE"/>
        </w:rPr>
        <w:t>ment profit de la science fondée sur les données. Pratiquement, il offrira à 1,7 million de chercheurs européens et à 70 millions de professionnels de la science et de la technologie un environnement virtuel présentant les caractéristiques suivantes: gratu</w:t>
      </w:r>
      <w:r>
        <w:rPr>
          <w:rFonts w:ascii="Times New Roman" w:hAnsi="Times New Roman"/>
          <w:noProof/>
          <w:sz w:val="24"/>
          <w:lang w:val="fr-BE"/>
        </w:rPr>
        <w:t>ité au point de service, services de stockage, de gestion, d’analyse et de réutilisation des données de la recherche ouverts et sans discontinuité, par-delà les frontières et dans l'ensemble des disciplines scientifiques. Son développement sera porté par l</w:t>
      </w:r>
      <w:r>
        <w:rPr>
          <w:rFonts w:ascii="Times New Roman" w:hAnsi="Times New Roman"/>
          <w:noProof/>
          <w:sz w:val="24"/>
          <w:lang w:val="fr-BE"/>
        </w:rPr>
        <w:t>a communauté scientifique, qui regroupe les utilisateurs les plus avancés et les plus grands producteurs de travaux scientifiques du monde. Le nuage européen pour la science ouverte sera également ouvert à des fins d’éducation et de formation dans l’enseig</w:t>
      </w:r>
      <w:r>
        <w:rPr>
          <w:rFonts w:ascii="Times New Roman" w:hAnsi="Times New Roman"/>
          <w:noProof/>
          <w:sz w:val="24"/>
          <w:lang w:val="fr-BE"/>
        </w:rPr>
        <w:t>nement supérieur ainsi que, au fil du temps, aux utilisateurs de l'administration et du monde des entreprises, puisque les technologies développées seront appelées à être utilisées à une plus large échelle.</w:t>
      </w:r>
    </w:p>
    <w:p w:rsidR="005B5FD5" w:rsidRDefault="005B5FD5">
      <w:pPr>
        <w:jc w:val="both"/>
        <w:rPr>
          <w:rFonts w:ascii="Times New Roman" w:hAnsi="Times New Roman"/>
          <w:noProof/>
          <w:sz w:val="24"/>
          <w:szCs w:val="24"/>
          <w:lang w:val="fr-BE"/>
        </w:rPr>
      </w:pPr>
    </w:p>
    <w:p w:rsidR="005B5FD5" w:rsidRDefault="005F12DE">
      <w:pPr>
        <w:jc w:val="both"/>
        <w:rPr>
          <w:rFonts w:ascii="Times New Roman" w:hAnsi="Times New Roman"/>
          <w:noProof/>
          <w:sz w:val="24"/>
          <w:szCs w:val="24"/>
          <w:lang w:val="fr-BE"/>
        </w:rPr>
      </w:pPr>
      <w:r>
        <w:rPr>
          <w:rFonts w:ascii="Times New Roman" w:hAnsi="Times New Roman"/>
          <w:noProof/>
          <w:sz w:val="24"/>
          <w:lang w:val="fr-BE"/>
        </w:rPr>
        <w:t>Le nuage européen pour la science ouverte commen</w:t>
      </w:r>
      <w:r>
        <w:rPr>
          <w:rFonts w:ascii="Times New Roman" w:hAnsi="Times New Roman"/>
          <w:noProof/>
          <w:sz w:val="24"/>
          <w:lang w:val="fr-BE"/>
        </w:rPr>
        <w:t>cera par fédérer les infrastructures de données scientifiques existantes, aujourd’hui dispersées entre les différents domaines et les différents États membres. L’accès aux données scientifiques sera ainsi plus facile, moins coûteux et plus efficient. Le nu</w:t>
      </w:r>
      <w:r>
        <w:rPr>
          <w:rFonts w:ascii="Times New Roman" w:hAnsi="Times New Roman"/>
          <w:noProof/>
          <w:sz w:val="24"/>
          <w:lang w:val="fr-BE"/>
        </w:rPr>
        <w:t>age européen pour la science ouverte permettra de créer de nouveaux débouchés commerciaux et de nouvelles solutions dans des domaines clés tels que la santé, l’environnement ou le transport. Il offrira un environnement sûr où le respect de la vie privée et</w:t>
      </w:r>
      <w:r>
        <w:rPr>
          <w:rFonts w:ascii="Times New Roman" w:hAnsi="Times New Roman"/>
          <w:noProof/>
          <w:sz w:val="24"/>
          <w:lang w:val="fr-BE"/>
        </w:rPr>
        <w:t xml:space="preserve"> la protection des données doivent être garantis dès la conception sur la base de normes reconnues, et où les utilisateurs seront protégés contre les risques liés à la sécurité des données et à la responsabilité. Il tirera parti des autres mesures prises p</w:t>
      </w:r>
      <w:r>
        <w:rPr>
          <w:rFonts w:ascii="Times New Roman" w:hAnsi="Times New Roman"/>
          <w:noProof/>
          <w:sz w:val="24"/>
          <w:lang w:val="fr-BE"/>
        </w:rPr>
        <w:t>ar la Commission pour promouvoir la science ouverte en Europe, telles que celles promouvant le libre accès aux publications et données scientifiques dans le cadre d’Horizon 2020, et réunira les principales parties prenantes pour concevoir de concert les pr</w:t>
      </w:r>
      <w:r>
        <w:rPr>
          <w:rFonts w:ascii="Times New Roman" w:hAnsi="Times New Roman"/>
          <w:noProof/>
          <w:sz w:val="24"/>
          <w:lang w:val="fr-BE"/>
        </w:rPr>
        <w:t>ochaines mesures à prendre. La gouvernance du nuage européen pour la science ouverte sera déterminée à l’issue d’un processus complet d'élaboration qui est déjà en cours.</w:t>
      </w:r>
    </w:p>
    <w:p w:rsidR="005B5FD5" w:rsidRDefault="005F12DE">
      <w:pPr>
        <w:spacing w:before="120"/>
        <w:jc w:val="both"/>
        <w:rPr>
          <w:rFonts w:ascii="Times New Roman" w:hAnsi="Times New Roman"/>
          <w:noProof/>
          <w:sz w:val="24"/>
          <w:szCs w:val="24"/>
          <w:lang w:val="fr-BE"/>
        </w:rPr>
      </w:pPr>
      <w:r>
        <w:rPr>
          <w:rFonts w:ascii="Times New Roman" w:hAnsi="Times New Roman"/>
          <w:noProof/>
          <w:sz w:val="24"/>
          <w:lang w:val="fr-BE"/>
        </w:rPr>
        <w:t>Plus précisément, pour développer le nuage européen pour la science ouverte, il convi</w:t>
      </w:r>
      <w:r>
        <w:rPr>
          <w:rFonts w:ascii="Times New Roman" w:hAnsi="Times New Roman"/>
          <w:noProof/>
          <w:sz w:val="24"/>
          <w:lang w:val="fr-BE"/>
        </w:rPr>
        <w:t>endra:</w:t>
      </w:r>
    </w:p>
    <w:p w:rsidR="005B5FD5" w:rsidRDefault="005B5FD5">
      <w:pPr>
        <w:jc w:val="both"/>
        <w:rPr>
          <w:rFonts w:ascii="Times New Roman" w:hAnsi="Times New Roman"/>
          <w:noProof/>
          <w:sz w:val="24"/>
          <w:szCs w:val="24"/>
          <w:lang w:val="fr-BE"/>
        </w:rPr>
      </w:pPr>
    </w:p>
    <w:p w:rsidR="005B5FD5" w:rsidRDefault="005F12DE">
      <w:pPr>
        <w:pStyle w:val="ListParagraph"/>
        <w:numPr>
          <w:ilvl w:val="0"/>
          <w:numId w:val="69"/>
        </w:numPr>
        <w:jc w:val="both"/>
        <w:rPr>
          <w:rFonts w:ascii="Times New Roman" w:hAnsi="Times New Roman"/>
          <w:noProof/>
          <w:sz w:val="24"/>
          <w:szCs w:val="24"/>
          <w:lang w:val="fr-BE"/>
        </w:rPr>
      </w:pPr>
      <w:r>
        <w:rPr>
          <w:rFonts w:ascii="Times New Roman" w:hAnsi="Times New Roman"/>
          <w:b/>
          <w:noProof/>
          <w:sz w:val="24"/>
          <w:lang w:val="fr-BE"/>
        </w:rPr>
        <w:t>de faire en sorte que toutes les données scientifiques produites par le programme Horizon 2020 soient ouvertes par défaut.</w:t>
      </w:r>
      <w:r>
        <w:rPr>
          <w:rFonts w:ascii="Times New Roman" w:hAnsi="Times New Roman"/>
          <w:noProof/>
          <w:sz w:val="24"/>
          <w:lang w:val="fr-BE"/>
        </w:rPr>
        <w:t xml:space="preserve"> Cela permettra d’étendre le projet pilote actuel</w:t>
      </w:r>
      <w:r>
        <w:rPr>
          <w:rStyle w:val="FootnoteReference"/>
          <w:rFonts w:ascii="Times New Roman" w:hAnsi="Times New Roman"/>
          <w:noProof/>
          <w:sz w:val="24"/>
        </w:rPr>
        <w:footnoteReference w:id="34"/>
      </w:r>
      <w:r>
        <w:rPr>
          <w:rFonts w:ascii="Times New Roman" w:hAnsi="Times New Roman"/>
          <w:noProof/>
          <w:sz w:val="24"/>
          <w:lang w:val="fr-BE"/>
        </w:rPr>
        <w:t xml:space="preserve">, dans le cadre duquel les projets concernés mettent en œuvre des plans de </w:t>
      </w:r>
      <w:r>
        <w:rPr>
          <w:rFonts w:ascii="Times New Roman" w:hAnsi="Times New Roman"/>
          <w:noProof/>
          <w:sz w:val="24"/>
          <w:lang w:val="fr-BE"/>
        </w:rPr>
        <w:t>gestion des données visant à rendre les données de la recherche faciles à trouver, accessibles, interopérables et réutilisables (principes FAIR)</w:t>
      </w:r>
      <w:r>
        <w:rPr>
          <w:rStyle w:val="FootnoteReference"/>
          <w:rFonts w:ascii="Times New Roman" w:hAnsi="Times New Roman"/>
          <w:noProof/>
          <w:sz w:val="24"/>
        </w:rPr>
        <w:footnoteReference w:id="35"/>
      </w:r>
      <w:r>
        <w:rPr>
          <w:rFonts w:ascii="Times New Roman" w:hAnsi="Times New Roman"/>
          <w:noProof/>
          <w:sz w:val="24"/>
          <w:lang w:val="fr-BE"/>
        </w:rPr>
        <w:t>;</w:t>
      </w:r>
    </w:p>
    <w:p w:rsidR="005B5FD5" w:rsidRDefault="005F12DE">
      <w:pPr>
        <w:pStyle w:val="ListParagraph"/>
        <w:numPr>
          <w:ilvl w:val="0"/>
          <w:numId w:val="69"/>
        </w:numPr>
        <w:jc w:val="both"/>
        <w:rPr>
          <w:rFonts w:ascii="Times New Roman" w:hAnsi="Times New Roman"/>
          <w:noProof/>
          <w:sz w:val="24"/>
          <w:szCs w:val="24"/>
          <w:lang w:val="fr-BE"/>
        </w:rPr>
      </w:pPr>
      <w:r>
        <w:rPr>
          <w:rFonts w:ascii="Times New Roman" w:hAnsi="Times New Roman"/>
          <w:b/>
          <w:noProof/>
          <w:sz w:val="24"/>
          <w:lang w:val="fr-BE"/>
        </w:rPr>
        <w:t>de sensibiliser à cette question et de changer les structures d’incitation</w:t>
      </w:r>
      <w:r>
        <w:rPr>
          <w:rFonts w:ascii="Times New Roman" w:hAnsi="Times New Roman"/>
          <w:noProof/>
          <w:sz w:val="24"/>
          <w:lang w:val="fr-BE"/>
        </w:rPr>
        <w:t xml:space="preserve"> des universités, de l’industrie et</w:t>
      </w:r>
      <w:r>
        <w:rPr>
          <w:rFonts w:ascii="Times New Roman" w:hAnsi="Times New Roman"/>
          <w:noProof/>
          <w:sz w:val="24"/>
          <w:lang w:val="fr-BE"/>
        </w:rPr>
        <w:t xml:space="preserve"> des services publics à partager leurs données, et d'améliorer la formation, la maîtrise des notions et les compétences en matière de bonne gestion des données. Parallèlement, les principes et lignes directrices relatifs à l’accès aux données de la recherc</w:t>
      </w:r>
      <w:r>
        <w:rPr>
          <w:rFonts w:ascii="Times New Roman" w:hAnsi="Times New Roman"/>
          <w:noProof/>
          <w:sz w:val="24"/>
          <w:lang w:val="fr-BE"/>
        </w:rPr>
        <w:t>he en Europe</w:t>
      </w:r>
      <w:r>
        <w:rPr>
          <w:rStyle w:val="FootnoteReference"/>
          <w:rFonts w:ascii="Times New Roman" w:hAnsi="Times New Roman"/>
          <w:noProof/>
          <w:sz w:val="24"/>
        </w:rPr>
        <w:footnoteReference w:id="36"/>
      </w:r>
      <w:r>
        <w:rPr>
          <w:rFonts w:ascii="Times New Roman" w:hAnsi="Times New Roman"/>
          <w:noProof/>
          <w:sz w:val="24"/>
          <w:lang w:val="fr-BE"/>
        </w:rPr>
        <w:t xml:space="preserve"> seront réexaminés de manière à renforcer et à coordonner leur mise en œuvre;</w:t>
      </w:r>
    </w:p>
    <w:p w:rsidR="005B5FD5" w:rsidRDefault="005F12DE">
      <w:pPr>
        <w:pStyle w:val="ListParagraph"/>
        <w:numPr>
          <w:ilvl w:val="0"/>
          <w:numId w:val="69"/>
        </w:numPr>
        <w:jc w:val="both"/>
        <w:rPr>
          <w:rFonts w:ascii="Times New Roman" w:hAnsi="Times New Roman"/>
          <w:noProof/>
          <w:sz w:val="24"/>
          <w:szCs w:val="24"/>
          <w:lang w:val="fr-BE"/>
        </w:rPr>
      </w:pPr>
      <w:r>
        <w:rPr>
          <w:rFonts w:ascii="Times New Roman" w:hAnsi="Times New Roman"/>
          <w:noProof/>
          <w:sz w:val="24"/>
          <w:lang w:val="fr-BE"/>
        </w:rPr>
        <w:t xml:space="preserve">d'élaborer des spécifications concernant </w:t>
      </w:r>
      <w:r>
        <w:rPr>
          <w:rFonts w:ascii="Times New Roman" w:hAnsi="Times New Roman"/>
          <w:b/>
          <w:noProof/>
          <w:sz w:val="24"/>
          <w:lang w:val="fr-BE"/>
        </w:rPr>
        <w:t>l’interopérabilité et le partage des données</w:t>
      </w:r>
      <w:r>
        <w:rPr>
          <w:rFonts w:ascii="Times New Roman" w:hAnsi="Times New Roman"/>
          <w:noProof/>
          <w:sz w:val="24"/>
          <w:lang w:val="fr-BE"/>
        </w:rPr>
        <w:t xml:space="preserve"> entre disciplines et infrastructures, en s’appuyant sur les initiatives existan</w:t>
      </w:r>
      <w:r>
        <w:rPr>
          <w:rFonts w:ascii="Times New Roman" w:hAnsi="Times New Roman"/>
          <w:noProof/>
          <w:sz w:val="24"/>
          <w:lang w:val="fr-BE"/>
        </w:rPr>
        <w:t>tes telles que l’alliance des données de la recherche et le Forum Belmont, ainsi que des dispositions légales telles qu'INSPIRE. Les besoins en matière de normalisation qui apparaîtront au fil du temps seront pris en compte par le biais des priorités du ma</w:t>
      </w:r>
      <w:r>
        <w:rPr>
          <w:rFonts w:ascii="Times New Roman" w:hAnsi="Times New Roman"/>
          <w:noProof/>
          <w:sz w:val="24"/>
          <w:lang w:val="fr-BE"/>
        </w:rPr>
        <w:t>rché unique numérique en matière de normalisation dans le domaine des TIC;</w:t>
      </w:r>
    </w:p>
    <w:p w:rsidR="005B5FD5" w:rsidRDefault="005F12DE">
      <w:pPr>
        <w:pStyle w:val="ListParagraph"/>
        <w:numPr>
          <w:ilvl w:val="0"/>
          <w:numId w:val="69"/>
        </w:numPr>
        <w:jc w:val="both"/>
        <w:rPr>
          <w:rFonts w:ascii="Times New Roman" w:hAnsi="Times New Roman"/>
          <w:noProof/>
          <w:sz w:val="24"/>
          <w:szCs w:val="24"/>
          <w:lang w:val="fr-BE"/>
        </w:rPr>
      </w:pPr>
      <w:r>
        <w:rPr>
          <w:rFonts w:ascii="Times New Roman" w:hAnsi="Times New Roman"/>
          <w:noProof/>
          <w:sz w:val="24"/>
          <w:lang w:val="fr-BE"/>
        </w:rPr>
        <w:t xml:space="preserve">de créer une </w:t>
      </w:r>
      <w:r>
        <w:rPr>
          <w:rFonts w:ascii="Times New Roman" w:hAnsi="Times New Roman"/>
          <w:b/>
          <w:noProof/>
          <w:sz w:val="24"/>
          <w:lang w:val="fr-BE"/>
        </w:rPr>
        <w:t>structure de gouvernance paneuropéenne adaptée aux objectifs poursuivis</w:t>
      </w:r>
      <w:r>
        <w:rPr>
          <w:rFonts w:ascii="Times New Roman" w:hAnsi="Times New Roman"/>
          <w:noProof/>
          <w:sz w:val="24"/>
          <w:lang w:val="fr-BE"/>
        </w:rPr>
        <w:t xml:space="preserve"> de manière à fédérer les infrastructures de données scientifiques et à remédier au problème de l</w:t>
      </w:r>
      <w:r>
        <w:rPr>
          <w:rFonts w:ascii="Times New Roman" w:hAnsi="Times New Roman"/>
          <w:noProof/>
          <w:sz w:val="24"/>
          <w:lang w:val="fr-BE"/>
        </w:rPr>
        <w:t>eur fragmentation.</w:t>
      </w:r>
      <w:r>
        <w:rPr>
          <w:rFonts w:ascii="Times New Roman" w:hAnsi="Times New Roman"/>
          <w:b/>
          <w:noProof/>
          <w:sz w:val="24"/>
          <w:lang w:val="fr-BE"/>
        </w:rPr>
        <w:t xml:space="preserve"> </w:t>
      </w:r>
      <w:r>
        <w:rPr>
          <w:rFonts w:ascii="Times New Roman" w:hAnsi="Times New Roman"/>
          <w:noProof/>
          <w:sz w:val="24"/>
          <w:lang w:val="fr-BE"/>
        </w:rPr>
        <w:t>Le dispositif institutionnel supervisera le financement à long terme, la durabilité, la conservation et la gestion des données. Il s’appuiera sur les structures existantes de manière à associer les utilisateurs scientifiques, les organis</w:t>
      </w:r>
      <w:r>
        <w:rPr>
          <w:rFonts w:ascii="Times New Roman" w:hAnsi="Times New Roman"/>
          <w:noProof/>
          <w:sz w:val="24"/>
          <w:lang w:val="fr-BE"/>
        </w:rPr>
        <w:t>mes de financement de la recherche et les responsables de la mise en œuvre</w:t>
      </w:r>
      <w:r>
        <w:rPr>
          <w:rStyle w:val="FootnoteReference"/>
          <w:rFonts w:ascii="Times New Roman" w:hAnsi="Times New Roman"/>
          <w:noProof/>
          <w:sz w:val="24"/>
        </w:rPr>
        <w:footnoteReference w:id="37"/>
      </w:r>
      <w:r>
        <w:rPr>
          <w:rFonts w:ascii="Times New Roman" w:hAnsi="Times New Roman"/>
          <w:noProof/>
          <w:sz w:val="24"/>
          <w:lang w:val="fr-BE"/>
        </w:rPr>
        <w:t>;</w:t>
      </w:r>
    </w:p>
    <w:p w:rsidR="005B5FD5" w:rsidRDefault="005F12DE">
      <w:pPr>
        <w:pStyle w:val="ListParagraph"/>
        <w:numPr>
          <w:ilvl w:val="0"/>
          <w:numId w:val="69"/>
        </w:numPr>
        <w:spacing w:after="120"/>
        <w:ind w:left="714" w:hanging="357"/>
        <w:jc w:val="both"/>
        <w:rPr>
          <w:rFonts w:ascii="Times New Roman" w:hAnsi="Times New Roman"/>
          <w:noProof/>
          <w:sz w:val="24"/>
          <w:szCs w:val="24"/>
          <w:lang w:val="fr-BE"/>
        </w:rPr>
      </w:pPr>
      <w:r>
        <w:rPr>
          <w:rFonts w:ascii="Times New Roman" w:hAnsi="Times New Roman"/>
          <w:noProof/>
          <w:sz w:val="24"/>
          <w:lang w:val="fr-BE"/>
        </w:rPr>
        <w:t xml:space="preserve">de développer les </w:t>
      </w:r>
      <w:r>
        <w:rPr>
          <w:rFonts w:ascii="Times New Roman" w:hAnsi="Times New Roman"/>
          <w:b/>
          <w:noProof/>
          <w:sz w:val="24"/>
          <w:lang w:val="fr-BE"/>
        </w:rPr>
        <w:t>services d’informatique en nuage pour la science ouverte</w:t>
      </w:r>
      <w:r>
        <w:rPr>
          <w:rFonts w:ascii="Times New Roman" w:hAnsi="Times New Roman"/>
          <w:noProof/>
          <w:sz w:val="24"/>
          <w:lang w:val="fr-BE"/>
        </w:rPr>
        <w:t>.</w:t>
      </w:r>
      <w:r>
        <w:rPr>
          <w:rFonts w:ascii="Times New Roman" w:hAnsi="Times New Roman"/>
          <w:b/>
          <w:noProof/>
          <w:sz w:val="24"/>
          <w:lang w:val="fr-BE"/>
        </w:rPr>
        <w:t xml:space="preserve"> </w:t>
      </w:r>
      <w:r>
        <w:rPr>
          <w:rFonts w:ascii="Times New Roman" w:hAnsi="Times New Roman"/>
          <w:noProof/>
          <w:sz w:val="24"/>
          <w:lang w:val="fr-BE"/>
        </w:rPr>
        <w:t>Soutenus par l’infrastructure de données européenne, ils permettront aux chercheurs de trouver des donn</w:t>
      </w:r>
      <w:r>
        <w:rPr>
          <w:rFonts w:ascii="Times New Roman" w:hAnsi="Times New Roman"/>
          <w:noProof/>
          <w:sz w:val="24"/>
          <w:lang w:val="fr-BE"/>
        </w:rPr>
        <w:t>ées de recherche partagées et d'y accéder, d'utiliser des logiciels analytiques de pointe et des ressources de calcul à haute performance et de prendre connaissance des meilleures pratiques scientifiques fondées sur les données issues des disciplines de po</w:t>
      </w:r>
      <w:r>
        <w:rPr>
          <w:rFonts w:ascii="Times New Roman" w:hAnsi="Times New Roman"/>
          <w:noProof/>
          <w:sz w:val="24"/>
          <w:lang w:val="fr-BE"/>
        </w:rPr>
        <w:t>inte;</w:t>
      </w:r>
    </w:p>
    <w:p w:rsidR="005B5FD5" w:rsidRDefault="005F12DE">
      <w:pPr>
        <w:pStyle w:val="ListParagraph"/>
        <w:numPr>
          <w:ilvl w:val="0"/>
          <w:numId w:val="69"/>
        </w:numPr>
        <w:spacing w:after="120"/>
        <w:ind w:left="714" w:hanging="357"/>
        <w:jc w:val="both"/>
        <w:rPr>
          <w:rFonts w:ascii="Times New Roman" w:hAnsi="Times New Roman"/>
          <w:noProof/>
          <w:sz w:val="24"/>
          <w:szCs w:val="24"/>
          <w:lang w:val="fr-BE"/>
        </w:rPr>
      </w:pPr>
      <w:r>
        <w:rPr>
          <w:rFonts w:ascii="Times New Roman" w:hAnsi="Times New Roman"/>
          <w:b/>
          <w:noProof/>
          <w:sz w:val="24"/>
          <w:lang w:val="fr-BE"/>
        </w:rPr>
        <w:t>d'élargir la base d’utilisateurs scientifiques</w:t>
      </w:r>
      <w:r>
        <w:rPr>
          <w:rFonts w:ascii="Times New Roman" w:hAnsi="Times New Roman"/>
          <w:noProof/>
          <w:sz w:val="24"/>
          <w:lang w:val="fr-BE"/>
        </w:rPr>
        <w:t xml:space="preserve"> du nuage européen pour la science ouverte aux chercheurs et innovateurs de toutes les disciplines et de tous les États membres, ainsi que de pays partenaires et d'initiatives mondiales, afin qu’ils contr</w:t>
      </w:r>
      <w:r>
        <w:rPr>
          <w:rFonts w:ascii="Times New Roman" w:hAnsi="Times New Roman"/>
          <w:noProof/>
          <w:sz w:val="24"/>
          <w:lang w:val="fr-BE"/>
        </w:rPr>
        <w:t>ibuent à l’excellence et tirent profit de l’initiative</w:t>
      </w:r>
      <w:r>
        <w:rPr>
          <w:rStyle w:val="FootnoteReference"/>
          <w:rFonts w:ascii="Times New Roman" w:hAnsi="Times New Roman"/>
          <w:noProof/>
          <w:sz w:val="24"/>
        </w:rPr>
        <w:footnoteReference w:id="38"/>
      </w:r>
      <w:r>
        <w:rPr>
          <w:noProof/>
          <w:lang w:val="fr-BE"/>
        </w:rPr>
        <w:t>.</w:t>
      </w:r>
    </w:p>
    <w:p w:rsidR="005B5FD5" w:rsidRDefault="005F12DE">
      <w:pPr>
        <w:spacing w:after="120"/>
        <w:jc w:val="both"/>
        <w:rPr>
          <w:rFonts w:ascii="Times New Roman" w:hAnsi="Times New Roman"/>
          <w:bCs/>
          <w:noProof/>
          <w:sz w:val="24"/>
          <w:szCs w:val="24"/>
          <w:lang w:val="fr-BE"/>
        </w:rPr>
      </w:pPr>
      <w:r>
        <w:rPr>
          <w:rFonts w:ascii="Times New Roman" w:hAnsi="Times New Roman"/>
          <w:noProof/>
          <w:sz w:val="24"/>
          <w:lang w:val="fr-BE"/>
        </w:rPr>
        <w:t>L’initiative renforcera d’autres actions en matière de science ouverte que le Conseil</w:t>
      </w:r>
      <w:r>
        <w:rPr>
          <w:rStyle w:val="FootnoteReference"/>
          <w:rFonts w:ascii="Times New Roman" w:hAnsi="Times New Roman"/>
          <w:noProof/>
          <w:sz w:val="24"/>
        </w:rPr>
        <w:footnoteReference w:id="39"/>
      </w:r>
      <w:r>
        <w:rPr>
          <w:rFonts w:ascii="Times New Roman" w:hAnsi="Times New Roman"/>
          <w:noProof/>
          <w:sz w:val="24"/>
          <w:lang w:val="fr-BE"/>
        </w:rPr>
        <w:t xml:space="preserve"> et le Parlement européen</w:t>
      </w:r>
      <w:r>
        <w:rPr>
          <w:rStyle w:val="FootnoteReference"/>
          <w:rFonts w:ascii="Times New Roman" w:hAnsi="Times New Roman"/>
          <w:noProof/>
          <w:sz w:val="24"/>
        </w:rPr>
        <w:footnoteReference w:id="40"/>
      </w:r>
      <w:r>
        <w:rPr>
          <w:rFonts w:ascii="Times New Roman" w:hAnsi="Times New Roman"/>
          <w:noProof/>
          <w:sz w:val="24"/>
          <w:lang w:val="fr-BE"/>
        </w:rPr>
        <w:t xml:space="preserve"> ont appelées de leurs vœux, ainsi que les actions à entreprendre dans le cadre du prochain programme stratégique en matière de science ouverte de la Commission. Elle encouragera le recours aux bonnes pratiques en matière de cherchabilité et d’accessibilit</w:t>
      </w:r>
      <w:r>
        <w:rPr>
          <w:rFonts w:ascii="Times New Roman" w:hAnsi="Times New Roman"/>
          <w:noProof/>
          <w:sz w:val="24"/>
          <w:lang w:val="fr-BE"/>
        </w:rPr>
        <w:t>é des données et aidera les chercheurs à faire reconnaître et récompenser leurs compétences en matière de données; elle facilitera la reproductibilité des résultats et limitera le gaspillage de données telles que les données d’essais cliniques (intégrité d</w:t>
      </w:r>
      <w:r>
        <w:rPr>
          <w:rFonts w:ascii="Times New Roman" w:hAnsi="Times New Roman"/>
          <w:noProof/>
          <w:sz w:val="24"/>
          <w:lang w:val="fr-BE"/>
        </w:rPr>
        <w:t>e la recherche); elle contribuera à la clarification du modèle de financement pour la production et la conservation de données, réduisant ainsi les activités d'acquisition de rentes et amorçant le marché des services de recherche innovants (fouille de text</w:t>
      </w:r>
      <w:r>
        <w:rPr>
          <w:rFonts w:ascii="Times New Roman" w:hAnsi="Times New Roman"/>
          <w:noProof/>
          <w:sz w:val="24"/>
          <w:lang w:val="fr-BE"/>
        </w:rPr>
        <w:t>es et de données avancée, par exemple). L’initiative peut également aider à régler les problèmes de compensation de données («data clearance») et de protection des données à caractère personnel</w:t>
      </w:r>
      <w:r>
        <w:rPr>
          <w:rStyle w:val="FootnoteReference"/>
          <w:rFonts w:ascii="Times New Roman" w:hAnsi="Times New Roman"/>
          <w:noProof/>
          <w:sz w:val="24"/>
        </w:rPr>
        <w:footnoteReference w:id="41"/>
      </w:r>
      <w:r>
        <w:rPr>
          <w:rFonts w:ascii="Times New Roman" w:hAnsi="Times New Roman"/>
          <w:noProof/>
          <w:sz w:val="24"/>
          <w:lang w:val="fr-BE"/>
        </w:rPr>
        <w:t>. La Commission consultera les acteurs concernés et travailler</w:t>
      </w:r>
      <w:r>
        <w:rPr>
          <w:rFonts w:ascii="Times New Roman" w:hAnsi="Times New Roman"/>
          <w:noProof/>
          <w:sz w:val="24"/>
          <w:lang w:val="fr-BE"/>
        </w:rPr>
        <w:t>a avec les fournisseurs R&amp;D sur la nécessité de mettre en œuvre des lignes directrices pour le domaine scientifique en ce qui concerne la politique de l'Union et la législation de l’Union en matière de protection des données, et sur la nécessité de veiller</w:t>
      </w:r>
      <w:r>
        <w:rPr>
          <w:rFonts w:ascii="Times New Roman" w:hAnsi="Times New Roman"/>
          <w:noProof/>
          <w:sz w:val="24"/>
          <w:lang w:val="fr-BE"/>
        </w:rPr>
        <w:t xml:space="preserve"> à ce que l’initiative mette en œuvre les principes juridiques «dès la conception», c'est-à-dire au stade le plus précoce possible.</w:t>
      </w:r>
    </w:p>
    <w:tbl>
      <w:tblPr>
        <w:tblStyle w:val="TableGrid"/>
        <w:tblW w:w="9180" w:type="dxa"/>
        <w:tblLook w:val="04A0" w:firstRow="1" w:lastRow="0" w:firstColumn="1" w:lastColumn="0" w:noHBand="0" w:noVBand="1"/>
      </w:tblPr>
      <w:tblGrid>
        <w:gridCol w:w="7763"/>
        <w:gridCol w:w="1417"/>
      </w:tblGrid>
      <w:tr w:rsidR="005B5FD5">
        <w:tc>
          <w:tcPr>
            <w:tcW w:w="7763" w:type="dxa"/>
          </w:tcPr>
          <w:p w:rsidR="005B5FD5" w:rsidRDefault="005F12DE">
            <w:pPr>
              <w:keepNext/>
              <w:spacing w:before="60" w:after="60"/>
              <w:jc w:val="both"/>
              <w:rPr>
                <w:rFonts w:ascii="Times New Roman" w:hAnsi="Times New Roman"/>
                <w:b/>
                <w:bCs/>
                <w:noProof/>
                <w:sz w:val="24"/>
                <w:szCs w:val="24"/>
              </w:rPr>
            </w:pPr>
            <w:r>
              <w:rPr>
                <w:rFonts w:ascii="Times New Roman" w:hAnsi="Times New Roman"/>
                <w:b/>
                <w:noProof/>
                <w:sz w:val="24"/>
              </w:rPr>
              <w:t xml:space="preserve">Actions </w:t>
            </w:r>
          </w:p>
        </w:tc>
        <w:tc>
          <w:tcPr>
            <w:tcW w:w="1417" w:type="dxa"/>
          </w:tcPr>
          <w:p w:rsidR="005B5FD5" w:rsidRDefault="005F12DE">
            <w:pPr>
              <w:spacing w:before="60" w:after="60"/>
              <w:jc w:val="both"/>
              <w:rPr>
                <w:rFonts w:ascii="Times New Roman" w:hAnsi="Times New Roman"/>
                <w:b/>
                <w:bCs/>
                <w:noProof/>
                <w:sz w:val="24"/>
                <w:szCs w:val="24"/>
              </w:rPr>
            </w:pPr>
            <w:r>
              <w:rPr>
                <w:rFonts w:ascii="Times New Roman" w:hAnsi="Times New Roman"/>
                <w:b/>
                <w:noProof/>
                <w:sz w:val="24"/>
              </w:rPr>
              <w:t>Calendrier</w:t>
            </w:r>
          </w:p>
        </w:tc>
      </w:tr>
      <w:tr w:rsidR="005B5FD5">
        <w:tc>
          <w:tcPr>
            <w:tcW w:w="7763" w:type="dxa"/>
          </w:tcPr>
          <w:p w:rsidR="005B5FD5" w:rsidRDefault="005F12DE">
            <w:pPr>
              <w:spacing w:before="60" w:after="60"/>
              <w:jc w:val="both"/>
              <w:rPr>
                <w:rFonts w:ascii="Times New Roman" w:hAnsi="Times New Roman"/>
                <w:noProof/>
                <w:sz w:val="24"/>
                <w:szCs w:val="24"/>
                <w:lang w:val="fr-BE"/>
              </w:rPr>
            </w:pPr>
            <w:r>
              <w:rPr>
                <w:rFonts w:ascii="Times New Roman" w:hAnsi="Times New Roman"/>
                <w:noProof/>
                <w:sz w:val="24"/>
                <w:lang w:val="fr-BE"/>
              </w:rPr>
              <w:t>La Commission collaborera avec les partenaires politiques et de recherche au niveau mondial afin de fav</w:t>
            </w:r>
            <w:r>
              <w:rPr>
                <w:rFonts w:ascii="Times New Roman" w:hAnsi="Times New Roman"/>
                <w:noProof/>
                <w:sz w:val="24"/>
                <w:lang w:val="fr-BE"/>
              </w:rPr>
              <w:t>oriser la coopération et de créer des conditions identiques pour tous en matière de partage de données scientifiques et de science fondée sur les données.</w:t>
            </w:r>
          </w:p>
        </w:tc>
        <w:tc>
          <w:tcPr>
            <w:tcW w:w="1417"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À partir de 2016.</w:t>
            </w:r>
          </w:p>
        </w:tc>
      </w:tr>
      <w:tr w:rsidR="005B5FD5">
        <w:tc>
          <w:tcPr>
            <w:tcW w:w="7763" w:type="dxa"/>
          </w:tcPr>
          <w:p w:rsidR="005B5FD5" w:rsidRDefault="005F12DE">
            <w:pPr>
              <w:spacing w:before="60" w:after="60"/>
              <w:jc w:val="both"/>
              <w:rPr>
                <w:rFonts w:ascii="Times New Roman" w:hAnsi="Times New Roman"/>
                <w:noProof/>
                <w:sz w:val="24"/>
                <w:szCs w:val="24"/>
                <w:lang w:val="fr-BE"/>
              </w:rPr>
            </w:pPr>
            <w:r>
              <w:rPr>
                <w:rFonts w:ascii="Times New Roman" w:hAnsi="Times New Roman"/>
                <w:noProof/>
                <w:sz w:val="24"/>
                <w:lang w:val="fr-BE"/>
              </w:rPr>
              <w:t>La Commission utilisera les programmes de travail d’Horizon 2020 afin de fournir u</w:t>
            </w:r>
            <w:r>
              <w:rPr>
                <w:rFonts w:ascii="Times New Roman" w:hAnsi="Times New Roman"/>
                <w:noProof/>
                <w:sz w:val="24"/>
                <w:lang w:val="fr-BE"/>
              </w:rPr>
              <w:t>n financement pour intégrer et consolider les plateformes d'infrastructures électroniques, de fédérer les infrastructures de recherche existantes et les nuages scientifiques et de soutenir le développement de services en nuage pour la science ouverte.</w:t>
            </w:r>
          </w:p>
        </w:tc>
        <w:tc>
          <w:tcPr>
            <w:tcW w:w="1417"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À pa</w:t>
            </w:r>
            <w:r>
              <w:rPr>
                <w:rFonts w:ascii="Times New Roman" w:hAnsi="Times New Roman"/>
                <w:noProof/>
                <w:sz w:val="24"/>
              </w:rPr>
              <w:t>rtir de 2016.</w:t>
            </w:r>
          </w:p>
        </w:tc>
      </w:tr>
      <w:tr w:rsidR="005B5FD5">
        <w:tc>
          <w:tcPr>
            <w:tcW w:w="7763" w:type="dxa"/>
          </w:tcPr>
          <w:p w:rsidR="005B5FD5" w:rsidRDefault="005F12DE">
            <w:pPr>
              <w:spacing w:before="60" w:after="60"/>
              <w:jc w:val="both"/>
              <w:rPr>
                <w:rFonts w:ascii="Times New Roman" w:hAnsi="Times New Roman"/>
                <w:noProof/>
                <w:sz w:val="24"/>
                <w:szCs w:val="24"/>
                <w:lang w:val="fr-BE"/>
              </w:rPr>
            </w:pPr>
            <w:r>
              <w:rPr>
                <w:rFonts w:ascii="Times New Roman" w:hAnsi="Times New Roman"/>
                <w:noProof/>
                <w:sz w:val="24"/>
                <w:lang w:val="fr-BE"/>
              </w:rPr>
              <w:t xml:space="preserve">La Commission fera du libre accès aux données de recherche l’option par défaut, tout en garantissant des clauses de non-participation, pour tous les nouveaux projets du programme Horizon 2020. </w:t>
            </w:r>
          </w:p>
        </w:tc>
        <w:tc>
          <w:tcPr>
            <w:tcW w:w="1417"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À partir de 2017.</w:t>
            </w:r>
          </w:p>
        </w:tc>
      </w:tr>
      <w:tr w:rsidR="005B5FD5">
        <w:tc>
          <w:tcPr>
            <w:tcW w:w="7763" w:type="dxa"/>
          </w:tcPr>
          <w:p w:rsidR="005B5FD5" w:rsidRDefault="005F12DE">
            <w:pPr>
              <w:spacing w:before="60" w:after="60"/>
              <w:jc w:val="both"/>
              <w:rPr>
                <w:rFonts w:ascii="Times New Roman" w:hAnsi="Times New Roman"/>
                <w:noProof/>
                <w:sz w:val="24"/>
                <w:szCs w:val="24"/>
                <w:lang w:val="fr-BE"/>
              </w:rPr>
            </w:pPr>
            <w:r>
              <w:rPr>
                <w:rFonts w:ascii="Times New Roman" w:hAnsi="Times New Roman"/>
                <w:noProof/>
                <w:sz w:val="24"/>
                <w:lang w:val="fr-BE"/>
              </w:rPr>
              <w:t>La Commission procédera à un</w:t>
            </w:r>
            <w:r>
              <w:rPr>
                <w:rFonts w:ascii="Times New Roman" w:hAnsi="Times New Roman"/>
                <w:noProof/>
                <w:sz w:val="24"/>
                <w:lang w:val="fr-BE"/>
              </w:rPr>
              <w:t xml:space="preserve"> réexamen de la recommandation de la Commission de 2012 relative à l’accès aux informations scientifiques et à leur conservation</w:t>
            </w:r>
            <w:r>
              <w:rPr>
                <w:rStyle w:val="FootnoteReference"/>
                <w:rFonts w:ascii="Times New Roman" w:hAnsi="Times New Roman"/>
                <w:noProof/>
                <w:sz w:val="24"/>
              </w:rPr>
              <w:footnoteReference w:id="42"/>
            </w:r>
            <w:r>
              <w:rPr>
                <w:rFonts w:ascii="Times New Roman" w:hAnsi="Times New Roman"/>
                <w:noProof/>
                <w:sz w:val="24"/>
                <w:lang w:val="fr-BE"/>
              </w:rPr>
              <w:t xml:space="preserve"> en vue d’encourager le partage des données scientifiques et la création de mécanismes d’incitation, de systèmes de récompenses</w:t>
            </w:r>
            <w:r>
              <w:rPr>
                <w:rFonts w:ascii="Times New Roman" w:hAnsi="Times New Roman"/>
                <w:noProof/>
                <w:sz w:val="24"/>
                <w:lang w:val="fr-BE"/>
              </w:rPr>
              <w:t xml:space="preserve"> et de programmes d’enseignement et de formation permettant aux chercheurs et aux entreprises de partager les données, en étroite relation avec l’initiative du marché unique numérique relative à la libre circulation des données. </w:t>
            </w:r>
          </w:p>
        </w:tc>
        <w:tc>
          <w:tcPr>
            <w:tcW w:w="1417"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À partir de 2017.</w:t>
            </w:r>
          </w:p>
        </w:tc>
      </w:tr>
      <w:tr w:rsidR="005B5FD5">
        <w:tc>
          <w:tcPr>
            <w:tcW w:w="7763" w:type="dxa"/>
          </w:tcPr>
          <w:p w:rsidR="005B5FD5" w:rsidRDefault="005F12DE">
            <w:pPr>
              <w:spacing w:before="60" w:after="60"/>
              <w:jc w:val="both"/>
              <w:rPr>
                <w:rFonts w:ascii="Times New Roman" w:hAnsi="Times New Roman"/>
                <w:noProof/>
                <w:sz w:val="24"/>
                <w:szCs w:val="24"/>
                <w:lang w:val="fr-BE"/>
              </w:rPr>
            </w:pPr>
            <w:r>
              <w:rPr>
                <w:rFonts w:ascii="Times New Roman" w:hAnsi="Times New Roman"/>
                <w:noProof/>
                <w:sz w:val="24"/>
                <w:lang w:val="fr-BE"/>
              </w:rPr>
              <w:t>La Comm</w:t>
            </w:r>
            <w:r>
              <w:rPr>
                <w:rFonts w:ascii="Times New Roman" w:hAnsi="Times New Roman"/>
                <w:noProof/>
                <w:sz w:val="24"/>
                <w:lang w:val="fr-BE"/>
              </w:rPr>
              <w:t>ission collaborera avec les États membres pour relier les infrastructures européennes de recherche prioritaires</w:t>
            </w:r>
            <w:r>
              <w:rPr>
                <w:rStyle w:val="FootnoteReference"/>
                <w:rFonts w:ascii="Times New Roman" w:hAnsi="Times New Roman"/>
                <w:noProof/>
                <w:sz w:val="24"/>
              </w:rPr>
              <w:footnoteReference w:id="43"/>
            </w:r>
            <w:r>
              <w:rPr>
                <w:rFonts w:ascii="Times New Roman" w:hAnsi="Times New Roman"/>
                <w:noProof/>
                <w:sz w:val="24"/>
                <w:lang w:val="fr-BE"/>
              </w:rPr>
              <w:t xml:space="preserve"> au nuage européen pour la science ouverte.</w:t>
            </w:r>
          </w:p>
        </w:tc>
        <w:tc>
          <w:tcPr>
            <w:tcW w:w="1417"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À partir de 2017.</w:t>
            </w:r>
          </w:p>
        </w:tc>
      </w:tr>
      <w:tr w:rsidR="005B5FD5">
        <w:tc>
          <w:tcPr>
            <w:tcW w:w="7763" w:type="dxa"/>
          </w:tcPr>
          <w:p w:rsidR="005B5FD5" w:rsidRDefault="005F12DE">
            <w:pPr>
              <w:spacing w:before="60" w:after="60"/>
              <w:jc w:val="both"/>
              <w:rPr>
                <w:rFonts w:ascii="Times New Roman" w:hAnsi="Times New Roman"/>
                <w:noProof/>
                <w:sz w:val="24"/>
                <w:szCs w:val="24"/>
                <w:lang w:val="fr-BE"/>
              </w:rPr>
            </w:pPr>
            <w:r>
              <w:rPr>
                <w:rFonts w:ascii="Times New Roman" w:hAnsi="Times New Roman"/>
                <w:noProof/>
                <w:sz w:val="24"/>
                <w:lang w:val="fr-BE"/>
              </w:rPr>
              <w:t>En collaboration avec les parties prenantes et les initiatives mondiales en la ma</w:t>
            </w:r>
            <w:r>
              <w:rPr>
                <w:rFonts w:ascii="Times New Roman" w:hAnsi="Times New Roman"/>
                <w:noProof/>
                <w:sz w:val="24"/>
                <w:lang w:val="fr-BE"/>
              </w:rPr>
              <w:t>tière, la Commission œuvrera à la mise en place d’un plan d’action pour l’interopérabilité des données scientifiques, et notamment les métadonnées, les spécifications et la certification.</w:t>
            </w:r>
          </w:p>
        </w:tc>
        <w:tc>
          <w:tcPr>
            <w:tcW w:w="1417"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Fin 2017 au plus tard</w:t>
            </w:r>
          </w:p>
        </w:tc>
      </w:tr>
    </w:tbl>
    <w:p w:rsidR="005B5FD5" w:rsidRDefault="005B5FD5">
      <w:pPr>
        <w:spacing w:after="120"/>
        <w:jc w:val="both"/>
        <w:rPr>
          <w:rFonts w:ascii="Times New Roman" w:eastAsia="Times New Roman" w:hAnsi="Times New Roman"/>
          <w:noProof/>
          <w:sz w:val="24"/>
          <w:szCs w:val="24"/>
        </w:rPr>
      </w:pPr>
    </w:p>
    <w:p w:rsidR="005B5FD5" w:rsidRDefault="005F12DE">
      <w:pPr>
        <w:pStyle w:val="Heading2"/>
        <w:numPr>
          <w:ilvl w:val="0"/>
          <w:numId w:val="57"/>
        </w:numPr>
        <w:spacing w:after="120"/>
        <w:ind w:left="567" w:hanging="567"/>
        <w:rPr>
          <w:rFonts w:ascii="Times New Roman" w:hAnsi="Times New Roman"/>
          <w:noProof/>
          <w:color w:val="auto"/>
        </w:rPr>
      </w:pPr>
      <w:r>
        <w:rPr>
          <w:rFonts w:ascii="Times New Roman" w:hAnsi="Times New Roman"/>
          <w:noProof/>
          <w:color w:val="auto"/>
        </w:rPr>
        <w:t>Infrastructure de données européenne</w:t>
      </w:r>
    </w:p>
    <w:p w:rsidR="005B5FD5" w:rsidRDefault="005F12DE">
      <w:pPr>
        <w:widowControl w:val="0"/>
        <w:spacing w:after="240"/>
        <w:jc w:val="both"/>
        <w:rPr>
          <w:rFonts w:ascii="Times New Roman" w:hAnsi="Times New Roman"/>
          <w:noProof/>
          <w:sz w:val="24"/>
          <w:szCs w:val="24"/>
          <w:lang w:val="fr-BE"/>
        </w:rPr>
      </w:pPr>
      <w:r>
        <w:rPr>
          <w:rFonts w:ascii="Times New Roman" w:hAnsi="Times New Roman"/>
          <w:noProof/>
          <w:sz w:val="24"/>
          <w:lang w:val="fr-BE"/>
        </w:rPr>
        <w:t>L’</w:t>
      </w:r>
      <w:r>
        <w:rPr>
          <w:rFonts w:ascii="Times New Roman" w:hAnsi="Times New Roman"/>
          <w:b/>
          <w:noProof/>
          <w:sz w:val="24"/>
          <w:lang w:val="fr-BE"/>
        </w:rPr>
        <w:t>infrastructure de données</w:t>
      </w:r>
      <w:r>
        <w:rPr>
          <w:rFonts w:ascii="Times New Roman" w:hAnsi="Times New Roman"/>
          <w:noProof/>
          <w:sz w:val="24"/>
          <w:lang w:val="fr-BE"/>
        </w:rPr>
        <w:t xml:space="preserve"> </w:t>
      </w:r>
      <w:r>
        <w:rPr>
          <w:rFonts w:ascii="Times New Roman" w:hAnsi="Times New Roman"/>
          <w:b/>
          <w:noProof/>
          <w:sz w:val="24"/>
          <w:lang w:val="fr-BE"/>
        </w:rPr>
        <w:t>européenne</w:t>
      </w:r>
      <w:r>
        <w:rPr>
          <w:rFonts w:ascii="Times New Roman" w:hAnsi="Times New Roman"/>
          <w:noProof/>
          <w:sz w:val="24"/>
          <w:lang w:val="fr-BE"/>
        </w:rPr>
        <w:t>, une fois pleinement mise en œuvre, servira de fondement au nuage européen pour la science ouverte. L’Europe a besoin de capacités CHP intégrées de niveau mondial, d'une connectivité à haut débit et de services de donné</w:t>
      </w:r>
      <w:r>
        <w:rPr>
          <w:rFonts w:ascii="Times New Roman" w:hAnsi="Times New Roman"/>
          <w:noProof/>
          <w:sz w:val="24"/>
          <w:lang w:val="fr-BE"/>
        </w:rPr>
        <w:t>es et logiciels de pointe</w:t>
      </w:r>
      <w:r>
        <w:rPr>
          <w:rStyle w:val="FootnoteReference"/>
          <w:rFonts w:ascii="Times New Roman" w:hAnsi="Times New Roman"/>
          <w:noProof/>
          <w:sz w:val="24"/>
        </w:rPr>
        <w:footnoteReference w:id="44"/>
      </w:r>
      <w:r>
        <w:rPr>
          <w:rFonts w:ascii="Times New Roman" w:hAnsi="Times New Roman"/>
          <w:noProof/>
          <w:sz w:val="24"/>
          <w:lang w:val="fr-BE"/>
        </w:rPr>
        <w:t xml:space="preserve"> pour ses scientifiques et pour d’autres utilisateurs clés de l’industrie (y compris les PME) et du secteur public. Cette infrastructure permettra de tirer pleinement parti de la valeur des mégadonnées et du numérique par défaut</w:t>
      </w:r>
      <w:r>
        <w:rPr>
          <w:rStyle w:val="FootnoteReference"/>
          <w:rFonts w:ascii="Times New Roman" w:hAnsi="Times New Roman"/>
          <w:noProof/>
          <w:sz w:val="24"/>
        </w:rPr>
        <w:footnoteReference w:id="45"/>
      </w:r>
      <w:r>
        <w:rPr>
          <w:rFonts w:ascii="Times New Roman" w:hAnsi="Times New Roman"/>
          <w:noProof/>
          <w:sz w:val="24"/>
          <w:lang w:val="fr-BE"/>
        </w:rPr>
        <w:t>.</w:t>
      </w:r>
      <w:r>
        <w:rPr>
          <w:rFonts w:ascii="Times New Roman" w:hAnsi="Times New Roman"/>
          <w:noProof/>
          <w:sz w:val="24"/>
          <w:lang w:val="fr-BE"/>
        </w:rPr>
        <w:t xml:space="preserve"> L’infrastructure de données européenne aidera également l’UE à se classer parmi les principales puissances mondiales en matière de calcul intensif en </w:t>
      </w:r>
      <w:r>
        <w:rPr>
          <w:rFonts w:ascii="Times New Roman" w:hAnsi="Times New Roman"/>
          <w:b/>
          <w:noProof/>
          <w:sz w:val="24"/>
          <w:lang w:val="fr-BE"/>
        </w:rPr>
        <w:t>produisant, vers 2022, des superordinateurs exascale basés sur la technologie de l’UE, ce qui la placerai</w:t>
      </w:r>
      <w:r>
        <w:rPr>
          <w:rFonts w:ascii="Times New Roman" w:hAnsi="Times New Roman"/>
          <w:b/>
          <w:noProof/>
          <w:sz w:val="24"/>
          <w:lang w:val="fr-BE"/>
        </w:rPr>
        <w:t>t à l'une des 3 premières places à l'échelon mondial</w:t>
      </w:r>
      <w:r>
        <w:rPr>
          <w:rFonts w:ascii="Times New Roman" w:hAnsi="Times New Roman"/>
          <w:noProof/>
          <w:sz w:val="24"/>
          <w:lang w:val="fr-BE"/>
        </w:rPr>
        <w:t>. L’Europe devrait s'efforcer de disposer d'au moins deux sources de cette technologie.</w:t>
      </w:r>
    </w:p>
    <w:p w:rsidR="005B5FD5" w:rsidRDefault="005F12DE">
      <w:pPr>
        <w:widowControl w:val="0"/>
        <w:spacing w:after="240"/>
        <w:jc w:val="both"/>
        <w:rPr>
          <w:rFonts w:ascii="Times New Roman" w:hAnsi="Times New Roman"/>
          <w:noProof/>
          <w:sz w:val="24"/>
          <w:szCs w:val="24"/>
          <w:lang w:val="fr-BE"/>
        </w:rPr>
      </w:pPr>
      <w:r>
        <w:rPr>
          <w:rFonts w:ascii="Times New Roman" w:hAnsi="Times New Roman"/>
          <w:noProof/>
          <w:sz w:val="24"/>
          <w:lang w:val="fr-BE"/>
        </w:rPr>
        <w:t>La stratégie CHP existante</w:t>
      </w:r>
      <w:r>
        <w:rPr>
          <w:rStyle w:val="FootnoteReference"/>
          <w:rFonts w:ascii="Times New Roman" w:hAnsi="Times New Roman"/>
          <w:noProof/>
          <w:sz w:val="24"/>
        </w:rPr>
        <w:footnoteReference w:id="46"/>
      </w:r>
      <w:r>
        <w:rPr>
          <w:rFonts w:ascii="Times New Roman" w:hAnsi="Times New Roman"/>
          <w:noProof/>
          <w:sz w:val="24"/>
          <w:lang w:val="fr-BE"/>
        </w:rPr>
        <w:t xml:space="preserve"> soutient certes la recherche et le développement de technologies CHP commercialisables, </w:t>
      </w:r>
      <w:r>
        <w:rPr>
          <w:rFonts w:ascii="Times New Roman" w:hAnsi="Times New Roman"/>
          <w:noProof/>
          <w:sz w:val="24"/>
          <w:lang w:val="fr-BE"/>
        </w:rPr>
        <w:t>mais ne prévoit pas la réalisation d’un superordinateur exascale. L’infrastructure de données européenne rassemblera les ressources et capacités nécessaires afin de fermer la chaîne qui va de la recherche et du développement à la réalisation et l’exploitat</w:t>
      </w:r>
      <w:r>
        <w:rPr>
          <w:rFonts w:ascii="Times New Roman" w:hAnsi="Times New Roman"/>
          <w:noProof/>
          <w:sz w:val="24"/>
          <w:lang w:val="fr-BE"/>
        </w:rPr>
        <w:t>ion des systèmes CHP exascale conçus conjointement avec les utilisateurs et les fournisseurs. Il s’agit notamment de garantir la connectivité des données et le stockage de mégadonnées de manière à assurer la disponibilité des services de calcul intensif da</w:t>
      </w:r>
      <w:r>
        <w:rPr>
          <w:rFonts w:ascii="Times New Roman" w:hAnsi="Times New Roman"/>
          <w:noProof/>
          <w:sz w:val="24"/>
          <w:lang w:val="fr-BE"/>
        </w:rPr>
        <w:t xml:space="preserve">ns l’ensemble de l’UE, indépendamment de l’endroit où se trouvent les superordinateurs. Un premier pas a récemment été franchi dans ce sens par le Luxembourg, la France, l'Italie et l'Espagne, avec un projet </w:t>
      </w:r>
      <w:r>
        <w:rPr>
          <w:rFonts w:ascii="Times New Roman" w:hAnsi="Times New Roman"/>
          <w:b/>
          <w:noProof/>
          <w:sz w:val="24"/>
          <w:lang w:val="fr-BE"/>
        </w:rPr>
        <w:t>important d’intérêt européen commun (</w:t>
      </w:r>
      <w:hyperlink r:id="rId23" w:tooltip="PIIEC - nouvelle fenêtre">
        <w:r>
          <w:rPr>
            <w:rFonts w:ascii="Times New Roman" w:hAnsi="Times New Roman"/>
            <w:b/>
            <w:noProof/>
            <w:sz w:val="24"/>
            <w:lang w:val="fr-BE"/>
          </w:rPr>
          <w:t>PIIEC</w:t>
        </w:r>
      </w:hyperlink>
      <w:r>
        <w:rPr>
          <w:noProof/>
          <w:lang w:val="fr-BE"/>
        </w:rPr>
        <w:t xml:space="preserve">) </w:t>
      </w:r>
      <w:r>
        <w:rPr>
          <w:rFonts w:ascii="Times New Roman" w:hAnsi="Times New Roman"/>
          <w:b/>
          <w:noProof/>
          <w:sz w:val="24"/>
          <w:lang w:val="fr-BE"/>
        </w:rPr>
        <w:t>sur les applications compatibles avec le CHP et les mégadonnées</w:t>
      </w:r>
      <w:r>
        <w:rPr>
          <w:rStyle w:val="FootnoteReference"/>
          <w:rFonts w:ascii="Times New Roman" w:hAnsi="Times New Roman"/>
          <w:noProof/>
          <w:sz w:val="24"/>
        </w:rPr>
        <w:footnoteReference w:id="47"/>
      </w:r>
      <w:r>
        <w:rPr>
          <w:rFonts w:ascii="Times New Roman" w:hAnsi="Times New Roman"/>
          <w:noProof/>
          <w:sz w:val="24"/>
          <w:lang w:val="fr-BE"/>
        </w:rPr>
        <w:t xml:space="preserve">. </w:t>
      </w:r>
    </w:p>
    <w:p w:rsidR="005B5FD5" w:rsidRDefault="005F12DE">
      <w:pPr>
        <w:widowControl w:val="0"/>
        <w:spacing w:after="240"/>
        <w:jc w:val="both"/>
        <w:rPr>
          <w:rFonts w:ascii="Times New Roman" w:hAnsi="Times New Roman"/>
          <w:noProof/>
          <w:sz w:val="24"/>
          <w:szCs w:val="24"/>
          <w:lang w:val="fr-BE"/>
        </w:rPr>
      </w:pPr>
      <w:r>
        <w:rPr>
          <w:rFonts w:ascii="Times New Roman" w:hAnsi="Times New Roman"/>
          <w:noProof/>
          <w:sz w:val="24"/>
          <w:lang w:val="fr-BE"/>
        </w:rPr>
        <w:t xml:space="preserve">S’appuyant sur les infrastructures et services paneuropéens de calcul à haute performance </w:t>
      </w:r>
      <w:r>
        <w:rPr>
          <w:rFonts w:ascii="Times New Roman" w:hAnsi="Times New Roman"/>
          <w:noProof/>
          <w:sz w:val="24"/>
          <w:lang w:val="fr-BE"/>
        </w:rPr>
        <w:t>(PRACE), le réseau à grande vitesse transeuropéen (GÉANT), le partenariat public-privé contractuel sur le CHP</w:t>
      </w:r>
      <w:r>
        <w:rPr>
          <w:rStyle w:val="FootnoteReference"/>
          <w:rFonts w:ascii="Times New Roman" w:hAnsi="Times New Roman"/>
          <w:noProof/>
          <w:sz w:val="24"/>
        </w:rPr>
        <w:footnoteReference w:id="48"/>
      </w:r>
      <w:r>
        <w:rPr>
          <w:rFonts w:ascii="Times New Roman" w:hAnsi="Times New Roman"/>
          <w:noProof/>
          <w:sz w:val="24"/>
          <w:lang w:val="fr-BE"/>
        </w:rPr>
        <w:t>, l’entreprise commune ECSEL</w:t>
      </w:r>
      <w:r>
        <w:rPr>
          <w:rStyle w:val="FootnoteReference"/>
          <w:rFonts w:ascii="Times New Roman" w:hAnsi="Times New Roman"/>
          <w:noProof/>
          <w:sz w:val="24"/>
        </w:rPr>
        <w:footnoteReference w:id="49"/>
      </w:r>
      <w:r>
        <w:rPr>
          <w:rFonts w:ascii="Times New Roman" w:hAnsi="Times New Roman"/>
          <w:noProof/>
          <w:sz w:val="24"/>
          <w:lang w:val="fr-BE"/>
        </w:rPr>
        <w:t xml:space="preserve"> et le PIIEC sur les applications compatibles avec le CHP et les mégadonnées, la Commission et les États membres part</w:t>
      </w:r>
      <w:r>
        <w:rPr>
          <w:rFonts w:ascii="Times New Roman" w:hAnsi="Times New Roman"/>
          <w:noProof/>
          <w:sz w:val="24"/>
          <w:lang w:val="fr-BE"/>
        </w:rPr>
        <w:t>icipants:</w:t>
      </w:r>
    </w:p>
    <w:p w:rsidR="005B5FD5" w:rsidRDefault="005F12DE">
      <w:pPr>
        <w:pStyle w:val="ListParagraph"/>
        <w:widowControl w:val="0"/>
        <w:numPr>
          <w:ilvl w:val="0"/>
          <w:numId w:val="80"/>
        </w:numPr>
        <w:spacing w:after="240"/>
        <w:jc w:val="both"/>
        <w:rPr>
          <w:rFonts w:ascii="Times New Roman" w:hAnsi="Times New Roman"/>
          <w:noProof/>
          <w:sz w:val="24"/>
          <w:szCs w:val="24"/>
          <w:lang w:val="fr-BE"/>
        </w:rPr>
      </w:pPr>
      <w:r>
        <w:rPr>
          <w:rFonts w:ascii="Times New Roman" w:hAnsi="Times New Roman"/>
          <w:noProof/>
          <w:sz w:val="24"/>
          <w:szCs w:val="24"/>
          <w:lang w:val="fr-BE"/>
        </w:rPr>
        <w:t xml:space="preserve">favoriseront </w:t>
      </w:r>
      <w:r>
        <w:rPr>
          <w:rFonts w:ascii="Times New Roman" w:hAnsi="Times New Roman"/>
          <w:noProof/>
          <w:sz w:val="24"/>
          <w:lang w:val="fr-BE"/>
        </w:rPr>
        <w:t xml:space="preserve">un écosystème CHP capable de développer une nouvelle technologie européenne telle que celle des </w:t>
      </w:r>
      <w:r>
        <w:rPr>
          <w:rFonts w:ascii="Times New Roman" w:hAnsi="Times New Roman"/>
          <w:b/>
          <w:noProof/>
          <w:sz w:val="24"/>
          <w:lang w:val="fr-BE"/>
        </w:rPr>
        <w:t>puces CHP de faible puissance</w:t>
      </w:r>
      <w:r>
        <w:rPr>
          <w:rStyle w:val="FootnoteReference"/>
          <w:rFonts w:ascii="Times New Roman" w:hAnsi="Times New Roman"/>
          <w:noProof/>
          <w:sz w:val="24"/>
        </w:rPr>
        <w:footnoteReference w:id="50"/>
      </w:r>
      <w:r>
        <w:rPr>
          <w:rFonts w:ascii="Times New Roman" w:hAnsi="Times New Roman"/>
          <w:noProof/>
          <w:sz w:val="24"/>
          <w:lang w:val="fr-BE"/>
        </w:rPr>
        <w:t>;</w:t>
      </w:r>
    </w:p>
    <w:p w:rsidR="005B5FD5" w:rsidRDefault="005F12DE">
      <w:pPr>
        <w:pStyle w:val="ListParagraph"/>
        <w:widowControl w:val="0"/>
        <w:numPr>
          <w:ilvl w:val="0"/>
          <w:numId w:val="80"/>
        </w:numPr>
        <w:spacing w:after="240"/>
        <w:jc w:val="both"/>
        <w:rPr>
          <w:rFonts w:ascii="Times New Roman" w:hAnsi="Times New Roman"/>
          <w:noProof/>
          <w:sz w:val="24"/>
          <w:szCs w:val="24"/>
          <w:lang w:val="fr-BE"/>
        </w:rPr>
      </w:pPr>
      <w:r>
        <w:rPr>
          <w:rFonts w:ascii="Times New Roman" w:hAnsi="Times New Roman"/>
          <w:noProof/>
          <w:sz w:val="24"/>
          <w:lang w:val="fr-BE"/>
        </w:rPr>
        <w:t>intégreront des technologies dans des systèmes prototypes par la conception conjointe</w:t>
      </w:r>
      <w:r>
        <w:rPr>
          <w:rStyle w:val="FootnoteReference"/>
          <w:rFonts w:ascii="Times New Roman" w:hAnsi="Times New Roman"/>
          <w:noProof/>
          <w:sz w:val="24"/>
        </w:rPr>
        <w:footnoteReference w:id="51"/>
      </w:r>
      <w:r>
        <w:rPr>
          <w:rFonts w:ascii="Times New Roman" w:hAnsi="Times New Roman"/>
          <w:noProof/>
          <w:sz w:val="24"/>
          <w:lang w:val="fr-BE"/>
        </w:rPr>
        <w:t xml:space="preserve"> de solutions et l’acquisition de systèmes CHP; l'infrastructure CHP qui en résultera mettra l’accent sur les </w:t>
      </w:r>
      <w:r>
        <w:rPr>
          <w:rFonts w:ascii="Times New Roman" w:hAnsi="Times New Roman"/>
          <w:b/>
          <w:noProof/>
          <w:sz w:val="24"/>
          <w:lang w:val="fr-BE"/>
        </w:rPr>
        <w:t>superordinateurs de capacité haut de gamme</w:t>
      </w:r>
      <w:r>
        <w:rPr>
          <w:rFonts w:ascii="Times New Roman" w:hAnsi="Times New Roman"/>
          <w:noProof/>
          <w:sz w:val="24"/>
          <w:lang w:val="fr-BE"/>
        </w:rPr>
        <w:t xml:space="preserve"> reliés à des centres de calcul nationaux de l’UE de taille moyenne et à des infrastructures de données </w:t>
      </w:r>
      <w:r>
        <w:rPr>
          <w:rFonts w:ascii="Times New Roman" w:hAnsi="Times New Roman"/>
          <w:noProof/>
          <w:sz w:val="24"/>
          <w:lang w:val="fr-BE"/>
        </w:rPr>
        <w:t>et de logiciels paneuropéennes pour offrir un service de calcul intensif;</w:t>
      </w:r>
      <w:r>
        <w:rPr>
          <w:rStyle w:val="FootnoteReference"/>
          <w:rFonts w:ascii="Times New Roman" w:hAnsi="Times New Roman"/>
          <w:noProof/>
          <w:sz w:val="24"/>
          <w:lang w:val="fr-BE"/>
        </w:rPr>
        <w:t xml:space="preserve"> </w:t>
      </w:r>
    </w:p>
    <w:p w:rsidR="005B5FD5" w:rsidRDefault="005F12DE">
      <w:pPr>
        <w:pStyle w:val="ListParagraph"/>
        <w:widowControl w:val="0"/>
        <w:numPr>
          <w:ilvl w:val="0"/>
          <w:numId w:val="80"/>
        </w:numPr>
        <w:spacing w:after="240"/>
        <w:jc w:val="both"/>
        <w:rPr>
          <w:rFonts w:ascii="Times New Roman" w:hAnsi="Times New Roman"/>
          <w:noProof/>
          <w:sz w:val="24"/>
          <w:szCs w:val="24"/>
          <w:lang w:val="fr-BE"/>
        </w:rPr>
      </w:pPr>
      <w:r>
        <w:rPr>
          <w:rFonts w:ascii="Times New Roman" w:hAnsi="Times New Roman"/>
          <w:noProof/>
          <w:sz w:val="24"/>
          <w:lang w:val="fr-BE"/>
        </w:rPr>
        <w:t xml:space="preserve">fourniront une </w:t>
      </w:r>
      <w:r>
        <w:rPr>
          <w:rFonts w:ascii="Times New Roman" w:hAnsi="Times New Roman"/>
          <w:b/>
          <w:noProof/>
          <w:sz w:val="24"/>
          <w:lang w:val="fr-BE"/>
        </w:rPr>
        <w:t>connectivité sans discontinuité, à haut débit, fiable et sûre</w:t>
      </w:r>
      <w:r>
        <w:rPr>
          <w:rFonts w:ascii="Times New Roman" w:hAnsi="Times New Roman"/>
          <w:noProof/>
          <w:sz w:val="24"/>
          <w:lang w:val="fr-BE"/>
        </w:rPr>
        <w:t xml:space="preserve"> de manière à rendre le CHP accessible dans l'ensemble de l’UE; le réseau à grande vitesse transeuropéen (GÉANT) et les réseaux nationaux pour la recherche et l'éducation (NREN) relient déjà entre eux 50 millions de chercheurs et d’étudiants; ces infrastru</w:t>
      </w:r>
      <w:r>
        <w:rPr>
          <w:rFonts w:ascii="Times New Roman" w:hAnsi="Times New Roman"/>
          <w:noProof/>
          <w:sz w:val="24"/>
          <w:lang w:val="fr-BE"/>
        </w:rPr>
        <w:t>ctures seront modernisées pour faire face à l’augmentation des volumes de données à transférer et à l’extension de la base d’utilisateurs.</w:t>
      </w:r>
    </w:p>
    <w:p w:rsidR="005B5FD5" w:rsidRDefault="005F12DE">
      <w:pPr>
        <w:widowControl w:val="0"/>
        <w:spacing w:after="240"/>
        <w:jc w:val="both"/>
        <w:rPr>
          <w:rFonts w:ascii="Times New Roman" w:hAnsi="Times New Roman"/>
          <w:noProof/>
          <w:sz w:val="24"/>
          <w:szCs w:val="24"/>
          <w:lang w:val="fr-BE"/>
        </w:rPr>
      </w:pPr>
      <w:r>
        <w:rPr>
          <w:rFonts w:ascii="Times New Roman" w:hAnsi="Times New Roman"/>
          <w:noProof/>
          <w:sz w:val="24"/>
          <w:lang w:val="fr-BE"/>
        </w:rPr>
        <w:t>L’</w:t>
      </w:r>
      <w:r>
        <w:rPr>
          <w:rFonts w:ascii="Times New Roman" w:hAnsi="Times New Roman"/>
          <w:b/>
          <w:noProof/>
          <w:sz w:val="24"/>
          <w:lang w:val="fr-BE"/>
        </w:rPr>
        <w:t>infrastructure de données</w:t>
      </w:r>
      <w:r>
        <w:rPr>
          <w:rFonts w:ascii="Times New Roman" w:hAnsi="Times New Roman"/>
          <w:noProof/>
          <w:sz w:val="24"/>
          <w:lang w:val="fr-BE"/>
        </w:rPr>
        <w:t xml:space="preserve"> </w:t>
      </w:r>
      <w:r>
        <w:rPr>
          <w:rFonts w:ascii="Times New Roman" w:hAnsi="Times New Roman"/>
          <w:b/>
          <w:noProof/>
          <w:sz w:val="24"/>
          <w:lang w:val="fr-BE"/>
        </w:rPr>
        <w:t xml:space="preserve">européenne </w:t>
      </w:r>
      <w:r>
        <w:rPr>
          <w:rFonts w:ascii="Times New Roman" w:hAnsi="Times New Roman"/>
          <w:noProof/>
          <w:sz w:val="24"/>
          <w:lang w:val="fr-BE"/>
        </w:rPr>
        <w:t>contribuera à la numérisation de l’industrie tout en développant des plateform</w:t>
      </w:r>
      <w:r>
        <w:rPr>
          <w:rFonts w:ascii="Times New Roman" w:hAnsi="Times New Roman"/>
          <w:noProof/>
          <w:sz w:val="24"/>
          <w:lang w:val="fr-BE"/>
        </w:rPr>
        <w:t xml:space="preserve">es européennes pour de nouvelles applications stratégiques (recherche médicale, industrie aérospatiale, énergie, par exemple) et en favorisant l’innovation industrielle. Elle </w:t>
      </w:r>
      <w:r>
        <w:rPr>
          <w:rFonts w:ascii="Times New Roman" w:hAnsi="Times New Roman"/>
          <w:b/>
          <w:noProof/>
          <w:sz w:val="24"/>
          <w:lang w:val="fr-BE"/>
        </w:rPr>
        <w:t>élargira la base d’utilisateurs du CHP</w:t>
      </w:r>
      <w:r>
        <w:rPr>
          <w:rFonts w:ascii="Times New Roman" w:hAnsi="Times New Roman"/>
          <w:noProof/>
          <w:sz w:val="24"/>
          <w:lang w:val="fr-BE"/>
        </w:rPr>
        <w:t xml:space="preserve"> en offrant un accès plus facile, grâce à l</w:t>
      </w:r>
      <w:r>
        <w:rPr>
          <w:rFonts w:ascii="Times New Roman" w:hAnsi="Times New Roman"/>
          <w:noProof/>
          <w:sz w:val="24"/>
          <w:lang w:val="fr-BE"/>
        </w:rPr>
        <w:t>’informatique en nuage, aussi bien pour les chercheurs dans les principales disciplines scientifiques que pour la «longue traîne» de la recherche. L’industrie, en particulier les PME dépourvues de capacités internes, et les autorités publiques (par exemple</w:t>
      </w:r>
      <w:r>
        <w:rPr>
          <w:rFonts w:ascii="Times New Roman" w:hAnsi="Times New Roman"/>
          <w:noProof/>
          <w:sz w:val="24"/>
          <w:lang w:val="fr-BE"/>
        </w:rPr>
        <w:t>, les villes intelligentes et le transport) profiteront de ressources, applications et outils d'analyse CHP en nuage et faciles à utiliser</w:t>
      </w:r>
      <w:r>
        <w:rPr>
          <w:rStyle w:val="FootnoteReference"/>
          <w:rFonts w:ascii="Times New Roman" w:hAnsi="Times New Roman"/>
          <w:noProof/>
          <w:sz w:val="24"/>
        </w:rPr>
        <w:footnoteReference w:id="52"/>
      </w:r>
      <w:r>
        <w:rPr>
          <w:rFonts w:ascii="Times New Roman" w:hAnsi="Times New Roman"/>
          <w:noProof/>
          <w:sz w:val="24"/>
          <w:lang w:val="fr-BE"/>
        </w:rPr>
        <w:t xml:space="preserve">. Dans ce contexte, la Commission favorisera le déploiement de capacités de traitement et d’exploitation des données </w:t>
      </w:r>
      <w:r>
        <w:rPr>
          <w:rFonts w:ascii="Times New Roman" w:hAnsi="Times New Roman"/>
          <w:noProof/>
          <w:sz w:val="24"/>
          <w:lang w:val="fr-BE"/>
        </w:rPr>
        <w:t>provenant des satellites Sentinelle, des informations provenant des services de Copernicus et d’autres données d’observation de la Terre, de manière à permettre l'enrichissement mutuel entre les différents ensembles de données, à encourager le développemen</w:t>
      </w:r>
      <w:r>
        <w:rPr>
          <w:rFonts w:ascii="Times New Roman" w:hAnsi="Times New Roman"/>
          <w:noProof/>
          <w:sz w:val="24"/>
          <w:lang w:val="fr-BE"/>
        </w:rPr>
        <w:t>t de produits et services innovants et à optimaliser les avantages socio-économiques des données d’observation de la Terre en Europe.</w:t>
      </w:r>
    </w:p>
    <w:p w:rsidR="005B5FD5" w:rsidRDefault="005F12DE">
      <w:pPr>
        <w:widowControl w:val="0"/>
        <w:spacing w:after="240"/>
        <w:jc w:val="both"/>
        <w:rPr>
          <w:rFonts w:ascii="Times New Roman" w:hAnsi="Times New Roman"/>
          <w:noProof/>
          <w:sz w:val="24"/>
          <w:szCs w:val="24"/>
          <w:lang w:val="fr-BE"/>
        </w:rPr>
      </w:pPr>
      <w:r>
        <w:rPr>
          <w:rFonts w:ascii="Times New Roman" w:hAnsi="Times New Roman"/>
          <w:noProof/>
          <w:sz w:val="24"/>
          <w:lang w:val="fr-BE"/>
        </w:rPr>
        <w:t>L’infrastructure de données européenne opérera en collaboration avec les centres de données scientifiques et publiques nat</w:t>
      </w:r>
      <w:r>
        <w:rPr>
          <w:rFonts w:ascii="Times New Roman" w:hAnsi="Times New Roman"/>
          <w:noProof/>
          <w:sz w:val="24"/>
          <w:lang w:val="fr-BE"/>
        </w:rPr>
        <w:t>ionaux et régionaux. Elle développera et mettra en œuvre les bonnes pratiques basées sur des systèmes de certification et des normes et spécifications européennes et mondiales communes</w:t>
      </w:r>
      <w:r>
        <w:rPr>
          <w:rStyle w:val="FootnoteReference"/>
          <w:rFonts w:ascii="Times New Roman" w:hAnsi="Times New Roman"/>
          <w:noProof/>
          <w:sz w:val="24"/>
        </w:rPr>
        <w:footnoteReference w:id="53"/>
      </w:r>
      <w:r>
        <w:rPr>
          <w:rFonts w:ascii="Times New Roman" w:hAnsi="Times New Roman"/>
          <w:noProof/>
          <w:sz w:val="24"/>
          <w:lang w:val="fr-BE"/>
        </w:rPr>
        <w:t xml:space="preserve"> pour remédier au manque actuel d’interopérabilité entre les centres de</w:t>
      </w:r>
      <w:r>
        <w:rPr>
          <w:rFonts w:ascii="Times New Roman" w:hAnsi="Times New Roman"/>
          <w:noProof/>
          <w:sz w:val="24"/>
          <w:lang w:val="fr-BE"/>
        </w:rPr>
        <w:t xml:space="preserve"> données nationaux et disciplinaires</w:t>
      </w:r>
      <w:r>
        <w:rPr>
          <w:rStyle w:val="FootnoteReference"/>
          <w:rFonts w:ascii="Times New Roman" w:hAnsi="Times New Roman"/>
          <w:noProof/>
          <w:sz w:val="24"/>
        </w:rPr>
        <w:footnoteReference w:id="54"/>
      </w:r>
      <w:r>
        <w:rPr>
          <w:rFonts w:ascii="Times New Roman" w:hAnsi="Times New Roman"/>
          <w:noProof/>
          <w:sz w:val="24"/>
          <w:lang w:val="fr-BE"/>
        </w:rPr>
        <w:t>.</w:t>
      </w:r>
    </w:p>
    <w:p w:rsidR="005B5FD5" w:rsidRDefault="005F12DE">
      <w:pPr>
        <w:spacing w:after="120"/>
        <w:jc w:val="both"/>
        <w:rPr>
          <w:rFonts w:ascii="Times New Roman" w:eastAsia="Times New Roman" w:hAnsi="Times New Roman"/>
          <w:noProof/>
          <w:sz w:val="24"/>
          <w:szCs w:val="24"/>
          <w:lang w:val="fr-BE"/>
        </w:rPr>
      </w:pPr>
      <w:r>
        <w:rPr>
          <w:rFonts w:ascii="Times New Roman" w:hAnsi="Times New Roman"/>
          <w:noProof/>
          <w:sz w:val="24"/>
          <w:lang w:val="fr-BE"/>
        </w:rPr>
        <w:t>L’infrastructure de données européenne comportera une structure de gouvernance pour la gestion et le développement de l’infrastructure et des services de données</w:t>
      </w:r>
      <w:r>
        <w:rPr>
          <w:rStyle w:val="FootnoteReference"/>
          <w:rFonts w:ascii="Times New Roman" w:hAnsi="Times New Roman"/>
          <w:noProof/>
          <w:sz w:val="24"/>
        </w:rPr>
        <w:footnoteReference w:id="55"/>
      </w:r>
      <w:r>
        <w:rPr>
          <w:rFonts w:ascii="Times New Roman" w:hAnsi="Times New Roman"/>
          <w:noProof/>
          <w:sz w:val="24"/>
          <w:lang w:val="fr-BE"/>
        </w:rPr>
        <w:t>, la prise de décision sur le financement, la viabilité</w:t>
      </w:r>
      <w:r>
        <w:rPr>
          <w:rFonts w:ascii="Times New Roman" w:hAnsi="Times New Roman"/>
          <w:noProof/>
          <w:sz w:val="24"/>
          <w:lang w:val="fr-BE"/>
        </w:rPr>
        <w:t xml:space="preserve"> à long terme et la sécurité. La gouvernance devrait impliquer les utilisateurs (le nuage européen pour la science ouverte et d'autres utilisateurs à long terme tels que le secteur public), les responsables de la mise en œuvre (PRACE, GEANT) et les bailleu</w:t>
      </w:r>
      <w:r>
        <w:rPr>
          <w:rFonts w:ascii="Times New Roman" w:hAnsi="Times New Roman"/>
          <w:noProof/>
          <w:sz w:val="24"/>
          <w:lang w:val="fr-BE"/>
        </w:rPr>
        <w:t>rs de fonds, et s'appuyer sur les structures de gouvernance existantes.</w:t>
      </w:r>
    </w:p>
    <w:tbl>
      <w:tblPr>
        <w:tblStyle w:val="TableGrid"/>
        <w:tblW w:w="9039" w:type="dxa"/>
        <w:tblLook w:val="04A0" w:firstRow="1" w:lastRow="0" w:firstColumn="1" w:lastColumn="0" w:noHBand="0" w:noVBand="1"/>
      </w:tblPr>
      <w:tblGrid>
        <w:gridCol w:w="7574"/>
        <w:gridCol w:w="1465"/>
      </w:tblGrid>
      <w:tr w:rsidR="005B5FD5">
        <w:tc>
          <w:tcPr>
            <w:tcW w:w="7574" w:type="dxa"/>
          </w:tcPr>
          <w:p w:rsidR="005B5FD5" w:rsidRDefault="005F12DE">
            <w:pPr>
              <w:spacing w:before="60" w:after="60"/>
              <w:jc w:val="both"/>
              <w:rPr>
                <w:rFonts w:ascii="Times New Roman" w:hAnsi="Times New Roman"/>
                <w:b/>
                <w:bCs/>
                <w:noProof/>
                <w:sz w:val="24"/>
                <w:szCs w:val="24"/>
              </w:rPr>
            </w:pPr>
            <w:r>
              <w:rPr>
                <w:rFonts w:ascii="Times New Roman" w:hAnsi="Times New Roman"/>
                <w:b/>
                <w:noProof/>
                <w:sz w:val="24"/>
              </w:rPr>
              <w:t>Actions</w:t>
            </w:r>
          </w:p>
        </w:tc>
        <w:tc>
          <w:tcPr>
            <w:tcW w:w="1465" w:type="dxa"/>
          </w:tcPr>
          <w:p w:rsidR="005B5FD5" w:rsidRDefault="005F12DE">
            <w:pPr>
              <w:spacing w:before="60" w:after="60"/>
              <w:jc w:val="both"/>
              <w:rPr>
                <w:rFonts w:ascii="Times New Roman" w:hAnsi="Times New Roman"/>
                <w:b/>
                <w:bCs/>
                <w:noProof/>
                <w:sz w:val="24"/>
                <w:szCs w:val="24"/>
              </w:rPr>
            </w:pPr>
            <w:r>
              <w:rPr>
                <w:rFonts w:ascii="Times New Roman" w:hAnsi="Times New Roman"/>
                <w:b/>
                <w:noProof/>
                <w:sz w:val="24"/>
              </w:rPr>
              <w:t>Calendrier</w:t>
            </w:r>
          </w:p>
        </w:tc>
      </w:tr>
      <w:tr w:rsidR="005B5FD5">
        <w:tc>
          <w:tcPr>
            <w:tcW w:w="7574" w:type="dxa"/>
          </w:tcPr>
          <w:p w:rsidR="005B5FD5" w:rsidRDefault="005F12DE">
            <w:pPr>
              <w:spacing w:before="60" w:after="60"/>
              <w:jc w:val="both"/>
              <w:rPr>
                <w:rFonts w:ascii="Times New Roman" w:hAnsi="Times New Roman"/>
                <w:noProof/>
                <w:sz w:val="24"/>
                <w:szCs w:val="24"/>
                <w:lang w:val="fr-BE"/>
              </w:rPr>
            </w:pPr>
            <w:r>
              <w:rPr>
                <w:rFonts w:ascii="Times New Roman" w:hAnsi="Times New Roman"/>
                <w:noProof/>
                <w:sz w:val="24"/>
                <w:lang w:val="fr-BE"/>
              </w:rPr>
              <w:t xml:space="preserve">La Commission et les États membres participants doivent élaborer et déployer une infrastructure CHP, de données et de réseau européenne à grande échelle, notamment </w:t>
            </w:r>
            <w:r>
              <w:rPr>
                <w:rFonts w:ascii="Times New Roman" w:hAnsi="Times New Roman"/>
                <w:noProof/>
                <w:sz w:val="24"/>
                <w:lang w:val="fr-BE"/>
              </w:rPr>
              <w:t>par les initiatives suivantes:</w:t>
            </w:r>
          </w:p>
          <w:p w:rsidR="005B5FD5" w:rsidRDefault="005F12DE">
            <w:pPr>
              <w:pStyle w:val="ListParagraph"/>
              <w:numPr>
                <w:ilvl w:val="0"/>
                <w:numId w:val="76"/>
              </w:numPr>
              <w:spacing w:before="60" w:after="60"/>
              <w:jc w:val="both"/>
              <w:rPr>
                <w:rFonts w:ascii="Times New Roman" w:hAnsi="Times New Roman"/>
                <w:b/>
                <w:bCs/>
                <w:noProof/>
                <w:sz w:val="24"/>
                <w:szCs w:val="24"/>
                <w:lang w:val="fr-BE"/>
              </w:rPr>
            </w:pPr>
            <w:r>
              <w:rPr>
                <w:rFonts w:ascii="Times New Roman" w:hAnsi="Times New Roman"/>
                <w:noProof/>
                <w:sz w:val="24"/>
                <w:lang w:val="fr-BE"/>
              </w:rPr>
              <w:t>acquisition de deux prototypes de superordinateurs exascale de conception conjointe et de deux systèmes opérationnels qui se classeront parmi les trois premiers du monde;</w:t>
            </w:r>
          </w:p>
          <w:p w:rsidR="005B5FD5" w:rsidRDefault="005F12DE">
            <w:pPr>
              <w:pStyle w:val="ListParagraph"/>
              <w:numPr>
                <w:ilvl w:val="0"/>
                <w:numId w:val="76"/>
              </w:numPr>
              <w:spacing w:before="60" w:after="60"/>
              <w:jc w:val="both"/>
              <w:rPr>
                <w:rFonts w:ascii="Times New Roman" w:hAnsi="Times New Roman"/>
                <w:b/>
                <w:bCs/>
                <w:noProof/>
                <w:sz w:val="24"/>
                <w:szCs w:val="24"/>
                <w:lang w:val="fr-BE"/>
              </w:rPr>
            </w:pPr>
            <w:r>
              <w:rPr>
                <w:rFonts w:ascii="Times New Roman" w:hAnsi="Times New Roman"/>
                <w:noProof/>
                <w:sz w:val="24"/>
                <w:lang w:val="fr-BE"/>
              </w:rPr>
              <w:t>création d’un centre de mégadonnées européen</w:t>
            </w:r>
            <w:r>
              <w:rPr>
                <w:rFonts w:ascii="Times New Roman" w:hAnsi="Times New Roman"/>
                <w:noProof/>
                <w:sz w:val="20"/>
                <w:vertAlign w:val="superscript"/>
              </w:rPr>
              <w:footnoteReference w:id="56"/>
            </w:r>
            <w:r>
              <w:rPr>
                <w:rFonts w:ascii="Times New Roman" w:hAnsi="Times New Roman"/>
                <w:noProof/>
                <w:sz w:val="24"/>
                <w:lang w:val="fr-BE"/>
              </w:rPr>
              <w:t>,</w:t>
            </w:r>
          </w:p>
          <w:p w:rsidR="005B5FD5" w:rsidRDefault="005F12DE">
            <w:pPr>
              <w:pStyle w:val="ListParagraph"/>
              <w:numPr>
                <w:ilvl w:val="0"/>
                <w:numId w:val="76"/>
              </w:numPr>
              <w:spacing w:before="60" w:after="60"/>
              <w:jc w:val="both"/>
              <w:rPr>
                <w:rFonts w:ascii="Times New Roman" w:hAnsi="Times New Roman"/>
                <w:b/>
                <w:bCs/>
                <w:noProof/>
                <w:sz w:val="24"/>
                <w:szCs w:val="24"/>
                <w:lang w:val="fr-BE"/>
              </w:rPr>
            </w:pPr>
            <w:r>
              <w:rPr>
                <w:rFonts w:ascii="Times New Roman" w:hAnsi="Times New Roman"/>
                <w:noProof/>
                <w:sz w:val="24"/>
                <w:lang w:val="fr-BE"/>
              </w:rPr>
              <w:t>moderni</w:t>
            </w:r>
            <w:r>
              <w:rPr>
                <w:rFonts w:ascii="Times New Roman" w:hAnsi="Times New Roman"/>
                <w:noProof/>
                <w:sz w:val="24"/>
                <w:lang w:val="fr-BE"/>
              </w:rPr>
              <w:t>sation du réseau général de recherche et d’innovation (GEANT) et intégration des réseaux de services publics européens.</w:t>
            </w:r>
          </w:p>
        </w:tc>
        <w:tc>
          <w:tcPr>
            <w:tcW w:w="1465"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2016-2020</w:t>
            </w:r>
          </w:p>
          <w:p w:rsidR="005B5FD5" w:rsidRDefault="005B5FD5">
            <w:pPr>
              <w:spacing w:before="60" w:after="60"/>
              <w:jc w:val="both"/>
              <w:rPr>
                <w:rFonts w:ascii="Times New Roman" w:hAnsi="Times New Roman"/>
                <w:bCs/>
                <w:noProof/>
                <w:sz w:val="24"/>
                <w:szCs w:val="24"/>
              </w:rPr>
            </w:pPr>
          </w:p>
          <w:p w:rsidR="005B5FD5" w:rsidRDefault="005B5FD5">
            <w:pPr>
              <w:spacing w:before="60" w:after="60"/>
              <w:jc w:val="both"/>
              <w:rPr>
                <w:rFonts w:ascii="Times New Roman" w:hAnsi="Times New Roman"/>
                <w:b/>
                <w:bCs/>
                <w:noProof/>
                <w:sz w:val="24"/>
                <w:szCs w:val="24"/>
              </w:rPr>
            </w:pPr>
          </w:p>
          <w:p w:rsidR="005B5FD5" w:rsidRDefault="005F12DE">
            <w:pPr>
              <w:spacing w:before="60" w:after="60"/>
              <w:jc w:val="both"/>
              <w:rPr>
                <w:rFonts w:ascii="Times New Roman" w:hAnsi="Times New Roman"/>
                <w:bCs/>
                <w:noProof/>
                <w:sz w:val="24"/>
                <w:szCs w:val="24"/>
              </w:rPr>
            </w:pPr>
            <w:r>
              <w:rPr>
                <w:rFonts w:ascii="Times New Roman" w:hAnsi="Times New Roman"/>
                <w:noProof/>
                <w:sz w:val="24"/>
              </w:rPr>
              <w:t>À partir de 2018.</w:t>
            </w:r>
          </w:p>
          <w:p w:rsidR="005B5FD5" w:rsidRDefault="005B5FD5">
            <w:pPr>
              <w:spacing w:before="60" w:after="60"/>
              <w:jc w:val="both"/>
              <w:rPr>
                <w:rFonts w:ascii="Times New Roman" w:hAnsi="Times New Roman"/>
                <w:b/>
                <w:bCs/>
                <w:noProof/>
                <w:sz w:val="24"/>
                <w:szCs w:val="24"/>
              </w:rPr>
            </w:pPr>
          </w:p>
          <w:p w:rsidR="005B5FD5" w:rsidRDefault="005F12DE">
            <w:pPr>
              <w:spacing w:before="60" w:after="60"/>
              <w:jc w:val="both"/>
              <w:rPr>
                <w:rFonts w:ascii="Times New Roman" w:hAnsi="Times New Roman"/>
                <w:bCs/>
                <w:noProof/>
                <w:sz w:val="24"/>
                <w:szCs w:val="24"/>
              </w:rPr>
            </w:pPr>
            <w:r>
              <w:rPr>
                <w:rFonts w:ascii="Times New Roman" w:hAnsi="Times New Roman"/>
                <w:noProof/>
                <w:sz w:val="24"/>
              </w:rPr>
              <w:t>À partir de 2016.</w:t>
            </w:r>
          </w:p>
          <w:p w:rsidR="005B5FD5" w:rsidRDefault="005B5FD5">
            <w:pPr>
              <w:spacing w:before="60" w:after="60"/>
              <w:jc w:val="both"/>
              <w:rPr>
                <w:rFonts w:ascii="Times New Roman" w:hAnsi="Times New Roman"/>
                <w:bCs/>
                <w:noProof/>
                <w:sz w:val="24"/>
                <w:szCs w:val="24"/>
              </w:rPr>
            </w:pPr>
          </w:p>
          <w:p w:rsidR="005B5FD5" w:rsidRDefault="005F12DE">
            <w:pPr>
              <w:spacing w:before="60" w:after="60"/>
              <w:jc w:val="both"/>
              <w:rPr>
                <w:rFonts w:ascii="Times New Roman" w:hAnsi="Times New Roman"/>
                <w:b/>
                <w:bCs/>
                <w:noProof/>
                <w:sz w:val="24"/>
                <w:szCs w:val="24"/>
              </w:rPr>
            </w:pPr>
            <w:r>
              <w:rPr>
                <w:rFonts w:ascii="Times New Roman" w:hAnsi="Times New Roman"/>
                <w:noProof/>
                <w:sz w:val="24"/>
              </w:rPr>
              <w:t>À partir de 2016.</w:t>
            </w:r>
          </w:p>
        </w:tc>
      </w:tr>
    </w:tbl>
    <w:p w:rsidR="005B5FD5" w:rsidRDefault="005F12DE">
      <w:pPr>
        <w:widowControl w:val="0"/>
        <w:spacing w:before="240" w:after="240"/>
        <w:jc w:val="both"/>
        <w:rPr>
          <w:rFonts w:ascii="Times New Roman" w:hAnsi="Times New Roman"/>
          <w:b/>
          <w:noProof/>
          <w:sz w:val="24"/>
          <w:szCs w:val="24"/>
          <w:lang w:val="fr-BE"/>
        </w:rPr>
      </w:pPr>
      <w:r>
        <w:rPr>
          <w:rFonts w:ascii="Times New Roman" w:hAnsi="Times New Roman"/>
          <w:b/>
          <w:noProof/>
          <w:sz w:val="24"/>
          <w:lang w:val="fr-BE"/>
        </w:rPr>
        <w:t>Exploiter le potentiel des technologies quantiques</w:t>
      </w:r>
    </w:p>
    <w:p w:rsidR="005B5FD5" w:rsidRDefault="005F12DE">
      <w:pPr>
        <w:widowControl w:val="0"/>
        <w:spacing w:after="240"/>
        <w:jc w:val="both"/>
        <w:rPr>
          <w:rFonts w:ascii="Times New Roman" w:hAnsi="Times New Roman"/>
          <w:noProof/>
          <w:sz w:val="24"/>
          <w:szCs w:val="24"/>
          <w:lang w:val="fr-BE"/>
        </w:rPr>
      </w:pPr>
      <w:r>
        <w:rPr>
          <w:rFonts w:ascii="Times New Roman" w:hAnsi="Times New Roman"/>
          <w:noProof/>
          <w:sz w:val="24"/>
          <w:lang w:val="fr-BE"/>
        </w:rPr>
        <w:t xml:space="preserve">La prochaine </w:t>
      </w:r>
      <w:r>
        <w:rPr>
          <w:rFonts w:ascii="Times New Roman" w:hAnsi="Times New Roman"/>
          <w:noProof/>
          <w:sz w:val="24"/>
          <w:lang w:val="fr-BE"/>
        </w:rPr>
        <w:t>percée en matière de calcul intensif et de mise en réseau sûre peut s'appuyer sur les technologies quantiques. Les entreprises de premier plan en Europe, Asie-Pacifique et Amérique du Nord commencent à investir dans les technologies quantiques, mais un niv</w:t>
      </w:r>
      <w:r>
        <w:rPr>
          <w:rFonts w:ascii="Times New Roman" w:hAnsi="Times New Roman"/>
          <w:noProof/>
          <w:sz w:val="24"/>
          <w:lang w:val="fr-BE"/>
        </w:rPr>
        <w:t>eau d’investissement plus élevé est nécessaire pour mettre au point des produits commercialisables. L’Europe doit être à la pointe de ces futures avancées</w:t>
      </w:r>
      <w:r>
        <w:rPr>
          <w:rStyle w:val="FootnoteReference"/>
          <w:rFonts w:ascii="Times New Roman" w:hAnsi="Times New Roman"/>
          <w:noProof/>
          <w:sz w:val="24"/>
        </w:rPr>
        <w:footnoteReference w:id="57"/>
      </w:r>
      <w:r>
        <w:rPr>
          <w:rFonts w:ascii="Times New Roman" w:hAnsi="Times New Roman"/>
          <w:noProof/>
          <w:sz w:val="24"/>
          <w:lang w:val="fr-BE"/>
        </w:rPr>
        <w:t>. L’infrastructure de données européenne doit être complétée par une initiative phare ambitieuse, à l</w:t>
      </w:r>
      <w:r>
        <w:rPr>
          <w:rFonts w:ascii="Times New Roman" w:hAnsi="Times New Roman"/>
          <w:noProof/>
          <w:sz w:val="24"/>
          <w:lang w:val="fr-BE"/>
        </w:rPr>
        <w:t>ong terme et à grande échelle pour exploiter pleinement le potentiel des technologies quantiques, accélérer leur développement et proposer des produits commerciaux aux utilisateurs publics et privés. La Commission européenne entamera les préparatifs du lan</w:t>
      </w:r>
      <w:r>
        <w:rPr>
          <w:rFonts w:ascii="Times New Roman" w:hAnsi="Times New Roman"/>
          <w:noProof/>
          <w:sz w:val="24"/>
          <w:lang w:val="fr-BE"/>
        </w:rPr>
        <w:t>cement de l'initiative phare, notamment la consultation des parties intéressées et l'analyse d’impact, en tenant compte des résultats de l’évaluation intermédiaire du programme Horizon 2020 d’ici la fin de 2017</w:t>
      </w:r>
      <w:r>
        <w:rPr>
          <w:rStyle w:val="FootnoteReference"/>
          <w:rFonts w:ascii="Times New Roman" w:hAnsi="Times New Roman"/>
          <w:noProof/>
          <w:sz w:val="24"/>
        </w:rPr>
        <w:footnoteReference w:id="58"/>
      </w:r>
      <w:r>
        <w:rPr>
          <w:rFonts w:ascii="Times New Roman" w:hAnsi="Times New Roman"/>
          <w:noProof/>
          <w:sz w:val="24"/>
          <w:lang w:val="fr-BE"/>
        </w:rPr>
        <w:t>.</w:t>
      </w:r>
    </w:p>
    <w:tbl>
      <w:tblPr>
        <w:tblStyle w:val="TableGrid"/>
        <w:tblW w:w="9039" w:type="dxa"/>
        <w:tblLook w:val="04A0" w:firstRow="1" w:lastRow="0" w:firstColumn="1" w:lastColumn="0" w:noHBand="0" w:noVBand="1"/>
      </w:tblPr>
      <w:tblGrid>
        <w:gridCol w:w="7574"/>
        <w:gridCol w:w="1465"/>
      </w:tblGrid>
      <w:tr w:rsidR="005B5FD5">
        <w:tc>
          <w:tcPr>
            <w:tcW w:w="7574" w:type="dxa"/>
          </w:tcPr>
          <w:p w:rsidR="005B5FD5" w:rsidRDefault="005F12DE">
            <w:pPr>
              <w:keepNext/>
              <w:spacing w:before="60" w:after="60"/>
              <w:jc w:val="both"/>
              <w:rPr>
                <w:rFonts w:ascii="Times New Roman" w:hAnsi="Times New Roman"/>
                <w:b/>
                <w:noProof/>
                <w:sz w:val="24"/>
                <w:szCs w:val="24"/>
              </w:rPr>
            </w:pPr>
            <w:r>
              <w:rPr>
                <w:rFonts w:ascii="Times New Roman" w:hAnsi="Times New Roman"/>
                <w:b/>
                <w:noProof/>
                <w:sz w:val="24"/>
              </w:rPr>
              <w:t>Action</w:t>
            </w:r>
          </w:p>
        </w:tc>
        <w:tc>
          <w:tcPr>
            <w:tcW w:w="1465" w:type="dxa"/>
          </w:tcPr>
          <w:p w:rsidR="005B5FD5" w:rsidRDefault="005F12DE">
            <w:pPr>
              <w:spacing w:before="60" w:after="60"/>
              <w:jc w:val="both"/>
              <w:rPr>
                <w:rFonts w:ascii="Times New Roman" w:hAnsi="Times New Roman"/>
                <w:b/>
                <w:bCs/>
                <w:noProof/>
                <w:sz w:val="24"/>
                <w:szCs w:val="24"/>
              </w:rPr>
            </w:pPr>
            <w:r>
              <w:rPr>
                <w:rFonts w:ascii="Times New Roman" w:hAnsi="Times New Roman"/>
                <w:b/>
                <w:noProof/>
                <w:sz w:val="24"/>
              </w:rPr>
              <w:t>Calendrier</w:t>
            </w:r>
          </w:p>
        </w:tc>
      </w:tr>
      <w:tr w:rsidR="005B5FD5">
        <w:tc>
          <w:tcPr>
            <w:tcW w:w="7574" w:type="dxa"/>
          </w:tcPr>
          <w:p w:rsidR="005B5FD5" w:rsidRDefault="005F12DE">
            <w:pPr>
              <w:spacing w:before="60" w:after="60"/>
              <w:jc w:val="both"/>
              <w:rPr>
                <w:rFonts w:ascii="Times New Roman" w:hAnsi="Times New Roman"/>
                <w:b/>
                <w:bCs/>
                <w:noProof/>
                <w:sz w:val="24"/>
                <w:szCs w:val="24"/>
                <w:lang w:val="fr-BE"/>
              </w:rPr>
            </w:pPr>
            <w:r>
              <w:rPr>
                <w:rFonts w:ascii="Times New Roman" w:hAnsi="Times New Roman"/>
                <w:noProof/>
                <w:sz w:val="24"/>
                <w:lang w:val="fr-BE"/>
              </w:rPr>
              <w:t>La Commission européenne</w:t>
            </w:r>
            <w:r>
              <w:rPr>
                <w:rFonts w:ascii="Times New Roman" w:hAnsi="Times New Roman"/>
                <w:noProof/>
                <w:sz w:val="24"/>
                <w:lang w:val="fr-BE"/>
              </w:rPr>
              <w:t xml:space="preserve"> entamera les préparatifs du lancement de l'initiative phare, notamment la consultation des parties intéressées et l'analyse d’impact</w:t>
            </w:r>
            <w:r>
              <w:rPr>
                <w:rStyle w:val="FootnoteReference"/>
                <w:rFonts w:ascii="Times New Roman" w:hAnsi="Times New Roman"/>
                <w:noProof/>
                <w:sz w:val="24"/>
              </w:rPr>
              <w:footnoteReference w:id="59"/>
            </w:r>
            <w:r>
              <w:rPr>
                <w:rFonts w:ascii="Times New Roman" w:hAnsi="Times New Roman"/>
                <w:noProof/>
                <w:sz w:val="24"/>
                <w:lang w:val="fr-BE"/>
              </w:rPr>
              <w:t>, en tenant compte des résultats de l’évaluation intermédiaire du programme Horizon 2020 d’ici la fin de 2017</w:t>
            </w:r>
            <w:r>
              <w:rPr>
                <w:rStyle w:val="FootnoteReference"/>
                <w:rFonts w:ascii="Times New Roman" w:hAnsi="Times New Roman"/>
                <w:noProof/>
                <w:sz w:val="24"/>
              </w:rPr>
              <w:footnoteReference w:id="60"/>
            </w:r>
            <w:r>
              <w:rPr>
                <w:rFonts w:ascii="Times New Roman" w:hAnsi="Times New Roman"/>
                <w:noProof/>
                <w:sz w:val="24"/>
                <w:lang w:val="fr-BE"/>
              </w:rPr>
              <w:t>, avec l'amb</w:t>
            </w:r>
            <w:r>
              <w:rPr>
                <w:rFonts w:ascii="Times New Roman" w:hAnsi="Times New Roman"/>
                <w:noProof/>
                <w:sz w:val="24"/>
                <w:lang w:val="fr-BE"/>
              </w:rPr>
              <w:t>ition de lancer la phase de montée en puissance en 2018</w:t>
            </w:r>
            <w:r>
              <w:rPr>
                <w:rStyle w:val="FootnoteReference"/>
                <w:rFonts w:ascii="Times New Roman" w:hAnsi="Times New Roman"/>
                <w:noProof/>
                <w:sz w:val="24"/>
              </w:rPr>
              <w:footnoteReference w:id="61"/>
            </w:r>
            <w:r>
              <w:rPr>
                <w:rFonts w:ascii="Times New Roman" w:hAnsi="Times New Roman"/>
                <w:noProof/>
                <w:sz w:val="24"/>
                <w:lang w:val="fr-BE"/>
              </w:rPr>
              <w:t>.</w:t>
            </w:r>
          </w:p>
        </w:tc>
        <w:tc>
          <w:tcPr>
            <w:tcW w:w="1465" w:type="dxa"/>
          </w:tcPr>
          <w:p w:rsidR="005B5FD5" w:rsidRDefault="005F12DE">
            <w:pPr>
              <w:spacing w:before="60" w:after="60"/>
              <w:jc w:val="both"/>
              <w:rPr>
                <w:rFonts w:ascii="Times New Roman" w:hAnsi="Times New Roman"/>
                <w:b/>
                <w:bCs/>
                <w:noProof/>
                <w:sz w:val="24"/>
                <w:szCs w:val="24"/>
              </w:rPr>
            </w:pPr>
            <w:r>
              <w:rPr>
                <w:rFonts w:ascii="Times New Roman" w:hAnsi="Times New Roman"/>
                <w:noProof/>
                <w:sz w:val="24"/>
              </w:rPr>
              <w:t>2016-2019</w:t>
            </w:r>
          </w:p>
        </w:tc>
      </w:tr>
    </w:tbl>
    <w:p w:rsidR="005B5FD5" w:rsidRDefault="005F12DE">
      <w:pPr>
        <w:pStyle w:val="Heading2"/>
        <w:numPr>
          <w:ilvl w:val="0"/>
          <w:numId w:val="57"/>
        </w:numPr>
        <w:spacing w:after="120"/>
        <w:rPr>
          <w:rFonts w:ascii="Times New Roman" w:hAnsi="Times New Roman"/>
          <w:noProof/>
          <w:color w:val="auto"/>
          <w:lang w:val="fr-BE"/>
        </w:rPr>
      </w:pPr>
      <w:r>
        <w:rPr>
          <w:rFonts w:ascii="Times New Roman" w:hAnsi="Times New Roman"/>
          <w:noProof/>
          <w:color w:val="auto"/>
          <w:lang w:val="fr-BE"/>
        </w:rPr>
        <w:t>Élargissement de l’accès et instauration d’un climat de confiance</w:t>
      </w:r>
    </w:p>
    <w:p w:rsidR="005B5FD5" w:rsidRDefault="005F12DE">
      <w:pPr>
        <w:spacing w:before="120" w:after="120"/>
        <w:jc w:val="both"/>
        <w:rPr>
          <w:rFonts w:ascii="Times New Roman" w:hAnsi="Times New Roman"/>
          <w:noProof/>
          <w:sz w:val="24"/>
          <w:szCs w:val="24"/>
          <w:lang w:val="fr-BE"/>
        </w:rPr>
      </w:pPr>
      <w:r>
        <w:rPr>
          <w:rFonts w:ascii="Times New Roman" w:hAnsi="Times New Roman"/>
          <w:noProof/>
          <w:sz w:val="24"/>
          <w:lang w:val="fr-BE"/>
        </w:rPr>
        <w:t>Le recours aux services d’informatique en nuage dans le secteur public est inégal et lent</w:t>
      </w:r>
      <w:r>
        <w:rPr>
          <w:rStyle w:val="FootnoteReference"/>
          <w:rFonts w:ascii="Times New Roman" w:hAnsi="Times New Roman"/>
          <w:noProof/>
          <w:sz w:val="24"/>
        </w:rPr>
        <w:footnoteReference w:id="62"/>
      </w:r>
      <w:r>
        <w:rPr>
          <w:rFonts w:ascii="Times New Roman" w:hAnsi="Times New Roman"/>
          <w:noProof/>
          <w:sz w:val="24"/>
          <w:lang w:val="fr-BE"/>
        </w:rPr>
        <w:t>. Cela s'explique par le manque de confiance et le peu de synergies existant entre le secteur public et les universités. La fragmentation en termes d’infrastructures de données constitue un obstacle à la constitution d'une masse critique et à la mise au po</w:t>
      </w:r>
      <w:r>
        <w:rPr>
          <w:rFonts w:ascii="Times New Roman" w:hAnsi="Times New Roman"/>
          <w:noProof/>
          <w:sz w:val="24"/>
          <w:lang w:val="fr-BE"/>
        </w:rPr>
        <w:t xml:space="preserve">int de solutions communes pour les différents groupes d’utilisateurs. La </w:t>
      </w:r>
      <w:r>
        <w:rPr>
          <w:rFonts w:ascii="Times New Roman" w:hAnsi="Times New Roman"/>
          <w:b/>
          <w:noProof/>
          <w:sz w:val="24"/>
          <w:lang w:val="fr-BE"/>
        </w:rPr>
        <w:t>base d’utilisateurs du nuage européen pour la science ouverte et de l'infrastructure de données européenne sera élargie au secteur public</w:t>
      </w:r>
      <w:r>
        <w:rPr>
          <w:rFonts w:ascii="Times New Roman" w:hAnsi="Times New Roman"/>
          <w:noProof/>
          <w:sz w:val="24"/>
          <w:lang w:val="fr-BE"/>
        </w:rPr>
        <w:t>, par exemple au moyen de projets pilotes à gr</w:t>
      </w:r>
      <w:r>
        <w:rPr>
          <w:rFonts w:ascii="Times New Roman" w:hAnsi="Times New Roman"/>
          <w:noProof/>
          <w:sz w:val="24"/>
          <w:lang w:val="fr-BE"/>
        </w:rPr>
        <w:t>ande échelle impliquant l'administration en ligne</w:t>
      </w:r>
      <w:r>
        <w:rPr>
          <w:rStyle w:val="FootnoteReference"/>
          <w:rFonts w:ascii="Times New Roman" w:hAnsi="Times New Roman"/>
          <w:noProof/>
          <w:sz w:val="24"/>
        </w:rPr>
        <w:footnoteReference w:id="63"/>
      </w:r>
      <w:r>
        <w:rPr>
          <w:rFonts w:ascii="Times New Roman" w:hAnsi="Times New Roman"/>
          <w:noProof/>
          <w:sz w:val="24"/>
          <w:lang w:val="fr-BE"/>
        </w:rPr>
        <w:t xml:space="preserve"> et les parties prenantes du secteur public et en ouvrant progressivement l’infrastructure de données européenne aux </w:t>
      </w:r>
      <w:r>
        <w:rPr>
          <w:rFonts w:ascii="Times New Roman" w:hAnsi="Times New Roman"/>
          <w:b/>
          <w:noProof/>
          <w:sz w:val="24"/>
          <w:lang w:val="fr-BE"/>
        </w:rPr>
        <w:t>utilisateurs de l’industrie</w:t>
      </w:r>
      <w:r>
        <w:rPr>
          <w:rFonts w:ascii="Times New Roman" w:hAnsi="Times New Roman"/>
          <w:noProof/>
          <w:sz w:val="24"/>
          <w:lang w:val="fr-BE"/>
        </w:rPr>
        <w:t xml:space="preserve"> et du secteur public afin d’atteindre une dimension européenn</w:t>
      </w:r>
      <w:r>
        <w:rPr>
          <w:rFonts w:ascii="Times New Roman" w:hAnsi="Times New Roman"/>
          <w:noProof/>
          <w:sz w:val="24"/>
          <w:lang w:val="fr-BE"/>
        </w:rPr>
        <w:t>e. Au fil du temps, le nuage européen pour la science ouverte garantira la visibilité, l'accessibilité et l'exploitabilité intégrales des données publiques pour les scientifiques, les décideurs politiques et les entreprises. Les enseignements tirés fournir</w:t>
      </w:r>
      <w:r>
        <w:rPr>
          <w:rFonts w:ascii="Times New Roman" w:hAnsi="Times New Roman"/>
          <w:noProof/>
          <w:sz w:val="24"/>
          <w:lang w:val="fr-BE"/>
        </w:rPr>
        <w:t>ont des orientations concrètes pour l’adoption de services en nuage par les administrations publiques dans toute l’Europe.</w:t>
      </w:r>
    </w:p>
    <w:p w:rsidR="005B5FD5" w:rsidRDefault="005F12DE">
      <w:pPr>
        <w:spacing w:after="100" w:afterAutospacing="1"/>
        <w:jc w:val="both"/>
        <w:outlineLvl w:val="3"/>
        <w:rPr>
          <w:rFonts w:ascii="Times New Roman" w:hAnsi="Times New Roman"/>
          <w:noProof/>
          <w:sz w:val="24"/>
          <w:szCs w:val="24"/>
          <w:lang w:val="fr-BE"/>
        </w:rPr>
      </w:pPr>
      <w:r>
        <w:rPr>
          <w:rFonts w:ascii="Times New Roman" w:hAnsi="Times New Roman"/>
          <w:noProof/>
          <w:sz w:val="24"/>
          <w:lang w:val="fr-BE"/>
        </w:rPr>
        <w:t>Le secteur public générant des quantités colossales de données (système d’observation de la Terre Copernicus, données de localisation</w:t>
      </w:r>
      <w:r>
        <w:rPr>
          <w:rFonts w:ascii="Times New Roman" w:hAnsi="Times New Roman"/>
          <w:noProof/>
          <w:sz w:val="24"/>
          <w:lang w:val="fr-BE"/>
        </w:rPr>
        <w:t xml:space="preserve"> INSPIRE, par exemple) et devant disposer d’une plus grande capacité informatique (par exemple pour les systèmes d’information en temps réel sur le trafic et les itinéraires, les applications en matière de ville intelligente ou la modélisation des politiqu</w:t>
      </w:r>
      <w:r>
        <w:rPr>
          <w:rFonts w:ascii="Times New Roman" w:hAnsi="Times New Roman"/>
          <w:noProof/>
          <w:sz w:val="24"/>
          <w:lang w:val="fr-BE"/>
        </w:rPr>
        <w:t>es), il tirera profit des économies d’échelle, de la flexibilité et de la continuité. Le public bénéficiera donc de services publics moins coûteux, plus rapides, de meilleure qualité et interconnectés et de l’amélioration de l’élaboration des politiques su</w:t>
      </w:r>
      <w:r>
        <w:rPr>
          <w:rFonts w:ascii="Times New Roman" w:hAnsi="Times New Roman"/>
          <w:noProof/>
          <w:sz w:val="24"/>
          <w:lang w:val="fr-BE"/>
        </w:rPr>
        <w:t xml:space="preserve">r la base de services abordables et sûrs à forte intensité de calculs et de données. </w:t>
      </w:r>
    </w:p>
    <w:p w:rsidR="005B5FD5" w:rsidRDefault="005F12DE">
      <w:pPr>
        <w:spacing w:after="100" w:afterAutospacing="1"/>
        <w:jc w:val="both"/>
        <w:outlineLvl w:val="3"/>
        <w:rPr>
          <w:rFonts w:ascii="Times New Roman" w:hAnsi="Times New Roman"/>
          <w:noProof/>
          <w:sz w:val="24"/>
          <w:szCs w:val="24"/>
          <w:lang w:val="fr-BE"/>
        </w:rPr>
      </w:pPr>
      <w:r>
        <w:rPr>
          <w:rFonts w:ascii="Times New Roman" w:hAnsi="Times New Roman"/>
          <w:noProof/>
          <w:sz w:val="24"/>
          <w:lang w:val="fr-BE"/>
        </w:rPr>
        <w:t xml:space="preserve">De la même manière, le nuage européen pour la science ouverte et l'infrastructure de données européenne bénéficieront aux entreprises, et notamment aux PME, qui ne </w:t>
      </w:r>
      <w:r>
        <w:rPr>
          <w:rFonts w:ascii="Times New Roman" w:hAnsi="Times New Roman"/>
          <w:noProof/>
          <w:sz w:val="24"/>
          <w:lang w:val="fr-BE"/>
        </w:rPr>
        <w:t>disposent pas d'un accès facile et financièrement abordable au stockage et aux services de données et à l’informatique de pointe. Des mesures seront prises pour élargir progressivement la base d’utilisateurs aux PME innovantes et à l’industrie, par l’inter</w:t>
      </w:r>
      <w:r>
        <w:rPr>
          <w:rFonts w:ascii="Times New Roman" w:hAnsi="Times New Roman"/>
          <w:noProof/>
          <w:sz w:val="24"/>
          <w:lang w:val="fr-BE"/>
        </w:rPr>
        <w:t xml:space="preserve">médiaire de centres d'excellence en matière de données et de logiciels et de pôles d’innovation en matière de services de données pour les PME. Ces mesures nécessiteront une étroite coopération avec le secteur privé: PME, grands utilisateurs scientifiques </w:t>
      </w:r>
      <w:r>
        <w:rPr>
          <w:rFonts w:ascii="Times New Roman" w:hAnsi="Times New Roman"/>
          <w:noProof/>
          <w:sz w:val="24"/>
          <w:lang w:val="fr-BE"/>
        </w:rPr>
        <w:t>et industriels du CHP, et secteur des services en nuage, qui doit y être associé dès le début.</w:t>
      </w:r>
    </w:p>
    <w:p w:rsidR="005B5FD5" w:rsidRDefault="005F12DE">
      <w:pPr>
        <w:spacing w:before="100" w:beforeAutospacing="1" w:after="100" w:afterAutospacing="1"/>
        <w:jc w:val="both"/>
        <w:outlineLvl w:val="3"/>
        <w:rPr>
          <w:rFonts w:ascii="Times New Roman" w:hAnsi="Times New Roman"/>
          <w:noProof/>
          <w:sz w:val="24"/>
          <w:szCs w:val="24"/>
          <w:lang w:val="fr-BE"/>
        </w:rPr>
      </w:pPr>
      <w:r>
        <w:rPr>
          <w:rFonts w:ascii="Times New Roman" w:hAnsi="Times New Roman"/>
          <w:noProof/>
          <w:sz w:val="24"/>
          <w:lang w:val="fr-BE"/>
        </w:rPr>
        <w:t xml:space="preserve">En outre, l’initiative européenne sur l’informatique en nuage devra respecter des </w:t>
      </w:r>
      <w:r>
        <w:rPr>
          <w:rFonts w:ascii="Times New Roman" w:hAnsi="Times New Roman"/>
          <w:b/>
          <w:noProof/>
          <w:sz w:val="24"/>
          <w:lang w:val="fr-BE"/>
        </w:rPr>
        <w:t>normes élevées en matière de qualité, de fiabilité et de confidentialité</w:t>
      </w:r>
      <w:r>
        <w:rPr>
          <w:rFonts w:ascii="Times New Roman" w:hAnsi="Times New Roman"/>
          <w:noProof/>
          <w:sz w:val="24"/>
          <w:lang w:val="fr-BE"/>
        </w:rPr>
        <w:t xml:space="preserve">, afin </w:t>
      </w:r>
      <w:r>
        <w:rPr>
          <w:rFonts w:ascii="Times New Roman" w:hAnsi="Times New Roman"/>
          <w:noProof/>
          <w:sz w:val="24"/>
          <w:lang w:val="fr-BE"/>
        </w:rPr>
        <w:t xml:space="preserve">de garantir la protection des données à caractère personnel et de la propriété intellectuelle, </w:t>
      </w:r>
      <w:r>
        <w:rPr>
          <w:rFonts w:ascii="Times New Roman" w:hAnsi="Times New Roman"/>
          <w:b/>
          <w:noProof/>
          <w:sz w:val="24"/>
          <w:lang w:val="fr-BE"/>
        </w:rPr>
        <w:t>ainsi qu'en matière de sécurité</w:t>
      </w:r>
      <w:r>
        <w:rPr>
          <w:rFonts w:ascii="Times New Roman" w:hAnsi="Times New Roman"/>
          <w:noProof/>
          <w:sz w:val="24"/>
          <w:lang w:val="fr-BE"/>
        </w:rPr>
        <w:t xml:space="preserve"> - en termes de résilience et de protection contre l’intrusion. Les mécanismes existants relevant du secteur public - notamment le</w:t>
      </w:r>
      <w:r>
        <w:rPr>
          <w:rFonts w:ascii="Times New Roman" w:hAnsi="Times New Roman"/>
          <w:noProof/>
          <w:sz w:val="24"/>
          <w:lang w:val="fr-BE"/>
        </w:rPr>
        <w:t xml:space="preserve"> mécanisme pour l’interconnexion en Europe (MIE) et les composantes de l'infrastructure de services numériques (ISN) liées à la confiance et à la sécurité - peuvent être réutilisés et déployés par la communauté scientifique à des fins d'économies de coûts,</w:t>
      </w:r>
      <w:r>
        <w:rPr>
          <w:rFonts w:ascii="Times New Roman" w:hAnsi="Times New Roman"/>
          <w:noProof/>
          <w:sz w:val="24"/>
          <w:lang w:val="fr-BE"/>
        </w:rPr>
        <w:t xml:space="preserve"> de facilité d’accès et de cohérence globale. Le cadre général sera constitué par les règles générales en matière de protection des données, la directive SRI</w:t>
      </w:r>
      <w:r>
        <w:rPr>
          <w:rStyle w:val="FootnoteReference"/>
          <w:rFonts w:ascii="Times New Roman" w:hAnsi="Times New Roman"/>
          <w:noProof/>
          <w:sz w:val="24"/>
        </w:rPr>
        <w:footnoteReference w:id="64"/>
      </w:r>
      <w:r>
        <w:rPr>
          <w:rFonts w:ascii="Times New Roman" w:hAnsi="Times New Roman"/>
          <w:noProof/>
          <w:sz w:val="24"/>
          <w:lang w:val="fr-BE"/>
        </w:rPr>
        <w:t xml:space="preserve"> et la révision de la législation européenne en matière de droit d’auteur. Compte tenu de la dimen</w:t>
      </w:r>
      <w:r>
        <w:rPr>
          <w:rFonts w:ascii="Times New Roman" w:hAnsi="Times New Roman"/>
          <w:noProof/>
          <w:sz w:val="24"/>
          <w:lang w:val="fr-BE"/>
        </w:rPr>
        <w:t>sion mondiale de l'informatique en nuage, il est essentiel que l'économie européenne des données reste connectée au reste du monde et que les normes mondiales en matière de protection des données soient renforcées pour atteindre un niveau élevé globalement</w:t>
      </w:r>
      <w:r>
        <w:rPr>
          <w:rFonts w:ascii="Times New Roman" w:hAnsi="Times New Roman"/>
          <w:noProof/>
          <w:sz w:val="24"/>
          <w:lang w:val="fr-BE"/>
        </w:rPr>
        <w:t xml:space="preserve"> équivalent à celui qui prévaut en Europe.</w:t>
      </w:r>
    </w:p>
    <w:p w:rsidR="005B5FD5" w:rsidRDefault="005F12DE">
      <w:pPr>
        <w:spacing w:before="100" w:beforeAutospacing="1" w:after="100" w:afterAutospacing="1"/>
        <w:jc w:val="both"/>
        <w:outlineLvl w:val="3"/>
        <w:rPr>
          <w:rFonts w:ascii="Times New Roman" w:hAnsi="Times New Roman"/>
          <w:noProof/>
          <w:sz w:val="24"/>
          <w:szCs w:val="24"/>
          <w:lang w:val="fr-BE"/>
        </w:rPr>
      </w:pPr>
      <w:r>
        <w:rPr>
          <w:rFonts w:ascii="Times New Roman" w:hAnsi="Times New Roman"/>
          <w:noProof/>
          <w:sz w:val="24"/>
          <w:lang w:val="fr-BE"/>
        </w:rPr>
        <w:t>L'élaboration de normes appropriées s'inscrit dans le cadre des priorités du marché unique numérique concernant le plan pour la normalisation des TIC</w:t>
      </w:r>
      <w:r>
        <w:rPr>
          <w:rStyle w:val="FootnoteReference"/>
          <w:rFonts w:ascii="Times New Roman" w:hAnsi="Times New Roman"/>
          <w:noProof/>
          <w:sz w:val="24"/>
        </w:rPr>
        <w:footnoteReference w:id="65"/>
      </w:r>
      <w:r>
        <w:rPr>
          <w:rFonts w:ascii="Times New Roman" w:hAnsi="Times New Roman"/>
          <w:noProof/>
          <w:sz w:val="24"/>
          <w:lang w:val="fr-BE"/>
        </w:rPr>
        <w:t xml:space="preserve">; un système de certification approprié sera conçu à l’échelon </w:t>
      </w:r>
      <w:r>
        <w:rPr>
          <w:rFonts w:ascii="Times New Roman" w:hAnsi="Times New Roman"/>
          <w:noProof/>
          <w:sz w:val="24"/>
          <w:lang w:val="fr-BE"/>
        </w:rPr>
        <w:t>de l’UE pour garantir la sécurité, la portabilité des données et l’interopérabilité dans le respect des prescriptions légales</w:t>
      </w:r>
      <w:r>
        <w:rPr>
          <w:rStyle w:val="FootnoteReference"/>
          <w:rFonts w:ascii="Times New Roman" w:hAnsi="Times New Roman"/>
          <w:noProof/>
          <w:sz w:val="24"/>
        </w:rPr>
        <w:footnoteReference w:id="66"/>
      </w:r>
      <w:r>
        <w:rPr>
          <w:rFonts w:ascii="Times New Roman" w:hAnsi="Times New Roman"/>
          <w:noProof/>
          <w:sz w:val="24"/>
          <w:lang w:val="fr-BE"/>
        </w:rPr>
        <w:t>, notamment le système de certification déjà prévu par le règlement général sur la protection des données pour garantir la sécurit</w:t>
      </w:r>
      <w:r>
        <w:rPr>
          <w:rFonts w:ascii="Times New Roman" w:hAnsi="Times New Roman"/>
          <w:noProof/>
          <w:sz w:val="24"/>
          <w:lang w:val="fr-BE"/>
        </w:rPr>
        <w:t>é des données personnelles. Il existe certes un certain nombre de systèmes de certification</w:t>
      </w:r>
      <w:r>
        <w:rPr>
          <w:rStyle w:val="FootnoteReference"/>
          <w:rFonts w:ascii="Times New Roman" w:hAnsi="Times New Roman"/>
          <w:noProof/>
          <w:sz w:val="24"/>
        </w:rPr>
        <w:footnoteReference w:id="67"/>
      </w:r>
      <w:r>
        <w:rPr>
          <w:rFonts w:ascii="Times New Roman" w:hAnsi="Times New Roman"/>
          <w:noProof/>
          <w:sz w:val="24"/>
          <w:lang w:val="fr-BE"/>
        </w:rPr>
        <w:t>, mais leur champ d’application et leur application varient considérablement, et il n’existe pas d’approche commune concernant les exigences minimales pour l’acquis</w:t>
      </w:r>
      <w:r>
        <w:rPr>
          <w:rFonts w:ascii="Times New Roman" w:hAnsi="Times New Roman"/>
          <w:noProof/>
          <w:sz w:val="24"/>
          <w:lang w:val="fr-BE"/>
        </w:rPr>
        <w:t>ition ou la gestion de ressources d’informatique en nuage du secteur public. À cet égard, la collaboration avec les entreprises et les autorités publiques mettra les capacités des premières en adéquation avec les exigences de la science et du secteur publi</w:t>
      </w:r>
      <w:r>
        <w:rPr>
          <w:rFonts w:ascii="Times New Roman" w:hAnsi="Times New Roman"/>
          <w:noProof/>
          <w:sz w:val="24"/>
          <w:lang w:val="fr-BE"/>
        </w:rPr>
        <w:t>c.</w:t>
      </w:r>
    </w:p>
    <w:p w:rsidR="005B5FD5" w:rsidRDefault="005F12DE">
      <w:pPr>
        <w:spacing w:before="120" w:after="120"/>
        <w:jc w:val="both"/>
        <w:rPr>
          <w:rFonts w:ascii="Times New Roman" w:hAnsi="Times New Roman"/>
          <w:noProof/>
          <w:sz w:val="24"/>
          <w:szCs w:val="24"/>
          <w:lang w:val="fr-BE"/>
        </w:rPr>
      </w:pPr>
      <w:r>
        <w:rPr>
          <w:rFonts w:ascii="Times New Roman" w:hAnsi="Times New Roman"/>
          <w:noProof/>
          <w:sz w:val="24"/>
          <w:lang w:val="fr-BE"/>
        </w:rPr>
        <w:t xml:space="preserve">L'élargissement de l’accès au nuage européen pour la science ouverte et à l'infrastructure de données européenne sera réalisé conformément à la législation appropriée, notamment pour ce qui est de la réutilisation des données à d’autres fins. </w:t>
      </w:r>
    </w:p>
    <w:p w:rsidR="005B5FD5" w:rsidRDefault="005B5FD5">
      <w:pPr>
        <w:rPr>
          <w:noProof/>
          <w:lang w:val="fr-BE"/>
        </w:rPr>
      </w:pPr>
    </w:p>
    <w:tbl>
      <w:tblPr>
        <w:tblStyle w:val="TableGrid"/>
        <w:tblW w:w="9039" w:type="dxa"/>
        <w:tblLook w:val="04A0" w:firstRow="1" w:lastRow="0" w:firstColumn="1" w:lastColumn="0" w:noHBand="0" w:noVBand="1"/>
      </w:tblPr>
      <w:tblGrid>
        <w:gridCol w:w="7574"/>
        <w:gridCol w:w="1465"/>
      </w:tblGrid>
      <w:tr w:rsidR="005B5FD5">
        <w:tc>
          <w:tcPr>
            <w:tcW w:w="7574" w:type="dxa"/>
          </w:tcPr>
          <w:p w:rsidR="005B5FD5" w:rsidRDefault="005F12DE">
            <w:pPr>
              <w:tabs>
                <w:tab w:val="left" w:pos="3095"/>
              </w:tabs>
              <w:spacing w:after="60"/>
              <w:jc w:val="both"/>
              <w:rPr>
                <w:rFonts w:ascii="Times New Roman" w:hAnsi="Times New Roman"/>
                <w:b/>
                <w:noProof/>
                <w:sz w:val="24"/>
                <w:szCs w:val="24"/>
              </w:rPr>
            </w:pPr>
            <w:r>
              <w:rPr>
                <w:rFonts w:ascii="Times New Roman" w:hAnsi="Times New Roman"/>
                <w:b/>
                <w:noProof/>
                <w:sz w:val="24"/>
              </w:rPr>
              <w:t>Actions</w:t>
            </w:r>
          </w:p>
        </w:tc>
        <w:tc>
          <w:tcPr>
            <w:tcW w:w="1465" w:type="dxa"/>
          </w:tcPr>
          <w:p w:rsidR="005B5FD5" w:rsidRDefault="005F12DE">
            <w:pPr>
              <w:spacing w:before="60" w:after="60"/>
              <w:jc w:val="both"/>
              <w:rPr>
                <w:rFonts w:ascii="Times New Roman" w:hAnsi="Times New Roman"/>
                <w:b/>
                <w:bCs/>
                <w:noProof/>
                <w:sz w:val="24"/>
                <w:szCs w:val="24"/>
              </w:rPr>
            </w:pPr>
            <w:r>
              <w:rPr>
                <w:rFonts w:ascii="Times New Roman" w:hAnsi="Times New Roman"/>
                <w:b/>
                <w:noProof/>
                <w:sz w:val="24"/>
              </w:rPr>
              <w:t>Calendrier</w:t>
            </w:r>
          </w:p>
        </w:tc>
      </w:tr>
      <w:tr w:rsidR="005B5FD5">
        <w:tc>
          <w:tcPr>
            <w:tcW w:w="7574" w:type="dxa"/>
          </w:tcPr>
          <w:p w:rsidR="005B5FD5" w:rsidRDefault="005F12DE">
            <w:pPr>
              <w:tabs>
                <w:tab w:val="left" w:pos="3095"/>
              </w:tabs>
              <w:spacing w:after="60"/>
              <w:jc w:val="both"/>
              <w:rPr>
                <w:rFonts w:ascii="Times New Roman" w:hAnsi="Times New Roman"/>
                <w:noProof/>
                <w:sz w:val="24"/>
                <w:szCs w:val="24"/>
                <w:lang w:val="fr-BE"/>
              </w:rPr>
            </w:pPr>
            <w:r>
              <w:rPr>
                <w:rFonts w:ascii="Times New Roman" w:hAnsi="Times New Roman"/>
                <w:noProof/>
                <w:sz w:val="24"/>
                <w:lang w:val="fr-BE"/>
              </w:rPr>
              <w:t>En partenariat avec les entreprises et le secteur public, la Commission s’engage à:</w:t>
            </w:r>
          </w:p>
          <w:p w:rsidR="005B5FD5" w:rsidRDefault="005F12DE">
            <w:pPr>
              <w:pStyle w:val="ListParagraph"/>
              <w:numPr>
                <w:ilvl w:val="0"/>
                <w:numId w:val="78"/>
              </w:numPr>
              <w:jc w:val="both"/>
              <w:rPr>
                <w:rFonts w:ascii="Times New Roman" w:hAnsi="Times New Roman"/>
                <w:noProof/>
                <w:sz w:val="24"/>
                <w:szCs w:val="24"/>
                <w:lang w:val="fr-BE"/>
              </w:rPr>
            </w:pPr>
            <w:r>
              <w:rPr>
                <w:rFonts w:ascii="Times New Roman" w:hAnsi="Times New Roman"/>
                <w:noProof/>
                <w:sz w:val="24"/>
                <w:lang w:val="fr-BE"/>
              </w:rPr>
              <w:t>adapter les solutions CHP et de mégadonnées à un environnement en nuage afin de permettre un large accès, notamment pour les PME;</w:t>
            </w:r>
          </w:p>
          <w:p w:rsidR="005B5FD5" w:rsidRDefault="005F12DE">
            <w:pPr>
              <w:pStyle w:val="ListParagraph"/>
              <w:numPr>
                <w:ilvl w:val="0"/>
                <w:numId w:val="78"/>
              </w:numPr>
              <w:jc w:val="both"/>
              <w:rPr>
                <w:rFonts w:ascii="Times New Roman" w:hAnsi="Times New Roman"/>
                <w:noProof/>
                <w:sz w:val="24"/>
                <w:szCs w:val="24"/>
                <w:lang w:val="fr-BE"/>
              </w:rPr>
            </w:pPr>
            <w:r>
              <w:rPr>
                <w:rFonts w:ascii="Times New Roman" w:hAnsi="Times New Roman"/>
                <w:noProof/>
                <w:sz w:val="24"/>
                <w:lang w:val="fr-BE"/>
              </w:rPr>
              <w:t xml:space="preserve">développer un écosystème pour </w:t>
            </w:r>
            <w:r>
              <w:rPr>
                <w:rFonts w:ascii="Times New Roman" w:hAnsi="Times New Roman"/>
                <w:noProof/>
                <w:sz w:val="24"/>
                <w:lang w:val="fr-BE"/>
              </w:rPr>
              <w:t>renforcer le secteur de l'informatique en nuage en Europe, en utilisant le nuage européen pour la science ouverte comme banc d’essai pour la mise au point de solutions technologiques innovantes en matière d’informatique en nuage;</w:t>
            </w:r>
          </w:p>
          <w:p w:rsidR="005B5FD5" w:rsidRDefault="005F12DE">
            <w:pPr>
              <w:pStyle w:val="ListParagraph"/>
              <w:numPr>
                <w:ilvl w:val="0"/>
                <w:numId w:val="78"/>
              </w:numPr>
              <w:jc w:val="both"/>
              <w:rPr>
                <w:rFonts w:ascii="Times New Roman" w:hAnsi="Times New Roman"/>
                <w:noProof/>
                <w:sz w:val="24"/>
                <w:szCs w:val="24"/>
                <w:lang w:val="fr-BE"/>
              </w:rPr>
            </w:pPr>
            <w:r>
              <w:rPr>
                <w:rFonts w:ascii="Times New Roman" w:hAnsi="Times New Roman"/>
                <w:noProof/>
                <w:sz w:val="24"/>
                <w:lang w:val="fr-BE"/>
              </w:rPr>
              <w:t>créer une plateforme perme</w:t>
            </w:r>
            <w:r>
              <w:rPr>
                <w:rFonts w:ascii="Times New Roman" w:hAnsi="Times New Roman"/>
                <w:noProof/>
                <w:sz w:val="24"/>
                <w:lang w:val="fr-BE"/>
              </w:rPr>
              <w:t>ttant aux pouvoirs publics d'ouvrir leurs données et services, de manière à créer une base de type «administration en tant que service» (GaaS) pour l’UE.</w:t>
            </w:r>
          </w:p>
        </w:tc>
        <w:tc>
          <w:tcPr>
            <w:tcW w:w="1465"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2016-2020</w:t>
            </w:r>
          </w:p>
        </w:tc>
      </w:tr>
      <w:tr w:rsidR="005B5FD5">
        <w:tc>
          <w:tcPr>
            <w:tcW w:w="7574" w:type="dxa"/>
          </w:tcPr>
          <w:p w:rsidR="005B5FD5" w:rsidRDefault="005F12DE">
            <w:pPr>
              <w:tabs>
                <w:tab w:val="left" w:pos="3095"/>
              </w:tabs>
              <w:spacing w:before="60" w:after="60"/>
              <w:jc w:val="both"/>
              <w:rPr>
                <w:rFonts w:ascii="Times New Roman" w:hAnsi="Times New Roman"/>
                <w:noProof/>
                <w:sz w:val="24"/>
                <w:szCs w:val="24"/>
                <w:lang w:val="fr-BE"/>
              </w:rPr>
            </w:pPr>
            <w:r>
              <w:rPr>
                <w:rFonts w:ascii="Times New Roman" w:hAnsi="Times New Roman"/>
                <w:noProof/>
                <w:sz w:val="24"/>
                <w:lang w:val="fr-BE"/>
              </w:rPr>
              <w:t xml:space="preserve">Afin de faciliter le recours aux technologies fondées sur les mégadonnées, la Commission </w:t>
            </w:r>
            <w:r>
              <w:rPr>
                <w:rFonts w:ascii="Times New Roman" w:hAnsi="Times New Roman"/>
                <w:noProof/>
                <w:sz w:val="24"/>
                <w:lang w:val="fr-BE"/>
              </w:rPr>
              <w:t>fournira un environnement d’essai pour les mégadonnées (projets pilotes à grande échelle) pour les administrations publiques, notamment dans le cadre du PIIEC proposé.</w:t>
            </w:r>
          </w:p>
        </w:tc>
        <w:tc>
          <w:tcPr>
            <w:tcW w:w="1465"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À partir de 2016.</w:t>
            </w:r>
          </w:p>
        </w:tc>
      </w:tr>
      <w:tr w:rsidR="005B5FD5">
        <w:tc>
          <w:tcPr>
            <w:tcW w:w="7574" w:type="dxa"/>
            <w:tcBorders>
              <w:bottom w:val="single" w:sz="4" w:space="0" w:color="auto"/>
            </w:tcBorders>
          </w:tcPr>
          <w:p w:rsidR="005B5FD5" w:rsidRDefault="005F12DE">
            <w:pPr>
              <w:spacing w:before="100" w:beforeAutospacing="1" w:after="100" w:afterAutospacing="1"/>
              <w:jc w:val="both"/>
              <w:outlineLvl w:val="3"/>
              <w:rPr>
                <w:rFonts w:ascii="Times New Roman" w:hAnsi="Times New Roman"/>
                <w:noProof/>
                <w:sz w:val="24"/>
                <w:szCs w:val="24"/>
                <w:lang w:val="fr-BE"/>
              </w:rPr>
            </w:pPr>
            <w:r>
              <w:rPr>
                <w:rFonts w:ascii="Times New Roman" w:hAnsi="Times New Roman"/>
                <w:noProof/>
                <w:sz w:val="24"/>
                <w:lang w:val="fr-BE"/>
              </w:rPr>
              <w:t>En collaboration avec les entreprises et les États membres, la Commis</w:t>
            </w:r>
            <w:r>
              <w:rPr>
                <w:rFonts w:ascii="Times New Roman" w:hAnsi="Times New Roman"/>
                <w:noProof/>
                <w:sz w:val="24"/>
                <w:lang w:val="fr-BE"/>
              </w:rPr>
              <w:t>sion favorisera l’utilisation des certificats et normes existants en la matière et – le cas échéant – la création de systèmes de certification et de labellisation au niveau européen, en particulier pour soutenir les marchés publics de services en nuage.</w:t>
            </w:r>
          </w:p>
        </w:tc>
        <w:tc>
          <w:tcPr>
            <w:tcW w:w="1465"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 xml:space="preserve">À </w:t>
            </w:r>
            <w:r>
              <w:rPr>
                <w:rFonts w:ascii="Times New Roman" w:hAnsi="Times New Roman"/>
                <w:noProof/>
                <w:sz w:val="24"/>
              </w:rPr>
              <w:t xml:space="preserve">partir de 2016. </w:t>
            </w:r>
          </w:p>
        </w:tc>
      </w:tr>
    </w:tbl>
    <w:p w:rsidR="005B5FD5" w:rsidRDefault="005F12DE">
      <w:pPr>
        <w:keepNext/>
        <w:spacing w:before="100" w:beforeAutospacing="1" w:after="100" w:afterAutospacing="1"/>
        <w:jc w:val="both"/>
        <w:rPr>
          <w:rFonts w:ascii="Times New Roman" w:hAnsi="Times New Roman"/>
          <w:b/>
          <w:noProof/>
          <w:sz w:val="24"/>
          <w:szCs w:val="24"/>
        </w:rPr>
      </w:pPr>
      <w:r>
        <w:rPr>
          <w:rFonts w:ascii="Times New Roman" w:hAnsi="Times New Roman"/>
          <w:b/>
          <w:noProof/>
          <w:sz w:val="24"/>
        </w:rPr>
        <w:t>Incidences financières</w:t>
      </w:r>
    </w:p>
    <w:p w:rsidR="005B5FD5" w:rsidRDefault="005F12DE">
      <w:pPr>
        <w:pStyle w:val="Body"/>
        <w:spacing w:after="120"/>
        <w:jc w:val="both"/>
        <w:rPr>
          <w:rFonts w:ascii="Times New Roman" w:hAnsi="Times New Roman" w:cs="Times New Roman"/>
          <w:noProof/>
          <w:color w:val="auto"/>
          <w:sz w:val="24"/>
          <w:szCs w:val="24"/>
          <w:lang w:val="fr-BE"/>
        </w:rPr>
      </w:pPr>
      <w:r>
        <w:rPr>
          <w:rFonts w:ascii="Times New Roman" w:hAnsi="Times New Roman"/>
          <w:noProof/>
          <w:sz w:val="24"/>
          <w:lang w:val="fr-BE"/>
        </w:rPr>
        <w:t xml:space="preserve">La transformation numérique en Europe constitue une entreprise à grande échelle. </w:t>
      </w:r>
      <w:r>
        <w:rPr>
          <w:rFonts w:ascii="Times New Roman" w:hAnsi="Times New Roman"/>
          <w:noProof/>
          <w:color w:val="auto"/>
          <w:sz w:val="24"/>
          <w:lang w:val="fr-BE"/>
        </w:rPr>
        <w:t>Différentes sources de financement de l’UE peuvent être recensées pour l’initiative européenne sur l’informatique en nuage:</w:t>
      </w:r>
    </w:p>
    <w:p w:rsidR="005B5FD5" w:rsidRDefault="005F12DE">
      <w:pPr>
        <w:pStyle w:val="Body"/>
        <w:numPr>
          <w:ilvl w:val="0"/>
          <w:numId w:val="68"/>
        </w:numPr>
        <w:spacing w:after="120"/>
        <w:jc w:val="both"/>
        <w:rPr>
          <w:rFonts w:ascii="Times New Roman" w:hAnsi="Times New Roman" w:cs="Times New Roman"/>
          <w:noProof/>
          <w:color w:val="auto"/>
          <w:sz w:val="24"/>
          <w:szCs w:val="24"/>
          <w:lang w:val="fr-BE"/>
        </w:rPr>
      </w:pPr>
      <w:r>
        <w:rPr>
          <w:rFonts w:ascii="Times New Roman" w:hAnsi="Times New Roman"/>
          <w:noProof/>
          <w:color w:val="auto"/>
          <w:sz w:val="24"/>
          <w:lang w:val="fr-BE"/>
        </w:rPr>
        <w:t>Programme-</w:t>
      </w:r>
      <w:r>
        <w:rPr>
          <w:rFonts w:ascii="Times New Roman" w:hAnsi="Times New Roman"/>
          <w:noProof/>
          <w:color w:val="auto"/>
          <w:sz w:val="24"/>
          <w:lang w:val="fr-BE"/>
        </w:rPr>
        <w:t>cadre pour la recherche et l’innovation «Horizon 2020» (Horizon 2020)</w:t>
      </w:r>
    </w:p>
    <w:p w:rsidR="005B5FD5" w:rsidRDefault="005F12DE">
      <w:pPr>
        <w:pStyle w:val="Body"/>
        <w:numPr>
          <w:ilvl w:val="0"/>
          <w:numId w:val="68"/>
        </w:numPr>
        <w:spacing w:after="120"/>
        <w:jc w:val="both"/>
        <w:rPr>
          <w:rFonts w:ascii="Times New Roman" w:hAnsi="Times New Roman" w:cs="Times New Roman"/>
          <w:noProof/>
          <w:color w:val="auto"/>
          <w:sz w:val="24"/>
          <w:szCs w:val="24"/>
          <w:lang w:val="fr-BE"/>
        </w:rPr>
      </w:pPr>
      <w:r>
        <w:rPr>
          <w:rFonts w:ascii="Times New Roman" w:hAnsi="Times New Roman"/>
          <w:noProof/>
          <w:color w:val="auto"/>
          <w:sz w:val="24"/>
          <w:lang w:val="fr-BE"/>
        </w:rPr>
        <w:t>Mécanisme pour l’interconnexion en Europe (MIE)</w:t>
      </w:r>
    </w:p>
    <w:p w:rsidR="005B5FD5" w:rsidRDefault="005F12DE">
      <w:pPr>
        <w:pStyle w:val="Body"/>
        <w:numPr>
          <w:ilvl w:val="0"/>
          <w:numId w:val="68"/>
        </w:numPr>
        <w:spacing w:after="120"/>
        <w:jc w:val="both"/>
        <w:rPr>
          <w:rFonts w:ascii="Times New Roman" w:hAnsi="Times New Roman" w:cs="Times New Roman"/>
          <w:noProof/>
          <w:color w:val="auto"/>
          <w:sz w:val="24"/>
          <w:szCs w:val="24"/>
        </w:rPr>
      </w:pPr>
      <w:r>
        <w:rPr>
          <w:rFonts w:ascii="Times New Roman" w:hAnsi="Times New Roman"/>
          <w:noProof/>
          <w:color w:val="auto"/>
          <w:sz w:val="24"/>
        </w:rPr>
        <w:t>Fonds structurels et d'investissement européens</w:t>
      </w:r>
    </w:p>
    <w:p w:rsidR="005B5FD5" w:rsidRDefault="005F12DE">
      <w:pPr>
        <w:pStyle w:val="Body"/>
        <w:numPr>
          <w:ilvl w:val="0"/>
          <w:numId w:val="68"/>
        </w:numPr>
        <w:spacing w:after="120"/>
        <w:jc w:val="both"/>
        <w:rPr>
          <w:rFonts w:ascii="Times New Roman" w:hAnsi="Times New Roman" w:cs="Times New Roman"/>
          <w:noProof/>
          <w:color w:val="auto"/>
          <w:sz w:val="24"/>
          <w:szCs w:val="24"/>
          <w:lang w:val="fr-BE"/>
        </w:rPr>
      </w:pPr>
      <w:r>
        <w:rPr>
          <w:rFonts w:ascii="Times New Roman" w:hAnsi="Times New Roman"/>
          <w:noProof/>
          <w:color w:val="auto"/>
          <w:sz w:val="24"/>
          <w:lang w:val="fr-BE"/>
        </w:rPr>
        <w:t>Fonds européen pour les investissements stratégiques</w:t>
      </w:r>
    </w:p>
    <w:p w:rsidR="005B5FD5" w:rsidRDefault="005F12DE">
      <w:pPr>
        <w:pStyle w:val="Body"/>
        <w:spacing w:after="120"/>
        <w:jc w:val="both"/>
        <w:rPr>
          <w:rFonts w:ascii="Times New Roman" w:hAnsi="Times New Roman" w:cs="Times New Roman"/>
          <w:noProof/>
          <w:color w:val="auto"/>
          <w:sz w:val="24"/>
          <w:szCs w:val="24"/>
          <w:lang w:val="fr-BE"/>
        </w:rPr>
      </w:pPr>
      <w:r>
        <w:rPr>
          <w:rFonts w:ascii="Times New Roman" w:hAnsi="Times New Roman"/>
          <w:noProof/>
          <w:color w:val="auto"/>
          <w:sz w:val="24"/>
          <w:lang w:val="fr-BE"/>
        </w:rPr>
        <w:t xml:space="preserve">Différentes sources de financement </w:t>
      </w:r>
      <w:r>
        <w:rPr>
          <w:rFonts w:ascii="Times New Roman" w:hAnsi="Times New Roman"/>
          <w:noProof/>
          <w:color w:val="auto"/>
          <w:sz w:val="24"/>
          <w:lang w:val="fr-BE"/>
        </w:rPr>
        <w:t>sont nécessaires pour soutenir le cycle d’investissement dans son intégralité. Les grands projets d’infrastructure sont soutenus, au départ, par des subventions publiques et, à mesure qu’ils gagnent en maturité, par des instruments de partage des risques e</w:t>
      </w:r>
      <w:r>
        <w:rPr>
          <w:rFonts w:ascii="Times New Roman" w:hAnsi="Times New Roman"/>
          <w:noProof/>
          <w:color w:val="auto"/>
          <w:sz w:val="24"/>
          <w:lang w:val="fr-BE"/>
        </w:rPr>
        <w:t>t des instruments fondés sur le marché. Toutefois, de telles initiatives nécessitant des efforts cohérents et coordonnés, la fragmentation des sources budgétaires disponibles constitue clairement un inconvénient.</w:t>
      </w:r>
    </w:p>
    <w:p w:rsidR="005B5FD5" w:rsidRDefault="005F12DE">
      <w:pPr>
        <w:pStyle w:val="Body"/>
        <w:spacing w:after="120"/>
        <w:jc w:val="both"/>
        <w:rPr>
          <w:rFonts w:ascii="Times New Roman" w:hAnsi="Times New Roman" w:cs="Times New Roman"/>
          <w:noProof/>
          <w:color w:val="auto"/>
          <w:sz w:val="24"/>
          <w:szCs w:val="24"/>
          <w:lang w:val="fr-BE"/>
        </w:rPr>
      </w:pPr>
      <w:r>
        <w:rPr>
          <w:rFonts w:ascii="Times New Roman" w:hAnsi="Times New Roman"/>
          <w:noProof/>
          <w:color w:val="auto"/>
          <w:sz w:val="24"/>
          <w:lang w:val="fr-BE"/>
        </w:rPr>
        <w:t xml:space="preserve">Le financement existant au titre d’Horizon </w:t>
      </w:r>
      <w:r>
        <w:rPr>
          <w:rFonts w:ascii="Times New Roman" w:hAnsi="Times New Roman"/>
          <w:noProof/>
          <w:color w:val="auto"/>
          <w:sz w:val="24"/>
          <w:lang w:val="fr-BE"/>
        </w:rPr>
        <w:t>2020 permettra de soutenir le nuage européen pour la science ouverte et de donner un coup de fouet à l’infrastructure de données européenne. Le montant des investissements publics et privés supplémentaires requis s'élevait initialement à 4,7 milliards d'eu</w:t>
      </w:r>
      <w:r>
        <w:rPr>
          <w:rFonts w:ascii="Times New Roman" w:hAnsi="Times New Roman"/>
          <w:noProof/>
          <w:color w:val="auto"/>
          <w:sz w:val="24"/>
          <w:lang w:val="fr-BE"/>
        </w:rPr>
        <w:t>ros pour la période de 5 ans visée. Ce montant se décompose comme suit: 3,5 milliards d'euros pour les infrastructures de données</w:t>
      </w:r>
      <w:r>
        <w:rPr>
          <w:rStyle w:val="FootnoteReference"/>
          <w:rFonts w:ascii="Times New Roman" w:hAnsi="Times New Roman"/>
          <w:noProof/>
          <w:color w:val="auto"/>
          <w:sz w:val="24"/>
        </w:rPr>
        <w:footnoteReference w:id="68"/>
      </w:r>
      <w:r>
        <w:rPr>
          <w:rFonts w:ascii="Times New Roman" w:hAnsi="Times New Roman"/>
          <w:noProof/>
          <w:color w:val="auto"/>
          <w:sz w:val="24"/>
          <w:lang w:val="fr-BE"/>
        </w:rPr>
        <w:t>, 1 milliard d’euros pour une initiative phare de grande envergure à l’échelle de l'UE dans le domaine des technologies quanti</w:t>
      </w:r>
      <w:r>
        <w:rPr>
          <w:rFonts w:ascii="Times New Roman" w:hAnsi="Times New Roman"/>
          <w:noProof/>
          <w:color w:val="auto"/>
          <w:sz w:val="24"/>
          <w:lang w:val="fr-BE"/>
        </w:rPr>
        <w:t>ques et 0,2 milliard d’euros pour les actions relatives à l’élargissement de l’accès et au renforcement de la confiance. Des dispositions supplémentaires seront examinées avec les États membres pour élargir le soutien au nuage européen pour la science ouve</w:t>
      </w:r>
      <w:r>
        <w:rPr>
          <w:rFonts w:ascii="Times New Roman" w:hAnsi="Times New Roman"/>
          <w:noProof/>
          <w:color w:val="auto"/>
          <w:sz w:val="24"/>
          <w:lang w:val="fr-BE"/>
        </w:rPr>
        <w:t xml:space="preserve">rte au-delà d’Horizon 2020. Au fil du temps, cette initiative générera des recettes par elle-même à mesure que la communauté scientifique, les jeunes pousses innovantes et le secteur public y recourront. </w:t>
      </w:r>
    </w:p>
    <w:p w:rsidR="005B5FD5" w:rsidRDefault="005F12DE">
      <w:pPr>
        <w:pStyle w:val="Body"/>
        <w:spacing w:after="120"/>
        <w:jc w:val="both"/>
        <w:rPr>
          <w:rFonts w:ascii="Times New Roman" w:hAnsi="Times New Roman" w:cs="Times New Roman"/>
          <w:noProof/>
          <w:color w:val="auto"/>
          <w:sz w:val="24"/>
          <w:szCs w:val="24"/>
          <w:lang w:val="fr-BE"/>
        </w:rPr>
      </w:pPr>
      <w:r>
        <w:rPr>
          <w:rFonts w:ascii="Times New Roman" w:hAnsi="Times New Roman"/>
          <w:noProof/>
          <w:color w:val="auto"/>
          <w:sz w:val="24"/>
          <w:lang w:val="fr-BE"/>
        </w:rPr>
        <w:t xml:space="preserve">La Commission a l’intention de proposer des moyens </w:t>
      </w:r>
      <w:r>
        <w:rPr>
          <w:rFonts w:ascii="Times New Roman" w:hAnsi="Times New Roman"/>
          <w:noProof/>
          <w:color w:val="auto"/>
          <w:sz w:val="24"/>
          <w:lang w:val="fr-BE"/>
        </w:rPr>
        <w:t>de combiner les différentes sources de financement à l’échelon de l’UE et au niveau national pour réaliser intégralement les objectifs de la présente communication; elle les examinera avec les États membres après une évaluation, des analyses d'impact et un</w:t>
      </w:r>
      <w:r>
        <w:rPr>
          <w:rFonts w:ascii="Times New Roman" w:hAnsi="Times New Roman"/>
          <w:noProof/>
          <w:color w:val="auto"/>
          <w:sz w:val="24"/>
          <w:lang w:val="fr-BE"/>
        </w:rPr>
        <w:t>e consultation appropriées. Des infrastructures aussi ambitieuses nécessiteront un engagement fort de la part des États membres, notamment par la mobilisation des fonds structurels et des garanties du Fonds européen pour les investissements stratégiques</w:t>
      </w:r>
      <w:r>
        <w:rPr>
          <w:rStyle w:val="FootnoteReference"/>
          <w:rFonts w:ascii="Times New Roman" w:hAnsi="Times New Roman"/>
          <w:noProof/>
          <w:color w:val="auto"/>
          <w:sz w:val="24"/>
        </w:rPr>
        <w:footnoteReference w:id="69"/>
      </w:r>
      <w:r>
        <w:rPr>
          <w:rFonts w:ascii="Times New Roman" w:hAnsi="Times New Roman"/>
          <w:noProof/>
          <w:color w:val="auto"/>
          <w:sz w:val="24"/>
          <w:lang w:val="fr-BE"/>
        </w:rPr>
        <w:t xml:space="preserve">, </w:t>
      </w:r>
      <w:r>
        <w:rPr>
          <w:rFonts w:ascii="Times New Roman" w:hAnsi="Times New Roman"/>
          <w:noProof/>
          <w:color w:val="auto"/>
          <w:sz w:val="24"/>
          <w:lang w:val="fr-BE"/>
        </w:rPr>
        <w:t>mais également par des investissements importants du secteur privé et des mécanismes de coordination appropriés. À cet égard, la proposition de projet important d’intérêt européen commun (PIIEC) sur le CHP) et les mégadonnées montre les possibilités et les</w:t>
      </w:r>
      <w:r>
        <w:rPr>
          <w:rFonts w:ascii="Times New Roman" w:hAnsi="Times New Roman"/>
          <w:noProof/>
          <w:color w:val="auto"/>
          <w:sz w:val="24"/>
          <w:lang w:val="fr-BE"/>
        </w:rPr>
        <w:t xml:space="preserve"> effets positifs de l’engagement des États membres.</w:t>
      </w:r>
    </w:p>
    <w:tbl>
      <w:tblPr>
        <w:tblStyle w:val="TableGrid"/>
        <w:tblW w:w="9039" w:type="dxa"/>
        <w:tblLook w:val="04A0" w:firstRow="1" w:lastRow="0" w:firstColumn="1" w:lastColumn="0" w:noHBand="0" w:noVBand="1"/>
      </w:tblPr>
      <w:tblGrid>
        <w:gridCol w:w="7574"/>
        <w:gridCol w:w="1465"/>
      </w:tblGrid>
      <w:tr w:rsidR="005B5FD5">
        <w:tc>
          <w:tcPr>
            <w:tcW w:w="7574" w:type="dxa"/>
          </w:tcPr>
          <w:p w:rsidR="005B5FD5" w:rsidRDefault="005F12DE">
            <w:pPr>
              <w:tabs>
                <w:tab w:val="left" w:pos="3095"/>
              </w:tabs>
              <w:spacing w:after="60"/>
              <w:jc w:val="both"/>
              <w:rPr>
                <w:rFonts w:ascii="Times New Roman" w:hAnsi="Times New Roman"/>
                <w:b/>
                <w:noProof/>
                <w:sz w:val="24"/>
                <w:szCs w:val="24"/>
              </w:rPr>
            </w:pPr>
            <w:r>
              <w:rPr>
                <w:rFonts w:ascii="Times New Roman" w:hAnsi="Times New Roman"/>
                <w:b/>
                <w:noProof/>
                <w:sz w:val="24"/>
              </w:rPr>
              <w:t>Actions</w:t>
            </w:r>
          </w:p>
        </w:tc>
        <w:tc>
          <w:tcPr>
            <w:tcW w:w="1465" w:type="dxa"/>
          </w:tcPr>
          <w:p w:rsidR="005B5FD5" w:rsidRDefault="005F12DE">
            <w:pPr>
              <w:spacing w:before="60" w:after="60"/>
              <w:jc w:val="both"/>
              <w:rPr>
                <w:rFonts w:ascii="Times New Roman" w:hAnsi="Times New Roman"/>
                <w:b/>
                <w:bCs/>
                <w:noProof/>
                <w:sz w:val="24"/>
                <w:szCs w:val="24"/>
              </w:rPr>
            </w:pPr>
            <w:r>
              <w:rPr>
                <w:rFonts w:ascii="Times New Roman" w:hAnsi="Times New Roman"/>
                <w:b/>
                <w:noProof/>
                <w:sz w:val="24"/>
              </w:rPr>
              <w:t>Calendrier</w:t>
            </w:r>
          </w:p>
        </w:tc>
      </w:tr>
      <w:tr w:rsidR="005B5FD5">
        <w:tc>
          <w:tcPr>
            <w:tcW w:w="7574" w:type="dxa"/>
          </w:tcPr>
          <w:p w:rsidR="005B5FD5" w:rsidRDefault="005F12DE">
            <w:pPr>
              <w:spacing w:before="60" w:after="60"/>
              <w:jc w:val="both"/>
              <w:rPr>
                <w:rFonts w:ascii="Times New Roman" w:hAnsi="Times New Roman"/>
                <w:noProof/>
                <w:sz w:val="24"/>
                <w:szCs w:val="24"/>
                <w:lang w:val="fr-BE"/>
              </w:rPr>
            </w:pPr>
            <w:r>
              <w:rPr>
                <w:rFonts w:ascii="Times New Roman" w:hAnsi="Times New Roman"/>
                <w:noProof/>
                <w:sz w:val="24"/>
                <w:lang w:val="fr-BE"/>
              </w:rPr>
              <w:t>En coopération avec les États membres et les parties prenantes, la Commission examinera les mécanismes de gouvernance et de financement appropriés pour le nuage européen pour la scienc</w:t>
            </w:r>
            <w:r>
              <w:rPr>
                <w:rFonts w:ascii="Times New Roman" w:hAnsi="Times New Roman"/>
                <w:noProof/>
                <w:sz w:val="24"/>
                <w:lang w:val="fr-BE"/>
              </w:rPr>
              <w:t>e ouverte et l'infrastructure de données européenne et définira une feuille de route pour la mise en œuvre.</w:t>
            </w:r>
          </w:p>
        </w:tc>
        <w:tc>
          <w:tcPr>
            <w:tcW w:w="1465"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À partir de 2016.</w:t>
            </w:r>
          </w:p>
        </w:tc>
      </w:tr>
      <w:tr w:rsidR="005B5FD5">
        <w:tc>
          <w:tcPr>
            <w:tcW w:w="7574" w:type="dxa"/>
          </w:tcPr>
          <w:p w:rsidR="005B5FD5" w:rsidRDefault="005F12DE">
            <w:pPr>
              <w:jc w:val="both"/>
              <w:rPr>
                <w:rFonts w:ascii="Times New Roman" w:hAnsi="Times New Roman"/>
                <w:noProof/>
                <w:sz w:val="24"/>
                <w:szCs w:val="24"/>
                <w:lang w:val="fr-BE"/>
              </w:rPr>
            </w:pPr>
            <w:r>
              <w:rPr>
                <w:rFonts w:ascii="Times New Roman" w:hAnsi="Times New Roman"/>
                <w:noProof/>
                <w:sz w:val="24"/>
                <w:lang w:val="fr-BE"/>
              </w:rPr>
              <w:t xml:space="preserve">La Commission présentera des approches pour combiner les différents flux de financement en vue d’une discussion avec les États </w:t>
            </w:r>
            <w:r>
              <w:rPr>
                <w:rFonts w:ascii="Times New Roman" w:hAnsi="Times New Roman"/>
                <w:noProof/>
                <w:sz w:val="24"/>
                <w:lang w:val="fr-BE"/>
              </w:rPr>
              <w:t>membres et les acteurs concernés, afin de réaliser les objectifs de la présente communication.</w:t>
            </w:r>
          </w:p>
        </w:tc>
        <w:tc>
          <w:tcPr>
            <w:tcW w:w="1465" w:type="dxa"/>
          </w:tcPr>
          <w:p w:rsidR="005B5FD5" w:rsidRDefault="005F12DE">
            <w:pPr>
              <w:spacing w:before="60" w:after="60"/>
              <w:jc w:val="both"/>
              <w:rPr>
                <w:rFonts w:ascii="Times New Roman" w:hAnsi="Times New Roman"/>
                <w:bCs/>
                <w:noProof/>
                <w:sz w:val="24"/>
                <w:szCs w:val="24"/>
              </w:rPr>
            </w:pPr>
            <w:r>
              <w:rPr>
                <w:rFonts w:ascii="Times New Roman" w:hAnsi="Times New Roman"/>
                <w:noProof/>
                <w:sz w:val="24"/>
              </w:rPr>
              <w:t>2016</w:t>
            </w:r>
          </w:p>
        </w:tc>
      </w:tr>
    </w:tbl>
    <w:p w:rsidR="005B5FD5" w:rsidRDefault="005F12DE">
      <w:pPr>
        <w:keepNext/>
        <w:spacing w:before="100" w:beforeAutospacing="1" w:after="100" w:afterAutospacing="1"/>
        <w:jc w:val="both"/>
        <w:rPr>
          <w:rFonts w:ascii="Times New Roman" w:hAnsi="Times New Roman"/>
          <w:b/>
          <w:noProof/>
          <w:sz w:val="24"/>
          <w:szCs w:val="24"/>
        </w:rPr>
      </w:pPr>
      <w:r>
        <w:rPr>
          <w:rFonts w:ascii="Times New Roman" w:hAnsi="Times New Roman"/>
          <w:b/>
          <w:noProof/>
          <w:sz w:val="24"/>
        </w:rPr>
        <w:t>CONCLUSIONS</w:t>
      </w:r>
    </w:p>
    <w:p w:rsidR="005B5FD5" w:rsidRDefault="005F12DE">
      <w:pPr>
        <w:pStyle w:val="Body"/>
        <w:spacing w:after="120"/>
        <w:jc w:val="both"/>
        <w:rPr>
          <w:rStyle w:val="Strong"/>
          <w:rFonts w:ascii="Times New Roman" w:hAnsi="Times New Roman" w:cs="Times New Roman"/>
          <w:b w:val="0"/>
          <w:noProof/>
          <w:color w:val="auto"/>
          <w:sz w:val="24"/>
          <w:szCs w:val="24"/>
          <w:lang w:val="fr-BE"/>
        </w:rPr>
      </w:pPr>
      <w:r>
        <w:rPr>
          <w:rFonts w:ascii="Times New Roman" w:hAnsi="Times New Roman"/>
          <w:noProof/>
          <w:color w:val="auto"/>
          <w:sz w:val="24"/>
          <w:lang w:val="fr-BE"/>
        </w:rPr>
        <w:t xml:space="preserve">L’initiative européenne sur l’informatique en nuage vise à aider la science, l’industrie et les pouvoirs publics européens à accéder à des </w:t>
      </w:r>
      <w:r>
        <w:rPr>
          <w:rFonts w:ascii="Times New Roman" w:hAnsi="Times New Roman"/>
          <w:noProof/>
          <w:color w:val="auto"/>
          <w:sz w:val="24"/>
          <w:lang w:val="fr-BE"/>
        </w:rPr>
        <w:t>infrastructures de données et à des services en nuage d’envergure internationale dans la mesure où ils deviennent des facteurs de réussite déterminants dans l’économie numérique.</w:t>
      </w:r>
      <w:r>
        <w:rPr>
          <w:rStyle w:val="Strong"/>
          <w:rFonts w:ascii="Times New Roman" w:hAnsi="Times New Roman"/>
          <w:b w:val="0"/>
          <w:noProof/>
          <w:color w:val="auto"/>
          <w:sz w:val="24"/>
          <w:lang w:val="fr-BE"/>
        </w:rPr>
        <w:t xml:space="preserve"> </w:t>
      </w:r>
    </w:p>
    <w:p w:rsidR="005B5FD5" w:rsidRDefault="005F12DE">
      <w:pPr>
        <w:pStyle w:val="Body"/>
        <w:spacing w:after="120"/>
        <w:jc w:val="both"/>
        <w:rPr>
          <w:rFonts w:ascii="Times New Roman" w:hAnsi="Times New Roman" w:cs="Times New Roman"/>
          <w:noProof/>
          <w:color w:val="auto"/>
          <w:sz w:val="24"/>
          <w:szCs w:val="24"/>
          <w:lang w:val="fr-BE"/>
        </w:rPr>
      </w:pPr>
      <w:r>
        <w:rPr>
          <w:rFonts w:ascii="Times New Roman" w:hAnsi="Times New Roman"/>
          <w:b/>
          <w:noProof/>
          <w:color w:val="auto"/>
          <w:sz w:val="24"/>
          <w:lang w:val="fr-BE"/>
        </w:rPr>
        <w:t xml:space="preserve">Une initiative européenne sur l’informatique en nuage devrait offrir à tout </w:t>
      </w:r>
      <w:r>
        <w:rPr>
          <w:rFonts w:ascii="Times New Roman" w:hAnsi="Times New Roman"/>
          <w:b/>
          <w:noProof/>
          <w:color w:val="auto"/>
          <w:sz w:val="24"/>
          <w:lang w:val="fr-BE"/>
        </w:rPr>
        <w:t>centre de recherche, à tout projet de recherche et à tout chercheur en Europe les capacités de calcul intensif et de stockage et d'analyse des données d'envergure mondiale dont ils ont besoin</w:t>
      </w:r>
      <w:r>
        <w:rPr>
          <w:rFonts w:ascii="Times New Roman" w:hAnsi="Times New Roman"/>
          <w:noProof/>
          <w:color w:val="auto"/>
          <w:sz w:val="24"/>
          <w:lang w:val="fr-BE"/>
        </w:rPr>
        <w:t xml:space="preserve"> pour réussir à s'intégrer dans le système d'innovation mondial f</w:t>
      </w:r>
      <w:r>
        <w:rPr>
          <w:rFonts w:ascii="Times New Roman" w:hAnsi="Times New Roman"/>
          <w:noProof/>
          <w:color w:val="auto"/>
          <w:sz w:val="24"/>
          <w:lang w:val="fr-BE"/>
        </w:rPr>
        <w:t xml:space="preserve">ondé sur les données. </w:t>
      </w:r>
    </w:p>
    <w:p w:rsidR="005B5FD5" w:rsidRDefault="005F12DE">
      <w:pPr>
        <w:pStyle w:val="Body"/>
        <w:spacing w:after="120"/>
        <w:jc w:val="both"/>
        <w:rPr>
          <w:rFonts w:ascii="Times New Roman" w:hAnsi="Times New Roman"/>
          <w:noProof/>
          <w:sz w:val="24"/>
          <w:szCs w:val="24"/>
          <w:lang w:val="fr-BE"/>
        </w:rPr>
      </w:pPr>
      <w:r>
        <w:rPr>
          <w:rFonts w:ascii="Times New Roman" w:hAnsi="Times New Roman"/>
          <w:noProof/>
          <w:color w:val="auto"/>
          <w:sz w:val="24"/>
          <w:lang w:val="fr-BE"/>
        </w:rPr>
        <w:t>L’initiative permettra d’élargir la base d'utilisateurs des infrastructures et services au secteur public et à l’industrie, y compris aux PME, en garantissant un niveau adéquat de sécurité, de portabilité des données, d’interopérabil</w:t>
      </w:r>
      <w:r>
        <w:rPr>
          <w:rFonts w:ascii="Times New Roman" w:hAnsi="Times New Roman"/>
          <w:noProof/>
          <w:color w:val="auto"/>
          <w:sz w:val="24"/>
          <w:lang w:val="fr-BE"/>
        </w:rPr>
        <w:t>ité et de conformité aux exigences juridiques européennes.</w:t>
      </w:r>
      <w:r>
        <w:rPr>
          <w:rFonts w:ascii="Times New Roman" w:hAnsi="Times New Roman"/>
          <w:noProof/>
          <w:sz w:val="24"/>
          <w:lang w:val="fr-BE"/>
        </w:rPr>
        <w:t xml:space="preserve"> </w:t>
      </w:r>
    </w:p>
    <w:p w:rsidR="005B5FD5" w:rsidRDefault="005F12DE">
      <w:pPr>
        <w:pStyle w:val="Body"/>
        <w:spacing w:after="120"/>
        <w:jc w:val="both"/>
        <w:rPr>
          <w:rFonts w:ascii="Times New Roman" w:hAnsi="Times New Roman"/>
          <w:noProof/>
          <w:sz w:val="24"/>
          <w:szCs w:val="24"/>
          <w:lang w:val="fr-BE"/>
        </w:rPr>
      </w:pPr>
      <w:r>
        <w:rPr>
          <w:rFonts w:ascii="Times New Roman" w:hAnsi="Times New Roman"/>
          <w:noProof/>
          <w:sz w:val="24"/>
          <w:lang w:val="fr-BE"/>
        </w:rPr>
        <w:t xml:space="preserve">La mesure dans laquelle les États membres et le secteur privé saisissent les bénéfices à escompter en relevant ce défi et s'engagent à unir leurs efforts pour y arriver déterminera la réussite de </w:t>
      </w:r>
      <w:r>
        <w:rPr>
          <w:rFonts w:ascii="Times New Roman" w:hAnsi="Times New Roman"/>
          <w:noProof/>
          <w:sz w:val="24"/>
          <w:lang w:val="fr-BE"/>
        </w:rPr>
        <w:t xml:space="preserve">l’initiative. </w:t>
      </w:r>
    </w:p>
    <w:p w:rsidR="005B5FD5" w:rsidRDefault="005B5FD5">
      <w:pPr>
        <w:pStyle w:val="Body"/>
        <w:spacing w:after="120"/>
        <w:jc w:val="both"/>
        <w:rPr>
          <w:rFonts w:ascii="Times New Roman" w:hAnsi="Times New Roman" w:cs="Times New Roman"/>
          <w:noProof/>
          <w:color w:val="auto"/>
          <w:sz w:val="24"/>
          <w:szCs w:val="24"/>
          <w:lang w:val="fr-BE"/>
        </w:rPr>
      </w:pPr>
    </w:p>
    <w:sectPr w:rsidR="005B5FD5">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FD5" w:rsidRDefault="005F12DE">
      <w:r>
        <w:separator/>
      </w:r>
    </w:p>
  </w:endnote>
  <w:endnote w:type="continuationSeparator" w:id="0">
    <w:p w:rsidR="005B5FD5" w:rsidRDefault="005F12DE">
      <w:r>
        <w:continuationSeparator/>
      </w:r>
    </w:p>
  </w:endnote>
  <w:endnote w:type="continuationNotice" w:id="1">
    <w:p w:rsidR="005B5FD5" w:rsidRDefault="005B5F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B5F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F12DE">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B5FD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B5FD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F12DE">
    <w:pPr>
      <w:pStyle w:val="Footer"/>
      <w:jc w:val="right"/>
    </w:pPr>
    <w:r>
      <w:fldChar w:fldCharType="begin"/>
    </w:r>
    <w:r>
      <w:instrText xml:space="preserve"> PAGE   \* MERGEFORMAT </w:instrText>
    </w:r>
    <w:r>
      <w:fldChar w:fldCharType="separate"/>
    </w:r>
    <w:r>
      <w:rPr>
        <w:noProof/>
      </w:rPr>
      <w:t>6</w:t>
    </w:r>
    <w:r>
      <w:rPr>
        <w:noProof/>
      </w:rPr>
      <w:fldChar w:fldCharType="end"/>
    </w:r>
  </w:p>
  <w:p w:rsidR="005B5FD5" w:rsidRDefault="005B5FD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B5F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FD5" w:rsidRDefault="005F12DE">
      <w:r>
        <w:separator/>
      </w:r>
    </w:p>
  </w:footnote>
  <w:footnote w:type="continuationSeparator" w:id="0">
    <w:p w:rsidR="005B5FD5" w:rsidRDefault="005F12DE">
      <w:r>
        <w:continuationSeparator/>
      </w:r>
    </w:p>
  </w:footnote>
  <w:footnote w:type="continuationNotice" w:id="1">
    <w:p w:rsidR="005B5FD5" w:rsidRDefault="005B5FD5"/>
  </w:footnote>
  <w:footnote w:id="2">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w:t>
      </w:r>
      <w:r>
        <w:rPr>
          <w:rStyle w:val="tgc"/>
          <w:rFonts w:ascii="Times New Roman" w:hAnsi="Times New Roman"/>
          <w:lang w:val="fr-BE"/>
        </w:rPr>
        <w:t>Le calcul à l'échelle exa désigne les systèmes informatiques d'une capacité d’au moins un exaFLOPS – 10</w:t>
      </w:r>
      <w:r>
        <w:rPr>
          <w:rStyle w:val="tgc"/>
          <w:rFonts w:ascii="Times New Roman" w:hAnsi="Times New Roman"/>
          <w:vertAlign w:val="superscript"/>
          <w:lang w:val="fr-BE"/>
        </w:rPr>
        <w:t>18</w:t>
      </w:r>
      <w:r>
        <w:rPr>
          <w:rStyle w:val="tgc"/>
          <w:rFonts w:ascii="Times New Roman" w:hAnsi="Times New Roman"/>
          <w:lang w:val="fr-BE"/>
        </w:rPr>
        <w:t xml:space="preserve"> calculs par seconde – soit une vitesse environ 1 000 fois plus grande que les machines actuelles.</w:t>
      </w:r>
    </w:p>
  </w:footnote>
  <w:footnote w:id="3">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Voir les </w:t>
      </w:r>
      <w:hyperlink r:id="rId1">
        <w:r>
          <w:rPr>
            <w:rStyle w:val="Hyperlink"/>
            <w:rFonts w:ascii="Times New Roman" w:hAnsi="Times New Roman"/>
            <w:lang w:val="fr-BE"/>
          </w:rPr>
          <w:t>conclusions</w:t>
        </w:r>
      </w:hyperlink>
      <w:r>
        <w:rPr>
          <w:lang w:val="fr-BE"/>
        </w:rPr>
        <w:t xml:space="preserve"> </w:t>
      </w:r>
      <w:r>
        <w:rPr>
          <w:rFonts w:ascii="Times New Roman" w:hAnsi="Times New Roman"/>
          <w:lang w:val="fr-BE"/>
        </w:rPr>
        <w:t xml:space="preserve">du Conseil «Compétitivité», 2015.  </w:t>
      </w:r>
    </w:p>
  </w:footnote>
  <w:footnote w:id="4">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Discour</w:t>
      </w:r>
      <w:r>
        <w:rPr>
          <w:rFonts w:ascii="Times New Roman" w:hAnsi="Times New Roman"/>
          <w:lang w:val="fr-BE"/>
        </w:rPr>
        <w:t>s du Président Juncker, octobre 2015; http://bit.ly/1Y52pGi</w:t>
      </w:r>
    </w:p>
  </w:footnote>
  <w:footnote w:id="5">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COM(2015) 192 final.</w:t>
      </w:r>
    </w:p>
  </w:footnote>
  <w:footnote w:id="6">
    <w:p w:rsidR="005B5FD5" w:rsidRDefault="005F12DE">
      <w:pPr>
        <w:pStyle w:val="FootnoteText"/>
        <w:spacing w:after="0" w:line="240" w:lineRule="auto"/>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Des travaux préparatoires ont été lancés par l'intermédiaire d’un groupe d’experts de haut niveau de la Commission, chargé d’émettre des conseils sur sa mise en place: htt</w:t>
      </w:r>
      <w:r>
        <w:rPr>
          <w:rFonts w:ascii="Times New Roman" w:hAnsi="Times New Roman"/>
          <w:lang w:val="fr-BE"/>
        </w:rPr>
        <w:t>p://bit.ly/1RK7lhh</w:t>
      </w:r>
    </w:p>
  </w:footnote>
  <w:footnote w:id="7">
    <w:p w:rsidR="005B5FD5" w:rsidRDefault="005F12DE">
      <w:pPr>
        <w:pStyle w:val="FootnoteText"/>
        <w:spacing w:after="0" w:line="240" w:lineRule="auto"/>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Travaux préparatoires entrepris par l'intermédiaire de groupes consultatifs tels que le groupe de réflexion sur les infrastructures électroniques.</w:t>
      </w:r>
    </w:p>
  </w:footnote>
  <w:footnote w:id="8">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COM(2012) 529 final et résultats des groupes de travail http://bit.ly/1QVrvIb</w:t>
      </w:r>
    </w:p>
  </w:footnote>
  <w:footnote w:id="9">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COM(2012) 45 final.</w:t>
      </w:r>
    </w:p>
  </w:footnote>
  <w:footnote w:id="10">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L’objectif est de soutenir le développement de nouvelles utilisations industrielles du CHP et de garantir l’accès à des infrastructures CHP pour la recherche publique et privée, http://bit.ly/1RMFq0i</w:t>
      </w:r>
    </w:p>
  </w:footnote>
  <w:footnote w:id="11">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COM(2014) 442 final.</w:t>
      </w:r>
    </w:p>
  </w:footnote>
  <w:footnote w:id="12">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Débat d’</w:t>
      </w:r>
      <w:r>
        <w:rPr>
          <w:rFonts w:ascii="Times New Roman" w:hAnsi="Times New Roman"/>
          <w:lang w:val="fr-BE"/>
        </w:rPr>
        <w:t>orientation au sein du Conseil (9385/15); conclusions du Conseil (8970/15).</w:t>
      </w:r>
    </w:p>
  </w:footnote>
  <w:footnote w:id="13">
    <w:p w:rsidR="005B5FD5" w:rsidRDefault="005F12DE">
      <w:pPr>
        <w:pStyle w:val="FootnoteText"/>
        <w:tabs>
          <w:tab w:val="left" w:pos="5945"/>
        </w:tabs>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COM(2012) 401 final.</w:t>
      </w:r>
      <w:r>
        <w:rPr>
          <w:lang w:val="fr-BE"/>
        </w:rPr>
        <w:tab/>
      </w:r>
    </w:p>
  </w:footnote>
  <w:footnote w:id="14">
    <w:p w:rsidR="005B5FD5" w:rsidRDefault="005F12DE">
      <w:pPr>
        <w:pStyle w:val="FootnoteText"/>
        <w:spacing w:after="0" w:line="240" w:lineRule="auto"/>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Les propositions législatives éventuelles devront répondre aux exigences de la Commission en matière d'amélioration de la réglementation, conformément aux</w:t>
      </w:r>
      <w:r>
        <w:rPr>
          <w:rFonts w:ascii="Times New Roman" w:hAnsi="Times New Roman"/>
          <w:lang w:val="fr-BE"/>
        </w:rPr>
        <w:t xml:space="preserve"> lignes directrices de la Commission pour une meilleure réglementation (</w:t>
      </w:r>
      <w:r>
        <w:rPr>
          <w:rFonts w:ascii="Times New Roman" w:hAnsi="Times New Roman"/>
          <w:i/>
          <w:lang w:val="fr-BE"/>
        </w:rPr>
        <w:t>Better Regulation Guidelines)</w:t>
      </w:r>
      <w:r>
        <w:rPr>
          <w:rFonts w:ascii="Times New Roman" w:hAnsi="Times New Roman"/>
          <w:lang w:val="fr-BE"/>
        </w:rPr>
        <w:t>, SWD(2015) 111.</w:t>
      </w:r>
    </w:p>
  </w:footnote>
  <w:footnote w:id="15">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C’est le cas, par exemple, dans le domaine de la santé </w:t>
      </w:r>
      <w:hyperlink r:id="rId2" w:history="1">
        <w:r w:rsidRPr="005F12DE">
          <w:rPr>
            <w:rStyle w:val="Hyperlink"/>
            <w:rFonts w:ascii="Times New Roman" w:hAnsi="Times New Roman"/>
            <w:color w:val="auto"/>
            <w:u w:val="none"/>
            <w:lang w:val="fr-BE"/>
          </w:rPr>
          <w:t>http://bit.ly/1XEeaTN</w:t>
        </w:r>
      </w:hyperlink>
      <w:r>
        <w:rPr>
          <w:rFonts w:ascii="Times New Roman" w:hAnsi="Times New Roman"/>
          <w:lang w:val="fr-BE"/>
        </w:rPr>
        <w:t xml:space="preserve"> (et des projets du CER BIOTENSORS, DIOCLES, SMAC), de l’astronomie (SparseAstro, p. ex.), du changement climatique, de la migration ou de l’internet (p. ex. DIADEM, MIGRANT, RAPID, THINKBIG).</w:t>
      </w:r>
    </w:p>
  </w:footnote>
  <w:footnote w:id="16">
    <w:p w:rsidR="005B5FD5" w:rsidRDefault="005F12DE">
      <w:pPr>
        <w:pStyle w:val="FootnoteText"/>
        <w:spacing w:after="0" w:line="240" w:lineRule="auto"/>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La directive INSPIRE (2007/2/CE) constitue un acquis pour le </w:t>
      </w:r>
      <w:r>
        <w:rPr>
          <w:rFonts w:ascii="Times New Roman" w:hAnsi="Times New Roman"/>
          <w:lang w:val="fr-BE"/>
        </w:rPr>
        <w:t xml:space="preserve">partage de données de localisation européennes. Toutefois, le champ d’application de ces dispositions législatives est limité aux données et services spécifiques aux politiques de l'environnement, de lutte contre les catastrophes naturelles et de la santé </w:t>
      </w:r>
      <w:r>
        <w:rPr>
          <w:rFonts w:ascii="Times New Roman" w:hAnsi="Times New Roman"/>
          <w:lang w:val="fr-BE"/>
        </w:rPr>
        <w:t>et les obstacles en matière de politiques de données n'ont pas tous été levés de manière efficace.</w:t>
      </w:r>
    </w:p>
  </w:footnote>
  <w:footnote w:id="17">
    <w:p w:rsidR="005B5FD5" w:rsidRDefault="005F12DE">
      <w:pPr>
        <w:pStyle w:val="FootnoteText"/>
        <w:spacing w:after="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Règlement (UE) n°1089/2010 portant modalités d'application de la directive 2007/2/CE</w:t>
      </w:r>
    </w:p>
  </w:footnote>
  <w:footnote w:id="18">
    <w:p w:rsidR="005B5FD5" w:rsidRDefault="005F12DE">
      <w:pPr>
        <w:pStyle w:val="FootnoteText"/>
        <w:spacing w:after="0" w:line="240" w:lineRule="auto"/>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Travaux concernant le réseau de santé en ligne mis en place en vertu</w:t>
      </w:r>
      <w:r>
        <w:rPr>
          <w:rFonts w:ascii="Times New Roman" w:hAnsi="Times New Roman"/>
          <w:lang w:val="fr-BE"/>
        </w:rPr>
        <w:t xml:space="preserve"> de la directive 2011/24/UE relative aux droits des patients, aux infrastructures de services numériques dans le domaine de la santé en ligne, aux services de prescription en ligne et aux services liés aux dossiers de patients, pour échanger des données en</w:t>
      </w:r>
      <w:r>
        <w:rPr>
          <w:rFonts w:ascii="Times New Roman" w:hAnsi="Times New Roman"/>
          <w:lang w:val="fr-BE"/>
        </w:rPr>
        <w:t xml:space="preserve"> matière de santé, et la récente action commune visant à soutenir le rapport sur le réseau de santé en ligne intitulé «Utilisation de l’informatique en nuage dans le domaine de la santé» pour soutenir l’utilisation de données autres que celles concernant d</w:t>
      </w:r>
      <w:r>
        <w:rPr>
          <w:rFonts w:ascii="Times New Roman" w:hAnsi="Times New Roman"/>
          <w:lang w:val="fr-BE"/>
        </w:rPr>
        <w:t>es soins directs prodigués à un patient donné.</w:t>
      </w:r>
    </w:p>
  </w:footnote>
  <w:footnote w:id="19">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Traité par le programme ISA de la Commission: http://bit.ly/24DxWUs.</w:t>
      </w:r>
    </w:p>
  </w:footnote>
  <w:footnote w:id="20">
    <w:p w:rsidR="005B5FD5" w:rsidRDefault="005F12DE">
      <w:pPr>
        <w:pStyle w:val="FootnoteText"/>
        <w:spacing w:after="0" w:line="240" w:lineRule="auto"/>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Il peut s'agir de métadonnées statistiques de haute qualité provenant de statistiques officielles et destinées à renforcer la cherchabil</w:t>
      </w:r>
      <w:r>
        <w:rPr>
          <w:rFonts w:ascii="Times New Roman" w:hAnsi="Times New Roman"/>
          <w:lang w:val="fr-BE"/>
        </w:rPr>
        <w:t>ité, l’interopérabilité et l’intégration des données.</w:t>
      </w:r>
    </w:p>
  </w:footnote>
  <w:footnote w:id="21">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Plusieurs initiatives mondiales ont été prises dans ce domaine: principes FAIR en matière de données, principes du G8 concernant la science ouverte fondée sur les données issues de la recherche, ligne</w:t>
      </w:r>
      <w:r>
        <w:rPr>
          <w:rFonts w:ascii="Times New Roman" w:hAnsi="Times New Roman"/>
          <w:lang w:val="fr-BE"/>
        </w:rPr>
        <w:t>s directrices RDA, recommandations du Forum Belmont, principes de l'OCDE et lignes directrices par discipline.</w:t>
      </w:r>
    </w:p>
  </w:footnote>
  <w:footnote w:id="22">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La consultation sur l'approche «Science 2.0» a mis en évidence le manque d’intégration des infrastructures existantes comme un obstacle au trav</w:t>
      </w:r>
      <w:r>
        <w:rPr>
          <w:rFonts w:ascii="Times New Roman" w:hAnsi="Times New Roman"/>
          <w:lang w:val="fr-BE"/>
        </w:rPr>
        <w:t>ail des scientifiques.</w:t>
      </w:r>
    </w:p>
  </w:footnote>
  <w:footnote w:id="23">
    <w:p w:rsidR="005B5FD5" w:rsidRDefault="005F12DE">
      <w:pPr>
        <w:autoSpaceDE w:val="0"/>
        <w:autoSpaceDN w:val="0"/>
        <w:adjustRightInd w:val="0"/>
        <w:jc w:val="both"/>
        <w:rPr>
          <w:rFonts w:ascii="Times New Roman" w:hAnsi="Times New Roman"/>
          <w:sz w:val="20"/>
          <w:szCs w:val="20"/>
          <w:lang w:val="fr-BE"/>
        </w:rPr>
      </w:pPr>
      <w:r>
        <w:rPr>
          <w:rStyle w:val="FootnoteReference"/>
          <w:rFonts w:ascii="Times New Roman" w:hAnsi="Times New Roman"/>
          <w:sz w:val="20"/>
        </w:rPr>
        <w:footnoteRef/>
      </w:r>
      <w:r>
        <w:rPr>
          <w:rFonts w:ascii="Times New Roman" w:hAnsi="Times New Roman"/>
          <w:sz w:val="20"/>
          <w:lang w:val="fr-BE"/>
        </w:rPr>
        <w:t xml:space="preserve"> Les chercheurs ne disposent pas d'un système de stockage et de mise à jour de leurs données (37 %) ou en ignorent l'existence (54 %) (bit.ly/206u6hm).</w:t>
      </w:r>
    </w:p>
  </w:footnote>
  <w:footnote w:id="24">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http://bit.ly/1SkL9wm</w:t>
      </w:r>
    </w:p>
  </w:footnote>
  <w:footnote w:id="25">
    <w:p w:rsidR="005B5FD5" w:rsidRDefault="005F12DE">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BE"/>
        </w:rPr>
        <w:t xml:space="preserve"> http://bit.ly/1JEymCY</w:t>
      </w:r>
    </w:p>
  </w:footnote>
  <w:footnote w:id="26">
    <w:p w:rsidR="005B5FD5" w:rsidRDefault="005F12DE">
      <w:pPr>
        <w:ind w:left="142" w:hanging="142"/>
        <w:rPr>
          <w:rFonts w:ascii="Times New Roman" w:hAnsi="Times New Roman"/>
          <w:sz w:val="20"/>
          <w:szCs w:val="20"/>
          <w:lang w:val="fr-BE"/>
        </w:rPr>
      </w:pPr>
      <w:r>
        <w:rPr>
          <w:rStyle w:val="FootnoteReference"/>
          <w:rFonts w:ascii="Times New Roman" w:hAnsi="Times New Roman"/>
          <w:sz w:val="20"/>
        </w:rPr>
        <w:footnoteRef/>
      </w:r>
      <w:r>
        <w:rPr>
          <w:rFonts w:ascii="Times New Roman" w:hAnsi="Times New Roman"/>
          <w:sz w:val="20"/>
          <w:lang w:val="fr-BE"/>
        </w:rPr>
        <w:t xml:space="preserve"> Demandes de cycles informatiqu</w:t>
      </w:r>
      <w:r>
        <w:rPr>
          <w:rFonts w:ascii="Times New Roman" w:hAnsi="Times New Roman"/>
          <w:sz w:val="20"/>
          <w:lang w:val="fr-BE"/>
        </w:rPr>
        <w:t>es concernant la double disponibilité de PRACE: http://bit.ly/1So2sgc.</w:t>
      </w:r>
    </w:p>
  </w:footnote>
  <w:footnote w:id="27">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SWD(2016) 107</w:t>
      </w:r>
    </w:p>
  </w:footnote>
  <w:footnote w:id="28">
    <w:p w:rsidR="005B5FD5" w:rsidRDefault="005F12DE">
      <w:pPr>
        <w:pStyle w:val="FootnoteText"/>
        <w:spacing w:after="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SWD(2016) 106</w:t>
      </w:r>
    </w:p>
  </w:footnote>
  <w:footnote w:id="29">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Le ministère américain de la défense investira 525 millions de dollars pour l’acquisition de 3 systèmes pré-exascale en 2017/2018 («CORAL»). Le Japon prévoit d’investir 1,38 milliard de dollars pour installer un système proche de l'exascale en 2019.</w:t>
      </w:r>
    </w:p>
  </w:footnote>
  <w:footnote w:id="30">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Bie</w:t>
      </w:r>
      <w:r>
        <w:rPr>
          <w:rFonts w:ascii="Times New Roman" w:hAnsi="Times New Roman"/>
          <w:lang w:val="fr-BE"/>
        </w:rPr>
        <w:t>n que PRACE permette le partage des ressources informatiques de certains États membres, l’acquisition de systèmes CHP est une décision nationale prise en dehors de toute coordination ou de tout financement de l'UE.</w:t>
      </w:r>
    </w:p>
  </w:footnote>
  <w:footnote w:id="31">
    <w:p w:rsidR="005B5FD5" w:rsidRDefault="005F12DE">
      <w:pPr>
        <w:pStyle w:val="Default"/>
        <w:ind w:left="142" w:hanging="142"/>
        <w:jc w:val="both"/>
        <w:rPr>
          <w:sz w:val="20"/>
          <w:szCs w:val="20"/>
          <w:lang w:val="fr-BE"/>
        </w:rPr>
      </w:pPr>
      <w:r>
        <w:rPr>
          <w:rStyle w:val="FootnoteReference"/>
          <w:sz w:val="20"/>
        </w:rPr>
        <w:footnoteRef/>
      </w:r>
      <w:r>
        <w:rPr>
          <w:sz w:val="20"/>
          <w:lang w:val="fr-BE"/>
        </w:rPr>
        <w:t xml:space="preserve"> Conclusions du Conseil (8970/15).</w:t>
      </w:r>
    </w:p>
  </w:footnote>
  <w:footnote w:id="32">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COM</w:t>
      </w:r>
      <w:r>
        <w:rPr>
          <w:rFonts w:ascii="Times New Roman" w:hAnsi="Times New Roman"/>
          <w:lang w:val="fr-BE"/>
        </w:rPr>
        <w:t>(2012) 9 final.</w:t>
      </w:r>
    </w:p>
  </w:footnote>
  <w:footnote w:id="33">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COM(2015) 626 final.</w:t>
      </w:r>
    </w:p>
  </w:footnote>
  <w:footnote w:id="34">
    <w:p w:rsidR="005B5FD5" w:rsidRDefault="005F12DE">
      <w:pPr>
        <w:pStyle w:val="PlainText"/>
        <w:jc w:val="both"/>
        <w:rPr>
          <w:rFonts w:ascii="Times New Roman" w:hAnsi="Times New Roman" w:cs="Times New Roman"/>
          <w:sz w:val="20"/>
          <w:szCs w:val="20"/>
          <w:lang w:val="fr-BE"/>
        </w:rPr>
      </w:pPr>
      <w:r>
        <w:rPr>
          <w:rStyle w:val="FootnoteReference"/>
          <w:rFonts w:ascii="Times New Roman" w:hAnsi="Times New Roman"/>
          <w:sz w:val="20"/>
        </w:rPr>
        <w:footnoteRef/>
      </w:r>
      <w:r>
        <w:rPr>
          <w:rFonts w:ascii="Times New Roman" w:hAnsi="Times New Roman"/>
          <w:sz w:val="20"/>
          <w:lang w:val="fr-BE"/>
        </w:rPr>
        <w:t xml:space="preserve"> Le projet pilote sur le libre accès aux données de la recherche d'Horizon 2020 couvre: les technologies futures et émergentes, les infrastructures de recherche, les technologies de l'information et de la communication, les thèmes liés à la nanosécurité et</w:t>
      </w:r>
      <w:r>
        <w:rPr>
          <w:rFonts w:ascii="Times New Roman" w:hAnsi="Times New Roman"/>
          <w:sz w:val="20"/>
          <w:lang w:val="fr-BE"/>
        </w:rPr>
        <w:t xml:space="preserve"> à la modélisation dans les nanotechnologies, les matériaux de pointe, les systèmes de fabrication et de transformation avancés et le programme de travail sur la biotechnologie, et des thèmes sélectionnés dans le cadre du pilier «défis de société», tels qu</w:t>
      </w:r>
      <w:r>
        <w:rPr>
          <w:rFonts w:ascii="Times New Roman" w:hAnsi="Times New Roman"/>
          <w:sz w:val="20"/>
          <w:lang w:val="fr-BE"/>
        </w:rPr>
        <w:t>e la sécurité alimentaire, l'agriculture et la sylviculture durables, la recherche marine, maritime et dans le domaine des eaux intérieures, ainsi que la bioéconomie; la lutte contre le changement climatique, l'environnement, l'utilisation efficace des res</w:t>
      </w:r>
      <w:r>
        <w:rPr>
          <w:rFonts w:ascii="Times New Roman" w:hAnsi="Times New Roman"/>
          <w:sz w:val="20"/>
          <w:lang w:val="fr-BE"/>
        </w:rPr>
        <w:t>sources et matières premières - à l’exception des matières premières; l’Europe dans un monde en évolution – des sociétés ouvertes à tous, innovantes et capables de réflexion; la science avec et pour la société ainsi que l'activité transversale et le domain</w:t>
      </w:r>
      <w:r>
        <w:rPr>
          <w:rFonts w:ascii="Times New Roman" w:hAnsi="Times New Roman"/>
          <w:sz w:val="20"/>
          <w:lang w:val="fr-BE"/>
        </w:rPr>
        <w:t>e d'intérêt «Villes intelligentes et durables». Il est à noter que les projets qui ne font pas partie de ces «domaines essentiels» peuvent encore y être intégrés sur une base volontaire.</w:t>
      </w:r>
    </w:p>
  </w:footnote>
  <w:footnote w:id="35">
    <w:p w:rsidR="005B5FD5" w:rsidRDefault="005F12DE">
      <w:pPr>
        <w:pStyle w:val="FootnoteText"/>
        <w:spacing w:after="0" w:line="240" w:lineRule="auto"/>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Les clauses de non-participation existantes, dans le cadre desquell</w:t>
      </w:r>
      <w:r>
        <w:rPr>
          <w:rFonts w:ascii="Times New Roman" w:hAnsi="Times New Roman"/>
          <w:lang w:val="fr-BE"/>
        </w:rPr>
        <w:t>es le libre accès aux données serait contraire à une application commerciale future ou à la protection des données privées et des données à caractère personnel, à la sécurité et à la protection des informations classifiées de l’UE, seront maintenues. L’ana</w:t>
      </w:r>
      <w:r>
        <w:rPr>
          <w:rFonts w:ascii="Times New Roman" w:hAnsi="Times New Roman"/>
          <w:lang w:val="fr-BE"/>
        </w:rPr>
        <w:t>lyse des projets pilotes a montré que la plupart de ces derniers appliquaient une politique d'ouverture des données, mais que les clauses de non-participation étaient également importantes.</w:t>
      </w:r>
    </w:p>
  </w:footnote>
  <w:footnote w:id="36">
    <w:p w:rsidR="005B5FD5" w:rsidRDefault="005F12DE">
      <w:pPr>
        <w:pStyle w:val="FootnoteText"/>
        <w:spacing w:after="4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C(2012) 4890 final.</w:t>
      </w:r>
    </w:p>
  </w:footnote>
  <w:footnote w:id="37">
    <w:p w:rsidR="005B5FD5" w:rsidRDefault="005F12DE">
      <w:pPr>
        <w:ind w:left="142" w:hanging="142"/>
        <w:jc w:val="both"/>
        <w:rPr>
          <w:rFonts w:ascii="Times New Roman" w:hAnsi="Times New Roman"/>
          <w:sz w:val="20"/>
          <w:szCs w:val="20"/>
          <w:lang w:val="fr-BE"/>
        </w:rPr>
      </w:pPr>
      <w:r>
        <w:rPr>
          <w:rStyle w:val="FootnoteReference"/>
          <w:rFonts w:ascii="Times New Roman" w:hAnsi="Times New Roman"/>
          <w:sz w:val="20"/>
        </w:rPr>
        <w:footnoteRef/>
      </w:r>
      <w:r>
        <w:rPr>
          <w:rFonts w:ascii="Times New Roman" w:hAnsi="Times New Roman"/>
          <w:sz w:val="20"/>
          <w:lang w:val="fr-BE"/>
        </w:rPr>
        <w:t xml:space="preserve"> ESFRI, INSPIRE, eIRG, GEANT, PRACE, ELIXIR</w:t>
      </w:r>
      <w:r>
        <w:rPr>
          <w:rFonts w:ascii="Times New Roman" w:hAnsi="Times New Roman"/>
          <w:sz w:val="20"/>
          <w:lang w:val="fr-BE"/>
        </w:rPr>
        <w:t>, le Forum Belmont et initiatives fédératrices analogues.</w:t>
      </w:r>
    </w:p>
  </w:footnote>
  <w:footnote w:id="38">
    <w:p w:rsidR="005B5FD5" w:rsidRDefault="005F12DE">
      <w:pPr>
        <w:pStyle w:val="FootnoteText"/>
        <w:spacing w:after="4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Les nouvelles initiatives de la Commission peuvent être financées au titre des Fonds structurels et d'investissement européens, à condition que les États membres conviennent de les financer et d’a</w:t>
      </w:r>
      <w:r>
        <w:rPr>
          <w:rFonts w:ascii="Times New Roman" w:hAnsi="Times New Roman"/>
          <w:lang w:val="fr-BE"/>
        </w:rPr>
        <w:t>dapter leurs programmes opérationnels en conséquence.</w:t>
      </w:r>
    </w:p>
  </w:footnote>
  <w:footnote w:id="39">
    <w:p w:rsidR="005B5FD5" w:rsidRDefault="005F12DE">
      <w:pPr>
        <w:pStyle w:val="FootnoteText"/>
        <w:spacing w:after="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Conclusions du Conseil (8970/15).</w:t>
      </w:r>
    </w:p>
  </w:footnote>
  <w:footnote w:id="40">
    <w:p w:rsidR="005B5FD5" w:rsidRDefault="005F12DE">
      <w:pPr>
        <w:pStyle w:val="FootnoteText"/>
        <w:spacing w:after="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Rapport du Parlement européen 2015/2147(INI).</w:t>
      </w:r>
    </w:p>
  </w:footnote>
  <w:footnote w:id="41">
    <w:p w:rsidR="005B5FD5" w:rsidRDefault="005F12DE">
      <w:pPr>
        <w:pStyle w:val="FootnoteText"/>
        <w:spacing w:after="0" w:line="240" w:lineRule="auto"/>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Tout en respectant pleinement les articles 7 et 8 de la Charte des droits fondamentaux de l’Union européenne et les </w:t>
      </w:r>
      <w:r>
        <w:rPr>
          <w:rFonts w:ascii="Times New Roman" w:hAnsi="Times New Roman"/>
          <w:lang w:val="fr-BE"/>
        </w:rPr>
        <w:t>dispositions actuelles et à venir sur l’utilisation des données à des fins de recherche, l’initiative peut développer, par exemple, des services de fouille de textes et de données respectueux des DPR, de contrôle d’accès pour différents usages, d’anonymisa</w:t>
      </w:r>
      <w:r>
        <w:rPr>
          <w:rFonts w:ascii="Times New Roman" w:hAnsi="Times New Roman"/>
          <w:lang w:val="fr-BE"/>
        </w:rPr>
        <w:t>tion irréversible de données sensibles avant la fusion de données et d'«espaces de données à caractère personnel» afin de préserver la vie privée et de stimuler le recours à des usages innovants, ou s'appuyer sur l’octroi de licences lisibles par machine e</w:t>
      </w:r>
      <w:r>
        <w:rPr>
          <w:rFonts w:ascii="Times New Roman" w:hAnsi="Times New Roman"/>
          <w:lang w:val="fr-BE"/>
        </w:rPr>
        <w:t>t des métadonnées liées à la vie privée jointes à des ensembles de données accessibles via l’informatique en nuage, et fournir des lignes directrices et des bonnes pratiques pour les processus organisationnels conformes soutenant l’initiative. Il s'agit ce</w:t>
      </w:r>
      <w:r>
        <w:rPr>
          <w:rFonts w:ascii="Times New Roman" w:hAnsi="Times New Roman"/>
          <w:lang w:val="fr-BE"/>
        </w:rPr>
        <w:t>rtes là d'outils et processus techniques, dès la conception et par défaut, mais ils peuvent contribuer à réduire l’apparition de mauvaises pratiques et la non-conformité avec les dispositions juridiques.</w:t>
      </w:r>
    </w:p>
  </w:footnote>
  <w:footnote w:id="42">
    <w:p w:rsidR="005B5FD5" w:rsidRDefault="005F12DE">
      <w:pPr>
        <w:pStyle w:val="FootnoteText"/>
        <w:spacing w:after="6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C(2012) 4890 final.</w:t>
      </w:r>
    </w:p>
  </w:footnote>
  <w:footnote w:id="43">
    <w:p w:rsidR="005B5FD5" w:rsidRDefault="005F12DE">
      <w:pPr>
        <w:pStyle w:val="FootnoteText"/>
        <w:spacing w:after="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Telles que recensées par le </w:t>
      </w:r>
      <w:r>
        <w:rPr>
          <w:rFonts w:ascii="Times New Roman" w:hAnsi="Times New Roman"/>
          <w:lang w:val="fr-BE"/>
        </w:rPr>
        <w:t>Forum stratégique européen pour les infrastructures de recherche (ESFRI) (http://bit.ly/1pfqOe7).</w:t>
      </w:r>
    </w:p>
  </w:footnote>
  <w:footnote w:id="44">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Notamment les services existants d'OpenAIRE, EUDAT, EGI, IndigoDataCloud, HelixNebula, PRACE et GÉANT.</w:t>
      </w:r>
    </w:p>
  </w:footnote>
  <w:footnote w:id="45">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Le «numérique par défaut» désigne les services et p</w:t>
      </w:r>
      <w:r>
        <w:rPr>
          <w:rFonts w:ascii="Times New Roman" w:hAnsi="Times New Roman"/>
          <w:lang w:val="fr-BE"/>
        </w:rPr>
        <w:t>rocessus qui sont rendus accessibles en ligne ou sous une forme numérique par défaut.</w:t>
      </w:r>
    </w:p>
  </w:footnote>
  <w:footnote w:id="46">
    <w:p w:rsidR="005B5FD5" w:rsidRDefault="005F12DE">
      <w:pPr>
        <w:pStyle w:val="FootnoteText"/>
        <w:spacing w:after="0" w:line="240" w:lineRule="auto"/>
        <w:ind w:left="142" w:hanging="142"/>
        <w:jc w:val="both"/>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COM(2012) 45 final.</w:t>
      </w:r>
    </w:p>
  </w:footnote>
  <w:footnote w:id="47">
    <w:p w:rsidR="005B5FD5" w:rsidRDefault="005F12DE">
      <w:pPr>
        <w:pStyle w:val="FootnoteText"/>
        <w:spacing w:after="0" w:line="240" w:lineRule="auto"/>
        <w:jc w:val="both"/>
        <w:rPr>
          <w:rFonts w:ascii="Times New Roman" w:hAnsi="Times New Roman"/>
          <w:lang w:val="pt-PT"/>
        </w:rPr>
      </w:pPr>
      <w:r>
        <w:rPr>
          <w:rFonts w:ascii="Times New Roman" w:hAnsi="Times New Roman"/>
          <w:vertAlign w:val="superscript"/>
          <w:lang w:val="pt-PT"/>
        </w:rPr>
        <w:t>47</w:t>
      </w:r>
      <w:r>
        <w:rPr>
          <w:rFonts w:ascii="Times New Roman" w:hAnsi="Times New Roman"/>
          <w:lang w:val="pt-PT"/>
        </w:rPr>
        <w:t xml:space="preserve"> http://bit.ly/1QxERan</w:t>
      </w:r>
    </w:p>
  </w:footnote>
  <w:footnote w:id="48">
    <w:p w:rsidR="005B5FD5" w:rsidRDefault="005F12DE">
      <w:pPr>
        <w:pStyle w:val="FootnoteText"/>
        <w:spacing w:after="0" w:line="240" w:lineRule="auto"/>
        <w:jc w:val="both"/>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http://bit.ly/1WZH8wF</w:t>
      </w:r>
    </w:p>
  </w:footnote>
  <w:footnote w:id="49">
    <w:p w:rsidR="005B5FD5" w:rsidRDefault="005F12DE">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http://www.ecsel-ju.eu</w:t>
      </w:r>
    </w:p>
  </w:footnote>
  <w:footnote w:id="50">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Des machines exascale économes en énergie auraient une incidence sur l’éventail complet des applications de calcul et procureraient à l'Europe des avantages techniques, économiques et sociaux. À l’heure actuelle, une seule machine exascale aurait besoin, </w:t>
      </w:r>
      <w:r>
        <w:rPr>
          <w:rFonts w:ascii="Times New Roman" w:hAnsi="Times New Roman"/>
          <w:lang w:val="fr-BE"/>
        </w:rPr>
        <w:t>pour fonctionner, d’une centrale électrique dédiée d'une puissance de 700 MW, ce qui suffirait pour alimenter en électricité 140 000 ménages pendant un an. Des puces de faible puissance sont donc nécessaires.</w:t>
      </w:r>
    </w:p>
  </w:footnote>
  <w:footnote w:id="51">
    <w:p w:rsidR="005B5FD5" w:rsidRDefault="005F12DE">
      <w:pPr>
        <w:pStyle w:val="FootnoteText"/>
        <w:spacing w:after="0" w:line="240" w:lineRule="auto"/>
        <w:ind w:left="142" w:hanging="142"/>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La conception conjointe est une approche de l</w:t>
      </w:r>
      <w:r>
        <w:rPr>
          <w:rFonts w:ascii="Times New Roman" w:hAnsi="Times New Roman"/>
          <w:lang w:val="fr-BE"/>
        </w:rPr>
        <w:t>a conception visant à impliquer activement les clients et utilisateurs dans le processus de conception de manière à faire en sorte que le résultat réponde à leurs besoins et soit utilisable.</w:t>
      </w:r>
    </w:p>
  </w:footnote>
  <w:footnote w:id="52">
    <w:p w:rsidR="005B5FD5" w:rsidRDefault="005F12DE">
      <w:pPr>
        <w:pStyle w:val="FootnoteText"/>
        <w:spacing w:after="0" w:line="240" w:lineRule="auto"/>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http://bit.ly/1pqny20</w:t>
      </w:r>
    </w:p>
  </w:footnote>
  <w:footnote w:id="53">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RDA-Europe a lancé l’interaction avec le groupe pluripartite sur la normalisation dans le domaine des TIC pour présenter la mise en œuvre des meilleures pratiques pour l’interopérabilité des infrastructures de données élaborées dans le cadre de l’alliance</w:t>
      </w:r>
      <w:r>
        <w:rPr>
          <w:rFonts w:ascii="Times New Roman" w:hAnsi="Times New Roman"/>
          <w:lang w:val="fr-BE"/>
        </w:rPr>
        <w:t xml:space="preserve"> des données de la recherche (Research Data Alliance).</w:t>
      </w:r>
    </w:p>
  </w:footnote>
  <w:footnote w:id="54">
    <w:p w:rsidR="005B5FD5" w:rsidRDefault="005F12DE">
      <w:pPr>
        <w:pStyle w:val="FootnoteText"/>
        <w:spacing w:after="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Notamment les spécifications relatives aux données et services géographiques interopérables (INSPIRE).</w:t>
      </w:r>
    </w:p>
  </w:footnote>
  <w:footnote w:id="55">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Sur la base des services existants d'OpenAIRE, EUDAT, EGI, IndigoDataCloud, HelixNebula, PRACE</w:t>
      </w:r>
      <w:r>
        <w:rPr>
          <w:rFonts w:ascii="Times New Roman" w:hAnsi="Times New Roman"/>
          <w:lang w:val="fr-BE"/>
        </w:rPr>
        <w:t xml:space="preserve"> et GÉANT.</w:t>
      </w:r>
    </w:p>
  </w:footnote>
  <w:footnote w:id="56">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Hébergé par exemple par le CCR pour les données pluridisciplinaires mais axé sur les données géographiques d'INSPIRE/GEOSS/Copernicus.</w:t>
      </w:r>
    </w:p>
  </w:footnote>
  <w:footnote w:id="57">
    <w:p w:rsidR="005B5FD5" w:rsidRDefault="005F12DE">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https://goo.gl/zBVi8N</w:t>
      </w:r>
    </w:p>
  </w:footnote>
  <w:footnote w:id="58">
    <w:p w:rsidR="005B5FD5" w:rsidRDefault="005F12DE">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SWD(2016) 107</w:t>
      </w:r>
    </w:p>
  </w:footnote>
  <w:footnote w:id="59">
    <w:p w:rsidR="005B5FD5" w:rsidRDefault="005F12DE">
      <w:pPr>
        <w:pStyle w:val="FootnoteText"/>
        <w:spacing w:after="0" w:line="240" w:lineRule="auto"/>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L’analyse d’impact s'inscrira dans le cadre du processus d'élabora</w:t>
      </w:r>
      <w:r>
        <w:rPr>
          <w:rFonts w:ascii="Times New Roman" w:hAnsi="Times New Roman"/>
          <w:lang w:val="fr-BE"/>
        </w:rPr>
        <w:t>tion des programmes de financement concernés dans la perspective financière d'après 2020. Toute mesure de mise en œuvre supplémentaire susceptible d’avoir une incidence importante peut nécessiter des analyses d’impact distinctes et individuelles.</w:t>
      </w:r>
    </w:p>
  </w:footnote>
  <w:footnote w:id="60">
    <w:p w:rsidR="005B5FD5" w:rsidRDefault="005F12DE">
      <w:pPr>
        <w:pStyle w:val="FootnoteText"/>
        <w:spacing w:after="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SWD(201</w:t>
      </w:r>
      <w:r>
        <w:rPr>
          <w:rFonts w:ascii="Times New Roman" w:hAnsi="Times New Roman"/>
          <w:lang w:val="fr-BE"/>
        </w:rPr>
        <w:t>6) 107</w:t>
      </w:r>
    </w:p>
  </w:footnote>
  <w:footnote w:id="61">
    <w:p w:rsidR="005B5FD5" w:rsidRDefault="005F12DE">
      <w:pPr>
        <w:pStyle w:val="FootnoteText"/>
        <w:spacing w:after="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Initiatives-phares FET décrites dans les documents de référence Horizon 2020.</w:t>
      </w:r>
    </w:p>
  </w:footnote>
  <w:footnote w:id="62">
    <w:p w:rsidR="005B5FD5" w:rsidRDefault="005F12DE">
      <w:pPr>
        <w:pStyle w:val="FootnoteText"/>
        <w:spacing w:after="0" w:line="240" w:lineRule="auto"/>
        <w:ind w:left="142" w:hanging="142"/>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SMART 2013/0043: les organismes du secteur public sont distancés par le secteur privé, avec une différence de 10 %, en 2013, dans l’utilisation des services d’informat</w:t>
      </w:r>
      <w:r>
        <w:rPr>
          <w:rFonts w:ascii="Times New Roman" w:hAnsi="Times New Roman"/>
          <w:lang w:val="fr-BE"/>
        </w:rPr>
        <w:t>ique en nuage.</w:t>
      </w:r>
    </w:p>
  </w:footnote>
  <w:footnote w:id="63">
    <w:p w:rsidR="005B5FD5" w:rsidRDefault="005F12DE">
      <w:pPr>
        <w:pStyle w:val="FootnoteText"/>
        <w:spacing w:after="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Plan d’action 2016-2020 de l'UE en matière d’administration en ligne: accélérer la transformation numérique du secteur public.</w:t>
      </w:r>
    </w:p>
  </w:footnote>
  <w:footnote w:id="64">
    <w:p w:rsidR="005B5FD5" w:rsidRDefault="005F12DE">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 (2013) 48</w:t>
      </w:r>
    </w:p>
  </w:footnote>
  <w:footnote w:id="65">
    <w:p w:rsidR="005B5FD5" w:rsidRPr="005F12DE" w:rsidRDefault="005F12DE">
      <w:pPr>
        <w:pStyle w:val="FootnoteText"/>
        <w:spacing w:after="0" w:line="240" w:lineRule="auto"/>
        <w:rPr>
          <w:rFonts w:ascii="Times New Roman" w:hAnsi="Times New Roman"/>
          <w:lang w:val="pt-PT"/>
        </w:rPr>
      </w:pPr>
      <w:r>
        <w:rPr>
          <w:rStyle w:val="FootnoteReference"/>
          <w:rFonts w:ascii="Times New Roman" w:hAnsi="Times New Roman"/>
        </w:rPr>
        <w:footnoteRef/>
      </w:r>
      <w:r w:rsidRPr="005F12DE">
        <w:rPr>
          <w:rFonts w:ascii="Times New Roman" w:hAnsi="Times New Roman"/>
          <w:lang w:val="pt-PT"/>
        </w:rPr>
        <w:t xml:space="preserve"> COM(2016) 176</w:t>
      </w:r>
    </w:p>
  </w:footnote>
  <w:footnote w:id="66">
    <w:p w:rsidR="005B5FD5" w:rsidRPr="005F12DE" w:rsidRDefault="005F12DE">
      <w:pPr>
        <w:pStyle w:val="FootnoteText"/>
        <w:spacing w:after="0" w:line="240" w:lineRule="auto"/>
        <w:rPr>
          <w:rFonts w:ascii="Times New Roman" w:hAnsi="Times New Roman"/>
          <w:lang w:val="pt-PT"/>
        </w:rPr>
      </w:pPr>
      <w:r>
        <w:rPr>
          <w:rStyle w:val="FootnoteReference"/>
          <w:rFonts w:ascii="Times New Roman" w:hAnsi="Times New Roman"/>
        </w:rPr>
        <w:footnoteRef/>
      </w:r>
      <w:r w:rsidRPr="005F12DE">
        <w:rPr>
          <w:rFonts w:ascii="Times New Roman" w:hAnsi="Times New Roman"/>
          <w:lang w:val="pt-PT"/>
        </w:rPr>
        <w:t xml:space="preserve"> Règlement (CE) n° 765/2008</w:t>
      </w:r>
    </w:p>
  </w:footnote>
  <w:footnote w:id="67">
    <w:p w:rsidR="005B5FD5" w:rsidRPr="005F12DE" w:rsidRDefault="005F12DE">
      <w:pPr>
        <w:pStyle w:val="FootnoteText"/>
        <w:spacing w:after="0" w:line="240" w:lineRule="auto"/>
        <w:rPr>
          <w:rFonts w:ascii="Times New Roman" w:hAnsi="Times New Roman"/>
          <w:lang w:val="pt-PT"/>
        </w:rPr>
      </w:pPr>
      <w:r>
        <w:rPr>
          <w:rStyle w:val="FootnoteReference"/>
          <w:rFonts w:ascii="Times New Roman" w:hAnsi="Times New Roman"/>
        </w:rPr>
        <w:footnoteRef/>
      </w:r>
      <w:r w:rsidRPr="005F12DE">
        <w:rPr>
          <w:rFonts w:ascii="Times New Roman" w:hAnsi="Times New Roman"/>
          <w:lang w:val="pt-PT"/>
        </w:rPr>
        <w:t xml:space="preserve"> https://resilience.enisa.europa.eu/cloud-computin</w:t>
      </w:r>
      <w:r w:rsidRPr="005F12DE">
        <w:rPr>
          <w:rFonts w:ascii="Times New Roman" w:hAnsi="Times New Roman"/>
          <w:lang w:val="pt-PT"/>
        </w:rPr>
        <w:t>g-certification</w:t>
      </w:r>
    </w:p>
  </w:footnote>
  <w:footnote w:id="68">
    <w:p w:rsidR="005B5FD5" w:rsidRDefault="005F12DE">
      <w:pPr>
        <w:pStyle w:val="FootnoteText"/>
        <w:spacing w:after="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SWD(2016) 106</w:t>
      </w:r>
    </w:p>
  </w:footnote>
  <w:footnote w:id="69">
    <w:p w:rsidR="005B5FD5" w:rsidRDefault="005F12DE">
      <w:pPr>
        <w:pStyle w:val="FootnoteText"/>
        <w:spacing w:after="0" w:line="240" w:lineRule="auto"/>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Les services de conseil de la BEI au titre de la plateforme européenne de conseil en investissement seront également mis à contribution.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B5F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B5FD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B5FD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B5FD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B5FD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5" w:rsidRDefault="005B5F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CE6C1FC"/>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E84060A4"/>
    <w:lvl w:ilvl="0" w:tplc="5C8CF8B0">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3"/>
    <w:multiLevelType w:val="hybridMultilevel"/>
    <w:tmpl w:val="A74A4AE8"/>
    <w:lvl w:ilvl="0" w:tplc="5C8CF8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4"/>
    <w:multiLevelType w:val="hybridMultilevel"/>
    <w:tmpl w:val="428A2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0000005"/>
    <w:multiLevelType w:val="hybridMultilevel"/>
    <w:tmpl w:val="13FC2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0000006"/>
    <w:multiLevelType w:val="hybridMultilevel"/>
    <w:tmpl w:val="FBE65C8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D07807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0000008"/>
    <w:multiLevelType w:val="hybridMultilevel"/>
    <w:tmpl w:val="270EC5BA"/>
    <w:lvl w:ilvl="0" w:tplc="149280E0">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00000009"/>
    <w:multiLevelType w:val="hybridMultilevel"/>
    <w:tmpl w:val="FA505B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0000000A"/>
    <w:multiLevelType w:val="hybridMultilevel"/>
    <w:tmpl w:val="703E9A14"/>
    <w:lvl w:ilvl="0" w:tplc="CE2270C4">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000000B"/>
    <w:multiLevelType w:val="hybridMultilevel"/>
    <w:tmpl w:val="DBCE1A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DC962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D0E0B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000000E"/>
    <w:multiLevelType w:val="hybridMultilevel"/>
    <w:tmpl w:val="C50C1A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000000F"/>
    <w:multiLevelType w:val="hybridMultilevel"/>
    <w:tmpl w:val="7CB818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0000010"/>
    <w:multiLevelType w:val="hybridMultilevel"/>
    <w:tmpl w:val="9C16616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93E433F0"/>
    <w:lvl w:ilvl="0" w:tplc="5C8CF8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00000012"/>
    <w:multiLevelType w:val="hybridMultilevel"/>
    <w:tmpl w:val="AABA1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693C80EA"/>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9">
    <w:nsid w:val="00000014"/>
    <w:multiLevelType w:val="hybridMultilevel"/>
    <w:tmpl w:val="0700092E"/>
    <w:lvl w:ilvl="0" w:tplc="1B7CEC52">
      <w:start w:val="2"/>
      <w:numFmt w:val="decimal"/>
      <w:lvlText w:val="%1."/>
      <w:lvlJc w:val="left"/>
      <w:pPr>
        <w:ind w:left="720" w:hanging="360"/>
      </w:pPr>
      <w:rPr>
        <w:rFonts w:hint="default"/>
      </w:rPr>
    </w:lvl>
    <w:lvl w:ilvl="1" w:tplc="64E65552">
      <w:start w:val="1"/>
      <w:numFmt w:val="bullet"/>
      <w:lvlText w:val="-"/>
      <w:lvlJc w:val="left"/>
      <w:pPr>
        <w:ind w:left="1440" w:hanging="360"/>
      </w:pPr>
      <w:rPr>
        <w:rFonts w:ascii="Calibri" w:eastAsiaTheme="minorHAnsi"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00000015"/>
    <w:multiLevelType w:val="hybridMultilevel"/>
    <w:tmpl w:val="FB489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14B24118"/>
    <w:lvl w:ilvl="0" w:tplc="08090001">
      <w:start w:val="1"/>
      <w:numFmt w:val="bullet"/>
      <w:lvlText w:val=""/>
      <w:lvlJc w:val="left"/>
      <w:pPr>
        <w:ind w:left="360" w:hanging="360"/>
      </w:pPr>
      <w:rPr>
        <w:rFonts w:ascii="Symbol" w:hAnsi="Symbol" w:hint="default"/>
      </w:rPr>
    </w:lvl>
    <w:lvl w:ilvl="1" w:tplc="64E65552">
      <w:start w:val="1"/>
      <w:numFmt w:val="bullet"/>
      <w:lvlText w:val="-"/>
      <w:lvlJc w:val="left"/>
      <w:pPr>
        <w:ind w:left="1080" w:hanging="360"/>
      </w:pPr>
      <w:rPr>
        <w:rFonts w:ascii="Calibri" w:eastAsiaTheme="minorHAnsi" w:hAnsi="Calibri"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00000017"/>
    <w:multiLevelType w:val="hybridMultilevel"/>
    <w:tmpl w:val="CAF6C1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00000018"/>
    <w:multiLevelType w:val="hybridMultilevel"/>
    <w:tmpl w:val="211E0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00000019"/>
    <w:multiLevelType w:val="hybridMultilevel"/>
    <w:tmpl w:val="56EE4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0000001A"/>
    <w:multiLevelType w:val="hybridMultilevel"/>
    <w:tmpl w:val="D428B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2A22D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0D7464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0000001D"/>
    <w:multiLevelType w:val="hybridMultilevel"/>
    <w:tmpl w:val="472824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0000001E"/>
    <w:multiLevelType w:val="hybridMultilevel"/>
    <w:tmpl w:val="7974DB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01346370"/>
    <w:multiLevelType w:val="multilevel"/>
    <w:tmpl w:val="37C0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0AD23A3A"/>
    <w:multiLevelType w:val="hybridMultilevel"/>
    <w:tmpl w:val="F300D2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0E5E6073"/>
    <w:multiLevelType w:val="hybridMultilevel"/>
    <w:tmpl w:val="D5049680"/>
    <w:lvl w:ilvl="0" w:tplc="61AC71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166E2232"/>
    <w:multiLevelType w:val="hybridMultilevel"/>
    <w:tmpl w:val="2D5A5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17583CFB"/>
    <w:multiLevelType w:val="hybridMultilevel"/>
    <w:tmpl w:val="4A6A3C1E"/>
    <w:lvl w:ilvl="0" w:tplc="696A77E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1A1B4001"/>
    <w:multiLevelType w:val="hybridMultilevel"/>
    <w:tmpl w:val="2E10A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21F61393"/>
    <w:multiLevelType w:val="hybridMultilevel"/>
    <w:tmpl w:val="4A923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271E5F62"/>
    <w:multiLevelType w:val="hybridMultilevel"/>
    <w:tmpl w:val="183CF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27C97AA5"/>
    <w:multiLevelType w:val="hybridMultilevel"/>
    <w:tmpl w:val="D0E0B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289D3793"/>
    <w:multiLevelType w:val="hybridMultilevel"/>
    <w:tmpl w:val="7C4A8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2A1220DE"/>
    <w:multiLevelType w:val="hybridMultilevel"/>
    <w:tmpl w:val="1AC69A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2B800FFF"/>
    <w:multiLevelType w:val="hybridMultilevel"/>
    <w:tmpl w:val="A15CC720"/>
    <w:lvl w:ilvl="0" w:tplc="61AC7172">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2">
    <w:nsid w:val="2CDC4050"/>
    <w:multiLevelType w:val="hybridMultilevel"/>
    <w:tmpl w:val="1B2EF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4">
    <w:nsid w:val="35BA4EF8"/>
    <w:multiLevelType w:val="hybridMultilevel"/>
    <w:tmpl w:val="ACB2DDDA"/>
    <w:lvl w:ilvl="0" w:tplc="A94A0FE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3953606B"/>
    <w:multiLevelType w:val="hybridMultilevel"/>
    <w:tmpl w:val="843E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39CB68B0"/>
    <w:multiLevelType w:val="hybridMultilevel"/>
    <w:tmpl w:val="8FB46B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3A4778DE"/>
    <w:multiLevelType w:val="hybridMultilevel"/>
    <w:tmpl w:val="3F6C5CA4"/>
    <w:lvl w:ilvl="0" w:tplc="61AC71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497D0821"/>
    <w:multiLevelType w:val="hybridMultilevel"/>
    <w:tmpl w:val="FBB03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4B2B027D"/>
    <w:multiLevelType w:val="hybridMultilevel"/>
    <w:tmpl w:val="4C140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528451E2"/>
    <w:multiLevelType w:val="hybridMultilevel"/>
    <w:tmpl w:val="069E3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5B8C60B9"/>
    <w:multiLevelType w:val="hybridMultilevel"/>
    <w:tmpl w:val="888CFF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5E3D1925"/>
    <w:multiLevelType w:val="hybridMultilevel"/>
    <w:tmpl w:val="A1DE6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16534BA"/>
    <w:multiLevelType w:val="hybridMultilevel"/>
    <w:tmpl w:val="5FFCDE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686F4A4A"/>
    <w:multiLevelType w:val="hybridMultilevel"/>
    <w:tmpl w:val="6E7E6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6AB144DF"/>
    <w:multiLevelType w:val="hybridMultilevel"/>
    <w:tmpl w:val="C2F029A2"/>
    <w:lvl w:ilvl="0" w:tplc="61AC7172">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6B1262E3"/>
    <w:multiLevelType w:val="hybridMultilevel"/>
    <w:tmpl w:val="68B45AD4"/>
    <w:lvl w:ilvl="0" w:tplc="08090011">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nsid w:val="6B4B619B"/>
    <w:multiLevelType w:val="hybridMultilevel"/>
    <w:tmpl w:val="078A78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nsid w:val="6B8E76DF"/>
    <w:multiLevelType w:val="hybridMultilevel"/>
    <w:tmpl w:val="852C65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nsid w:val="6D227628"/>
    <w:multiLevelType w:val="hybridMultilevel"/>
    <w:tmpl w:val="6CBA9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6E4F1415"/>
    <w:multiLevelType w:val="hybridMultilevel"/>
    <w:tmpl w:val="501A5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707878AE"/>
    <w:multiLevelType w:val="hybridMultilevel"/>
    <w:tmpl w:val="888CFF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
    <w:nsid w:val="7EFB4566"/>
    <w:multiLevelType w:val="hybridMultilevel"/>
    <w:tmpl w:val="31E6C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6"/>
  </w:num>
  <w:num w:numId="6">
    <w:abstractNumId w:val="7"/>
  </w:num>
  <w:num w:numId="7">
    <w:abstractNumId w:val="51"/>
  </w:num>
  <w:num w:numId="8">
    <w:abstractNumId w:val="19"/>
  </w:num>
  <w:num w:numId="9">
    <w:abstractNumId w:val="21"/>
  </w:num>
  <w:num w:numId="10">
    <w:abstractNumId w:val="3"/>
  </w:num>
  <w:num w:numId="11">
    <w:abstractNumId w:val="1"/>
  </w:num>
  <w:num w:numId="12">
    <w:abstractNumId w:val="16"/>
  </w:num>
  <w:num w:numId="13">
    <w:abstractNumId w:val="2"/>
  </w:num>
  <w:num w:numId="14">
    <w:abstractNumId w:val="4"/>
  </w:num>
  <w:num w:numId="15">
    <w:abstractNumId w:val="6"/>
  </w:num>
  <w:num w:numId="16">
    <w:abstractNumId w:val="27"/>
  </w:num>
  <w:num w:numId="17">
    <w:abstractNumId w:val="23"/>
  </w:num>
  <w:num w:numId="18">
    <w:abstractNumId w:val="28"/>
  </w:num>
  <w:num w:numId="19">
    <w:abstractNumId w:val="29"/>
  </w:num>
  <w:num w:numId="20">
    <w:abstractNumId w:val="17"/>
  </w:num>
  <w:num w:numId="21">
    <w:abstractNumId w:val="11"/>
  </w:num>
  <w:num w:numId="22">
    <w:abstractNumId w:val="12"/>
  </w:num>
  <w:num w:numId="23">
    <w:abstractNumId w:val="18"/>
  </w:num>
  <w:num w:numId="24">
    <w:abstractNumId w:val="20"/>
  </w:num>
  <w:num w:numId="25">
    <w:abstractNumId w:val="24"/>
  </w:num>
  <w:num w:numId="26">
    <w:abstractNumId w:val="5"/>
  </w:num>
  <w:num w:numId="27">
    <w:abstractNumId w:val="25"/>
  </w:num>
  <w:num w:numId="28">
    <w:abstractNumId w:val="13"/>
  </w:num>
  <w:num w:numId="29">
    <w:abstractNumId w:val="14"/>
  </w:num>
  <w:num w:numId="30">
    <w:abstractNumId w:val="0"/>
  </w:num>
  <w:num w:numId="31">
    <w:abstractNumId w:val="15"/>
  </w:num>
  <w:num w:numId="32">
    <w:abstractNumId w:val="22"/>
  </w:num>
  <w:num w:numId="33">
    <w:abstractNumId w:val="61"/>
  </w:num>
  <w:num w:numId="34">
    <w:abstractNumId w:val="50"/>
  </w:num>
  <w:num w:numId="35">
    <w:abstractNumId w:val="9"/>
    <w:lvlOverride w:ilvl="0">
      <w:startOverride w:val="1"/>
    </w:lvlOverride>
  </w:num>
  <w:num w:numId="36">
    <w:abstractNumId w:val="9"/>
    <w:lvlOverride w:ilvl="0">
      <w:startOverride w:val="1"/>
    </w:lvlOverride>
  </w:num>
  <w:num w:numId="37">
    <w:abstractNumId w:val="9"/>
    <w:lvlOverride w:ilvl="0">
      <w:startOverride w:val="1"/>
    </w:lvlOverride>
  </w:num>
  <w:num w:numId="38">
    <w:abstractNumId w:val="40"/>
  </w:num>
  <w:num w:numId="39">
    <w:abstractNumId w:val="9"/>
  </w:num>
  <w:num w:numId="40">
    <w:abstractNumId w:val="9"/>
    <w:lvlOverride w:ilvl="0">
      <w:startOverride w:val="1"/>
    </w:lvlOverride>
  </w:num>
  <w:num w:numId="41">
    <w:abstractNumId w:val="9"/>
  </w:num>
  <w:num w:numId="42">
    <w:abstractNumId w:val="35"/>
  </w:num>
  <w:num w:numId="43">
    <w:abstractNumId w:val="48"/>
  </w:num>
  <w:num w:numId="44">
    <w:abstractNumId w:val="38"/>
  </w:num>
  <w:num w:numId="45">
    <w:abstractNumId w:val="9"/>
    <w:lvlOverride w:ilvl="0">
      <w:startOverride w:val="1"/>
    </w:lvlOverride>
  </w:num>
  <w:num w:numId="46">
    <w:abstractNumId w:val="9"/>
  </w:num>
  <w:num w:numId="47">
    <w:abstractNumId w:val="9"/>
  </w:num>
  <w:num w:numId="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num>
  <w:num w:numId="50">
    <w:abstractNumId w:val="37"/>
  </w:num>
  <w:num w:numId="51">
    <w:abstractNumId w:val="33"/>
  </w:num>
  <w:num w:numId="52">
    <w:abstractNumId w:val="36"/>
  </w:num>
  <w:num w:numId="53">
    <w:abstractNumId w:val="49"/>
  </w:num>
  <w:num w:numId="54">
    <w:abstractNumId w:val="9"/>
  </w:num>
  <w:num w:numId="55">
    <w:abstractNumId w:val="9"/>
  </w:num>
  <w:num w:numId="56">
    <w:abstractNumId w:val="9"/>
  </w:num>
  <w:num w:numId="57">
    <w:abstractNumId w:val="57"/>
  </w:num>
  <w:num w:numId="58">
    <w:abstractNumId w:val="9"/>
  </w:num>
  <w:num w:numId="59">
    <w:abstractNumId w:val="9"/>
  </w:num>
  <w:num w:numId="60">
    <w:abstractNumId w:val="9"/>
  </w:num>
  <w:num w:numId="61">
    <w:abstractNumId w:val="56"/>
  </w:num>
  <w:num w:numId="62">
    <w:abstractNumId w:val="42"/>
  </w:num>
  <w:num w:numId="63">
    <w:abstractNumId w:val="46"/>
  </w:num>
  <w:num w:numId="64">
    <w:abstractNumId w:val="53"/>
  </w:num>
  <w:num w:numId="65">
    <w:abstractNumId w:val="34"/>
  </w:num>
  <w:num w:numId="66">
    <w:abstractNumId w:val="32"/>
  </w:num>
  <w:num w:numId="67">
    <w:abstractNumId w:val="59"/>
  </w:num>
  <w:num w:numId="68">
    <w:abstractNumId w:val="62"/>
  </w:num>
  <w:num w:numId="69">
    <w:abstractNumId w:val="60"/>
  </w:num>
  <w:num w:numId="70">
    <w:abstractNumId w:val="54"/>
  </w:num>
  <w:num w:numId="71">
    <w:abstractNumId w:val="9"/>
  </w:num>
  <w:num w:numId="72">
    <w:abstractNumId w:val="9"/>
  </w:num>
  <w:num w:numId="73">
    <w:abstractNumId w:val="58"/>
  </w:num>
  <w:num w:numId="74">
    <w:abstractNumId w:val="45"/>
  </w:num>
  <w:num w:numId="75">
    <w:abstractNumId w:val="31"/>
  </w:num>
  <w:num w:numId="76">
    <w:abstractNumId w:val="55"/>
  </w:num>
  <w:num w:numId="77">
    <w:abstractNumId w:val="47"/>
  </w:num>
  <w:num w:numId="78">
    <w:abstractNumId w:val="44"/>
  </w:num>
  <w:num w:numId="79">
    <w:abstractNumId w:val="41"/>
  </w:num>
  <w:num w:numId="80">
    <w:abstractNumId w:val="52"/>
  </w:num>
  <w:num w:numId="81">
    <w:abstractNumId w:val="3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BBDAFCC4AC340EA92F63566F2072ADD"/>
    <w:docVar w:name="LW_CROSSREFERENCE" w:val="{SWD(2016) 106 final}_x000b_{SWD(2016) 107 final}"/>
    <w:docVar w:name="LW_DocType" w:val="NORMAL"/>
    <w:docVar w:name="LW_EMISSION" w:val="19.4.2016"/>
    <w:docVar w:name="LW_EMISSION_ISODATE" w:val="2016-04-19"/>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178"/>
    <w:docVar w:name="LW_REF.INTERNE" w:val="&lt;UNUSED&gt;"/>
    <w:docVar w:name="LW_SOUS.TITRE.OBJ.CP" w:val="&lt;UNUSED&gt;"/>
    <w:docVar w:name="LW_SUPERTITRE" w:val="&lt;UNUSED&gt;"/>
    <w:docVar w:name="LW_TITRE.OBJ.CP" w:val="Initiative européenne sur l\u8217?informatique en nuage - Bâtir une économie compétitive des données et de la connaissance en Europe"/>
    <w:docVar w:name="LW_TYPE.DOC.CP" w:val="COMMUNICATION DE LA COMMISSION AU PARLEMENT EUROPÉEN, AU CONSEIL, AU COMITÉ ÉCONOMIQUE ET SOCIAL EUROPÉEN ET AU COMITÉ DES RÉGIONS"/>
    <w:docVar w:name="LW_TYPE.DOC.CP.USERTEXT" w:val="&lt;EMPTY&gt;"/>
  </w:docVars>
  <w:rsids>
    <w:rsidRoot w:val="005B5FD5"/>
    <w:rsid w:val="005B5FD5"/>
    <w:rsid w:val="005F12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hAnsi="Calibri" w:cs="Times New Roman"/>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pPr>
      <w:keepNext/>
      <w:keepLines/>
      <w:numPr>
        <w:numId w:val="1"/>
      </w:numPr>
      <w:spacing w:before="200" w:line="276" w:lineRule="auto"/>
      <w:outlineLvl w:val="1"/>
    </w:pPr>
    <w:rPr>
      <w:rFonts w:asciiTheme="majorHAnsi" w:eastAsia="Times New Roman" w:hAnsiTheme="majorHAnsi"/>
      <w:b/>
      <w:bCs/>
      <w:color w:val="4F81BD"/>
      <w:sz w:val="28"/>
      <w:szCs w:val="28"/>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uiPriority w:val="34"/>
    <w:qFormat/>
    <w:pPr>
      <w:ind w:left="720"/>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sz w:val="28"/>
      <w:szCs w:val="28"/>
    </w:r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2Char">
    <w:name w:val="Heading 2 Char"/>
    <w:basedOn w:val="DefaultParagraphFont"/>
    <w:link w:val="Heading2"/>
    <w:uiPriority w:val="9"/>
    <w:rPr>
      <w:rFonts w:asciiTheme="majorHAnsi" w:eastAsia="Times New Roman" w:hAnsiTheme="majorHAnsi" w:cs="Times New Roman"/>
      <w:b/>
      <w:bCs/>
      <w:color w:val="4F81BD"/>
      <w:sz w:val="28"/>
      <w:szCs w:val="28"/>
    </w:rPr>
  </w:style>
  <w:style w:type="paragraph" w:styleId="TOC2">
    <w:name w:val="toc 2"/>
    <w:basedOn w:val="Normal"/>
    <w:next w:val="Normal"/>
    <w:uiPriority w:val="39"/>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
    <w:basedOn w:val="DefaultParagraphFont"/>
    <w:link w:val="FootnoteText"/>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qFormat/>
    <w:rPr>
      <w:vertAlign w:val="superscript"/>
    </w:rPr>
  </w:style>
  <w:style w:type="paragraph" w:customStyle="1" w:styleId="FootnotesymbolCarZchn">
    <w:name w:val="Footnote symbol Car Zchn"/>
    <w:basedOn w:val="Normal"/>
    <w:link w:val="FootnoteReference"/>
    <w:uiPriority w:val="99"/>
    <w:pPr>
      <w:spacing w:after="160" w:line="240" w:lineRule="exact"/>
      <w:jc w:val="both"/>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ind w:left="-850" w:right="-850"/>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jc w:val="both"/>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48"/>
      </w:numPr>
      <w:spacing w:before="120" w:after="120"/>
      <w:jc w:val="both"/>
    </w:pPr>
    <w:rPr>
      <w:rFonts w:ascii="Times New Roman" w:eastAsia="Times New Roman" w:hAnsi="Times New Roman"/>
      <w:sz w:val="24"/>
      <w:szCs w:val="24"/>
    </w:rPr>
  </w:style>
  <w:style w:type="paragraph" w:customStyle="1" w:styleId="Point1number">
    <w:name w:val="Point 1 (number)"/>
    <w:basedOn w:val="Normal"/>
    <w:pPr>
      <w:numPr>
        <w:ilvl w:val="2"/>
        <w:numId w:val="48"/>
      </w:numPr>
      <w:spacing w:before="120" w:after="120"/>
      <w:jc w:val="both"/>
    </w:pPr>
    <w:rPr>
      <w:rFonts w:ascii="Times New Roman" w:eastAsia="Times New Roman" w:hAnsi="Times New Roman"/>
      <w:sz w:val="24"/>
      <w:szCs w:val="24"/>
    </w:rPr>
  </w:style>
  <w:style w:type="paragraph" w:customStyle="1" w:styleId="Point2number">
    <w:name w:val="Point 2 (number)"/>
    <w:basedOn w:val="Normal"/>
    <w:pPr>
      <w:numPr>
        <w:ilvl w:val="4"/>
        <w:numId w:val="48"/>
      </w:numPr>
      <w:spacing w:before="120" w:after="120"/>
      <w:jc w:val="both"/>
    </w:pPr>
    <w:rPr>
      <w:rFonts w:ascii="Times New Roman" w:eastAsia="Times New Roman" w:hAnsi="Times New Roman"/>
      <w:sz w:val="24"/>
      <w:szCs w:val="24"/>
    </w:rPr>
  </w:style>
  <w:style w:type="paragraph" w:customStyle="1" w:styleId="Point3number">
    <w:name w:val="Point 3 (number)"/>
    <w:basedOn w:val="Normal"/>
    <w:pPr>
      <w:numPr>
        <w:ilvl w:val="6"/>
        <w:numId w:val="48"/>
      </w:numPr>
      <w:spacing w:before="120" w:after="120"/>
      <w:jc w:val="both"/>
    </w:pPr>
    <w:rPr>
      <w:rFonts w:ascii="Times New Roman" w:eastAsia="Times New Roman" w:hAnsi="Times New Roman"/>
      <w:sz w:val="24"/>
      <w:szCs w:val="24"/>
    </w:rPr>
  </w:style>
  <w:style w:type="paragraph" w:customStyle="1" w:styleId="Point0letter">
    <w:name w:val="Point 0 (letter)"/>
    <w:basedOn w:val="Normal"/>
    <w:pPr>
      <w:numPr>
        <w:ilvl w:val="1"/>
        <w:numId w:val="48"/>
      </w:numPr>
      <w:spacing w:before="120" w:after="120"/>
      <w:jc w:val="both"/>
    </w:pPr>
    <w:rPr>
      <w:rFonts w:ascii="Times New Roman" w:eastAsia="Times New Roman" w:hAnsi="Times New Roman"/>
      <w:sz w:val="24"/>
      <w:szCs w:val="24"/>
    </w:rPr>
  </w:style>
  <w:style w:type="paragraph" w:customStyle="1" w:styleId="Point1letter">
    <w:name w:val="Point 1 (letter)"/>
    <w:basedOn w:val="Normal"/>
    <w:pPr>
      <w:numPr>
        <w:ilvl w:val="3"/>
        <w:numId w:val="48"/>
      </w:numPr>
      <w:spacing w:before="120" w:after="120"/>
      <w:jc w:val="both"/>
    </w:pPr>
    <w:rPr>
      <w:rFonts w:ascii="Times New Roman" w:eastAsia="Times New Roman" w:hAnsi="Times New Roman"/>
      <w:sz w:val="24"/>
      <w:szCs w:val="24"/>
    </w:rPr>
  </w:style>
  <w:style w:type="paragraph" w:customStyle="1" w:styleId="Point2letter">
    <w:name w:val="Point 2 (letter)"/>
    <w:basedOn w:val="Normal"/>
    <w:pPr>
      <w:numPr>
        <w:ilvl w:val="5"/>
        <w:numId w:val="48"/>
      </w:numPr>
      <w:spacing w:before="120" w:after="120"/>
      <w:jc w:val="both"/>
    </w:pPr>
    <w:rPr>
      <w:rFonts w:ascii="Times New Roman" w:eastAsia="Times New Roman" w:hAnsi="Times New Roman"/>
      <w:sz w:val="24"/>
      <w:szCs w:val="24"/>
    </w:rPr>
  </w:style>
  <w:style w:type="paragraph" w:customStyle="1" w:styleId="Point3letter">
    <w:name w:val="Point 3 (letter)"/>
    <w:basedOn w:val="Normal"/>
    <w:pPr>
      <w:numPr>
        <w:ilvl w:val="7"/>
        <w:numId w:val="48"/>
      </w:numPr>
      <w:spacing w:before="120" w:after="120"/>
      <w:jc w:val="both"/>
    </w:pPr>
    <w:rPr>
      <w:rFonts w:ascii="Times New Roman" w:eastAsia="Times New Roman" w:hAnsi="Times New Roman"/>
      <w:sz w:val="24"/>
      <w:szCs w:val="24"/>
    </w:rPr>
  </w:style>
  <w:style w:type="paragraph" w:customStyle="1" w:styleId="Point4letter">
    <w:name w:val="Point 4 (letter)"/>
    <w:basedOn w:val="Normal"/>
    <w:pPr>
      <w:numPr>
        <w:ilvl w:val="8"/>
        <w:numId w:val="48"/>
      </w:numPr>
      <w:spacing w:before="120" w:after="120"/>
      <w:jc w:val="both"/>
    </w:pPr>
    <w:rPr>
      <w:rFonts w:ascii="Times New Roman" w:eastAsia="Times New Roman" w:hAnsi="Times New Roman"/>
      <w:sz w:val="24"/>
      <w:szCs w:val="24"/>
    </w:rPr>
  </w:style>
  <w:style w:type="paragraph" w:customStyle="1" w:styleId="Bullet0">
    <w:name w:val="Bullet 0"/>
    <w:basedOn w:val="Normal"/>
    <w:pPr>
      <w:spacing w:before="120" w:after="120"/>
      <w:jc w:val="both"/>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a3520normalp3">
    <w:name w:val="a__35__20_normal_p3"/>
    <w:basedOn w:val="Normal"/>
    <w:pPr>
      <w:spacing w:after="120"/>
      <w:ind w:right="57"/>
      <w:jc w:val="both"/>
    </w:pPr>
    <w:rPr>
      <w:rFonts w:ascii="Times New Roman" w:eastAsia="Times New Roman" w:hAnsi="Times New Roman"/>
      <w:sz w:val="24"/>
      <w:szCs w:val="24"/>
      <w:lang w:eastAsia="en-GB"/>
    </w:rPr>
  </w:style>
  <w:style w:type="paragraph" w:customStyle="1" w:styleId="atiret201p8">
    <w:name w:val="a_tiret_20_1_p8"/>
    <w:basedOn w:val="Normal"/>
    <w:pPr>
      <w:spacing w:after="40"/>
      <w:ind w:right="57"/>
      <w:jc w:val="both"/>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Pr>
      <w:rFonts w:cs="Consolas"/>
      <w:szCs w:val="21"/>
    </w:rPr>
  </w:style>
  <w:style w:type="character" w:customStyle="1" w:styleId="PlainTextChar">
    <w:name w:val="Plain Text Char"/>
    <w:basedOn w:val="DefaultParagraphFont"/>
    <w:link w:val="PlainText"/>
    <w:uiPriority w:val="99"/>
    <w:rPr>
      <w:rFonts w:ascii="Calibri" w:hAnsi="Calibri" w:cs="Consola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hAnsi="Calibri" w:cs="Times New Roman"/>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pPr>
      <w:keepNext/>
      <w:keepLines/>
      <w:numPr>
        <w:numId w:val="1"/>
      </w:numPr>
      <w:spacing w:before="200" w:line="276" w:lineRule="auto"/>
      <w:outlineLvl w:val="1"/>
    </w:pPr>
    <w:rPr>
      <w:rFonts w:asciiTheme="majorHAnsi" w:eastAsia="Times New Roman" w:hAnsiTheme="majorHAnsi"/>
      <w:b/>
      <w:bCs/>
      <w:color w:val="4F81BD"/>
      <w:sz w:val="28"/>
      <w:szCs w:val="28"/>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uiPriority w:val="34"/>
    <w:qFormat/>
    <w:pPr>
      <w:ind w:left="720"/>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sz w:val="28"/>
      <w:szCs w:val="28"/>
    </w:r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2Char">
    <w:name w:val="Heading 2 Char"/>
    <w:basedOn w:val="DefaultParagraphFont"/>
    <w:link w:val="Heading2"/>
    <w:uiPriority w:val="9"/>
    <w:rPr>
      <w:rFonts w:asciiTheme="majorHAnsi" w:eastAsia="Times New Roman" w:hAnsiTheme="majorHAnsi" w:cs="Times New Roman"/>
      <w:b/>
      <w:bCs/>
      <w:color w:val="4F81BD"/>
      <w:sz w:val="28"/>
      <w:szCs w:val="28"/>
    </w:rPr>
  </w:style>
  <w:style w:type="paragraph" w:styleId="TOC2">
    <w:name w:val="toc 2"/>
    <w:basedOn w:val="Normal"/>
    <w:next w:val="Normal"/>
    <w:uiPriority w:val="39"/>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
    <w:basedOn w:val="DefaultParagraphFont"/>
    <w:link w:val="FootnoteText"/>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qFormat/>
    <w:rPr>
      <w:vertAlign w:val="superscript"/>
    </w:rPr>
  </w:style>
  <w:style w:type="paragraph" w:customStyle="1" w:styleId="FootnotesymbolCarZchn">
    <w:name w:val="Footnote symbol Car Zchn"/>
    <w:basedOn w:val="Normal"/>
    <w:link w:val="FootnoteReference"/>
    <w:uiPriority w:val="99"/>
    <w:pPr>
      <w:spacing w:after="160" w:line="240" w:lineRule="exact"/>
      <w:jc w:val="both"/>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ind w:left="-850" w:right="-850"/>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jc w:val="both"/>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48"/>
      </w:numPr>
      <w:spacing w:before="120" w:after="120"/>
      <w:jc w:val="both"/>
    </w:pPr>
    <w:rPr>
      <w:rFonts w:ascii="Times New Roman" w:eastAsia="Times New Roman" w:hAnsi="Times New Roman"/>
      <w:sz w:val="24"/>
      <w:szCs w:val="24"/>
    </w:rPr>
  </w:style>
  <w:style w:type="paragraph" w:customStyle="1" w:styleId="Point1number">
    <w:name w:val="Point 1 (number)"/>
    <w:basedOn w:val="Normal"/>
    <w:pPr>
      <w:numPr>
        <w:ilvl w:val="2"/>
        <w:numId w:val="48"/>
      </w:numPr>
      <w:spacing w:before="120" w:after="120"/>
      <w:jc w:val="both"/>
    </w:pPr>
    <w:rPr>
      <w:rFonts w:ascii="Times New Roman" w:eastAsia="Times New Roman" w:hAnsi="Times New Roman"/>
      <w:sz w:val="24"/>
      <w:szCs w:val="24"/>
    </w:rPr>
  </w:style>
  <w:style w:type="paragraph" w:customStyle="1" w:styleId="Point2number">
    <w:name w:val="Point 2 (number)"/>
    <w:basedOn w:val="Normal"/>
    <w:pPr>
      <w:numPr>
        <w:ilvl w:val="4"/>
        <w:numId w:val="48"/>
      </w:numPr>
      <w:spacing w:before="120" w:after="120"/>
      <w:jc w:val="both"/>
    </w:pPr>
    <w:rPr>
      <w:rFonts w:ascii="Times New Roman" w:eastAsia="Times New Roman" w:hAnsi="Times New Roman"/>
      <w:sz w:val="24"/>
      <w:szCs w:val="24"/>
    </w:rPr>
  </w:style>
  <w:style w:type="paragraph" w:customStyle="1" w:styleId="Point3number">
    <w:name w:val="Point 3 (number)"/>
    <w:basedOn w:val="Normal"/>
    <w:pPr>
      <w:numPr>
        <w:ilvl w:val="6"/>
        <w:numId w:val="48"/>
      </w:numPr>
      <w:spacing w:before="120" w:after="120"/>
      <w:jc w:val="both"/>
    </w:pPr>
    <w:rPr>
      <w:rFonts w:ascii="Times New Roman" w:eastAsia="Times New Roman" w:hAnsi="Times New Roman"/>
      <w:sz w:val="24"/>
      <w:szCs w:val="24"/>
    </w:rPr>
  </w:style>
  <w:style w:type="paragraph" w:customStyle="1" w:styleId="Point0letter">
    <w:name w:val="Point 0 (letter)"/>
    <w:basedOn w:val="Normal"/>
    <w:pPr>
      <w:numPr>
        <w:ilvl w:val="1"/>
        <w:numId w:val="48"/>
      </w:numPr>
      <w:spacing w:before="120" w:after="120"/>
      <w:jc w:val="both"/>
    </w:pPr>
    <w:rPr>
      <w:rFonts w:ascii="Times New Roman" w:eastAsia="Times New Roman" w:hAnsi="Times New Roman"/>
      <w:sz w:val="24"/>
      <w:szCs w:val="24"/>
    </w:rPr>
  </w:style>
  <w:style w:type="paragraph" w:customStyle="1" w:styleId="Point1letter">
    <w:name w:val="Point 1 (letter)"/>
    <w:basedOn w:val="Normal"/>
    <w:pPr>
      <w:numPr>
        <w:ilvl w:val="3"/>
        <w:numId w:val="48"/>
      </w:numPr>
      <w:spacing w:before="120" w:after="120"/>
      <w:jc w:val="both"/>
    </w:pPr>
    <w:rPr>
      <w:rFonts w:ascii="Times New Roman" w:eastAsia="Times New Roman" w:hAnsi="Times New Roman"/>
      <w:sz w:val="24"/>
      <w:szCs w:val="24"/>
    </w:rPr>
  </w:style>
  <w:style w:type="paragraph" w:customStyle="1" w:styleId="Point2letter">
    <w:name w:val="Point 2 (letter)"/>
    <w:basedOn w:val="Normal"/>
    <w:pPr>
      <w:numPr>
        <w:ilvl w:val="5"/>
        <w:numId w:val="48"/>
      </w:numPr>
      <w:spacing w:before="120" w:after="120"/>
      <w:jc w:val="both"/>
    </w:pPr>
    <w:rPr>
      <w:rFonts w:ascii="Times New Roman" w:eastAsia="Times New Roman" w:hAnsi="Times New Roman"/>
      <w:sz w:val="24"/>
      <w:szCs w:val="24"/>
    </w:rPr>
  </w:style>
  <w:style w:type="paragraph" w:customStyle="1" w:styleId="Point3letter">
    <w:name w:val="Point 3 (letter)"/>
    <w:basedOn w:val="Normal"/>
    <w:pPr>
      <w:numPr>
        <w:ilvl w:val="7"/>
        <w:numId w:val="48"/>
      </w:numPr>
      <w:spacing w:before="120" w:after="120"/>
      <w:jc w:val="both"/>
    </w:pPr>
    <w:rPr>
      <w:rFonts w:ascii="Times New Roman" w:eastAsia="Times New Roman" w:hAnsi="Times New Roman"/>
      <w:sz w:val="24"/>
      <w:szCs w:val="24"/>
    </w:rPr>
  </w:style>
  <w:style w:type="paragraph" w:customStyle="1" w:styleId="Point4letter">
    <w:name w:val="Point 4 (letter)"/>
    <w:basedOn w:val="Normal"/>
    <w:pPr>
      <w:numPr>
        <w:ilvl w:val="8"/>
        <w:numId w:val="48"/>
      </w:numPr>
      <w:spacing w:before="120" w:after="120"/>
      <w:jc w:val="both"/>
    </w:pPr>
    <w:rPr>
      <w:rFonts w:ascii="Times New Roman" w:eastAsia="Times New Roman" w:hAnsi="Times New Roman"/>
      <w:sz w:val="24"/>
      <w:szCs w:val="24"/>
    </w:rPr>
  </w:style>
  <w:style w:type="paragraph" w:customStyle="1" w:styleId="Bullet0">
    <w:name w:val="Bullet 0"/>
    <w:basedOn w:val="Normal"/>
    <w:pPr>
      <w:spacing w:before="120" w:after="120"/>
      <w:jc w:val="both"/>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a3520normalp3">
    <w:name w:val="a__35__20_normal_p3"/>
    <w:basedOn w:val="Normal"/>
    <w:pPr>
      <w:spacing w:after="120"/>
      <w:ind w:right="57"/>
      <w:jc w:val="both"/>
    </w:pPr>
    <w:rPr>
      <w:rFonts w:ascii="Times New Roman" w:eastAsia="Times New Roman" w:hAnsi="Times New Roman"/>
      <w:sz w:val="24"/>
      <w:szCs w:val="24"/>
      <w:lang w:eastAsia="en-GB"/>
    </w:rPr>
  </w:style>
  <w:style w:type="paragraph" w:customStyle="1" w:styleId="atiret201p8">
    <w:name w:val="a_tiret_20_1_p8"/>
    <w:basedOn w:val="Normal"/>
    <w:pPr>
      <w:spacing w:after="40"/>
      <w:ind w:right="57"/>
      <w:jc w:val="both"/>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Pr>
      <w:rFonts w:cs="Consolas"/>
      <w:szCs w:val="21"/>
    </w:rPr>
  </w:style>
  <w:style w:type="character" w:customStyle="1" w:styleId="PlainTextChar">
    <w:name w:val="Plain Text Char"/>
    <w:basedOn w:val="DefaultParagraphFont"/>
    <w:link w:val="PlainText"/>
    <w:uiPriority w:val="99"/>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4400">
      <w:bodyDiv w:val="1"/>
      <w:marLeft w:val="0"/>
      <w:marRight w:val="0"/>
      <w:marTop w:val="0"/>
      <w:marBottom w:val="0"/>
      <w:divBdr>
        <w:top w:val="none" w:sz="0" w:space="0" w:color="auto"/>
        <w:left w:val="none" w:sz="0" w:space="0" w:color="auto"/>
        <w:bottom w:val="none" w:sz="0" w:space="0" w:color="auto"/>
        <w:right w:val="none" w:sz="0" w:space="0" w:color="auto"/>
      </w:divBdr>
    </w:div>
    <w:div w:id="38633166">
      <w:bodyDiv w:val="1"/>
      <w:marLeft w:val="0"/>
      <w:marRight w:val="0"/>
      <w:marTop w:val="0"/>
      <w:marBottom w:val="0"/>
      <w:divBdr>
        <w:top w:val="none" w:sz="0" w:space="0" w:color="auto"/>
        <w:left w:val="none" w:sz="0" w:space="0" w:color="auto"/>
        <w:bottom w:val="none" w:sz="0" w:space="0" w:color="auto"/>
        <w:right w:val="none" w:sz="0" w:space="0" w:color="auto"/>
      </w:divBdr>
    </w:div>
    <w:div w:id="210272050">
      <w:bodyDiv w:val="1"/>
      <w:marLeft w:val="0"/>
      <w:marRight w:val="0"/>
      <w:marTop w:val="0"/>
      <w:marBottom w:val="0"/>
      <w:divBdr>
        <w:top w:val="none" w:sz="0" w:space="0" w:color="auto"/>
        <w:left w:val="none" w:sz="0" w:space="0" w:color="auto"/>
        <w:bottom w:val="none" w:sz="0" w:space="0" w:color="auto"/>
        <w:right w:val="none" w:sz="0" w:space="0" w:color="auto"/>
      </w:divBdr>
    </w:div>
    <w:div w:id="262998522">
      <w:bodyDiv w:val="1"/>
      <w:marLeft w:val="0"/>
      <w:marRight w:val="0"/>
      <w:marTop w:val="0"/>
      <w:marBottom w:val="0"/>
      <w:divBdr>
        <w:top w:val="none" w:sz="0" w:space="0" w:color="auto"/>
        <w:left w:val="none" w:sz="0" w:space="0" w:color="auto"/>
        <w:bottom w:val="none" w:sz="0" w:space="0" w:color="auto"/>
        <w:right w:val="none" w:sz="0" w:space="0" w:color="auto"/>
      </w:divBdr>
      <w:divsChild>
        <w:div w:id="652639795">
          <w:marLeft w:val="0"/>
          <w:marRight w:val="0"/>
          <w:marTop w:val="0"/>
          <w:marBottom w:val="0"/>
          <w:divBdr>
            <w:top w:val="none" w:sz="0" w:space="0" w:color="auto"/>
            <w:left w:val="none" w:sz="0" w:space="0" w:color="auto"/>
            <w:bottom w:val="none" w:sz="0" w:space="0" w:color="auto"/>
            <w:right w:val="none" w:sz="0" w:space="0" w:color="auto"/>
          </w:divBdr>
          <w:divsChild>
            <w:div w:id="1011568249">
              <w:marLeft w:val="0"/>
              <w:marRight w:val="0"/>
              <w:marTop w:val="0"/>
              <w:marBottom w:val="0"/>
              <w:divBdr>
                <w:top w:val="none" w:sz="0" w:space="0" w:color="auto"/>
                <w:left w:val="none" w:sz="0" w:space="0" w:color="auto"/>
                <w:bottom w:val="none" w:sz="0" w:space="0" w:color="auto"/>
                <w:right w:val="none" w:sz="0" w:space="0" w:color="auto"/>
              </w:divBdr>
              <w:divsChild>
                <w:div w:id="1827937921">
                  <w:marLeft w:val="0"/>
                  <w:marRight w:val="0"/>
                  <w:marTop w:val="0"/>
                  <w:marBottom w:val="0"/>
                  <w:divBdr>
                    <w:top w:val="none" w:sz="0" w:space="0" w:color="auto"/>
                    <w:left w:val="none" w:sz="0" w:space="0" w:color="auto"/>
                    <w:bottom w:val="none" w:sz="0" w:space="0" w:color="auto"/>
                    <w:right w:val="none" w:sz="0" w:space="0" w:color="auto"/>
                  </w:divBdr>
                  <w:divsChild>
                    <w:div w:id="749035820">
                      <w:marLeft w:val="0"/>
                      <w:marRight w:val="0"/>
                      <w:marTop w:val="150"/>
                      <w:marBottom w:val="300"/>
                      <w:divBdr>
                        <w:top w:val="none" w:sz="0" w:space="0" w:color="auto"/>
                        <w:left w:val="none" w:sz="0" w:space="0" w:color="auto"/>
                        <w:bottom w:val="none" w:sz="0" w:space="0" w:color="auto"/>
                        <w:right w:val="none" w:sz="0" w:space="0" w:color="auto"/>
                      </w:divBdr>
                      <w:divsChild>
                        <w:div w:id="124735668">
                          <w:marLeft w:val="0"/>
                          <w:marRight w:val="0"/>
                          <w:marTop w:val="0"/>
                          <w:marBottom w:val="0"/>
                          <w:divBdr>
                            <w:top w:val="none" w:sz="0" w:space="0" w:color="auto"/>
                            <w:left w:val="none" w:sz="0" w:space="0" w:color="auto"/>
                            <w:bottom w:val="none" w:sz="0" w:space="0" w:color="auto"/>
                            <w:right w:val="none" w:sz="0" w:space="0" w:color="auto"/>
                          </w:divBdr>
                          <w:divsChild>
                            <w:div w:id="1554997775">
                              <w:marLeft w:val="0"/>
                              <w:marRight w:val="0"/>
                              <w:marTop w:val="0"/>
                              <w:marBottom w:val="0"/>
                              <w:divBdr>
                                <w:top w:val="none" w:sz="0" w:space="0" w:color="auto"/>
                                <w:left w:val="none" w:sz="0" w:space="0" w:color="auto"/>
                                <w:bottom w:val="none" w:sz="0" w:space="0" w:color="auto"/>
                                <w:right w:val="none" w:sz="0" w:space="0" w:color="auto"/>
                              </w:divBdr>
                              <w:divsChild>
                                <w:div w:id="1102455686">
                                  <w:marLeft w:val="0"/>
                                  <w:marRight w:val="0"/>
                                  <w:marTop w:val="0"/>
                                  <w:marBottom w:val="0"/>
                                  <w:divBdr>
                                    <w:top w:val="none" w:sz="0" w:space="0" w:color="auto"/>
                                    <w:left w:val="none" w:sz="0" w:space="0" w:color="auto"/>
                                    <w:bottom w:val="none" w:sz="0" w:space="0" w:color="auto"/>
                                    <w:right w:val="none" w:sz="0" w:space="0" w:color="auto"/>
                                  </w:divBdr>
                                  <w:divsChild>
                                    <w:div w:id="1530949361">
                                      <w:marLeft w:val="0"/>
                                      <w:marRight w:val="0"/>
                                      <w:marTop w:val="0"/>
                                      <w:marBottom w:val="0"/>
                                      <w:divBdr>
                                        <w:top w:val="none" w:sz="0" w:space="0" w:color="auto"/>
                                        <w:left w:val="none" w:sz="0" w:space="0" w:color="auto"/>
                                        <w:bottom w:val="none" w:sz="0" w:space="0" w:color="auto"/>
                                        <w:right w:val="none" w:sz="0" w:space="0" w:color="auto"/>
                                      </w:divBdr>
                                      <w:divsChild>
                                        <w:div w:id="554314831">
                                          <w:marLeft w:val="0"/>
                                          <w:marRight w:val="0"/>
                                          <w:marTop w:val="0"/>
                                          <w:marBottom w:val="0"/>
                                          <w:divBdr>
                                            <w:top w:val="none" w:sz="0" w:space="0" w:color="auto"/>
                                            <w:left w:val="none" w:sz="0" w:space="0" w:color="auto"/>
                                            <w:bottom w:val="none" w:sz="0" w:space="0" w:color="auto"/>
                                            <w:right w:val="none" w:sz="0" w:space="0" w:color="auto"/>
                                          </w:divBdr>
                                          <w:divsChild>
                                            <w:div w:id="394593151">
                                              <w:marLeft w:val="0"/>
                                              <w:marRight w:val="0"/>
                                              <w:marTop w:val="0"/>
                                              <w:marBottom w:val="0"/>
                                              <w:divBdr>
                                                <w:top w:val="none" w:sz="0" w:space="0" w:color="auto"/>
                                                <w:left w:val="none" w:sz="0" w:space="0" w:color="auto"/>
                                                <w:bottom w:val="none" w:sz="0" w:space="0" w:color="auto"/>
                                                <w:right w:val="none" w:sz="0" w:space="0" w:color="auto"/>
                                              </w:divBdr>
                                              <w:divsChild>
                                                <w:div w:id="161548376">
                                                  <w:marLeft w:val="0"/>
                                                  <w:marRight w:val="0"/>
                                                  <w:marTop w:val="0"/>
                                                  <w:marBottom w:val="0"/>
                                                  <w:divBdr>
                                                    <w:top w:val="none" w:sz="0" w:space="0" w:color="auto"/>
                                                    <w:left w:val="none" w:sz="0" w:space="0" w:color="auto"/>
                                                    <w:bottom w:val="none" w:sz="0" w:space="0" w:color="auto"/>
                                                    <w:right w:val="none" w:sz="0" w:space="0" w:color="auto"/>
                                                  </w:divBdr>
                                                  <w:divsChild>
                                                    <w:div w:id="14038620">
                                                      <w:marLeft w:val="0"/>
                                                      <w:marRight w:val="0"/>
                                                      <w:marTop w:val="0"/>
                                                      <w:marBottom w:val="0"/>
                                                      <w:divBdr>
                                                        <w:top w:val="none" w:sz="0" w:space="0" w:color="auto"/>
                                                        <w:left w:val="none" w:sz="0" w:space="0" w:color="auto"/>
                                                        <w:bottom w:val="none" w:sz="0" w:space="0" w:color="auto"/>
                                                        <w:right w:val="none" w:sz="0" w:space="0" w:color="auto"/>
                                                      </w:divBdr>
                                                      <w:divsChild>
                                                        <w:div w:id="2101295428">
                                                          <w:marLeft w:val="0"/>
                                                          <w:marRight w:val="0"/>
                                                          <w:marTop w:val="0"/>
                                                          <w:marBottom w:val="0"/>
                                                          <w:divBdr>
                                                            <w:top w:val="none" w:sz="0" w:space="0" w:color="auto"/>
                                                            <w:left w:val="none" w:sz="0" w:space="0" w:color="auto"/>
                                                            <w:bottom w:val="none" w:sz="0" w:space="0" w:color="auto"/>
                                                            <w:right w:val="none" w:sz="0" w:space="0" w:color="auto"/>
                                                          </w:divBdr>
                                                          <w:divsChild>
                                                            <w:div w:id="78145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4790373">
      <w:bodyDiv w:val="1"/>
      <w:marLeft w:val="0"/>
      <w:marRight w:val="0"/>
      <w:marTop w:val="0"/>
      <w:marBottom w:val="0"/>
      <w:divBdr>
        <w:top w:val="none" w:sz="0" w:space="0" w:color="auto"/>
        <w:left w:val="none" w:sz="0" w:space="0" w:color="auto"/>
        <w:bottom w:val="none" w:sz="0" w:space="0" w:color="auto"/>
        <w:right w:val="none" w:sz="0" w:space="0" w:color="auto"/>
      </w:divBdr>
    </w:div>
    <w:div w:id="861357001">
      <w:bodyDiv w:val="1"/>
      <w:marLeft w:val="0"/>
      <w:marRight w:val="0"/>
      <w:marTop w:val="0"/>
      <w:marBottom w:val="0"/>
      <w:divBdr>
        <w:top w:val="none" w:sz="0" w:space="0" w:color="auto"/>
        <w:left w:val="none" w:sz="0" w:space="0" w:color="auto"/>
        <w:bottom w:val="none" w:sz="0" w:space="0" w:color="auto"/>
        <w:right w:val="none" w:sz="0" w:space="0" w:color="auto"/>
      </w:divBdr>
    </w:div>
    <w:div w:id="881819374">
      <w:bodyDiv w:val="1"/>
      <w:marLeft w:val="0"/>
      <w:marRight w:val="0"/>
      <w:marTop w:val="0"/>
      <w:marBottom w:val="0"/>
      <w:divBdr>
        <w:top w:val="none" w:sz="0" w:space="0" w:color="auto"/>
        <w:left w:val="none" w:sz="0" w:space="0" w:color="auto"/>
        <w:bottom w:val="none" w:sz="0" w:space="0" w:color="auto"/>
        <w:right w:val="none" w:sz="0" w:space="0" w:color="auto"/>
      </w:divBdr>
    </w:div>
    <w:div w:id="915242221">
      <w:bodyDiv w:val="1"/>
      <w:marLeft w:val="0"/>
      <w:marRight w:val="0"/>
      <w:marTop w:val="0"/>
      <w:marBottom w:val="0"/>
      <w:divBdr>
        <w:top w:val="none" w:sz="0" w:space="0" w:color="auto"/>
        <w:left w:val="none" w:sz="0" w:space="0" w:color="auto"/>
        <w:bottom w:val="none" w:sz="0" w:space="0" w:color="auto"/>
        <w:right w:val="none" w:sz="0" w:space="0" w:color="auto"/>
      </w:divBdr>
    </w:div>
    <w:div w:id="1022053489">
      <w:bodyDiv w:val="1"/>
      <w:marLeft w:val="0"/>
      <w:marRight w:val="0"/>
      <w:marTop w:val="0"/>
      <w:marBottom w:val="0"/>
      <w:divBdr>
        <w:top w:val="none" w:sz="0" w:space="0" w:color="auto"/>
        <w:left w:val="none" w:sz="0" w:space="0" w:color="auto"/>
        <w:bottom w:val="none" w:sz="0" w:space="0" w:color="auto"/>
        <w:right w:val="none" w:sz="0" w:space="0" w:color="auto"/>
      </w:divBdr>
    </w:div>
    <w:div w:id="1063799540">
      <w:bodyDiv w:val="1"/>
      <w:marLeft w:val="0"/>
      <w:marRight w:val="0"/>
      <w:marTop w:val="0"/>
      <w:marBottom w:val="0"/>
      <w:divBdr>
        <w:top w:val="none" w:sz="0" w:space="0" w:color="auto"/>
        <w:left w:val="none" w:sz="0" w:space="0" w:color="auto"/>
        <w:bottom w:val="none" w:sz="0" w:space="0" w:color="auto"/>
        <w:right w:val="none" w:sz="0" w:space="0" w:color="auto"/>
      </w:divBdr>
    </w:div>
    <w:div w:id="1187059832">
      <w:bodyDiv w:val="1"/>
      <w:marLeft w:val="0"/>
      <w:marRight w:val="0"/>
      <w:marTop w:val="0"/>
      <w:marBottom w:val="0"/>
      <w:divBdr>
        <w:top w:val="none" w:sz="0" w:space="0" w:color="auto"/>
        <w:left w:val="none" w:sz="0" w:space="0" w:color="auto"/>
        <w:bottom w:val="none" w:sz="0" w:space="0" w:color="auto"/>
        <w:right w:val="none" w:sz="0" w:space="0" w:color="auto"/>
      </w:divBdr>
    </w:div>
    <w:div w:id="1235703527">
      <w:bodyDiv w:val="1"/>
      <w:marLeft w:val="0"/>
      <w:marRight w:val="0"/>
      <w:marTop w:val="0"/>
      <w:marBottom w:val="0"/>
      <w:divBdr>
        <w:top w:val="none" w:sz="0" w:space="0" w:color="auto"/>
        <w:left w:val="none" w:sz="0" w:space="0" w:color="auto"/>
        <w:bottom w:val="none" w:sz="0" w:space="0" w:color="auto"/>
        <w:right w:val="none" w:sz="0" w:space="0" w:color="auto"/>
      </w:divBdr>
    </w:div>
    <w:div w:id="1600260783">
      <w:bodyDiv w:val="1"/>
      <w:marLeft w:val="0"/>
      <w:marRight w:val="0"/>
      <w:marTop w:val="0"/>
      <w:marBottom w:val="0"/>
      <w:divBdr>
        <w:top w:val="none" w:sz="0" w:space="0" w:color="auto"/>
        <w:left w:val="none" w:sz="0" w:space="0" w:color="auto"/>
        <w:bottom w:val="none" w:sz="0" w:space="0" w:color="auto"/>
        <w:right w:val="none" w:sz="0" w:space="0" w:color="auto"/>
      </w:divBdr>
    </w:div>
    <w:div w:id="1663508111">
      <w:bodyDiv w:val="1"/>
      <w:marLeft w:val="0"/>
      <w:marRight w:val="0"/>
      <w:marTop w:val="0"/>
      <w:marBottom w:val="0"/>
      <w:divBdr>
        <w:top w:val="none" w:sz="0" w:space="0" w:color="auto"/>
        <w:left w:val="none" w:sz="0" w:space="0" w:color="auto"/>
        <w:bottom w:val="none" w:sz="0" w:space="0" w:color="auto"/>
        <w:right w:val="none" w:sz="0" w:space="0" w:color="auto"/>
      </w:divBdr>
    </w:div>
    <w:div w:id="1788966373">
      <w:bodyDiv w:val="1"/>
      <w:marLeft w:val="0"/>
      <w:marRight w:val="0"/>
      <w:marTop w:val="0"/>
      <w:marBottom w:val="0"/>
      <w:divBdr>
        <w:top w:val="none" w:sz="0" w:space="0" w:color="auto"/>
        <w:left w:val="none" w:sz="0" w:space="0" w:color="auto"/>
        <w:bottom w:val="none" w:sz="0" w:space="0" w:color="auto"/>
        <w:right w:val="none" w:sz="0" w:space="0" w:color="auto"/>
      </w:divBdr>
    </w:div>
    <w:div w:id="1889680872">
      <w:bodyDiv w:val="1"/>
      <w:marLeft w:val="0"/>
      <w:marRight w:val="0"/>
      <w:marTop w:val="0"/>
      <w:marBottom w:val="0"/>
      <w:divBdr>
        <w:top w:val="none" w:sz="0" w:space="0" w:color="auto"/>
        <w:left w:val="none" w:sz="0" w:space="0" w:color="auto"/>
        <w:bottom w:val="none" w:sz="0" w:space="0" w:color="auto"/>
        <w:right w:val="none" w:sz="0" w:space="0" w:color="auto"/>
      </w:divBdr>
    </w:div>
    <w:div w:id="1945723520">
      <w:bodyDiv w:val="1"/>
      <w:marLeft w:val="0"/>
      <w:marRight w:val="0"/>
      <w:marTop w:val="0"/>
      <w:marBottom w:val="0"/>
      <w:divBdr>
        <w:top w:val="none" w:sz="0" w:space="0" w:color="auto"/>
        <w:left w:val="none" w:sz="0" w:space="0" w:color="auto"/>
        <w:bottom w:val="none" w:sz="0" w:space="0" w:color="auto"/>
        <w:right w:val="none" w:sz="0" w:space="0" w:color="auto"/>
      </w:divBdr>
    </w:div>
    <w:div w:id="1981226709">
      <w:bodyDiv w:val="1"/>
      <w:marLeft w:val="0"/>
      <w:marRight w:val="0"/>
      <w:marTop w:val="0"/>
      <w:marBottom w:val="0"/>
      <w:divBdr>
        <w:top w:val="none" w:sz="0" w:space="0" w:color="auto"/>
        <w:left w:val="none" w:sz="0" w:space="0" w:color="auto"/>
        <w:bottom w:val="none" w:sz="0" w:space="0" w:color="auto"/>
        <w:right w:val="none" w:sz="0" w:space="0" w:color="auto"/>
      </w:divBdr>
    </w:div>
    <w:div w:id="21155172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rd-alliance.org/data-harvest-report-sharing-data-knowledge-jobs-and-growth.html"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digital-single-market/fourth-industrial-revolution"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europa.eu/rapid/press-release_IP-14-673_fr.htm" TargetMode="Externa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yperlink" Target="https://ec.europa.eu/digital-single-market/news/final-report-science-20-public-consultation"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oecd.org/fr/sti/daejeon-declaration-2015.htm" TargetMode="Externa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bit.ly/1XEeaTN" TargetMode="External"/><Relationship Id="rId1" Type="http://schemas.openxmlformats.org/officeDocument/2006/relationships/hyperlink" Target="http://data.consilium.europa.eu/doc/document/ST-8993-2015-INIT/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6c0a7cf1-69ef-4cdd-8eb7-11759c7884ff">EN</EC_Collab_DocumentLanguage>
    <EC_Collab_Reference xmlns="6c0a7cf1-69ef-4cdd-8eb7-11759c7884ff" xsi:nil="true"/>
    <Sort_x0020_Order xmlns="93bbd658-8f79-4973-8fca-5728f05d054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D20E5476FAC51741A1F5BC0165845EC3" ma:contentTypeVersion="5" ma:contentTypeDescription="Create a new document." ma:contentTypeScope="" ma:versionID="208fc6e14f3027d677af42dfa873c364">
  <xsd:schema xmlns:xsd="http://www.w3.org/2001/XMLSchema" xmlns:xs="http://www.w3.org/2001/XMLSchema" xmlns:p="http://schemas.microsoft.com/office/2006/metadata/properties" xmlns:ns3="6c0a7cf1-69ef-4cdd-8eb7-11759c7884ff" xmlns:ns4="93bbd658-8f79-4973-8fca-5728f05d054b" targetNamespace="http://schemas.microsoft.com/office/2006/metadata/properties" ma:root="true" ma:fieldsID="215b981fb90ea46784358da5893241a2" ns3:_="" ns4:_="">
    <xsd:import namespace="6c0a7cf1-69ef-4cdd-8eb7-11759c7884ff"/>
    <xsd:import namespace="93bbd658-8f79-4973-8fca-5728f05d054b"/>
    <xsd:element name="properties">
      <xsd:complexType>
        <xsd:sequence>
          <xsd:element name="documentManagement">
            <xsd:complexType>
              <xsd:all>
                <xsd:element ref="ns3:EC_Collab_Reference" minOccurs="0"/>
                <xsd:element ref="ns3:EC_Collab_DocumentLanguage"/>
                <xsd:element ref="ns4:Sort_x0020_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a7cf1-69ef-4cdd-8eb7-11759c7884f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93bbd658-8f79-4973-8fca-5728f05d054b" elementFormDefault="qualified">
    <xsd:import namespace="http://schemas.microsoft.com/office/2006/documentManagement/types"/>
    <xsd:import namespace="http://schemas.microsoft.com/office/infopath/2007/PartnerControls"/>
    <xsd:element name="Sort_x0020_Order" ma:index="14" nillable="true" ma:displayName="Sort Order" ma:description="Sort Order" ma:internalName="Sort_x0020_Ord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19B5D-7E80-44DB-A395-9A68A1C9A9F5}">
  <ds:schemaRefs>
    <ds:schemaRef ds:uri="http://schemas.microsoft.com/sharepoint/v3/contenttype/forms"/>
  </ds:schemaRefs>
</ds:datastoreItem>
</file>

<file path=customXml/itemProps2.xml><?xml version="1.0" encoding="utf-8"?>
<ds:datastoreItem xmlns:ds="http://schemas.openxmlformats.org/officeDocument/2006/customXml" ds:itemID="{A0552368-7F70-4174-AE14-70D7385FA0DE}">
  <ds:schemaRefs>
    <ds:schemaRef ds:uri="http://schemas.openxmlformats.org/package/2006/metadata/core-properties"/>
    <ds:schemaRef ds:uri="6c0a7cf1-69ef-4cdd-8eb7-11759c7884ff"/>
    <ds:schemaRef ds:uri="http://purl.org/dc/terms/"/>
    <ds:schemaRef ds:uri="http://www.w3.org/XML/1998/namespace"/>
    <ds:schemaRef ds:uri="http://schemas.microsoft.com/office/2006/metadata/properties"/>
    <ds:schemaRef ds:uri="http://purl.org/dc/elements/1.1/"/>
    <ds:schemaRef ds:uri="http://purl.org/dc/dcmitype/"/>
    <ds:schemaRef ds:uri="http://schemas.microsoft.com/office/2006/documentManagement/types"/>
    <ds:schemaRef ds:uri="http://schemas.microsoft.com/office/infopath/2007/PartnerControls"/>
    <ds:schemaRef ds:uri="93bbd658-8f79-4973-8fca-5728f05d054b"/>
  </ds:schemaRefs>
</ds:datastoreItem>
</file>

<file path=customXml/itemProps3.xml><?xml version="1.0" encoding="utf-8"?>
<ds:datastoreItem xmlns:ds="http://schemas.openxmlformats.org/officeDocument/2006/customXml" ds:itemID="{DD1AE97A-6726-47F8-9492-06A961136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a7cf1-69ef-4cdd-8eb7-11759c7884ff"/>
    <ds:schemaRef ds:uri="93bbd658-8f79-4973-8fca-5728f05d0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CE6422-DC3C-455D-99B0-DD37D6788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6433</Words>
  <Characters>36154</Characters>
  <Application>Microsoft Office Word</Application>
  <DocSecurity>0</DocSecurity>
  <Lines>682</Lines>
  <Paragraphs>313</Paragraphs>
  <ScaleCrop>false</ScaleCrop>
  <HeadingPairs>
    <vt:vector size="2" baseType="variant">
      <vt:variant>
        <vt:lpstr>Title</vt:lpstr>
      </vt:variant>
      <vt:variant>
        <vt:i4>1</vt:i4>
      </vt:variant>
    </vt:vector>
  </HeadingPairs>
  <TitlesOfParts>
    <vt:vector size="1" baseType="lpstr">
      <vt:lpstr>EU Cloud post ISC</vt:lpstr>
    </vt:vector>
  </TitlesOfParts>
  <Manager/>
  <Company/>
  <LinksUpToDate>false</LinksUpToDate>
  <CharactersWithSpaces>42274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Cloud post ISC</dc:title>
  <dc:creator/>
  <cp:lastModifiedBy/>
  <cp:revision>1</cp:revision>
  <dcterms:created xsi:type="dcterms:W3CDTF">2016-04-07T13:30:00Z</dcterms:created>
  <dcterms:modified xsi:type="dcterms:W3CDTF">2016-04-18T14:19:00Z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ContentTypeId">
    <vt:lpwstr>0x01010400A361D9231F476D4DB24C588A41746E15</vt:lpwstr>
  </property>
</Properties>
</file>