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4EA" w:rsidRPr="00547FAA" w:rsidRDefault="006116D7" w:rsidP="00547FAA">
      <w:pPr>
        <w:pStyle w:val="Pagedecouverture"/>
        <w:rPr>
          <w:noProof/>
          <w:lang w:val="fr-FR"/>
        </w:rPr>
      </w:pPr>
      <w:bookmarkStart w:id="0" w:name="LW_BM_COVERPAGE"/>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C72CAFE4180482687B80EE4D52AD8CC" style="width:450pt;height:320.25pt">
            <v:imagedata r:id="rId9" o:title=""/>
          </v:shape>
        </w:pict>
      </w:r>
    </w:p>
    <w:bookmarkEnd w:id="0"/>
    <w:p w:rsidR="006314EA" w:rsidRPr="00547FAA" w:rsidRDefault="006314EA">
      <w:pPr>
        <w:rPr>
          <w:noProof/>
          <w:lang w:val="fr-FR"/>
        </w:rPr>
        <w:sectPr w:rsidR="006314EA" w:rsidRPr="00547FAA" w:rsidSect="00547FA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CF2D94" w:rsidRPr="00547FAA" w:rsidRDefault="00CF2D94" w:rsidP="00CF2D94">
      <w:pPr>
        <w:rPr>
          <w:b/>
          <w:noProof/>
          <w:lang w:val="fr-FR"/>
        </w:rPr>
      </w:pPr>
      <w:r w:rsidRPr="00DB3EC6">
        <w:rPr>
          <w:b/>
          <w:noProof/>
          <w:lang w:val="fr-FR"/>
        </w:rPr>
        <w:lastRenderedPageBreak/>
        <w:t>1</w:t>
      </w:r>
      <w:r w:rsidRPr="00547FAA">
        <w:rPr>
          <w:b/>
          <w:noProof/>
          <w:lang w:val="fr-FR"/>
        </w:rPr>
        <w:t>.</w:t>
      </w:r>
      <w:r w:rsidRPr="00547FAA">
        <w:rPr>
          <w:lang w:val="fr-FR"/>
        </w:rPr>
        <w:tab/>
      </w:r>
      <w:r w:rsidRPr="00547FAA">
        <w:rPr>
          <w:b/>
          <w:noProof/>
          <w:lang w:val="fr-FR"/>
        </w:rPr>
        <w:t>Introduction</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 xml:space="preserve">Les attentats à la bombe perpétrés le </w:t>
      </w:r>
      <w:r w:rsidRPr="00DB3EC6">
        <w:rPr>
          <w:lang w:val="fr-FR"/>
        </w:rPr>
        <w:t>22</w:t>
      </w:r>
      <w:r w:rsidRPr="00547FAA">
        <w:rPr>
          <w:lang w:val="fr-FR"/>
        </w:rPr>
        <w:t xml:space="preserve"> mars </w:t>
      </w:r>
      <w:r w:rsidRPr="00DB3EC6">
        <w:rPr>
          <w:lang w:val="fr-FR"/>
        </w:rPr>
        <w:t>2016</w:t>
      </w:r>
      <w:r w:rsidRPr="00547FAA">
        <w:rPr>
          <w:lang w:val="fr-FR"/>
        </w:rPr>
        <w:t xml:space="preserve"> à Bruxelles ont de nouveau mis en évidence les risques que le terrorisme fait peser sur la sécurité en Europe. Après les atrocités commises à Madrid, à Londres, à Copenhague et à Paris, ils sont venus nous rappeler une fois de plus que l’Union européenne doit se doter d’une politique de sécurité ambitieuse, à la hauteur des menaces auxquelles elle est confrontée.</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 xml:space="preserve">Œuvrer pour assurer aux Européens un niveau élevé de sécurité est l’un des objectifs fixés par les traités et «relève de la responsabilité commune de l’Europe», ainsi que le président Jean-Claude Juncker l’a déclaré dans ses orientations politiques du </w:t>
      </w:r>
      <w:r w:rsidRPr="00DB3EC6">
        <w:rPr>
          <w:lang w:val="fr-FR"/>
        </w:rPr>
        <w:t>15</w:t>
      </w:r>
      <w:r w:rsidRPr="00547FAA">
        <w:rPr>
          <w:lang w:val="fr-FR"/>
        </w:rPr>
        <w:t xml:space="preserve"> juillet </w:t>
      </w:r>
      <w:r w:rsidRPr="00DB3EC6">
        <w:rPr>
          <w:lang w:val="fr-FR"/>
        </w:rPr>
        <w:t>2015</w:t>
      </w:r>
      <w:r w:rsidRPr="00547FAA">
        <w:rPr>
          <w:lang w:val="fr-FR"/>
        </w:rPr>
        <w:t>. En cette époque où le terrorisme et les autres formes graves de criminalité dépassent les frontières, tant l’Union européenne que ses États membres ont une responsabilité envers leurs citoyens: ils doivent mettre en place un espace de sécurité intérieure dans lequel la personne humaine est protégée, dans le respect absolu des droits fondamentaux de l’UE. La sécurité est une responsabilité qui incombe en premier lieu aux États membres</w:t>
      </w:r>
      <w:r w:rsidRPr="00547FAA">
        <w:rPr>
          <w:rStyle w:val="FootnoteReference"/>
          <w:noProof/>
          <w:lang w:val="fr-FR"/>
        </w:rPr>
        <w:footnoteReference w:id="1"/>
      </w:r>
      <w:r w:rsidRPr="00547FAA">
        <w:rPr>
          <w:lang w:val="fr-FR"/>
        </w:rPr>
        <w:t>, mais ceux-ci ne peuvent pas faire face efficacement aux menaces transnationales s’ils agissent seuls. C’est la raison pour laquelle, au niveau européen, nous devons mettre en place des outils, des infrastructures et un environnement que les autorités nationales pourront utiliser et utiliseront effectivement pour collaborer efficacement en vue de s’attaquer aux problèmes qui leur sont communs: une union de la sécurité réelle et effective, dans laquelle les droits et les libertés des citoyens bénéficieront d’une protection adéquate.</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Le programme européen en matière de sécurité a fourni à l’UE un cadre clair dans lequel mieux collaborer en matière de sécurité</w:t>
      </w:r>
      <w:r w:rsidRPr="00547FAA">
        <w:rPr>
          <w:rStyle w:val="FootnoteReference"/>
          <w:noProof/>
          <w:lang w:val="fr-FR"/>
        </w:rPr>
        <w:footnoteReference w:id="2"/>
      </w:r>
      <w:r w:rsidRPr="00547FAA">
        <w:rPr>
          <w:lang w:val="fr-FR"/>
        </w:rPr>
        <w:t xml:space="preserve"> et a servi de base à l’approbation par le Conseil européen d’une stratégie de sécurité intérieure renouvelée</w:t>
      </w:r>
      <w:r w:rsidRPr="00547FAA">
        <w:rPr>
          <w:rStyle w:val="FootnoteReference"/>
          <w:noProof/>
          <w:lang w:val="fr-FR"/>
        </w:rPr>
        <w:footnoteReference w:id="3"/>
      </w:r>
      <w:r w:rsidRPr="00547FAA">
        <w:rPr>
          <w:lang w:val="fr-FR"/>
        </w:rPr>
        <w:t>. Le terrorisme constitue l’une de ses trois priorités, au même titre que la criminalité organisée et la cybercriminalité. À la suite des attentats de Bruxelles, le Parlement européen, les ministres européens de la justice et des affaires intérieures et la Commission se sont réunis</w:t>
      </w:r>
      <w:r w:rsidRPr="00547FAA">
        <w:rPr>
          <w:rStyle w:val="FootnoteReference"/>
          <w:noProof/>
          <w:lang w:val="fr-FR"/>
        </w:rPr>
        <w:footnoteReference w:id="4"/>
      </w:r>
      <w:r w:rsidRPr="00547FAA">
        <w:rPr>
          <w:lang w:val="fr-FR"/>
        </w:rPr>
        <w:t xml:space="preserve"> pour souligner leur détermination à faire avancer les mesures prévues et à renforcer la lutte contre le terrorisme. Dès lors, la présente communication, un an après la présentation du programme, fait le point sur les progrès réalisés dans sa mise en œuvre en ce qui concerne la contribution de l’UE à la lutte contre le terrorisme.</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L’Union européenne vise à mettre en place un espace de liberté, de sécurité et de justice, sans frontières intérieures pour ses citoyens. Les Européens doivent avoir l’assurance que, où qu’ils aillent en Europe, leur liberté et leur sécurité sont dûment protégées, dans le respect absolu des valeurs de l’Union, y compris l’état de droit et les droits fondamentaux. À cet égard, les traités prévoient la nécessité d’assurer un niveau élevé de sécurité, notamment par des mesures préventives et par une coordination et une coopération entre autorités policières et judiciaires et autres autorités compétentes</w:t>
      </w:r>
      <w:r w:rsidRPr="00547FAA">
        <w:rPr>
          <w:rStyle w:val="FootnoteReference"/>
          <w:noProof/>
          <w:lang w:val="fr-FR"/>
        </w:rPr>
        <w:footnoteReference w:id="5"/>
      </w:r>
      <w:r w:rsidRPr="00547FAA">
        <w:rPr>
          <w:lang w:val="fr-FR"/>
        </w:rPr>
        <w:t>. À cette fin, l’UE et ses États membres doivent aller au-delà de la notion de coopération</w:t>
      </w:r>
      <w:r w:rsidRPr="00547FAA">
        <w:rPr>
          <w:rStyle w:val="FootnoteReference"/>
          <w:noProof/>
          <w:lang w:val="fr-FR"/>
        </w:rPr>
        <w:footnoteReference w:id="6"/>
      </w:r>
      <w:r w:rsidRPr="00547FAA">
        <w:rPr>
          <w:lang w:val="fr-FR"/>
        </w:rPr>
        <w:t xml:space="preserve"> destinée à la protection de la sécurité intérieure nationale et embrasser l’idée de protéger la sécurité collective de l’Union dans son ensemble.</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 xml:space="preserve">Lorsqu’il est question de criminalité dans ses formes les plus graves et de terrorisme, la sécurité intérieure d’un État membre est la sécurité intérieure de tous les États membres. Comme le président Juncker l’a déclaré récemment au Parlement le </w:t>
      </w:r>
      <w:r w:rsidRPr="00DB3EC6">
        <w:rPr>
          <w:lang w:val="fr-FR"/>
        </w:rPr>
        <w:t>12</w:t>
      </w:r>
      <w:r w:rsidRPr="00547FAA">
        <w:rPr>
          <w:lang w:val="fr-FR"/>
        </w:rPr>
        <w:t xml:space="preserve"> avril </w:t>
      </w:r>
      <w:r w:rsidRPr="00DB3EC6">
        <w:rPr>
          <w:lang w:val="fr-FR"/>
        </w:rPr>
        <w:t>2016</w:t>
      </w:r>
      <w:r w:rsidRPr="00547FAA">
        <w:rPr>
          <w:lang w:val="fr-FR"/>
        </w:rPr>
        <w:t>, le moment est venu d’agir. Dans le domaine de la sécurité, comme dans beaucoup d’autres en Europe, la fragmentation nous rend vulnérables. L’Europe a besoin d’une réelle union de la sécurité. Dans une union de la sécurité, un policier devrait avoir le réflexe de faire part de toute information utile à ses collègues des autres États membres, comme il le ferait avec les autres policiers de son propre pays. Une telle démarche nécessite un changement radical à deux égards. Au niveau européen, nous devons remédier d’urgence aux lacunes, à la fragmentation et aux limitations opérationnelles des outils d’échange d’informations existants qui subsistent, pour faire en sorte que les structures de coopération soient aussi efficaces que possible, et veiller à ce que la législation européenne destinée à lutter contre les terroristes et leurs activités soit solide et à jour. Ces mesures sont indispensables pour instaurer un climat de confiance entre les autorités nationales et pour mettre en place les outils juridiques et pratiques qui leur permettront de coopérer pour s’attaquer aux problèmes qui leur sont communs. Pour que l’union de la sécurité soit effective et apporte toute sa valeur ajoutée, il sera essentiel que ces outils et structures soient utilisés afin de combler les futures failles opérationnelles et lacunes en matière de renseignement au sein de la police. À cet effet, un changement de culture doit intervenir, au niveau des États membres, pour que l’ensemble du personnel de leurs autorités répressives, jusqu’au dernier policier, prenne l’habitude de coopérer et d’échanger leurs informations systématiquement. Il est indispensable qu’il existe un sentiment de responsabilité commune, et que la volonté et la capacité de le traduire en actes soient présentes, pour surmonter la fragmentation que les terroristes et les criminels exploitent avec tant d’efficacité.</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La mise en œuvre du programme européen en matière de sécurité a déjà bien progressé</w:t>
      </w:r>
      <w:r w:rsidRPr="00547FAA">
        <w:rPr>
          <w:rStyle w:val="FootnoteReference"/>
          <w:noProof/>
          <w:lang w:val="fr-FR"/>
        </w:rPr>
        <w:footnoteReference w:id="7"/>
      </w:r>
      <w:r w:rsidRPr="00547FAA">
        <w:rPr>
          <w:lang w:val="fr-FR"/>
        </w:rPr>
        <w:t xml:space="preserve">. Les États membres et les institutions de l’Union doivent à présent redoubler d’efforts pour la mener à son terme et obtenir des résultats concrets sans plus tarder. Dans le même temps, compte tenu des défis multiples et imbriqués auxquels l’Europe est actuellement confrontée, liés à l’instabilité dans nos pays voisins et aux forces en présence dans le reste du monde, le moment est venu de faire le point sur la mise en œuvre de ce programme ainsi que sur l’évolution d’autres politiques, en particulier les mesures prises dans le cadre de l’agenda européen en matière de migration, du marché unique numérique, de l’union de l’énergie et de la lutte contre les menaces hybrides. En reliant ces politiques entre elles et en veillant à une meilleure coordination, l’Union peut être plus résiliente, plus réactive et plus préparée, conformément aux conclusions du Conseil sur la stratégie de sécurité intérieure renouvelée pour l’Union européenne </w:t>
      </w:r>
      <w:r w:rsidRPr="00DB3EC6">
        <w:rPr>
          <w:lang w:val="fr-FR"/>
        </w:rPr>
        <w:t>2015</w:t>
      </w:r>
      <w:r w:rsidRPr="00547FAA">
        <w:rPr>
          <w:lang w:val="fr-FR"/>
        </w:rPr>
        <w:t>-</w:t>
      </w:r>
      <w:r w:rsidRPr="00DB3EC6">
        <w:rPr>
          <w:lang w:val="fr-FR"/>
        </w:rPr>
        <w:t>2020</w:t>
      </w:r>
      <w:r w:rsidRPr="00547FAA">
        <w:rPr>
          <w:rStyle w:val="FootnoteReference"/>
          <w:noProof/>
          <w:lang w:val="fr-FR"/>
        </w:rPr>
        <w:footnoteReference w:id="8"/>
      </w:r>
      <w:r w:rsidRPr="00547FAA">
        <w:rPr>
          <w:lang w:val="fr-FR"/>
        </w:rPr>
        <w:t>.</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 xml:space="preserve">La présente communication vise donc un double objectif. </w:t>
      </w:r>
      <w:r w:rsidRPr="00547FAA">
        <w:rPr>
          <w:noProof/>
          <w:u w:val="single"/>
          <w:lang w:val="fr-FR"/>
        </w:rPr>
        <w:t>Premièrement</w:t>
      </w:r>
      <w:r w:rsidRPr="00547FAA">
        <w:rPr>
          <w:lang w:val="fr-FR"/>
        </w:rPr>
        <w:t xml:space="preserve">, il s’agit d’évaluer la mise en œuvre du programme européen en matière de sécurité pour ce qui est de certains aspects opérationnels et de recenser les lacunes dans la mise en œuvre de la lutte contre le terrorisme. </w:t>
      </w:r>
      <w:r w:rsidRPr="00547FAA">
        <w:rPr>
          <w:noProof/>
          <w:u w:val="single"/>
          <w:lang w:val="fr-FR"/>
        </w:rPr>
        <w:t>Deuxièmement</w:t>
      </w:r>
      <w:r w:rsidRPr="00547FAA">
        <w:rPr>
          <w:lang w:val="fr-FR"/>
        </w:rPr>
        <w:t xml:space="preserve">, il s’agit de définir les mesures qui doivent encore être prises pour remédier à ces lacunes et, en s’appuyant sur les outils existants, créer de nouvelles structures de coopération permanentes entre les services opérationnels chargés de la lutte contre le terrorisme, afin de regrouper les travaux d’Europol, d’Eurojust, des services de </w:t>
      </w:r>
      <w:r w:rsidRPr="00547FAA">
        <w:rPr>
          <w:lang w:val="fr-FR"/>
        </w:rPr>
        <w:lastRenderedPageBreak/>
        <w:t>renseignement, des forces de police et des autorités judiciaires. La présente communication définit la feuille de route à suivre vers une union de la sécurité opérationnelle et effective dans laquelle notre capacité collective de lutter contre la menace terroriste sera accrue.</w:t>
      </w:r>
    </w:p>
    <w:p w:rsidR="00CF2D94" w:rsidRPr="00547FAA" w:rsidRDefault="00CF2D94" w:rsidP="00CF2D94">
      <w:pPr>
        <w:jc w:val="both"/>
        <w:rPr>
          <w:noProof/>
          <w:lang w:val="fr-FR"/>
        </w:rPr>
      </w:pPr>
    </w:p>
    <w:p w:rsidR="00CF2D94" w:rsidRPr="00547FAA" w:rsidRDefault="00CF2D94" w:rsidP="00CF2D94">
      <w:pPr>
        <w:jc w:val="both"/>
        <w:rPr>
          <w:noProof/>
          <w:lang w:val="fr-FR"/>
        </w:rPr>
      </w:pPr>
    </w:p>
    <w:p w:rsidR="00CF2D94" w:rsidRPr="00547FAA" w:rsidRDefault="00CF2D94" w:rsidP="00CF2D94">
      <w:pPr>
        <w:jc w:val="both"/>
        <w:rPr>
          <w:noProof/>
          <w:lang w:val="fr-FR"/>
        </w:rPr>
      </w:pPr>
      <w:r w:rsidRPr="00DB3EC6">
        <w:rPr>
          <w:b/>
          <w:noProof/>
          <w:lang w:val="fr-FR"/>
        </w:rPr>
        <w:t>2</w:t>
      </w:r>
      <w:r w:rsidRPr="00547FAA">
        <w:rPr>
          <w:b/>
          <w:noProof/>
          <w:lang w:val="fr-FR"/>
        </w:rPr>
        <w:t>.</w:t>
      </w:r>
      <w:r w:rsidRPr="00547FAA">
        <w:rPr>
          <w:lang w:val="fr-FR"/>
        </w:rPr>
        <w:tab/>
      </w:r>
      <w:r w:rsidRPr="00547FAA">
        <w:rPr>
          <w:b/>
          <w:noProof/>
          <w:lang w:val="fr-FR"/>
        </w:rPr>
        <w:t>S’attaquer à la menace terroriste dans toutes ses dimensions</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Concernant la lutte contre le terrorisme et la radicalisation, le programme européen en matière de sécurité avait pour objet la mise en œuvre d’actions opérationnelles ciblées dans des domaines présentant des risques spécifiques aux fins d’une amélioration immédiate des capacités antiterroristes collectives de l’UE. Bien qu’une multitude d’actions soient déjà en cours, certaines caractéristiques récurrentes se dégagent des attentats perpétrés récemment.</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Dans de nombreux cas, les attentats ont été commis par des individus connus, radicalisés, ayant souvent des antécédents de criminalité organisée, et représentant un risque pour la sécurité en raison de leur capacité de circuler librement dans et entre les États membres ou de revenir de pays tiers, et ce, même lorsque leurs déplacements avaient été signalés dans les bases de données des services répressifs ou étaient connus des services de renseignement. Certaines des personnes impliquées dans les attentats étaient déjà recherchées par les services répressifs et ont pu bénéficier de l’appui logistique de réseaux locaux, ce qui leur a permis de rester cachées et de planifier leurs méfaits. Une autre caractéristique des attentats a résidé dans la capacité de leurs auteurs de fabriquer de grandes quantités d’explosifs, en accédant à d’importantes quantités de précurseurs et de dispositifs pyrotechniques. Les terroristes ont également pu se procurer illégalement un vaste stock d’armes de qualité militaire et de munitions. Enfin, les attentats ont montré que leurs auteurs étaient capables de cibler et d’attaquer des infrastructures critiques et de grands espaces publics dans différents États membres, malgré les mesures de protection déjà mises en place.</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Ces activités criminelles entrent dans le champ d’application des actions de lutte contre le terrorisme et la criminalité organisée déjà définies dans le programme européen en matière de sécurité. Dans le cadre de la priorité consistant à lutter contre le terrorisme, ce programme était axé sur la menace constituée par les combattants terroristes étrangers de retour dans leur pays, sur la prévention de la radicalisation et sur les sanctions à infliger aux terroristes et à ceux qui les soutiennent. Il soulignait l’importance d’empêcher les terroristes d’accéder à des sources de financement, à des armes à feu et à des explosifs, d’améliorer la protection des citoyens et des infrastructures critiques et de prendre en compte la dimension extérieure de la lutte contre le terrorisme, au-delà des frontières de l’UE. Il mettait également l’accent sur l’importance d’un meilleur échange d’informations pour repérer efficacement les personnes se livrant à des activités terroristes. Il est donc capital de mettre en œuvre pleinement le programme européen en matière de sécurité afin d’apporter des améliorations concrètes dans ces domaines.</w:t>
      </w:r>
    </w:p>
    <w:p w:rsidR="00CF2D94" w:rsidRPr="00547FAA" w:rsidRDefault="00CF2D94" w:rsidP="00CF2D94">
      <w:pPr>
        <w:jc w:val="center"/>
        <w:rPr>
          <w:noProof/>
          <w:lang w:val="fr-FR"/>
        </w:rPr>
      </w:pPr>
    </w:p>
    <w:p w:rsidR="00CF2D94" w:rsidRPr="00547FAA" w:rsidRDefault="00CF2D94" w:rsidP="00CF2D94">
      <w:pPr>
        <w:jc w:val="both"/>
        <w:rPr>
          <w:noProof/>
          <w:lang w:val="fr-FR"/>
        </w:rPr>
      </w:pPr>
      <w:r w:rsidRPr="00547FAA">
        <w:rPr>
          <w:lang w:val="fr-FR"/>
        </w:rPr>
        <w:t xml:space="preserve">L’attention portée à ces points essentiels a été renforcée par les plans d’action adoptés en décembre </w:t>
      </w:r>
      <w:r w:rsidRPr="00DB3EC6">
        <w:rPr>
          <w:lang w:val="fr-FR"/>
        </w:rPr>
        <w:t>2015</w:t>
      </w:r>
      <w:r w:rsidRPr="00547FAA">
        <w:rPr>
          <w:lang w:val="fr-FR"/>
        </w:rPr>
        <w:t xml:space="preserve"> sur les armes à feu et les explosifs</w:t>
      </w:r>
      <w:r w:rsidRPr="00547FAA">
        <w:rPr>
          <w:rStyle w:val="FootnoteReference"/>
          <w:noProof/>
          <w:lang w:val="fr-FR"/>
        </w:rPr>
        <w:footnoteReference w:id="9"/>
      </w:r>
      <w:r w:rsidRPr="00547FAA">
        <w:rPr>
          <w:lang w:val="fr-FR"/>
        </w:rPr>
        <w:t xml:space="preserve"> et en février </w:t>
      </w:r>
      <w:r w:rsidRPr="00DB3EC6">
        <w:rPr>
          <w:lang w:val="fr-FR"/>
        </w:rPr>
        <w:t>2016</w:t>
      </w:r>
      <w:r w:rsidRPr="00547FAA">
        <w:rPr>
          <w:lang w:val="fr-FR"/>
        </w:rPr>
        <w:t xml:space="preserve"> sur le renforcement de la lutte contre le financement du terrorisme</w:t>
      </w:r>
      <w:r w:rsidRPr="00547FAA">
        <w:rPr>
          <w:rStyle w:val="FootnoteReference"/>
          <w:noProof/>
          <w:lang w:val="fr-FR"/>
        </w:rPr>
        <w:footnoteReference w:id="10"/>
      </w:r>
      <w:r w:rsidRPr="00547FAA">
        <w:rPr>
          <w:lang w:val="fr-FR"/>
        </w:rPr>
        <w:t xml:space="preserve">, ainsi que dans la communication du </w:t>
      </w:r>
      <w:r w:rsidRPr="00DB3EC6">
        <w:rPr>
          <w:lang w:val="fr-FR"/>
        </w:rPr>
        <w:t>6</w:t>
      </w:r>
      <w:r w:rsidRPr="00547FAA">
        <w:rPr>
          <w:lang w:val="fr-FR"/>
        </w:rPr>
        <w:t xml:space="preserve"> avril </w:t>
      </w:r>
      <w:r w:rsidRPr="00DB3EC6">
        <w:rPr>
          <w:lang w:val="fr-FR"/>
        </w:rPr>
        <w:t>2016</w:t>
      </w:r>
      <w:r w:rsidRPr="00547FAA">
        <w:rPr>
          <w:lang w:val="fr-FR"/>
        </w:rPr>
        <w:t xml:space="preserve"> sur des systèmes d’information plus robustes et plus intelligents au service des frontières et de la sécurité</w:t>
      </w:r>
      <w:r w:rsidRPr="00547FAA">
        <w:rPr>
          <w:rStyle w:val="FootnoteReference"/>
          <w:noProof/>
          <w:lang w:val="fr-FR"/>
        </w:rPr>
        <w:footnoteReference w:id="11"/>
      </w:r>
      <w:r w:rsidRPr="00547FAA">
        <w:rPr>
          <w:lang w:val="fr-FR"/>
        </w:rPr>
        <w:t>.</w:t>
      </w:r>
    </w:p>
    <w:p w:rsidR="00CF2D94" w:rsidRPr="00547FAA" w:rsidRDefault="00CF2D94" w:rsidP="00CF2D94">
      <w:pPr>
        <w:jc w:val="both"/>
        <w:rPr>
          <w:noProof/>
          <w:lang w:val="fr-FR"/>
        </w:rPr>
      </w:pPr>
    </w:p>
    <w:p w:rsidR="00CF2D94" w:rsidRPr="00547FAA" w:rsidRDefault="00CF2D94" w:rsidP="00CF2D94">
      <w:pPr>
        <w:jc w:val="both"/>
        <w:rPr>
          <w:b/>
          <w:noProof/>
          <w:lang w:val="fr-FR"/>
        </w:rPr>
      </w:pPr>
    </w:p>
    <w:p w:rsidR="00CF2D94" w:rsidRPr="00547FAA" w:rsidRDefault="00CF2D94" w:rsidP="00CF2D94">
      <w:pPr>
        <w:jc w:val="both"/>
        <w:rPr>
          <w:b/>
          <w:noProof/>
          <w:lang w:val="fr-FR"/>
        </w:rPr>
      </w:pPr>
      <w:r w:rsidRPr="00DB3EC6">
        <w:rPr>
          <w:b/>
          <w:noProof/>
          <w:lang w:val="fr-FR"/>
        </w:rPr>
        <w:t>2</w:t>
      </w:r>
      <w:r w:rsidRPr="00547FAA">
        <w:rPr>
          <w:b/>
          <w:noProof/>
          <w:lang w:val="fr-FR"/>
        </w:rPr>
        <w:t>.</w:t>
      </w:r>
      <w:r w:rsidRPr="00DB3EC6">
        <w:rPr>
          <w:b/>
          <w:noProof/>
          <w:lang w:val="fr-FR"/>
        </w:rPr>
        <w:t>1</w:t>
      </w:r>
      <w:r w:rsidRPr="00547FAA">
        <w:rPr>
          <w:lang w:val="fr-FR"/>
        </w:rPr>
        <w:tab/>
      </w:r>
      <w:r w:rsidRPr="00547FAA">
        <w:rPr>
          <w:b/>
          <w:noProof/>
          <w:lang w:val="fr-FR"/>
        </w:rPr>
        <w:t>S’attaquer à la menace que représentent les combattants terroristes étrangers de retour dans leur pays</w:t>
      </w:r>
    </w:p>
    <w:p w:rsidR="00CF2D94" w:rsidRPr="00547FAA" w:rsidRDefault="00CF2D94" w:rsidP="00CF2D94">
      <w:pPr>
        <w:jc w:val="both"/>
        <w:rPr>
          <w:b/>
          <w:noProof/>
          <w:lang w:val="fr-FR"/>
        </w:rPr>
      </w:pPr>
    </w:p>
    <w:p w:rsidR="00CF2D94" w:rsidRPr="00547FAA" w:rsidRDefault="00CF2D94" w:rsidP="00CF2D94">
      <w:pPr>
        <w:jc w:val="both"/>
        <w:rPr>
          <w:noProof/>
          <w:lang w:val="fr-FR"/>
        </w:rPr>
      </w:pPr>
      <w:r w:rsidRPr="00547FAA">
        <w:rPr>
          <w:lang w:val="fr-FR"/>
        </w:rPr>
        <w:t>Selon une étude récente</w:t>
      </w:r>
      <w:r w:rsidRPr="00547FAA">
        <w:rPr>
          <w:rStyle w:val="FootnoteReference"/>
          <w:noProof/>
          <w:lang w:val="fr-FR"/>
        </w:rPr>
        <w:footnoteReference w:id="12"/>
      </w:r>
      <w:r w:rsidRPr="00547FAA">
        <w:rPr>
          <w:lang w:val="fr-FR"/>
        </w:rPr>
        <w:t xml:space="preserve">, sur les </w:t>
      </w:r>
      <w:r w:rsidRPr="00DB3EC6">
        <w:rPr>
          <w:lang w:val="fr-FR"/>
        </w:rPr>
        <w:t>4</w:t>
      </w:r>
      <w:r w:rsidRPr="00547FAA">
        <w:rPr>
          <w:lang w:val="fr-FR"/>
        </w:rPr>
        <w:t> </w:t>
      </w:r>
      <w:r w:rsidRPr="00DB3EC6">
        <w:rPr>
          <w:lang w:val="fr-FR"/>
        </w:rPr>
        <w:t>000</w:t>
      </w:r>
      <w:r w:rsidRPr="00547FAA">
        <w:rPr>
          <w:lang w:val="fr-FR"/>
        </w:rPr>
        <w:t xml:space="preserve"> combattants étrangers supposés provenir des États membres de l’UE, </w:t>
      </w:r>
      <w:r w:rsidRPr="00DB3EC6">
        <w:rPr>
          <w:lang w:val="fr-FR"/>
        </w:rPr>
        <w:t>30</w:t>
      </w:r>
      <w:r w:rsidRPr="00547FAA">
        <w:rPr>
          <w:lang w:val="fr-FR"/>
        </w:rPr>
        <w:t xml:space="preserve"> % environ sont revenus dans leur pays d’origine. Des combattants étrangers de retour dans leur pays étaient impliqués dans les attentats terroristes de </w:t>
      </w:r>
      <w:r w:rsidRPr="00DB3EC6">
        <w:rPr>
          <w:lang w:val="fr-FR"/>
        </w:rPr>
        <w:t>2015</w:t>
      </w:r>
      <w:r w:rsidRPr="00547FAA">
        <w:rPr>
          <w:lang w:val="fr-FR"/>
        </w:rPr>
        <w:t xml:space="preserve"> et de </w:t>
      </w:r>
      <w:r w:rsidRPr="00DB3EC6">
        <w:rPr>
          <w:lang w:val="fr-FR"/>
        </w:rPr>
        <w:t>2016</w:t>
      </w:r>
      <w:r w:rsidRPr="00547FAA">
        <w:rPr>
          <w:lang w:val="fr-FR"/>
        </w:rPr>
        <w:t>. Certains combattants étrangers ont sans doute reçu l’instruction de retourner en Europe pour commettre des attentats terroristes, diffuser la propagande de Daech et radicaliser et recruter d’autres personnes.</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La première priorité consiste à faire en sorte que les autorités nationales soient informées des déplacements des combattants terroristes étrangers, qu’ils quittent leur territoire ou qu’ils y entrent, et qu’elles échangent ces informations entre elles et avec les agences de l’UE. La Commission a proposé plusieurs mesures, qui doivent être adoptées et mises en œuvre rapidement par les États membres:</w:t>
      </w:r>
    </w:p>
    <w:p w:rsidR="00CF2D94" w:rsidRPr="00547FAA" w:rsidRDefault="00CF2D94" w:rsidP="00CF2D94">
      <w:pPr>
        <w:jc w:val="both"/>
        <w:rPr>
          <w:noProof/>
          <w:lang w:val="fr-FR"/>
        </w:rPr>
      </w:pPr>
    </w:p>
    <w:p w:rsidR="00CF2D94" w:rsidRPr="00547FAA" w:rsidRDefault="00CF2D94" w:rsidP="00CF2D94">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Le système d’information Schengen</w:t>
      </w:r>
      <w:r w:rsidRPr="00547FAA">
        <w:rPr>
          <w:rFonts w:ascii="Times New Roman" w:hAnsi="Times New Roman"/>
          <w:noProof/>
          <w:sz w:val="24"/>
          <w:lang w:val="fr-FR"/>
        </w:rPr>
        <w:t xml:space="preserve">: ce système constitue la plus grande base de données sur la sécurité en Europe. Il contient plus de </w:t>
      </w:r>
      <w:r w:rsidRPr="00DB3EC6">
        <w:rPr>
          <w:rFonts w:ascii="Times New Roman" w:hAnsi="Times New Roman"/>
          <w:noProof/>
          <w:sz w:val="24"/>
          <w:lang w:val="fr-FR"/>
        </w:rPr>
        <w:t>64</w:t>
      </w:r>
      <w:r w:rsidRPr="00547FAA">
        <w:rPr>
          <w:rFonts w:ascii="Times New Roman" w:hAnsi="Times New Roman"/>
          <w:noProof/>
          <w:sz w:val="24"/>
          <w:lang w:val="fr-FR"/>
        </w:rPr>
        <w:t xml:space="preserve"> millions de signalements introduits par </w:t>
      </w:r>
      <w:r w:rsidRPr="00DB3EC6">
        <w:rPr>
          <w:rFonts w:ascii="Times New Roman" w:hAnsi="Times New Roman"/>
          <w:noProof/>
          <w:sz w:val="24"/>
          <w:lang w:val="fr-FR"/>
        </w:rPr>
        <w:t>29</w:t>
      </w:r>
      <w:r w:rsidRPr="00547FAA">
        <w:rPr>
          <w:rFonts w:ascii="Times New Roman" w:hAnsi="Times New Roman"/>
          <w:noProof/>
          <w:sz w:val="24"/>
          <w:lang w:val="fr-FR"/>
        </w:rPr>
        <w:t xml:space="preserve"> pays européens. Les autorités nationales ont effectué </w:t>
      </w:r>
      <w:r w:rsidRPr="00DB3EC6">
        <w:rPr>
          <w:rFonts w:ascii="Times New Roman" w:hAnsi="Times New Roman"/>
          <w:noProof/>
          <w:sz w:val="24"/>
          <w:lang w:val="fr-FR"/>
        </w:rPr>
        <w:t>3</w:t>
      </w:r>
      <w:r w:rsidRPr="00547FAA">
        <w:rPr>
          <w:rFonts w:ascii="Times New Roman" w:hAnsi="Times New Roman"/>
          <w:noProof/>
          <w:sz w:val="24"/>
          <w:lang w:val="fr-FR"/>
        </w:rPr>
        <w:t xml:space="preserve"> milliards de consultations dans la base de données en </w:t>
      </w:r>
      <w:r w:rsidRPr="00DB3EC6">
        <w:rPr>
          <w:rFonts w:ascii="Times New Roman" w:hAnsi="Times New Roman"/>
          <w:noProof/>
          <w:sz w:val="24"/>
          <w:lang w:val="fr-FR"/>
        </w:rPr>
        <w:t>2015</w:t>
      </w:r>
      <w:r w:rsidRPr="00547FAA">
        <w:rPr>
          <w:rFonts w:ascii="Times New Roman" w:hAnsi="Times New Roman"/>
          <w:noProof/>
          <w:sz w:val="24"/>
          <w:lang w:val="fr-FR"/>
        </w:rPr>
        <w:t xml:space="preserve">, ce qui représente une augmentation de </w:t>
      </w:r>
      <w:r w:rsidRPr="00DB3EC6">
        <w:rPr>
          <w:rFonts w:ascii="Times New Roman" w:hAnsi="Times New Roman"/>
          <w:noProof/>
          <w:sz w:val="24"/>
          <w:lang w:val="fr-FR"/>
        </w:rPr>
        <w:t>300</w:t>
      </w:r>
      <w:r w:rsidRPr="00547FAA">
        <w:rPr>
          <w:rFonts w:ascii="Times New Roman" w:hAnsi="Times New Roman"/>
          <w:noProof/>
          <w:sz w:val="24"/>
          <w:lang w:val="fr-FR"/>
        </w:rPr>
        <w:t xml:space="preserve"> % par rapport à juin </w:t>
      </w:r>
      <w:r w:rsidRPr="00DB3EC6">
        <w:rPr>
          <w:rFonts w:ascii="Times New Roman" w:hAnsi="Times New Roman"/>
          <w:noProof/>
          <w:sz w:val="24"/>
          <w:lang w:val="fr-FR"/>
        </w:rPr>
        <w:t>2013</w:t>
      </w:r>
      <w:r w:rsidRPr="00547FAA">
        <w:rPr>
          <w:rFonts w:ascii="Times New Roman" w:hAnsi="Times New Roman"/>
          <w:noProof/>
          <w:sz w:val="24"/>
          <w:lang w:val="fr-FR"/>
        </w:rPr>
        <w:t xml:space="preserve">. En juin </w:t>
      </w:r>
      <w:r w:rsidRPr="00DB3EC6">
        <w:rPr>
          <w:rFonts w:ascii="Times New Roman" w:hAnsi="Times New Roman"/>
          <w:noProof/>
          <w:sz w:val="24"/>
          <w:lang w:val="fr-FR"/>
        </w:rPr>
        <w:t>2016</w:t>
      </w:r>
      <w:r w:rsidRPr="00547FAA">
        <w:rPr>
          <w:rFonts w:ascii="Times New Roman" w:hAnsi="Times New Roman"/>
          <w:noProof/>
          <w:sz w:val="24"/>
          <w:lang w:val="fr-FR"/>
        </w:rPr>
        <w:t>, le Conseil «Justice et affaires intérieures» examinera les moyens de résoudre les problèmes opérationnels que pose le système d’information Schengen pour ce qui est des combattants terroristes étrangers. Plus tard dans l’année, la Commission proposera de revoir le système d’information Schengen en ce qui concerne le retour des migrants en situation irrégulière et les interdictions d’entrée, l’utilisation d’images faciales pour l’identification biométrique et la création de nouveaux signalements de personnes inconnues recherchées, ce qui augmentera la valeur ajoutée du système à des fins répressives</w:t>
      </w:r>
      <w:r w:rsidRPr="00547FAA">
        <w:rPr>
          <w:rStyle w:val="FootnoteReference"/>
          <w:rFonts w:ascii="Times New Roman" w:hAnsi="Times New Roman"/>
          <w:noProof/>
          <w:sz w:val="24"/>
          <w:lang w:val="fr-FR"/>
        </w:rPr>
        <w:footnoteReference w:id="13"/>
      </w:r>
      <w:r w:rsidRPr="00547FAA">
        <w:rPr>
          <w:rFonts w:ascii="Times New Roman" w:hAnsi="Times New Roman"/>
          <w:noProof/>
          <w:sz w:val="24"/>
          <w:lang w:val="fr-FR"/>
        </w:rPr>
        <w:t>. D’ici la mi-</w:t>
      </w:r>
      <w:r w:rsidRPr="00DB3EC6">
        <w:rPr>
          <w:rFonts w:ascii="Times New Roman" w:hAnsi="Times New Roman"/>
          <w:noProof/>
          <w:sz w:val="24"/>
          <w:lang w:val="fr-FR"/>
        </w:rPr>
        <w:t>2017</w:t>
      </w:r>
      <w:r w:rsidRPr="00547FAA">
        <w:rPr>
          <w:rFonts w:ascii="Times New Roman" w:hAnsi="Times New Roman"/>
          <w:noProof/>
          <w:sz w:val="24"/>
          <w:lang w:val="fr-FR"/>
        </w:rPr>
        <w:t>, elle ajoutera aussi une fonction de recherche automatisée des empreintes digitales au système, comme le prévoit déjà le cadre juridique existant. Dans l’intervalle, les États membres devraient introduire dans le système des signalements concernant toutes les mesures d’éloignement, de renvoi ou d’expulsion de leur territoire.</w:t>
      </w:r>
    </w:p>
    <w:p w:rsidR="00CF2D94" w:rsidRPr="00547FAA" w:rsidRDefault="00CF2D94" w:rsidP="00CF2D94">
      <w:pPr>
        <w:jc w:val="both"/>
        <w:rPr>
          <w:noProof/>
          <w:lang w:val="fr-FR"/>
        </w:rPr>
      </w:pPr>
    </w:p>
    <w:p w:rsidR="00CF2D94" w:rsidRPr="00547FAA" w:rsidRDefault="00CF2D94" w:rsidP="00CF2D94">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Les indicateurs de risque communs</w:t>
      </w:r>
      <w:r w:rsidRPr="00547FAA">
        <w:rPr>
          <w:rFonts w:ascii="Times New Roman" w:hAnsi="Times New Roman"/>
          <w:noProof/>
          <w:sz w:val="24"/>
          <w:lang w:val="fr-FR"/>
        </w:rPr>
        <w:t xml:space="preserve">: en juin </w:t>
      </w:r>
      <w:r w:rsidRPr="00DB3EC6">
        <w:rPr>
          <w:rFonts w:ascii="Times New Roman" w:hAnsi="Times New Roman"/>
          <w:noProof/>
          <w:sz w:val="24"/>
          <w:lang w:val="fr-FR"/>
        </w:rPr>
        <w:t>2015</w:t>
      </w:r>
      <w:r w:rsidRPr="00547FAA">
        <w:rPr>
          <w:rFonts w:ascii="Times New Roman" w:hAnsi="Times New Roman"/>
          <w:noProof/>
          <w:sz w:val="24"/>
          <w:lang w:val="fr-FR"/>
        </w:rPr>
        <w:t>, la Commission a apporté la dernière touche à une première série d’indicateurs de risque communs, concernant les combattants terroristes étrangers, dans le but de détecter les déplacements des terroristes</w:t>
      </w:r>
      <w:r w:rsidRPr="00547FAA">
        <w:rPr>
          <w:rStyle w:val="FootnoteReference"/>
          <w:rFonts w:ascii="Times New Roman" w:hAnsi="Times New Roman"/>
          <w:noProof/>
          <w:sz w:val="24"/>
          <w:lang w:val="fr-FR"/>
        </w:rPr>
        <w:footnoteReference w:id="14"/>
      </w:r>
      <w:r w:rsidRPr="00547FAA">
        <w:rPr>
          <w:rFonts w:ascii="Times New Roman" w:hAnsi="Times New Roman"/>
          <w:noProof/>
          <w:sz w:val="24"/>
          <w:lang w:val="fr-FR"/>
        </w:rPr>
        <w:t>. Les autorités nationales de surveillance des frontières peuvent désormais s’appuyer sur ces indicateurs de risque communs et sur les orientations fournies par Frontex lorsqu’elles effectuent des contrôles sur les personnes.</w:t>
      </w:r>
    </w:p>
    <w:p w:rsidR="00CF2D94" w:rsidRPr="00547FAA" w:rsidRDefault="00CF2D94" w:rsidP="00CF2D94">
      <w:pPr>
        <w:pStyle w:val="ListParagraph"/>
        <w:spacing w:after="0" w:line="240" w:lineRule="auto"/>
        <w:jc w:val="both"/>
        <w:rPr>
          <w:rFonts w:ascii="Times New Roman" w:hAnsi="Times New Roman" w:cs="Times New Roman"/>
          <w:noProof/>
          <w:sz w:val="24"/>
          <w:szCs w:val="24"/>
          <w:lang w:val="fr-FR"/>
        </w:rPr>
      </w:pPr>
    </w:p>
    <w:p w:rsidR="00CF2D94" w:rsidRPr="00547FAA" w:rsidRDefault="00CF2D94" w:rsidP="00CF2D94">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Le renforcement des frontières extérieures</w:t>
      </w:r>
      <w:r w:rsidRPr="00547FAA">
        <w:rPr>
          <w:rFonts w:ascii="Times New Roman" w:hAnsi="Times New Roman"/>
          <w:noProof/>
          <w:sz w:val="24"/>
          <w:lang w:val="fr-FR"/>
        </w:rPr>
        <w:t xml:space="preserve">: une fois la proposition adoptée par les colégislateurs, d’ici juin au plus tard, le </w:t>
      </w:r>
      <w:r w:rsidRPr="00547FAA">
        <w:rPr>
          <w:rFonts w:ascii="Times New Roman" w:hAnsi="Times New Roman"/>
          <w:noProof/>
          <w:sz w:val="24"/>
          <w:u w:val="single"/>
          <w:lang w:val="fr-FR"/>
        </w:rPr>
        <w:t>corps européen de garde-frontières et de garde-</w:t>
      </w:r>
      <w:r w:rsidRPr="00547FAA">
        <w:rPr>
          <w:rFonts w:ascii="Times New Roman" w:hAnsi="Times New Roman"/>
          <w:noProof/>
          <w:sz w:val="24"/>
          <w:u w:val="single"/>
          <w:lang w:val="fr-FR"/>
        </w:rPr>
        <w:lastRenderedPageBreak/>
        <w:t>côtes</w:t>
      </w:r>
      <w:r w:rsidRPr="00547FAA">
        <w:rPr>
          <w:rStyle w:val="FootnoteReference"/>
          <w:rFonts w:ascii="Times New Roman" w:hAnsi="Times New Roman"/>
          <w:noProof/>
          <w:sz w:val="24"/>
          <w:lang w:val="fr-FR"/>
        </w:rPr>
        <w:footnoteReference w:id="15"/>
      </w:r>
      <w:r w:rsidRPr="00547FAA">
        <w:rPr>
          <w:rFonts w:ascii="Times New Roman" w:hAnsi="Times New Roman"/>
          <w:noProof/>
          <w:sz w:val="24"/>
          <w:lang w:val="fr-FR"/>
        </w:rPr>
        <w:t xml:space="preserve"> fera entrer la gestion intégrée des frontières dans une nouvelle phase et renforcera les normes communes aux frontières extérieures. La Commission a également présenté des propositions visant à modifier le code frontières Schengen</w:t>
      </w:r>
      <w:r w:rsidRPr="00547FAA">
        <w:rPr>
          <w:rStyle w:val="FootnoteReference"/>
          <w:rFonts w:ascii="Times New Roman" w:hAnsi="Times New Roman"/>
          <w:noProof/>
          <w:sz w:val="24"/>
          <w:lang w:val="fr-FR"/>
        </w:rPr>
        <w:footnoteReference w:id="16"/>
      </w:r>
      <w:r w:rsidRPr="00547FAA">
        <w:rPr>
          <w:rFonts w:ascii="Times New Roman" w:hAnsi="Times New Roman"/>
          <w:noProof/>
          <w:sz w:val="24"/>
          <w:lang w:val="fr-FR"/>
        </w:rPr>
        <w:t xml:space="preserve"> pour imposer l’obligation d’effectuer, aux frontières extérieures, des vérifications systématiques sur toutes les personnes, y compris les citoyens de l’UE et les membres de leur famille, en consultant les bases de données pertinentes des services répressifs, afin de détecter les individus qui représentent une menace pour l’ordre public et la sécurité intérieure. Par ailleurs, la Commission a révisé le manuel Schengen afin de clarifier la notion de «vérifications non systématiques» et elle a fourni des orientations pour aider les garde-frontières à saisir les documents invalidés.</w:t>
      </w:r>
      <w:r w:rsidRPr="00547FAA">
        <w:rPr>
          <w:lang w:val="fr-FR"/>
        </w:rPr>
        <w:tab/>
      </w:r>
      <w:r w:rsidRPr="00547FAA">
        <w:rPr>
          <w:rFonts w:ascii="Times New Roman" w:hAnsi="Times New Roman" w:cs="Times New Roman"/>
          <w:noProof/>
          <w:sz w:val="24"/>
          <w:szCs w:val="24"/>
          <w:lang w:val="fr-FR"/>
        </w:rPr>
        <w:br/>
      </w:r>
    </w:p>
    <w:p w:rsidR="00CF2D94" w:rsidRPr="00547FAA" w:rsidRDefault="00CF2D94" w:rsidP="00CF2D94">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Les centres d’enregistrement (</w:t>
      </w:r>
      <w:r w:rsidRPr="00547FAA">
        <w:rPr>
          <w:rFonts w:ascii="Times New Roman" w:hAnsi="Times New Roman"/>
          <w:i/>
          <w:noProof/>
          <w:sz w:val="24"/>
          <w:u w:val="single"/>
          <w:lang w:val="fr-FR"/>
        </w:rPr>
        <w:t>hotspots</w:t>
      </w:r>
      <w:r w:rsidRPr="00547FAA">
        <w:rPr>
          <w:rFonts w:ascii="Times New Roman" w:hAnsi="Times New Roman"/>
          <w:noProof/>
          <w:sz w:val="24"/>
          <w:u w:val="single"/>
          <w:lang w:val="fr-FR"/>
        </w:rPr>
        <w:t>)</w:t>
      </w:r>
      <w:r w:rsidRPr="00547FAA">
        <w:rPr>
          <w:rFonts w:ascii="Times New Roman" w:hAnsi="Times New Roman"/>
          <w:noProof/>
          <w:sz w:val="24"/>
          <w:lang w:val="fr-FR"/>
        </w:rPr>
        <w:t>: ces derniers mois, certains terroristes ont tenté de tirer parti de l’afflux massif de personnes en situation irrégulière aux frontières extérieures de l’UE. Le système de centres d’enregistrement aide à identifier les personnes qui représentent une menace pour la sécurité de l’UE et à les séparer de celles qui ont besoin d’une protection. La séquence des opérations effectuées dans ces centres et le processus de relocalisation comprennent des contrôles de sécurité intégrés et systématiques</w:t>
      </w:r>
      <w:r w:rsidRPr="00547FAA">
        <w:rPr>
          <w:rStyle w:val="FootnoteReference"/>
          <w:rFonts w:ascii="Times New Roman" w:hAnsi="Times New Roman"/>
          <w:noProof/>
          <w:sz w:val="24"/>
          <w:lang w:val="fr-FR"/>
        </w:rPr>
        <w:footnoteReference w:id="17"/>
      </w:r>
      <w:r w:rsidRPr="00547FAA">
        <w:rPr>
          <w:rFonts w:ascii="Times New Roman" w:hAnsi="Times New Roman"/>
          <w:noProof/>
          <w:sz w:val="24"/>
          <w:lang w:val="fr-FR"/>
        </w:rPr>
        <w:t>, Frontex et Europol apportant leur aide pour l’enregistrement et le relevé des empreintes digitales des arrivants.</w:t>
      </w:r>
    </w:p>
    <w:p w:rsidR="00CF2D94" w:rsidRPr="00547FAA" w:rsidRDefault="00CF2D94" w:rsidP="00CF2D94">
      <w:pPr>
        <w:jc w:val="both"/>
        <w:rPr>
          <w:noProof/>
          <w:lang w:val="fr-FR"/>
        </w:rPr>
      </w:pPr>
    </w:p>
    <w:p w:rsidR="00CF2D94" w:rsidRPr="00547FAA" w:rsidRDefault="00CF2D94" w:rsidP="00CF2D94">
      <w:pPr>
        <w:pStyle w:val="ListParagraph"/>
        <w:numPr>
          <w:ilvl w:val="0"/>
          <w:numId w:val="5"/>
        </w:numPr>
        <w:spacing w:after="0" w:line="240" w:lineRule="auto"/>
        <w:ind w:left="426"/>
        <w:jc w:val="both"/>
        <w:rPr>
          <w:noProof/>
          <w:lang w:val="fr-FR"/>
        </w:rPr>
      </w:pPr>
      <w:r w:rsidRPr="00547FAA">
        <w:rPr>
          <w:rFonts w:ascii="Times New Roman" w:hAnsi="Times New Roman"/>
          <w:noProof/>
          <w:sz w:val="24"/>
          <w:lang w:val="fr-FR"/>
        </w:rPr>
        <w:t>Dans sa proposition de directive relative à la lutte contre le terrorisme</w:t>
      </w:r>
      <w:r w:rsidRPr="00547FAA">
        <w:rPr>
          <w:rFonts w:ascii="Times New Roman" w:hAnsi="Times New Roman"/>
          <w:noProof/>
          <w:sz w:val="24"/>
          <w:vertAlign w:val="superscript"/>
          <w:lang w:val="fr-FR"/>
        </w:rPr>
        <w:footnoteReference w:id="18"/>
      </w:r>
      <w:r w:rsidRPr="00547FAA">
        <w:rPr>
          <w:rFonts w:ascii="Times New Roman" w:hAnsi="Times New Roman"/>
          <w:noProof/>
          <w:sz w:val="24"/>
          <w:lang w:val="fr-FR"/>
        </w:rPr>
        <w:t xml:space="preserve"> (voir le point </w:t>
      </w:r>
      <w:r w:rsidRPr="00DB3EC6">
        <w:rPr>
          <w:rFonts w:ascii="Times New Roman" w:hAnsi="Times New Roman"/>
          <w:noProof/>
          <w:sz w:val="24"/>
          <w:lang w:val="fr-FR"/>
        </w:rPr>
        <w:t>2</w:t>
      </w:r>
      <w:r w:rsidRPr="00547FAA">
        <w:rPr>
          <w:rFonts w:ascii="Times New Roman" w:hAnsi="Times New Roman"/>
          <w:noProof/>
          <w:sz w:val="24"/>
          <w:lang w:val="fr-FR"/>
        </w:rPr>
        <w:t>.</w:t>
      </w:r>
      <w:r w:rsidRPr="00DB3EC6">
        <w:rPr>
          <w:rFonts w:ascii="Times New Roman" w:hAnsi="Times New Roman"/>
          <w:noProof/>
          <w:sz w:val="24"/>
          <w:lang w:val="fr-FR"/>
        </w:rPr>
        <w:t>3</w:t>
      </w:r>
      <w:r w:rsidRPr="00547FAA">
        <w:rPr>
          <w:rFonts w:ascii="Times New Roman" w:hAnsi="Times New Roman"/>
          <w:noProof/>
          <w:sz w:val="24"/>
          <w:lang w:val="fr-FR"/>
        </w:rPr>
        <w:t xml:space="preserve"> ci-dessous), la Commission a inclus de </w:t>
      </w:r>
      <w:r w:rsidRPr="00547FAA">
        <w:rPr>
          <w:rFonts w:ascii="Times New Roman" w:hAnsi="Times New Roman"/>
          <w:noProof/>
          <w:sz w:val="24"/>
          <w:u w:val="single"/>
          <w:lang w:val="fr-FR"/>
        </w:rPr>
        <w:t>nouvelles infractions pénales</w:t>
      </w:r>
      <w:r w:rsidRPr="00547FAA">
        <w:rPr>
          <w:rFonts w:ascii="Times New Roman" w:hAnsi="Times New Roman"/>
          <w:noProof/>
          <w:sz w:val="24"/>
          <w:lang w:val="fr-FR"/>
        </w:rPr>
        <w:t>, constituées par les voyages à l’étranger, à destination de l’UE et au sein de l’UE à des fins de terrorisme</w:t>
      </w:r>
      <w:r w:rsidRPr="00547FAA">
        <w:rPr>
          <w:rFonts w:ascii="Times New Roman" w:hAnsi="Times New Roman"/>
          <w:noProof/>
          <w:sz w:val="24"/>
          <w:vertAlign w:val="superscript"/>
          <w:lang w:val="fr-FR"/>
        </w:rPr>
        <w:footnoteReference w:id="19"/>
      </w:r>
      <w:r w:rsidRPr="00547FAA">
        <w:rPr>
          <w:rFonts w:ascii="Times New Roman" w:hAnsi="Times New Roman"/>
          <w:noProof/>
          <w:sz w:val="24"/>
          <w:lang w:val="fr-FR"/>
        </w:rPr>
        <w:t>. Il y a lieu de maintenir le niveau d’ambition de la proposition de la Commission tout au long du processus législatif pour répondre de manière adéquate à la menace que représentent en particulier les terroristes qui reviennent dans l’UE.</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noProof/>
          <w:u w:val="single"/>
          <w:lang w:val="fr-FR"/>
        </w:rPr>
        <w:t>D’autres mesures s’imposent également</w:t>
      </w:r>
      <w:r w:rsidRPr="00547FAA">
        <w:rPr>
          <w:lang w:val="fr-FR"/>
        </w:rPr>
        <w:t>: il est essentiel que tous les combattants étrangers qui reviennent soient identifiés, interrogés et passés au crible pour évaluer le niveau de risque qu’ils représentent. Il convient que les individus considérés comme dangereux ne puissent pas prendre la fuite. Il y a lieu que les informations relatives aux personnes de retour soient communiquées systématiquement au Centre européen de la lutte contre le terrorisme établi au sein d’Europol et aux autres États membres au moyen du système d’information Schengen.</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 xml:space="preserve">En outre, il convient que la </w:t>
      </w:r>
      <w:r w:rsidRPr="00547FAA">
        <w:rPr>
          <w:noProof/>
          <w:u w:val="single"/>
          <w:lang w:val="fr-FR"/>
        </w:rPr>
        <w:t>directive relative à l’utilisation des données des dossiers passagers (PNR)</w:t>
      </w:r>
      <w:r w:rsidRPr="00547FAA">
        <w:rPr>
          <w:lang w:val="fr-FR"/>
        </w:rPr>
        <w:t xml:space="preserve"> soit adoptée formellement par le Conseil et mise en œuvre de toute urgence</w:t>
      </w:r>
      <w:r w:rsidRPr="00547FAA">
        <w:rPr>
          <w:rStyle w:val="FootnoteReference"/>
          <w:noProof/>
          <w:lang w:val="fr-FR"/>
        </w:rPr>
        <w:footnoteReference w:id="20"/>
      </w:r>
      <w:r w:rsidRPr="00547FAA">
        <w:rPr>
          <w:lang w:val="fr-FR"/>
        </w:rPr>
        <w:t>.</w:t>
      </w:r>
    </w:p>
    <w:p w:rsidR="00CF2D94" w:rsidRPr="00547FAA" w:rsidRDefault="00CF2D94" w:rsidP="00CF2D94">
      <w:pPr>
        <w:jc w:val="both"/>
        <w:rPr>
          <w:noProof/>
          <w:lang w:val="fr-FR"/>
        </w:rPr>
      </w:pPr>
    </w:p>
    <w:tbl>
      <w:tblPr>
        <w:tblStyle w:val="TableGrid"/>
        <w:tblW w:w="0" w:type="auto"/>
        <w:tblLook w:val="04A0" w:firstRow="1" w:lastRow="0" w:firstColumn="1" w:lastColumn="0" w:noHBand="0" w:noVBand="1"/>
      </w:tblPr>
      <w:tblGrid>
        <w:gridCol w:w="9288"/>
      </w:tblGrid>
      <w:tr w:rsidR="00CF2D94" w:rsidRPr="00547FAA" w:rsidTr="008D2F99">
        <w:tc>
          <w:tcPr>
            <w:tcW w:w="9288" w:type="dxa"/>
          </w:tcPr>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lastRenderedPageBreak/>
              <w:t>Prochaines étapes:</w:t>
            </w:r>
          </w:p>
          <w:p w:rsidR="00CF2D94" w:rsidRPr="00547FAA" w:rsidRDefault="00CF2D94" w:rsidP="008D2F99">
            <w:pPr>
              <w:jc w:val="both"/>
              <w:rPr>
                <w:rFonts w:ascii="Times New Roman" w:hAnsi="Times New Roman" w:cs="Times New Roman"/>
                <w:b/>
                <w:i/>
                <w:noProof/>
                <w:lang w:val="fr-FR"/>
              </w:rPr>
            </w:pPr>
          </w:p>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t>Les États membres devraient: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introduire systématiquement toutes les informations ayant trait au terrorisme dans le système d’information Schengen. Tous les renseignements utiles concernant les personnes et les objets devraient être indiqués clairement et assortis de la mention «activité liée au terrorisme»;</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informer systématiquement le Centre européen de la lutte contre le terrorisme établi au sein d’Europol des personnes qui sont de retour sur leur territoire;</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appliquer les indicateurs de risque communs lors des contrôles aux frontières;</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veiller à ce que toutes les personnes arrivant dans les centres d’enregistrement soient systématiquement enregistrées et soumises à des contrôles de sécurité et détacher les experts nécessaires auprès d’Europol et de Frontex;</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veiller à ce que toutes les personnes de retour sur leur territoire soient systématiquement interrogées et passées au crible pour évaluer le niveau de risque qu’elles représentent;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adopter la directive sur les données des dossiers passagers au sein du Conseil et la mettre en œuvre de toute urgence.</w:t>
            </w:r>
          </w:p>
          <w:p w:rsidR="00CF2D94" w:rsidRPr="00547FAA" w:rsidRDefault="00CF2D94" w:rsidP="008D2F99">
            <w:pPr>
              <w:jc w:val="both"/>
              <w:rPr>
                <w:rFonts w:ascii="Times New Roman" w:hAnsi="Times New Roman" w:cs="Times New Roman"/>
                <w:noProof/>
                <w:lang w:val="fr-FR"/>
              </w:rPr>
            </w:pPr>
          </w:p>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t>Le Parlement européen et le Conseil devraient: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d’ici juin </w:t>
            </w:r>
            <w:r w:rsidRPr="00DB3EC6">
              <w:rPr>
                <w:rFonts w:ascii="Times New Roman" w:hAnsi="Times New Roman"/>
                <w:noProof/>
                <w:sz w:val="24"/>
                <w:lang w:val="fr-FR"/>
              </w:rPr>
              <w:t>2016</w:t>
            </w:r>
            <w:r w:rsidRPr="00547FAA">
              <w:rPr>
                <w:rFonts w:ascii="Times New Roman" w:hAnsi="Times New Roman"/>
                <w:noProof/>
                <w:sz w:val="24"/>
                <w:lang w:val="fr-FR"/>
              </w:rPr>
              <w:t xml:space="preserve"> au plus tard, adopter les propositions de la Commission concernant la directive relative à la lutte contre le terrorisme, le corps européen de garde-frontières et de garde-côtes et les modifications à apporter au code frontières Schengen, en maintenant un niveau d’ambition élevé.</w:t>
            </w:r>
          </w:p>
          <w:p w:rsidR="00CF2D94" w:rsidRPr="00547FAA" w:rsidRDefault="00CF2D94" w:rsidP="008D2F99">
            <w:pPr>
              <w:jc w:val="both"/>
              <w:rPr>
                <w:rFonts w:ascii="Times New Roman" w:hAnsi="Times New Roman" w:cs="Times New Roman"/>
                <w:b/>
                <w:i/>
                <w:noProof/>
                <w:lang w:val="fr-FR"/>
              </w:rPr>
            </w:pPr>
          </w:p>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t>La Commission entend:</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d’ici juin </w:t>
            </w:r>
            <w:r w:rsidRPr="00DB3EC6">
              <w:rPr>
                <w:rFonts w:ascii="Times New Roman" w:hAnsi="Times New Roman"/>
                <w:noProof/>
                <w:sz w:val="24"/>
                <w:lang w:val="fr-FR"/>
              </w:rPr>
              <w:t>2016</w:t>
            </w:r>
            <w:r w:rsidRPr="00547FAA">
              <w:rPr>
                <w:rFonts w:ascii="Times New Roman" w:hAnsi="Times New Roman"/>
                <w:noProof/>
                <w:sz w:val="24"/>
                <w:lang w:val="fr-FR"/>
              </w:rPr>
              <w:t>, définir, en coopération avec la présidence, des mesures opérationnelles destinées à améliorer l’utilisation du système d’information Schengen en ce qui concerne les combattants terroristes étrangers</w:t>
            </w:r>
            <w:r w:rsidRPr="00547FAA">
              <w:rPr>
                <w:noProof/>
                <w:sz w:val="24"/>
                <w:lang w:val="fr-FR"/>
              </w:rPr>
              <w: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d’ici la fin </w:t>
            </w:r>
            <w:r w:rsidRPr="00DB3EC6">
              <w:rPr>
                <w:rFonts w:ascii="Times New Roman" w:hAnsi="Times New Roman"/>
                <w:noProof/>
                <w:sz w:val="24"/>
                <w:lang w:val="fr-FR"/>
              </w:rPr>
              <w:t>2016</w:t>
            </w:r>
            <w:r w:rsidRPr="00547FAA">
              <w:rPr>
                <w:rFonts w:ascii="Times New Roman" w:hAnsi="Times New Roman"/>
                <w:noProof/>
                <w:sz w:val="24"/>
                <w:lang w:val="fr-FR"/>
              </w:rPr>
              <w:t>, proposer de revoir le système d’information Schengen afin d’en accroître la valeur ajoutée à des fins répressives;</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d’ici octobre </w:t>
            </w:r>
            <w:r w:rsidRPr="00DB3EC6">
              <w:rPr>
                <w:rFonts w:ascii="Times New Roman" w:hAnsi="Times New Roman"/>
                <w:noProof/>
                <w:sz w:val="24"/>
                <w:lang w:val="fr-FR"/>
              </w:rPr>
              <w:t>2016</w:t>
            </w:r>
            <w:r w:rsidRPr="00547FAA">
              <w:rPr>
                <w:rFonts w:ascii="Times New Roman" w:hAnsi="Times New Roman"/>
                <w:noProof/>
                <w:sz w:val="24"/>
                <w:lang w:val="fr-FR"/>
              </w:rPr>
              <w:t>, élaborer une décision d’exécution relative à l’interopérabilité des unités d’informations passagers aux fins de l’échange des données des dossiers passagers.</w:t>
            </w:r>
          </w:p>
          <w:p w:rsidR="00CF2D94" w:rsidRPr="00547FAA" w:rsidRDefault="00CF2D94" w:rsidP="008D2F99">
            <w:pPr>
              <w:pStyle w:val="ListParagraph"/>
              <w:spacing w:after="0" w:line="240" w:lineRule="auto"/>
              <w:jc w:val="both"/>
              <w:rPr>
                <w:rFonts w:ascii="Times New Roman" w:hAnsi="Times New Roman" w:cs="Times New Roman"/>
                <w:noProof/>
                <w:sz w:val="24"/>
                <w:szCs w:val="24"/>
                <w:lang w:val="fr-FR"/>
              </w:rPr>
            </w:pPr>
          </w:p>
        </w:tc>
      </w:tr>
    </w:tbl>
    <w:p w:rsidR="00CF2D94" w:rsidRPr="00547FAA" w:rsidRDefault="00CF2D94" w:rsidP="00CF2D94">
      <w:pPr>
        <w:jc w:val="both"/>
        <w:rPr>
          <w:noProof/>
          <w:lang w:val="fr-FR"/>
        </w:rPr>
      </w:pPr>
    </w:p>
    <w:p w:rsidR="00CF2D94" w:rsidRPr="00547FAA" w:rsidRDefault="00CF2D94" w:rsidP="00CF2D94">
      <w:pPr>
        <w:jc w:val="both"/>
        <w:rPr>
          <w:noProof/>
          <w:lang w:val="fr-FR"/>
        </w:rPr>
      </w:pPr>
    </w:p>
    <w:p w:rsidR="00CF2D94" w:rsidRPr="00547FAA" w:rsidRDefault="00CF2D94" w:rsidP="00CF2D94">
      <w:pPr>
        <w:jc w:val="both"/>
        <w:rPr>
          <w:b/>
          <w:noProof/>
          <w:lang w:val="fr-FR"/>
        </w:rPr>
      </w:pPr>
      <w:r w:rsidRPr="00DB3EC6">
        <w:rPr>
          <w:b/>
          <w:noProof/>
          <w:lang w:val="fr-FR"/>
        </w:rPr>
        <w:t>2</w:t>
      </w:r>
      <w:r w:rsidRPr="00547FAA">
        <w:rPr>
          <w:b/>
          <w:noProof/>
          <w:lang w:val="fr-FR"/>
        </w:rPr>
        <w:t>.</w:t>
      </w:r>
      <w:r w:rsidRPr="00DB3EC6">
        <w:rPr>
          <w:b/>
          <w:noProof/>
          <w:lang w:val="fr-FR"/>
        </w:rPr>
        <w:t>2</w:t>
      </w:r>
      <w:r w:rsidRPr="00547FAA">
        <w:rPr>
          <w:lang w:val="fr-FR"/>
        </w:rPr>
        <w:tab/>
      </w:r>
      <w:r w:rsidRPr="00547FAA">
        <w:rPr>
          <w:b/>
          <w:noProof/>
          <w:lang w:val="fr-FR"/>
        </w:rPr>
        <w:t>Prévenir la radicalisation et lutter contre celle-ci</w:t>
      </w:r>
    </w:p>
    <w:p w:rsidR="00CF2D94" w:rsidRPr="00547FAA" w:rsidRDefault="00CF2D94" w:rsidP="00CF2D94">
      <w:pPr>
        <w:jc w:val="both"/>
        <w:rPr>
          <w:b/>
          <w:noProof/>
          <w:lang w:val="fr-FR"/>
        </w:rPr>
      </w:pPr>
    </w:p>
    <w:p w:rsidR="00CF2D94" w:rsidRPr="00547FAA" w:rsidRDefault="00CF2D94" w:rsidP="00CF2D94">
      <w:pPr>
        <w:jc w:val="both"/>
        <w:rPr>
          <w:noProof/>
          <w:lang w:val="fr-FR"/>
        </w:rPr>
      </w:pPr>
      <w:r w:rsidRPr="00547FAA">
        <w:rPr>
          <w:lang w:val="fr-FR"/>
        </w:rPr>
        <w:t>La plupart des terroristes présumés impliqués dans les attentats de Paris et de Bruxelles sont des ressortissants de l’UE qui se sont radicalisés en faveur d’idéologies violentes rejetant explicitement les valeurs européennes communes. La priorité absolue doit être d’éviter que davantage de personnes se radicalisent et de faire en sorte que celles qui sont déjà radicalisées suivent des programmes de déradicalisation et n’aient pas la possibilité de véhiculer de la propagande terroriste et des discours haineux.</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La Commission a pris des mesures dans les domaines ci-après, qui doivent à présent être mises en œuvre concrètement, au niveau opérationnel, par les États membres:</w:t>
      </w:r>
    </w:p>
    <w:p w:rsidR="00CF2D94" w:rsidRPr="00547FAA" w:rsidRDefault="00CF2D94" w:rsidP="00CF2D94">
      <w:pPr>
        <w:jc w:val="both"/>
        <w:rPr>
          <w:noProof/>
          <w:lang w:val="fr-FR"/>
        </w:rPr>
      </w:pPr>
    </w:p>
    <w:p w:rsidR="00CF2D94" w:rsidRPr="00547FAA" w:rsidRDefault="00CF2D94" w:rsidP="00CF2D94">
      <w:pPr>
        <w:pStyle w:val="ListParagraph"/>
        <w:numPr>
          <w:ilvl w:val="0"/>
          <w:numId w:val="5"/>
        </w:numPr>
        <w:spacing w:after="120" w:line="240" w:lineRule="auto"/>
        <w:ind w:left="426"/>
        <w:jc w:val="both"/>
        <w:rPr>
          <w:rFonts w:ascii="Times New Roman" w:hAnsi="Times New Roman" w:cs="Times New Roman"/>
          <w:noProof/>
          <w:lang w:val="fr-FR"/>
        </w:rPr>
      </w:pPr>
      <w:r w:rsidRPr="00547FAA">
        <w:rPr>
          <w:rFonts w:ascii="Times New Roman" w:hAnsi="Times New Roman"/>
          <w:noProof/>
          <w:sz w:val="24"/>
          <w:u w:val="single"/>
          <w:lang w:val="fr-FR"/>
        </w:rPr>
        <w:lastRenderedPageBreak/>
        <w:t>Le centre d’excellence du réseau de sensibilisation à la radicalisation</w:t>
      </w:r>
      <w:r w:rsidRPr="00547FAA">
        <w:rPr>
          <w:rFonts w:ascii="Times New Roman" w:hAnsi="Times New Roman"/>
          <w:noProof/>
          <w:sz w:val="24"/>
          <w:lang w:val="fr-FR"/>
        </w:rPr>
        <w:t xml:space="preserve">: ce centre a été créé le </w:t>
      </w:r>
      <w:r w:rsidRPr="00DB3EC6">
        <w:rPr>
          <w:rFonts w:ascii="Times New Roman" w:hAnsi="Times New Roman"/>
          <w:noProof/>
          <w:sz w:val="24"/>
          <w:lang w:val="fr-FR"/>
        </w:rPr>
        <w:t>1</w:t>
      </w:r>
      <w:r w:rsidRPr="00547FAA">
        <w:rPr>
          <w:rFonts w:ascii="Times New Roman" w:hAnsi="Times New Roman"/>
          <w:noProof/>
          <w:sz w:val="24"/>
          <w:vertAlign w:val="superscript"/>
          <w:lang w:val="fr-FR"/>
        </w:rPr>
        <w:t>er</w:t>
      </w:r>
      <w:r w:rsidRPr="00547FAA">
        <w:rPr>
          <w:rFonts w:ascii="Times New Roman" w:hAnsi="Times New Roman"/>
          <w:noProof/>
          <w:sz w:val="24"/>
          <w:lang w:val="fr-FR"/>
        </w:rPr>
        <w:t xml:space="preserve"> octobre </w:t>
      </w:r>
      <w:r w:rsidRPr="00DB3EC6">
        <w:rPr>
          <w:rFonts w:ascii="Times New Roman" w:hAnsi="Times New Roman"/>
          <w:noProof/>
          <w:sz w:val="24"/>
          <w:lang w:val="fr-FR"/>
        </w:rPr>
        <w:t>2015</w:t>
      </w:r>
      <w:r w:rsidRPr="00547FAA">
        <w:rPr>
          <w:rFonts w:ascii="Times New Roman" w:hAnsi="Times New Roman"/>
          <w:noProof/>
          <w:sz w:val="24"/>
          <w:lang w:val="fr-FR"/>
        </w:rPr>
        <w:t xml:space="preserve"> afin d’apporter un soutien accru aux États membres et aux pays tiers prioritaires. Il a été renforcé et doté d’un budget de </w:t>
      </w:r>
      <w:r w:rsidRPr="00DB3EC6">
        <w:rPr>
          <w:rFonts w:ascii="Times New Roman" w:hAnsi="Times New Roman"/>
          <w:noProof/>
          <w:sz w:val="24"/>
          <w:lang w:val="fr-FR"/>
        </w:rPr>
        <w:t>25</w:t>
      </w:r>
      <w:r w:rsidRPr="00547FAA">
        <w:rPr>
          <w:rFonts w:ascii="Times New Roman" w:hAnsi="Times New Roman"/>
          <w:noProof/>
          <w:sz w:val="24"/>
          <w:lang w:val="fr-FR"/>
        </w:rPr>
        <w:t> millions d’EUR pour les cinq prochaines années.</w:t>
      </w:r>
    </w:p>
    <w:p w:rsidR="00CF2D94" w:rsidRPr="00547FAA" w:rsidRDefault="00CF2D94" w:rsidP="00CF2D94">
      <w:pPr>
        <w:pStyle w:val="ListParagraph"/>
        <w:spacing w:after="120" w:line="240" w:lineRule="auto"/>
        <w:ind w:left="426"/>
        <w:jc w:val="both"/>
        <w:rPr>
          <w:rFonts w:ascii="Times New Roman" w:hAnsi="Times New Roman" w:cs="Times New Roman"/>
          <w:noProof/>
          <w:sz w:val="24"/>
          <w:szCs w:val="24"/>
          <w:lang w:val="fr-FR"/>
        </w:rPr>
      </w:pPr>
    </w:p>
    <w:p w:rsidR="00CF2D94" w:rsidRPr="00547FAA" w:rsidRDefault="00CF2D94" w:rsidP="00CF2D94">
      <w:pPr>
        <w:pStyle w:val="ListParagraph"/>
        <w:numPr>
          <w:ilvl w:val="0"/>
          <w:numId w:val="5"/>
        </w:numPr>
        <w:spacing w:after="12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 xml:space="preserve">La propagande terroriste et les discours haineux en ligne: </w:t>
      </w:r>
      <w:r w:rsidRPr="00547FAA">
        <w:rPr>
          <w:rFonts w:ascii="Times New Roman" w:hAnsi="Times New Roman"/>
          <w:noProof/>
          <w:sz w:val="24"/>
          <w:lang w:val="fr-FR"/>
        </w:rPr>
        <w:t xml:space="preserve">l’unité de signalement des contenus sur l’internet a été créée le </w:t>
      </w:r>
      <w:r w:rsidRPr="00DB3EC6">
        <w:rPr>
          <w:rFonts w:ascii="Times New Roman" w:hAnsi="Times New Roman"/>
          <w:noProof/>
          <w:sz w:val="24"/>
          <w:lang w:val="fr-FR"/>
        </w:rPr>
        <w:t>1</w:t>
      </w:r>
      <w:r w:rsidRPr="00547FAA">
        <w:rPr>
          <w:rFonts w:ascii="Times New Roman" w:hAnsi="Times New Roman"/>
          <w:noProof/>
          <w:sz w:val="24"/>
          <w:vertAlign w:val="superscript"/>
          <w:lang w:val="fr-FR"/>
        </w:rPr>
        <w:t>er</w:t>
      </w:r>
      <w:r w:rsidRPr="00547FAA">
        <w:rPr>
          <w:rFonts w:ascii="Times New Roman" w:hAnsi="Times New Roman"/>
          <w:noProof/>
          <w:sz w:val="24"/>
          <w:lang w:val="fr-FR"/>
        </w:rPr>
        <w:t xml:space="preserve"> juillet </w:t>
      </w:r>
      <w:r w:rsidRPr="00DB3EC6">
        <w:rPr>
          <w:rFonts w:ascii="Times New Roman" w:hAnsi="Times New Roman"/>
          <w:noProof/>
          <w:sz w:val="24"/>
          <w:lang w:val="fr-FR"/>
        </w:rPr>
        <w:t>2015</w:t>
      </w:r>
      <w:r w:rsidRPr="00547FAA">
        <w:rPr>
          <w:rFonts w:ascii="Times New Roman" w:hAnsi="Times New Roman"/>
          <w:noProof/>
          <w:sz w:val="24"/>
          <w:lang w:val="fr-FR"/>
        </w:rPr>
        <w:t xml:space="preserve"> au sein d’Europol pour cibler les contenus terroristes en ligne. Elle a évalué plus de </w:t>
      </w:r>
      <w:r w:rsidRPr="00DB3EC6">
        <w:rPr>
          <w:rFonts w:ascii="Times New Roman" w:hAnsi="Times New Roman"/>
          <w:noProof/>
          <w:sz w:val="24"/>
          <w:lang w:val="fr-FR"/>
        </w:rPr>
        <w:t>4</w:t>
      </w:r>
      <w:r w:rsidRPr="00547FAA">
        <w:rPr>
          <w:rFonts w:ascii="Times New Roman" w:hAnsi="Times New Roman"/>
          <w:noProof/>
          <w:sz w:val="24"/>
          <w:lang w:val="fr-FR"/>
        </w:rPr>
        <w:t> </w:t>
      </w:r>
      <w:r w:rsidRPr="00DB3EC6">
        <w:rPr>
          <w:rFonts w:ascii="Times New Roman" w:hAnsi="Times New Roman"/>
          <w:noProof/>
          <w:sz w:val="24"/>
          <w:lang w:val="fr-FR"/>
        </w:rPr>
        <w:t>700</w:t>
      </w:r>
      <w:r w:rsidRPr="00547FAA">
        <w:rPr>
          <w:rFonts w:ascii="Times New Roman" w:hAnsi="Times New Roman"/>
          <w:noProof/>
          <w:sz w:val="24"/>
          <w:lang w:val="fr-FR"/>
        </w:rPr>
        <w:t xml:space="preserve"> contenus sur </w:t>
      </w:r>
      <w:r w:rsidRPr="00DB3EC6">
        <w:rPr>
          <w:rFonts w:ascii="Times New Roman" w:hAnsi="Times New Roman"/>
          <w:noProof/>
          <w:sz w:val="24"/>
          <w:lang w:val="fr-FR"/>
        </w:rPr>
        <w:t>45</w:t>
      </w:r>
      <w:r w:rsidRPr="00547FAA">
        <w:rPr>
          <w:rFonts w:ascii="Times New Roman" w:hAnsi="Times New Roman"/>
          <w:noProof/>
          <w:sz w:val="24"/>
          <w:lang w:val="fr-FR"/>
        </w:rPr>
        <w:t xml:space="preserve"> plateformes et émis plus de </w:t>
      </w:r>
      <w:r w:rsidRPr="00DB3EC6">
        <w:rPr>
          <w:rFonts w:ascii="Times New Roman" w:hAnsi="Times New Roman"/>
          <w:noProof/>
          <w:sz w:val="24"/>
          <w:lang w:val="fr-FR"/>
        </w:rPr>
        <w:t>3</w:t>
      </w:r>
      <w:r w:rsidRPr="00547FAA">
        <w:rPr>
          <w:rFonts w:ascii="Times New Roman" w:hAnsi="Times New Roman"/>
          <w:noProof/>
          <w:sz w:val="24"/>
          <w:lang w:val="fr-FR"/>
        </w:rPr>
        <w:t> </w:t>
      </w:r>
      <w:r w:rsidRPr="00DB3EC6">
        <w:rPr>
          <w:rFonts w:ascii="Times New Roman" w:hAnsi="Times New Roman"/>
          <w:noProof/>
          <w:sz w:val="24"/>
          <w:lang w:val="fr-FR"/>
        </w:rPr>
        <w:t>200</w:t>
      </w:r>
      <w:r w:rsidRPr="00547FAA">
        <w:rPr>
          <w:rFonts w:ascii="Times New Roman" w:hAnsi="Times New Roman"/>
          <w:noProof/>
          <w:sz w:val="24"/>
          <w:lang w:val="fr-FR"/>
        </w:rPr>
        <w:t xml:space="preserve"> signalements afin que les sociétés internet suppriment des contenus, ce qui a été fait dans </w:t>
      </w:r>
      <w:r w:rsidRPr="00DB3EC6">
        <w:rPr>
          <w:rFonts w:ascii="Times New Roman" w:hAnsi="Times New Roman"/>
          <w:noProof/>
          <w:sz w:val="24"/>
          <w:lang w:val="fr-FR"/>
        </w:rPr>
        <w:t>91</w:t>
      </w:r>
      <w:r w:rsidRPr="00547FAA">
        <w:rPr>
          <w:rFonts w:ascii="Times New Roman" w:hAnsi="Times New Roman"/>
          <w:noProof/>
          <w:sz w:val="24"/>
          <w:lang w:val="fr-FR"/>
        </w:rPr>
        <w:t xml:space="preserve"> % des cas. Les États membres devraient détacher des experts auprès de l’unité de signalement des contenus sur l’internet. Le forum de l’UE sur l’internet a été lancé en décembre </w:t>
      </w:r>
      <w:r w:rsidRPr="00DB3EC6">
        <w:rPr>
          <w:rFonts w:ascii="Times New Roman" w:hAnsi="Times New Roman"/>
          <w:noProof/>
          <w:sz w:val="24"/>
          <w:lang w:val="fr-FR"/>
        </w:rPr>
        <w:t>2015</w:t>
      </w:r>
      <w:r w:rsidRPr="00547FAA">
        <w:rPr>
          <w:rFonts w:ascii="Times New Roman" w:hAnsi="Times New Roman"/>
          <w:noProof/>
          <w:sz w:val="24"/>
          <w:lang w:val="fr-FR"/>
        </w:rPr>
        <w:t xml:space="preserve"> en partenariat avec le secteur de l’internet afin de limiter l’accessibilité des contenus terroristes en ligne et d’accroître le volume de contre-discours efficaces, et la Commission soutient des mesures destinées à promouvoir de tels contre-discours. Une plateforme commune de signalement est actuellement mise au point par le secteur de l’internet avec la pleine participation d’Europol, dans le but de résoudre le problème lié au fait que les contenus supprimés d’un site sont rechargés ailleurs. Un programme visant à renforcer les moyens d’action de la société civile dans toute l’UE aidera à maximiser l’efficacité des campagnes de contre-discours.</w:t>
      </w:r>
      <w:r w:rsidRPr="00547FAA">
        <w:rPr>
          <w:rFonts w:ascii="Times New Roman" w:hAnsi="Times New Roman"/>
          <w:i/>
          <w:noProof/>
          <w:sz w:val="24"/>
          <w:lang w:val="fr-FR"/>
        </w:rPr>
        <w:t> </w:t>
      </w:r>
      <w:r w:rsidRPr="00547FAA">
        <w:rPr>
          <w:rFonts w:ascii="Times New Roman" w:hAnsi="Times New Roman"/>
          <w:noProof/>
          <w:sz w:val="24"/>
          <w:lang w:val="fr-FR"/>
        </w:rPr>
        <w:t xml:space="preserve">Un montant de </w:t>
      </w:r>
      <w:r w:rsidRPr="00DB3EC6">
        <w:rPr>
          <w:rFonts w:ascii="Times New Roman" w:hAnsi="Times New Roman"/>
          <w:noProof/>
          <w:sz w:val="24"/>
          <w:lang w:val="fr-FR"/>
        </w:rPr>
        <w:t>10</w:t>
      </w:r>
      <w:r w:rsidRPr="00547FAA">
        <w:rPr>
          <w:rFonts w:ascii="Times New Roman" w:hAnsi="Times New Roman"/>
          <w:noProof/>
          <w:sz w:val="24"/>
          <w:lang w:val="fr-FR"/>
        </w:rPr>
        <w:t> millions d’EUR a été affecté à ces deux initiatives au titre du Fonds pour la sécurité intérieure. En outre, la Commission intensifie ses travaux pour s’attaquer au problème des discours haineux en ligne en coopération avec les sociétés internet, les États membres et la société civile, et elle fera rapport sur les progrès accomplis à cet égard, entre autres, dans une prochaine communication sur la prévention de la radicalisation.</w:t>
      </w:r>
    </w:p>
    <w:p w:rsidR="00CF2D94" w:rsidRPr="00547FAA" w:rsidRDefault="00CF2D94" w:rsidP="00CF2D94">
      <w:pPr>
        <w:pStyle w:val="ListParagraph"/>
        <w:spacing w:after="120" w:line="240" w:lineRule="auto"/>
        <w:jc w:val="both"/>
        <w:rPr>
          <w:rFonts w:ascii="Times New Roman" w:hAnsi="Times New Roman" w:cs="Times New Roman"/>
          <w:noProof/>
          <w:sz w:val="24"/>
          <w:szCs w:val="24"/>
          <w:lang w:val="fr-FR"/>
        </w:rPr>
      </w:pPr>
    </w:p>
    <w:p w:rsidR="00CF2D94" w:rsidRPr="00547FAA" w:rsidRDefault="00CF2D94" w:rsidP="00CF2D94">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La lutte contre la radicalisation en milieu carcéral</w:t>
      </w:r>
      <w:r w:rsidRPr="00547FAA">
        <w:rPr>
          <w:rFonts w:ascii="Times New Roman" w:hAnsi="Times New Roman"/>
          <w:noProof/>
          <w:sz w:val="24"/>
          <w:lang w:val="fr-FR"/>
        </w:rPr>
        <w:t xml:space="preserve">: les jeunes, qui peuvent être des délinquants primaires ou être incarcérés pour des délits mineurs, sont particulièrement vulnérables à la radicalisation et au recrutement terroriste. La Commission a affecté </w:t>
      </w:r>
      <w:r w:rsidRPr="00DB3EC6">
        <w:rPr>
          <w:rFonts w:ascii="Times New Roman" w:hAnsi="Times New Roman"/>
          <w:noProof/>
          <w:sz w:val="24"/>
          <w:lang w:val="fr-FR"/>
        </w:rPr>
        <w:t>8</w:t>
      </w:r>
      <w:r w:rsidRPr="00547FAA">
        <w:rPr>
          <w:rFonts w:ascii="Times New Roman" w:hAnsi="Times New Roman"/>
          <w:noProof/>
          <w:sz w:val="24"/>
          <w:lang w:val="fr-FR"/>
        </w:rPr>
        <w:t> millions d’EUR à la mise en œuvre des conclusions du Conseil</w:t>
      </w:r>
      <w:r w:rsidRPr="00547FAA">
        <w:rPr>
          <w:rStyle w:val="FootnoteReference"/>
          <w:rFonts w:ascii="Times New Roman" w:hAnsi="Times New Roman"/>
          <w:noProof/>
          <w:sz w:val="24"/>
          <w:lang w:val="fr-FR"/>
        </w:rPr>
        <w:footnoteReference w:id="21"/>
      </w:r>
      <w:r w:rsidRPr="00547FAA">
        <w:rPr>
          <w:rFonts w:ascii="Times New Roman" w:hAnsi="Times New Roman"/>
          <w:noProof/>
          <w:sz w:val="24"/>
          <w:lang w:val="fr-FR"/>
        </w:rPr>
        <w:t xml:space="preserve"> en </w:t>
      </w:r>
      <w:r w:rsidRPr="00DB3EC6">
        <w:rPr>
          <w:rFonts w:ascii="Times New Roman" w:hAnsi="Times New Roman"/>
          <w:noProof/>
          <w:sz w:val="24"/>
          <w:lang w:val="fr-FR"/>
        </w:rPr>
        <w:t>2015</w:t>
      </w:r>
      <w:r w:rsidRPr="00547FAA">
        <w:rPr>
          <w:rFonts w:ascii="Times New Roman" w:hAnsi="Times New Roman"/>
          <w:noProof/>
          <w:sz w:val="24"/>
          <w:lang w:val="fr-FR"/>
        </w:rPr>
        <w:t xml:space="preserve"> et en </w:t>
      </w:r>
      <w:r w:rsidRPr="00DB3EC6">
        <w:rPr>
          <w:rFonts w:ascii="Times New Roman" w:hAnsi="Times New Roman"/>
          <w:noProof/>
          <w:sz w:val="24"/>
          <w:lang w:val="fr-FR"/>
        </w:rPr>
        <w:t>2016</w:t>
      </w:r>
      <w:r w:rsidRPr="00547FAA">
        <w:rPr>
          <w:rFonts w:ascii="Times New Roman" w:hAnsi="Times New Roman"/>
          <w:noProof/>
          <w:sz w:val="24"/>
          <w:lang w:val="fr-FR"/>
        </w:rPr>
        <w:t>, en fournissant des fonds pour la mise au point de programmes de réinsertion et de déradicalisation à l’intérieur et à l’extérieur des prisons, pour l’élaboration d’outils d’évaluation des risques et pour la formation des professionnels. Les États membres doivent dépenser ces ressources judicieusement, en veillant à cibler efficacement les groupes les plus vulnérables.</w:t>
      </w:r>
    </w:p>
    <w:p w:rsidR="00CF2D94" w:rsidRPr="00547FAA" w:rsidRDefault="00CF2D94" w:rsidP="00CF2D94">
      <w:pPr>
        <w:pStyle w:val="ListParagraph"/>
        <w:spacing w:after="0" w:line="240" w:lineRule="auto"/>
        <w:ind w:left="426"/>
        <w:jc w:val="both"/>
        <w:rPr>
          <w:rFonts w:ascii="Times New Roman" w:hAnsi="Times New Roman" w:cs="Times New Roman"/>
          <w:noProof/>
          <w:sz w:val="24"/>
          <w:szCs w:val="24"/>
          <w:lang w:val="fr-FR"/>
        </w:rPr>
      </w:pPr>
    </w:p>
    <w:p w:rsidR="00CF2D94" w:rsidRPr="00547FAA" w:rsidRDefault="00CF2D94" w:rsidP="00CF2D94">
      <w:pPr>
        <w:pStyle w:val="ListParagraph"/>
        <w:numPr>
          <w:ilvl w:val="0"/>
          <w:numId w:val="5"/>
        </w:numPr>
        <w:spacing w:after="0" w:line="240" w:lineRule="auto"/>
        <w:ind w:left="426"/>
        <w:jc w:val="both"/>
        <w:rPr>
          <w:noProof/>
          <w:lang w:val="fr-FR"/>
        </w:rPr>
      </w:pPr>
      <w:r w:rsidRPr="00547FAA">
        <w:rPr>
          <w:rFonts w:ascii="Times New Roman" w:hAnsi="Times New Roman"/>
          <w:noProof/>
          <w:sz w:val="24"/>
          <w:u w:val="single"/>
          <w:lang w:val="fr-FR"/>
        </w:rPr>
        <w:t>La prévention de la radicalisation par l’éducation et la sensibilisation des jeunes</w:t>
      </w:r>
      <w:r w:rsidRPr="00547FAA">
        <w:rPr>
          <w:rFonts w:ascii="Times New Roman" w:hAnsi="Times New Roman"/>
          <w:noProof/>
          <w:sz w:val="24"/>
          <w:lang w:val="fr-FR"/>
        </w:rPr>
        <w:t xml:space="preserve">: dans le cadre d’Erasmus +, la priorité est désormais donnée aux projets favorisant l’inclusion et promouvant les valeurs fondamentales. Jusqu’à </w:t>
      </w:r>
      <w:r w:rsidRPr="00DB3EC6">
        <w:rPr>
          <w:rFonts w:ascii="Times New Roman" w:hAnsi="Times New Roman"/>
          <w:noProof/>
          <w:sz w:val="24"/>
          <w:lang w:val="fr-FR"/>
        </w:rPr>
        <w:t>400</w:t>
      </w:r>
      <w:r w:rsidRPr="00547FAA">
        <w:rPr>
          <w:rFonts w:ascii="Times New Roman" w:hAnsi="Times New Roman"/>
          <w:noProof/>
          <w:sz w:val="24"/>
          <w:lang w:val="fr-FR"/>
        </w:rPr>
        <w:t xml:space="preserve"> millions d’EUR ont été mis à disposition à cet effet, et un appel spécifique d’une valeur de </w:t>
      </w:r>
      <w:r w:rsidRPr="00DB3EC6">
        <w:rPr>
          <w:rFonts w:ascii="Times New Roman" w:hAnsi="Times New Roman"/>
          <w:noProof/>
          <w:sz w:val="24"/>
          <w:lang w:val="fr-FR"/>
        </w:rPr>
        <w:t>13</w:t>
      </w:r>
      <w:r w:rsidRPr="00547FAA">
        <w:rPr>
          <w:rFonts w:ascii="Times New Roman" w:hAnsi="Times New Roman"/>
          <w:noProof/>
          <w:sz w:val="24"/>
          <w:lang w:val="fr-FR"/>
        </w:rPr>
        <w:t xml:space="preserve"> millions d’EUR a été lancé en mars afin de recenser et de diffuser les bonnes pratiques. La Commission lancera aussi des programmes d’échange virtuel de grande envergure avec des pays tiers afin de favoriser la compréhension interculturelle parmi les enseignants, les enfants et les jeunes, notamment grâce aux programmes eTwinning et Erasmus +.  </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 xml:space="preserve">Les acteurs principaux de la lutte contre la radicalisation se trouvant nécessairement au niveau local, les États membres doivent accorder la priorité à l’identification et à la mobilisation, à ce niveau, d’interlocuteurs qui ont une influence suffisante et disposent d’une formation </w:t>
      </w:r>
      <w:r w:rsidRPr="00547FAA">
        <w:rPr>
          <w:lang w:val="fr-FR"/>
        </w:rPr>
        <w:lastRenderedPageBreak/>
        <w:t>adéquate pour transmettre des messages antiradicalisation et présenter d’autres modèles que ceux propagés par les prédicateurs radicaux et les groupes criminels organisés.</w:t>
      </w:r>
    </w:p>
    <w:p w:rsidR="00CF2D94" w:rsidRPr="00547FAA" w:rsidRDefault="00CF2D94" w:rsidP="00CF2D94">
      <w:pPr>
        <w:jc w:val="both"/>
        <w:rPr>
          <w:noProof/>
          <w:lang w:val="fr-FR"/>
        </w:rPr>
      </w:pPr>
    </w:p>
    <w:p w:rsidR="00CF2D94" w:rsidRPr="00547FAA" w:rsidRDefault="00CF2D94" w:rsidP="00CF2D94">
      <w:pPr>
        <w:jc w:val="both"/>
        <w:rPr>
          <w:noProof/>
          <w:lang w:val="fr-FR"/>
        </w:rPr>
      </w:pPr>
      <w:r w:rsidRPr="00547FAA">
        <w:rPr>
          <w:lang w:val="fr-FR"/>
        </w:rPr>
        <w:t>Outre ces mesures préventives et éducatives contre la radicalisation, il est nécessaire d’adopter une approche qui soit davantage axée sur la sécurité pour garantir l’échange d’informations entre les États membres sur les condamnés remis en liberté suspectés de radicalisation ou les individus radicalisés connus, afin que des mesures de surveillance et d’autres mesures appropriées soient prises à l’égard des personnes représentant un risque élevé.</w:t>
      </w:r>
    </w:p>
    <w:p w:rsidR="006314EA" w:rsidRPr="00547FAA" w:rsidRDefault="006314EA">
      <w:pPr>
        <w:jc w:val="both"/>
        <w:rPr>
          <w:noProof/>
          <w:lang w:val="fr-FR"/>
        </w:rPr>
      </w:pPr>
    </w:p>
    <w:tbl>
      <w:tblPr>
        <w:tblStyle w:val="TableGrid"/>
        <w:tblW w:w="0" w:type="auto"/>
        <w:tblLook w:val="04A0" w:firstRow="1" w:lastRow="0" w:firstColumn="1" w:lastColumn="0" w:noHBand="0" w:noVBand="1"/>
      </w:tblPr>
      <w:tblGrid>
        <w:gridCol w:w="9288"/>
      </w:tblGrid>
      <w:tr w:rsidR="00CF2D94" w:rsidRPr="00547FAA" w:rsidTr="008D2F99">
        <w:tc>
          <w:tcPr>
            <w:tcW w:w="9288" w:type="dxa"/>
          </w:tcPr>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t>Prochaines étapes:</w:t>
            </w:r>
          </w:p>
          <w:p w:rsidR="00CF2D94" w:rsidRPr="00547FAA" w:rsidRDefault="00CF2D94" w:rsidP="008D2F99">
            <w:pPr>
              <w:jc w:val="both"/>
              <w:rPr>
                <w:rFonts w:ascii="Times New Roman" w:hAnsi="Times New Roman" w:cs="Times New Roman"/>
                <w:b/>
                <w:i/>
                <w:noProof/>
                <w:lang w:val="fr-FR"/>
              </w:rPr>
            </w:pPr>
          </w:p>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t>Les États membres devraient: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soutenir activement les initiatives nationales et locales destinées à</w:t>
            </w:r>
            <w:r w:rsidRPr="00547FAA">
              <w:rPr>
                <w:rFonts w:ascii="Times New Roman" w:hAnsi="Times New Roman"/>
                <w:noProof/>
                <w:lang w:val="fr-FR"/>
              </w:rPr>
              <w:t xml:space="preserve"> </w:t>
            </w:r>
            <w:r w:rsidRPr="00547FAA">
              <w:rPr>
                <w:rFonts w:ascii="Times New Roman" w:hAnsi="Times New Roman"/>
                <w:noProof/>
                <w:sz w:val="24"/>
                <w:lang w:val="fr-FR"/>
              </w:rPr>
              <w:t>prévenir la radicalisation, former les professionnels et les acteurs locaux et faire le meilleur usage possible des fonds mis à disposition par l’UE;</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détacher immédiatement des experts auprès de l’unité de signalement des contenus sur l’internet;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échanger de manière proactive avec les autres États membres toutes les informations utiles sur les condamnés remis en liberté suspectés de radicalisation ou les individus radicalisés connus, afin d’assurer la surveillance de ceux qui représentent un risque élevé.</w:t>
            </w:r>
          </w:p>
          <w:p w:rsidR="00CF2D94" w:rsidRPr="00547FAA" w:rsidRDefault="00CF2D94" w:rsidP="008D2F99">
            <w:pPr>
              <w:jc w:val="both"/>
              <w:rPr>
                <w:rFonts w:ascii="Times New Roman" w:hAnsi="Times New Roman" w:cs="Times New Roman"/>
                <w:b/>
                <w:i/>
                <w:noProof/>
                <w:lang w:val="fr-FR"/>
              </w:rPr>
            </w:pPr>
          </w:p>
          <w:p w:rsidR="00CF2D94" w:rsidRPr="00547FAA" w:rsidRDefault="00CF2D94" w:rsidP="008D2F99">
            <w:pPr>
              <w:jc w:val="both"/>
              <w:rPr>
                <w:rFonts w:ascii="Times New Roman" w:hAnsi="Times New Roman" w:cs="Times New Roman"/>
                <w:b/>
                <w:i/>
                <w:noProof/>
                <w:lang w:val="fr-FR"/>
              </w:rPr>
            </w:pPr>
            <w:r w:rsidRPr="00547FAA">
              <w:rPr>
                <w:rFonts w:ascii="Times New Roman" w:hAnsi="Times New Roman"/>
                <w:b/>
                <w:i/>
                <w:noProof/>
                <w:lang w:val="fr-FR"/>
              </w:rPr>
              <w:t>La Commission entend:</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adopter une communication sur la prévention de la radicalisation au </w:t>
            </w:r>
            <w:r w:rsidRPr="00DB3EC6">
              <w:rPr>
                <w:rFonts w:ascii="Times New Roman" w:hAnsi="Times New Roman"/>
                <w:noProof/>
                <w:sz w:val="24"/>
                <w:lang w:val="fr-FR"/>
              </w:rPr>
              <w:t>2</w:t>
            </w:r>
            <w:r w:rsidRPr="00547FAA">
              <w:rPr>
                <w:rFonts w:ascii="Times New Roman" w:hAnsi="Times New Roman"/>
                <w:noProof/>
                <w:sz w:val="24"/>
                <w:vertAlign w:val="superscript"/>
                <w:lang w:val="fr-FR"/>
              </w:rPr>
              <w:t>e</w:t>
            </w:r>
            <w:r w:rsidRPr="00547FAA">
              <w:rPr>
                <w:rFonts w:ascii="Times New Roman" w:hAnsi="Times New Roman"/>
                <w:noProof/>
                <w:sz w:val="24"/>
                <w:lang w:val="fr-FR"/>
              </w:rPr>
              <w:t xml:space="preserve"> trimestre de </w:t>
            </w:r>
            <w:r w:rsidRPr="00DB3EC6">
              <w:rPr>
                <w:rFonts w:ascii="Times New Roman" w:hAnsi="Times New Roman"/>
                <w:noProof/>
                <w:sz w:val="24"/>
                <w:lang w:val="fr-FR"/>
              </w:rPr>
              <w:t>2016</w:t>
            </w:r>
            <w:r w:rsidRPr="00547FAA">
              <w:rPr>
                <w:rFonts w:ascii="Times New Roman" w:hAnsi="Times New Roman"/>
                <w:noProof/>
                <w:sz w:val="24"/>
                <w:lang w:val="fr-FR"/>
              </w:rPr>
              <w:t>;</w:t>
            </w:r>
          </w:p>
          <w:p w:rsidR="00CF2D94" w:rsidRPr="00547FAA" w:rsidRDefault="00CF2D94"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mettre en œuvre rapidement, en partenariat avec le secteur, les actions concrètes prévues dans la feuille de route </w:t>
            </w:r>
            <w:r w:rsidRPr="00DB3EC6">
              <w:rPr>
                <w:rFonts w:ascii="Times New Roman" w:hAnsi="Times New Roman"/>
                <w:noProof/>
                <w:sz w:val="24"/>
                <w:lang w:val="fr-FR"/>
              </w:rPr>
              <w:t>2016</w:t>
            </w:r>
            <w:r w:rsidRPr="00547FAA">
              <w:rPr>
                <w:rFonts w:ascii="Times New Roman" w:hAnsi="Times New Roman"/>
                <w:noProof/>
                <w:sz w:val="24"/>
                <w:lang w:val="fr-FR"/>
              </w:rPr>
              <w:t xml:space="preserve"> élaborée dans le contexte du forum de l’UE sur l’internet.</w:t>
            </w:r>
          </w:p>
          <w:p w:rsidR="00CF2D94" w:rsidRPr="00547FAA" w:rsidRDefault="00CF2D94" w:rsidP="008D2F99">
            <w:pPr>
              <w:jc w:val="both"/>
              <w:rPr>
                <w:rFonts w:ascii="Times New Roman" w:hAnsi="Times New Roman" w:cs="Times New Roman"/>
                <w:noProof/>
                <w:lang w:val="fr-FR"/>
              </w:rPr>
            </w:pPr>
          </w:p>
        </w:tc>
      </w:tr>
    </w:tbl>
    <w:p w:rsidR="006314EA" w:rsidRPr="00547FAA" w:rsidRDefault="006314EA">
      <w:pPr>
        <w:jc w:val="both"/>
        <w:rPr>
          <w:noProof/>
          <w:lang w:val="fr-FR"/>
        </w:rPr>
      </w:pPr>
    </w:p>
    <w:p w:rsidR="006314EA" w:rsidRPr="00547FAA" w:rsidRDefault="006314EA">
      <w:pPr>
        <w:jc w:val="both"/>
        <w:rPr>
          <w:noProof/>
          <w:lang w:val="fr-FR"/>
        </w:rPr>
      </w:pPr>
    </w:p>
    <w:p w:rsidR="00A17F22" w:rsidRPr="00547FAA" w:rsidRDefault="00A17F22" w:rsidP="00A17F22">
      <w:pPr>
        <w:jc w:val="both"/>
        <w:rPr>
          <w:b/>
          <w:lang w:val="fr-FR"/>
        </w:rPr>
      </w:pPr>
      <w:r w:rsidRPr="00DB3EC6">
        <w:rPr>
          <w:b/>
          <w:lang w:val="fr-FR"/>
        </w:rPr>
        <w:t>2</w:t>
      </w:r>
      <w:r w:rsidRPr="00547FAA">
        <w:rPr>
          <w:b/>
          <w:lang w:val="fr-FR"/>
        </w:rPr>
        <w:t>.</w:t>
      </w:r>
      <w:r w:rsidRPr="00DB3EC6">
        <w:rPr>
          <w:b/>
          <w:lang w:val="fr-FR"/>
        </w:rPr>
        <w:t>3</w:t>
      </w:r>
      <w:r w:rsidRPr="00547FAA">
        <w:rPr>
          <w:lang w:val="fr-FR"/>
        </w:rPr>
        <w:tab/>
      </w:r>
      <w:r w:rsidRPr="00547FAA">
        <w:rPr>
          <w:b/>
          <w:lang w:val="fr-FR"/>
        </w:rPr>
        <w:t>Sanctionner les terroristes et ceux qui les soutiennent</w:t>
      </w:r>
    </w:p>
    <w:p w:rsidR="00A17F22" w:rsidRPr="00547FAA" w:rsidRDefault="00A17F22" w:rsidP="00A17F22">
      <w:pPr>
        <w:jc w:val="both"/>
        <w:rPr>
          <w:b/>
          <w:lang w:val="fr-FR"/>
        </w:rPr>
      </w:pPr>
    </w:p>
    <w:p w:rsidR="00A17F22" w:rsidRPr="00547FAA" w:rsidRDefault="00A17F22" w:rsidP="00A17F22">
      <w:pPr>
        <w:jc w:val="both"/>
        <w:rPr>
          <w:lang w:val="fr-FR"/>
        </w:rPr>
      </w:pPr>
      <w:r w:rsidRPr="00547FAA">
        <w:rPr>
          <w:lang w:val="fr-FR"/>
        </w:rPr>
        <w:t>Les événements récents ont montré que les terroristes bénéficient d'appuis locaux. Au-delà du contre-discours qu'elles diffusent pour lutter contre la propagande terroriste et la radicalisation, les campagnes de communication devraient aussi véhiculer clairement l'information selon laquelle inciter à commettre des infractions terroristes ou s'en rendre complice, notamment en fournissant un logement, un moyen de transport ou un soutien matériel à des terroristes, de même que la provocation publique à commettre des actes terroristes, sont aussi des infractions liées au terrorisme, qui seront sévèrement sanctionnées. Il existe déjà une législation européenne garantissant que ce type de comportement relève du droit pénal dans l'ensemble de l'Union</w:t>
      </w:r>
      <w:r w:rsidRPr="00547FAA">
        <w:rPr>
          <w:rStyle w:val="FootnoteReference"/>
          <w:lang w:val="fr-FR"/>
        </w:rPr>
        <w:footnoteReference w:id="22"/>
      </w:r>
      <w:r w:rsidRPr="00547FAA">
        <w:rPr>
          <w:lang w:val="fr-FR"/>
        </w:rPr>
        <w:t xml:space="preserve"> et la proposition de directive relative à la lutte contre le terrorisme présentée par la Commission renforcera ce cadre en y ajoutant des infractions telles que le fait de se rendre à l’étranger à des fins de terrorisme, de recevoir un entraînement au terrorisme, ainsi que de financer et de faciliter le terrorisme ou de lui apporter un soutien matériel quel qu'il soit. La directive garantit que ces infractions seront passibles de sanctions </w:t>
      </w:r>
      <w:r w:rsidRPr="00547FAA">
        <w:rPr>
          <w:lang w:val="fr-FR"/>
        </w:rPr>
        <w:lastRenderedPageBreak/>
        <w:t>pénales minimales communes. La proposition contient également des dispositions spécifiques sur les droits des victimes du terrorisme. La Commission appelle le Parlement européen et le Conseil à conclure rapidement les discussions sur cette directive</w:t>
      </w:r>
      <w:r w:rsidRPr="00547FAA">
        <w:rPr>
          <w:rStyle w:val="FootnoteReference"/>
          <w:lang w:val="fr-FR"/>
        </w:rPr>
        <w:footnoteReference w:id="23"/>
      </w:r>
      <w:r w:rsidRPr="00547FAA">
        <w:rPr>
          <w:lang w:val="fr-FR"/>
        </w:rPr>
        <w:t>.</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t xml:space="preserve">Comme l'ont souligné les ministres européens de la justice et de l'intérieur et les représentants des institutions de l'UE dans leur déclaration commune du </w:t>
      </w:r>
      <w:r w:rsidRPr="00DB3EC6">
        <w:rPr>
          <w:lang w:val="fr-FR"/>
        </w:rPr>
        <w:t>24</w:t>
      </w:r>
      <w:r w:rsidRPr="00547FAA">
        <w:rPr>
          <w:lang w:val="fr-FR"/>
        </w:rPr>
        <w:t xml:space="preserve"> mars </w:t>
      </w:r>
      <w:r w:rsidRPr="00DB3EC6">
        <w:rPr>
          <w:lang w:val="fr-FR"/>
        </w:rPr>
        <w:t>2016</w:t>
      </w:r>
      <w:r w:rsidRPr="00547FAA">
        <w:rPr>
          <w:lang w:val="fr-FR"/>
        </w:rPr>
        <w:t xml:space="preserve"> sur les attentats terroristes perpétrés à Bruxelles, il est essentiel de recueillir et d'obtenir rapidement des </w:t>
      </w:r>
      <w:r w:rsidRPr="00547FAA">
        <w:rPr>
          <w:u w:val="single"/>
          <w:lang w:val="fr-FR"/>
        </w:rPr>
        <w:t>preuves numériques</w:t>
      </w:r>
      <w:r w:rsidRPr="00547FAA">
        <w:rPr>
          <w:lang w:val="fr-FR"/>
        </w:rPr>
        <w:t xml:space="preserve"> pour pouvoir prévenir les infractions liées à la grande criminalité et au terrorisme, ainsi que pour procéder aux enquêtes et engager les poursuites pénales qu'elles exigent</w:t>
      </w:r>
      <w:r w:rsidRPr="00547FAA">
        <w:rPr>
          <w:rStyle w:val="FootnoteReference"/>
          <w:lang w:val="fr-FR"/>
        </w:rPr>
        <w:footnoteReference w:id="24"/>
      </w:r>
      <w:r w:rsidRPr="00547FAA">
        <w:rPr>
          <w:lang w:val="fr-FR"/>
        </w:rPr>
        <w:t>. Il arrive fréquemment que des informations utiles soient détenues par des sociétés privées et stockées sur des serveurs, qui sont souvent situés en dehors du territoire, et donc de la juridiction, de l'instance chargée de l'enquête. Hormis les procédures d'entraide judiciaire et quelques règles de portée limitée inscrites dans les accords internationaux, il n'existe aucune approche harmonisée de la façon d'accéder à ces données. C'est ainsi qu'une mosaïque d'approches nationales différentes a évolué en parallèle, ce qui pose problème lors des enquêtes. La Commission va établir des contacts avec le secteur privé pour faciliter une coopération reposant sur une conception européenne commune de l'accès aux données et aux preuves électroniques, et proposera des solutions, qui passeront s'il le faut par la voie législative.</w:t>
      </w:r>
    </w:p>
    <w:p w:rsidR="00A17F22" w:rsidRPr="00547FAA" w:rsidRDefault="00A17F22" w:rsidP="00A17F22">
      <w:pPr>
        <w:jc w:val="both"/>
        <w:rPr>
          <w:lang w:val="fr-FR"/>
        </w:rPr>
      </w:pPr>
    </w:p>
    <w:tbl>
      <w:tblPr>
        <w:tblStyle w:val="TableGrid"/>
        <w:tblW w:w="0" w:type="auto"/>
        <w:tblLook w:val="04A0" w:firstRow="1" w:lastRow="0" w:firstColumn="1" w:lastColumn="0" w:noHBand="0" w:noVBand="1"/>
      </w:tblPr>
      <w:tblGrid>
        <w:gridCol w:w="9288"/>
      </w:tblGrid>
      <w:tr w:rsidR="00A17F22" w:rsidRPr="00547FAA" w:rsidTr="008D2F99">
        <w:tc>
          <w:tcPr>
            <w:tcW w:w="9288" w:type="dxa"/>
          </w:tcPr>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Prochaines étapes:</w:t>
            </w:r>
          </w:p>
          <w:p w:rsidR="00A17F22" w:rsidRPr="00547FAA" w:rsidRDefault="00A17F22" w:rsidP="008D2F99">
            <w:pPr>
              <w:jc w:val="both"/>
              <w:rPr>
                <w:rFonts w:ascii="Times New Roman" w:hAnsi="Times New Roman" w:cs="Times New Roman"/>
                <w:b/>
                <w:i/>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Le Parlement européen et le Conseil devraient:</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d'ici juin </w:t>
            </w:r>
            <w:r w:rsidRPr="00DB3EC6">
              <w:rPr>
                <w:rFonts w:ascii="Times New Roman" w:hAnsi="Times New Roman"/>
                <w:sz w:val="24"/>
                <w:lang w:val="fr-FR"/>
              </w:rPr>
              <w:t>2016</w:t>
            </w:r>
            <w:r w:rsidRPr="00547FAA">
              <w:rPr>
                <w:rFonts w:ascii="Times New Roman" w:hAnsi="Times New Roman"/>
                <w:sz w:val="24"/>
                <w:lang w:val="fr-FR"/>
              </w:rPr>
              <w:t>, accorder la priorité à la conclusion des discussions sur la directive relative à la lutte contre le terrorisme proposée par la Commission et maintenir un niveau élevé d'ambition.</w:t>
            </w:r>
          </w:p>
          <w:p w:rsidR="00A17F22" w:rsidRPr="00547FAA" w:rsidRDefault="00A17F22" w:rsidP="008D2F99">
            <w:pPr>
              <w:jc w:val="both"/>
              <w:rPr>
                <w:rFonts w:ascii="Times New Roman" w:hAnsi="Times New Roman" w:cs="Times New Roman"/>
                <w:b/>
                <w:i/>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La Commission entend:</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d'ici l'été </w:t>
            </w:r>
            <w:r w:rsidRPr="00DB3EC6">
              <w:rPr>
                <w:rFonts w:ascii="Times New Roman" w:hAnsi="Times New Roman"/>
                <w:sz w:val="24"/>
                <w:lang w:val="fr-FR"/>
              </w:rPr>
              <w:t>2017</w:t>
            </w:r>
            <w:r w:rsidRPr="00547FAA">
              <w:rPr>
                <w:rFonts w:ascii="Times New Roman" w:hAnsi="Times New Roman"/>
                <w:sz w:val="24"/>
                <w:lang w:val="fr-FR"/>
              </w:rPr>
              <w:t>, proposer des solutions, y compris législatives si cela s'avère nécessaire, pour lever les obstacles à l'obtention de preuves numériques dans le cadre des enquêtes judiciaires.</w:t>
            </w:r>
          </w:p>
          <w:p w:rsidR="00A17F22" w:rsidRPr="00547FAA" w:rsidRDefault="00A17F22" w:rsidP="008D2F99">
            <w:pPr>
              <w:pStyle w:val="ListParagraph"/>
              <w:spacing w:after="0" w:line="240" w:lineRule="auto"/>
              <w:jc w:val="both"/>
              <w:rPr>
                <w:rFonts w:ascii="Times New Roman" w:hAnsi="Times New Roman" w:cs="Times New Roman"/>
                <w:sz w:val="24"/>
                <w:szCs w:val="24"/>
                <w:lang w:val="fr-FR"/>
              </w:rPr>
            </w:pPr>
          </w:p>
        </w:tc>
      </w:tr>
    </w:tbl>
    <w:p w:rsidR="00A17F22" w:rsidRPr="00547FAA" w:rsidRDefault="00A17F22" w:rsidP="00A17F22">
      <w:pPr>
        <w:rPr>
          <w:lang w:val="fr-FR"/>
        </w:rPr>
      </w:pPr>
    </w:p>
    <w:p w:rsidR="00A17F22" w:rsidRPr="00547FAA" w:rsidRDefault="00A17F22" w:rsidP="00A17F22">
      <w:pPr>
        <w:jc w:val="both"/>
        <w:rPr>
          <w:b/>
          <w:lang w:val="fr-FR"/>
        </w:rPr>
      </w:pPr>
    </w:p>
    <w:p w:rsidR="00A17F22" w:rsidRPr="00547FAA" w:rsidRDefault="00A17F22" w:rsidP="00A17F22">
      <w:pPr>
        <w:jc w:val="both"/>
        <w:rPr>
          <w:b/>
          <w:lang w:val="fr-FR"/>
        </w:rPr>
      </w:pPr>
      <w:r w:rsidRPr="00DB3EC6">
        <w:rPr>
          <w:b/>
          <w:lang w:val="fr-FR"/>
        </w:rPr>
        <w:t>2</w:t>
      </w:r>
      <w:r w:rsidRPr="00547FAA">
        <w:rPr>
          <w:b/>
          <w:lang w:val="fr-FR"/>
        </w:rPr>
        <w:t>.</w:t>
      </w:r>
      <w:r w:rsidRPr="00DB3EC6">
        <w:rPr>
          <w:b/>
          <w:lang w:val="fr-FR"/>
        </w:rPr>
        <w:t>4</w:t>
      </w:r>
      <w:r w:rsidRPr="00547FAA">
        <w:rPr>
          <w:lang w:val="fr-FR"/>
        </w:rPr>
        <w:tab/>
      </w:r>
      <w:r w:rsidRPr="00547FAA">
        <w:rPr>
          <w:b/>
          <w:lang w:val="fr-FR"/>
        </w:rPr>
        <w:t>Améliorer les échanges d'informations</w:t>
      </w:r>
    </w:p>
    <w:p w:rsidR="00A17F22" w:rsidRPr="00547FAA" w:rsidRDefault="00A17F22" w:rsidP="00A17F22">
      <w:pPr>
        <w:jc w:val="both"/>
        <w:rPr>
          <w:b/>
          <w:lang w:val="fr-FR"/>
        </w:rPr>
      </w:pPr>
    </w:p>
    <w:p w:rsidR="00A17F22" w:rsidRPr="00547FAA" w:rsidRDefault="00A17F22" w:rsidP="00A17F22">
      <w:pPr>
        <w:jc w:val="both"/>
        <w:rPr>
          <w:lang w:val="fr-FR"/>
        </w:rPr>
      </w:pPr>
      <w:r w:rsidRPr="00547FAA">
        <w:rPr>
          <w:lang w:val="fr-FR"/>
        </w:rPr>
        <w:t>Les criminels connus et les individus identifiés considérés comme potentiellement dangereux ne devraient pas pouvoir échapper à la détection. Des mesures ont déjà été proposées, dans le programme européen en matière de sécurité, pour lever les principaux obstacles qui empêchent l'UE de mener une action efficace et durable de lutte contre le terrorisme et la criminalité organisée. Il s'agit plus particulièrement d'améliorer les échanges d'informations entre les autorités répressives des États membres et avec les agences de l'UE, ainsi que l'interopérabilité des bases de données et des systèmes d'information qui existent dans ce domaine.</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lastRenderedPageBreak/>
        <w:t xml:space="preserve">La Commission a présenté un certain nombre de propositions en ce sens. Des règles communes sur la protection des données permettront dorénavant aux services répressifs et aux autorités judiciaires de coopérer plus efficacement ainsi que de susciter la confiance et d'accroître la sécurité juridique. La directive relative à la protection des données destinées aux autorités policières et judiciaires pénales adoptée le </w:t>
      </w:r>
      <w:r w:rsidRPr="00DB3EC6">
        <w:rPr>
          <w:lang w:val="fr-FR"/>
        </w:rPr>
        <w:t>14</w:t>
      </w:r>
      <w:r w:rsidRPr="00547FAA">
        <w:rPr>
          <w:lang w:val="fr-FR"/>
        </w:rPr>
        <w:t xml:space="preserve"> avril </w:t>
      </w:r>
      <w:r w:rsidRPr="00DB3EC6">
        <w:rPr>
          <w:lang w:val="fr-FR"/>
        </w:rPr>
        <w:t>2016</w:t>
      </w:r>
      <w:r w:rsidRPr="00547FAA">
        <w:rPr>
          <w:lang w:val="fr-FR"/>
        </w:rPr>
        <w:t xml:space="preserve"> demande à être transposée rapidement. En outre, l'Union européenne a négocié avec les États-Unis un accord-cadre international sur la protection des données afin de garantir un niveau élevé de protection des données à caractère personnel transférées entre l'UE et les États-Unis aux fins de prévention et de détection des infractions pénales, y compris terroristes, ainsi que d'enquêtes et de poursuites en la matière. Cet accord devrait être conclu dans les plus brefs délais.</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t>Les propositions législatives doivent maintenant être approuvées sans tarder par le Parlement européen et par le Conseil, et les États membres doivent accélérer la mise en œuvre des structures et des systèmes d'échange d'informations déjà en place:</w:t>
      </w:r>
    </w:p>
    <w:p w:rsidR="00A17F22" w:rsidRPr="00547FAA" w:rsidRDefault="00A17F22" w:rsidP="00A17F22">
      <w:pPr>
        <w:jc w:val="both"/>
        <w:rPr>
          <w:lang w:val="fr-FR"/>
        </w:rPr>
      </w:pPr>
    </w:p>
    <w:p w:rsidR="00A17F22" w:rsidRPr="00547FAA" w:rsidRDefault="00A17F22" w:rsidP="00A17F22">
      <w:pPr>
        <w:pStyle w:val="ListParagraph"/>
        <w:numPr>
          <w:ilvl w:val="0"/>
          <w:numId w:val="14"/>
        </w:numPr>
        <w:spacing w:after="0" w:line="240" w:lineRule="auto"/>
        <w:ind w:left="426"/>
        <w:jc w:val="both"/>
        <w:rPr>
          <w:rFonts w:ascii="Times New Roman" w:hAnsi="Times New Roman" w:cs="Times New Roman"/>
          <w:sz w:val="24"/>
          <w:szCs w:val="24"/>
          <w:lang w:val="fr-FR"/>
        </w:rPr>
      </w:pPr>
      <w:r w:rsidRPr="00547FAA">
        <w:rPr>
          <w:rFonts w:ascii="Times New Roman" w:hAnsi="Times New Roman"/>
          <w:sz w:val="24"/>
          <w:lang w:val="fr-FR"/>
        </w:rPr>
        <w:t xml:space="preserve">l'adoption finale du règlement Europol révisé, qui s'appliquera à partir du printemps </w:t>
      </w:r>
      <w:r w:rsidRPr="00DB3EC6">
        <w:rPr>
          <w:rFonts w:ascii="Times New Roman" w:hAnsi="Times New Roman"/>
          <w:sz w:val="24"/>
          <w:lang w:val="fr-FR"/>
        </w:rPr>
        <w:t>2017</w:t>
      </w:r>
      <w:r w:rsidRPr="00547FAA">
        <w:rPr>
          <w:rFonts w:ascii="Times New Roman" w:hAnsi="Times New Roman"/>
          <w:sz w:val="24"/>
          <w:lang w:val="fr-FR"/>
        </w:rPr>
        <w:t>, sera décisive pour faire d'</w:t>
      </w:r>
      <w:r w:rsidRPr="00547FAA">
        <w:rPr>
          <w:rFonts w:ascii="Times New Roman" w:hAnsi="Times New Roman"/>
          <w:sz w:val="24"/>
          <w:u w:val="single"/>
          <w:lang w:val="fr-FR"/>
        </w:rPr>
        <w:t>Europol</w:t>
      </w:r>
      <w:r w:rsidRPr="00547FAA">
        <w:rPr>
          <w:rFonts w:ascii="Times New Roman" w:hAnsi="Times New Roman"/>
          <w:sz w:val="24"/>
          <w:lang w:val="fr-FR"/>
        </w:rPr>
        <w:t xml:space="preserve"> un pivot en matière d'échange d'informations entre les autorités répressives de l'UE;</w:t>
      </w:r>
    </w:p>
    <w:p w:rsidR="00A17F22" w:rsidRPr="00547FAA" w:rsidRDefault="00A17F22" w:rsidP="00A17F22">
      <w:pPr>
        <w:pStyle w:val="ListParagraph"/>
        <w:spacing w:after="0" w:line="240" w:lineRule="auto"/>
        <w:jc w:val="both"/>
        <w:rPr>
          <w:rFonts w:ascii="Times New Roman" w:hAnsi="Times New Roman" w:cs="Times New Roman"/>
          <w:sz w:val="24"/>
          <w:szCs w:val="24"/>
          <w:lang w:val="fr-FR"/>
        </w:rPr>
      </w:pPr>
    </w:p>
    <w:p w:rsidR="00A17F22" w:rsidRPr="00547FAA" w:rsidRDefault="00A17F22" w:rsidP="00A17F22">
      <w:pPr>
        <w:pStyle w:val="ListParagraph"/>
        <w:numPr>
          <w:ilvl w:val="0"/>
          <w:numId w:val="14"/>
        </w:numPr>
        <w:spacing w:line="240" w:lineRule="auto"/>
        <w:ind w:left="426"/>
        <w:jc w:val="both"/>
        <w:rPr>
          <w:lang w:val="fr-FR"/>
        </w:rPr>
      </w:pPr>
      <w:r w:rsidRPr="00547FAA">
        <w:rPr>
          <w:rFonts w:ascii="Times New Roman" w:hAnsi="Times New Roman"/>
          <w:sz w:val="24"/>
          <w:lang w:val="fr-FR"/>
        </w:rPr>
        <w:t>le</w:t>
      </w:r>
      <w:r w:rsidRPr="00547FAA">
        <w:rPr>
          <w:lang w:val="fr-FR"/>
        </w:rPr>
        <w:t xml:space="preserve"> </w:t>
      </w:r>
      <w:r w:rsidRPr="00547FAA">
        <w:rPr>
          <w:rFonts w:ascii="Times New Roman" w:hAnsi="Times New Roman"/>
          <w:sz w:val="24"/>
          <w:u w:val="single"/>
          <w:lang w:val="fr-FR"/>
        </w:rPr>
        <w:t>Centre européen de la lutte contre le terrorisme</w:t>
      </w:r>
      <w:r w:rsidRPr="00547FAA">
        <w:rPr>
          <w:rFonts w:ascii="Times New Roman" w:hAnsi="Times New Roman"/>
          <w:sz w:val="24"/>
          <w:lang w:val="fr-FR"/>
        </w:rPr>
        <w:t>, créé au sein d'Europol, a été lancé en janvier </w:t>
      </w:r>
      <w:r w:rsidRPr="00DB3EC6">
        <w:rPr>
          <w:rFonts w:ascii="Times New Roman" w:hAnsi="Times New Roman"/>
          <w:sz w:val="24"/>
          <w:lang w:val="fr-FR"/>
        </w:rPr>
        <w:t>2016</w:t>
      </w:r>
      <w:r w:rsidRPr="00547FAA">
        <w:rPr>
          <w:rFonts w:ascii="Times New Roman" w:hAnsi="Times New Roman"/>
          <w:sz w:val="24"/>
          <w:lang w:val="fr-FR"/>
        </w:rPr>
        <w:t xml:space="preserve"> pour soutenir la lutte contre le terrorisme et la radicalisation en renforçant la coordination et la coopération entre les autorités concernées et en établissant un environnement de communication sécurisé</w:t>
      </w:r>
      <w:r w:rsidRPr="00547FAA">
        <w:rPr>
          <w:rStyle w:val="FootnoteReference"/>
          <w:rFonts w:ascii="Times New Roman" w:hAnsi="Times New Roman"/>
          <w:sz w:val="24"/>
          <w:lang w:val="fr-FR"/>
        </w:rPr>
        <w:footnoteReference w:id="25"/>
      </w:r>
      <w:r w:rsidRPr="00547FAA">
        <w:rPr>
          <w:rFonts w:ascii="Times New Roman" w:hAnsi="Times New Roman"/>
          <w:sz w:val="24"/>
          <w:lang w:val="fr-FR"/>
        </w:rPr>
        <w:t xml:space="preserve">. Les États membres doivent d'urgence mettre un nombre suffisant d'experts à sa disposition conformément à la déclaration commune des ministres européens de la justice et de l'intérieur et des représentants des institutions de l'UE du </w:t>
      </w:r>
      <w:r w:rsidRPr="00DB3EC6">
        <w:rPr>
          <w:rFonts w:ascii="Times New Roman" w:hAnsi="Times New Roman"/>
          <w:sz w:val="24"/>
          <w:lang w:val="fr-FR"/>
        </w:rPr>
        <w:t>24</w:t>
      </w:r>
      <w:r w:rsidRPr="00547FAA">
        <w:rPr>
          <w:rFonts w:ascii="Times New Roman" w:hAnsi="Times New Roman"/>
          <w:sz w:val="24"/>
          <w:lang w:val="fr-FR"/>
        </w:rPr>
        <w:t xml:space="preserve"> mars </w:t>
      </w:r>
      <w:r w:rsidRPr="00DB3EC6">
        <w:rPr>
          <w:rFonts w:ascii="Times New Roman" w:hAnsi="Times New Roman"/>
          <w:sz w:val="24"/>
          <w:lang w:val="fr-FR"/>
        </w:rPr>
        <w:t>2016</w:t>
      </w:r>
      <w:r w:rsidRPr="00547FAA">
        <w:rPr>
          <w:rStyle w:val="FootnoteReference"/>
          <w:rFonts w:ascii="Times New Roman" w:hAnsi="Times New Roman"/>
          <w:sz w:val="24"/>
          <w:lang w:val="fr-FR"/>
        </w:rPr>
        <w:footnoteReference w:id="26"/>
      </w:r>
      <w:r w:rsidRPr="00547FAA">
        <w:rPr>
          <w:rFonts w:ascii="Times New Roman" w:hAnsi="Times New Roman"/>
          <w:sz w:val="24"/>
          <w:lang w:val="fr-FR"/>
        </w:rPr>
        <w:t>. Le Centre européen de la lutte contre le terrorisme devrait maintenant être renforcé pour devenir le centre névralgique du renseignement en matière répressive pour l’analyse du terrorisme et l'évaluation de la menace et soutenir l’élaboration de plans opérationnels de lutte contre le terrorisme. La Commission va présenter des initiatives visant à faire du Centre une structure plus forte, capable de planifier des opérations conjointes, d'évaluer la menace et de coordonner les informations en matière répressive, dotée d'effectifs issus des institutions responsables des États membres et de la Commission et soumise à des mécanismes de contrôle démocratique adaptés. Le Centre européen de la lutte contre le terrorisme et le centre de situation et de renseignement devraient ensuite poursuivre leurs travaux, avec l'appui de la Commission et en étroite collaboration avec le groupe antiterroriste qui réunit les services nationaux de sécurité. Tous deux devraient lancer d'urgence des évaluations communes des menaces liées au terrorisme et à la radicalisation;</w:t>
      </w:r>
    </w:p>
    <w:p w:rsidR="00A17F22" w:rsidRPr="00547FAA" w:rsidRDefault="00A17F22" w:rsidP="00A17F22">
      <w:pPr>
        <w:pStyle w:val="ListParagraph"/>
        <w:spacing w:after="0" w:line="240" w:lineRule="auto"/>
        <w:ind w:left="426"/>
        <w:jc w:val="both"/>
        <w:rPr>
          <w:rFonts w:ascii="Times New Roman" w:hAnsi="Times New Roman" w:cs="Times New Roman"/>
          <w:sz w:val="24"/>
          <w:szCs w:val="24"/>
          <w:lang w:val="fr-FR"/>
        </w:rPr>
      </w:pPr>
    </w:p>
    <w:p w:rsidR="00A17F22" w:rsidRPr="00547FAA" w:rsidRDefault="00A17F22" w:rsidP="00A17F22">
      <w:pPr>
        <w:pStyle w:val="ListParagraph"/>
        <w:numPr>
          <w:ilvl w:val="0"/>
          <w:numId w:val="5"/>
        </w:numPr>
        <w:spacing w:after="0" w:line="240" w:lineRule="auto"/>
        <w:ind w:left="426"/>
        <w:jc w:val="both"/>
        <w:rPr>
          <w:rFonts w:ascii="Times New Roman" w:hAnsi="Times New Roman" w:cs="Times New Roman"/>
          <w:sz w:val="24"/>
          <w:szCs w:val="24"/>
          <w:lang w:val="fr-FR"/>
        </w:rPr>
      </w:pPr>
      <w:r w:rsidRPr="00547FAA">
        <w:rPr>
          <w:rFonts w:ascii="Times New Roman" w:hAnsi="Times New Roman"/>
          <w:sz w:val="24"/>
          <w:lang w:val="fr-FR"/>
        </w:rPr>
        <w:t xml:space="preserve">la récente </w:t>
      </w:r>
      <w:r w:rsidRPr="00547FAA">
        <w:rPr>
          <w:rFonts w:ascii="Times New Roman" w:hAnsi="Times New Roman"/>
          <w:sz w:val="24"/>
          <w:u w:val="single"/>
          <w:lang w:val="fr-FR"/>
        </w:rPr>
        <w:t>communication sur des systèmes d’information plus robustes et plus intelligents au service des frontières et de la sécurité</w:t>
      </w:r>
      <w:r w:rsidRPr="00547FAA">
        <w:rPr>
          <w:rStyle w:val="FootnoteReference"/>
          <w:rFonts w:ascii="Times New Roman" w:hAnsi="Times New Roman"/>
          <w:sz w:val="24"/>
          <w:lang w:val="fr-FR"/>
        </w:rPr>
        <w:footnoteReference w:id="27"/>
      </w:r>
      <w:r w:rsidRPr="00547FAA">
        <w:rPr>
          <w:rFonts w:ascii="Times New Roman" w:hAnsi="Times New Roman"/>
          <w:sz w:val="24"/>
          <w:lang w:val="fr-FR"/>
        </w:rPr>
        <w:t xml:space="preserve"> lance le débat et donne le coup d'envoi à un processus visant à remédier aux faiblesses des systèmes de données actuels, aux lacunes de l'architecture, ainsi qu'au manque d'interopérabilité, d'interconnexion et d'accès, dans le respect absolu des règles en matière de protection des données. L'idée est </w:t>
      </w:r>
      <w:r w:rsidRPr="00547FAA">
        <w:rPr>
          <w:rFonts w:ascii="Times New Roman" w:hAnsi="Times New Roman"/>
          <w:sz w:val="24"/>
          <w:lang w:val="fr-FR"/>
        </w:rPr>
        <w:lastRenderedPageBreak/>
        <w:t>de mettre en place un répertoire européen commun de données et un système, intégré à l'échelle de l'UE, de gestion de l'identité biométrique à des fins de déplacements à l'étranger, de migration et de sécurité. Ces travaux doivent être accélérés;</w:t>
      </w:r>
    </w:p>
    <w:p w:rsidR="00A17F22" w:rsidRPr="00547FAA" w:rsidRDefault="00A17F22" w:rsidP="00A17F22">
      <w:pPr>
        <w:pStyle w:val="ListParagraph"/>
        <w:spacing w:after="0" w:line="240" w:lineRule="auto"/>
        <w:jc w:val="both"/>
        <w:rPr>
          <w:rFonts w:ascii="Times New Roman" w:hAnsi="Times New Roman" w:cs="Times New Roman"/>
          <w:sz w:val="24"/>
          <w:szCs w:val="24"/>
          <w:lang w:val="fr-FR"/>
        </w:rPr>
      </w:pPr>
    </w:p>
    <w:p w:rsidR="00A17F22" w:rsidRPr="00547FAA" w:rsidRDefault="00A17F22" w:rsidP="00A17F22">
      <w:pPr>
        <w:pStyle w:val="ListParagraph"/>
        <w:numPr>
          <w:ilvl w:val="0"/>
          <w:numId w:val="5"/>
        </w:numPr>
        <w:spacing w:after="0" w:line="240" w:lineRule="auto"/>
        <w:ind w:left="426"/>
        <w:jc w:val="both"/>
        <w:rPr>
          <w:rFonts w:ascii="Times New Roman" w:hAnsi="Times New Roman" w:cs="Times New Roman"/>
          <w:sz w:val="24"/>
          <w:szCs w:val="24"/>
          <w:lang w:val="fr-FR"/>
        </w:rPr>
      </w:pPr>
      <w:r w:rsidRPr="00547FAA">
        <w:rPr>
          <w:rFonts w:ascii="Times New Roman" w:hAnsi="Times New Roman"/>
          <w:sz w:val="24"/>
          <w:lang w:val="fr-FR"/>
        </w:rPr>
        <w:t xml:space="preserve">la Commission a également proposé un </w:t>
      </w:r>
      <w:r w:rsidRPr="00547FAA">
        <w:rPr>
          <w:rFonts w:ascii="Times New Roman" w:hAnsi="Times New Roman"/>
          <w:sz w:val="24"/>
          <w:u w:val="single"/>
          <w:lang w:val="fr-FR"/>
        </w:rPr>
        <w:t>système d'entrée/sortie aux frontières extérieures de l'UE</w:t>
      </w:r>
      <w:r w:rsidRPr="00547FAA">
        <w:rPr>
          <w:rStyle w:val="FootnoteReference"/>
          <w:rFonts w:ascii="Times New Roman" w:hAnsi="Times New Roman"/>
          <w:sz w:val="24"/>
          <w:lang w:val="fr-FR"/>
        </w:rPr>
        <w:footnoteReference w:id="28"/>
      </w:r>
      <w:r w:rsidRPr="00547FAA">
        <w:rPr>
          <w:rFonts w:ascii="Times New Roman" w:hAnsi="Times New Roman"/>
          <w:sz w:val="24"/>
          <w:lang w:val="fr-FR"/>
        </w:rPr>
        <w:t xml:space="preserve"> qui recourra à la biométrie, sera accessible aux autorités répressives et sera interopérable avec d'autres systèmes (notamment avec le système d'information sur les visas); </w:t>
      </w:r>
    </w:p>
    <w:p w:rsidR="00A17F22" w:rsidRPr="00547FAA" w:rsidRDefault="00A17F22" w:rsidP="00A17F22">
      <w:pPr>
        <w:pStyle w:val="ListParagraph"/>
        <w:spacing w:after="0" w:line="240" w:lineRule="auto"/>
        <w:jc w:val="both"/>
        <w:rPr>
          <w:rFonts w:ascii="Times New Roman" w:hAnsi="Times New Roman" w:cs="Times New Roman"/>
          <w:sz w:val="24"/>
          <w:szCs w:val="24"/>
          <w:lang w:val="fr-FR"/>
        </w:rPr>
      </w:pPr>
    </w:p>
    <w:p w:rsidR="00A17F22" w:rsidRPr="00547FAA" w:rsidRDefault="00A17F22" w:rsidP="00A17F22">
      <w:pPr>
        <w:pStyle w:val="ListParagraph"/>
        <w:numPr>
          <w:ilvl w:val="0"/>
          <w:numId w:val="5"/>
        </w:numPr>
        <w:spacing w:after="0" w:line="240" w:lineRule="auto"/>
        <w:ind w:left="426"/>
        <w:jc w:val="both"/>
        <w:rPr>
          <w:rFonts w:ascii="Times New Roman" w:hAnsi="Times New Roman" w:cs="Times New Roman"/>
          <w:sz w:val="24"/>
          <w:szCs w:val="24"/>
          <w:lang w:val="fr-FR"/>
        </w:rPr>
      </w:pPr>
      <w:r w:rsidRPr="00547FAA">
        <w:rPr>
          <w:rFonts w:ascii="Times New Roman" w:hAnsi="Times New Roman"/>
          <w:sz w:val="24"/>
          <w:lang w:val="fr-FR"/>
        </w:rPr>
        <w:t xml:space="preserve">les échanges d'informations transfrontières sont essentiels pour faire respecter la loi dans l'UE. Le </w:t>
      </w:r>
      <w:r w:rsidRPr="00547FAA">
        <w:rPr>
          <w:rFonts w:ascii="Times New Roman" w:hAnsi="Times New Roman"/>
          <w:sz w:val="24"/>
          <w:u w:val="single"/>
          <w:lang w:val="fr-FR"/>
        </w:rPr>
        <w:t>cadre Prüm</w:t>
      </w:r>
      <w:r w:rsidRPr="00547FAA">
        <w:rPr>
          <w:rFonts w:ascii="Times New Roman" w:hAnsi="Times New Roman"/>
          <w:sz w:val="24"/>
          <w:lang w:val="fr-FR"/>
        </w:rPr>
        <w:t xml:space="preserve"> doit être mis en œuvre et pleinement utilisé. Il permet une comparaison automatisée des profils ADN, des données dactyloscopiques et des données relatives à l’immatriculation des véhicules. Il faudrait également accorder la priorité à une utilisation plus systématique et plus cohérente de la base de données d'Interpol sur les documents de voyage perdus ou volés;</w:t>
      </w:r>
    </w:p>
    <w:p w:rsidR="00A17F22" w:rsidRPr="00547FAA" w:rsidRDefault="00A17F22" w:rsidP="00A17F22">
      <w:pPr>
        <w:pStyle w:val="ListParagraph"/>
        <w:spacing w:after="0" w:line="240" w:lineRule="auto"/>
        <w:jc w:val="both"/>
        <w:rPr>
          <w:rFonts w:ascii="Times New Roman" w:hAnsi="Times New Roman" w:cs="Times New Roman"/>
          <w:sz w:val="24"/>
          <w:szCs w:val="24"/>
          <w:lang w:val="fr-FR"/>
        </w:rPr>
      </w:pPr>
    </w:p>
    <w:p w:rsidR="00A17F22" w:rsidRPr="00547FAA" w:rsidRDefault="00A17F22" w:rsidP="00A17F22">
      <w:pPr>
        <w:pStyle w:val="ListParagraph"/>
        <w:numPr>
          <w:ilvl w:val="0"/>
          <w:numId w:val="5"/>
        </w:numPr>
        <w:spacing w:after="0" w:line="240" w:lineRule="auto"/>
        <w:ind w:left="426"/>
        <w:jc w:val="both"/>
        <w:rPr>
          <w:rFonts w:ascii="Times New Roman" w:hAnsi="Times New Roman" w:cs="Times New Roman"/>
          <w:sz w:val="24"/>
          <w:szCs w:val="24"/>
          <w:lang w:val="fr-FR"/>
        </w:rPr>
      </w:pPr>
      <w:r w:rsidRPr="00547FAA">
        <w:rPr>
          <w:rFonts w:ascii="Times New Roman" w:hAnsi="Times New Roman"/>
          <w:sz w:val="24"/>
          <w:u w:val="single"/>
          <w:lang w:val="fr-FR"/>
        </w:rPr>
        <w:t>l'extension du système européen d'information sur les casiers judiciaires aux ressortissants de pays tiers</w:t>
      </w:r>
      <w:r w:rsidRPr="00547FAA">
        <w:rPr>
          <w:rFonts w:ascii="Times New Roman" w:hAnsi="Times New Roman"/>
          <w:sz w:val="24"/>
          <w:lang w:val="fr-FR"/>
        </w:rPr>
        <w:t>: le Parlement européen et le Conseil devraient adopter la proposition de la Commission visant à modifier le système européen d'échange d'informations sur les condamnations pénales pour y inclure l'échange d'informations sur les casiers judiciaires de ressortissants de pays tiers;</w:t>
      </w:r>
    </w:p>
    <w:p w:rsidR="00A17F22" w:rsidRPr="00547FAA" w:rsidRDefault="00A17F22" w:rsidP="00A17F22">
      <w:pPr>
        <w:pStyle w:val="ListParagraph"/>
        <w:spacing w:after="0" w:line="240" w:lineRule="auto"/>
        <w:ind w:left="426"/>
        <w:jc w:val="both"/>
        <w:rPr>
          <w:rFonts w:ascii="Times New Roman" w:hAnsi="Times New Roman" w:cs="Times New Roman"/>
          <w:sz w:val="24"/>
          <w:szCs w:val="24"/>
          <w:lang w:val="fr-FR"/>
        </w:rPr>
      </w:pPr>
    </w:p>
    <w:p w:rsidR="00A17F22" w:rsidRPr="00547FAA" w:rsidRDefault="00A17F22" w:rsidP="00A17F22">
      <w:pPr>
        <w:pStyle w:val="ListParagraph"/>
        <w:numPr>
          <w:ilvl w:val="0"/>
          <w:numId w:val="5"/>
        </w:numPr>
        <w:spacing w:after="0" w:line="240" w:lineRule="auto"/>
        <w:ind w:left="426"/>
        <w:jc w:val="both"/>
        <w:rPr>
          <w:rFonts w:ascii="Times New Roman" w:hAnsi="Times New Roman" w:cs="Times New Roman"/>
          <w:sz w:val="24"/>
          <w:szCs w:val="24"/>
          <w:lang w:val="fr-FR"/>
        </w:rPr>
      </w:pPr>
      <w:r w:rsidRPr="00547FAA">
        <w:rPr>
          <w:rFonts w:ascii="Times New Roman" w:hAnsi="Times New Roman"/>
          <w:sz w:val="24"/>
          <w:u w:val="single"/>
          <w:lang w:val="fr-FR"/>
        </w:rPr>
        <w:t>la juridiction en matière d'accès aux preuves numériques</w:t>
      </w:r>
      <w:r w:rsidRPr="00547FAA">
        <w:rPr>
          <w:rFonts w:ascii="Times New Roman" w:hAnsi="Times New Roman"/>
          <w:sz w:val="24"/>
          <w:lang w:val="fr-FR"/>
        </w:rPr>
        <w:t>: la Commission œuvrera avec le Parlement européen et le Conseil, après avoir consulté des experts et d'autres parties prenantes, à l'élaboration d'une approche européenne commune de la définition de la juridiction des autorités répressives lorsque celles-ci ont directement accès à des données qui sont stockées ou se trouvent à l'étranger (c'est-à-dire envisager des critères de rattachement autres que le principe de territorialité).</w:t>
      </w:r>
    </w:p>
    <w:p w:rsidR="00A17F22" w:rsidRPr="00547FAA" w:rsidRDefault="00A17F22" w:rsidP="00A17F22">
      <w:pPr>
        <w:pStyle w:val="ListParagraph"/>
        <w:spacing w:after="0" w:line="240" w:lineRule="auto"/>
        <w:ind w:left="426"/>
        <w:jc w:val="both"/>
        <w:rPr>
          <w:rFonts w:ascii="Times New Roman" w:hAnsi="Times New Roman" w:cs="Times New Roman"/>
          <w:sz w:val="24"/>
          <w:szCs w:val="24"/>
          <w:lang w:val="fr-FR"/>
        </w:rPr>
      </w:pPr>
    </w:p>
    <w:tbl>
      <w:tblPr>
        <w:tblStyle w:val="TableGrid"/>
        <w:tblW w:w="0" w:type="auto"/>
        <w:tblLook w:val="04A0" w:firstRow="1" w:lastRow="0" w:firstColumn="1" w:lastColumn="0" w:noHBand="0" w:noVBand="1"/>
      </w:tblPr>
      <w:tblGrid>
        <w:gridCol w:w="9288"/>
      </w:tblGrid>
      <w:tr w:rsidR="00A17F22" w:rsidRPr="00547FAA" w:rsidTr="008D2F99">
        <w:tc>
          <w:tcPr>
            <w:tcW w:w="9288" w:type="dxa"/>
          </w:tcPr>
          <w:p w:rsidR="00A17F22" w:rsidRPr="00547FAA" w:rsidRDefault="00A17F22" w:rsidP="008D2F99">
            <w:pPr>
              <w:jc w:val="both"/>
              <w:rPr>
                <w:rFonts w:ascii="Times New Roman" w:hAnsi="Times New Roman" w:cs="Times New Roman"/>
                <w:b/>
                <w:i/>
                <w:lang w:val="fr-FR"/>
              </w:rPr>
            </w:pPr>
            <w:r w:rsidRPr="00547FAA">
              <w:rPr>
                <w:lang w:val="fr-FR"/>
              </w:rPr>
              <w:br w:type="page"/>
            </w:r>
            <w:r w:rsidRPr="00547FAA">
              <w:rPr>
                <w:rFonts w:ascii="Times New Roman" w:hAnsi="Times New Roman"/>
                <w:b/>
                <w:i/>
                <w:lang w:val="fr-FR"/>
              </w:rPr>
              <w:t>Prochaines étapes:</w:t>
            </w:r>
          </w:p>
          <w:p w:rsidR="00A17F22" w:rsidRPr="00547FAA" w:rsidRDefault="00A17F22" w:rsidP="008D2F99">
            <w:pPr>
              <w:jc w:val="both"/>
              <w:rPr>
                <w:rFonts w:ascii="Times New Roman" w:hAnsi="Times New Roman" w:cs="Times New Roman"/>
                <w:b/>
                <w:i/>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Les États membres devraient:</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augmenter le nombre d'experts détachés auprès du Centre de la lutte contre le terrorisme;</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veiller d'urgence à mettre pleinement en œuvre le cadre Prüm et recourir plus systématiquement et de manière plus cohérente à la base de données d'Interpol sur les documents de voyage perdus ou volés.</w:t>
            </w:r>
          </w:p>
          <w:p w:rsidR="00A17F22" w:rsidRPr="00547FAA" w:rsidRDefault="00A17F22" w:rsidP="008D2F99">
            <w:pPr>
              <w:jc w:val="both"/>
              <w:rPr>
                <w:rFonts w:ascii="Times New Roman" w:hAnsi="Times New Roman" w:cs="Times New Roman"/>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Le Parlement européen et le Conseil devraient:</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i/>
                <w:sz w:val="24"/>
                <w:szCs w:val="24"/>
                <w:lang w:val="fr-FR"/>
              </w:rPr>
            </w:pPr>
            <w:r w:rsidRPr="00547FAA">
              <w:rPr>
                <w:rFonts w:ascii="Times New Roman" w:hAnsi="Times New Roman"/>
                <w:sz w:val="24"/>
                <w:lang w:val="fr-FR"/>
              </w:rPr>
              <w:t>d'ici juin </w:t>
            </w:r>
            <w:r w:rsidRPr="00DB3EC6">
              <w:rPr>
                <w:rFonts w:ascii="Times New Roman" w:hAnsi="Times New Roman"/>
                <w:sz w:val="24"/>
                <w:lang w:val="fr-FR"/>
              </w:rPr>
              <w:t>2016</w:t>
            </w:r>
            <w:r w:rsidRPr="00547FAA">
              <w:rPr>
                <w:rFonts w:ascii="Times New Roman" w:hAnsi="Times New Roman"/>
                <w:sz w:val="24"/>
                <w:lang w:val="fr-FR"/>
              </w:rPr>
              <w:t>, procéder rapidement à l'adoption du règlement Europol révisé;</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i/>
                <w:sz w:val="24"/>
                <w:szCs w:val="24"/>
                <w:lang w:val="fr-FR"/>
              </w:rPr>
            </w:pPr>
            <w:r w:rsidRPr="00547FAA">
              <w:rPr>
                <w:rFonts w:ascii="Times New Roman" w:hAnsi="Times New Roman"/>
                <w:sz w:val="24"/>
                <w:lang w:val="fr-FR"/>
              </w:rPr>
              <w:t xml:space="preserve">d'ici la fin de </w:t>
            </w:r>
            <w:r w:rsidRPr="00DB3EC6">
              <w:rPr>
                <w:rFonts w:ascii="Times New Roman" w:hAnsi="Times New Roman"/>
                <w:sz w:val="24"/>
                <w:lang w:val="fr-FR"/>
              </w:rPr>
              <w:t>2016</w:t>
            </w:r>
            <w:r w:rsidRPr="00547FAA">
              <w:rPr>
                <w:rFonts w:ascii="Times New Roman" w:hAnsi="Times New Roman"/>
                <w:sz w:val="24"/>
                <w:lang w:val="fr-FR"/>
              </w:rPr>
              <w:t>, approuver en priorité les propositions de la Commission relatives à un système d'entrée/sortie de l'UE et à l'extension du système européen d'information sur les casiers judiciaires aux ressortissants de pays tiers.</w:t>
            </w:r>
          </w:p>
          <w:p w:rsidR="00A17F22" w:rsidRPr="00547FAA" w:rsidRDefault="00A17F22" w:rsidP="008D2F99">
            <w:pPr>
              <w:jc w:val="both"/>
              <w:rPr>
                <w:rFonts w:ascii="Times New Roman" w:hAnsi="Times New Roman" w:cs="Times New Roman"/>
                <w:b/>
                <w:i/>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La Commission entend:</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d'ici l'automne </w:t>
            </w:r>
            <w:r w:rsidRPr="00DB3EC6">
              <w:rPr>
                <w:rFonts w:ascii="Times New Roman" w:hAnsi="Times New Roman"/>
                <w:sz w:val="24"/>
                <w:lang w:val="fr-FR"/>
              </w:rPr>
              <w:t>2016</w:t>
            </w:r>
            <w:r w:rsidRPr="00547FAA">
              <w:rPr>
                <w:rFonts w:ascii="Times New Roman" w:hAnsi="Times New Roman"/>
                <w:sz w:val="24"/>
                <w:lang w:val="fr-FR"/>
              </w:rPr>
              <w:t>, présenter des initiatives visant à renforcer le Centre européen de la lutte contre le terrorisme;</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i/>
                <w:sz w:val="24"/>
                <w:szCs w:val="24"/>
                <w:lang w:val="fr-FR"/>
              </w:rPr>
            </w:pPr>
            <w:r w:rsidRPr="00547FAA">
              <w:rPr>
                <w:rFonts w:ascii="Times New Roman" w:hAnsi="Times New Roman"/>
                <w:sz w:val="24"/>
                <w:lang w:val="fr-FR"/>
              </w:rPr>
              <w:lastRenderedPageBreak/>
              <w:t>d'ici mai </w:t>
            </w:r>
            <w:r w:rsidRPr="00DB3EC6">
              <w:rPr>
                <w:rFonts w:ascii="Times New Roman" w:hAnsi="Times New Roman"/>
                <w:sz w:val="24"/>
                <w:lang w:val="fr-FR"/>
              </w:rPr>
              <w:t>2016</w:t>
            </w:r>
            <w:r w:rsidRPr="00547FAA">
              <w:rPr>
                <w:rFonts w:ascii="Times New Roman" w:hAnsi="Times New Roman"/>
                <w:sz w:val="24"/>
                <w:lang w:val="fr-FR"/>
              </w:rPr>
              <w:t>, constituer un groupe d'experts chargé de formuler des propositions visant à améliorer et/ou développer les systèmes d'information existants, à combler les déficits d'information et à progresser vers l'interopérabilité des systèmes d'information, ainsi que le prévoit la communication sur des systèmes d’information plus robustes et plus intelligents au service des frontières et de la sécurité, en suivant un calendrier ambitieux;</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utiliser les pouvoirs qui lui sont conférés par les traités pour veiller à la bonne mise en œuvre de l'acquis de l'UE.</w:t>
            </w:r>
          </w:p>
          <w:p w:rsidR="00A17F22" w:rsidRPr="00547FAA" w:rsidRDefault="00A17F22" w:rsidP="008D2F99">
            <w:pPr>
              <w:pStyle w:val="ListParagraph"/>
              <w:spacing w:after="0"/>
              <w:rPr>
                <w:rFonts w:ascii="Times New Roman" w:hAnsi="Times New Roman" w:cs="Times New Roman"/>
                <w:sz w:val="24"/>
                <w:szCs w:val="24"/>
                <w:lang w:val="fr-FR"/>
              </w:rPr>
            </w:pPr>
          </w:p>
        </w:tc>
      </w:tr>
    </w:tbl>
    <w:p w:rsidR="00A17F22" w:rsidRPr="00547FAA" w:rsidRDefault="00A17F22" w:rsidP="00A17F22">
      <w:pPr>
        <w:jc w:val="both"/>
        <w:rPr>
          <w:b/>
          <w:lang w:val="fr-FR"/>
        </w:rPr>
      </w:pPr>
    </w:p>
    <w:p w:rsidR="00A17F22" w:rsidRPr="00547FAA" w:rsidRDefault="00A17F22" w:rsidP="00A17F22">
      <w:pPr>
        <w:jc w:val="both"/>
        <w:rPr>
          <w:b/>
          <w:lang w:val="fr-FR"/>
        </w:rPr>
      </w:pPr>
    </w:p>
    <w:p w:rsidR="00A17F22" w:rsidRPr="00547FAA" w:rsidRDefault="00A17F22" w:rsidP="00A17F22">
      <w:pPr>
        <w:jc w:val="both"/>
        <w:rPr>
          <w:b/>
          <w:lang w:val="fr-FR"/>
        </w:rPr>
      </w:pPr>
      <w:r w:rsidRPr="00DB3EC6">
        <w:rPr>
          <w:b/>
          <w:lang w:val="fr-FR"/>
        </w:rPr>
        <w:t>2</w:t>
      </w:r>
      <w:r w:rsidRPr="00547FAA">
        <w:rPr>
          <w:b/>
          <w:lang w:val="fr-FR"/>
        </w:rPr>
        <w:t>.</w:t>
      </w:r>
      <w:r w:rsidRPr="00DB3EC6">
        <w:rPr>
          <w:b/>
          <w:lang w:val="fr-FR"/>
        </w:rPr>
        <w:t>5</w:t>
      </w:r>
      <w:r w:rsidRPr="00547FAA">
        <w:rPr>
          <w:lang w:val="fr-FR"/>
        </w:rPr>
        <w:tab/>
      </w:r>
      <w:r w:rsidRPr="00547FAA">
        <w:rPr>
          <w:b/>
          <w:lang w:val="fr-FR"/>
        </w:rPr>
        <w:t>Couper l'accès des terroristes aux armes à feu et aux explosifs</w:t>
      </w:r>
    </w:p>
    <w:p w:rsidR="00A17F22" w:rsidRPr="00547FAA" w:rsidRDefault="00A17F22" w:rsidP="00A17F22">
      <w:pPr>
        <w:jc w:val="both"/>
        <w:rPr>
          <w:b/>
          <w:lang w:val="fr-FR"/>
        </w:rPr>
      </w:pPr>
    </w:p>
    <w:p w:rsidR="00A17F22" w:rsidRPr="00547FAA" w:rsidRDefault="00A17F22" w:rsidP="00A17F22">
      <w:pPr>
        <w:jc w:val="both"/>
        <w:rPr>
          <w:lang w:val="fr-FR"/>
        </w:rPr>
      </w:pPr>
      <w:r w:rsidRPr="00547FAA">
        <w:rPr>
          <w:lang w:val="fr-FR"/>
        </w:rPr>
        <w:t>Il est indispensable de limiter l'accès des terroristes aux précurseurs d'explosifs et aux détonateurs. La Commission a déjà relevé des lacunes importantes</w:t>
      </w:r>
      <w:r w:rsidRPr="00547FAA">
        <w:rPr>
          <w:rStyle w:val="FootnoteReference"/>
          <w:lang w:val="fr-FR"/>
        </w:rPr>
        <w:footnoteReference w:id="29"/>
      </w:r>
      <w:r w:rsidRPr="00547FAA">
        <w:rPr>
          <w:lang w:val="fr-FR"/>
        </w:rPr>
        <w:t xml:space="preserve"> dans la mise en œuvre, par les États membres, du règlement (UE) n° </w:t>
      </w:r>
      <w:r w:rsidRPr="00DB3EC6">
        <w:rPr>
          <w:lang w:val="fr-FR"/>
        </w:rPr>
        <w:t>98</w:t>
      </w:r>
      <w:r w:rsidRPr="00547FAA">
        <w:rPr>
          <w:lang w:val="fr-FR"/>
        </w:rPr>
        <w:t>/</w:t>
      </w:r>
      <w:r w:rsidRPr="00DB3EC6">
        <w:rPr>
          <w:lang w:val="fr-FR"/>
        </w:rPr>
        <w:t>2013</w:t>
      </w:r>
      <w:r w:rsidRPr="00547FAA">
        <w:rPr>
          <w:lang w:val="fr-FR"/>
        </w:rPr>
        <w:t xml:space="preserve"> sur les précurseurs d'explosifs</w:t>
      </w:r>
      <w:r w:rsidRPr="00547FAA">
        <w:rPr>
          <w:rStyle w:val="FootnoteReference"/>
          <w:lang w:val="fr-FR"/>
        </w:rPr>
        <w:footnoteReference w:id="30"/>
      </w:r>
      <w:r w:rsidRPr="00547FAA">
        <w:rPr>
          <w:lang w:val="fr-FR"/>
        </w:rPr>
        <w:t xml:space="preserve"> et prend actuellement des mesures pour y remédier. Elle va évaluer la nécessité de réviser ce règlement en </w:t>
      </w:r>
      <w:r w:rsidRPr="00DB3EC6">
        <w:rPr>
          <w:lang w:val="fr-FR"/>
        </w:rPr>
        <w:t>2016</w:t>
      </w:r>
      <w:r w:rsidRPr="00547FAA">
        <w:rPr>
          <w:lang w:val="fr-FR"/>
        </w:rPr>
        <w:t>. La sécurité des stocks d'explosifs, tant civils que militaires, est elle aussi essentielle.</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t xml:space="preserve">L'accès des terroristes aux armes automatiques reste un problème de taille. La faille juridique qui permettait la réactivation d'armes à feu a été comblée par le règlement d'exécution sur des normes communes en matière de neutralisation des armes à feu adopté par la Commission le </w:t>
      </w:r>
      <w:r w:rsidRPr="00DB3EC6">
        <w:rPr>
          <w:lang w:val="fr-FR"/>
        </w:rPr>
        <w:t>18</w:t>
      </w:r>
      <w:r w:rsidRPr="00547FAA">
        <w:rPr>
          <w:lang w:val="fr-FR"/>
        </w:rPr>
        <w:t xml:space="preserve"> novembre </w:t>
      </w:r>
      <w:r w:rsidRPr="00DB3EC6">
        <w:rPr>
          <w:lang w:val="fr-FR"/>
        </w:rPr>
        <w:t>2015</w:t>
      </w:r>
      <w:r w:rsidRPr="00547FAA">
        <w:rPr>
          <w:rStyle w:val="FootnoteReference"/>
          <w:lang w:val="fr-FR"/>
        </w:rPr>
        <w:footnoteReference w:id="31"/>
      </w:r>
      <w:r w:rsidRPr="00547FAA">
        <w:rPr>
          <w:lang w:val="fr-FR"/>
        </w:rPr>
        <w:t xml:space="preserve">. Ce règlement, entré en vigueur le </w:t>
      </w:r>
      <w:r w:rsidRPr="00DB3EC6">
        <w:rPr>
          <w:lang w:val="fr-FR"/>
        </w:rPr>
        <w:t>8</w:t>
      </w:r>
      <w:r w:rsidRPr="00547FAA">
        <w:rPr>
          <w:lang w:val="fr-FR"/>
        </w:rPr>
        <w:t xml:space="preserve"> avril </w:t>
      </w:r>
      <w:r w:rsidRPr="00DB3EC6">
        <w:rPr>
          <w:lang w:val="fr-FR"/>
        </w:rPr>
        <w:t>2016</w:t>
      </w:r>
      <w:r w:rsidRPr="00547FAA">
        <w:rPr>
          <w:lang w:val="fr-FR"/>
        </w:rPr>
        <w:t>, garantira que les armes à feu neutralisées sont rendues irréversiblement inopérantes.</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t xml:space="preserve">Le </w:t>
      </w:r>
      <w:r w:rsidRPr="00DB3EC6">
        <w:rPr>
          <w:lang w:val="fr-FR"/>
        </w:rPr>
        <w:t>18</w:t>
      </w:r>
      <w:r w:rsidRPr="00547FAA">
        <w:rPr>
          <w:lang w:val="fr-FR"/>
        </w:rPr>
        <w:t xml:space="preserve"> novembre </w:t>
      </w:r>
      <w:r w:rsidRPr="00DB3EC6">
        <w:rPr>
          <w:lang w:val="fr-FR"/>
        </w:rPr>
        <w:t>2015</w:t>
      </w:r>
      <w:r w:rsidRPr="00547FAA">
        <w:rPr>
          <w:lang w:val="fr-FR"/>
        </w:rPr>
        <w:t xml:space="preserve">, la Commission a également présenté une proposition de révision de la directive </w:t>
      </w:r>
      <w:r w:rsidRPr="00DB3EC6">
        <w:rPr>
          <w:lang w:val="fr-FR"/>
        </w:rPr>
        <w:t>91</w:t>
      </w:r>
      <w:r w:rsidRPr="00547FAA">
        <w:rPr>
          <w:lang w:val="fr-FR"/>
        </w:rPr>
        <w:t>/</w:t>
      </w:r>
      <w:r w:rsidRPr="00DB3EC6">
        <w:rPr>
          <w:lang w:val="fr-FR"/>
        </w:rPr>
        <w:t>477</w:t>
      </w:r>
      <w:r w:rsidRPr="00547FAA">
        <w:rPr>
          <w:lang w:val="fr-FR"/>
        </w:rPr>
        <w:t>/CEE relative au contrôle de l'acquisition et de la détention d'armes</w:t>
      </w:r>
      <w:r w:rsidRPr="00547FAA">
        <w:rPr>
          <w:rStyle w:val="FootnoteReference"/>
          <w:lang w:val="fr-FR"/>
        </w:rPr>
        <w:footnoteReference w:id="32"/>
      </w:r>
      <w:r w:rsidRPr="00547FAA">
        <w:rPr>
          <w:lang w:val="fr-FR"/>
        </w:rPr>
        <w:t>. Cette proposition vise à rendre moins accessibles certains des types d'armes semi-automatiques les plus puissants, de même que ceux qui pourraient facilement être transformés en armes entièrement automatiques. Elle vise également à améliorer l'échange d'informations entre les États membres, ainsi que la traçabilité et les règles en matière de marquage des armes. Son adoption devrait constituer une priorité pour le Parlement européen et le Conseil, car elle viendrait compléter les mesures prises pour lutter contre la réactivation et la contrebande d'armes à usage militaire.</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t xml:space="preserve">Le principal défi tient néanmoins aux armes illégales. L'approvisionnement en armes de contrebande depuis les régions voisines reste un problème majeur et il faut réduire au minimum le risque d'apparition de nouvelles filières d'approvisionnement. Le plan d'action du </w:t>
      </w:r>
      <w:r w:rsidRPr="00DB3EC6">
        <w:rPr>
          <w:lang w:val="fr-FR"/>
        </w:rPr>
        <w:t>2</w:t>
      </w:r>
      <w:r w:rsidRPr="00547FAA">
        <w:rPr>
          <w:lang w:val="fr-FR"/>
        </w:rPr>
        <w:t xml:space="preserve"> décembre </w:t>
      </w:r>
      <w:r w:rsidRPr="00DB3EC6">
        <w:rPr>
          <w:lang w:val="fr-FR"/>
        </w:rPr>
        <w:t>2015</w:t>
      </w:r>
      <w:r w:rsidRPr="00547FAA">
        <w:rPr>
          <w:lang w:val="fr-FR"/>
        </w:rPr>
        <w:t xml:space="preserve"> sur les armes à feu et les explosifs, dont la mise en œuvre devrait être une priorité, contient des mesures détaillées visant à restreindre l'accès aux armes à feu et aux </w:t>
      </w:r>
      <w:r w:rsidRPr="00547FAA">
        <w:rPr>
          <w:lang w:val="fr-FR"/>
        </w:rPr>
        <w:lastRenderedPageBreak/>
        <w:t>explosifs illégaux, à renforcer la coopération opérationnelle et à améliorer la collecte et le partage d'informations opérationnelles grâce à une utilisation optimale des outils existants.</w:t>
      </w:r>
    </w:p>
    <w:p w:rsidR="00A17F22" w:rsidRPr="00547FAA" w:rsidRDefault="00A17F22" w:rsidP="00A17F22">
      <w:pPr>
        <w:jc w:val="both"/>
        <w:rPr>
          <w:lang w:val="fr-FR"/>
        </w:rPr>
      </w:pPr>
    </w:p>
    <w:tbl>
      <w:tblPr>
        <w:tblStyle w:val="TableGrid"/>
        <w:tblW w:w="0" w:type="auto"/>
        <w:tblLook w:val="04A0" w:firstRow="1" w:lastRow="0" w:firstColumn="1" w:lastColumn="0" w:noHBand="0" w:noVBand="1"/>
      </w:tblPr>
      <w:tblGrid>
        <w:gridCol w:w="9288"/>
      </w:tblGrid>
      <w:tr w:rsidR="00A17F22" w:rsidRPr="00547FAA" w:rsidTr="008D2F99">
        <w:tc>
          <w:tcPr>
            <w:tcW w:w="9288" w:type="dxa"/>
          </w:tcPr>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Prochaines étapes:</w:t>
            </w:r>
          </w:p>
          <w:p w:rsidR="00A17F22" w:rsidRPr="00547FAA" w:rsidRDefault="00A17F22" w:rsidP="008D2F99">
            <w:pPr>
              <w:jc w:val="both"/>
              <w:rPr>
                <w:rFonts w:ascii="Times New Roman" w:hAnsi="Times New Roman" w:cs="Times New Roman"/>
                <w:b/>
                <w:i/>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Les États membres devraient:</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veiller d'urgence à ce que toutes les mesures nécessaires soient prises pour mettre pleinement en œuvre le règlement (UE) n° </w:t>
            </w:r>
            <w:r w:rsidRPr="00DB3EC6">
              <w:rPr>
                <w:rFonts w:ascii="Times New Roman" w:hAnsi="Times New Roman"/>
                <w:sz w:val="24"/>
                <w:lang w:val="fr-FR"/>
              </w:rPr>
              <w:t>98</w:t>
            </w:r>
            <w:r w:rsidRPr="00547FAA">
              <w:rPr>
                <w:rFonts w:ascii="Times New Roman" w:hAnsi="Times New Roman"/>
                <w:sz w:val="24"/>
                <w:lang w:val="fr-FR"/>
              </w:rPr>
              <w:t>/</w:t>
            </w:r>
            <w:r w:rsidRPr="00DB3EC6">
              <w:rPr>
                <w:rFonts w:ascii="Times New Roman" w:hAnsi="Times New Roman"/>
                <w:sz w:val="24"/>
                <w:lang w:val="fr-FR"/>
              </w:rPr>
              <w:t>2013</w:t>
            </w:r>
            <w:r w:rsidRPr="00547FAA">
              <w:rPr>
                <w:rFonts w:ascii="Times New Roman" w:hAnsi="Times New Roman"/>
                <w:sz w:val="24"/>
                <w:lang w:val="fr-FR"/>
              </w:rPr>
              <w:t xml:space="preserve"> sur les précurseurs d'explosifs;</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appliquer dans son intégralité le règlement d'exécution sur des normes communes en matière de neutralisation des armes à feu qui est entré en vigueur le </w:t>
            </w:r>
            <w:r w:rsidRPr="00DB3EC6">
              <w:rPr>
                <w:rFonts w:ascii="Times New Roman" w:hAnsi="Times New Roman"/>
                <w:sz w:val="24"/>
                <w:lang w:val="fr-FR"/>
              </w:rPr>
              <w:t>8</w:t>
            </w:r>
            <w:r w:rsidRPr="00547FAA">
              <w:rPr>
                <w:rFonts w:ascii="Times New Roman" w:hAnsi="Times New Roman"/>
                <w:sz w:val="24"/>
                <w:lang w:val="fr-FR"/>
              </w:rPr>
              <w:t xml:space="preserve"> avril </w:t>
            </w:r>
            <w:r w:rsidRPr="00DB3EC6">
              <w:rPr>
                <w:rFonts w:ascii="Times New Roman" w:hAnsi="Times New Roman"/>
                <w:sz w:val="24"/>
                <w:lang w:val="fr-FR"/>
              </w:rPr>
              <w:t>2016</w:t>
            </w:r>
            <w:r w:rsidRPr="00547FAA">
              <w:rPr>
                <w:rFonts w:ascii="Times New Roman" w:hAnsi="Times New Roman"/>
                <w:sz w:val="24"/>
                <w:lang w:val="fr-FR"/>
              </w:rPr>
              <w:t>.</w:t>
            </w:r>
          </w:p>
          <w:p w:rsidR="00A17F22" w:rsidRPr="00547FAA" w:rsidRDefault="00A17F22" w:rsidP="008D2F99">
            <w:pPr>
              <w:jc w:val="both"/>
              <w:rPr>
                <w:rFonts w:ascii="Times New Roman" w:hAnsi="Times New Roman" w:cs="Times New Roman"/>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Le Parlement européen et le Conseil devraient:</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approuver d'urgence la proposition de révision de la directive </w:t>
            </w:r>
            <w:r w:rsidRPr="00DB3EC6">
              <w:rPr>
                <w:rFonts w:ascii="Times New Roman" w:hAnsi="Times New Roman"/>
                <w:sz w:val="24"/>
                <w:lang w:val="fr-FR"/>
              </w:rPr>
              <w:t>91</w:t>
            </w:r>
            <w:r w:rsidRPr="00547FAA">
              <w:rPr>
                <w:rFonts w:ascii="Times New Roman" w:hAnsi="Times New Roman"/>
                <w:sz w:val="24"/>
                <w:lang w:val="fr-FR"/>
              </w:rPr>
              <w:t>/</w:t>
            </w:r>
            <w:r w:rsidRPr="00DB3EC6">
              <w:rPr>
                <w:rFonts w:ascii="Times New Roman" w:hAnsi="Times New Roman"/>
                <w:sz w:val="24"/>
                <w:lang w:val="fr-FR"/>
              </w:rPr>
              <w:t>477</w:t>
            </w:r>
            <w:r w:rsidRPr="00547FAA">
              <w:rPr>
                <w:rFonts w:ascii="Times New Roman" w:hAnsi="Times New Roman"/>
                <w:sz w:val="24"/>
                <w:lang w:val="fr-FR"/>
              </w:rPr>
              <w:t>/CEE relative au contrôle de l'acquisition et de la détention d'armes présentée par la Commission.</w:t>
            </w:r>
          </w:p>
          <w:p w:rsidR="00A17F22" w:rsidRPr="00547FAA" w:rsidRDefault="00A17F22" w:rsidP="008D2F99">
            <w:pPr>
              <w:tabs>
                <w:tab w:val="left" w:pos="5217"/>
              </w:tabs>
              <w:jc w:val="both"/>
              <w:rPr>
                <w:rFonts w:ascii="Times New Roman" w:hAnsi="Times New Roman" w:cs="Times New Roman"/>
                <w:b/>
                <w:i/>
                <w:lang w:val="fr-FR"/>
              </w:rPr>
            </w:pPr>
            <w:r w:rsidRPr="00547FAA">
              <w:rPr>
                <w:lang w:val="fr-FR"/>
              </w:rPr>
              <w:tab/>
            </w: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La Commission entend:</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prendre les mesures nécessaires pour accélérer la mise en œuvre des actions pertinentes prévues par le plan d'action du </w:t>
            </w:r>
            <w:r w:rsidRPr="00DB3EC6">
              <w:rPr>
                <w:rFonts w:ascii="Times New Roman" w:hAnsi="Times New Roman"/>
                <w:sz w:val="24"/>
                <w:lang w:val="fr-FR"/>
              </w:rPr>
              <w:t>2</w:t>
            </w:r>
            <w:r w:rsidRPr="00547FAA">
              <w:rPr>
                <w:rFonts w:ascii="Times New Roman" w:hAnsi="Times New Roman"/>
                <w:sz w:val="24"/>
                <w:lang w:val="fr-FR"/>
              </w:rPr>
              <w:t xml:space="preserve"> décembre </w:t>
            </w:r>
            <w:r w:rsidRPr="00DB3EC6">
              <w:rPr>
                <w:rFonts w:ascii="Times New Roman" w:hAnsi="Times New Roman"/>
                <w:sz w:val="24"/>
                <w:lang w:val="fr-FR"/>
              </w:rPr>
              <w:t>2015</w:t>
            </w:r>
            <w:r w:rsidRPr="00547FAA">
              <w:rPr>
                <w:rFonts w:ascii="Times New Roman" w:hAnsi="Times New Roman"/>
                <w:sz w:val="24"/>
                <w:lang w:val="fr-FR"/>
              </w:rPr>
              <w:t xml:space="preserve"> sur les armes à feu et les explosifs en suivant un calendrier ambitieux;</w:t>
            </w:r>
          </w:p>
          <w:p w:rsidR="00A17F22" w:rsidRPr="00547FAA" w:rsidRDefault="00A17F22" w:rsidP="008D2F99">
            <w:pPr>
              <w:pStyle w:val="ListParagraph"/>
              <w:numPr>
                <w:ilvl w:val="0"/>
                <w:numId w:val="2"/>
              </w:numPr>
              <w:spacing w:after="0" w:line="240" w:lineRule="auto"/>
              <w:jc w:val="both"/>
              <w:rPr>
                <w:rFonts w:ascii="Times New Roman" w:hAnsi="Times New Roman" w:cs="Times New Roman"/>
                <w:sz w:val="24"/>
                <w:szCs w:val="24"/>
                <w:lang w:val="fr-FR"/>
              </w:rPr>
            </w:pPr>
            <w:r w:rsidRPr="00547FAA">
              <w:rPr>
                <w:rFonts w:ascii="Times New Roman" w:hAnsi="Times New Roman"/>
                <w:sz w:val="24"/>
                <w:lang w:val="fr-FR"/>
              </w:rPr>
              <w:t>utiliser les pouvoirs qui lui sont conférés par les traités pour veiller à la bonne mise en œuvre de l'acquis de l'UE.</w:t>
            </w:r>
          </w:p>
          <w:p w:rsidR="00A17F22" w:rsidRPr="00547FAA" w:rsidRDefault="00A17F22" w:rsidP="008D2F99">
            <w:pPr>
              <w:pStyle w:val="ListParagraph"/>
              <w:spacing w:after="0" w:line="240" w:lineRule="auto"/>
              <w:jc w:val="both"/>
              <w:rPr>
                <w:rFonts w:ascii="Times New Roman" w:hAnsi="Times New Roman" w:cs="Times New Roman"/>
                <w:sz w:val="24"/>
                <w:szCs w:val="24"/>
                <w:lang w:val="fr-FR"/>
              </w:rPr>
            </w:pPr>
          </w:p>
        </w:tc>
      </w:tr>
    </w:tbl>
    <w:p w:rsidR="00A17F22" w:rsidRPr="00547FAA" w:rsidRDefault="00A17F22" w:rsidP="00A17F22">
      <w:pPr>
        <w:jc w:val="both"/>
        <w:rPr>
          <w:lang w:val="fr-FR"/>
        </w:rPr>
      </w:pPr>
    </w:p>
    <w:p w:rsidR="00A17F22" w:rsidRPr="00547FAA" w:rsidRDefault="00A17F22" w:rsidP="00A17F22">
      <w:pPr>
        <w:jc w:val="both"/>
        <w:rPr>
          <w:b/>
          <w:lang w:val="fr-FR"/>
        </w:rPr>
      </w:pPr>
    </w:p>
    <w:p w:rsidR="00A17F22" w:rsidRPr="00547FAA" w:rsidRDefault="00A17F22" w:rsidP="00A17F22">
      <w:pPr>
        <w:jc w:val="both"/>
        <w:rPr>
          <w:b/>
          <w:lang w:val="fr-FR"/>
        </w:rPr>
      </w:pPr>
      <w:r w:rsidRPr="00DB3EC6">
        <w:rPr>
          <w:b/>
          <w:lang w:val="fr-FR"/>
        </w:rPr>
        <w:t>2</w:t>
      </w:r>
      <w:r w:rsidRPr="00547FAA">
        <w:rPr>
          <w:b/>
          <w:lang w:val="fr-FR"/>
        </w:rPr>
        <w:t>.</w:t>
      </w:r>
      <w:r w:rsidRPr="00DB3EC6">
        <w:rPr>
          <w:b/>
          <w:lang w:val="fr-FR"/>
        </w:rPr>
        <w:t>6</w:t>
      </w:r>
      <w:r w:rsidRPr="00547FAA">
        <w:rPr>
          <w:lang w:val="fr-FR"/>
        </w:rPr>
        <w:tab/>
      </w:r>
      <w:r w:rsidRPr="00547FAA">
        <w:rPr>
          <w:b/>
          <w:lang w:val="fr-FR"/>
        </w:rPr>
        <w:t>Couper l'accès des terroristes au financement</w:t>
      </w:r>
    </w:p>
    <w:p w:rsidR="00A17F22" w:rsidRPr="00547FAA" w:rsidRDefault="00A17F22" w:rsidP="00A17F22">
      <w:pPr>
        <w:jc w:val="both"/>
        <w:rPr>
          <w:b/>
          <w:lang w:val="fr-FR"/>
        </w:rPr>
      </w:pPr>
    </w:p>
    <w:p w:rsidR="00A17F22" w:rsidRPr="00547FAA" w:rsidRDefault="00A17F22" w:rsidP="00A17F22">
      <w:pPr>
        <w:jc w:val="both"/>
        <w:rPr>
          <w:lang w:val="fr-FR"/>
        </w:rPr>
      </w:pPr>
      <w:r w:rsidRPr="00547FAA">
        <w:rPr>
          <w:lang w:val="fr-FR"/>
        </w:rPr>
        <w:t>Les attentats perpétrés récemment ont ceci de caractéristique que les moyens financiers mis en œuvre sont disproportionnellement faibles par rapport à leurs effets dévastateurs.</w:t>
      </w:r>
    </w:p>
    <w:p w:rsidR="00A17F22" w:rsidRPr="00547FAA" w:rsidRDefault="00A17F22" w:rsidP="00A17F22">
      <w:pPr>
        <w:jc w:val="both"/>
        <w:rPr>
          <w:lang w:val="fr-FR"/>
        </w:rPr>
      </w:pPr>
    </w:p>
    <w:p w:rsidR="00A17F22" w:rsidRPr="00547FAA" w:rsidRDefault="00A17F22" w:rsidP="00A17F22">
      <w:pPr>
        <w:jc w:val="both"/>
        <w:rPr>
          <w:lang w:val="fr-FR"/>
        </w:rPr>
      </w:pPr>
      <w:r w:rsidRPr="00547FAA">
        <w:rPr>
          <w:lang w:val="fr-FR"/>
        </w:rPr>
        <w:t>Le plan d'action adopté récemment pour lutter contre le financement du terrorisme</w:t>
      </w:r>
      <w:r w:rsidRPr="00547FAA">
        <w:rPr>
          <w:rStyle w:val="FootnoteReference"/>
          <w:lang w:val="fr-FR"/>
        </w:rPr>
        <w:footnoteReference w:id="33"/>
      </w:r>
      <w:r w:rsidRPr="00547FAA">
        <w:rPr>
          <w:lang w:val="fr-FR"/>
        </w:rPr>
        <w:t xml:space="preserve"> prévoit déjà un calendrier ambitieux que la Commission est résolue à respecter. Ce plan d'action poursuit deux grands objectifs. Il vise tout d'abord à renforcer la détection et la prévention des transferts de fonds et d'autres actifs opérés par les organisations terroristes et ceux qui les soutiennent, ainsi qu'à faire en sorte que les mouvements financiers puissent, autant que possible, aider les services répressifs à traquer les terroristes et à les empêcher de commettre leurs crimes. Il vise ensuite à désorganiser davantage les sources de financement des organisations terroristes, en s'attaquant à leur capacité de lever des fonds. La Commission compte, entre autres mesures, présenter des propositions législatives dans les mois à venir. Les États membres devraient faire leur part et mettre en œuvre, aussi vite que possible, la législation qui a déjà été adoptée.</w:t>
      </w:r>
    </w:p>
    <w:p w:rsidR="00A17F22" w:rsidRPr="00547FAA" w:rsidRDefault="00A17F22" w:rsidP="00A17F22">
      <w:pPr>
        <w:jc w:val="both"/>
        <w:rPr>
          <w:lang w:val="fr-FR"/>
        </w:rPr>
      </w:pPr>
    </w:p>
    <w:tbl>
      <w:tblPr>
        <w:tblStyle w:val="TableGrid"/>
        <w:tblW w:w="0" w:type="auto"/>
        <w:tblLook w:val="04A0" w:firstRow="1" w:lastRow="0" w:firstColumn="1" w:lastColumn="0" w:noHBand="0" w:noVBand="1"/>
      </w:tblPr>
      <w:tblGrid>
        <w:gridCol w:w="9288"/>
      </w:tblGrid>
      <w:tr w:rsidR="00A17F22" w:rsidRPr="00547FAA" w:rsidTr="008D2F99">
        <w:tc>
          <w:tcPr>
            <w:tcW w:w="9288" w:type="dxa"/>
          </w:tcPr>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Prochaines étapes:</w:t>
            </w:r>
          </w:p>
          <w:p w:rsidR="00A17F22" w:rsidRPr="00547FAA" w:rsidRDefault="00A17F22" w:rsidP="008D2F99">
            <w:pPr>
              <w:jc w:val="both"/>
              <w:rPr>
                <w:rFonts w:ascii="Times New Roman" w:hAnsi="Times New Roman" w:cs="Times New Roman"/>
                <w:b/>
                <w:i/>
                <w:lang w:val="fr-FR"/>
              </w:rPr>
            </w:pP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b/>
                <w:i/>
                <w:lang w:val="fr-FR"/>
              </w:rPr>
              <w:t>Les États membres devraient:</w:t>
            </w:r>
          </w:p>
          <w:p w:rsidR="00A17F22" w:rsidRPr="00547FAA" w:rsidRDefault="00A17F22" w:rsidP="008D2F99">
            <w:pPr>
              <w:pStyle w:val="ListParagraph"/>
              <w:numPr>
                <w:ilvl w:val="0"/>
                <w:numId w:val="2"/>
              </w:numPr>
              <w:spacing w:after="0" w:line="240" w:lineRule="auto"/>
              <w:ind w:left="714" w:hanging="357"/>
              <w:jc w:val="both"/>
              <w:rPr>
                <w:rFonts w:ascii="Times New Roman" w:hAnsi="Times New Roman" w:cs="Times New Roman"/>
                <w:lang w:val="fr-FR"/>
              </w:rPr>
            </w:pPr>
            <w:r w:rsidRPr="00547FAA">
              <w:rPr>
                <w:rFonts w:ascii="Times New Roman" w:hAnsi="Times New Roman"/>
                <w:sz w:val="24"/>
                <w:lang w:val="fr-FR"/>
              </w:rPr>
              <w:t xml:space="preserve">avancer la date de transposition et d'entrée en vigueur effectives de la </w:t>
            </w:r>
            <w:r w:rsidRPr="00DB3EC6">
              <w:rPr>
                <w:rFonts w:ascii="Times New Roman" w:hAnsi="Times New Roman"/>
                <w:sz w:val="24"/>
                <w:lang w:val="fr-FR"/>
              </w:rPr>
              <w:t>4</w:t>
            </w:r>
            <w:r w:rsidRPr="00547FAA">
              <w:rPr>
                <w:rFonts w:ascii="Times New Roman" w:hAnsi="Times New Roman"/>
                <w:sz w:val="24"/>
                <w:vertAlign w:val="superscript"/>
                <w:lang w:val="fr-FR"/>
              </w:rPr>
              <w:t>e</w:t>
            </w:r>
            <w:r w:rsidRPr="00547FAA">
              <w:rPr>
                <w:rFonts w:ascii="Times New Roman" w:hAnsi="Times New Roman"/>
                <w:sz w:val="24"/>
                <w:lang w:val="fr-FR"/>
              </w:rPr>
              <w:t xml:space="preserve"> directive anti-blanchiment au </w:t>
            </w:r>
            <w:r w:rsidRPr="00DB3EC6">
              <w:rPr>
                <w:rFonts w:ascii="Times New Roman" w:hAnsi="Times New Roman"/>
                <w:sz w:val="24"/>
                <w:lang w:val="fr-FR"/>
              </w:rPr>
              <w:t>4</w:t>
            </w:r>
            <w:r w:rsidRPr="00547FAA">
              <w:rPr>
                <w:rFonts w:ascii="Times New Roman" w:hAnsi="Times New Roman"/>
                <w:sz w:val="24"/>
                <w:vertAlign w:val="superscript"/>
                <w:lang w:val="fr-FR"/>
              </w:rPr>
              <w:t>e</w:t>
            </w:r>
            <w:r w:rsidRPr="00547FAA">
              <w:rPr>
                <w:rFonts w:ascii="Times New Roman" w:hAnsi="Times New Roman"/>
                <w:sz w:val="24"/>
                <w:lang w:val="fr-FR"/>
              </w:rPr>
              <w:t xml:space="preserve"> trimestre </w:t>
            </w:r>
            <w:r w:rsidRPr="00DB3EC6">
              <w:rPr>
                <w:rFonts w:ascii="Times New Roman" w:hAnsi="Times New Roman"/>
                <w:sz w:val="24"/>
                <w:lang w:val="fr-FR"/>
              </w:rPr>
              <w:t>2016</w:t>
            </w:r>
            <w:r w:rsidRPr="00547FAA">
              <w:rPr>
                <w:rFonts w:ascii="Times New Roman" w:hAnsi="Times New Roman"/>
                <w:sz w:val="24"/>
                <w:lang w:val="fr-FR"/>
              </w:rPr>
              <w:t xml:space="preserve"> au plus tard.</w:t>
            </w:r>
          </w:p>
          <w:p w:rsidR="00A17F22" w:rsidRPr="00547FAA" w:rsidRDefault="00A17F22" w:rsidP="008D2F99">
            <w:pPr>
              <w:jc w:val="both"/>
              <w:rPr>
                <w:rFonts w:ascii="Times New Roman" w:hAnsi="Times New Roman" w:cs="Times New Roman"/>
                <w:b/>
                <w:i/>
                <w:lang w:val="fr-FR"/>
              </w:rPr>
            </w:pPr>
            <w:r w:rsidRPr="00547FAA">
              <w:rPr>
                <w:rFonts w:ascii="Times New Roman" w:hAnsi="Times New Roman" w:cs="Times New Roman"/>
                <w:b/>
                <w:i/>
                <w:lang w:val="fr-FR"/>
              </w:rPr>
              <w:br/>
            </w:r>
            <w:r w:rsidRPr="00547FAA">
              <w:rPr>
                <w:rFonts w:ascii="Times New Roman" w:hAnsi="Times New Roman"/>
                <w:b/>
                <w:i/>
                <w:lang w:val="fr-FR"/>
              </w:rPr>
              <w:lastRenderedPageBreak/>
              <w:t>La Commission entend:</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d'ici juin </w:t>
            </w:r>
            <w:r w:rsidRPr="00DB3EC6">
              <w:rPr>
                <w:rFonts w:ascii="Times New Roman" w:hAnsi="Times New Roman"/>
                <w:sz w:val="24"/>
                <w:lang w:val="fr-FR"/>
              </w:rPr>
              <w:t>2016</w:t>
            </w:r>
            <w:r w:rsidRPr="00547FAA">
              <w:rPr>
                <w:rFonts w:ascii="Times New Roman" w:hAnsi="Times New Roman"/>
                <w:sz w:val="24"/>
                <w:lang w:val="fr-FR"/>
              </w:rPr>
              <w:t xml:space="preserve">, adopter une proposition législative visant à réviser la </w:t>
            </w:r>
            <w:r w:rsidRPr="00DB3EC6">
              <w:rPr>
                <w:rFonts w:ascii="Times New Roman" w:hAnsi="Times New Roman"/>
                <w:sz w:val="24"/>
                <w:lang w:val="fr-FR"/>
              </w:rPr>
              <w:t>4</w:t>
            </w:r>
            <w:r w:rsidRPr="00547FAA">
              <w:rPr>
                <w:rFonts w:ascii="Times New Roman" w:hAnsi="Times New Roman"/>
                <w:sz w:val="24"/>
                <w:vertAlign w:val="superscript"/>
                <w:lang w:val="fr-FR"/>
              </w:rPr>
              <w:t>e</w:t>
            </w:r>
            <w:r w:rsidRPr="00547FAA">
              <w:rPr>
                <w:rFonts w:ascii="Times New Roman" w:hAnsi="Times New Roman"/>
                <w:sz w:val="24"/>
                <w:lang w:val="fr-FR"/>
              </w:rPr>
              <w:t xml:space="preserve"> directive anti-blanchiment;</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d'ici juin </w:t>
            </w:r>
            <w:r w:rsidRPr="00DB3EC6">
              <w:rPr>
                <w:rFonts w:ascii="Times New Roman" w:hAnsi="Times New Roman"/>
                <w:sz w:val="24"/>
                <w:lang w:val="fr-FR"/>
              </w:rPr>
              <w:t>2016</w:t>
            </w:r>
            <w:r w:rsidRPr="00547FAA">
              <w:rPr>
                <w:rFonts w:ascii="Times New Roman" w:hAnsi="Times New Roman"/>
                <w:sz w:val="24"/>
                <w:lang w:val="fr-FR"/>
              </w:rPr>
              <w:t>, adopter un acte délégué recensant les pays tiers à haut risque dont les dispositifs de lutte contre le blanchiment de capitaux et le financement du terrorisme présentent des carences stratégiques (liste noire de l'UE);</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d'ici décembre </w:t>
            </w:r>
            <w:r w:rsidRPr="00DB3EC6">
              <w:rPr>
                <w:rFonts w:ascii="Times New Roman" w:hAnsi="Times New Roman"/>
                <w:sz w:val="24"/>
                <w:lang w:val="fr-FR"/>
              </w:rPr>
              <w:t>2016</w:t>
            </w:r>
            <w:r w:rsidRPr="00547FAA">
              <w:rPr>
                <w:rFonts w:ascii="Times New Roman" w:hAnsi="Times New Roman"/>
                <w:sz w:val="24"/>
                <w:lang w:val="fr-FR"/>
              </w:rPr>
              <w:t>, adopter une proposition législative visant à harmoniser les infractions pénales et les sanctions liées au blanchiment de capitaux;</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d'ici décembre </w:t>
            </w:r>
            <w:r w:rsidRPr="00DB3EC6">
              <w:rPr>
                <w:rFonts w:ascii="Times New Roman" w:hAnsi="Times New Roman"/>
                <w:sz w:val="24"/>
                <w:lang w:val="fr-FR"/>
              </w:rPr>
              <w:t>2016</w:t>
            </w:r>
            <w:r w:rsidRPr="00547FAA">
              <w:rPr>
                <w:rFonts w:ascii="Times New Roman" w:hAnsi="Times New Roman"/>
                <w:sz w:val="24"/>
                <w:lang w:val="fr-FR"/>
              </w:rPr>
              <w:t>, adopter une proposition législative contre les mouvements illicites d’argent liquide;</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d'ici décembre </w:t>
            </w:r>
            <w:r w:rsidRPr="00DB3EC6">
              <w:rPr>
                <w:rFonts w:ascii="Times New Roman" w:hAnsi="Times New Roman"/>
                <w:sz w:val="24"/>
                <w:lang w:val="fr-FR"/>
              </w:rPr>
              <w:t>2016</w:t>
            </w:r>
            <w:r w:rsidRPr="00547FAA">
              <w:rPr>
                <w:rFonts w:ascii="Times New Roman" w:hAnsi="Times New Roman"/>
                <w:sz w:val="24"/>
                <w:lang w:val="fr-FR"/>
              </w:rPr>
              <w:t>, adopter une proposition législative sur la reconnaissance mutuelle des décisions de gel et de confiscation des avoirs d’origine criminelle;</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d'ici décembre </w:t>
            </w:r>
            <w:r w:rsidRPr="00DB3EC6">
              <w:rPr>
                <w:rFonts w:ascii="Times New Roman" w:hAnsi="Times New Roman"/>
                <w:sz w:val="24"/>
                <w:lang w:val="fr-FR"/>
              </w:rPr>
              <w:t>2016</w:t>
            </w:r>
            <w:r w:rsidRPr="00547FAA">
              <w:rPr>
                <w:rFonts w:ascii="Times New Roman" w:hAnsi="Times New Roman"/>
                <w:sz w:val="24"/>
                <w:lang w:val="fr-FR"/>
              </w:rPr>
              <w:t>, adopter une proposition de directive relative à la lutte contre la fraude et la contrefaçon des moyens de paiement autres que les espèces;</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d'ici le </w:t>
            </w:r>
            <w:r w:rsidRPr="00DB3EC6">
              <w:rPr>
                <w:rFonts w:ascii="Times New Roman" w:hAnsi="Times New Roman"/>
                <w:sz w:val="24"/>
                <w:lang w:val="fr-FR"/>
              </w:rPr>
              <w:t>1</w:t>
            </w:r>
            <w:r w:rsidRPr="00547FAA">
              <w:rPr>
                <w:rFonts w:ascii="Times New Roman" w:hAnsi="Times New Roman"/>
                <w:sz w:val="24"/>
                <w:vertAlign w:val="superscript"/>
                <w:lang w:val="fr-FR"/>
              </w:rPr>
              <w:t>er</w:t>
            </w:r>
            <w:r w:rsidRPr="00547FAA">
              <w:rPr>
                <w:rFonts w:ascii="Times New Roman" w:hAnsi="Times New Roman"/>
                <w:sz w:val="24"/>
                <w:lang w:val="fr-FR"/>
              </w:rPr>
              <w:t xml:space="preserve"> trimestre </w:t>
            </w:r>
            <w:r w:rsidRPr="00DB3EC6">
              <w:rPr>
                <w:rFonts w:ascii="Times New Roman" w:hAnsi="Times New Roman"/>
                <w:sz w:val="24"/>
                <w:lang w:val="fr-FR"/>
              </w:rPr>
              <w:t>2017</w:t>
            </w:r>
            <w:r w:rsidRPr="00547FAA">
              <w:rPr>
                <w:rFonts w:ascii="Times New Roman" w:hAnsi="Times New Roman"/>
                <w:sz w:val="24"/>
                <w:lang w:val="fr-FR"/>
              </w:rPr>
              <w:t>, adopter une proposition législative visant à renforcer les compétences des douanes et la coopération douanière ainsi qu'à lutter contre le financement du terrorisme lié au commerce de biens;</w:t>
            </w:r>
          </w:p>
          <w:p w:rsidR="00A17F22" w:rsidRPr="00547FAA" w:rsidRDefault="00A17F22" w:rsidP="008D2F99">
            <w:pPr>
              <w:pStyle w:val="ListParagraph"/>
              <w:numPr>
                <w:ilvl w:val="0"/>
                <w:numId w:val="2"/>
              </w:numPr>
              <w:spacing w:line="240" w:lineRule="auto"/>
              <w:jc w:val="both"/>
              <w:rPr>
                <w:rFonts w:ascii="Times New Roman" w:hAnsi="Times New Roman" w:cs="Times New Roman"/>
                <w:sz w:val="24"/>
                <w:szCs w:val="24"/>
                <w:lang w:val="fr-FR"/>
              </w:rPr>
            </w:pPr>
            <w:r w:rsidRPr="00547FAA">
              <w:rPr>
                <w:rFonts w:ascii="Times New Roman" w:hAnsi="Times New Roman"/>
                <w:sz w:val="24"/>
                <w:lang w:val="fr-FR"/>
              </w:rPr>
              <w:t xml:space="preserve">d'ici le </w:t>
            </w:r>
            <w:r w:rsidRPr="00DB3EC6">
              <w:rPr>
                <w:rFonts w:ascii="Times New Roman" w:hAnsi="Times New Roman"/>
                <w:sz w:val="24"/>
                <w:lang w:val="fr-FR"/>
              </w:rPr>
              <w:t>2</w:t>
            </w:r>
            <w:r w:rsidRPr="00547FAA">
              <w:rPr>
                <w:rFonts w:ascii="Times New Roman" w:hAnsi="Times New Roman"/>
                <w:sz w:val="24"/>
                <w:vertAlign w:val="superscript"/>
                <w:lang w:val="fr-FR"/>
              </w:rPr>
              <w:t>e</w:t>
            </w:r>
            <w:r w:rsidRPr="00547FAA">
              <w:rPr>
                <w:rFonts w:ascii="Times New Roman" w:hAnsi="Times New Roman"/>
                <w:sz w:val="24"/>
                <w:lang w:val="fr-FR"/>
              </w:rPr>
              <w:t xml:space="preserve"> trimestre </w:t>
            </w:r>
            <w:r w:rsidRPr="00DB3EC6">
              <w:rPr>
                <w:rFonts w:ascii="Times New Roman" w:hAnsi="Times New Roman"/>
                <w:sz w:val="24"/>
                <w:lang w:val="fr-FR"/>
              </w:rPr>
              <w:t>2017</w:t>
            </w:r>
            <w:r w:rsidRPr="00547FAA">
              <w:rPr>
                <w:rFonts w:ascii="Times New Roman" w:hAnsi="Times New Roman"/>
                <w:sz w:val="24"/>
                <w:lang w:val="fr-FR"/>
              </w:rPr>
              <w:t>, présenter un rapport consacré à l'évaluation supranationale des risques de blanchiment de capitaux et de financement du terrorisme et adresser aux États membres des recommandations sur les mesures qu’il convient de prendre pour faire face à ces risques;</w:t>
            </w:r>
          </w:p>
          <w:p w:rsidR="00A17F22" w:rsidRPr="00547FAA" w:rsidRDefault="00A17F22" w:rsidP="008D2F99">
            <w:pPr>
              <w:pStyle w:val="ListParagraph"/>
              <w:numPr>
                <w:ilvl w:val="0"/>
                <w:numId w:val="2"/>
              </w:numPr>
              <w:spacing w:after="0" w:line="240" w:lineRule="auto"/>
              <w:ind w:left="714" w:hanging="357"/>
              <w:jc w:val="both"/>
              <w:rPr>
                <w:rFonts w:ascii="Times New Roman" w:hAnsi="Times New Roman" w:cs="Times New Roman"/>
                <w:sz w:val="24"/>
                <w:szCs w:val="24"/>
                <w:lang w:val="fr-FR"/>
              </w:rPr>
            </w:pPr>
            <w:r w:rsidRPr="00547FAA">
              <w:rPr>
                <w:rFonts w:ascii="Times New Roman" w:hAnsi="Times New Roman"/>
                <w:sz w:val="24"/>
                <w:lang w:val="fr-FR"/>
              </w:rPr>
              <w:t xml:space="preserve">d'ici le </w:t>
            </w:r>
            <w:r w:rsidRPr="00DB3EC6">
              <w:rPr>
                <w:rFonts w:ascii="Times New Roman" w:hAnsi="Times New Roman"/>
                <w:sz w:val="24"/>
                <w:lang w:val="fr-FR"/>
              </w:rPr>
              <w:t>2</w:t>
            </w:r>
            <w:r w:rsidRPr="00547FAA">
              <w:rPr>
                <w:rFonts w:ascii="Times New Roman" w:hAnsi="Times New Roman"/>
                <w:sz w:val="24"/>
                <w:vertAlign w:val="superscript"/>
                <w:lang w:val="fr-FR"/>
              </w:rPr>
              <w:t>e</w:t>
            </w:r>
            <w:r w:rsidRPr="00547FAA">
              <w:rPr>
                <w:rFonts w:ascii="Times New Roman" w:hAnsi="Times New Roman"/>
                <w:sz w:val="24"/>
                <w:lang w:val="fr-FR"/>
              </w:rPr>
              <w:t xml:space="preserve"> trimestre </w:t>
            </w:r>
            <w:r w:rsidRPr="00DB3EC6">
              <w:rPr>
                <w:rFonts w:ascii="Times New Roman" w:hAnsi="Times New Roman"/>
                <w:sz w:val="24"/>
                <w:lang w:val="fr-FR"/>
              </w:rPr>
              <w:t>2017</w:t>
            </w:r>
            <w:r w:rsidRPr="00547FAA">
              <w:rPr>
                <w:rFonts w:ascii="Times New Roman" w:hAnsi="Times New Roman"/>
                <w:sz w:val="24"/>
                <w:lang w:val="fr-FR"/>
              </w:rPr>
              <w:t>, adopter une proposition législative visant à lutter contre le commerce illicite de biens culturels.</w:t>
            </w:r>
          </w:p>
          <w:p w:rsidR="00A17F22" w:rsidRPr="00547FAA" w:rsidRDefault="00A17F22" w:rsidP="008D2F99">
            <w:pPr>
              <w:pStyle w:val="ListParagraph"/>
              <w:spacing w:after="0" w:line="240" w:lineRule="auto"/>
              <w:ind w:left="714"/>
              <w:jc w:val="both"/>
              <w:rPr>
                <w:rFonts w:ascii="Times New Roman" w:hAnsi="Times New Roman" w:cs="Times New Roman"/>
                <w:sz w:val="24"/>
                <w:szCs w:val="24"/>
                <w:lang w:val="fr-FR"/>
              </w:rPr>
            </w:pPr>
          </w:p>
        </w:tc>
      </w:tr>
    </w:tbl>
    <w:p w:rsidR="00A17F22" w:rsidRPr="00547FAA" w:rsidRDefault="00A17F22" w:rsidP="00A17F22">
      <w:pPr>
        <w:jc w:val="both"/>
        <w:rPr>
          <w:b/>
          <w:lang w:val="fr-FR"/>
        </w:rPr>
      </w:pPr>
    </w:p>
    <w:p w:rsidR="006314EA" w:rsidRPr="00547FAA" w:rsidRDefault="006314EA">
      <w:pPr>
        <w:jc w:val="both"/>
        <w:rPr>
          <w:b/>
          <w:noProof/>
          <w:lang w:val="fr-FR"/>
        </w:rPr>
      </w:pPr>
    </w:p>
    <w:p w:rsidR="00866045" w:rsidRPr="00547FAA" w:rsidRDefault="00866045" w:rsidP="00866045">
      <w:pPr>
        <w:jc w:val="both"/>
        <w:rPr>
          <w:b/>
          <w:noProof/>
          <w:lang w:val="fr-FR"/>
        </w:rPr>
      </w:pPr>
      <w:r w:rsidRPr="00DB3EC6">
        <w:rPr>
          <w:b/>
          <w:noProof/>
          <w:lang w:val="fr-FR"/>
        </w:rPr>
        <w:t>2</w:t>
      </w:r>
      <w:r w:rsidRPr="00547FAA">
        <w:rPr>
          <w:b/>
          <w:noProof/>
          <w:lang w:val="fr-FR"/>
        </w:rPr>
        <w:t>.</w:t>
      </w:r>
      <w:r w:rsidRPr="00DB3EC6">
        <w:rPr>
          <w:b/>
          <w:noProof/>
          <w:lang w:val="fr-FR"/>
        </w:rPr>
        <w:t>7</w:t>
      </w:r>
      <w:r w:rsidRPr="00547FAA">
        <w:rPr>
          <w:lang w:val="fr-FR"/>
        </w:rPr>
        <w:tab/>
      </w:r>
      <w:r w:rsidRPr="00547FAA">
        <w:rPr>
          <w:b/>
          <w:noProof/>
          <w:lang w:val="fr-FR"/>
        </w:rPr>
        <w:t>Protéger les citoyens et les infrastructures critiques</w:t>
      </w:r>
    </w:p>
    <w:p w:rsidR="00866045" w:rsidRPr="00547FAA" w:rsidRDefault="00866045" w:rsidP="00866045">
      <w:pPr>
        <w:jc w:val="both"/>
        <w:rPr>
          <w:b/>
          <w:noProof/>
          <w:lang w:val="fr-FR"/>
        </w:rPr>
      </w:pPr>
    </w:p>
    <w:p w:rsidR="00866045" w:rsidRPr="00547FAA" w:rsidRDefault="00866045" w:rsidP="00866045">
      <w:pPr>
        <w:jc w:val="both"/>
        <w:rPr>
          <w:noProof/>
          <w:lang w:val="fr-FR"/>
        </w:rPr>
      </w:pPr>
      <w:r w:rsidRPr="00547FAA">
        <w:rPr>
          <w:lang w:val="fr-FR"/>
        </w:rPr>
        <w:t>La vulnérabilité des événements grand public et des infrastructures critiques a été mise en exergue par la configuration des attentats de Paris et de Bruxelles. Afin d’être préparées au mieux à ces risques, les autorités répressives et d’autres autorités clés (telles que celles chargées des transports) doivent échanger des informations utiles efficacement et concevoir des mesures préventives de manière coordonnée par-delà les frontières. À cet effet, il convient également de soutenir la recherche et les nouvelles technologies, par exemple pour détecter la présence d’explosifs.</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Par ailleurs, les nouvelles technologies peuvent être détournées par les terroristes pour perpétrer des attentats sous une nouvelle forme. La cybercriminalité, autre priorité du programme européen en matière de sécurité, représente une menace grave qui pourrait devenir une nouvelle frontière pour le terrorisme et doit être traitée en conséquence. </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Le plan d’action du </w:t>
      </w:r>
      <w:r w:rsidRPr="00DB3EC6">
        <w:rPr>
          <w:lang w:val="fr-FR"/>
        </w:rPr>
        <w:t>2</w:t>
      </w:r>
      <w:r w:rsidRPr="00547FAA">
        <w:rPr>
          <w:lang w:val="fr-FR"/>
        </w:rPr>
        <w:t xml:space="preserve"> décembre </w:t>
      </w:r>
      <w:r w:rsidRPr="00DB3EC6">
        <w:rPr>
          <w:lang w:val="fr-FR"/>
        </w:rPr>
        <w:t>2015</w:t>
      </w:r>
      <w:r w:rsidRPr="00547FAA">
        <w:rPr>
          <w:lang w:val="fr-FR"/>
        </w:rPr>
        <w:t xml:space="preserve"> sur les armes à feu et les explosifs</w:t>
      </w:r>
      <w:r w:rsidRPr="00547FAA">
        <w:rPr>
          <w:rStyle w:val="FootnoteReference"/>
          <w:noProof/>
          <w:lang w:val="fr-FR"/>
        </w:rPr>
        <w:footnoteReference w:id="34"/>
      </w:r>
      <w:r w:rsidRPr="00547FAA">
        <w:rPr>
          <w:lang w:val="fr-FR"/>
        </w:rPr>
        <w:t xml:space="preserve"> contient également un certain nombre de mesures visant à prévenir les attaques terroristes. Parmi ces mesures figurent i) des actions spécifiques relatives à l’utilisation de technologies de détection et visant à uniformiser celle-ci (cibles vulnérables, infrastructures critiques, lieux publics), ii) le développement d’outils de détection innovants, iii) le renforcement des mesures existantes et la mise en place de nouvelles mesures afin d’accroître la sécurité des passagers dans les </w:t>
      </w:r>
      <w:r w:rsidRPr="00547FAA">
        <w:rPr>
          <w:lang w:val="fr-FR"/>
        </w:rPr>
        <w:lastRenderedPageBreak/>
        <w:t>différents modes de transport, iv) le recours aux nouvelles technologies pour améliorer la sécurité, v) la diffusion de documents d’orientation concernant la protection des cibles vulnérables et vi) des essais de détection et de protection. Il importe également d’accorder la priorité à la question de l’habilitation de sécurité du personnel travaillant dans les infrastructures critiques et dans d’autres lieux publics, notamment en ce qui concerne les combattants terroristes étrangers retournant dans leur pays d’origine et d’autres membres du personnel radicalisés afin d’éviter que des informations privilégiées soient utilisées à des fins terroristes.</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En outre, la Commission a pris les initiatives suivantes:</w:t>
      </w:r>
    </w:p>
    <w:p w:rsidR="00866045" w:rsidRPr="00547FAA" w:rsidRDefault="00866045" w:rsidP="00866045">
      <w:pPr>
        <w:jc w:val="both"/>
        <w:rPr>
          <w:noProof/>
          <w:lang w:val="fr-FR"/>
        </w:rPr>
      </w:pPr>
    </w:p>
    <w:p w:rsidR="00866045" w:rsidRPr="00547FAA" w:rsidRDefault="00866045" w:rsidP="00866045">
      <w:pPr>
        <w:pStyle w:val="ListParagraph"/>
        <w:numPr>
          <w:ilvl w:val="0"/>
          <w:numId w:val="5"/>
        </w:numPr>
        <w:spacing w:after="0" w:line="240" w:lineRule="auto"/>
        <w:ind w:left="426"/>
        <w:jc w:val="both"/>
        <w:rPr>
          <w:rFonts w:ascii="Times New Roman" w:hAnsi="Times New Roman" w:cs="Times New Roman"/>
          <w:noProof/>
          <w:sz w:val="24"/>
          <w:szCs w:val="24"/>
          <w:u w:val="single"/>
          <w:lang w:val="fr-FR"/>
        </w:rPr>
      </w:pPr>
      <w:r w:rsidRPr="00547FAA">
        <w:rPr>
          <w:rFonts w:ascii="Times New Roman" w:hAnsi="Times New Roman"/>
          <w:noProof/>
          <w:sz w:val="24"/>
          <w:u w:val="single"/>
          <w:lang w:val="fr-FR"/>
        </w:rPr>
        <w:t>Le programme européen de protection des infrastructures critiques</w:t>
      </w:r>
      <w:r w:rsidRPr="00547FAA">
        <w:rPr>
          <w:rFonts w:ascii="Times New Roman" w:hAnsi="Times New Roman"/>
          <w:noProof/>
          <w:sz w:val="24"/>
          <w:lang w:val="fr-FR"/>
        </w:rPr>
        <w:t xml:space="preserve"> établit un cadre général pour les activités visant à améliorer la protection desdites infrastructures en Europe. Dans le cadre de ce programme, la Commission collabore avec les États membres pour atténuer la vulnérabilité des infrastructures critiques et améliorer leur résilience.</w:t>
      </w:r>
      <w:r w:rsidRPr="00547FAA">
        <w:rPr>
          <w:rFonts w:ascii="Times New Roman" w:hAnsi="Times New Roman"/>
          <w:noProof/>
          <w:sz w:val="24"/>
          <w:u w:val="single"/>
          <w:lang w:val="fr-FR"/>
        </w:rPr>
        <w:t xml:space="preserve"> </w:t>
      </w:r>
    </w:p>
    <w:p w:rsidR="00866045" w:rsidRPr="00547FAA" w:rsidRDefault="00866045" w:rsidP="00866045">
      <w:pPr>
        <w:pStyle w:val="ListParagraph"/>
        <w:spacing w:after="0" w:line="240" w:lineRule="auto"/>
        <w:ind w:left="426"/>
        <w:jc w:val="both"/>
        <w:rPr>
          <w:rFonts w:ascii="Times New Roman" w:hAnsi="Times New Roman" w:cs="Times New Roman"/>
          <w:noProof/>
          <w:sz w:val="24"/>
          <w:szCs w:val="24"/>
          <w:u w:val="single"/>
          <w:lang w:val="fr-FR"/>
        </w:rPr>
      </w:pPr>
    </w:p>
    <w:p w:rsidR="00866045" w:rsidRPr="00547FAA" w:rsidRDefault="00866045" w:rsidP="00866045">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Diffusion de documents d’orientation concernant la protection des cibles vulnérables</w:t>
      </w:r>
      <w:r w:rsidRPr="00547FAA">
        <w:rPr>
          <w:rFonts w:ascii="Times New Roman" w:hAnsi="Times New Roman"/>
          <w:noProof/>
          <w:sz w:val="24"/>
          <w:lang w:val="fr-FR"/>
        </w:rPr>
        <w:t>: en mai </w:t>
      </w:r>
      <w:r w:rsidRPr="00DB3EC6">
        <w:rPr>
          <w:rFonts w:ascii="Times New Roman" w:hAnsi="Times New Roman"/>
          <w:noProof/>
          <w:sz w:val="24"/>
          <w:lang w:val="fr-FR"/>
        </w:rPr>
        <w:t>2014</w:t>
      </w:r>
      <w:r w:rsidRPr="00547FAA">
        <w:rPr>
          <w:rFonts w:ascii="Times New Roman" w:hAnsi="Times New Roman"/>
          <w:noProof/>
          <w:sz w:val="24"/>
          <w:lang w:val="fr-FR"/>
        </w:rPr>
        <w:t>, la Commission et le réseau des polices aéroportuaires de l’UE ont achevé les travaux relatifs au manuel de protection des cibles vulnérables dans les aéroports de l’UE, contenant des orientations sur la protection des cibles vulnérables. Ce manuel a été traduit dans toutes les langues de l’UE et sera distribué à l’ensemble des forces de police. En octobre </w:t>
      </w:r>
      <w:r w:rsidRPr="00DB3EC6">
        <w:rPr>
          <w:rFonts w:ascii="Times New Roman" w:hAnsi="Times New Roman"/>
          <w:noProof/>
          <w:sz w:val="24"/>
          <w:lang w:val="fr-FR"/>
        </w:rPr>
        <w:t>2015</w:t>
      </w:r>
      <w:r w:rsidRPr="00547FAA">
        <w:rPr>
          <w:rFonts w:ascii="Times New Roman" w:hAnsi="Times New Roman"/>
          <w:noProof/>
          <w:sz w:val="24"/>
          <w:lang w:val="fr-FR"/>
        </w:rPr>
        <w:t>, la Commission a également commencé à élaborer des documents d’orientation sur la protection d’autres cibles vulnérables comme les trains et les métros ainsi que d’autres zones à forte concentration de personnes (stades, centres commerciaux, garages publics, etc.). La finalisation de ces documents sera accélérée et ces derniers seront accompagnés d’une formation adéquate.</w:t>
      </w:r>
    </w:p>
    <w:p w:rsidR="00866045" w:rsidRPr="00547FAA" w:rsidRDefault="00866045" w:rsidP="00866045">
      <w:pPr>
        <w:pStyle w:val="ListParagraph"/>
        <w:spacing w:after="0" w:line="240" w:lineRule="auto"/>
        <w:jc w:val="both"/>
        <w:rPr>
          <w:rFonts w:ascii="Times New Roman" w:hAnsi="Times New Roman" w:cs="Times New Roman"/>
          <w:noProof/>
          <w:sz w:val="24"/>
          <w:szCs w:val="24"/>
          <w:lang w:val="fr-FR"/>
        </w:rPr>
      </w:pPr>
    </w:p>
    <w:p w:rsidR="00866045" w:rsidRPr="00547FAA" w:rsidRDefault="00866045" w:rsidP="00866045">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Essais de détection et de protection:</w:t>
      </w:r>
      <w:r w:rsidRPr="00547FAA">
        <w:rPr>
          <w:rFonts w:ascii="Times New Roman" w:hAnsi="Times New Roman"/>
          <w:noProof/>
          <w:sz w:val="24"/>
          <w:lang w:val="fr-FR"/>
        </w:rPr>
        <w:t xml:space="preserve"> des essais de détection et de protection ont été lancés par la Commission en collaboration avec plusieurs États membres en février </w:t>
      </w:r>
      <w:r w:rsidRPr="00DB3EC6">
        <w:rPr>
          <w:rFonts w:ascii="Times New Roman" w:hAnsi="Times New Roman"/>
          <w:noProof/>
          <w:sz w:val="24"/>
          <w:lang w:val="fr-FR"/>
        </w:rPr>
        <w:t>2015</w:t>
      </w:r>
      <w:r w:rsidRPr="00547FAA">
        <w:rPr>
          <w:rFonts w:ascii="Times New Roman" w:hAnsi="Times New Roman"/>
          <w:noProof/>
          <w:sz w:val="24"/>
          <w:lang w:val="fr-FR"/>
        </w:rPr>
        <w:t xml:space="preserve"> dans différents environnements opérationnels tels que des aéroports, des gares, des manifestations sportives et des bâtiments publics. De nouveaux essais sont prévus pour le mois de mai </w:t>
      </w:r>
      <w:r w:rsidRPr="00DB3EC6">
        <w:rPr>
          <w:rFonts w:ascii="Times New Roman" w:hAnsi="Times New Roman"/>
          <w:noProof/>
          <w:sz w:val="24"/>
          <w:lang w:val="fr-FR"/>
        </w:rPr>
        <w:t>2016</w:t>
      </w:r>
      <w:r w:rsidRPr="00547FAA">
        <w:rPr>
          <w:rFonts w:ascii="Times New Roman" w:hAnsi="Times New Roman"/>
          <w:noProof/>
          <w:sz w:val="24"/>
          <w:lang w:val="fr-FR"/>
        </w:rPr>
        <w:t>, notamment dans le cadre des centres de crise («hotspots»).</w:t>
      </w:r>
    </w:p>
    <w:p w:rsidR="00866045" w:rsidRPr="00547FAA" w:rsidRDefault="00866045" w:rsidP="00866045">
      <w:pPr>
        <w:pStyle w:val="ListParagraph"/>
        <w:spacing w:after="0" w:line="240" w:lineRule="auto"/>
        <w:ind w:left="426"/>
        <w:jc w:val="both"/>
        <w:rPr>
          <w:rFonts w:ascii="Times New Roman" w:hAnsi="Times New Roman" w:cs="Times New Roman"/>
          <w:noProof/>
          <w:sz w:val="24"/>
          <w:szCs w:val="24"/>
          <w:lang w:val="fr-FR"/>
        </w:rPr>
      </w:pPr>
    </w:p>
    <w:p w:rsidR="00866045" w:rsidRPr="00547FAA" w:rsidRDefault="00866045" w:rsidP="00866045">
      <w:pPr>
        <w:pStyle w:val="ListParagraph"/>
        <w:numPr>
          <w:ilvl w:val="0"/>
          <w:numId w:val="5"/>
        </w:numPr>
        <w:spacing w:after="0" w:line="240" w:lineRule="auto"/>
        <w:ind w:left="426"/>
        <w:jc w:val="both"/>
        <w:rPr>
          <w:rFonts w:ascii="Times New Roman" w:hAnsi="Times New Roman" w:cs="Times New Roman"/>
          <w:noProof/>
          <w:sz w:val="24"/>
          <w:szCs w:val="24"/>
          <w:u w:val="single"/>
          <w:lang w:val="fr-FR"/>
        </w:rPr>
      </w:pPr>
      <w:r w:rsidRPr="00547FAA">
        <w:rPr>
          <w:rFonts w:ascii="Times New Roman" w:hAnsi="Times New Roman"/>
          <w:noProof/>
          <w:sz w:val="24"/>
          <w:u w:val="single"/>
          <w:lang w:val="fr-FR"/>
        </w:rPr>
        <w:t>Évaluations des risques pour la sécurité</w:t>
      </w:r>
      <w:r w:rsidRPr="00547FAA">
        <w:rPr>
          <w:rFonts w:ascii="Times New Roman" w:hAnsi="Times New Roman"/>
          <w:noProof/>
          <w:sz w:val="24"/>
          <w:lang w:val="fr-FR"/>
        </w:rPr>
        <w:t>: la Commission a mis au point des évaluations des risques pour la sécurité afin que les politiques élaborées au niveau de l’UE dans des domaines tels que la sécurité des transports, la sécurité aux frontières ou le financement du terrorisme soient fondées sur une analyse solide des risques pour la sécurité, en vue de définir des mesures efficaces pour remédier à ces risques et menaces sous-jacentes. Ces évaluations sont réalisées conjointement avec les États membres, le SEAE et les agences de l’UE concernées.</w:t>
      </w:r>
    </w:p>
    <w:p w:rsidR="00866045" w:rsidRPr="00547FAA" w:rsidRDefault="00866045" w:rsidP="00866045">
      <w:pPr>
        <w:pStyle w:val="ListParagraph"/>
        <w:spacing w:after="0" w:line="240" w:lineRule="auto"/>
        <w:ind w:left="426"/>
        <w:jc w:val="both"/>
        <w:rPr>
          <w:rFonts w:ascii="Times New Roman" w:hAnsi="Times New Roman" w:cs="Times New Roman"/>
          <w:noProof/>
          <w:sz w:val="24"/>
          <w:szCs w:val="24"/>
          <w:lang w:val="fr-FR"/>
        </w:rPr>
      </w:pPr>
    </w:p>
    <w:p w:rsidR="00866045" w:rsidRPr="00547FAA" w:rsidRDefault="00866045" w:rsidP="00866045">
      <w:pPr>
        <w:pStyle w:val="ListParagraph"/>
        <w:numPr>
          <w:ilvl w:val="0"/>
          <w:numId w:val="5"/>
        </w:numPr>
        <w:spacing w:after="0" w:line="240" w:lineRule="auto"/>
        <w:ind w:left="426"/>
        <w:jc w:val="both"/>
        <w:rPr>
          <w:rFonts w:ascii="Times New Roman" w:hAnsi="Times New Roman" w:cs="Times New Roman"/>
          <w:noProof/>
          <w:sz w:val="24"/>
          <w:szCs w:val="24"/>
          <w:lang w:val="fr-FR"/>
        </w:rPr>
      </w:pPr>
      <w:r w:rsidRPr="00547FAA">
        <w:rPr>
          <w:rFonts w:ascii="Times New Roman" w:hAnsi="Times New Roman"/>
          <w:noProof/>
          <w:sz w:val="24"/>
          <w:u w:val="single"/>
          <w:lang w:val="fr-FR"/>
        </w:rPr>
        <w:t>Menaces hybrides</w:t>
      </w:r>
      <w:r w:rsidRPr="00547FAA">
        <w:rPr>
          <w:rFonts w:ascii="Times New Roman" w:hAnsi="Times New Roman"/>
          <w:noProof/>
          <w:sz w:val="24"/>
          <w:lang w:val="fr-FR"/>
        </w:rPr>
        <w:t>: la Commission et la haute représentante ont adopté une communication conjointe relative à un cadre commun en matière de lutte contre les menaces hybrides</w:t>
      </w:r>
      <w:r w:rsidRPr="00547FAA">
        <w:rPr>
          <w:rStyle w:val="FootnoteReference"/>
          <w:rFonts w:ascii="Times New Roman" w:hAnsi="Times New Roman"/>
          <w:noProof/>
          <w:sz w:val="24"/>
          <w:lang w:val="fr-FR"/>
        </w:rPr>
        <w:footnoteReference w:id="35"/>
      </w:r>
      <w:r w:rsidRPr="00547FAA">
        <w:rPr>
          <w:rFonts w:ascii="Times New Roman" w:hAnsi="Times New Roman"/>
          <w:noProof/>
          <w:sz w:val="24"/>
          <w:lang w:val="fr-FR"/>
        </w:rPr>
        <w:t>, qui contient des propositions susceptibles de se traduire en actions visant à contribuer à contrer les menaces hybrides et à renforcer la résilience de l’UE et de ses États membres ainsi que des partenaires. Toutes les parties sont encouragées à mettre en œuvre ces mesures rapidement.</w:t>
      </w:r>
    </w:p>
    <w:p w:rsidR="00866045" w:rsidRPr="00547FAA" w:rsidRDefault="00866045" w:rsidP="00866045">
      <w:pPr>
        <w:pStyle w:val="ListParagraph"/>
        <w:spacing w:after="0" w:line="240" w:lineRule="auto"/>
        <w:ind w:left="426"/>
        <w:jc w:val="both"/>
        <w:rPr>
          <w:noProof/>
          <w:lang w:val="fr-FR"/>
        </w:rPr>
      </w:pPr>
    </w:p>
    <w:p w:rsidR="00866045" w:rsidRPr="00547FAA" w:rsidRDefault="00866045" w:rsidP="00866045">
      <w:pPr>
        <w:jc w:val="both"/>
        <w:rPr>
          <w:noProof/>
          <w:lang w:val="fr-FR"/>
        </w:rPr>
      </w:pPr>
      <w:r w:rsidRPr="00547FAA">
        <w:rPr>
          <w:lang w:val="fr-FR"/>
        </w:rPr>
        <w:t xml:space="preserve">La lutte contre la criminalité et le terrorisme doit s’appuyer en permanence sur des technologies et des capacités nouvelles. Des mesures supplémentaires sont nécessaires pour être en mesure de déceler les menaces. La Commission orientera également les fonds pour la recherche vers les futurs besoins en matière de technologie et de capacités. Le programme «Sociétés sûres» dans le cadre d’Horizon </w:t>
      </w:r>
      <w:r w:rsidRPr="00DB3EC6">
        <w:rPr>
          <w:lang w:val="fr-FR"/>
        </w:rPr>
        <w:t>2020</w:t>
      </w:r>
      <w:r w:rsidRPr="00547FAA">
        <w:rPr>
          <w:lang w:val="fr-FR"/>
        </w:rPr>
        <w:t xml:space="preserve"> est doté d’un budget de </w:t>
      </w:r>
      <w:r w:rsidRPr="00DB3EC6">
        <w:rPr>
          <w:lang w:val="fr-FR"/>
        </w:rPr>
        <w:t>1</w:t>
      </w:r>
      <w:r w:rsidRPr="00547FAA">
        <w:rPr>
          <w:lang w:val="fr-FR"/>
        </w:rPr>
        <w:t> </w:t>
      </w:r>
      <w:r w:rsidRPr="00DB3EC6">
        <w:rPr>
          <w:lang w:val="fr-FR"/>
        </w:rPr>
        <w:t>700</w:t>
      </w:r>
      <w:r w:rsidRPr="00547FAA">
        <w:rPr>
          <w:lang w:val="fr-FR"/>
        </w:rPr>
        <w:t> </w:t>
      </w:r>
      <w:r w:rsidRPr="00DB3EC6">
        <w:rPr>
          <w:lang w:val="fr-FR"/>
        </w:rPr>
        <w:t>000</w:t>
      </w:r>
      <w:r w:rsidRPr="00547FAA">
        <w:rPr>
          <w:lang w:val="fr-FR"/>
        </w:rPr>
        <w:t> </w:t>
      </w:r>
      <w:r w:rsidRPr="00DB3EC6">
        <w:rPr>
          <w:lang w:val="fr-FR"/>
        </w:rPr>
        <w:t>000</w:t>
      </w:r>
      <w:r w:rsidRPr="00547FAA">
        <w:rPr>
          <w:lang w:val="fr-FR"/>
        </w:rPr>
        <w:t xml:space="preserve"> EUR pour la période </w:t>
      </w:r>
      <w:r w:rsidRPr="00DB3EC6">
        <w:rPr>
          <w:lang w:val="fr-FR"/>
        </w:rPr>
        <w:t>2014</w:t>
      </w:r>
      <w:r w:rsidRPr="00547FAA">
        <w:rPr>
          <w:lang w:val="fr-FR"/>
        </w:rPr>
        <w:t>-</w:t>
      </w:r>
      <w:r w:rsidRPr="00DB3EC6">
        <w:rPr>
          <w:lang w:val="fr-FR"/>
        </w:rPr>
        <w:t>2020</w:t>
      </w:r>
      <w:r w:rsidRPr="00547FAA">
        <w:rPr>
          <w:lang w:val="fr-FR"/>
        </w:rPr>
        <w:t xml:space="preserve">. Les programmes de travail pour la période </w:t>
      </w:r>
      <w:r w:rsidRPr="00DB3EC6">
        <w:rPr>
          <w:lang w:val="fr-FR"/>
        </w:rPr>
        <w:t>2016</w:t>
      </w:r>
      <w:r w:rsidRPr="00547FAA">
        <w:rPr>
          <w:lang w:val="fr-FR"/>
        </w:rPr>
        <w:t>-</w:t>
      </w:r>
      <w:r w:rsidRPr="00DB3EC6">
        <w:rPr>
          <w:lang w:val="fr-FR"/>
        </w:rPr>
        <w:t>2017</w:t>
      </w:r>
      <w:r w:rsidRPr="00547FAA">
        <w:rPr>
          <w:lang w:val="fr-FR"/>
        </w:rPr>
        <w:t xml:space="preserve"> ont été adoptés et comportent plusieurs mesures portant spécifiquement sur la lutte contre le terrorisme. Les futurs appels et les prochains programmes annuels devraient être davantage axés sur les technologies et les capacités en matière de lutte contre le terrorisme, en s’appuyant sur les travaux du Centre européen de la lutte contre le terrorisme, ainsi que des services répressifs et des services de renseignement.</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Le programme européen en matière de sécurité a souligné que la compétitivité du secteur européen de la sécurité pouvait également contribuer à ce que l’UE satisfasse en toute autonomie à ses besoins en la matière. L’UE a encouragé le développement de solutions innovantes en matière de sécurité, par exemple par l’élaboration de normes et l’établissement de certificats communs. En </w:t>
      </w:r>
      <w:r w:rsidRPr="00DB3EC6">
        <w:rPr>
          <w:lang w:val="fr-FR"/>
        </w:rPr>
        <w:t>2016</w:t>
      </w:r>
      <w:r w:rsidRPr="00547FAA">
        <w:rPr>
          <w:lang w:val="fr-FR"/>
        </w:rPr>
        <w:t>, la Commission présentera des propositions relatives aux équipements aéroportuaires de détection, afin de supprimer les obstacles au marché unique et d’améliorer la compétitivité du secteur européen de la sécurité sur les marchés d’exportation.</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Les systèmes d’information sont des éléments essentiels de notre société. Des mesures de cybersécurité énergiques devraient constituer la première ligne de défense, mais il convient également d’assurer l’efficacité des enquêtes et des poursuites pour les actes criminels ciblant ou exploitant ces systèmes. La directive relative aux attaques contre les systèmes d’information (</w:t>
      </w:r>
      <w:r w:rsidRPr="00DB3EC6">
        <w:rPr>
          <w:lang w:val="fr-FR"/>
        </w:rPr>
        <w:t>2013</w:t>
      </w:r>
      <w:r w:rsidRPr="00547FAA">
        <w:rPr>
          <w:lang w:val="fr-FR"/>
        </w:rPr>
        <w:t>/</w:t>
      </w:r>
      <w:r w:rsidRPr="00DB3EC6">
        <w:rPr>
          <w:lang w:val="fr-FR"/>
        </w:rPr>
        <w:t>40</w:t>
      </w:r>
      <w:r w:rsidRPr="00547FAA">
        <w:rPr>
          <w:lang w:val="fr-FR"/>
        </w:rPr>
        <w:t xml:space="preserve">/UE) fournit un cadre pénal européen commun dans ce domaine. La Commission suit actuellement la mise en œuvre de la directive par les États membres et présentera un rapport au Parlement et au Conseil en </w:t>
      </w:r>
      <w:r w:rsidRPr="00DB3EC6">
        <w:rPr>
          <w:lang w:val="fr-FR"/>
        </w:rPr>
        <w:t>2017</w:t>
      </w:r>
      <w:r w:rsidRPr="00547FAA">
        <w:rPr>
          <w:lang w:val="fr-FR"/>
        </w:rPr>
        <w:t>, en tenant compte des évolutions techniques et juridiques dans le domaine de la cybercriminalité et du besoin éventuel de renforcer davantage le cadre juridique. Afin de compléter la proposition de directive relative à la sécurité des réseaux et de l’information (SRI)</w:t>
      </w:r>
      <w:r w:rsidRPr="00547FAA">
        <w:rPr>
          <w:rStyle w:val="FootnoteReference"/>
          <w:noProof/>
          <w:lang w:val="fr-FR"/>
        </w:rPr>
        <w:footnoteReference w:id="36"/>
      </w:r>
      <w:r w:rsidRPr="00547FAA">
        <w:rPr>
          <w:lang w:val="fr-FR"/>
        </w:rPr>
        <w:t xml:space="preserve"> visant à renforcer la coopération et l’échange d’informations concernant les cybermenaces, la Commission proposera de nouvelles mesures en juin pour soutenir la coopération dans ce domaine et renforcer les capacités industrielles.</w:t>
      </w:r>
    </w:p>
    <w:p w:rsidR="00866045" w:rsidRPr="00547FAA" w:rsidRDefault="00866045" w:rsidP="00866045">
      <w:pPr>
        <w:jc w:val="both"/>
        <w:rPr>
          <w:noProof/>
          <w:lang w:val="fr-FR"/>
        </w:rPr>
      </w:pPr>
    </w:p>
    <w:p w:rsidR="00866045" w:rsidRPr="00547FAA" w:rsidRDefault="00866045" w:rsidP="00866045">
      <w:pPr>
        <w:jc w:val="both"/>
        <w:rPr>
          <w:i/>
          <w:noProof/>
          <w:lang w:val="fr-FR"/>
        </w:rPr>
      </w:pPr>
      <w:r w:rsidRPr="00547FAA">
        <w:rPr>
          <w:i/>
          <w:noProof/>
          <w:lang w:val="fr-FR"/>
        </w:rPr>
        <w:t>Traitement des dépenses budgétaires supplémentaires liées à la sécurité</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La protection a un coût, sur le plan tant du déploiement des services de renseignement, des services répressifs ou des forces armées que du renforcement des infrastructures. Ces coûts doivent toutefois être mis en perspective avec les préjudices humains et économiques pouvant être causés par une poignée de criminels. Compte tenu de la gravité de la menace à laquelle l’UE est actuellement confrontée, la Commission proposera de recourir à la flexibilité que comporte le pacte de stabilité et de croissance et qui permet de tenir compte de faits inhabituels indépendants de la volonté des États dans le cadre des dépenses budgétaires supplémentaires directement liées à cette menace. La Commission collaborera avec les États membres en vue de parvenir à l’accord nécessaire sur la voie à suivre. </w:t>
      </w:r>
    </w:p>
    <w:p w:rsidR="00866045" w:rsidRPr="00547FAA" w:rsidRDefault="00866045" w:rsidP="00866045">
      <w:pPr>
        <w:jc w:val="both"/>
        <w:rPr>
          <w:noProof/>
          <w:lang w:val="fr-FR"/>
        </w:rPr>
      </w:pPr>
    </w:p>
    <w:p w:rsidR="00866045" w:rsidRPr="00547FAA" w:rsidRDefault="00866045" w:rsidP="00866045">
      <w:pPr>
        <w:rPr>
          <w:noProof/>
          <w:lang w:val="fr-FR"/>
        </w:rPr>
      </w:pPr>
    </w:p>
    <w:tbl>
      <w:tblPr>
        <w:tblStyle w:val="TableGrid"/>
        <w:tblW w:w="0" w:type="auto"/>
        <w:tblLook w:val="04A0" w:firstRow="1" w:lastRow="0" w:firstColumn="1" w:lastColumn="0" w:noHBand="0" w:noVBand="1"/>
      </w:tblPr>
      <w:tblGrid>
        <w:gridCol w:w="9288"/>
      </w:tblGrid>
      <w:tr w:rsidR="00866045" w:rsidRPr="00547FAA" w:rsidTr="008D2F99">
        <w:tc>
          <w:tcPr>
            <w:tcW w:w="9288" w:type="dxa"/>
          </w:tcPr>
          <w:p w:rsidR="00866045" w:rsidRPr="00547FAA" w:rsidRDefault="00866045" w:rsidP="008D2F99">
            <w:pPr>
              <w:jc w:val="both"/>
              <w:rPr>
                <w:rFonts w:ascii="Times New Roman" w:hAnsi="Times New Roman" w:cs="Times New Roman"/>
                <w:b/>
                <w:i/>
                <w:noProof/>
                <w:lang w:val="fr-FR"/>
              </w:rPr>
            </w:pPr>
            <w:r w:rsidRPr="00547FAA">
              <w:rPr>
                <w:rFonts w:ascii="Times New Roman" w:hAnsi="Times New Roman"/>
                <w:b/>
                <w:i/>
                <w:noProof/>
                <w:lang w:val="fr-FR"/>
              </w:rPr>
              <w:lastRenderedPageBreak/>
              <w:t>Prochaines étapes:</w:t>
            </w:r>
          </w:p>
          <w:p w:rsidR="00866045" w:rsidRPr="00547FAA" w:rsidRDefault="00866045" w:rsidP="008D2F99">
            <w:pPr>
              <w:jc w:val="both"/>
              <w:rPr>
                <w:rFonts w:ascii="Times New Roman" w:hAnsi="Times New Roman" w:cs="Times New Roman"/>
                <w:b/>
                <w:i/>
                <w:noProof/>
                <w:lang w:val="fr-FR"/>
              </w:rPr>
            </w:pPr>
          </w:p>
          <w:p w:rsidR="00866045" w:rsidRPr="00547FAA" w:rsidRDefault="00866045" w:rsidP="008D2F99">
            <w:pPr>
              <w:jc w:val="both"/>
              <w:rPr>
                <w:rFonts w:ascii="Times New Roman" w:hAnsi="Times New Roman" w:cs="Times New Roman"/>
                <w:b/>
                <w:i/>
                <w:noProof/>
                <w:lang w:val="fr-FR"/>
              </w:rPr>
            </w:pPr>
            <w:r w:rsidRPr="00547FAA">
              <w:rPr>
                <w:rFonts w:ascii="Times New Roman" w:hAnsi="Times New Roman"/>
                <w:b/>
                <w:i/>
                <w:noProof/>
                <w:lang w:val="fr-FR"/>
              </w:rPr>
              <w:t>La Commission entend:</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prendre les mesures nécessaires, de toute urgence, pour accélérer la mise en œuvre des actions pertinentes prévues par le plan d’action du </w:t>
            </w:r>
            <w:r w:rsidRPr="00DB3EC6">
              <w:rPr>
                <w:rFonts w:ascii="Times New Roman" w:hAnsi="Times New Roman"/>
                <w:noProof/>
                <w:sz w:val="24"/>
                <w:lang w:val="fr-FR"/>
              </w:rPr>
              <w:t>2</w:t>
            </w:r>
            <w:r w:rsidRPr="00547FAA">
              <w:rPr>
                <w:rFonts w:ascii="Times New Roman" w:hAnsi="Times New Roman"/>
                <w:noProof/>
                <w:sz w:val="24"/>
                <w:lang w:val="fr-FR"/>
              </w:rPr>
              <w:t xml:space="preserve"> décembre </w:t>
            </w:r>
            <w:r w:rsidRPr="00DB3EC6">
              <w:rPr>
                <w:rFonts w:ascii="Times New Roman" w:hAnsi="Times New Roman"/>
                <w:noProof/>
                <w:sz w:val="24"/>
                <w:lang w:val="fr-FR"/>
              </w:rPr>
              <w:t>2015</w:t>
            </w:r>
            <w:r w:rsidRPr="00547FAA">
              <w:rPr>
                <w:rFonts w:ascii="Times New Roman" w:hAnsi="Times New Roman"/>
                <w:noProof/>
                <w:sz w:val="24"/>
                <w:lang w:val="fr-FR"/>
              </w:rPr>
              <w:t xml:space="preserve"> sur les armes à feu et les explosifs;</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d’ici le mois de septembre </w:t>
            </w:r>
            <w:r w:rsidRPr="00DB3EC6">
              <w:rPr>
                <w:rFonts w:ascii="Times New Roman" w:hAnsi="Times New Roman"/>
                <w:noProof/>
                <w:sz w:val="24"/>
                <w:lang w:val="fr-FR"/>
              </w:rPr>
              <w:t>2016</w:t>
            </w:r>
            <w:r w:rsidRPr="00547FAA">
              <w:rPr>
                <w:rFonts w:ascii="Times New Roman" w:hAnsi="Times New Roman"/>
                <w:noProof/>
                <w:sz w:val="24"/>
                <w:lang w:val="fr-FR"/>
              </w:rPr>
              <w:t>, proposer des règles à l’échelle de l’Union en matière de certification des équipements aéroportuaires de détection;</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d’ici le mois de décembre </w:t>
            </w:r>
            <w:r w:rsidRPr="00DB3EC6">
              <w:rPr>
                <w:rFonts w:ascii="Times New Roman" w:hAnsi="Times New Roman"/>
                <w:noProof/>
                <w:sz w:val="24"/>
                <w:lang w:val="fr-FR"/>
              </w:rPr>
              <w:t>2016</w:t>
            </w:r>
            <w:r w:rsidRPr="00547FAA">
              <w:rPr>
                <w:rFonts w:ascii="Times New Roman" w:hAnsi="Times New Roman"/>
                <w:noProof/>
                <w:sz w:val="24"/>
                <w:lang w:val="fr-FR"/>
              </w:rPr>
              <w:t>, mettre à jour le manuel de protection des cibles vulnérables dans les aéroports de l’UE;</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d’ici le mois de mai </w:t>
            </w:r>
            <w:r w:rsidRPr="00DB3EC6">
              <w:rPr>
                <w:rFonts w:ascii="Times New Roman" w:hAnsi="Times New Roman"/>
                <w:noProof/>
                <w:sz w:val="24"/>
                <w:lang w:val="fr-FR"/>
              </w:rPr>
              <w:t>2016</w:t>
            </w:r>
            <w:r w:rsidRPr="00547FAA">
              <w:rPr>
                <w:rFonts w:ascii="Times New Roman" w:hAnsi="Times New Roman"/>
                <w:noProof/>
                <w:sz w:val="24"/>
                <w:lang w:val="fr-FR"/>
              </w:rPr>
              <w:t>, réaliser de nouveaux essais de détection et de protection, notamment dans le cadre des centres de crise («hotspots»);</w:t>
            </w:r>
          </w:p>
          <w:p w:rsidR="00866045" w:rsidRPr="00547FAA" w:rsidRDefault="00866045" w:rsidP="008D2F99">
            <w:pPr>
              <w:pStyle w:val="ListParagraph"/>
              <w:numPr>
                <w:ilvl w:val="0"/>
                <w:numId w:val="2"/>
              </w:numPr>
              <w:spacing w:line="240" w:lineRule="auto"/>
              <w:jc w:val="both"/>
              <w:rPr>
                <w:rFonts w:ascii="Times New Roman" w:eastAsia="Times New Roman" w:hAnsi="Times New Roman" w:cs="Times New Roman"/>
                <w:noProof/>
                <w:sz w:val="24"/>
                <w:szCs w:val="24"/>
                <w:lang w:val="fr-FR"/>
              </w:rPr>
            </w:pPr>
            <w:r w:rsidRPr="00547FAA">
              <w:rPr>
                <w:rFonts w:ascii="Times New Roman" w:hAnsi="Times New Roman"/>
                <w:noProof/>
                <w:sz w:val="24"/>
                <w:lang w:val="fr-FR"/>
              </w:rPr>
              <w:t>orienter les fonds pour la recherche vers les futurs besoins en matière de technologie et de capacités;</w:t>
            </w:r>
          </w:p>
          <w:p w:rsidR="00866045" w:rsidRPr="00547FAA" w:rsidRDefault="00866045" w:rsidP="008D2F99">
            <w:pPr>
              <w:pStyle w:val="ListParagraph"/>
              <w:numPr>
                <w:ilvl w:val="0"/>
                <w:numId w:val="2"/>
              </w:numPr>
              <w:spacing w:after="0"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proposer une approche sur le traitement des dépenses budgétaires exceptionnelles directement liées à la lutte contre le terrorisme dans le cadre du pacte de stabilité et de croissance. La Commission entend recourir à cette approche lors du prochain semestre européen au printemps de cette année. </w:t>
            </w:r>
          </w:p>
          <w:p w:rsidR="00866045" w:rsidRPr="00547FAA" w:rsidRDefault="00866045" w:rsidP="008D2F99">
            <w:pPr>
              <w:pStyle w:val="ListParagraph"/>
              <w:spacing w:after="0" w:line="240" w:lineRule="auto"/>
              <w:ind w:left="714"/>
              <w:rPr>
                <w:rFonts w:ascii="Times New Roman" w:hAnsi="Times New Roman" w:cs="Times New Roman"/>
                <w:noProof/>
                <w:sz w:val="24"/>
                <w:szCs w:val="24"/>
                <w:lang w:val="fr-FR"/>
              </w:rPr>
            </w:pPr>
          </w:p>
        </w:tc>
      </w:tr>
    </w:tbl>
    <w:p w:rsidR="00866045" w:rsidRPr="00547FAA" w:rsidRDefault="00866045" w:rsidP="00866045">
      <w:pPr>
        <w:jc w:val="both"/>
        <w:rPr>
          <w:b/>
          <w:noProof/>
          <w:lang w:val="fr-FR"/>
        </w:rPr>
      </w:pPr>
    </w:p>
    <w:p w:rsidR="00866045" w:rsidRPr="00547FAA" w:rsidRDefault="00866045" w:rsidP="00866045">
      <w:pPr>
        <w:jc w:val="both"/>
        <w:rPr>
          <w:b/>
          <w:noProof/>
          <w:lang w:val="fr-FR"/>
        </w:rPr>
      </w:pPr>
    </w:p>
    <w:p w:rsidR="00866045" w:rsidRPr="00547FAA" w:rsidRDefault="00866045" w:rsidP="00866045">
      <w:pPr>
        <w:jc w:val="both"/>
        <w:rPr>
          <w:b/>
          <w:noProof/>
          <w:lang w:val="fr-FR"/>
        </w:rPr>
      </w:pPr>
      <w:r w:rsidRPr="00DB3EC6">
        <w:rPr>
          <w:b/>
          <w:noProof/>
          <w:lang w:val="fr-FR"/>
        </w:rPr>
        <w:t>2</w:t>
      </w:r>
      <w:r w:rsidRPr="00547FAA">
        <w:rPr>
          <w:b/>
          <w:noProof/>
          <w:lang w:val="fr-FR"/>
        </w:rPr>
        <w:t>.</w:t>
      </w:r>
      <w:r w:rsidRPr="00DB3EC6">
        <w:rPr>
          <w:b/>
          <w:noProof/>
          <w:lang w:val="fr-FR"/>
        </w:rPr>
        <w:t>8</w:t>
      </w:r>
      <w:r w:rsidRPr="00547FAA">
        <w:rPr>
          <w:lang w:val="fr-FR"/>
        </w:rPr>
        <w:tab/>
      </w:r>
      <w:r w:rsidRPr="00547FAA">
        <w:rPr>
          <w:b/>
          <w:noProof/>
          <w:lang w:val="fr-FR"/>
        </w:rPr>
        <w:t>La dimension extérieure</w:t>
      </w:r>
    </w:p>
    <w:p w:rsidR="00866045" w:rsidRPr="00547FAA" w:rsidRDefault="00866045" w:rsidP="00866045">
      <w:pPr>
        <w:jc w:val="both"/>
        <w:rPr>
          <w:b/>
          <w:noProof/>
          <w:lang w:val="fr-FR"/>
        </w:rPr>
      </w:pPr>
    </w:p>
    <w:p w:rsidR="00866045" w:rsidRPr="00547FAA" w:rsidRDefault="00866045" w:rsidP="00866045">
      <w:pPr>
        <w:jc w:val="both"/>
        <w:rPr>
          <w:noProof/>
          <w:lang w:val="fr-FR"/>
        </w:rPr>
      </w:pPr>
      <w:r w:rsidRPr="00547FAA">
        <w:rPr>
          <w:lang w:val="fr-FR"/>
        </w:rPr>
        <w:t>Le programme européen en matière de sécurité vise également à assurer une plus grande cohérence entre les actions internes et externes dans le domaine de la sécurité, compte tenu du lien direct entre les deux types d’action, ainsi qu’à s’appuyer sur les travaux du coordinateur de l’UE pour la lutte contre le terrorisme, de la Commission et du SEAE.</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L’accent doit être mis tout particulièrement sur les pays du voisinage. Des dialogues ciblés et renforcés sur la sécurité et la lutte contre le terrorisme ont déjà été engagés, en particulier avec la Jordanie, le Liban, le Maroc, la Tunisie et la Turquie, et des plans d’action concrets sont en voie d’être établis avec ces pays. Des experts en matière de sécurité et de lutte contre le terrorisme ont été déployés dans les délégations de l’UE en Algérie, en Iraq, en Jordanie, au Maroc, au Nigeria, en Arabie saoudite, en Tunisie et en Turquie. Sur la base de ces expériences, l’UE devrait lancer un partenariat sur la lutte contre le terrorisme avec les pays du bassin méditerranéen, ainsi qu’étendre le réseau des experts en matière de sécurité et de lutte contre le terrorisme à d’autres pays et régions prioritaires (tels que le Liban, le Sahel et les Balkans occidentaux). </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Les événements récents ont mis en lumière des manquements sérieux sur le plan de la coopération avec les partenaires méditerranéens, en dépit des préoccupations communes. La coopération de l’UE dans les domaines de la justice, des affaires intérieures, de la diplomatie et de la lutte contre le terrorisme doit être renforcée en priorité avec les partenaires, de la Turquie au Maroc, avec l’appui du Centre européen de la lutte contre le terrorisme, afin de garantir une coopération policière et un échange d’informations effectifs dans un cadre approprié en matière de protection des données.</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L’UE doit renforcer sa présence dans les enceintes internationales multilatérales consacrées à la lutte contre le terrorisme et à la sécurité (comme les Nations unies, le Forum mondial de </w:t>
      </w:r>
      <w:r w:rsidRPr="00547FAA">
        <w:rPr>
          <w:lang w:val="fr-FR"/>
        </w:rPr>
        <w:lastRenderedPageBreak/>
        <w:t>lutte contre le terrorisme, le G</w:t>
      </w:r>
      <w:r w:rsidRPr="00DB3EC6">
        <w:rPr>
          <w:lang w:val="fr-FR"/>
        </w:rPr>
        <w:t>7</w:t>
      </w:r>
      <w:r w:rsidRPr="00547FAA">
        <w:rPr>
          <w:lang w:val="fr-FR"/>
        </w:rPr>
        <w:t xml:space="preserve"> et le Groupe d’action financière) afin de promouvoir la coopération internationale dans ces domaines.</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Le plan d’action du </w:t>
      </w:r>
      <w:r w:rsidRPr="00DB3EC6">
        <w:rPr>
          <w:lang w:val="fr-FR"/>
        </w:rPr>
        <w:t>2</w:t>
      </w:r>
      <w:r w:rsidRPr="00547FAA">
        <w:rPr>
          <w:lang w:val="fr-FR"/>
        </w:rPr>
        <w:t xml:space="preserve"> décembre </w:t>
      </w:r>
      <w:r w:rsidRPr="00DB3EC6">
        <w:rPr>
          <w:lang w:val="fr-FR"/>
        </w:rPr>
        <w:t>2015</w:t>
      </w:r>
      <w:r w:rsidRPr="00547FAA">
        <w:rPr>
          <w:lang w:val="fr-FR"/>
        </w:rPr>
        <w:t xml:space="preserve"> sur les armes à feu et les explosifs</w:t>
      </w:r>
      <w:r w:rsidRPr="00547FAA">
        <w:rPr>
          <w:rStyle w:val="FootnoteReference"/>
          <w:noProof/>
          <w:lang w:val="fr-FR"/>
        </w:rPr>
        <w:footnoteReference w:id="37"/>
      </w:r>
      <w:r w:rsidRPr="00547FAA">
        <w:rPr>
          <w:lang w:val="fr-FR"/>
        </w:rPr>
        <w:t xml:space="preserve"> et le plan d’action du </w:t>
      </w:r>
      <w:r w:rsidRPr="00DB3EC6">
        <w:rPr>
          <w:lang w:val="fr-FR"/>
        </w:rPr>
        <w:t>2</w:t>
      </w:r>
      <w:r w:rsidRPr="00547FAA">
        <w:rPr>
          <w:lang w:val="fr-FR"/>
        </w:rPr>
        <w:t xml:space="preserve"> février </w:t>
      </w:r>
      <w:r w:rsidRPr="00DB3EC6">
        <w:rPr>
          <w:lang w:val="fr-FR"/>
        </w:rPr>
        <w:t>2016</w:t>
      </w:r>
      <w:r w:rsidRPr="00547FAA">
        <w:rPr>
          <w:lang w:val="fr-FR"/>
        </w:rPr>
        <w:t xml:space="preserve"> sur le renforcement de la lutte contre le financement du terrorisme</w:t>
      </w:r>
      <w:r w:rsidRPr="00547FAA">
        <w:rPr>
          <w:rStyle w:val="FootnoteReference"/>
          <w:noProof/>
          <w:lang w:val="fr-FR"/>
        </w:rPr>
        <w:footnoteReference w:id="38"/>
      </w:r>
      <w:r w:rsidRPr="00547FAA">
        <w:rPr>
          <w:lang w:val="fr-FR"/>
        </w:rPr>
        <w:t xml:space="preserve"> contiennent des actions spécifiques à l’égard des pays tiers, en particulier ceux situés dans le voisinage immédiat de l’UE. Ils prévoient notamment un renforcement de la coopération de l’UE avec les pays voisins sur les questions liées à la sécurité, y compris en ce qui concerne la lutte contre le trafic illicite d’armes légères et de petits calibres et la lutte contre la traite des êtres humains, le trafic illicite de biens culturels et le trafic de drogue. Il est envisagé d’intégrer systématiquement la question du trafic et de l’usage illicites d’armes à feu et d’explosifs dans les dialogues sur la sécurité avec les organisations et pays partenaires clés. </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La politique européenne de voisinage révisée définit également un cadre d’action dans les pays du voisinage, qui réunit de manière cohérente les questions liées à la sécurité et d’autres éléments de stabilisation tels que la lutte contre la corruption et l’abus de pouvoir, le développement économique, les possibilités d’investissement et l’emploi des jeunes, ainsi que l’apport d’un soutien financier spécifique à la société civile avec une dimension de lutte contre la radicalisation. </w:t>
      </w:r>
    </w:p>
    <w:p w:rsidR="00866045" w:rsidRPr="00547FAA" w:rsidRDefault="00866045" w:rsidP="00866045">
      <w:pPr>
        <w:rPr>
          <w:noProof/>
          <w:lang w:val="fr-FR"/>
        </w:rPr>
      </w:pPr>
    </w:p>
    <w:tbl>
      <w:tblPr>
        <w:tblStyle w:val="TableGrid"/>
        <w:tblW w:w="0" w:type="auto"/>
        <w:tblLook w:val="04A0" w:firstRow="1" w:lastRow="0" w:firstColumn="1" w:lastColumn="0" w:noHBand="0" w:noVBand="1"/>
      </w:tblPr>
      <w:tblGrid>
        <w:gridCol w:w="9288"/>
      </w:tblGrid>
      <w:tr w:rsidR="00866045" w:rsidRPr="00547FAA" w:rsidTr="008D2F99">
        <w:tc>
          <w:tcPr>
            <w:tcW w:w="9288" w:type="dxa"/>
          </w:tcPr>
          <w:p w:rsidR="00866045" w:rsidRPr="00547FAA" w:rsidRDefault="00866045" w:rsidP="008D2F99">
            <w:pPr>
              <w:jc w:val="both"/>
              <w:rPr>
                <w:rFonts w:ascii="Times New Roman" w:hAnsi="Times New Roman" w:cs="Times New Roman"/>
                <w:b/>
                <w:i/>
                <w:noProof/>
                <w:lang w:val="fr-FR"/>
              </w:rPr>
            </w:pPr>
            <w:r w:rsidRPr="00547FAA">
              <w:rPr>
                <w:rFonts w:ascii="Times New Roman" w:hAnsi="Times New Roman"/>
                <w:b/>
                <w:i/>
                <w:noProof/>
                <w:lang w:val="fr-FR"/>
              </w:rPr>
              <w:t>Prochaines étapes:</w:t>
            </w:r>
          </w:p>
          <w:p w:rsidR="00866045" w:rsidRPr="00547FAA" w:rsidRDefault="00866045" w:rsidP="008D2F99">
            <w:pPr>
              <w:jc w:val="both"/>
              <w:rPr>
                <w:rFonts w:ascii="Times New Roman" w:hAnsi="Times New Roman" w:cs="Times New Roman"/>
                <w:b/>
                <w:i/>
                <w:noProof/>
                <w:lang w:val="fr-FR"/>
              </w:rPr>
            </w:pPr>
          </w:p>
          <w:p w:rsidR="00866045" w:rsidRPr="00547FAA" w:rsidRDefault="00866045" w:rsidP="008D2F99">
            <w:pPr>
              <w:jc w:val="both"/>
              <w:rPr>
                <w:rFonts w:ascii="Times New Roman" w:hAnsi="Times New Roman" w:cs="Times New Roman"/>
                <w:b/>
                <w:i/>
                <w:noProof/>
                <w:lang w:val="fr-FR"/>
              </w:rPr>
            </w:pPr>
            <w:r w:rsidRPr="00547FAA">
              <w:rPr>
                <w:rFonts w:ascii="Times New Roman" w:hAnsi="Times New Roman"/>
                <w:b/>
                <w:i/>
                <w:noProof/>
                <w:lang w:val="fr-FR"/>
              </w:rPr>
              <w:t>La Commission entend:</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prendre les mesures nécessaires pour accélérer la mise en œuvre de la dimension extérieure du plan d’action du </w:t>
            </w:r>
            <w:r w:rsidRPr="00DB3EC6">
              <w:rPr>
                <w:rFonts w:ascii="Times New Roman" w:hAnsi="Times New Roman"/>
                <w:noProof/>
                <w:sz w:val="24"/>
                <w:lang w:val="fr-FR"/>
              </w:rPr>
              <w:t>2</w:t>
            </w:r>
            <w:r w:rsidRPr="00547FAA">
              <w:rPr>
                <w:rFonts w:ascii="Times New Roman" w:hAnsi="Times New Roman"/>
                <w:noProof/>
                <w:sz w:val="24"/>
                <w:lang w:val="fr-FR"/>
              </w:rPr>
              <w:t xml:space="preserve"> décembre </w:t>
            </w:r>
            <w:r w:rsidRPr="00DB3EC6">
              <w:rPr>
                <w:rFonts w:ascii="Times New Roman" w:hAnsi="Times New Roman"/>
                <w:noProof/>
                <w:sz w:val="24"/>
                <w:lang w:val="fr-FR"/>
              </w:rPr>
              <w:t>2015</w:t>
            </w:r>
            <w:r w:rsidRPr="00547FAA">
              <w:rPr>
                <w:rFonts w:ascii="Times New Roman" w:hAnsi="Times New Roman"/>
                <w:noProof/>
                <w:sz w:val="24"/>
                <w:lang w:val="fr-FR"/>
              </w:rPr>
              <w:t xml:space="preserve"> sur les armes à feu et les explosifs, selon un calendrier ambitieux, en mettant tout particulièrement l’accent sur la lutte contre le trafic d’armes à feu et d’explosifs en provenance des Balkans occidentaux et d’éventuelles nouvelles sources de contrebande d’armes provenant d’autres régions situées dans le voisinage immédiat de l’UE;</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 xml:space="preserve">prendre les mesures nécessaires pour accélérer la mise en œuvre des actions pertinentes prévues par le plan d’action du </w:t>
            </w:r>
            <w:r w:rsidRPr="00DB3EC6">
              <w:rPr>
                <w:rFonts w:ascii="Times New Roman" w:hAnsi="Times New Roman"/>
                <w:noProof/>
                <w:sz w:val="24"/>
                <w:lang w:val="fr-FR"/>
              </w:rPr>
              <w:t>2</w:t>
            </w:r>
            <w:r w:rsidRPr="00547FAA">
              <w:rPr>
                <w:rFonts w:ascii="Times New Roman" w:hAnsi="Times New Roman"/>
                <w:noProof/>
                <w:sz w:val="24"/>
                <w:lang w:val="fr-FR"/>
              </w:rPr>
              <w:t xml:space="preserve"> février </w:t>
            </w:r>
            <w:r w:rsidRPr="00DB3EC6">
              <w:rPr>
                <w:rFonts w:ascii="Times New Roman" w:hAnsi="Times New Roman"/>
                <w:noProof/>
                <w:sz w:val="24"/>
                <w:lang w:val="fr-FR"/>
              </w:rPr>
              <w:t>2016</w:t>
            </w:r>
            <w:r w:rsidRPr="00547FAA">
              <w:rPr>
                <w:rFonts w:ascii="Times New Roman" w:hAnsi="Times New Roman"/>
                <w:noProof/>
                <w:sz w:val="24"/>
                <w:lang w:val="fr-FR"/>
              </w:rPr>
              <w:t xml:space="preserve"> sur le renforcement de la lutte contre le financement du terrorisme;</w:t>
            </w:r>
          </w:p>
          <w:p w:rsidR="00866045" w:rsidRPr="00547FAA" w:rsidRDefault="00866045" w:rsidP="008D2F99">
            <w:pPr>
              <w:pStyle w:val="ListParagraph"/>
              <w:numPr>
                <w:ilvl w:val="0"/>
                <w:numId w:val="2"/>
              </w:numPr>
              <w:spacing w:line="240" w:lineRule="auto"/>
              <w:jc w:val="both"/>
              <w:rPr>
                <w:rFonts w:ascii="Times New Roman" w:hAnsi="Times New Roman" w:cs="Times New Roman"/>
                <w:noProof/>
                <w:sz w:val="24"/>
                <w:szCs w:val="24"/>
                <w:lang w:val="fr-FR"/>
              </w:rPr>
            </w:pPr>
            <w:r w:rsidRPr="00547FAA">
              <w:rPr>
                <w:rFonts w:ascii="Times New Roman" w:hAnsi="Times New Roman"/>
                <w:noProof/>
                <w:sz w:val="24"/>
                <w:lang w:val="fr-FR"/>
              </w:rPr>
              <w:t>engager une réflexion visant à compléter et à approfondir les dialogues renforcés en matière de lutte contre le terrorisme avec les pays méditerranéens prioritaires en vue de mettre sur pied un partenariat efficace dans ce domaine;</w:t>
            </w:r>
          </w:p>
          <w:p w:rsidR="00866045" w:rsidRPr="00547FAA" w:rsidRDefault="00866045" w:rsidP="008D2F99">
            <w:pPr>
              <w:pStyle w:val="ListParagraph"/>
              <w:numPr>
                <w:ilvl w:val="0"/>
                <w:numId w:val="2"/>
              </w:numPr>
              <w:spacing w:after="0" w:line="240" w:lineRule="auto"/>
              <w:ind w:left="714" w:hanging="357"/>
              <w:jc w:val="both"/>
              <w:rPr>
                <w:rFonts w:ascii="Times New Roman" w:hAnsi="Times New Roman" w:cs="Times New Roman"/>
                <w:noProof/>
                <w:sz w:val="24"/>
                <w:szCs w:val="24"/>
                <w:lang w:val="fr-FR"/>
              </w:rPr>
            </w:pPr>
            <w:r w:rsidRPr="00547FAA">
              <w:rPr>
                <w:rFonts w:ascii="Times New Roman" w:hAnsi="Times New Roman"/>
                <w:noProof/>
                <w:sz w:val="24"/>
                <w:lang w:val="fr-FR"/>
              </w:rPr>
              <w:t>soutenir la mise en œuvre du plan d’action conjoint mis en place dans le cadre de l’initiative en matière de lutte contre le terrorisme dans les Balkans occidentaux.</w:t>
            </w:r>
          </w:p>
          <w:p w:rsidR="00866045" w:rsidRPr="00547FAA" w:rsidRDefault="00866045" w:rsidP="008D2F99">
            <w:pPr>
              <w:pStyle w:val="ListParagraph"/>
              <w:spacing w:after="0" w:line="240" w:lineRule="auto"/>
              <w:ind w:left="714"/>
              <w:rPr>
                <w:rFonts w:ascii="Times New Roman" w:hAnsi="Times New Roman" w:cs="Times New Roman"/>
                <w:noProof/>
                <w:sz w:val="24"/>
                <w:szCs w:val="24"/>
                <w:lang w:val="fr-FR"/>
              </w:rPr>
            </w:pPr>
          </w:p>
        </w:tc>
      </w:tr>
    </w:tbl>
    <w:p w:rsidR="00866045" w:rsidRPr="00547FAA" w:rsidRDefault="00866045" w:rsidP="00866045">
      <w:pPr>
        <w:jc w:val="both"/>
        <w:rPr>
          <w:noProof/>
          <w:lang w:val="fr-FR"/>
        </w:rPr>
      </w:pPr>
    </w:p>
    <w:p w:rsidR="00866045" w:rsidRPr="00547FAA" w:rsidRDefault="00866045" w:rsidP="00866045">
      <w:pPr>
        <w:jc w:val="both"/>
        <w:rPr>
          <w:b/>
          <w:noProof/>
          <w:lang w:val="fr-FR"/>
        </w:rPr>
      </w:pPr>
    </w:p>
    <w:p w:rsidR="00866045" w:rsidRPr="00547FAA" w:rsidRDefault="00866045" w:rsidP="00866045">
      <w:pPr>
        <w:jc w:val="both"/>
        <w:rPr>
          <w:b/>
          <w:noProof/>
          <w:lang w:val="fr-FR"/>
        </w:rPr>
      </w:pPr>
      <w:r w:rsidRPr="00DB3EC6">
        <w:rPr>
          <w:b/>
          <w:noProof/>
          <w:lang w:val="fr-FR"/>
        </w:rPr>
        <w:t>3</w:t>
      </w:r>
      <w:r w:rsidRPr="00547FAA">
        <w:rPr>
          <w:b/>
          <w:noProof/>
          <w:lang w:val="fr-FR"/>
        </w:rPr>
        <w:t>.</w:t>
      </w:r>
      <w:r w:rsidRPr="00547FAA">
        <w:rPr>
          <w:lang w:val="fr-FR"/>
        </w:rPr>
        <w:tab/>
      </w:r>
      <w:r w:rsidRPr="00547FAA">
        <w:rPr>
          <w:b/>
          <w:noProof/>
          <w:lang w:val="fr-FR"/>
        </w:rPr>
        <w:t>Conclusion</w:t>
      </w:r>
    </w:p>
    <w:p w:rsidR="00866045" w:rsidRPr="00547FAA" w:rsidRDefault="00866045" w:rsidP="00866045">
      <w:pPr>
        <w:ind w:firstLine="720"/>
        <w:jc w:val="both"/>
        <w:rPr>
          <w:noProof/>
          <w:lang w:val="fr-FR"/>
        </w:rPr>
      </w:pPr>
    </w:p>
    <w:p w:rsidR="00866045" w:rsidRPr="00547FAA" w:rsidRDefault="00866045" w:rsidP="00866045">
      <w:pPr>
        <w:jc w:val="both"/>
        <w:rPr>
          <w:noProof/>
          <w:lang w:val="fr-FR"/>
        </w:rPr>
      </w:pPr>
      <w:r w:rsidRPr="00547FAA">
        <w:rPr>
          <w:lang w:val="fr-FR"/>
        </w:rPr>
        <w:t>La sécurité est évidemment une des préoccupations majeures des citoyens. Au cours de l’année écoulée, les attentats terroristes qui ont tué ou blessé des centaines de personnes dans l’Union européenne ont fait apparaître ces préoccupations avec davantage d’acuité. Tous les acteurs doivent jouer leur rôle pour veiller à ce que l’Union européenne fasse tout ce qui est en son pouvoir pour garantir la sécurité de ses citoyens.</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 xml:space="preserve">Dans le monde d’aujourd’hui, les terroristes et les autres criminels opèrent par-delà les frontières et les nations. Pour être </w:t>
      </w:r>
      <w:bookmarkStart w:id="1" w:name="_GoBack"/>
      <w:bookmarkEnd w:id="1"/>
      <w:r w:rsidRPr="00547FAA">
        <w:rPr>
          <w:lang w:val="fr-FR"/>
        </w:rPr>
        <w:t>en mesure de faire face efficacement à la menace que ces derniers représentent, les services répressifs européens doivent coopérer harmonieusement, mettre en commun leurs ressources et leurs services de renseignement et agir conjointement. C’est la seule manière de contrer la menace terroriste de manière efficace. La sécurité intérieure d’un État membre est la sécurité intérieure de tous les États membres.</w:t>
      </w:r>
    </w:p>
    <w:p w:rsidR="00866045" w:rsidRPr="00547FAA" w:rsidRDefault="00866045" w:rsidP="00866045">
      <w:pPr>
        <w:jc w:val="both"/>
        <w:rPr>
          <w:noProof/>
          <w:lang w:val="fr-FR"/>
        </w:rPr>
      </w:pPr>
    </w:p>
    <w:p w:rsidR="00866045" w:rsidRPr="00547FAA" w:rsidRDefault="00866045" w:rsidP="00866045">
      <w:pPr>
        <w:jc w:val="both"/>
        <w:rPr>
          <w:noProof/>
          <w:lang w:val="fr-FR"/>
        </w:rPr>
      </w:pPr>
      <w:r w:rsidRPr="00547FAA">
        <w:rPr>
          <w:lang w:val="fr-FR"/>
        </w:rPr>
        <w:t>La présente communication expose les mesures qui ont été prises à ce jour et qui doivent l'être dans un avenir immédiat, sur le plan tant européen que national, pour assurer à tous les citoyens européens le niveau élevé de sécurité qu’ils attendent. L’annexe contient une feuille de route à suivre vers une véritable union de la sécurité en Europe: la Commission présentera un rapport sur les progrès accomplis. Il est de notre responsabilité commune et urgente de concrétiser ces mesures rapidement et de manière approfondie, ainsi que de mettre fin à la fragmentation des instruments, des informations et des mentalités; dans le cas contraire, celle</w:t>
      </w:r>
      <w:r w:rsidRPr="00547FAA">
        <w:rPr>
          <w:lang w:val="fr-FR"/>
        </w:rPr>
        <w:noBreakHyphen/>
        <w:t>ci continuera d’être utilisée par les terroristes pour affaiblir les valeurs qui sont si chères aux Européens. La Commission estime que ces mesures devraient être examinées rapidement par le Parlement européen et le Conseil, et demande au Conseil européen de faire le point sur le suivi de la présente communication lors de sa prochaine réunion.</w:t>
      </w:r>
    </w:p>
    <w:sectPr w:rsidR="00866045" w:rsidRPr="00547FA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4EA" w:rsidRDefault="00544205">
      <w:r>
        <w:separator/>
      </w:r>
    </w:p>
  </w:endnote>
  <w:endnote w:type="continuationSeparator" w:id="0">
    <w:p w:rsidR="006314EA" w:rsidRDefault="00544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6D7" w:rsidRDefault="006116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FAA" w:rsidRPr="00547FAA" w:rsidRDefault="00547FAA" w:rsidP="00547FAA">
    <w:pPr>
      <w:pStyle w:val="FooterCoverPage"/>
      <w:rPr>
        <w:rFonts w:ascii="Arial" w:hAnsi="Arial" w:cs="Arial"/>
        <w:b/>
        <w:sz w:val="48"/>
      </w:rPr>
    </w:pPr>
    <w:r w:rsidRPr="00547FAA">
      <w:rPr>
        <w:rFonts w:ascii="Arial" w:hAnsi="Arial" w:cs="Arial"/>
        <w:b/>
        <w:sz w:val="48"/>
      </w:rPr>
      <w:t>FR</w:t>
    </w:r>
    <w:r w:rsidRPr="00547FAA">
      <w:rPr>
        <w:rFonts w:ascii="Arial" w:hAnsi="Arial" w:cs="Arial"/>
        <w:b/>
        <w:sz w:val="48"/>
      </w:rPr>
      <w:tab/>
    </w:r>
    <w:r w:rsidRPr="00547FAA">
      <w:rPr>
        <w:rFonts w:ascii="Arial" w:hAnsi="Arial" w:cs="Arial"/>
        <w:b/>
        <w:sz w:val="48"/>
      </w:rPr>
      <w:tab/>
    </w:r>
    <w:r w:rsidR="006116D7">
      <w:fldChar w:fldCharType="begin"/>
    </w:r>
    <w:r w:rsidR="006116D7">
      <w:instrText xml:space="preserve"> DOCVARIABLE "LW_Confidence" \* MERGEFORMAT </w:instrText>
    </w:r>
    <w:r w:rsidR="006116D7">
      <w:fldChar w:fldCharType="separate"/>
    </w:r>
    <w:r>
      <w:t xml:space="preserve"> </w:t>
    </w:r>
    <w:r w:rsidR="006116D7">
      <w:fldChar w:fldCharType="end"/>
    </w:r>
    <w:r w:rsidRPr="00547FAA">
      <w:tab/>
    </w:r>
    <w:r w:rsidRPr="00547FAA">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6D7" w:rsidRDefault="006116D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48886"/>
      <w:docPartObj>
        <w:docPartGallery w:val="Page Numbers (Bottom of Page)"/>
        <w:docPartUnique/>
      </w:docPartObj>
    </w:sdtPr>
    <w:sdtEndPr>
      <w:rPr>
        <w:noProof/>
      </w:rPr>
    </w:sdtEndPr>
    <w:sdtContent>
      <w:p w:rsidR="006314EA" w:rsidRDefault="00544205">
        <w:pPr>
          <w:pStyle w:val="Footer"/>
          <w:jc w:val="center"/>
        </w:pPr>
        <w:r>
          <w:fldChar w:fldCharType="begin"/>
        </w:r>
        <w:r>
          <w:instrText xml:space="preserve"> PAGE   \* MERGEFORMAT </w:instrText>
        </w:r>
        <w:r>
          <w:fldChar w:fldCharType="separate"/>
        </w:r>
        <w:r w:rsidR="006116D7">
          <w:rPr>
            <w:noProof/>
          </w:rPr>
          <w:t>20</w:t>
        </w:r>
        <w:r>
          <w:rPr>
            <w:noProof/>
          </w:rPr>
          <w:fldChar w:fldCharType="end"/>
        </w:r>
      </w:p>
    </w:sdtContent>
  </w:sdt>
  <w:p w:rsidR="006314EA" w:rsidRDefault="006314E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4EA" w:rsidRDefault="00544205">
      <w:r>
        <w:separator/>
      </w:r>
    </w:p>
  </w:footnote>
  <w:footnote w:type="continuationSeparator" w:id="0">
    <w:p w:rsidR="006314EA" w:rsidRDefault="00544205">
      <w:r>
        <w:continuationSeparator/>
      </w:r>
    </w:p>
  </w:footnote>
  <w:footnote w:id="1">
    <w:p w:rsidR="00CF2D94" w:rsidRDefault="00CF2D94" w:rsidP="00CF2D94">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Article </w:t>
      </w:r>
      <w:r w:rsidRPr="00DB3EC6">
        <w:rPr>
          <w:rFonts w:ascii="Times New Roman" w:hAnsi="Times New Roman"/>
        </w:rPr>
        <w:t>72</w:t>
      </w:r>
      <w:r>
        <w:rPr>
          <w:rFonts w:ascii="Times New Roman" w:hAnsi="Times New Roman"/>
        </w:rPr>
        <w:t xml:space="preserve"> du TFUE.</w:t>
      </w:r>
    </w:p>
  </w:footnote>
  <w:footnote w:id="2">
    <w:p w:rsidR="00CF2D94" w:rsidRDefault="00CF2D94" w:rsidP="00CF2D94">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B3EC6">
        <w:rPr>
          <w:rFonts w:ascii="Times New Roman" w:hAnsi="Times New Roman"/>
        </w:rPr>
        <w:t>2015</w:t>
      </w:r>
      <w:r>
        <w:rPr>
          <w:rFonts w:ascii="Times New Roman" w:hAnsi="Times New Roman"/>
        </w:rPr>
        <w:t>) </w:t>
      </w:r>
      <w:r w:rsidRPr="00DB3EC6">
        <w:rPr>
          <w:rFonts w:ascii="Times New Roman" w:hAnsi="Times New Roman"/>
        </w:rPr>
        <w:t>185</w:t>
      </w:r>
      <w:r>
        <w:rPr>
          <w:rFonts w:ascii="Times New Roman" w:hAnsi="Times New Roman"/>
        </w:rPr>
        <w:t xml:space="preserve"> final du </w:t>
      </w:r>
      <w:r w:rsidRPr="00DB3EC6">
        <w:rPr>
          <w:rFonts w:ascii="Times New Roman" w:hAnsi="Times New Roman"/>
        </w:rPr>
        <w:t>28</w:t>
      </w:r>
      <w:r>
        <w:rPr>
          <w:rFonts w:ascii="Times New Roman" w:hAnsi="Times New Roman"/>
        </w:rPr>
        <w:t xml:space="preserve"> avril </w:t>
      </w:r>
      <w:r w:rsidRPr="00DB3EC6">
        <w:rPr>
          <w:rFonts w:ascii="Times New Roman" w:hAnsi="Times New Roman"/>
        </w:rPr>
        <w:t>2015</w:t>
      </w:r>
      <w:r>
        <w:rPr>
          <w:rFonts w:ascii="Times New Roman" w:hAnsi="Times New Roman"/>
        </w:rPr>
        <w:t>.</w:t>
      </w:r>
    </w:p>
  </w:footnote>
  <w:footnote w:id="3">
    <w:p w:rsidR="00CF2D94" w:rsidRDefault="00CF2D94" w:rsidP="00CF2D94">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Conclusions du Conseil européen du </w:t>
      </w:r>
      <w:r w:rsidRPr="00DB3EC6">
        <w:rPr>
          <w:rFonts w:ascii="Times New Roman" w:hAnsi="Times New Roman"/>
        </w:rPr>
        <w:t>26</w:t>
      </w:r>
      <w:r>
        <w:rPr>
          <w:rFonts w:ascii="Times New Roman" w:hAnsi="Times New Roman"/>
        </w:rPr>
        <w:t xml:space="preserve"> juin </w:t>
      </w:r>
      <w:r w:rsidRPr="00DB3EC6">
        <w:rPr>
          <w:rFonts w:ascii="Times New Roman" w:hAnsi="Times New Roman"/>
        </w:rPr>
        <w:t>2015</w:t>
      </w:r>
      <w:r>
        <w:rPr>
          <w:rFonts w:ascii="Times New Roman" w:hAnsi="Times New Roman"/>
        </w:rPr>
        <w:t xml:space="preserve">, EUCO </w:t>
      </w:r>
      <w:r w:rsidRPr="00DB3EC6">
        <w:rPr>
          <w:rFonts w:ascii="Times New Roman" w:hAnsi="Times New Roman"/>
        </w:rPr>
        <w:t>22</w:t>
      </w:r>
      <w:r>
        <w:rPr>
          <w:rFonts w:ascii="Times New Roman" w:hAnsi="Times New Roman"/>
        </w:rPr>
        <w:t>/</w:t>
      </w:r>
      <w:r w:rsidRPr="00DB3EC6">
        <w:rPr>
          <w:rFonts w:ascii="Times New Roman" w:hAnsi="Times New Roman"/>
        </w:rPr>
        <w:t>15</w:t>
      </w:r>
      <w:r>
        <w:rPr>
          <w:rFonts w:ascii="Times New Roman" w:hAnsi="Times New Roman"/>
        </w:rPr>
        <w:t>.</w:t>
      </w:r>
    </w:p>
  </w:footnote>
  <w:footnote w:id="4">
    <w:p w:rsidR="00CF2D94" w:rsidRDefault="00CF2D94" w:rsidP="00CF2D94">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Déclaration commune du </w:t>
      </w:r>
      <w:r w:rsidRPr="00DB3EC6">
        <w:rPr>
          <w:rFonts w:ascii="Times New Roman" w:hAnsi="Times New Roman"/>
        </w:rPr>
        <w:t>24</w:t>
      </w:r>
      <w:r>
        <w:rPr>
          <w:rFonts w:ascii="Times New Roman" w:hAnsi="Times New Roman"/>
        </w:rPr>
        <w:t xml:space="preserve"> mars </w:t>
      </w:r>
      <w:r w:rsidRPr="00DB3EC6">
        <w:rPr>
          <w:rFonts w:ascii="Times New Roman" w:hAnsi="Times New Roman"/>
        </w:rPr>
        <w:t>2016</w:t>
      </w:r>
      <w:r>
        <w:rPr>
          <w:rFonts w:ascii="Times New Roman" w:hAnsi="Times New Roman"/>
        </w:rPr>
        <w:t>.</w:t>
      </w:r>
    </w:p>
  </w:footnote>
  <w:footnote w:id="5">
    <w:p w:rsidR="00CF2D94" w:rsidRDefault="00CF2D94" w:rsidP="00CF2D94">
      <w:pPr>
        <w:pStyle w:val="FootnoteText"/>
        <w:ind w:left="284" w:hanging="284"/>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Article </w:t>
      </w:r>
      <w:r w:rsidRPr="00DB3EC6">
        <w:rPr>
          <w:rFonts w:ascii="Times New Roman" w:hAnsi="Times New Roman"/>
        </w:rPr>
        <w:t>67</w:t>
      </w:r>
      <w:r>
        <w:rPr>
          <w:rFonts w:ascii="Times New Roman" w:hAnsi="Times New Roman"/>
        </w:rPr>
        <w:t xml:space="preserve">, paragraphe </w:t>
      </w:r>
      <w:r w:rsidRPr="00DB3EC6">
        <w:rPr>
          <w:rFonts w:ascii="Times New Roman" w:hAnsi="Times New Roman"/>
        </w:rPr>
        <w:t>3</w:t>
      </w:r>
      <w:r>
        <w:rPr>
          <w:rFonts w:ascii="Times New Roman" w:hAnsi="Times New Roman"/>
        </w:rPr>
        <w:t>, du TFUE.</w:t>
      </w:r>
    </w:p>
  </w:footnote>
  <w:footnote w:id="6">
    <w:p w:rsidR="00CF2D94" w:rsidRDefault="00CF2D94" w:rsidP="00CF2D94">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rPr>
        <w:t xml:space="preserve">Sous réserve des dispositions particulières du protocole </w:t>
      </w:r>
      <w:r w:rsidRPr="00DB3EC6">
        <w:rPr>
          <w:rFonts w:ascii="Times New Roman" w:hAnsi="Times New Roman"/>
        </w:rPr>
        <w:t>22</w:t>
      </w:r>
      <w:r>
        <w:rPr>
          <w:rFonts w:ascii="Times New Roman" w:hAnsi="Times New Roman"/>
        </w:rPr>
        <w:t xml:space="preserve"> en ce qui concerne le Danemark, et des protocoles </w:t>
      </w:r>
      <w:r w:rsidRPr="00DB3EC6">
        <w:rPr>
          <w:rFonts w:ascii="Times New Roman" w:hAnsi="Times New Roman"/>
        </w:rPr>
        <w:t>21</w:t>
      </w:r>
      <w:r>
        <w:rPr>
          <w:rFonts w:ascii="Times New Roman" w:hAnsi="Times New Roman"/>
        </w:rPr>
        <w:t xml:space="preserve"> et </w:t>
      </w:r>
      <w:r w:rsidRPr="00DB3EC6">
        <w:rPr>
          <w:rFonts w:ascii="Times New Roman" w:hAnsi="Times New Roman"/>
        </w:rPr>
        <w:t>36</w:t>
      </w:r>
      <w:r>
        <w:rPr>
          <w:rFonts w:ascii="Times New Roman" w:hAnsi="Times New Roman"/>
        </w:rPr>
        <w:t xml:space="preserve"> en ce qui concerne le Royaume-Uni et l’Irlande, qui autorisent, mais n’obligent pas, ces deux États membres à choisir de participer à des initiatives dans le domaine de la liberté, de la sécurité et de la justice sans nuire à leur cohérence ni à leur applicabilité sur le plan pratique.</w:t>
      </w:r>
    </w:p>
  </w:footnote>
  <w:footnote w:id="7">
    <w:p w:rsidR="00CF2D94" w:rsidRDefault="00CF2D94" w:rsidP="00CF2D94">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http://europa.eu/rapid/press-release_MEMO-</w:t>
      </w:r>
      <w:r w:rsidRPr="00DB3EC6">
        <w:rPr>
          <w:rFonts w:ascii="Times New Roman" w:hAnsi="Times New Roman"/>
        </w:rPr>
        <w:t>16</w:t>
      </w:r>
      <w:r>
        <w:rPr>
          <w:rFonts w:ascii="Times New Roman" w:hAnsi="Times New Roman"/>
        </w:rPr>
        <w:t>-</w:t>
      </w:r>
      <w:r w:rsidRPr="00DB3EC6">
        <w:rPr>
          <w:rFonts w:ascii="Times New Roman" w:hAnsi="Times New Roman"/>
        </w:rPr>
        <w:t>1062</w:t>
      </w:r>
      <w:r>
        <w:rPr>
          <w:rFonts w:ascii="Times New Roman" w:hAnsi="Times New Roman"/>
        </w:rPr>
        <w:t>_en.htm.</w:t>
      </w:r>
    </w:p>
  </w:footnote>
  <w:footnote w:id="8">
    <w:p w:rsidR="00CF2D94" w:rsidRDefault="00CF2D94" w:rsidP="00CF2D94">
      <w:pPr>
        <w:pStyle w:val="FootnoteText"/>
        <w:ind w:left="284" w:hanging="284"/>
      </w:pPr>
      <w:r>
        <w:rPr>
          <w:rStyle w:val="FootnoteReference"/>
        </w:rPr>
        <w:footnoteRef/>
      </w:r>
      <w:r>
        <w:t xml:space="preserve"> </w:t>
      </w:r>
      <w:r>
        <w:tab/>
      </w:r>
      <w:r>
        <w:rPr>
          <w:rFonts w:ascii="Times New Roman" w:hAnsi="Times New Roman"/>
        </w:rPr>
        <w:t xml:space="preserve">Conclusions du Conseil de juin </w:t>
      </w:r>
      <w:r w:rsidRPr="00DB3EC6">
        <w:rPr>
          <w:rFonts w:ascii="Times New Roman" w:hAnsi="Times New Roman"/>
        </w:rPr>
        <w:t>2015</w:t>
      </w:r>
      <w:r>
        <w:rPr>
          <w:rFonts w:ascii="Times New Roman" w:hAnsi="Times New Roman"/>
        </w:rPr>
        <w:t xml:space="preserve">, </w:t>
      </w:r>
      <w:r w:rsidRPr="00DB3EC6">
        <w:rPr>
          <w:rFonts w:ascii="Times New Roman" w:hAnsi="Times New Roman"/>
        </w:rPr>
        <w:t>9798</w:t>
      </w:r>
      <w:r>
        <w:rPr>
          <w:rFonts w:ascii="Times New Roman" w:hAnsi="Times New Roman"/>
        </w:rPr>
        <w:t>/</w:t>
      </w:r>
      <w:r w:rsidRPr="00DB3EC6">
        <w:rPr>
          <w:rFonts w:ascii="Times New Roman" w:hAnsi="Times New Roman"/>
        </w:rPr>
        <w:t>15</w:t>
      </w:r>
      <w:r>
        <w:rPr>
          <w:rFonts w:ascii="Times New Roman" w:hAnsi="Times New Roman"/>
        </w:rPr>
        <w:t>.</w:t>
      </w:r>
    </w:p>
  </w:footnote>
  <w:footnote w:id="9">
    <w:p w:rsidR="00CF2D94" w:rsidRDefault="00CF2D94" w:rsidP="00CF2D94">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B3EC6">
        <w:rPr>
          <w:rFonts w:ascii="Times New Roman" w:hAnsi="Times New Roman"/>
        </w:rPr>
        <w:t>2015</w:t>
      </w:r>
      <w:r>
        <w:rPr>
          <w:rFonts w:ascii="Times New Roman" w:hAnsi="Times New Roman"/>
        </w:rPr>
        <w:t>) </w:t>
      </w:r>
      <w:r w:rsidRPr="00DB3EC6">
        <w:rPr>
          <w:rFonts w:ascii="Times New Roman" w:hAnsi="Times New Roman"/>
        </w:rPr>
        <w:t>624</w:t>
      </w:r>
      <w:r>
        <w:rPr>
          <w:rFonts w:ascii="Times New Roman" w:hAnsi="Times New Roman"/>
        </w:rPr>
        <w:t xml:space="preserve"> final du </w:t>
      </w:r>
      <w:r w:rsidRPr="00DB3EC6">
        <w:rPr>
          <w:rFonts w:ascii="Times New Roman" w:hAnsi="Times New Roman"/>
        </w:rPr>
        <w:t>2</w:t>
      </w:r>
      <w:r>
        <w:rPr>
          <w:rFonts w:ascii="Times New Roman" w:hAnsi="Times New Roman"/>
        </w:rPr>
        <w:t xml:space="preserve"> décembre </w:t>
      </w:r>
      <w:r w:rsidRPr="00DB3EC6">
        <w:rPr>
          <w:rFonts w:ascii="Times New Roman" w:hAnsi="Times New Roman"/>
        </w:rPr>
        <w:t>2015</w:t>
      </w:r>
      <w:r>
        <w:rPr>
          <w:rFonts w:ascii="Times New Roman" w:hAnsi="Times New Roman"/>
        </w:rPr>
        <w:t>.</w:t>
      </w:r>
    </w:p>
  </w:footnote>
  <w:footnote w:id="10">
    <w:p w:rsidR="00CF2D94" w:rsidRDefault="00CF2D94" w:rsidP="00CF2D94">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B3EC6">
        <w:rPr>
          <w:rFonts w:ascii="Times New Roman" w:hAnsi="Times New Roman"/>
        </w:rPr>
        <w:t>2016</w:t>
      </w:r>
      <w:r>
        <w:rPr>
          <w:rFonts w:ascii="Times New Roman" w:hAnsi="Times New Roman"/>
        </w:rPr>
        <w:t>) </w:t>
      </w:r>
      <w:r w:rsidRPr="00DB3EC6">
        <w:rPr>
          <w:rFonts w:ascii="Times New Roman" w:hAnsi="Times New Roman"/>
        </w:rPr>
        <w:t>50</w:t>
      </w:r>
      <w:r>
        <w:rPr>
          <w:rFonts w:ascii="Times New Roman" w:hAnsi="Times New Roman"/>
        </w:rPr>
        <w:t xml:space="preserve"> final du </w:t>
      </w:r>
      <w:r w:rsidRPr="00DB3EC6">
        <w:rPr>
          <w:rFonts w:ascii="Times New Roman" w:hAnsi="Times New Roman"/>
        </w:rPr>
        <w:t>2</w:t>
      </w:r>
      <w:r>
        <w:rPr>
          <w:rFonts w:ascii="Times New Roman" w:hAnsi="Times New Roman"/>
        </w:rPr>
        <w:t xml:space="preserve"> février </w:t>
      </w:r>
      <w:r w:rsidRPr="00DB3EC6">
        <w:rPr>
          <w:rFonts w:ascii="Times New Roman" w:hAnsi="Times New Roman"/>
        </w:rPr>
        <w:t>2016</w:t>
      </w:r>
      <w:r>
        <w:rPr>
          <w:rFonts w:ascii="Times New Roman" w:hAnsi="Times New Roman"/>
        </w:rPr>
        <w:t>.</w:t>
      </w:r>
    </w:p>
  </w:footnote>
  <w:footnote w:id="11">
    <w:p w:rsidR="00CF2D94" w:rsidRDefault="00CF2D94" w:rsidP="00CF2D94">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B3EC6">
        <w:rPr>
          <w:rFonts w:ascii="Times New Roman" w:hAnsi="Times New Roman"/>
        </w:rPr>
        <w:t>2016</w:t>
      </w:r>
      <w:r>
        <w:rPr>
          <w:rFonts w:ascii="Times New Roman" w:hAnsi="Times New Roman"/>
        </w:rPr>
        <w:t>) </w:t>
      </w:r>
      <w:r w:rsidRPr="00DB3EC6">
        <w:rPr>
          <w:rFonts w:ascii="Times New Roman" w:hAnsi="Times New Roman"/>
        </w:rPr>
        <w:t>205</w:t>
      </w:r>
      <w:r>
        <w:rPr>
          <w:rFonts w:ascii="Times New Roman" w:hAnsi="Times New Roman"/>
        </w:rPr>
        <w:t xml:space="preserve"> final du </w:t>
      </w:r>
      <w:r w:rsidRPr="00DB3EC6">
        <w:rPr>
          <w:rFonts w:ascii="Times New Roman" w:hAnsi="Times New Roman"/>
        </w:rPr>
        <w:t>6</w:t>
      </w:r>
      <w:r>
        <w:rPr>
          <w:rFonts w:ascii="Times New Roman" w:hAnsi="Times New Roman"/>
        </w:rPr>
        <w:t xml:space="preserve"> avril </w:t>
      </w:r>
      <w:r w:rsidRPr="00DB3EC6">
        <w:rPr>
          <w:rFonts w:ascii="Times New Roman" w:hAnsi="Times New Roman"/>
        </w:rPr>
        <w:t>2016</w:t>
      </w:r>
      <w:r>
        <w:rPr>
          <w:rFonts w:ascii="Times New Roman" w:hAnsi="Times New Roman"/>
        </w:rPr>
        <w:t>.</w:t>
      </w:r>
    </w:p>
  </w:footnote>
  <w:footnote w:id="12">
    <w:p w:rsidR="00CF2D94" w:rsidRDefault="00CF2D94" w:rsidP="00CF2D94">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http://icct.nl/wp-content/uploads/</w:t>
      </w:r>
      <w:r w:rsidRPr="00DB3EC6">
        <w:rPr>
          <w:rFonts w:ascii="Times New Roman" w:hAnsi="Times New Roman"/>
        </w:rPr>
        <w:t>2016</w:t>
      </w:r>
      <w:r>
        <w:rPr>
          <w:rFonts w:ascii="Times New Roman" w:hAnsi="Times New Roman"/>
        </w:rPr>
        <w:t>/</w:t>
      </w:r>
      <w:r w:rsidRPr="00DB3EC6">
        <w:rPr>
          <w:rFonts w:ascii="Times New Roman" w:hAnsi="Times New Roman"/>
        </w:rPr>
        <w:t>03</w:t>
      </w:r>
      <w:r>
        <w:rPr>
          <w:rFonts w:ascii="Times New Roman" w:hAnsi="Times New Roman"/>
        </w:rPr>
        <w:t>/ICCT-Report_Foreign-Fighters-Phenomenon-in-the-EU_</w:t>
      </w:r>
      <w:r w:rsidRPr="00DB3EC6">
        <w:rPr>
          <w:rFonts w:ascii="Times New Roman" w:hAnsi="Times New Roman"/>
        </w:rPr>
        <w:t>1</w:t>
      </w:r>
      <w:r>
        <w:rPr>
          <w:rFonts w:ascii="Times New Roman" w:hAnsi="Times New Roman"/>
        </w:rPr>
        <w:t>-April-</w:t>
      </w:r>
      <w:r w:rsidRPr="00DB3EC6">
        <w:rPr>
          <w:rFonts w:ascii="Times New Roman" w:hAnsi="Times New Roman"/>
        </w:rPr>
        <w:t>2016</w:t>
      </w:r>
      <w:r>
        <w:rPr>
          <w:rFonts w:ascii="Times New Roman" w:hAnsi="Times New Roman"/>
        </w:rPr>
        <w:t>_including-AnnexesLinks.pdf.</w:t>
      </w:r>
    </w:p>
  </w:footnote>
  <w:footnote w:id="13">
    <w:p w:rsidR="00CF2D94" w:rsidRDefault="00CF2D94" w:rsidP="00CF2D94">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Voir aussi le point </w:t>
      </w:r>
      <w:r w:rsidRPr="00DB3EC6">
        <w:rPr>
          <w:rFonts w:ascii="Times New Roman" w:hAnsi="Times New Roman"/>
        </w:rPr>
        <w:t>4</w:t>
      </w:r>
      <w:r>
        <w:rPr>
          <w:rFonts w:ascii="Times New Roman" w:hAnsi="Times New Roman"/>
        </w:rPr>
        <w:t xml:space="preserve"> ci-dessous.</w:t>
      </w:r>
    </w:p>
  </w:footnote>
  <w:footnote w:id="14">
    <w:p w:rsidR="00CF2D94" w:rsidRDefault="00CF2D94" w:rsidP="00CF2D94">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Les indicateurs ont été définis en étroite collaboration avec des experts nationaux, le SEAE, les agences de l’UE et Interpol.</w:t>
      </w:r>
    </w:p>
  </w:footnote>
  <w:footnote w:id="15">
    <w:p w:rsidR="00CF2D94" w:rsidRDefault="00CF2D94" w:rsidP="00CF2D94">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B3EC6">
        <w:rPr>
          <w:rFonts w:ascii="Times New Roman" w:hAnsi="Times New Roman"/>
        </w:rPr>
        <w:t>2015</w:t>
      </w:r>
      <w:r>
        <w:rPr>
          <w:rFonts w:ascii="Times New Roman" w:hAnsi="Times New Roman"/>
        </w:rPr>
        <w:t>) </w:t>
      </w:r>
      <w:r w:rsidRPr="00DB3EC6">
        <w:rPr>
          <w:rFonts w:ascii="Times New Roman" w:hAnsi="Times New Roman"/>
        </w:rPr>
        <w:t>671</w:t>
      </w:r>
      <w:r>
        <w:rPr>
          <w:rFonts w:ascii="Times New Roman" w:hAnsi="Times New Roman"/>
        </w:rPr>
        <w:t xml:space="preserve"> final du </w:t>
      </w:r>
      <w:r w:rsidRPr="00DB3EC6">
        <w:rPr>
          <w:rFonts w:ascii="Times New Roman" w:hAnsi="Times New Roman"/>
        </w:rPr>
        <w:t>15</w:t>
      </w:r>
      <w:r>
        <w:rPr>
          <w:rFonts w:ascii="Times New Roman" w:hAnsi="Times New Roman"/>
        </w:rPr>
        <w:t xml:space="preserve"> décembre </w:t>
      </w:r>
      <w:r w:rsidRPr="00DB3EC6">
        <w:rPr>
          <w:rFonts w:ascii="Times New Roman" w:hAnsi="Times New Roman"/>
        </w:rPr>
        <w:t>2015</w:t>
      </w:r>
      <w:r>
        <w:rPr>
          <w:rFonts w:ascii="Times New Roman" w:hAnsi="Times New Roman"/>
        </w:rPr>
        <w:t>.</w:t>
      </w:r>
    </w:p>
  </w:footnote>
  <w:footnote w:id="16">
    <w:p w:rsidR="00CF2D94" w:rsidRDefault="00CF2D94" w:rsidP="00CF2D94">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B3EC6">
        <w:rPr>
          <w:rFonts w:ascii="Times New Roman" w:hAnsi="Times New Roman"/>
        </w:rPr>
        <w:t>2015</w:t>
      </w:r>
      <w:r>
        <w:rPr>
          <w:rFonts w:ascii="Times New Roman" w:hAnsi="Times New Roman"/>
        </w:rPr>
        <w:t>) </w:t>
      </w:r>
      <w:r w:rsidRPr="00DB3EC6">
        <w:rPr>
          <w:rFonts w:ascii="Times New Roman" w:hAnsi="Times New Roman"/>
        </w:rPr>
        <w:t>670</w:t>
      </w:r>
      <w:r>
        <w:rPr>
          <w:rFonts w:ascii="Times New Roman" w:hAnsi="Times New Roman"/>
        </w:rPr>
        <w:t xml:space="preserve"> final du </w:t>
      </w:r>
      <w:r w:rsidRPr="00DB3EC6">
        <w:rPr>
          <w:rFonts w:ascii="Times New Roman" w:hAnsi="Times New Roman"/>
        </w:rPr>
        <w:t>15</w:t>
      </w:r>
      <w:r>
        <w:rPr>
          <w:rFonts w:ascii="Times New Roman" w:hAnsi="Times New Roman"/>
        </w:rPr>
        <w:t xml:space="preserve"> décembre </w:t>
      </w:r>
      <w:r w:rsidRPr="00DB3EC6">
        <w:rPr>
          <w:rFonts w:ascii="Times New Roman" w:hAnsi="Times New Roman"/>
        </w:rPr>
        <w:t>2015</w:t>
      </w:r>
      <w:r>
        <w:rPr>
          <w:rFonts w:ascii="Times New Roman" w:hAnsi="Times New Roman"/>
        </w:rPr>
        <w:t>.</w:t>
      </w:r>
    </w:p>
  </w:footnote>
  <w:footnote w:id="17">
    <w:p w:rsidR="00CF2D94" w:rsidRPr="00547FAA" w:rsidRDefault="00CF2D94" w:rsidP="00CF2D94">
      <w:pPr>
        <w:pStyle w:val="FootnoteText"/>
        <w:ind w:left="284" w:hanging="284"/>
        <w:jc w:val="both"/>
        <w:rPr>
          <w:lang w:val="fr-FR"/>
        </w:rPr>
      </w:pPr>
      <w:r>
        <w:rPr>
          <w:rStyle w:val="FootnoteReference"/>
          <w:rFonts w:ascii="Times New Roman" w:hAnsi="Times New Roman"/>
        </w:rPr>
        <w:footnoteRef/>
      </w:r>
      <w:r>
        <w:rPr>
          <w:rFonts w:ascii="Times New Roman" w:hAnsi="Times New Roman"/>
        </w:rPr>
        <w:t xml:space="preserve"> </w:t>
      </w:r>
      <w:r w:rsidRPr="00547FAA">
        <w:rPr>
          <w:lang w:val="fr-FR"/>
        </w:rPr>
        <w:tab/>
      </w:r>
      <w:r w:rsidRPr="00547FAA">
        <w:rPr>
          <w:rFonts w:ascii="Times New Roman" w:hAnsi="Times New Roman"/>
          <w:lang w:val="fr-FR"/>
        </w:rPr>
        <w:t xml:space="preserve">Dans le contexte des centres d’enregistrement et de la relocalisation, trois types de contrôles de sécurité différents sont effectués: </w:t>
      </w:r>
      <w:r w:rsidRPr="00DB3EC6">
        <w:rPr>
          <w:rFonts w:ascii="Times New Roman" w:hAnsi="Times New Roman"/>
          <w:lang w:val="fr-FR"/>
        </w:rPr>
        <w:t>1</w:t>
      </w:r>
      <w:r w:rsidRPr="00547FAA">
        <w:rPr>
          <w:rFonts w:ascii="Times New Roman" w:hAnsi="Times New Roman"/>
          <w:lang w:val="fr-FR"/>
        </w:rPr>
        <w:t xml:space="preserve">) des contrôles physiques des personnes et de leurs effets personnels, </w:t>
      </w:r>
      <w:r w:rsidRPr="00DB3EC6">
        <w:rPr>
          <w:rFonts w:ascii="Times New Roman" w:hAnsi="Times New Roman"/>
          <w:lang w:val="fr-FR"/>
        </w:rPr>
        <w:t>2</w:t>
      </w:r>
      <w:r w:rsidRPr="00547FAA">
        <w:rPr>
          <w:rFonts w:ascii="Times New Roman" w:hAnsi="Times New Roman"/>
          <w:lang w:val="fr-FR"/>
        </w:rPr>
        <w:t xml:space="preserve">) des vérifications dans diverses bases de données nationales et internationales (en particulier le système d’information Schengen et la base de données SLTD d’Interpol) et </w:t>
      </w:r>
      <w:r w:rsidRPr="00DB3EC6">
        <w:rPr>
          <w:rFonts w:ascii="Times New Roman" w:hAnsi="Times New Roman"/>
          <w:lang w:val="fr-FR"/>
        </w:rPr>
        <w:t>3</w:t>
      </w:r>
      <w:r w:rsidRPr="00547FAA">
        <w:rPr>
          <w:rFonts w:ascii="Times New Roman" w:hAnsi="Times New Roman"/>
          <w:lang w:val="fr-FR"/>
        </w:rPr>
        <w:t>) lorsque des éléments tendent à indiquer l’existence de motifs d’exclusion ou d’une menace pour la sécurité et l’ordre public, les demandeurs d’asile concernés peuvent faire l’objet de vérifications secondaires dans des bases de données, au moyen d’entretiens, ainsi que sur l’internet et dans les médias sociaux.</w:t>
      </w:r>
    </w:p>
  </w:footnote>
  <w:footnote w:id="18">
    <w:p w:rsidR="00CF2D94" w:rsidRPr="00547FAA" w:rsidRDefault="00CF2D94" w:rsidP="00CF2D94">
      <w:pPr>
        <w:pStyle w:val="FootnoteText"/>
        <w:ind w:left="284" w:hanging="284"/>
        <w:jc w:val="both"/>
        <w:rPr>
          <w:rFonts w:ascii="Times New Roman" w:hAnsi="Times New Roman" w:cs="Times New Roman"/>
          <w:lang w:val="fr-FR"/>
        </w:rPr>
      </w:pPr>
      <w:r w:rsidRPr="00547FAA">
        <w:rPr>
          <w:rStyle w:val="FootnoteReference"/>
          <w:rFonts w:ascii="Times New Roman" w:hAnsi="Times New Roman"/>
          <w:lang w:val="fr-FR"/>
        </w:rPr>
        <w:footnoteRef/>
      </w:r>
      <w:r w:rsidRPr="00547FAA">
        <w:rPr>
          <w:rFonts w:ascii="Times New Roman" w:hAnsi="Times New Roman"/>
          <w:lang w:val="fr-FR"/>
        </w:rPr>
        <w:t xml:space="preserve"> </w:t>
      </w:r>
      <w:r w:rsidRPr="00547FAA">
        <w:rPr>
          <w:lang w:val="fr-FR"/>
        </w:rPr>
        <w:tab/>
      </w:r>
      <w:r w:rsidRPr="00547FAA">
        <w:rPr>
          <w:rFonts w:ascii="Times New Roman" w:hAnsi="Times New Roman"/>
          <w:lang w:val="fr-FR"/>
        </w:rPr>
        <w:t>COM(</w:t>
      </w:r>
      <w:r w:rsidRPr="00DB3EC6">
        <w:rPr>
          <w:rFonts w:ascii="Times New Roman" w:hAnsi="Times New Roman"/>
          <w:lang w:val="fr-FR"/>
        </w:rPr>
        <w:t>2015</w:t>
      </w:r>
      <w:r w:rsidRPr="00547FAA">
        <w:rPr>
          <w:rFonts w:ascii="Times New Roman" w:hAnsi="Times New Roman"/>
          <w:lang w:val="fr-FR"/>
        </w:rPr>
        <w:t>) </w:t>
      </w:r>
      <w:r w:rsidRPr="00DB3EC6">
        <w:rPr>
          <w:rFonts w:ascii="Times New Roman" w:hAnsi="Times New Roman"/>
          <w:lang w:val="fr-FR"/>
        </w:rPr>
        <w:t>625</w:t>
      </w:r>
      <w:r w:rsidRPr="00547FAA">
        <w:rPr>
          <w:rFonts w:ascii="Times New Roman" w:hAnsi="Times New Roman"/>
          <w:lang w:val="fr-FR"/>
        </w:rPr>
        <w:t xml:space="preserve"> final du </w:t>
      </w:r>
      <w:r w:rsidRPr="00DB3EC6">
        <w:rPr>
          <w:rFonts w:ascii="Times New Roman" w:hAnsi="Times New Roman"/>
          <w:lang w:val="fr-FR"/>
        </w:rPr>
        <w:t>2</w:t>
      </w:r>
      <w:r w:rsidRPr="00547FAA">
        <w:rPr>
          <w:rFonts w:ascii="Times New Roman" w:hAnsi="Times New Roman"/>
          <w:lang w:val="fr-FR"/>
        </w:rPr>
        <w:t xml:space="preserve"> décembre </w:t>
      </w:r>
      <w:r w:rsidRPr="00DB3EC6">
        <w:rPr>
          <w:rFonts w:ascii="Times New Roman" w:hAnsi="Times New Roman"/>
          <w:lang w:val="fr-FR"/>
        </w:rPr>
        <w:t>2015</w:t>
      </w:r>
      <w:r w:rsidRPr="00547FAA">
        <w:rPr>
          <w:rFonts w:ascii="Times New Roman" w:hAnsi="Times New Roman"/>
          <w:lang w:val="fr-FR"/>
        </w:rPr>
        <w:t>.</w:t>
      </w:r>
    </w:p>
  </w:footnote>
  <w:footnote w:id="19">
    <w:p w:rsidR="00CF2D94" w:rsidRPr="00547FAA" w:rsidRDefault="00CF2D94" w:rsidP="00CF2D94">
      <w:pPr>
        <w:pStyle w:val="FootnoteText"/>
        <w:ind w:left="284" w:hanging="284"/>
        <w:jc w:val="both"/>
        <w:rPr>
          <w:lang w:val="fr-FR"/>
        </w:rPr>
      </w:pPr>
      <w:r w:rsidRPr="00547FAA">
        <w:rPr>
          <w:rStyle w:val="FootnoteReference"/>
          <w:rFonts w:ascii="Times New Roman" w:hAnsi="Times New Roman"/>
          <w:lang w:val="fr-FR"/>
        </w:rPr>
        <w:footnoteRef/>
      </w:r>
      <w:r w:rsidRPr="00547FAA">
        <w:rPr>
          <w:rFonts w:ascii="Times New Roman" w:hAnsi="Times New Roman"/>
          <w:lang w:val="fr-FR"/>
        </w:rPr>
        <w:t xml:space="preserve"> </w:t>
      </w:r>
      <w:r w:rsidRPr="00547FAA">
        <w:rPr>
          <w:lang w:val="fr-FR"/>
        </w:rPr>
        <w:tab/>
      </w:r>
      <w:r w:rsidRPr="00547FAA">
        <w:rPr>
          <w:rFonts w:ascii="Times New Roman" w:hAnsi="Times New Roman"/>
          <w:lang w:val="fr-FR"/>
        </w:rPr>
        <w:t>Conformément, notamment, aux résolutions du Conseil de sécurité des Nations unies et à la convention du Conseil de l’Europe pour la prévention du terrorisme.</w:t>
      </w:r>
    </w:p>
  </w:footnote>
  <w:footnote w:id="20">
    <w:p w:rsidR="00CF2D94" w:rsidRPr="00547FAA" w:rsidRDefault="00CF2D94" w:rsidP="00CF2D94">
      <w:pPr>
        <w:pStyle w:val="FootnoteText"/>
        <w:ind w:left="284" w:hanging="284"/>
        <w:jc w:val="both"/>
        <w:rPr>
          <w:rFonts w:ascii="Times New Roman" w:hAnsi="Times New Roman" w:cs="Times New Roman"/>
          <w:lang w:val="fr-FR"/>
        </w:rPr>
      </w:pPr>
      <w:r w:rsidRPr="00547FAA">
        <w:rPr>
          <w:rStyle w:val="FootnoteReference"/>
          <w:rFonts w:ascii="Times New Roman" w:hAnsi="Times New Roman"/>
          <w:lang w:val="fr-FR"/>
        </w:rPr>
        <w:footnoteRef/>
      </w:r>
      <w:r w:rsidRPr="00547FAA">
        <w:rPr>
          <w:rFonts w:ascii="Times New Roman" w:hAnsi="Times New Roman"/>
          <w:lang w:val="fr-FR"/>
        </w:rPr>
        <w:t xml:space="preserve"> </w:t>
      </w:r>
      <w:r w:rsidRPr="00547FAA">
        <w:rPr>
          <w:lang w:val="fr-FR"/>
        </w:rPr>
        <w:tab/>
      </w:r>
      <w:r w:rsidRPr="00547FAA">
        <w:rPr>
          <w:rFonts w:ascii="Times New Roman" w:hAnsi="Times New Roman"/>
          <w:lang w:val="fr-FR"/>
        </w:rPr>
        <w:t>L’utilisation de ces données ne vise pas seulement à s’attaquer au problème des combattants terroristes étrangers. Toutefois, elle présente un intérêt particulier dans ce contexte.</w:t>
      </w:r>
    </w:p>
  </w:footnote>
  <w:footnote w:id="21">
    <w:p w:rsidR="00CF2D94" w:rsidRDefault="00CF2D94" w:rsidP="00CF2D94">
      <w:pPr>
        <w:pStyle w:val="FootnoteText"/>
        <w:ind w:left="284" w:hanging="284"/>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 xml:space="preserve">Conclusions du Conseil du </w:t>
      </w:r>
      <w:r w:rsidRPr="00DB3EC6">
        <w:rPr>
          <w:rFonts w:ascii="Times New Roman" w:hAnsi="Times New Roman"/>
        </w:rPr>
        <w:t>20</w:t>
      </w:r>
      <w:r>
        <w:rPr>
          <w:rFonts w:ascii="Times New Roman" w:hAnsi="Times New Roman"/>
        </w:rPr>
        <w:t xml:space="preserve"> novembre </w:t>
      </w:r>
      <w:r w:rsidRPr="00DB3EC6">
        <w:rPr>
          <w:rFonts w:ascii="Times New Roman" w:hAnsi="Times New Roman"/>
        </w:rPr>
        <w:t>2015</w:t>
      </w:r>
      <w:r>
        <w:rPr>
          <w:rFonts w:ascii="Times New Roman" w:hAnsi="Times New Roman"/>
        </w:rPr>
        <w:t>,</w:t>
      </w:r>
      <w:r>
        <w:t xml:space="preserve"> </w:t>
      </w:r>
      <w:r w:rsidRPr="00DB3EC6">
        <w:rPr>
          <w:rFonts w:ascii="Times New Roman" w:hAnsi="Times New Roman"/>
        </w:rPr>
        <w:t>845</w:t>
      </w:r>
      <w:r>
        <w:rPr>
          <w:rFonts w:ascii="Times New Roman" w:hAnsi="Times New Roman"/>
        </w:rPr>
        <w:t>/</w:t>
      </w:r>
      <w:r w:rsidRPr="00DB3EC6">
        <w:rPr>
          <w:rFonts w:ascii="Times New Roman" w:hAnsi="Times New Roman"/>
        </w:rPr>
        <w:t>15</w:t>
      </w:r>
      <w:r>
        <w:rPr>
          <w:rFonts w:ascii="Times New Roman" w:hAnsi="Times New Roman"/>
        </w:rPr>
        <w:t>.</w:t>
      </w:r>
    </w:p>
  </w:footnote>
  <w:footnote w:id="22">
    <w:p w:rsidR="00A17F22" w:rsidRDefault="00A17F22" w:rsidP="00A17F22">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Décision-cadre </w:t>
      </w:r>
      <w:r w:rsidRPr="00DB3EC6">
        <w:rPr>
          <w:rFonts w:ascii="Times New Roman" w:hAnsi="Times New Roman"/>
        </w:rPr>
        <w:t>2002</w:t>
      </w:r>
      <w:r>
        <w:rPr>
          <w:rFonts w:ascii="Times New Roman" w:hAnsi="Times New Roman"/>
        </w:rPr>
        <w:t>/</w:t>
      </w:r>
      <w:r w:rsidRPr="00DB3EC6">
        <w:rPr>
          <w:rFonts w:ascii="Times New Roman" w:hAnsi="Times New Roman"/>
        </w:rPr>
        <w:t>475</w:t>
      </w:r>
      <w:r>
        <w:rPr>
          <w:rFonts w:ascii="Times New Roman" w:hAnsi="Times New Roman"/>
        </w:rPr>
        <w:t xml:space="preserve">/JAI relative à la lutte contre le terrorisme, modifiée par la décision-cadre </w:t>
      </w:r>
      <w:r w:rsidRPr="00DB3EC6">
        <w:rPr>
          <w:rFonts w:ascii="Times New Roman" w:hAnsi="Times New Roman"/>
        </w:rPr>
        <w:t>2008</w:t>
      </w:r>
      <w:r>
        <w:rPr>
          <w:rFonts w:ascii="Times New Roman" w:hAnsi="Times New Roman"/>
        </w:rPr>
        <w:t>/</w:t>
      </w:r>
      <w:r w:rsidRPr="00DB3EC6">
        <w:rPr>
          <w:rFonts w:ascii="Times New Roman" w:hAnsi="Times New Roman"/>
        </w:rPr>
        <w:t>919</w:t>
      </w:r>
      <w:r>
        <w:rPr>
          <w:rFonts w:ascii="Times New Roman" w:hAnsi="Times New Roman"/>
        </w:rPr>
        <w:t>/JAI relative à la lutte contre le terrorisme.</w:t>
      </w:r>
    </w:p>
  </w:footnote>
  <w:footnote w:id="23">
    <w:p w:rsidR="00A17F22" w:rsidRDefault="00A17F22" w:rsidP="00A17F22">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aussi la section </w:t>
      </w:r>
      <w:r w:rsidRPr="00DB3EC6">
        <w:rPr>
          <w:rFonts w:ascii="Times New Roman" w:hAnsi="Times New Roman"/>
        </w:rPr>
        <w:t>1</w:t>
      </w:r>
      <w:r>
        <w:rPr>
          <w:rFonts w:ascii="Times New Roman" w:hAnsi="Times New Roman"/>
        </w:rPr>
        <w:t xml:space="preserve"> ci-dessus.</w:t>
      </w:r>
    </w:p>
  </w:footnote>
  <w:footnote w:id="24">
    <w:p w:rsidR="00A17F22" w:rsidRDefault="00A17F22" w:rsidP="00A17F22">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http://www.consilium.europa.eu/fr/press/press-releases/</w:t>
      </w:r>
      <w:r w:rsidRPr="00DB3EC6">
        <w:rPr>
          <w:rFonts w:ascii="Times New Roman" w:hAnsi="Times New Roman"/>
        </w:rPr>
        <w:t>2016</w:t>
      </w:r>
      <w:r>
        <w:rPr>
          <w:rFonts w:ascii="Times New Roman" w:hAnsi="Times New Roman"/>
        </w:rPr>
        <w:t>/</w:t>
      </w:r>
      <w:r w:rsidRPr="00DB3EC6">
        <w:rPr>
          <w:rFonts w:ascii="Times New Roman" w:hAnsi="Times New Roman"/>
        </w:rPr>
        <w:t>03</w:t>
      </w:r>
      <w:r>
        <w:rPr>
          <w:rFonts w:ascii="Times New Roman" w:hAnsi="Times New Roman"/>
        </w:rPr>
        <w:t>/</w:t>
      </w:r>
      <w:r w:rsidRPr="00DB3EC6">
        <w:rPr>
          <w:rFonts w:ascii="Times New Roman" w:hAnsi="Times New Roman"/>
        </w:rPr>
        <w:t>24</w:t>
      </w:r>
      <w:r>
        <w:rPr>
          <w:rFonts w:ascii="Times New Roman" w:hAnsi="Times New Roman"/>
        </w:rPr>
        <w:t>-statement-on-terrorist-attacks-in-brussels-on-</w:t>
      </w:r>
      <w:r w:rsidRPr="00DB3EC6">
        <w:rPr>
          <w:rFonts w:ascii="Times New Roman" w:hAnsi="Times New Roman"/>
        </w:rPr>
        <w:t>22</w:t>
      </w:r>
      <w:r>
        <w:rPr>
          <w:rFonts w:ascii="Times New Roman" w:hAnsi="Times New Roman"/>
        </w:rPr>
        <w:t>-march.</w:t>
      </w:r>
    </w:p>
  </w:footnote>
  <w:footnote w:id="25">
    <w:p w:rsidR="00A17F22" w:rsidRDefault="00A17F22" w:rsidP="00A17F22">
      <w:pPr>
        <w:pStyle w:val="FootnoteText"/>
        <w:ind w:left="284" w:hanging="284"/>
        <w:jc w:val="both"/>
      </w:pPr>
      <w:r>
        <w:rPr>
          <w:rStyle w:val="FootnoteReference"/>
          <w:rFonts w:ascii="Times New Roman" w:hAnsi="Times New Roman"/>
        </w:rPr>
        <w:footnoteRef/>
      </w:r>
      <w:r>
        <w:tab/>
      </w:r>
      <w:r>
        <w:rPr>
          <w:rStyle w:val="FootnoteReference"/>
          <w:rFonts w:ascii="Times New Roman" w:hAnsi="Times New Roman"/>
        </w:rPr>
        <w:footnoteRef/>
      </w:r>
      <w:r>
        <w:rPr>
          <w:rFonts w:ascii="Times New Roman" w:hAnsi="Times New Roman"/>
        </w:rPr>
        <w:t xml:space="preserve">La Commission a proposé de renforcer le Centre européen de la lutte contre le terrorisme en créant </w:t>
      </w:r>
      <w:r w:rsidRPr="00DB3EC6">
        <w:rPr>
          <w:rFonts w:ascii="Times New Roman" w:hAnsi="Times New Roman"/>
        </w:rPr>
        <w:t>25</w:t>
      </w:r>
      <w:r>
        <w:rPr>
          <w:rFonts w:ascii="Times New Roman" w:hAnsi="Times New Roman"/>
        </w:rPr>
        <w:t xml:space="preserve"> postes spécifiques, en engageant </w:t>
      </w:r>
      <w:r w:rsidRPr="00DB3EC6">
        <w:rPr>
          <w:rFonts w:ascii="Times New Roman" w:hAnsi="Times New Roman"/>
        </w:rPr>
        <w:t>10</w:t>
      </w:r>
      <w:r>
        <w:rPr>
          <w:rFonts w:ascii="Times New Roman" w:hAnsi="Times New Roman"/>
        </w:rPr>
        <w:t xml:space="preserve"> agents externes et en affectant les crédits nécessaires à la lutte contre le terrorisme en </w:t>
      </w:r>
      <w:r w:rsidRPr="00DB3EC6">
        <w:rPr>
          <w:rFonts w:ascii="Times New Roman" w:hAnsi="Times New Roman"/>
        </w:rPr>
        <w:t>2016</w:t>
      </w:r>
      <w:r>
        <w:rPr>
          <w:rFonts w:ascii="Times New Roman" w:hAnsi="Times New Roman"/>
        </w:rPr>
        <w:t xml:space="preserve">, ce qui a été autorisé dans le budget rectificatif adopté le </w:t>
      </w:r>
      <w:r w:rsidRPr="00DB3EC6">
        <w:rPr>
          <w:rFonts w:ascii="Times New Roman" w:hAnsi="Times New Roman"/>
        </w:rPr>
        <w:t>13</w:t>
      </w:r>
      <w:r>
        <w:rPr>
          <w:rFonts w:ascii="Times New Roman" w:hAnsi="Times New Roman"/>
        </w:rPr>
        <w:t xml:space="preserve"> avril </w:t>
      </w:r>
      <w:r w:rsidRPr="00DB3EC6">
        <w:rPr>
          <w:rFonts w:ascii="Times New Roman" w:hAnsi="Times New Roman"/>
        </w:rPr>
        <w:t>2016</w:t>
      </w:r>
      <w:r>
        <w:rPr>
          <w:rFonts w:ascii="Times New Roman" w:hAnsi="Times New Roman"/>
        </w:rPr>
        <w:t>.</w:t>
      </w:r>
    </w:p>
  </w:footnote>
  <w:footnote w:id="26">
    <w:p w:rsidR="00A17F22" w:rsidRDefault="00A17F22" w:rsidP="00A17F22">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http://www.consilium.europa.eu/fr/press/press-releases/</w:t>
      </w:r>
      <w:r w:rsidRPr="00DB3EC6">
        <w:rPr>
          <w:rFonts w:ascii="Times New Roman" w:hAnsi="Times New Roman"/>
        </w:rPr>
        <w:t>2016</w:t>
      </w:r>
      <w:r>
        <w:rPr>
          <w:rFonts w:ascii="Times New Roman" w:hAnsi="Times New Roman"/>
        </w:rPr>
        <w:t>/</w:t>
      </w:r>
      <w:r w:rsidRPr="00DB3EC6">
        <w:rPr>
          <w:rFonts w:ascii="Times New Roman" w:hAnsi="Times New Roman"/>
        </w:rPr>
        <w:t>03</w:t>
      </w:r>
      <w:r>
        <w:rPr>
          <w:rFonts w:ascii="Times New Roman" w:hAnsi="Times New Roman"/>
        </w:rPr>
        <w:t>/</w:t>
      </w:r>
      <w:r w:rsidRPr="00DB3EC6">
        <w:rPr>
          <w:rFonts w:ascii="Times New Roman" w:hAnsi="Times New Roman"/>
        </w:rPr>
        <w:t>24</w:t>
      </w:r>
      <w:r>
        <w:rPr>
          <w:rFonts w:ascii="Times New Roman" w:hAnsi="Times New Roman"/>
        </w:rPr>
        <w:t>-statement-on-terrorist-attacks-in-brussels-on-</w:t>
      </w:r>
      <w:r w:rsidRPr="00DB3EC6">
        <w:rPr>
          <w:rFonts w:ascii="Times New Roman" w:hAnsi="Times New Roman"/>
        </w:rPr>
        <w:t>22</w:t>
      </w:r>
      <w:r>
        <w:rPr>
          <w:rFonts w:ascii="Times New Roman" w:hAnsi="Times New Roman"/>
        </w:rPr>
        <w:t>-march.</w:t>
      </w:r>
    </w:p>
  </w:footnote>
  <w:footnote w:id="27">
    <w:p w:rsidR="00A17F22" w:rsidRDefault="00A17F22" w:rsidP="00A17F22">
      <w:pPr>
        <w:pStyle w:val="FootnoteText"/>
        <w:rPr>
          <w:rFonts w:ascii="Times New Roman" w:hAnsi="Times New Roman" w:cs="Times New Roman"/>
          <w:lang w:val="pt-PT"/>
        </w:rPr>
      </w:pPr>
      <w:r>
        <w:rPr>
          <w:rStyle w:val="FootnoteReference"/>
          <w:rFonts w:ascii="Times New Roman" w:hAnsi="Times New Roman"/>
        </w:rPr>
        <w:footnoteRef/>
      </w:r>
      <w:r w:rsidRPr="00715682">
        <w:rPr>
          <w:rFonts w:ascii="Times New Roman" w:hAnsi="Times New Roman"/>
          <w:lang w:val="pt-PT"/>
        </w:rPr>
        <w:t xml:space="preserve">   COM(</w:t>
      </w:r>
      <w:r w:rsidRPr="00DB3EC6">
        <w:rPr>
          <w:rFonts w:ascii="Times New Roman" w:hAnsi="Times New Roman"/>
          <w:lang w:val="pt-PT"/>
        </w:rPr>
        <w:t>2016</w:t>
      </w:r>
      <w:r w:rsidRPr="00715682">
        <w:rPr>
          <w:rFonts w:ascii="Times New Roman" w:hAnsi="Times New Roman"/>
          <w:lang w:val="pt-PT"/>
        </w:rPr>
        <w:t>) </w:t>
      </w:r>
      <w:r w:rsidRPr="00DB3EC6">
        <w:rPr>
          <w:rFonts w:ascii="Times New Roman" w:hAnsi="Times New Roman"/>
          <w:lang w:val="pt-PT"/>
        </w:rPr>
        <w:t>205</w:t>
      </w:r>
      <w:r w:rsidRPr="00715682">
        <w:rPr>
          <w:rFonts w:ascii="Times New Roman" w:hAnsi="Times New Roman"/>
          <w:lang w:val="pt-PT"/>
        </w:rPr>
        <w:t xml:space="preserve"> final du </w:t>
      </w:r>
      <w:r w:rsidRPr="00DB3EC6">
        <w:rPr>
          <w:rFonts w:ascii="Times New Roman" w:hAnsi="Times New Roman"/>
          <w:lang w:val="pt-PT"/>
        </w:rPr>
        <w:t>6</w:t>
      </w:r>
      <w:r w:rsidRPr="00715682">
        <w:rPr>
          <w:rFonts w:ascii="Times New Roman" w:hAnsi="Times New Roman"/>
          <w:lang w:val="pt-PT"/>
        </w:rPr>
        <w:t xml:space="preserve"> avril </w:t>
      </w:r>
      <w:r w:rsidRPr="00DB3EC6">
        <w:rPr>
          <w:rFonts w:ascii="Times New Roman" w:hAnsi="Times New Roman"/>
          <w:lang w:val="pt-PT"/>
        </w:rPr>
        <w:t>2016</w:t>
      </w:r>
      <w:r w:rsidRPr="00715682">
        <w:rPr>
          <w:rFonts w:ascii="Times New Roman" w:hAnsi="Times New Roman"/>
          <w:lang w:val="pt-PT"/>
        </w:rPr>
        <w:t>.</w:t>
      </w:r>
    </w:p>
  </w:footnote>
  <w:footnote w:id="28">
    <w:p w:rsidR="00A17F22" w:rsidRDefault="00A17F22" w:rsidP="00A17F22">
      <w:pPr>
        <w:pStyle w:val="FootnoteText"/>
        <w:rPr>
          <w:rFonts w:ascii="Times New Roman" w:hAnsi="Times New Roman" w:cs="Times New Roman"/>
          <w:lang w:val="pt-PT"/>
        </w:rPr>
      </w:pPr>
      <w:r>
        <w:rPr>
          <w:rStyle w:val="FootnoteReference"/>
          <w:rFonts w:ascii="Times New Roman" w:hAnsi="Times New Roman"/>
        </w:rPr>
        <w:footnoteRef/>
      </w:r>
      <w:r w:rsidRPr="00715682">
        <w:rPr>
          <w:rFonts w:ascii="Times New Roman" w:hAnsi="Times New Roman"/>
          <w:lang w:val="pt-PT"/>
        </w:rPr>
        <w:t xml:space="preserve">   COM(</w:t>
      </w:r>
      <w:r w:rsidRPr="00DB3EC6">
        <w:rPr>
          <w:rFonts w:ascii="Times New Roman" w:hAnsi="Times New Roman"/>
          <w:lang w:val="pt-PT"/>
        </w:rPr>
        <w:t>2016</w:t>
      </w:r>
      <w:r w:rsidRPr="00715682">
        <w:rPr>
          <w:rFonts w:ascii="Times New Roman" w:hAnsi="Times New Roman"/>
          <w:lang w:val="pt-PT"/>
        </w:rPr>
        <w:t>) </w:t>
      </w:r>
      <w:r w:rsidRPr="00DB3EC6">
        <w:rPr>
          <w:rFonts w:ascii="Times New Roman" w:hAnsi="Times New Roman"/>
          <w:lang w:val="pt-PT"/>
        </w:rPr>
        <w:t>194</w:t>
      </w:r>
      <w:r w:rsidRPr="00715682">
        <w:rPr>
          <w:rFonts w:ascii="Times New Roman" w:hAnsi="Times New Roman"/>
          <w:lang w:val="pt-PT"/>
        </w:rPr>
        <w:t xml:space="preserve"> final du </w:t>
      </w:r>
      <w:r w:rsidRPr="00DB3EC6">
        <w:rPr>
          <w:rFonts w:ascii="Times New Roman" w:hAnsi="Times New Roman"/>
          <w:lang w:val="pt-PT"/>
        </w:rPr>
        <w:t>6</w:t>
      </w:r>
      <w:r w:rsidRPr="00715682">
        <w:rPr>
          <w:rFonts w:ascii="Times New Roman" w:hAnsi="Times New Roman"/>
          <w:lang w:val="pt-PT"/>
        </w:rPr>
        <w:t xml:space="preserve"> avril </w:t>
      </w:r>
      <w:r w:rsidRPr="00DB3EC6">
        <w:rPr>
          <w:rFonts w:ascii="Times New Roman" w:hAnsi="Times New Roman"/>
          <w:lang w:val="pt-PT"/>
        </w:rPr>
        <w:t>2016</w:t>
      </w:r>
      <w:r w:rsidRPr="00715682">
        <w:rPr>
          <w:rFonts w:ascii="Times New Roman" w:hAnsi="Times New Roman"/>
          <w:lang w:val="pt-PT"/>
        </w:rPr>
        <w:t>.</w:t>
      </w:r>
    </w:p>
  </w:footnote>
  <w:footnote w:id="29">
    <w:p w:rsidR="00A17F22" w:rsidRDefault="00A17F22" w:rsidP="00A17F22">
      <w:pPr>
        <w:pStyle w:val="FootnoteText"/>
        <w:ind w:left="284" w:hanging="284"/>
        <w:rPr>
          <w:rFonts w:ascii="Times New Roman" w:hAnsi="Times New Roman" w:cs="Times New Roman"/>
          <w:lang w:val="pt-PT"/>
        </w:rPr>
      </w:pPr>
      <w:r>
        <w:rPr>
          <w:rStyle w:val="FootnoteReference"/>
          <w:rFonts w:ascii="Times New Roman" w:hAnsi="Times New Roman"/>
        </w:rPr>
        <w:footnoteRef/>
      </w:r>
      <w:r w:rsidRPr="00715682">
        <w:rPr>
          <w:rFonts w:ascii="Times New Roman" w:hAnsi="Times New Roman"/>
          <w:lang w:val="pt-PT"/>
        </w:rPr>
        <w:t xml:space="preserve"> </w:t>
      </w:r>
      <w:r w:rsidRPr="00715682">
        <w:rPr>
          <w:lang w:val="pt-PT"/>
        </w:rPr>
        <w:tab/>
      </w:r>
      <w:r w:rsidRPr="00715682">
        <w:rPr>
          <w:rFonts w:ascii="Times New Roman" w:hAnsi="Times New Roman"/>
          <w:lang w:val="pt-PT"/>
        </w:rPr>
        <w:t>http://ec.europa.eu/dgs/home-affairs/what-we-do/policies/crisis-and-terrorism/explosives/explosives-precursors/docs/list_of_measures_en.pdf.</w:t>
      </w:r>
    </w:p>
  </w:footnote>
  <w:footnote w:id="30">
    <w:p w:rsidR="00A17F22" w:rsidRDefault="00A17F22" w:rsidP="00A17F22">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Règlement (UE) nº </w:t>
      </w:r>
      <w:r w:rsidRPr="00DB3EC6">
        <w:rPr>
          <w:rFonts w:ascii="Times New Roman" w:hAnsi="Times New Roman"/>
        </w:rPr>
        <w:t>98</w:t>
      </w:r>
      <w:r>
        <w:rPr>
          <w:rFonts w:ascii="Times New Roman" w:hAnsi="Times New Roman"/>
        </w:rPr>
        <w:t>/</w:t>
      </w:r>
      <w:r w:rsidRPr="00DB3EC6">
        <w:rPr>
          <w:rFonts w:ascii="Times New Roman" w:hAnsi="Times New Roman"/>
        </w:rPr>
        <w:t>2013</w:t>
      </w:r>
      <w:r>
        <w:rPr>
          <w:rFonts w:ascii="Times New Roman" w:hAnsi="Times New Roman"/>
        </w:rPr>
        <w:t xml:space="preserve"> du Parlement européen et du Conseil du </w:t>
      </w:r>
      <w:r w:rsidRPr="00DB3EC6">
        <w:rPr>
          <w:rFonts w:ascii="Times New Roman" w:hAnsi="Times New Roman"/>
        </w:rPr>
        <w:t>15</w:t>
      </w:r>
      <w:r>
        <w:rPr>
          <w:rFonts w:ascii="Times New Roman" w:hAnsi="Times New Roman"/>
        </w:rPr>
        <w:t xml:space="preserve"> janvier </w:t>
      </w:r>
      <w:r w:rsidRPr="00DB3EC6">
        <w:rPr>
          <w:rFonts w:ascii="Times New Roman" w:hAnsi="Times New Roman"/>
        </w:rPr>
        <w:t>2013</w:t>
      </w:r>
      <w:r>
        <w:rPr>
          <w:rFonts w:ascii="Times New Roman" w:hAnsi="Times New Roman"/>
        </w:rPr>
        <w:t xml:space="preserve"> sur la commercialisation et l'utilisation de précurseurs d'explosifs (JO L </w:t>
      </w:r>
      <w:r w:rsidRPr="00DB3EC6">
        <w:rPr>
          <w:rFonts w:ascii="Times New Roman" w:hAnsi="Times New Roman"/>
        </w:rPr>
        <w:t>39</w:t>
      </w:r>
      <w:r>
        <w:rPr>
          <w:rFonts w:ascii="Times New Roman" w:hAnsi="Times New Roman"/>
        </w:rPr>
        <w:t xml:space="preserve"> du </w:t>
      </w:r>
      <w:r w:rsidRPr="00DB3EC6">
        <w:rPr>
          <w:rFonts w:ascii="Times New Roman" w:hAnsi="Times New Roman"/>
        </w:rPr>
        <w:t>9</w:t>
      </w:r>
      <w:r>
        <w:rPr>
          <w:rFonts w:ascii="Times New Roman" w:hAnsi="Times New Roman"/>
        </w:rPr>
        <w:t>.</w:t>
      </w:r>
      <w:r w:rsidRPr="00DB3EC6">
        <w:rPr>
          <w:rFonts w:ascii="Times New Roman" w:hAnsi="Times New Roman"/>
        </w:rPr>
        <w:t>2</w:t>
      </w:r>
      <w:r>
        <w:rPr>
          <w:rFonts w:ascii="Times New Roman" w:hAnsi="Times New Roman"/>
        </w:rPr>
        <w:t>.</w:t>
      </w:r>
      <w:r w:rsidRPr="00DB3EC6">
        <w:rPr>
          <w:rFonts w:ascii="Times New Roman" w:hAnsi="Times New Roman"/>
        </w:rPr>
        <w:t>2013</w:t>
      </w:r>
      <w:r>
        <w:rPr>
          <w:rFonts w:ascii="Times New Roman" w:hAnsi="Times New Roman"/>
        </w:rPr>
        <w:t xml:space="preserve">, p. </w:t>
      </w:r>
      <w:r w:rsidRPr="00DB3EC6">
        <w:rPr>
          <w:rFonts w:ascii="Times New Roman" w:hAnsi="Times New Roman"/>
        </w:rPr>
        <w:t>1</w:t>
      </w:r>
      <w:r>
        <w:rPr>
          <w:rFonts w:ascii="Times New Roman" w:hAnsi="Times New Roman"/>
        </w:rPr>
        <w:t>).</w:t>
      </w:r>
    </w:p>
  </w:footnote>
  <w:footnote w:id="31">
    <w:p w:rsidR="00A17F22" w:rsidRDefault="00A17F22" w:rsidP="00A17F22">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Règlement d'exécution (UE) </w:t>
      </w:r>
      <w:r w:rsidRPr="00DB3EC6">
        <w:rPr>
          <w:rFonts w:ascii="Times New Roman" w:hAnsi="Times New Roman"/>
        </w:rPr>
        <w:t>2015</w:t>
      </w:r>
      <w:r>
        <w:rPr>
          <w:rFonts w:ascii="Times New Roman" w:hAnsi="Times New Roman"/>
        </w:rPr>
        <w:t>/</w:t>
      </w:r>
      <w:r w:rsidRPr="00DB3EC6">
        <w:rPr>
          <w:rFonts w:ascii="Times New Roman" w:hAnsi="Times New Roman"/>
        </w:rPr>
        <w:t>2403</w:t>
      </w:r>
      <w:r>
        <w:rPr>
          <w:rFonts w:ascii="Times New Roman" w:hAnsi="Times New Roman"/>
        </w:rPr>
        <w:t xml:space="preserve"> de la Commission du </w:t>
      </w:r>
      <w:r w:rsidRPr="00DB3EC6">
        <w:rPr>
          <w:rFonts w:ascii="Times New Roman" w:hAnsi="Times New Roman"/>
        </w:rPr>
        <w:t>15</w:t>
      </w:r>
      <w:r>
        <w:rPr>
          <w:rFonts w:ascii="Times New Roman" w:hAnsi="Times New Roman"/>
        </w:rPr>
        <w:t xml:space="preserve"> décembre </w:t>
      </w:r>
      <w:r w:rsidRPr="00DB3EC6">
        <w:rPr>
          <w:rFonts w:ascii="Times New Roman" w:hAnsi="Times New Roman"/>
        </w:rPr>
        <w:t>2015</w:t>
      </w:r>
      <w:r>
        <w:rPr>
          <w:rFonts w:ascii="Times New Roman" w:hAnsi="Times New Roman"/>
        </w:rPr>
        <w:t xml:space="preserve"> établissant des lignes directrices communes concernant les normes et techniques de neutralisation en vue de garantir que les armes à feu neutralisées sont rendues irréversiblement inopérantes (JO L </w:t>
      </w:r>
      <w:r w:rsidRPr="00DB3EC6">
        <w:rPr>
          <w:rFonts w:ascii="Times New Roman" w:hAnsi="Times New Roman"/>
        </w:rPr>
        <w:t>333</w:t>
      </w:r>
      <w:r>
        <w:rPr>
          <w:rFonts w:ascii="Times New Roman" w:hAnsi="Times New Roman"/>
        </w:rPr>
        <w:t xml:space="preserve"> du </w:t>
      </w:r>
      <w:r w:rsidRPr="00DB3EC6">
        <w:rPr>
          <w:rFonts w:ascii="Times New Roman" w:hAnsi="Times New Roman"/>
        </w:rPr>
        <w:t>19</w:t>
      </w:r>
      <w:r>
        <w:rPr>
          <w:rFonts w:ascii="Times New Roman" w:hAnsi="Times New Roman"/>
        </w:rPr>
        <w:t>.</w:t>
      </w:r>
      <w:r w:rsidRPr="00DB3EC6">
        <w:rPr>
          <w:rFonts w:ascii="Times New Roman" w:hAnsi="Times New Roman"/>
        </w:rPr>
        <w:t>12</w:t>
      </w:r>
      <w:r>
        <w:rPr>
          <w:rFonts w:ascii="Times New Roman" w:hAnsi="Times New Roman"/>
        </w:rPr>
        <w:t>.</w:t>
      </w:r>
      <w:r w:rsidRPr="00DB3EC6">
        <w:rPr>
          <w:rFonts w:ascii="Times New Roman" w:hAnsi="Times New Roman"/>
        </w:rPr>
        <w:t>2015</w:t>
      </w:r>
      <w:r>
        <w:rPr>
          <w:rFonts w:ascii="Times New Roman" w:hAnsi="Times New Roman"/>
        </w:rPr>
        <w:t xml:space="preserve">, p. </w:t>
      </w:r>
      <w:r w:rsidRPr="00DB3EC6">
        <w:rPr>
          <w:rFonts w:ascii="Times New Roman" w:hAnsi="Times New Roman"/>
        </w:rPr>
        <w:t>62</w:t>
      </w:r>
      <w:r>
        <w:rPr>
          <w:rFonts w:ascii="Times New Roman" w:hAnsi="Times New Roman"/>
        </w:rPr>
        <w:t>).</w:t>
      </w:r>
    </w:p>
  </w:footnote>
  <w:footnote w:id="32">
    <w:p w:rsidR="00A17F22" w:rsidRDefault="00A17F22" w:rsidP="00A17F22">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sidRPr="00715682">
        <w:rPr>
          <w:rFonts w:ascii="Times New Roman" w:hAnsi="Times New Roman"/>
          <w:lang w:val="pt-PT"/>
        </w:rPr>
        <w:t xml:space="preserve"> </w:t>
      </w:r>
      <w:r w:rsidRPr="00715682">
        <w:rPr>
          <w:lang w:val="pt-PT"/>
        </w:rPr>
        <w:tab/>
      </w:r>
      <w:r w:rsidRPr="00715682">
        <w:rPr>
          <w:rFonts w:ascii="Times New Roman" w:hAnsi="Times New Roman"/>
          <w:lang w:val="pt-PT"/>
        </w:rPr>
        <w:t>COM(</w:t>
      </w:r>
      <w:r w:rsidRPr="00DB3EC6">
        <w:rPr>
          <w:rFonts w:ascii="Times New Roman" w:hAnsi="Times New Roman"/>
          <w:lang w:val="pt-PT"/>
        </w:rPr>
        <w:t>2015</w:t>
      </w:r>
      <w:r w:rsidRPr="00715682">
        <w:rPr>
          <w:rFonts w:ascii="Times New Roman" w:hAnsi="Times New Roman"/>
          <w:lang w:val="pt-PT"/>
        </w:rPr>
        <w:t>) </w:t>
      </w:r>
      <w:r w:rsidRPr="00DB3EC6">
        <w:rPr>
          <w:rFonts w:ascii="Times New Roman" w:hAnsi="Times New Roman"/>
          <w:lang w:val="pt-PT"/>
        </w:rPr>
        <w:t>750</w:t>
      </w:r>
      <w:r w:rsidRPr="00715682">
        <w:rPr>
          <w:rFonts w:ascii="Times New Roman" w:hAnsi="Times New Roman"/>
          <w:lang w:val="pt-PT"/>
        </w:rPr>
        <w:t xml:space="preserve"> final du </w:t>
      </w:r>
      <w:r w:rsidRPr="00DB3EC6">
        <w:rPr>
          <w:rFonts w:ascii="Times New Roman" w:hAnsi="Times New Roman"/>
          <w:lang w:val="pt-PT"/>
        </w:rPr>
        <w:t>18</w:t>
      </w:r>
      <w:r w:rsidRPr="00715682">
        <w:rPr>
          <w:rFonts w:ascii="Times New Roman" w:hAnsi="Times New Roman"/>
          <w:lang w:val="pt-PT"/>
        </w:rPr>
        <w:t xml:space="preserve"> novembre </w:t>
      </w:r>
      <w:r w:rsidRPr="00DB3EC6">
        <w:rPr>
          <w:rFonts w:ascii="Times New Roman" w:hAnsi="Times New Roman"/>
          <w:lang w:val="pt-PT"/>
        </w:rPr>
        <w:t>2015</w:t>
      </w:r>
      <w:r w:rsidRPr="00715682">
        <w:rPr>
          <w:rFonts w:ascii="Times New Roman" w:hAnsi="Times New Roman"/>
          <w:lang w:val="pt-PT"/>
        </w:rPr>
        <w:t>.</w:t>
      </w:r>
    </w:p>
  </w:footnote>
  <w:footnote w:id="33">
    <w:p w:rsidR="00A17F22" w:rsidRDefault="00A17F22" w:rsidP="00A17F22">
      <w:pPr>
        <w:pStyle w:val="FootnoteText"/>
        <w:ind w:left="284" w:hanging="284"/>
        <w:rPr>
          <w:rFonts w:ascii="Times New Roman" w:hAnsi="Times New Roman" w:cs="Times New Roman"/>
          <w:lang w:val="pt-PT"/>
        </w:rPr>
      </w:pPr>
      <w:r>
        <w:rPr>
          <w:rStyle w:val="FootnoteReference"/>
          <w:rFonts w:ascii="Times New Roman" w:hAnsi="Times New Roman"/>
        </w:rPr>
        <w:footnoteRef/>
      </w:r>
      <w:r w:rsidRPr="00715682">
        <w:rPr>
          <w:rFonts w:ascii="Times New Roman" w:hAnsi="Times New Roman"/>
          <w:lang w:val="pt-PT"/>
        </w:rPr>
        <w:t xml:space="preserve"> </w:t>
      </w:r>
      <w:r w:rsidRPr="00715682">
        <w:rPr>
          <w:lang w:val="pt-PT"/>
        </w:rPr>
        <w:tab/>
      </w:r>
      <w:r w:rsidRPr="00715682">
        <w:rPr>
          <w:rFonts w:ascii="Times New Roman" w:hAnsi="Times New Roman"/>
          <w:lang w:val="pt-PT"/>
        </w:rPr>
        <w:t>COM(</w:t>
      </w:r>
      <w:r w:rsidRPr="00DB3EC6">
        <w:rPr>
          <w:rFonts w:ascii="Times New Roman" w:hAnsi="Times New Roman"/>
          <w:lang w:val="pt-PT"/>
        </w:rPr>
        <w:t>2016</w:t>
      </w:r>
      <w:r w:rsidRPr="00715682">
        <w:rPr>
          <w:rFonts w:ascii="Times New Roman" w:hAnsi="Times New Roman"/>
          <w:lang w:val="pt-PT"/>
        </w:rPr>
        <w:t>) </w:t>
      </w:r>
      <w:r w:rsidRPr="00DB3EC6">
        <w:rPr>
          <w:rFonts w:ascii="Times New Roman" w:hAnsi="Times New Roman"/>
          <w:lang w:val="pt-PT"/>
        </w:rPr>
        <w:t>50</w:t>
      </w:r>
      <w:r w:rsidRPr="00715682">
        <w:rPr>
          <w:rFonts w:ascii="Times New Roman" w:hAnsi="Times New Roman"/>
          <w:lang w:val="pt-PT"/>
        </w:rPr>
        <w:t xml:space="preserve"> final du </w:t>
      </w:r>
      <w:r w:rsidRPr="00DB3EC6">
        <w:rPr>
          <w:rFonts w:ascii="Times New Roman" w:hAnsi="Times New Roman"/>
          <w:lang w:val="pt-PT"/>
        </w:rPr>
        <w:t>2</w:t>
      </w:r>
      <w:r w:rsidRPr="00715682">
        <w:rPr>
          <w:rFonts w:ascii="Times New Roman" w:hAnsi="Times New Roman"/>
          <w:lang w:val="pt-PT"/>
        </w:rPr>
        <w:t xml:space="preserve"> février </w:t>
      </w:r>
      <w:r w:rsidRPr="00DB3EC6">
        <w:rPr>
          <w:rFonts w:ascii="Times New Roman" w:hAnsi="Times New Roman"/>
          <w:lang w:val="pt-PT"/>
        </w:rPr>
        <w:t>2016</w:t>
      </w:r>
      <w:r w:rsidRPr="00715682">
        <w:rPr>
          <w:rFonts w:ascii="Times New Roman" w:hAnsi="Times New Roman"/>
          <w:lang w:val="pt-PT"/>
        </w:rPr>
        <w:t>.</w:t>
      </w:r>
    </w:p>
  </w:footnote>
  <w:footnote w:id="34">
    <w:p w:rsidR="00866045" w:rsidRPr="00055C67" w:rsidRDefault="00866045" w:rsidP="00866045">
      <w:pPr>
        <w:pStyle w:val="FootnoteText"/>
        <w:ind w:left="284" w:hanging="284"/>
        <w:rPr>
          <w:rFonts w:ascii="Times New Roman" w:hAnsi="Times New Roman" w:cs="Times New Roman"/>
          <w:lang w:val="pt-PT"/>
        </w:rPr>
      </w:pPr>
      <w:r>
        <w:rPr>
          <w:rStyle w:val="FootnoteReference"/>
          <w:rFonts w:ascii="Times New Roman" w:hAnsi="Times New Roman"/>
        </w:rPr>
        <w:footnoteRef/>
      </w:r>
      <w:r w:rsidRPr="00055C67">
        <w:rPr>
          <w:rFonts w:ascii="Times New Roman" w:hAnsi="Times New Roman"/>
          <w:lang w:val="pt-PT"/>
        </w:rPr>
        <w:t xml:space="preserve"> </w:t>
      </w:r>
      <w:r w:rsidRPr="00055C67">
        <w:rPr>
          <w:lang w:val="pt-PT"/>
        </w:rPr>
        <w:tab/>
      </w:r>
      <w:r w:rsidRPr="00055C67">
        <w:rPr>
          <w:rFonts w:ascii="Times New Roman" w:hAnsi="Times New Roman"/>
          <w:lang w:val="pt-PT"/>
        </w:rPr>
        <w:t>COM(</w:t>
      </w:r>
      <w:r w:rsidRPr="00DB3EC6">
        <w:rPr>
          <w:rFonts w:ascii="Times New Roman" w:hAnsi="Times New Roman"/>
          <w:lang w:val="pt-PT"/>
        </w:rPr>
        <w:t>2015</w:t>
      </w:r>
      <w:r w:rsidRPr="00055C67">
        <w:rPr>
          <w:rFonts w:ascii="Times New Roman" w:hAnsi="Times New Roman"/>
          <w:lang w:val="pt-PT"/>
        </w:rPr>
        <w:t>) </w:t>
      </w:r>
      <w:r w:rsidRPr="00DB3EC6">
        <w:rPr>
          <w:rFonts w:ascii="Times New Roman" w:hAnsi="Times New Roman"/>
          <w:lang w:val="pt-PT"/>
        </w:rPr>
        <w:t>624</w:t>
      </w:r>
      <w:r w:rsidRPr="00055C67">
        <w:rPr>
          <w:rFonts w:ascii="Times New Roman" w:hAnsi="Times New Roman"/>
          <w:lang w:val="pt-PT"/>
        </w:rPr>
        <w:t xml:space="preserve"> final du </w:t>
      </w:r>
      <w:r w:rsidRPr="00DB3EC6">
        <w:rPr>
          <w:rFonts w:ascii="Times New Roman" w:hAnsi="Times New Roman"/>
          <w:lang w:val="pt-PT"/>
        </w:rPr>
        <w:t>2</w:t>
      </w:r>
      <w:r w:rsidRPr="00055C67">
        <w:rPr>
          <w:rFonts w:ascii="Times New Roman" w:hAnsi="Times New Roman"/>
          <w:lang w:val="pt-PT"/>
        </w:rPr>
        <w:t>.</w:t>
      </w:r>
      <w:r w:rsidRPr="00DB3EC6">
        <w:rPr>
          <w:rFonts w:ascii="Times New Roman" w:hAnsi="Times New Roman"/>
          <w:lang w:val="pt-PT"/>
        </w:rPr>
        <w:t>12</w:t>
      </w:r>
      <w:r w:rsidRPr="00055C67">
        <w:rPr>
          <w:rFonts w:ascii="Times New Roman" w:hAnsi="Times New Roman"/>
          <w:lang w:val="pt-PT"/>
        </w:rPr>
        <w:t>.</w:t>
      </w:r>
      <w:r w:rsidRPr="00DB3EC6">
        <w:rPr>
          <w:rFonts w:ascii="Times New Roman" w:hAnsi="Times New Roman"/>
          <w:lang w:val="pt-PT"/>
        </w:rPr>
        <w:t>2015</w:t>
      </w:r>
      <w:r w:rsidRPr="00055C67">
        <w:rPr>
          <w:rFonts w:ascii="Times New Roman" w:hAnsi="Times New Roman"/>
          <w:lang w:val="pt-PT"/>
        </w:rPr>
        <w:t>.</w:t>
      </w:r>
    </w:p>
  </w:footnote>
  <w:footnote w:id="35">
    <w:p w:rsidR="00866045" w:rsidRPr="00055C67" w:rsidRDefault="00866045" w:rsidP="00866045">
      <w:pPr>
        <w:pStyle w:val="FootnoteText"/>
        <w:ind w:left="284" w:hanging="284"/>
        <w:rPr>
          <w:lang w:val="pt-PT"/>
        </w:rPr>
      </w:pPr>
      <w:r>
        <w:rPr>
          <w:rStyle w:val="FootnoteReference"/>
          <w:rFonts w:ascii="Times New Roman" w:hAnsi="Times New Roman"/>
        </w:rPr>
        <w:footnoteRef/>
      </w:r>
      <w:r w:rsidRPr="00055C67">
        <w:rPr>
          <w:lang w:val="pt-PT"/>
        </w:rPr>
        <w:t xml:space="preserve"> </w:t>
      </w:r>
      <w:r w:rsidRPr="00055C67">
        <w:rPr>
          <w:lang w:val="pt-PT"/>
        </w:rPr>
        <w:tab/>
      </w:r>
      <w:r w:rsidRPr="00055C67">
        <w:rPr>
          <w:rFonts w:ascii="Times New Roman" w:hAnsi="Times New Roman"/>
          <w:lang w:val="pt-PT"/>
        </w:rPr>
        <w:t>JOIN(</w:t>
      </w:r>
      <w:r w:rsidRPr="00DB3EC6">
        <w:rPr>
          <w:rFonts w:ascii="Times New Roman" w:hAnsi="Times New Roman"/>
          <w:lang w:val="pt-PT"/>
        </w:rPr>
        <w:t>2016</w:t>
      </w:r>
      <w:r w:rsidRPr="00055C67">
        <w:rPr>
          <w:rFonts w:ascii="Times New Roman" w:hAnsi="Times New Roman"/>
          <w:lang w:val="pt-PT"/>
        </w:rPr>
        <w:t>) </w:t>
      </w:r>
      <w:r w:rsidRPr="00DB3EC6">
        <w:rPr>
          <w:rFonts w:ascii="Times New Roman" w:hAnsi="Times New Roman"/>
          <w:lang w:val="pt-PT"/>
        </w:rPr>
        <w:t>18</w:t>
      </w:r>
      <w:r w:rsidRPr="00055C67">
        <w:rPr>
          <w:rFonts w:ascii="Times New Roman" w:hAnsi="Times New Roman"/>
          <w:lang w:val="pt-PT"/>
        </w:rPr>
        <w:t xml:space="preserve"> final du </w:t>
      </w:r>
      <w:r w:rsidRPr="00DB3EC6">
        <w:rPr>
          <w:rFonts w:ascii="Times New Roman" w:hAnsi="Times New Roman"/>
          <w:lang w:val="pt-PT"/>
        </w:rPr>
        <w:t>6</w:t>
      </w:r>
      <w:r w:rsidRPr="00055C67">
        <w:rPr>
          <w:rFonts w:ascii="Times New Roman" w:hAnsi="Times New Roman"/>
          <w:lang w:val="pt-PT"/>
        </w:rPr>
        <w:t>.</w:t>
      </w:r>
      <w:r w:rsidRPr="00DB3EC6">
        <w:rPr>
          <w:rFonts w:ascii="Times New Roman" w:hAnsi="Times New Roman"/>
          <w:lang w:val="pt-PT"/>
        </w:rPr>
        <w:t>4</w:t>
      </w:r>
      <w:r w:rsidRPr="00055C67">
        <w:rPr>
          <w:rFonts w:ascii="Times New Roman" w:hAnsi="Times New Roman"/>
          <w:lang w:val="pt-PT"/>
        </w:rPr>
        <w:t>.</w:t>
      </w:r>
      <w:r w:rsidRPr="00DB3EC6">
        <w:rPr>
          <w:rFonts w:ascii="Times New Roman" w:hAnsi="Times New Roman"/>
          <w:lang w:val="pt-PT"/>
        </w:rPr>
        <w:t>2016</w:t>
      </w:r>
      <w:r w:rsidRPr="00055C67">
        <w:rPr>
          <w:rFonts w:ascii="Times New Roman" w:hAnsi="Times New Roman"/>
          <w:lang w:val="pt-PT"/>
        </w:rPr>
        <w:t>.</w:t>
      </w:r>
    </w:p>
  </w:footnote>
  <w:footnote w:id="36">
    <w:p w:rsidR="00866045" w:rsidRDefault="00866045" w:rsidP="00866045">
      <w:pPr>
        <w:pStyle w:val="FootnoteText"/>
        <w:rPr>
          <w:rFonts w:ascii="Times New Roman" w:hAnsi="Times New Roman" w:cs="Times New Roman"/>
          <w:lang w:val="pt-PT"/>
        </w:rPr>
      </w:pPr>
      <w:r>
        <w:rPr>
          <w:rStyle w:val="FootnoteReference"/>
          <w:rFonts w:ascii="Times New Roman" w:hAnsi="Times New Roman"/>
        </w:rPr>
        <w:footnoteRef/>
      </w:r>
      <w:r w:rsidRPr="005C6E03">
        <w:rPr>
          <w:rFonts w:ascii="Times New Roman" w:hAnsi="Times New Roman"/>
          <w:lang w:val="pt-PT"/>
        </w:rPr>
        <w:t xml:space="preserve"> COM(</w:t>
      </w:r>
      <w:r w:rsidRPr="00DB3EC6">
        <w:rPr>
          <w:rFonts w:ascii="Times New Roman" w:hAnsi="Times New Roman"/>
          <w:lang w:val="pt-PT"/>
        </w:rPr>
        <w:t>2013</w:t>
      </w:r>
      <w:r w:rsidRPr="005C6E03">
        <w:rPr>
          <w:rFonts w:ascii="Times New Roman" w:hAnsi="Times New Roman"/>
          <w:lang w:val="pt-PT"/>
        </w:rPr>
        <w:t>) </w:t>
      </w:r>
      <w:r w:rsidRPr="00DB3EC6">
        <w:rPr>
          <w:rFonts w:ascii="Times New Roman" w:hAnsi="Times New Roman"/>
          <w:lang w:val="pt-PT"/>
        </w:rPr>
        <w:t>48</w:t>
      </w:r>
      <w:r w:rsidRPr="005C6E03">
        <w:rPr>
          <w:rFonts w:ascii="Times New Roman" w:hAnsi="Times New Roman"/>
          <w:lang w:val="pt-PT"/>
        </w:rPr>
        <w:t xml:space="preserve"> final du </w:t>
      </w:r>
      <w:r w:rsidRPr="00DB3EC6">
        <w:rPr>
          <w:rFonts w:ascii="Times New Roman" w:hAnsi="Times New Roman"/>
          <w:lang w:val="pt-PT"/>
        </w:rPr>
        <w:t>7</w:t>
      </w:r>
      <w:r w:rsidRPr="005C6E03">
        <w:rPr>
          <w:rFonts w:ascii="Times New Roman" w:hAnsi="Times New Roman"/>
          <w:lang w:val="pt-PT"/>
        </w:rPr>
        <w:t>.</w:t>
      </w:r>
      <w:r w:rsidRPr="00DB3EC6">
        <w:rPr>
          <w:rFonts w:ascii="Times New Roman" w:hAnsi="Times New Roman"/>
          <w:lang w:val="pt-PT"/>
        </w:rPr>
        <w:t>2</w:t>
      </w:r>
      <w:r w:rsidRPr="005C6E03">
        <w:rPr>
          <w:rFonts w:ascii="Times New Roman" w:hAnsi="Times New Roman"/>
          <w:lang w:val="pt-PT"/>
        </w:rPr>
        <w:t>.</w:t>
      </w:r>
      <w:r w:rsidRPr="00DB3EC6">
        <w:rPr>
          <w:rFonts w:ascii="Times New Roman" w:hAnsi="Times New Roman"/>
          <w:lang w:val="pt-PT"/>
        </w:rPr>
        <w:t>2013</w:t>
      </w:r>
      <w:r w:rsidRPr="005C6E03">
        <w:rPr>
          <w:rFonts w:ascii="Times New Roman" w:hAnsi="Times New Roman"/>
          <w:lang w:val="pt-PT"/>
        </w:rPr>
        <w:t>.</w:t>
      </w:r>
    </w:p>
  </w:footnote>
  <w:footnote w:id="37">
    <w:p w:rsidR="00866045" w:rsidRDefault="00866045" w:rsidP="00866045">
      <w:pPr>
        <w:pStyle w:val="FootnoteText"/>
        <w:ind w:left="284" w:hanging="284"/>
        <w:rPr>
          <w:rFonts w:ascii="Times New Roman" w:hAnsi="Times New Roman" w:cs="Times New Roman"/>
          <w:lang w:val="pt-PT"/>
        </w:rPr>
      </w:pPr>
      <w:r>
        <w:rPr>
          <w:rStyle w:val="FootnoteReference"/>
          <w:rFonts w:ascii="Times New Roman" w:hAnsi="Times New Roman"/>
        </w:rPr>
        <w:footnoteRef/>
      </w:r>
      <w:r w:rsidRPr="005C6E03">
        <w:rPr>
          <w:rFonts w:ascii="Times New Roman" w:hAnsi="Times New Roman"/>
          <w:lang w:val="pt-PT"/>
        </w:rPr>
        <w:t xml:space="preserve"> </w:t>
      </w:r>
      <w:r w:rsidRPr="005C6E03">
        <w:rPr>
          <w:lang w:val="pt-PT"/>
        </w:rPr>
        <w:tab/>
      </w:r>
      <w:r w:rsidRPr="005C6E03">
        <w:rPr>
          <w:rFonts w:ascii="Times New Roman" w:hAnsi="Times New Roman"/>
          <w:lang w:val="pt-PT"/>
        </w:rPr>
        <w:t>COM(</w:t>
      </w:r>
      <w:r w:rsidRPr="00DB3EC6">
        <w:rPr>
          <w:rFonts w:ascii="Times New Roman" w:hAnsi="Times New Roman"/>
          <w:lang w:val="pt-PT"/>
        </w:rPr>
        <w:t>2015</w:t>
      </w:r>
      <w:r w:rsidRPr="005C6E03">
        <w:rPr>
          <w:rFonts w:ascii="Times New Roman" w:hAnsi="Times New Roman"/>
          <w:lang w:val="pt-PT"/>
        </w:rPr>
        <w:t>) </w:t>
      </w:r>
      <w:r w:rsidRPr="00DB3EC6">
        <w:rPr>
          <w:rFonts w:ascii="Times New Roman" w:hAnsi="Times New Roman"/>
          <w:lang w:val="pt-PT"/>
        </w:rPr>
        <w:t>624</w:t>
      </w:r>
      <w:r w:rsidRPr="005C6E03">
        <w:rPr>
          <w:rFonts w:ascii="Times New Roman" w:hAnsi="Times New Roman"/>
          <w:lang w:val="pt-PT"/>
        </w:rPr>
        <w:t xml:space="preserve"> final du </w:t>
      </w:r>
      <w:r w:rsidRPr="00DB3EC6">
        <w:rPr>
          <w:rFonts w:ascii="Times New Roman" w:hAnsi="Times New Roman"/>
          <w:lang w:val="pt-PT"/>
        </w:rPr>
        <w:t>2</w:t>
      </w:r>
      <w:r w:rsidRPr="005C6E03">
        <w:rPr>
          <w:rFonts w:ascii="Times New Roman" w:hAnsi="Times New Roman"/>
          <w:lang w:val="pt-PT"/>
        </w:rPr>
        <w:t>.</w:t>
      </w:r>
      <w:r w:rsidRPr="00DB3EC6">
        <w:rPr>
          <w:rFonts w:ascii="Times New Roman" w:hAnsi="Times New Roman"/>
          <w:lang w:val="pt-PT"/>
        </w:rPr>
        <w:t>12</w:t>
      </w:r>
      <w:r w:rsidRPr="005C6E03">
        <w:rPr>
          <w:rFonts w:ascii="Times New Roman" w:hAnsi="Times New Roman"/>
          <w:lang w:val="pt-PT"/>
        </w:rPr>
        <w:t>.</w:t>
      </w:r>
      <w:r w:rsidRPr="00DB3EC6">
        <w:rPr>
          <w:rFonts w:ascii="Times New Roman" w:hAnsi="Times New Roman"/>
          <w:lang w:val="pt-PT"/>
        </w:rPr>
        <w:t>2015</w:t>
      </w:r>
      <w:r w:rsidRPr="005C6E03">
        <w:rPr>
          <w:rFonts w:ascii="Times New Roman" w:hAnsi="Times New Roman"/>
          <w:lang w:val="pt-PT"/>
        </w:rPr>
        <w:t>.</w:t>
      </w:r>
    </w:p>
  </w:footnote>
  <w:footnote w:id="38">
    <w:p w:rsidR="00866045" w:rsidRDefault="00866045" w:rsidP="00866045">
      <w:pPr>
        <w:pStyle w:val="FootnoteText"/>
        <w:ind w:left="284" w:hanging="284"/>
        <w:rPr>
          <w:rFonts w:ascii="Times New Roman" w:hAnsi="Times New Roman" w:cs="Times New Roman"/>
          <w:lang w:val="pt-PT"/>
        </w:rPr>
      </w:pPr>
      <w:r>
        <w:rPr>
          <w:rStyle w:val="FootnoteReference"/>
          <w:rFonts w:ascii="Times New Roman" w:hAnsi="Times New Roman"/>
        </w:rPr>
        <w:footnoteRef/>
      </w:r>
      <w:r w:rsidRPr="00055C67">
        <w:rPr>
          <w:rFonts w:ascii="Times New Roman" w:hAnsi="Times New Roman"/>
          <w:lang w:val="pt-PT"/>
        </w:rPr>
        <w:t xml:space="preserve"> </w:t>
      </w:r>
      <w:r w:rsidRPr="00055C67">
        <w:rPr>
          <w:lang w:val="pt-PT"/>
        </w:rPr>
        <w:tab/>
      </w:r>
      <w:r w:rsidRPr="00055C67">
        <w:rPr>
          <w:rFonts w:ascii="Times New Roman" w:hAnsi="Times New Roman"/>
          <w:lang w:val="pt-PT"/>
        </w:rPr>
        <w:t>COM(</w:t>
      </w:r>
      <w:r w:rsidRPr="00DB3EC6">
        <w:rPr>
          <w:rFonts w:ascii="Times New Roman" w:hAnsi="Times New Roman"/>
          <w:lang w:val="pt-PT"/>
        </w:rPr>
        <w:t>2016</w:t>
      </w:r>
      <w:r w:rsidRPr="00055C67">
        <w:rPr>
          <w:rFonts w:ascii="Times New Roman" w:hAnsi="Times New Roman"/>
          <w:lang w:val="pt-PT"/>
        </w:rPr>
        <w:t>) </w:t>
      </w:r>
      <w:r w:rsidRPr="00DB3EC6">
        <w:rPr>
          <w:rFonts w:ascii="Times New Roman" w:hAnsi="Times New Roman"/>
          <w:lang w:val="pt-PT"/>
        </w:rPr>
        <w:t>50</w:t>
      </w:r>
      <w:r w:rsidRPr="00055C67">
        <w:rPr>
          <w:rFonts w:ascii="Times New Roman" w:hAnsi="Times New Roman"/>
          <w:lang w:val="pt-PT"/>
        </w:rPr>
        <w:t xml:space="preserve"> final du </w:t>
      </w:r>
      <w:r w:rsidRPr="00DB3EC6">
        <w:rPr>
          <w:rFonts w:ascii="Times New Roman" w:hAnsi="Times New Roman"/>
          <w:lang w:val="pt-PT"/>
        </w:rPr>
        <w:t>2</w:t>
      </w:r>
      <w:r w:rsidRPr="00055C67">
        <w:rPr>
          <w:rFonts w:ascii="Times New Roman" w:hAnsi="Times New Roman"/>
          <w:lang w:val="pt-PT"/>
        </w:rPr>
        <w:t>.</w:t>
      </w:r>
      <w:r w:rsidRPr="00DB3EC6">
        <w:rPr>
          <w:rFonts w:ascii="Times New Roman" w:hAnsi="Times New Roman"/>
          <w:lang w:val="pt-PT"/>
        </w:rPr>
        <w:t>2</w:t>
      </w:r>
      <w:r w:rsidRPr="00055C67">
        <w:rPr>
          <w:rFonts w:ascii="Times New Roman" w:hAnsi="Times New Roman"/>
          <w:lang w:val="pt-PT"/>
        </w:rPr>
        <w:t>.</w:t>
      </w:r>
      <w:r w:rsidRPr="00DB3EC6">
        <w:rPr>
          <w:rFonts w:ascii="Times New Roman" w:hAnsi="Times New Roman"/>
          <w:lang w:val="pt-PT"/>
        </w:rPr>
        <w:t>2016</w:t>
      </w:r>
      <w:r w:rsidRPr="00055C67">
        <w:rPr>
          <w:rFonts w:ascii="Times New Roman" w:hAnsi="Times New Roman"/>
          <w:lang w:val="pt-P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6D7" w:rsidRDefault="006116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6D7" w:rsidRDefault="006116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6D7" w:rsidRDefault="006116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D4503"/>
    <w:multiLevelType w:val="hybridMultilevel"/>
    <w:tmpl w:val="34087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941BF2"/>
    <w:multiLevelType w:val="hybridMultilevel"/>
    <w:tmpl w:val="13949498"/>
    <w:lvl w:ilvl="0" w:tplc="306E600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2B4835A5"/>
    <w:multiLevelType w:val="hybridMultilevel"/>
    <w:tmpl w:val="426A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2D7FDB"/>
    <w:multiLevelType w:val="hybridMultilevel"/>
    <w:tmpl w:val="CDC6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5152DD"/>
    <w:multiLevelType w:val="hybridMultilevel"/>
    <w:tmpl w:val="EDD6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451F0C"/>
    <w:multiLevelType w:val="hybridMultilevel"/>
    <w:tmpl w:val="8DD8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2F1E36"/>
    <w:multiLevelType w:val="hybridMultilevel"/>
    <w:tmpl w:val="CEAA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E40A5B"/>
    <w:multiLevelType w:val="hybridMultilevel"/>
    <w:tmpl w:val="F87C4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7A0169"/>
    <w:multiLevelType w:val="hybridMultilevel"/>
    <w:tmpl w:val="45CE4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8"/>
  </w:num>
  <w:num w:numId="4">
    <w:abstractNumId w:val="1"/>
  </w:num>
  <w:num w:numId="5">
    <w:abstractNumId w:val="0"/>
  </w:num>
  <w:num w:numId="6">
    <w:abstractNumId w:val="3"/>
  </w:num>
  <w:num w:numId="7">
    <w:abstractNumId w:val="12"/>
  </w:num>
  <w:num w:numId="8">
    <w:abstractNumId w:val="5"/>
  </w:num>
  <w:num w:numId="9">
    <w:abstractNumId w:val="10"/>
  </w:num>
  <w:num w:numId="10">
    <w:abstractNumId w:val="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1C72CAFE4180482687B80EE4D52AD8CC"/>
    <w:docVar w:name="LW_CROSSREFERENCE" w:val="&lt;UNUSED&gt;"/>
    <w:docVar w:name="LW_DocType" w:val="NORMAL"/>
    <w:docVar w:name="LW_EMISSION" w:val="20.4.2016"/>
    <w:docVar w:name="LW_EMISSION_ISODATE" w:val="2016-04-20"/>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230"/>
    <w:docVar w:name="LW_REF.INTERNE" w:val="&lt;UNUSED&gt;"/>
    <w:docVar w:name="LW_SOUS.TITRE.OBJ.CP" w:val="&lt;UNUSED&gt;"/>
    <w:docVar w:name="LW_SUPERTITRE" w:val="&lt;UNUSED&gt;"/>
    <w:docVar w:name="LW_TITRE.OBJ.CP" w:val="Mise en oeuvre du programme européen en matière de sécurité pour lutter contre le terrorisme et ouvrir la voie à une union de la sécurité réelle et effective"/>
    <w:docVar w:name="LW_TYPE.DOC.CP" w:val="COMMUNICATION DE LA COMMISSION AU PARLEMENT EUROPÉEN, AU CONSEIL EUROPÉEN ET AU CONSEIL"/>
  </w:docVars>
  <w:rsids>
    <w:rsidRoot w:val="006314EA"/>
    <w:rsid w:val="00544205"/>
    <w:rsid w:val="00547FAA"/>
    <w:rsid w:val="006116D7"/>
    <w:rsid w:val="006314EA"/>
    <w:rsid w:val="00866045"/>
    <w:rsid w:val="00A17F22"/>
    <w:rsid w:val="00CA288D"/>
    <w:rsid w:val="00CF2D94"/>
    <w:rsid w:val="00D54A77"/>
    <w:rsid w:val="00DB3EC6"/>
    <w:rsid w:val="00ED19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character" w:styleId="Hyperlink">
    <w:name w:val="Hyperlink"/>
    <w:basedOn w:val="DefaultParagraphFont"/>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character" w:styleId="Hyperlink">
    <w:name w:val="Hyperlink"/>
    <w:basedOn w:val="DefaultParagraphFont"/>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79949">
      <w:bodyDiv w:val="1"/>
      <w:marLeft w:val="0"/>
      <w:marRight w:val="0"/>
      <w:marTop w:val="0"/>
      <w:marBottom w:val="0"/>
      <w:divBdr>
        <w:top w:val="none" w:sz="0" w:space="0" w:color="auto"/>
        <w:left w:val="none" w:sz="0" w:space="0" w:color="auto"/>
        <w:bottom w:val="none" w:sz="0" w:space="0" w:color="auto"/>
        <w:right w:val="none" w:sz="0" w:space="0" w:color="auto"/>
      </w:divBdr>
    </w:div>
    <w:div w:id="788738203">
      <w:bodyDiv w:val="1"/>
      <w:marLeft w:val="0"/>
      <w:marRight w:val="0"/>
      <w:marTop w:val="0"/>
      <w:marBottom w:val="0"/>
      <w:divBdr>
        <w:top w:val="none" w:sz="0" w:space="0" w:color="auto"/>
        <w:left w:val="none" w:sz="0" w:space="0" w:color="auto"/>
        <w:bottom w:val="none" w:sz="0" w:space="0" w:color="auto"/>
        <w:right w:val="none" w:sz="0" w:space="0" w:color="auto"/>
      </w:divBdr>
    </w:div>
    <w:div w:id="841509600">
      <w:bodyDiv w:val="1"/>
      <w:marLeft w:val="0"/>
      <w:marRight w:val="0"/>
      <w:marTop w:val="0"/>
      <w:marBottom w:val="0"/>
      <w:divBdr>
        <w:top w:val="none" w:sz="0" w:space="0" w:color="auto"/>
        <w:left w:val="none" w:sz="0" w:space="0" w:color="auto"/>
        <w:bottom w:val="none" w:sz="0" w:space="0" w:color="auto"/>
        <w:right w:val="none" w:sz="0" w:space="0" w:color="auto"/>
      </w:divBdr>
    </w:div>
    <w:div w:id="981233149">
      <w:bodyDiv w:val="1"/>
      <w:marLeft w:val="0"/>
      <w:marRight w:val="0"/>
      <w:marTop w:val="0"/>
      <w:marBottom w:val="0"/>
      <w:divBdr>
        <w:top w:val="none" w:sz="0" w:space="0" w:color="auto"/>
        <w:left w:val="none" w:sz="0" w:space="0" w:color="auto"/>
        <w:bottom w:val="none" w:sz="0" w:space="0" w:color="auto"/>
        <w:right w:val="none" w:sz="0" w:space="0" w:color="auto"/>
      </w:divBdr>
    </w:div>
    <w:div w:id="984427833">
      <w:bodyDiv w:val="1"/>
      <w:marLeft w:val="0"/>
      <w:marRight w:val="0"/>
      <w:marTop w:val="0"/>
      <w:marBottom w:val="0"/>
      <w:divBdr>
        <w:top w:val="none" w:sz="0" w:space="0" w:color="auto"/>
        <w:left w:val="none" w:sz="0" w:space="0" w:color="auto"/>
        <w:bottom w:val="none" w:sz="0" w:space="0" w:color="auto"/>
        <w:right w:val="none" w:sz="0" w:space="0" w:color="auto"/>
      </w:divBdr>
      <w:divsChild>
        <w:div w:id="648367651">
          <w:marLeft w:val="0"/>
          <w:marRight w:val="0"/>
          <w:marTop w:val="0"/>
          <w:marBottom w:val="0"/>
          <w:divBdr>
            <w:top w:val="none" w:sz="0" w:space="0" w:color="auto"/>
            <w:left w:val="none" w:sz="0" w:space="0" w:color="auto"/>
            <w:bottom w:val="none" w:sz="0" w:space="0" w:color="auto"/>
            <w:right w:val="none" w:sz="0" w:space="0" w:color="auto"/>
          </w:divBdr>
          <w:divsChild>
            <w:div w:id="327250830">
              <w:marLeft w:val="0"/>
              <w:marRight w:val="0"/>
              <w:marTop w:val="0"/>
              <w:marBottom w:val="0"/>
              <w:divBdr>
                <w:top w:val="none" w:sz="0" w:space="0" w:color="auto"/>
                <w:left w:val="none" w:sz="0" w:space="0" w:color="auto"/>
                <w:bottom w:val="none" w:sz="0" w:space="0" w:color="auto"/>
                <w:right w:val="none" w:sz="0" w:space="0" w:color="auto"/>
              </w:divBdr>
              <w:divsChild>
                <w:div w:id="1418939324">
                  <w:marLeft w:val="0"/>
                  <w:marRight w:val="0"/>
                  <w:marTop w:val="0"/>
                  <w:marBottom w:val="0"/>
                  <w:divBdr>
                    <w:top w:val="none" w:sz="0" w:space="0" w:color="auto"/>
                    <w:left w:val="none" w:sz="0" w:space="0" w:color="auto"/>
                    <w:bottom w:val="none" w:sz="0" w:space="0" w:color="auto"/>
                    <w:right w:val="none" w:sz="0" w:space="0" w:color="auto"/>
                  </w:divBdr>
                  <w:divsChild>
                    <w:div w:id="1898473915">
                      <w:marLeft w:val="1"/>
                      <w:marRight w:val="1"/>
                      <w:marTop w:val="0"/>
                      <w:marBottom w:val="0"/>
                      <w:divBdr>
                        <w:top w:val="none" w:sz="0" w:space="0" w:color="auto"/>
                        <w:left w:val="none" w:sz="0" w:space="0" w:color="auto"/>
                        <w:bottom w:val="none" w:sz="0" w:space="0" w:color="auto"/>
                        <w:right w:val="none" w:sz="0" w:space="0" w:color="auto"/>
                      </w:divBdr>
                      <w:divsChild>
                        <w:div w:id="571089105">
                          <w:marLeft w:val="0"/>
                          <w:marRight w:val="0"/>
                          <w:marTop w:val="0"/>
                          <w:marBottom w:val="0"/>
                          <w:divBdr>
                            <w:top w:val="none" w:sz="0" w:space="0" w:color="auto"/>
                            <w:left w:val="none" w:sz="0" w:space="0" w:color="auto"/>
                            <w:bottom w:val="none" w:sz="0" w:space="0" w:color="auto"/>
                            <w:right w:val="none" w:sz="0" w:space="0" w:color="auto"/>
                          </w:divBdr>
                          <w:divsChild>
                            <w:div w:id="1942028345">
                              <w:marLeft w:val="0"/>
                              <w:marRight w:val="0"/>
                              <w:marTop w:val="0"/>
                              <w:marBottom w:val="360"/>
                              <w:divBdr>
                                <w:top w:val="none" w:sz="0" w:space="0" w:color="auto"/>
                                <w:left w:val="none" w:sz="0" w:space="0" w:color="auto"/>
                                <w:bottom w:val="none" w:sz="0" w:space="0" w:color="auto"/>
                                <w:right w:val="none" w:sz="0" w:space="0" w:color="auto"/>
                              </w:divBdr>
                              <w:divsChild>
                                <w:div w:id="1028677515">
                                  <w:marLeft w:val="0"/>
                                  <w:marRight w:val="0"/>
                                  <w:marTop w:val="0"/>
                                  <w:marBottom w:val="0"/>
                                  <w:divBdr>
                                    <w:top w:val="none" w:sz="0" w:space="0" w:color="auto"/>
                                    <w:left w:val="none" w:sz="0" w:space="0" w:color="auto"/>
                                    <w:bottom w:val="none" w:sz="0" w:space="0" w:color="auto"/>
                                    <w:right w:val="none" w:sz="0" w:space="0" w:color="auto"/>
                                  </w:divBdr>
                                  <w:divsChild>
                                    <w:div w:id="14965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84F8A-8827-45E3-8A43-23C93843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8768</Words>
  <Characters>48853</Characters>
  <Application>Microsoft Office Word</Application>
  <DocSecurity>0</DocSecurity>
  <Lines>904</Lines>
  <Paragraphs>223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2016-04-20T07:51:00Z</dcterms:created>
  <dcterms:modified xsi:type="dcterms:W3CDTF">2016-04-26T08:52:00Z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