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5B53" w:rsidRDefault="00293B4B" w:rsidP="00293B4B">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alt="602F77E1C8EF4CFEA5DF7897204813AA" style="width:450.25pt;height:401.9pt">
            <v:imagedata r:id="rId9" o:title=""/>
          </v:shape>
        </w:pict>
      </w:r>
    </w:p>
    <w:bookmarkEnd w:id="0"/>
    <w:p w:rsidR="00575B53" w:rsidRDefault="00575B53">
      <w:pPr>
        <w:rPr>
          <w:noProof/>
        </w:rPr>
        <w:sectPr w:rsidR="00575B53" w:rsidSect="00293B4B">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rsidR="00575B53" w:rsidRDefault="00293B4B" w:rsidP="00293B4B">
      <w:pPr>
        <w:pStyle w:val="ListParagraph"/>
        <w:keepNext/>
        <w:numPr>
          <w:ilvl w:val="0"/>
          <w:numId w:val="1"/>
        </w:numPr>
        <w:spacing w:before="240" w:after="240"/>
        <w:ind w:left="357" w:hanging="357"/>
        <w:contextualSpacing w:val="0"/>
        <w:jc w:val="both"/>
        <w:rPr>
          <w:rFonts w:ascii="Times New Roman" w:hAnsi="Times New Roman" w:cs="Times New Roman"/>
          <w:b/>
          <w:noProof/>
          <w:sz w:val="24"/>
          <w:szCs w:val="24"/>
        </w:rPr>
      </w:pPr>
      <w:r>
        <w:rPr>
          <w:rFonts w:ascii="Times New Roman" w:hAnsi="Times New Roman" w:cs="Times New Roman"/>
          <w:b/>
          <w:noProof/>
          <w:sz w:val="24"/>
          <w:szCs w:val="24"/>
        </w:rPr>
        <w:lastRenderedPageBreak/>
        <w:t>Introduction</w:t>
      </w:r>
    </w:p>
    <w:p w:rsidR="00575B53" w:rsidRDefault="00293B4B">
      <w:pPr>
        <w:spacing w:before="120" w:after="0"/>
        <w:jc w:val="both"/>
        <w:rPr>
          <w:rFonts w:ascii="Times New Roman" w:hAnsi="Times New Roman" w:cs="Times New Roman"/>
          <w:noProof/>
          <w:sz w:val="24"/>
          <w:szCs w:val="24"/>
        </w:rPr>
      </w:pPr>
      <w:r>
        <w:rPr>
          <w:rFonts w:ascii="Times New Roman" w:hAnsi="Times New Roman" w:cs="Times New Roman"/>
          <w:noProof/>
          <w:sz w:val="24"/>
          <w:szCs w:val="24"/>
        </w:rPr>
        <w:t xml:space="preserve">The global transition to a low-carbon and circular economy has begun, given fresh </w:t>
      </w:r>
      <w:r>
        <w:rPr>
          <w:rFonts w:ascii="Times New Roman" w:hAnsi="Times New Roman" w:cs="Times New Roman"/>
          <w:noProof/>
          <w:sz w:val="24"/>
          <w:szCs w:val="24"/>
        </w:rPr>
        <w:t>impetus by the Paris Agreement on climate change</w:t>
      </w:r>
      <w:r>
        <w:rPr>
          <w:rStyle w:val="FootnoteReference"/>
          <w:rFonts w:ascii="Times New Roman" w:hAnsi="Times New Roman" w:cs="Times New Roman"/>
          <w:noProof/>
          <w:sz w:val="24"/>
          <w:szCs w:val="24"/>
        </w:rPr>
        <w:footnoteReference w:id="2"/>
      </w:r>
      <w:r>
        <w:rPr>
          <w:rFonts w:ascii="Times New Roman" w:hAnsi="Times New Roman" w:cs="Times New Roman"/>
          <w:noProof/>
          <w:sz w:val="24"/>
          <w:szCs w:val="24"/>
        </w:rPr>
        <w:t xml:space="preserve"> and the 2030 Agenda on Sustainable Development. This transition is necessary in order to provide jobs, growth and investment opportunities for present and future generations of Europeans, while mitigating d</w:t>
      </w:r>
      <w:r>
        <w:rPr>
          <w:rFonts w:ascii="Times New Roman" w:hAnsi="Times New Roman" w:cs="Times New Roman"/>
          <w:noProof/>
          <w:sz w:val="24"/>
          <w:szCs w:val="24"/>
        </w:rPr>
        <w:t>angerous climate change. If the EU does not maintain and exploit its first mover advantage when fostering renewable energy, energy efficiency and competing on the development of other low carbon technology markets globally, other regions will. Europe's eco</w:t>
      </w:r>
      <w:r>
        <w:rPr>
          <w:rFonts w:ascii="Times New Roman" w:hAnsi="Times New Roman" w:cs="Times New Roman"/>
          <w:noProof/>
          <w:sz w:val="24"/>
          <w:szCs w:val="24"/>
        </w:rPr>
        <w:t>nomic model is expected to change. It is our shared responsibility to ensure that the transition is fair and based on solidarity, so that none are left behind. The Energy Union framework strategy</w:t>
      </w:r>
      <w:r>
        <w:rPr>
          <w:rStyle w:val="FootnoteReference"/>
          <w:rFonts w:ascii="Times New Roman" w:hAnsi="Times New Roman" w:cs="Times New Roman"/>
          <w:noProof/>
          <w:sz w:val="24"/>
          <w:szCs w:val="24"/>
        </w:rPr>
        <w:footnoteReference w:id="3"/>
      </w:r>
      <w:r>
        <w:rPr>
          <w:rFonts w:ascii="Times New Roman" w:hAnsi="Times New Roman" w:cs="Times New Roman"/>
          <w:noProof/>
          <w:sz w:val="24"/>
          <w:szCs w:val="24"/>
        </w:rPr>
        <w:t xml:space="preserve"> contributes to this goal. </w:t>
      </w:r>
    </w:p>
    <w:p w:rsidR="00575B53" w:rsidRDefault="00293B4B">
      <w:pPr>
        <w:spacing w:before="120" w:after="0"/>
        <w:jc w:val="both"/>
        <w:rPr>
          <w:rFonts w:ascii="Times New Roman" w:hAnsi="Times New Roman" w:cs="Times New Roman"/>
          <w:noProof/>
          <w:sz w:val="24"/>
          <w:szCs w:val="24"/>
        </w:rPr>
      </w:pPr>
      <w:r>
        <w:rPr>
          <w:rFonts w:ascii="Times New Roman" w:hAnsi="Times New Roman" w:cs="Times New Roman"/>
          <w:noProof/>
          <w:sz w:val="24"/>
          <w:szCs w:val="24"/>
        </w:rPr>
        <w:t>The package of measures presente</w:t>
      </w:r>
      <w:r>
        <w:rPr>
          <w:rFonts w:ascii="Times New Roman" w:hAnsi="Times New Roman" w:cs="Times New Roman"/>
          <w:noProof/>
          <w:sz w:val="24"/>
          <w:szCs w:val="24"/>
        </w:rPr>
        <w:t>d by the Commission today helps Europe to prepare for the future and to stay competitive. It is primarily addressed to Member States, since they will be in the forefront of deciding how to implement measures to meet the agreed greenhouse gas emission targe</w:t>
      </w:r>
      <w:r>
        <w:rPr>
          <w:rFonts w:ascii="Times New Roman" w:hAnsi="Times New Roman" w:cs="Times New Roman"/>
          <w:noProof/>
          <w:sz w:val="24"/>
          <w:szCs w:val="24"/>
        </w:rPr>
        <w:t>t for 2030</w:t>
      </w:r>
      <w:r>
        <w:rPr>
          <w:rStyle w:val="FootnoteReference"/>
          <w:rFonts w:ascii="Times New Roman" w:hAnsi="Times New Roman" w:cs="Times New Roman"/>
          <w:noProof/>
          <w:sz w:val="24"/>
          <w:szCs w:val="24"/>
        </w:rPr>
        <w:footnoteReference w:id="4"/>
      </w:r>
      <w:r>
        <w:rPr>
          <w:rFonts w:ascii="Times New Roman" w:hAnsi="Times New Roman" w:cs="Times New Roman"/>
          <w:noProof/>
          <w:sz w:val="24"/>
          <w:szCs w:val="24"/>
        </w:rPr>
        <w:t xml:space="preserve">. </w:t>
      </w:r>
    </w:p>
    <w:p w:rsidR="00575B53" w:rsidRDefault="00293B4B">
      <w:pPr>
        <w:spacing w:before="120" w:after="0"/>
        <w:jc w:val="both"/>
        <w:rPr>
          <w:rFonts w:ascii="Times New Roman" w:hAnsi="Times New Roman" w:cs="Times New Roman"/>
          <w:noProof/>
          <w:sz w:val="24"/>
          <w:szCs w:val="24"/>
        </w:rPr>
      </w:pPr>
      <w:r>
        <w:rPr>
          <w:rFonts w:ascii="Times New Roman" w:hAnsi="Times New Roman" w:cs="Times New Roman"/>
          <w:noProof/>
          <w:sz w:val="24"/>
          <w:szCs w:val="24"/>
        </w:rPr>
        <w:t>But Member States cannot do it alone. The mobilisation in the run up to the Paris climate conference showed how important non-state actors are for delivering change. The EU also expects action from its businesses, farmers, researchers, invest</w:t>
      </w:r>
      <w:r>
        <w:rPr>
          <w:rFonts w:ascii="Times New Roman" w:hAnsi="Times New Roman" w:cs="Times New Roman"/>
          <w:noProof/>
          <w:sz w:val="24"/>
          <w:szCs w:val="24"/>
        </w:rPr>
        <w:t>ors, educators and social partners, amongst others. At the same time, the EU also has the responsibility to boost their action by providing EU-wide measures and enabling environment. It supports action by its cities, in which 80% of us live. They are among</w:t>
      </w:r>
      <w:r>
        <w:rPr>
          <w:rFonts w:ascii="Times New Roman" w:hAnsi="Times New Roman" w:cs="Times New Roman"/>
          <w:noProof/>
          <w:sz w:val="24"/>
          <w:szCs w:val="24"/>
        </w:rPr>
        <w:t xml:space="preserve"> the most dynamic and innovative actors in implementing a low-carbon, circular economy, often exceeding national levels of ambition. Rural communities are equally important, as they play a crucial role in providing sustainable natural resources and protect</w:t>
      </w:r>
      <w:r>
        <w:rPr>
          <w:rFonts w:ascii="Times New Roman" w:hAnsi="Times New Roman" w:cs="Times New Roman"/>
          <w:noProof/>
          <w:sz w:val="24"/>
          <w:szCs w:val="24"/>
        </w:rPr>
        <w:t xml:space="preserve">ing the environment for future generations. </w:t>
      </w:r>
    </w:p>
    <w:p w:rsidR="00575B53" w:rsidRDefault="00293B4B">
      <w:pPr>
        <w:spacing w:before="120" w:after="0"/>
        <w:jc w:val="both"/>
        <w:rPr>
          <w:rFonts w:ascii="Times New Roman" w:hAnsi="Times New Roman" w:cs="Times New Roman"/>
          <w:noProof/>
          <w:sz w:val="24"/>
          <w:szCs w:val="24"/>
        </w:rPr>
      </w:pPr>
      <w:r>
        <w:rPr>
          <w:rFonts w:ascii="Times New Roman" w:hAnsi="Times New Roman" w:cs="Times New Roman"/>
          <w:noProof/>
          <w:sz w:val="24"/>
          <w:szCs w:val="24"/>
        </w:rPr>
        <w:t>The EU is doing its utmost to maintain the positive momentum for climate action at the global level. No land is an island when faced with the threat of catastrophic climate change. That is why, at the highest po</w:t>
      </w:r>
      <w:r>
        <w:rPr>
          <w:rFonts w:ascii="Times New Roman" w:hAnsi="Times New Roman" w:cs="Times New Roman"/>
          <w:noProof/>
          <w:sz w:val="24"/>
          <w:szCs w:val="24"/>
        </w:rPr>
        <w:t>litical level, G7 leaders have committed to accelerate the transition to an energy system that enables decarbonisation of the global economy, as well as to set a deadline for ending most fossil fuel subsidies, pledging to end government support for coal, g</w:t>
      </w:r>
      <w:r>
        <w:rPr>
          <w:rFonts w:ascii="Times New Roman" w:hAnsi="Times New Roman" w:cs="Times New Roman"/>
          <w:noProof/>
          <w:sz w:val="24"/>
          <w:szCs w:val="24"/>
        </w:rPr>
        <w:t xml:space="preserve">as and oil by the end of 2025. </w:t>
      </w:r>
      <w:r>
        <w:rPr>
          <w:rFonts w:ascii="Times New Roman" w:eastAsia="Arial Unicode MS" w:hAnsi="Times New Roman" w:cs="Times New Roman"/>
          <w:noProof/>
          <w:sz w:val="24"/>
          <w:szCs w:val="24"/>
        </w:rPr>
        <w:t xml:space="preserve">The EU's cities will play a pivotal role in a new coalition of cities around the world, which could be a further opportunity to engage internationally in continuing the fight against climate change at local level. </w:t>
      </w:r>
      <w:r>
        <w:rPr>
          <w:rFonts w:ascii="Times New Roman" w:hAnsi="Times New Roman"/>
          <w:noProof/>
          <w:sz w:val="24"/>
          <w:szCs w:val="24"/>
        </w:rPr>
        <w:t>The growing</w:t>
      </w:r>
      <w:r>
        <w:rPr>
          <w:rFonts w:ascii="Times New Roman" w:hAnsi="Times New Roman"/>
          <w:noProof/>
          <w:sz w:val="24"/>
          <w:szCs w:val="24"/>
        </w:rPr>
        <w:t xml:space="preserve"> sense of urgency to address the link between climate change, and fragility and security was reaffirmed in this year's EU climate diplomacy action plan</w:t>
      </w:r>
      <w:r>
        <w:rPr>
          <w:rStyle w:val="FootnoteReference"/>
          <w:rFonts w:ascii="Times New Roman" w:hAnsi="Times New Roman"/>
          <w:noProof/>
          <w:sz w:val="24"/>
          <w:szCs w:val="24"/>
        </w:rPr>
        <w:footnoteReference w:id="5"/>
      </w:r>
      <w:r>
        <w:rPr>
          <w:rFonts w:ascii="Times New Roman" w:hAnsi="Times New Roman"/>
          <w:noProof/>
          <w:sz w:val="24"/>
          <w:szCs w:val="24"/>
        </w:rPr>
        <w:t>.</w:t>
      </w:r>
      <w:r>
        <w:rPr>
          <w:rFonts w:ascii="Times New Roman" w:hAnsi="Times New Roman" w:cs="Times New Roman"/>
          <w:noProof/>
          <w:sz w:val="24"/>
          <w:szCs w:val="24"/>
        </w:rPr>
        <w:t xml:space="preserve"> </w:t>
      </w:r>
    </w:p>
    <w:p w:rsidR="00575B53" w:rsidRDefault="00293B4B">
      <w:pPr>
        <w:spacing w:before="120" w:after="0"/>
        <w:jc w:val="both"/>
        <w:rPr>
          <w:rFonts w:ascii="Times New Roman" w:hAnsi="Times New Roman" w:cs="Times New Roman"/>
          <w:noProof/>
          <w:sz w:val="24"/>
          <w:szCs w:val="24"/>
        </w:rPr>
      </w:pPr>
      <w:r>
        <w:rPr>
          <w:rFonts w:ascii="Times New Roman" w:hAnsi="Times New Roman" w:cs="Times New Roman"/>
          <w:noProof/>
          <w:sz w:val="24"/>
          <w:szCs w:val="24"/>
        </w:rPr>
        <w:t>The EU has all the potential to turn the climate change challenge into an opportunity. In this global</w:t>
      </w:r>
      <w:r>
        <w:rPr>
          <w:rFonts w:ascii="Times New Roman" w:hAnsi="Times New Roman" w:cs="Times New Roman"/>
          <w:noProof/>
          <w:sz w:val="24"/>
          <w:szCs w:val="24"/>
        </w:rPr>
        <w:t xml:space="preserve"> context, Europe is a leader in developing innovative low-carbon technologies and </w:t>
      </w:r>
      <w:r>
        <w:rPr>
          <w:rFonts w:ascii="Times New Roman" w:hAnsi="Times New Roman" w:cs="Times New Roman"/>
          <w:noProof/>
          <w:sz w:val="24"/>
          <w:szCs w:val="24"/>
        </w:rPr>
        <w:lastRenderedPageBreak/>
        <w:t>services, not only in the energy sector but also in industry, buildings and transport. It should maintain this leadership. We have to continue to equip Europeans with the rig</w:t>
      </w:r>
      <w:r>
        <w:rPr>
          <w:rFonts w:ascii="Times New Roman" w:hAnsi="Times New Roman" w:cs="Times New Roman"/>
          <w:noProof/>
          <w:sz w:val="24"/>
          <w:szCs w:val="24"/>
        </w:rPr>
        <w:t>ht skills for the low-carbon economy, invest in our children's future and help industry to adjust to changing needs. Europe has promised ambitious action, and it will deliver what it has promised.</w:t>
      </w:r>
    </w:p>
    <w:p w:rsidR="00575B53" w:rsidRDefault="00293B4B" w:rsidP="00293B4B">
      <w:pPr>
        <w:pStyle w:val="ListParagraph"/>
        <w:keepNext/>
        <w:numPr>
          <w:ilvl w:val="0"/>
          <w:numId w:val="1"/>
        </w:numPr>
        <w:spacing w:before="240" w:after="240"/>
        <w:ind w:left="357" w:hanging="357"/>
        <w:contextualSpacing w:val="0"/>
        <w:jc w:val="both"/>
        <w:rPr>
          <w:rFonts w:ascii="Times New Roman" w:hAnsi="Times New Roman" w:cs="Times New Roman"/>
          <w:b/>
          <w:noProof/>
          <w:sz w:val="24"/>
          <w:szCs w:val="24"/>
        </w:rPr>
      </w:pPr>
      <w:r>
        <w:rPr>
          <w:rFonts w:ascii="Times New Roman" w:hAnsi="Times New Roman" w:cs="Times New Roman"/>
          <w:b/>
          <w:noProof/>
          <w:sz w:val="24"/>
          <w:szCs w:val="24"/>
        </w:rPr>
        <w:t>Guiding principles of a regulatory framework for a low-carb</w:t>
      </w:r>
      <w:r>
        <w:rPr>
          <w:rFonts w:ascii="Times New Roman" w:hAnsi="Times New Roman" w:cs="Times New Roman"/>
          <w:b/>
          <w:noProof/>
          <w:sz w:val="24"/>
          <w:szCs w:val="24"/>
        </w:rPr>
        <w:t>on transition in all sectors of the economy</w:t>
      </w:r>
    </w:p>
    <w:p w:rsidR="00575B53" w:rsidRDefault="00293B4B">
      <w:pPr>
        <w:spacing w:before="120" w:after="0"/>
        <w:jc w:val="both"/>
        <w:rPr>
          <w:rFonts w:ascii="Times New Roman" w:hAnsi="Times New Roman" w:cs="Times New Roman"/>
          <w:noProof/>
          <w:sz w:val="24"/>
          <w:szCs w:val="24"/>
        </w:rPr>
      </w:pPr>
      <w:r>
        <w:rPr>
          <w:rFonts w:ascii="Times New Roman" w:hAnsi="Times New Roman" w:cs="Times New Roman"/>
          <w:noProof/>
          <w:sz w:val="24"/>
          <w:szCs w:val="24"/>
        </w:rPr>
        <w:t>The EU agreed in October 2014 a clear commitment: a binding, economy-wide emissions reduction target of at least 40% by 2030, compared to 1990 levels. This commitment is in line with a cost-effective pathway to reach the EU's long-term climate objective an</w:t>
      </w:r>
      <w:r>
        <w:rPr>
          <w:rFonts w:ascii="Times New Roman" w:hAnsi="Times New Roman" w:cs="Times New Roman"/>
          <w:noProof/>
          <w:sz w:val="24"/>
          <w:szCs w:val="24"/>
        </w:rPr>
        <w:t xml:space="preserve">d became the basis for EU's international commitment under the Paris Agreement on climate change and will be delivered by all Member States collectively. </w:t>
      </w:r>
    </w:p>
    <w:p w:rsidR="00575B53" w:rsidRDefault="00293B4B">
      <w:pPr>
        <w:spacing w:before="120" w:after="0"/>
        <w:jc w:val="both"/>
        <w:rPr>
          <w:rFonts w:ascii="Times New Roman" w:hAnsi="Times New Roman" w:cs="Times New Roman"/>
          <w:noProof/>
          <w:sz w:val="24"/>
          <w:szCs w:val="24"/>
        </w:rPr>
      </w:pPr>
      <w:r>
        <w:rPr>
          <w:rFonts w:ascii="Times New Roman" w:hAnsi="Times New Roman" w:cs="Times New Roman"/>
          <w:noProof/>
          <w:sz w:val="24"/>
          <w:szCs w:val="24"/>
        </w:rPr>
        <w:t>To start implementing that commitment, in July 2015, the Commission presented a proposal to reform th</w:t>
      </w:r>
      <w:r>
        <w:rPr>
          <w:rFonts w:ascii="Times New Roman" w:hAnsi="Times New Roman" w:cs="Times New Roman"/>
          <w:noProof/>
          <w:sz w:val="24"/>
          <w:szCs w:val="24"/>
        </w:rPr>
        <w:t>e EU Emissions Trading System to make it fit for purpose and drive investments after 2020 in the industrial and power sectors</w:t>
      </w:r>
      <w:r>
        <w:rPr>
          <w:rStyle w:val="FootnoteReference"/>
          <w:rFonts w:ascii="Times New Roman" w:hAnsi="Times New Roman" w:cs="Times New Roman"/>
          <w:noProof/>
          <w:sz w:val="24"/>
          <w:szCs w:val="24"/>
        </w:rPr>
        <w:footnoteReference w:id="6"/>
      </w:r>
      <w:r>
        <w:rPr>
          <w:rFonts w:ascii="Times New Roman" w:hAnsi="Times New Roman" w:cs="Times New Roman"/>
          <w:noProof/>
          <w:sz w:val="24"/>
          <w:szCs w:val="24"/>
        </w:rPr>
        <w:t>. The European Parliament and Member State governments in the Council should do their utmost to adopt this proposal quickly. The p</w:t>
      </w:r>
      <w:r>
        <w:rPr>
          <w:rFonts w:ascii="Times New Roman" w:hAnsi="Times New Roman" w:cs="Times New Roman"/>
          <w:noProof/>
          <w:sz w:val="24"/>
          <w:szCs w:val="24"/>
        </w:rPr>
        <w:t>resent package of measures addresses the other main elements of the economy that will contribute to climate action: the sectors of buildings, transport, waste, agriculture</w:t>
      </w:r>
      <w:r>
        <w:rPr>
          <w:rStyle w:val="FootnoteReference"/>
          <w:rFonts w:ascii="Times New Roman" w:hAnsi="Times New Roman" w:cs="Times New Roman"/>
          <w:noProof/>
          <w:sz w:val="24"/>
          <w:szCs w:val="24"/>
        </w:rPr>
        <w:footnoteReference w:id="7"/>
      </w:r>
      <w:r>
        <w:rPr>
          <w:rFonts w:ascii="Times New Roman" w:hAnsi="Times New Roman" w:cs="Times New Roman"/>
          <w:noProof/>
          <w:sz w:val="24"/>
          <w:szCs w:val="24"/>
        </w:rPr>
        <w:t xml:space="preserve">, as well as land-use and forestry. </w:t>
      </w:r>
    </w:p>
    <w:p w:rsidR="00575B53" w:rsidRDefault="00293B4B">
      <w:pPr>
        <w:spacing w:before="120" w:after="0"/>
        <w:jc w:val="both"/>
        <w:rPr>
          <w:rFonts w:ascii="Times New Roman" w:hAnsi="Times New Roman" w:cs="Times New Roman"/>
          <w:noProof/>
          <w:sz w:val="24"/>
          <w:szCs w:val="24"/>
        </w:rPr>
      </w:pPr>
      <w:r>
        <w:rPr>
          <w:rFonts w:ascii="Times New Roman" w:hAnsi="Times New Roman" w:cs="Times New Roman"/>
          <w:noProof/>
          <w:sz w:val="24"/>
          <w:szCs w:val="24"/>
        </w:rPr>
        <w:t>Building on the guiding principles for EU clima</w:t>
      </w:r>
      <w:r>
        <w:rPr>
          <w:rFonts w:ascii="Times New Roman" w:hAnsi="Times New Roman" w:cs="Times New Roman"/>
          <w:noProof/>
          <w:sz w:val="24"/>
          <w:szCs w:val="24"/>
        </w:rPr>
        <w:t xml:space="preserve">te action so far, the new regulatory framework is based on the key principles of fairness, solidarity, flexibility and environmental integrity. </w:t>
      </w:r>
    </w:p>
    <w:p w:rsidR="00575B53" w:rsidRDefault="00293B4B">
      <w:pPr>
        <w:spacing w:before="120" w:after="0"/>
        <w:jc w:val="both"/>
        <w:rPr>
          <w:rFonts w:ascii="Times New Roman" w:hAnsi="Times New Roman"/>
          <w:noProof/>
          <w:sz w:val="24"/>
        </w:rPr>
      </w:pPr>
      <w:r>
        <w:rPr>
          <w:rFonts w:ascii="Times New Roman" w:hAnsi="Times New Roman" w:cs="Times New Roman"/>
          <w:noProof/>
          <w:sz w:val="24"/>
          <w:szCs w:val="24"/>
        </w:rPr>
        <w:t xml:space="preserve">To ensure fairness and solidarity, </w:t>
      </w:r>
      <w:r>
        <w:rPr>
          <w:rFonts w:ascii="Times New Roman" w:hAnsi="Times New Roman"/>
          <w:noProof/>
          <w:sz w:val="24"/>
        </w:rPr>
        <w:t>embedded in the climate and energy framework for 2030 as agreed by the Europ</w:t>
      </w:r>
      <w:r>
        <w:rPr>
          <w:rFonts w:ascii="Times New Roman" w:hAnsi="Times New Roman"/>
          <w:noProof/>
          <w:sz w:val="24"/>
        </w:rPr>
        <w:t xml:space="preserve">ean Council, the Commission proposes differentiated national emission reduction targets for 2030 that take account of the gross domestic product of each Member State to reflect relative wealth. The levels of the targets </w:t>
      </w:r>
      <w:r>
        <w:rPr>
          <w:rFonts w:ascii="Times New Roman" w:hAnsi="Times New Roman" w:cs="Times New Roman"/>
          <w:noProof/>
          <w:sz w:val="24"/>
          <w:szCs w:val="24"/>
        </w:rPr>
        <w:t xml:space="preserve">for individual richer Member States </w:t>
      </w:r>
      <w:r>
        <w:rPr>
          <w:rFonts w:ascii="Times New Roman" w:hAnsi="Times New Roman" w:cs="Times New Roman"/>
          <w:noProof/>
          <w:sz w:val="24"/>
          <w:szCs w:val="24"/>
        </w:rPr>
        <w:t xml:space="preserve">are further adapted among themselves to </w:t>
      </w:r>
      <w:r>
        <w:rPr>
          <w:rFonts w:ascii="Times New Roman" w:hAnsi="Times New Roman"/>
          <w:noProof/>
          <w:sz w:val="24"/>
        </w:rPr>
        <w:t xml:space="preserve">take into account cost-effectiveness. </w:t>
      </w:r>
    </w:p>
    <w:p w:rsidR="00575B53" w:rsidRDefault="00293B4B">
      <w:pPr>
        <w:spacing w:before="120" w:after="0"/>
        <w:jc w:val="both"/>
        <w:rPr>
          <w:rFonts w:ascii="Times New Roman" w:hAnsi="Times New Roman" w:cs="Times New Roman"/>
          <w:noProof/>
          <w:sz w:val="24"/>
          <w:szCs w:val="24"/>
        </w:rPr>
      </w:pPr>
      <w:r>
        <w:rPr>
          <w:rFonts w:ascii="Times New Roman" w:hAnsi="Times New Roman" w:cs="Times New Roman"/>
          <w:noProof/>
          <w:sz w:val="24"/>
          <w:szCs w:val="24"/>
        </w:rPr>
        <w:t>Furthermore</w:t>
      </w:r>
      <w:r>
        <w:rPr>
          <w:rFonts w:ascii="Times New Roman" w:hAnsi="Times New Roman"/>
          <w:noProof/>
          <w:sz w:val="24"/>
        </w:rPr>
        <w:t>, the proposal creates a flexible system in which Member States can reduce emissions jointly, across a number of sectors and over time</w:t>
      </w:r>
      <w:r>
        <w:rPr>
          <w:rFonts w:ascii="Times New Roman" w:hAnsi="Times New Roman" w:cs="Times New Roman"/>
          <w:noProof/>
          <w:sz w:val="24"/>
          <w:szCs w:val="24"/>
        </w:rPr>
        <w:t xml:space="preserve">, reflecting also the different </w:t>
      </w:r>
      <w:r>
        <w:rPr>
          <w:rFonts w:ascii="Times New Roman" w:hAnsi="Times New Roman" w:cs="Times New Roman"/>
          <w:noProof/>
          <w:sz w:val="24"/>
          <w:szCs w:val="24"/>
        </w:rPr>
        <w:t>structure of Member States' economies.</w:t>
      </w:r>
      <w:r>
        <w:rPr>
          <w:rFonts w:ascii="Times New Roman" w:hAnsi="Times New Roman"/>
          <w:noProof/>
          <w:sz w:val="24"/>
        </w:rPr>
        <w:t xml:space="preserve"> It will allow </w:t>
      </w:r>
      <w:r>
        <w:rPr>
          <w:rFonts w:ascii="Times New Roman" w:hAnsi="Times New Roman" w:cs="Times New Roman"/>
          <w:noProof/>
          <w:sz w:val="24"/>
          <w:szCs w:val="24"/>
        </w:rPr>
        <w:t>trade in emission allocations between Member States</w:t>
      </w:r>
      <w:r>
        <w:rPr>
          <w:rFonts w:ascii="Times New Roman" w:hAnsi="Times New Roman"/>
          <w:noProof/>
          <w:sz w:val="24"/>
        </w:rPr>
        <w:t xml:space="preserve"> or the development of projects to reduce emissions in other Member States. This will facilitate investments flows across the EU towards where they are </w:t>
      </w:r>
      <w:r>
        <w:rPr>
          <w:rFonts w:ascii="Times New Roman" w:hAnsi="Times New Roman"/>
          <w:noProof/>
          <w:sz w:val="24"/>
        </w:rPr>
        <w:t>most needed to modernise the economy and where they will deliver the highest benefits at the lowest costs</w:t>
      </w:r>
      <w:r>
        <w:rPr>
          <w:rStyle w:val="FootnoteReference"/>
          <w:rFonts w:ascii="Times New Roman" w:hAnsi="Times New Roman"/>
          <w:noProof/>
          <w:sz w:val="24"/>
        </w:rPr>
        <w:footnoteReference w:id="8"/>
      </w:r>
      <w:r>
        <w:rPr>
          <w:rFonts w:ascii="Times New Roman" w:hAnsi="Times New Roman"/>
          <w:noProof/>
          <w:sz w:val="24"/>
        </w:rPr>
        <w:t>.</w:t>
      </w:r>
    </w:p>
    <w:p w:rsidR="00575B53" w:rsidRDefault="00293B4B">
      <w:pPr>
        <w:spacing w:before="120" w:after="0"/>
        <w:jc w:val="both"/>
        <w:rPr>
          <w:rFonts w:ascii="Times New Roman" w:hAnsi="Times New Roman" w:cs="Times New Roman"/>
          <w:noProof/>
          <w:sz w:val="24"/>
          <w:szCs w:val="24"/>
        </w:rPr>
      </w:pPr>
      <w:r>
        <w:rPr>
          <w:rFonts w:ascii="Times New Roman" w:hAnsi="Times New Roman" w:cs="Times New Roman"/>
          <w:noProof/>
          <w:sz w:val="24"/>
          <w:szCs w:val="24"/>
        </w:rPr>
        <w:t>This is the first time that the land-use and forestry sector is included in the EU energy and climate framework. The Commission proposes a careful b</w:t>
      </w:r>
      <w:r>
        <w:rPr>
          <w:rFonts w:ascii="Times New Roman" w:hAnsi="Times New Roman" w:cs="Times New Roman"/>
          <w:noProof/>
          <w:sz w:val="24"/>
          <w:szCs w:val="24"/>
        </w:rPr>
        <w:t xml:space="preserve">alance between more incentives to capture carbon and reduce emissions from soil and forests and the need to maintain the environmental integrity of the EU climate framework, so as to incentivise emission reductions </w:t>
      </w:r>
      <w:r>
        <w:rPr>
          <w:rFonts w:ascii="Times New Roman" w:hAnsi="Times New Roman" w:cs="Times New Roman"/>
          <w:noProof/>
          <w:sz w:val="24"/>
          <w:szCs w:val="24"/>
        </w:rPr>
        <w:lastRenderedPageBreak/>
        <w:t>in the buildings, transport and agricultu</w:t>
      </w:r>
      <w:r>
        <w:rPr>
          <w:rFonts w:ascii="Times New Roman" w:hAnsi="Times New Roman" w:cs="Times New Roman"/>
          <w:noProof/>
          <w:sz w:val="24"/>
          <w:szCs w:val="24"/>
        </w:rPr>
        <w:t>re sectors. Therefore flexibility towards other sectors will be limited.</w:t>
      </w:r>
    </w:p>
    <w:p w:rsidR="00575B53" w:rsidRDefault="00293B4B">
      <w:pPr>
        <w:spacing w:before="120" w:after="0"/>
        <w:jc w:val="both"/>
        <w:rPr>
          <w:rFonts w:ascii="Times New Roman" w:hAnsi="Times New Roman" w:cs="Times New Roman"/>
          <w:noProof/>
          <w:sz w:val="24"/>
          <w:szCs w:val="24"/>
        </w:rPr>
      </w:pPr>
      <w:r>
        <w:rPr>
          <w:rFonts w:ascii="Times New Roman" w:hAnsi="Times New Roman" w:cs="Times New Roman"/>
          <w:noProof/>
          <w:sz w:val="24"/>
          <w:szCs w:val="24"/>
        </w:rPr>
        <w:t>The proposed Regulation for these sectors provides more robust accounting rules for land, land-use and forestry. As forest management is the main source of biomass for energy and wood</w:t>
      </w:r>
      <w:r>
        <w:rPr>
          <w:rFonts w:ascii="Times New Roman" w:hAnsi="Times New Roman" w:cs="Times New Roman"/>
          <w:noProof/>
          <w:sz w:val="24"/>
          <w:szCs w:val="24"/>
        </w:rPr>
        <w:t xml:space="preserve"> production, more robust accounting rules for forest management will provide a solid basis for Europe's renewables policy and the further development the bio-economy after 2020.</w:t>
      </w:r>
    </w:p>
    <w:p w:rsidR="00575B53" w:rsidRDefault="00293B4B" w:rsidP="00293B4B">
      <w:pPr>
        <w:pStyle w:val="ListParagraph"/>
        <w:keepNext/>
        <w:numPr>
          <w:ilvl w:val="0"/>
          <w:numId w:val="1"/>
        </w:numPr>
        <w:spacing w:before="240" w:after="240"/>
        <w:ind w:left="357" w:hanging="357"/>
        <w:contextualSpacing w:val="0"/>
        <w:jc w:val="both"/>
        <w:rPr>
          <w:rFonts w:ascii="Times New Roman" w:hAnsi="Times New Roman" w:cs="Times New Roman"/>
          <w:b/>
          <w:noProof/>
          <w:sz w:val="24"/>
          <w:szCs w:val="24"/>
        </w:rPr>
      </w:pPr>
      <w:r>
        <w:rPr>
          <w:rFonts w:ascii="Times New Roman" w:hAnsi="Times New Roman" w:cs="Times New Roman"/>
          <w:b/>
          <w:noProof/>
          <w:sz w:val="24"/>
          <w:szCs w:val="24"/>
        </w:rPr>
        <w:t>Fostering the enabling environment for low-carbon transition in the EU</w:t>
      </w:r>
    </w:p>
    <w:p w:rsidR="00575B53" w:rsidRDefault="00293B4B">
      <w:pPr>
        <w:spacing w:before="240" w:after="120"/>
        <w:jc w:val="both"/>
        <w:rPr>
          <w:rFonts w:ascii="Times New Roman" w:hAnsi="Times New Roman"/>
          <w:i/>
          <w:noProof/>
          <w:sz w:val="24"/>
        </w:rPr>
      </w:pPr>
      <w:r>
        <w:rPr>
          <w:rFonts w:ascii="Times New Roman" w:hAnsi="Times New Roman" w:cs="Times New Roman"/>
          <w:noProof/>
          <w:sz w:val="24"/>
          <w:szCs w:val="24"/>
        </w:rPr>
        <w:t>Buildin</w:t>
      </w:r>
      <w:r>
        <w:rPr>
          <w:rFonts w:ascii="Times New Roman" w:hAnsi="Times New Roman" w:cs="Times New Roman"/>
          <w:noProof/>
          <w:sz w:val="24"/>
          <w:szCs w:val="24"/>
        </w:rPr>
        <w:t>g on this regulatory framework, it</w:t>
      </w:r>
      <w:r>
        <w:rPr>
          <w:rFonts w:ascii="Times New Roman" w:hAnsi="Times New Roman"/>
          <w:noProof/>
          <w:sz w:val="24"/>
        </w:rPr>
        <w:t xml:space="preserve"> is up to the Member States to design measures that are most appropriate to reap the benefits of the shift to a low-carbon economy and achieve their targets. </w:t>
      </w:r>
      <w:r>
        <w:rPr>
          <w:rFonts w:ascii="Times New Roman" w:hAnsi="Times New Roman" w:cs="Times New Roman"/>
          <w:noProof/>
          <w:sz w:val="24"/>
          <w:szCs w:val="24"/>
        </w:rPr>
        <w:t>The EU will support the Member States with</w:t>
      </w:r>
      <w:r>
        <w:rPr>
          <w:rFonts w:ascii="Times New Roman" w:hAnsi="Times New Roman"/>
          <w:noProof/>
          <w:sz w:val="24"/>
        </w:rPr>
        <w:t xml:space="preserve"> a number of tools and enabling measures. </w:t>
      </w:r>
    </w:p>
    <w:p w:rsidR="00575B53" w:rsidRDefault="00293B4B" w:rsidP="00293B4B">
      <w:pPr>
        <w:pStyle w:val="ListParagraph"/>
        <w:keepNext/>
        <w:numPr>
          <w:ilvl w:val="1"/>
          <w:numId w:val="1"/>
        </w:numPr>
        <w:spacing w:before="240" w:after="120"/>
        <w:ind w:left="788" w:hanging="431"/>
        <w:contextualSpacing w:val="0"/>
        <w:jc w:val="both"/>
        <w:rPr>
          <w:rFonts w:ascii="Times New Roman" w:hAnsi="Times New Roman" w:cs="Times New Roman"/>
          <w:i/>
          <w:noProof/>
          <w:sz w:val="24"/>
          <w:szCs w:val="24"/>
        </w:rPr>
      </w:pPr>
      <w:r>
        <w:rPr>
          <w:rFonts w:ascii="Times New Roman" w:hAnsi="Times New Roman" w:cs="Times New Roman"/>
          <w:i/>
          <w:noProof/>
          <w:sz w:val="24"/>
          <w:szCs w:val="24"/>
        </w:rPr>
        <w:t>The Energy Union Strategy and other sector-specific initiatives</w:t>
      </w:r>
    </w:p>
    <w:p w:rsidR="00575B53" w:rsidRDefault="00293B4B">
      <w:pPr>
        <w:pStyle w:val="CommentText"/>
        <w:spacing w:before="120" w:after="0" w:line="276" w:lineRule="auto"/>
        <w:jc w:val="both"/>
        <w:rPr>
          <w:rFonts w:ascii="Times New Roman" w:hAnsi="Times New Roman" w:cs="Times New Roman"/>
          <w:noProof/>
          <w:sz w:val="24"/>
          <w:szCs w:val="24"/>
        </w:rPr>
      </w:pPr>
      <w:r>
        <w:rPr>
          <w:rFonts w:ascii="Times New Roman" w:hAnsi="Times New Roman" w:cs="Times New Roman"/>
          <w:noProof/>
          <w:sz w:val="24"/>
          <w:szCs w:val="24"/>
        </w:rPr>
        <w:t>Given the importance of transport in the EU emissions, the Commission is presenting a strategy on low-emission mobility which identifies the key leve</w:t>
      </w:r>
      <w:r>
        <w:rPr>
          <w:rFonts w:ascii="Times New Roman" w:hAnsi="Times New Roman" w:cs="Times New Roman"/>
          <w:noProof/>
          <w:sz w:val="24"/>
          <w:szCs w:val="24"/>
        </w:rPr>
        <w:t>rs in the field of transport, including EU-wide measures on low and zero-emission vehicles and alternative low-emissions fuels. The Strategy also underlines the need to make the most of the synergies between the transport and energy systems.</w:t>
      </w:r>
    </w:p>
    <w:p w:rsidR="00575B53" w:rsidRDefault="00293B4B">
      <w:pPr>
        <w:spacing w:before="120" w:after="0"/>
        <w:jc w:val="both"/>
        <w:rPr>
          <w:rFonts w:ascii="Times New Roman" w:hAnsi="Times New Roman" w:cs="Times New Roman"/>
          <w:noProof/>
          <w:sz w:val="24"/>
          <w:szCs w:val="24"/>
        </w:rPr>
      </w:pPr>
      <w:r>
        <w:rPr>
          <w:rFonts w:ascii="Times New Roman" w:hAnsi="Times New Roman" w:cs="Times New Roman"/>
          <w:noProof/>
          <w:sz w:val="24"/>
          <w:szCs w:val="24"/>
        </w:rPr>
        <w:t>As regards bui</w:t>
      </w:r>
      <w:r>
        <w:rPr>
          <w:rFonts w:ascii="Times New Roman" w:hAnsi="Times New Roman" w:cs="Times New Roman"/>
          <w:noProof/>
          <w:sz w:val="24"/>
          <w:szCs w:val="24"/>
        </w:rPr>
        <w:t>ldings, the Commission is reviewing the existing EU-framework for energy efficiency and will present proposals later this year, including on how to attract financing into buildings renovation. The Commission will also finalise this year a voluntary industr</w:t>
      </w:r>
      <w:r>
        <w:rPr>
          <w:rFonts w:ascii="Times New Roman" w:hAnsi="Times New Roman" w:cs="Times New Roman"/>
          <w:noProof/>
          <w:sz w:val="24"/>
          <w:szCs w:val="24"/>
        </w:rPr>
        <w:t>y-wide recycling protocol for construction and demolition waste. Given the more limited scope for emissions reductions in agriculture and land-use sectors, the land-use and forestry proposal will create additional incentives for carbon sequestration in the</w:t>
      </w:r>
      <w:r>
        <w:rPr>
          <w:rFonts w:ascii="Times New Roman" w:hAnsi="Times New Roman" w:cs="Times New Roman"/>
          <w:noProof/>
          <w:sz w:val="24"/>
          <w:szCs w:val="24"/>
        </w:rPr>
        <w:t xml:space="preserve">se related activities. Moreover, the reformed Common Agricultural Policy provides different instruments and measures in its two pillars to promote climate action.  The review of EU-wide policy addressing the use of fertilisers is expected to contribute to </w:t>
      </w:r>
      <w:r>
        <w:rPr>
          <w:rFonts w:ascii="Times New Roman" w:hAnsi="Times New Roman" w:cs="Times New Roman"/>
          <w:noProof/>
          <w:sz w:val="24"/>
          <w:szCs w:val="24"/>
        </w:rPr>
        <w:t xml:space="preserve">a reduction of emissions from mined and synthetic fertilisers. After agriculture, the waste sector is currently the second most important sector emitting non-carbon dioxide emissions. The Waste Management Framework Directive and in particular the Landfill </w:t>
      </w:r>
      <w:r>
        <w:rPr>
          <w:rFonts w:ascii="Times New Roman" w:hAnsi="Times New Roman"/>
          <w:noProof/>
          <w:sz w:val="24"/>
        </w:rPr>
        <w:t>Directive,</w:t>
      </w:r>
      <w:r>
        <w:rPr>
          <w:rFonts w:ascii="Times New Roman" w:hAnsi="Times New Roman" w:cs="Times New Roman"/>
          <w:noProof/>
          <w:sz w:val="24"/>
          <w:szCs w:val="24"/>
        </w:rPr>
        <w:t xml:space="preserve"> for which the Commission proposed revisions last year, are expected to contribute to a significant reduction of emissions from waste.</w:t>
      </w:r>
    </w:p>
    <w:p w:rsidR="00575B53" w:rsidRDefault="00293B4B">
      <w:pPr>
        <w:spacing w:before="120" w:after="0"/>
        <w:jc w:val="both"/>
        <w:rPr>
          <w:rFonts w:ascii="Times New Roman" w:hAnsi="Times New Roman" w:cs="Times New Roman"/>
          <w:noProof/>
          <w:sz w:val="24"/>
          <w:szCs w:val="24"/>
        </w:rPr>
      </w:pPr>
      <w:r>
        <w:rPr>
          <w:rFonts w:ascii="Times New Roman" w:hAnsi="Times New Roman" w:cs="Times New Roman"/>
          <w:noProof/>
          <w:sz w:val="24"/>
          <w:szCs w:val="24"/>
        </w:rPr>
        <w:t>Member States can only reap the benefits of these EU-wide measures if they implement and enforce them properly.</w:t>
      </w:r>
      <w:r>
        <w:rPr>
          <w:rFonts w:ascii="Times New Roman" w:hAnsi="Times New Roman" w:cs="Times New Roman"/>
          <w:noProof/>
          <w:sz w:val="24"/>
          <w:szCs w:val="24"/>
        </w:rPr>
        <w:t xml:space="preserve"> </w:t>
      </w:r>
    </w:p>
    <w:p w:rsidR="00575B53" w:rsidRDefault="00293B4B" w:rsidP="00293B4B">
      <w:pPr>
        <w:pStyle w:val="ListParagraph"/>
        <w:keepNext/>
        <w:numPr>
          <w:ilvl w:val="1"/>
          <w:numId w:val="1"/>
        </w:numPr>
        <w:spacing w:before="240" w:after="120"/>
        <w:ind w:left="788" w:hanging="431"/>
        <w:contextualSpacing w:val="0"/>
        <w:jc w:val="both"/>
        <w:rPr>
          <w:rFonts w:ascii="Times New Roman" w:hAnsi="Times New Roman" w:cs="Times New Roman"/>
          <w:i/>
          <w:noProof/>
          <w:sz w:val="24"/>
          <w:szCs w:val="24"/>
        </w:rPr>
      </w:pPr>
      <w:r>
        <w:rPr>
          <w:rFonts w:ascii="Times New Roman" w:hAnsi="Times New Roman" w:cs="Times New Roman"/>
          <w:i/>
          <w:noProof/>
          <w:sz w:val="24"/>
          <w:szCs w:val="24"/>
        </w:rPr>
        <w:t xml:space="preserve">Cross-cutting tools and drivers </w:t>
      </w:r>
    </w:p>
    <w:p w:rsidR="00575B53" w:rsidRDefault="00293B4B">
      <w:pPr>
        <w:spacing w:before="240" w:after="120"/>
        <w:jc w:val="both"/>
        <w:rPr>
          <w:rFonts w:ascii="Times New Roman" w:hAnsi="Times New Roman"/>
          <w:noProof/>
          <w:sz w:val="24"/>
        </w:rPr>
      </w:pPr>
      <w:r>
        <w:rPr>
          <w:rFonts w:ascii="Times New Roman" w:hAnsi="Times New Roman"/>
          <w:noProof/>
          <w:sz w:val="24"/>
        </w:rPr>
        <w:t>The Energy Union priority, with all its dimensions, provides a broader framework within which the EU can provide the right enabling environment for the energy transition. Apart from that there are a number of other enabli</w:t>
      </w:r>
      <w:r>
        <w:rPr>
          <w:rFonts w:ascii="Times New Roman" w:hAnsi="Times New Roman"/>
          <w:noProof/>
          <w:sz w:val="24"/>
        </w:rPr>
        <w:t>ng factors to support such transition across all sectors of the economy.</w:t>
      </w:r>
      <w:r>
        <w:rPr>
          <w:rFonts w:ascii="Times New Roman" w:hAnsi="Times New Roman" w:cs="Times New Roman"/>
          <w:noProof/>
          <w:sz w:val="24"/>
          <w:szCs w:val="24"/>
        </w:rPr>
        <w:t xml:space="preserve"> </w:t>
      </w:r>
    </w:p>
    <w:p w:rsidR="00575B53" w:rsidRDefault="00293B4B" w:rsidP="00293B4B">
      <w:pPr>
        <w:pStyle w:val="ListParagraph"/>
        <w:keepNext/>
        <w:numPr>
          <w:ilvl w:val="2"/>
          <w:numId w:val="1"/>
        </w:numPr>
        <w:spacing w:before="240" w:after="120"/>
        <w:ind w:left="1225" w:hanging="505"/>
        <w:contextualSpacing w:val="0"/>
        <w:jc w:val="both"/>
        <w:rPr>
          <w:rFonts w:ascii="Times New Roman" w:hAnsi="Times New Roman" w:cs="Times New Roman"/>
          <w:noProof/>
          <w:sz w:val="24"/>
          <w:szCs w:val="24"/>
        </w:rPr>
      </w:pPr>
      <w:r>
        <w:rPr>
          <w:rFonts w:ascii="Times New Roman" w:hAnsi="Times New Roman" w:cs="Times New Roman"/>
          <w:noProof/>
          <w:sz w:val="24"/>
          <w:szCs w:val="24"/>
        </w:rPr>
        <w:t>Circular economy</w:t>
      </w:r>
    </w:p>
    <w:p w:rsidR="00575B53" w:rsidRDefault="00293B4B">
      <w:pPr>
        <w:spacing w:before="120" w:after="0"/>
        <w:jc w:val="both"/>
        <w:rPr>
          <w:rFonts w:ascii="Times New Roman" w:hAnsi="Times New Roman" w:cs="Times New Roman"/>
          <w:noProof/>
          <w:sz w:val="24"/>
          <w:szCs w:val="24"/>
        </w:rPr>
      </w:pPr>
      <w:r>
        <w:rPr>
          <w:rFonts w:ascii="Times New Roman" w:hAnsi="Times New Roman" w:cs="Times New Roman"/>
          <w:noProof/>
          <w:sz w:val="24"/>
          <w:szCs w:val="24"/>
        </w:rPr>
        <w:t xml:space="preserve">The circular economy has a role to play in the sectors covered by the package and beyond. There is a direct physical link between the quantity of raw material used, </w:t>
      </w:r>
      <w:r>
        <w:rPr>
          <w:rFonts w:ascii="Times New Roman" w:hAnsi="Times New Roman" w:cs="Times New Roman"/>
          <w:noProof/>
          <w:sz w:val="24"/>
          <w:szCs w:val="24"/>
        </w:rPr>
        <w:t xml:space="preserve">the energy required and greenhouse gas emissions. The EU has managed to decouple its economic growth from the growth in carbon dioxide emissions, but so far have not yet managed to do the same for material use and resource efficiency. </w:t>
      </w:r>
    </w:p>
    <w:p w:rsidR="00575B53" w:rsidRDefault="00293B4B">
      <w:pPr>
        <w:spacing w:before="120" w:after="0"/>
        <w:jc w:val="both"/>
        <w:rPr>
          <w:rFonts w:ascii="Times New Roman" w:hAnsi="Times New Roman" w:cs="Times New Roman"/>
          <w:noProof/>
          <w:sz w:val="24"/>
          <w:szCs w:val="24"/>
        </w:rPr>
      </w:pPr>
      <w:r>
        <w:rPr>
          <w:rFonts w:ascii="Times New Roman" w:hAnsi="Times New Roman" w:cs="Times New Roman"/>
          <w:noProof/>
          <w:sz w:val="24"/>
          <w:szCs w:val="24"/>
        </w:rPr>
        <w:t>Last year, therefore</w:t>
      </w:r>
      <w:r>
        <w:rPr>
          <w:rFonts w:ascii="Times New Roman" w:hAnsi="Times New Roman" w:cs="Times New Roman"/>
          <w:noProof/>
          <w:sz w:val="24"/>
          <w:szCs w:val="24"/>
        </w:rPr>
        <w:t>, the Commission presented an ambitious Circular Economy Package</w:t>
      </w:r>
      <w:r>
        <w:rPr>
          <w:rStyle w:val="FootnoteReference"/>
          <w:rFonts w:ascii="Times New Roman" w:hAnsi="Times New Roman" w:cs="Times New Roman"/>
          <w:noProof/>
          <w:sz w:val="24"/>
          <w:szCs w:val="24"/>
        </w:rPr>
        <w:footnoteReference w:id="9"/>
      </w:r>
      <w:r>
        <w:rPr>
          <w:rFonts w:ascii="Times New Roman" w:hAnsi="Times New Roman" w:cs="Times New Roman"/>
          <w:noProof/>
          <w:sz w:val="24"/>
          <w:szCs w:val="24"/>
        </w:rPr>
        <w:t xml:space="preserve"> to address this challenge. The proposed actions will contribute to "closing the loop" of product lifecycles through greater recycling and re-use, and extract the maximum value and use from a</w:t>
      </w:r>
      <w:r>
        <w:rPr>
          <w:rFonts w:ascii="Times New Roman" w:hAnsi="Times New Roman" w:cs="Times New Roman"/>
          <w:noProof/>
          <w:sz w:val="24"/>
          <w:szCs w:val="24"/>
        </w:rPr>
        <w:t>ll raw materials, products and waste.</w:t>
      </w:r>
    </w:p>
    <w:p w:rsidR="00575B53" w:rsidRDefault="00293B4B" w:rsidP="00293B4B">
      <w:pPr>
        <w:pStyle w:val="ListParagraph"/>
        <w:keepNext/>
        <w:numPr>
          <w:ilvl w:val="2"/>
          <w:numId w:val="1"/>
        </w:numPr>
        <w:spacing w:before="240" w:after="120"/>
        <w:ind w:left="1225" w:hanging="505"/>
        <w:contextualSpacing w:val="0"/>
        <w:jc w:val="both"/>
        <w:rPr>
          <w:rFonts w:ascii="Times New Roman" w:hAnsi="Times New Roman" w:cs="Times New Roman"/>
          <w:noProof/>
          <w:sz w:val="24"/>
          <w:szCs w:val="24"/>
        </w:rPr>
      </w:pPr>
      <w:r>
        <w:rPr>
          <w:rFonts w:ascii="Times New Roman" w:hAnsi="Times New Roman" w:cs="Times New Roman"/>
          <w:noProof/>
          <w:sz w:val="24"/>
          <w:szCs w:val="24"/>
        </w:rPr>
        <w:t>Innovation for comp</w:t>
      </w:r>
      <w:bookmarkStart w:id="1" w:name="_GoBack"/>
      <w:bookmarkEnd w:id="1"/>
      <w:r>
        <w:rPr>
          <w:rFonts w:ascii="Times New Roman" w:hAnsi="Times New Roman" w:cs="Times New Roman"/>
          <w:noProof/>
          <w:sz w:val="24"/>
          <w:szCs w:val="24"/>
        </w:rPr>
        <w:t>etitiveness</w:t>
      </w:r>
    </w:p>
    <w:p w:rsidR="00575B53" w:rsidRDefault="00293B4B">
      <w:pPr>
        <w:spacing w:before="120" w:after="0"/>
        <w:jc w:val="both"/>
        <w:rPr>
          <w:rFonts w:ascii="Times New Roman" w:hAnsi="Times New Roman" w:cs="Times New Roman"/>
          <w:noProof/>
          <w:sz w:val="24"/>
          <w:szCs w:val="24"/>
        </w:rPr>
      </w:pPr>
      <w:r>
        <w:rPr>
          <w:rFonts w:ascii="Times New Roman" w:hAnsi="Times New Roman" w:cs="Times New Roman"/>
          <w:noProof/>
          <w:sz w:val="24"/>
          <w:szCs w:val="24"/>
        </w:rPr>
        <w:t xml:space="preserve">To seize the opportunities created by innovation as a key enabler in the transition to a low-carbon economy and maximize the impact of every Euro invested, the Commission intends to </w:t>
      </w:r>
      <w:r>
        <w:rPr>
          <w:rFonts w:ascii="Times New Roman" w:hAnsi="Times New Roman" w:cs="Times New Roman"/>
          <w:noProof/>
          <w:sz w:val="24"/>
          <w:szCs w:val="24"/>
        </w:rPr>
        <w:t>present an integrated Energy Union strategy for research, innovation and competitiveness later this year. Concrete actions under this new strategy should directly support the achievement of Europe's climate and energy goals, and contribute to the modernisa</w:t>
      </w:r>
      <w:r>
        <w:rPr>
          <w:rFonts w:ascii="Times New Roman" w:hAnsi="Times New Roman" w:cs="Times New Roman"/>
          <w:noProof/>
          <w:sz w:val="24"/>
          <w:szCs w:val="24"/>
        </w:rPr>
        <w:t>tion and competitiveness of the EU economy by supporting the EU's leadership in clean technologies.</w:t>
      </w:r>
    </w:p>
    <w:p w:rsidR="00575B53" w:rsidRDefault="00293B4B">
      <w:pPr>
        <w:spacing w:before="120" w:after="0"/>
        <w:jc w:val="both"/>
        <w:rPr>
          <w:rFonts w:ascii="Times New Roman" w:hAnsi="Times New Roman" w:cs="Times New Roman"/>
          <w:noProof/>
          <w:sz w:val="24"/>
          <w:szCs w:val="24"/>
        </w:rPr>
      </w:pPr>
      <w:r>
        <w:rPr>
          <w:rFonts w:ascii="Times New Roman" w:hAnsi="Times New Roman" w:cs="Times New Roman"/>
          <w:noProof/>
          <w:sz w:val="24"/>
          <w:szCs w:val="24"/>
        </w:rPr>
        <w:t>Europe is still the world's largest source of financing for energy-related research and development (at EUR 3.9 billion in 2014, amounting to 36% of the tot</w:t>
      </w:r>
      <w:r>
        <w:rPr>
          <w:rFonts w:ascii="Times New Roman" w:hAnsi="Times New Roman" w:cs="Times New Roman"/>
          <w:noProof/>
          <w:sz w:val="24"/>
          <w:szCs w:val="24"/>
        </w:rPr>
        <w:t>al) and leads on the number of patent applications for high-value climate-change mitigation technologies, with a 40 per cent share of the total. At the same time, some high-value potential remains untapped, notably in clean-energy technologies and zero-emi</w:t>
      </w:r>
      <w:r>
        <w:rPr>
          <w:rFonts w:ascii="Times New Roman" w:hAnsi="Times New Roman" w:cs="Times New Roman"/>
          <w:noProof/>
          <w:sz w:val="24"/>
          <w:szCs w:val="24"/>
        </w:rPr>
        <w:t xml:space="preserve">ssion vehicles. In other areas, including renewable energy technologies, the EU has begun to lose ground to its competitors. More importantly, and cutting across specific technologies and innovation areas, Europe needs to improve when it comes to bringing </w:t>
      </w:r>
      <w:r>
        <w:rPr>
          <w:rFonts w:ascii="Times New Roman" w:hAnsi="Times New Roman" w:cs="Times New Roman"/>
          <w:noProof/>
          <w:sz w:val="24"/>
          <w:szCs w:val="24"/>
        </w:rPr>
        <w:t>its innovations to market and making them commercially successful.</w:t>
      </w:r>
    </w:p>
    <w:p w:rsidR="00575B53" w:rsidRDefault="00293B4B" w:rsidP="00293B4B">
      <w:pPr>
        <w:pStyle w:val="ListParagraph"/>
        <w:keepNext/>
        <w:numPr>
          <w:ilvl w:val="2"/>
          <w:numId w:val="1"/>
        </w:numPr>
        <w:spacing w:before="240" w:after="120"/>
        <w:ind w:left="1225" w:hanging="505"/>
        <w:contextualSpacing w:val="0"/>
        <w:jc w:val="both"/>
        <w:rPr>
          <w:rFonts w:ascii="Times New Roman" w:hAnsi="Times New Roman" w:cs="Times New Roman"/>
          <w:noProof/>
          <w:sz w:val="24"/>
          <w:szCs w:val="24"/>
        </w:rPr>
      </w:pPr>
      <w:r>
        <w:rPr>
          <w:rFonts w:ascii="Times New Roman" w:hAnsi="Times New Roman" w:cs="Times New Roman"/>
          <w:noProof/>
          <w:sz w:val="24"/>
          <w:szCs w:val="24"/>
        </w:rPr>
        <w:t>Shifting and scaling up investment</w:t>
      </w:r>
    </w:p>
    <w:p w:rsidR="00575B53" w:rsidRDefault="00293B4B">
      <w:pPr>
        <w:spacing w:before="120" w:after="0"/>
        <w:jc w:val="both"/>
        <w:rPr>
          <w:rFonts w:ascii="Times New Roman" w:hAnsi="Times New Roman" w:cs="Times New Roman"/>
          <w:noProof/>
          <w:sz w:val="24"/>
          <w:szCs w:val="24"/>
        </w:rPr>
      </w:pPr>
      <w:r>
        <w:rPr>
          <w:rFonts w:ascii="Times New Roman" w:hAnsi="Times New Roman" w:cs="Times New Roman"/>
          <w:noProof/>
          <w:sz w:val="24"/>
          <w:szCs w:val="24"/>
        </w:rPr>
        <w:t>Shifting and rapidly scaling up private investment is essential to support the transition to a low emission and climate resilient economy, and for avoidin</w:t>
      </w:r>
      <w:r>
        <w:rPr>
          <w:rFonts w:ascii="Times New Roman" w:hAnsi="Times New Roman" w:cs="Times New Roman"/>
          <w:noProof/>
          <w:sz w:val="24"/>
          <w:szCs w:val="24"/>
        </w:rPr>
        <w:t xml:space="preserve">g the "lock-in" of high emissions infrastructure and assets. </w:t>
      </w:r>
    </w:p>
    <w:p w:rsidR="00575B53" w:rsidRDefault="00293B4B">
      <w:pPr>
        <w:spacing w:before="120" w:after="0"/>
        <w:jc w:val="both"/>
        <w:rPr>
          <w:rFonts w:ascii="Times New Roman" w:hAnsi="Times New Roman" w:cs="Times New Roman"/>
          <w:noProof/>
          <w:sz w:val="24"/>
          <w:szCs w:val="24"/>
        </w:rPr>
      </w:pPr>
      <w:r>
        <w:rPr>
          <w:rFonts w:ascii="Times New Roman" w:hAnsi="Times New Roman" w:cs="Times New Roman"/>
          <w:noProof/>
          <w:sz w:val="24"/>
          <w:szCs w:val="24"/>
        </w:rPr>
        <w:t xml:space="preserve">In the EU, efforts have already started to align private investments with climate and resource-efficiency objectives both through policies and by strategic public investments. </w:t>
      </w:r>
    </w:p>
    <w:p w:rsidR="00575B53" w:rsidRDefault="00293B4B">
      <w:pPr>
        <w:spacing w:before="120" w:after="0"/>
        <w:jc w:val="both"/>
        <w:rPr>
          <w:rFonts w:ascii="Times New Roman" w:hAnsi="Times New Roman" w:cs="Times New Roman"/>
          <w:noProof/>
          <w:sz w:val="24"/>
          <w:szCs w:val="24"/>
        </w:rPr>
      </w:pPr>
      <w:r>
        <w:rPr>
          <w:rFonts w:ascii="Times New Roman" w:hAnsi="Times New Roman" w:cs="Times New Roman"/>
          <w:noProof/>
          <w:sz w:val="24"/>
          <w:szCs w:val="24"/>
        </w:rPr>
        <w:t xml:space="preserve">The EU Emissions </w:t>
      </w:r>
      <w:r>
        <w:rPr>
          <w:rFonts w:ascii="Times New Roman" w:hAnsi="Times New Roman" w:cs="Times New Roman"/>
          <w:noProof/>
          <w:sz w:val="24"/>
          <w:szCs w:val="24"/>
        </w:rPr>
        <w:t>Trading System puts a price on carbon. For sectors not covered by the EU Emissions Trading System, Member States' taxation policies are also relevant to set the right incentives.</w:t>
      </w:r>
    </w:p>
    <w:p w:rsidR="00575B53" w:rsidRDefault="00293B4B">
      <w:pPr>
        <w:spacing w:before="120" w:after="0"/>
        <w:jc w:val="both"/>
        <w:rPr>
          <w:rFonts w:ascii="Times New Roman" w:hAnsi="Times New Roman" w:cs="Times New Roman"/>
          <w:noProof/>
          <w:sz w:val="24"/>
          <w:szCs w:val="24"/>
        </w:rPr>
      </w:pPr>
      <w:r>
        <w:rPr>
          <w:rFonts w:ascii="Times New Roman" w:hAnsi="Times New Roman" w:cs="Times New Roman"/>
          <w:noProof/>
          <w:sz w:val="24"/>
          <w:szCs w:val="24"/>
        </w:rPr>
        <w:t>The Capital Markets Union initiative</w:t>
      </w:r>
      <w:r>
        <w:rPr>
          <w:rStyle w:val="FootnoteReference"/>
          <w:rFonts w:ascii="Times New Roman" w:hAnsi="Times New Roman" w:cs="Times New Roman"/>
          <w:noProof/>
          <w:sz w:val="24"/>
          <w:szCs w:val="24"/>
        </w:rPr>
        <w:footnoteReference w:id="10"/>
      </w:r>
      <w:r>
        <w:rPr>
          <w:rFonts w:ascii="Times New Roman" w:hAnsi="Times New Roman" w:cs="Times New Roman"/>
          <w:noProof/>
          <w:sz w:val="24"/>
          <w:szCs w:val="24"/>
        </w:rPr>
        <w:t xml:space="preserve"> addresses the importance of long-term a</w:t>
      </w:r>
      <w:r>
        <w:rPr>
          <w:rFonts w:ascii="Times New Roman" w:hAnsi="Times New Roman" w:cs="Times New Roman"/>
          <w:noProof/>
          <w:sz w:val="24"/>
          <w:szCs w:val="24"/>
        </w:rPr>
        <w:t xml:space="preserve">nd sustainable investment to maintain and extend EU competitiveness and encourage the shift to a low-carbon and resource-efficient economy. The recent emergence of green bonds can also help direct capital flows towards low-carbon investments.   </w:t>
      </w:r>
    </w:p>
    <w:p w:rsidR="00575B53" w:rsidRDefault="00293B4B">
      <w:pPr>
        <w:spacing w:before="120" w:after="0"/>
        <w:jc w:val="both"/>
        <w:rPr>
          <w:rFonts w:ascii="Times New Roman" w:hAnsi="Times New Roman" w:cs="Times New Roman"/>
          <w:noProof/>
          <w:sz w:val="24"/>
          <w:szCs w:val="24"/>
        </w:rPr>
      </w:pPr>
      <w:r>
        <w:rPr>
          <w:rFonts w:ascii="Times New Roman" w:hAnsi="Times New Roman" w:cs="Times New Roman"/>
          <w:noProof/>
          <w:sz w:val="24"/>
          <w:szCs w:val="24"/>
        </w:rPr>
        <w:t>There is m</w:t>
      </w:r>
      <w:r>
        <w:rPr>
          <w:rFonts w:ascii="Times New Roman" w:hAnsi="Times New Roman" w:cs="Times New Roman"/>
          <w:noProof/>
          <w:sz w:val="24"/>
          <w:szCs w:val="24"/>
        </w:rPr>
        <w:t xml:space="preserve">ore to do. The EU will continue to deepen the single market and work on removing barriers to investment. </w:t>
      </w:r>
    </w:p>
    <w:p w:rsidR="00575B53" w:rsidRDefault="00293B4B">
      <w:pPr>
        <w:spacing w:before="120" w:after="0"/>
        <w:jc w:val="both"/>
        <w:rPr>
          <w:rFonts w:ascii="Times New Roman" w:hAnsi="Times New Roman" w:cs="Times New Roman"/>
          <w:noProof/>
          <w:sz w:val="24"/>
          <w:szCs w:val="24"/>
        </w:rPr>
      </w:pPr>
      <w:r>
        <w:rPr>
          <w:rFonts w:ascii="Times New Roman" w:hAnsi="Times New Roman" w:cs="Times New Roman"/>
          <w:noProof/>
          <w:sz w:val="24"/>
          <w:szCs w:val="24"/>
        </w:rPr>
        <w:t>The Commission is actively working to ensure that the current EU budget spending is aligned with the climate objectives. The political commitment to e</w:t>
      </w:r>
      <w:r>
        <w:rPr>
          <w:rFonts w:ascii="Times New Roman" w:hAnsi="Times New Roman" w:cs="Times New Roman"/>
          <w:noProof/>
          <w:sz w:val="24"/>
          <w:szCs w:val="24"/>
        </w:rPr>
        <w:t>nsure that at least 20% of the Multiannual Financial Framework is explicitly climate related is delivering results. In this spirit, the Commission has recently joined the Mission Innovation Initiative, whose members have committed to double their public fu</w:t>
      </w:r>
      <w:r>
        <w:rPr>
          <w:rFonts w:ascii="Times New Roman" w:hAnsi="Times New Roman" w:cs="Times New Roman"/>
          <w:noProof/>
          <w:sz w:val="24"/>
          <w:szCs w:val="24"/>
        </w:rPr>
        <w:t xml:space="preserve">nding to clean energy research and development within five years by 2020. </w:t>
      </w:r>
    </w:p>
    <w:p w:rsidR="00575B53" w:rsidRDefault="00293B4B">
      <w:pPr>
        <w:spacing w:before="120" w:after="0"/>
        <w:jc w:val="both"/>
        <w:rPr>
          <w:rFonts w:ascii="Times New Roman" w:hAnsi="Times New Roman" w:cs="Times New Roman"/>
          <w:noProof/>
          <w:sz w:val="24"/>
          <w:szCs w:val="24"/>
        </w:rPr>
      </w:pPr>
      <w:r>
        <w:rPr>
          <w:rFonts w:ascii="Times New Roman" w:hAnsi="Times New Roman" w:cs="Times New Roman"/>
          <w:noProof/>
          <w:sz w:val="24"/>
          <w:szCs w:val="24"/>
        </w:rPr>
        <w:t>The EU financial instruments are also making a significant contribution to EU climate action, as demonstrated by the European Fund for Strategic Investments. The Fund is firmly on t</w:t>
      </w:r>
      <w:r>
        <w:rPr>
          <w:rFonts w:ascii="Times New Roman" w:hAnsi="Times New Roman" w:cs="Times New Roman"/>
          <w:noProof/>
          <w:sz w:val="24"/>
          <w:szCs w:val="24"/>
        </w:rPr>
        <w:t>rack to deliver on mobilising at least EUR 315 billion in additional investment in the real economy by mid-2018</w:t>
      </w:r>
      <w:r>
        <w:rPr>
          <w:rStyle w:val="FootnoteReference"/>
          <w:rFonts w:ascii="Times New Roman" w:hAnsi="Times New Roman" w:cs="Times New Roman"/>
          <w:noProof/>
          <w:sz w:val="24"/>
          <w:szCs w:val="24"/>
        </w:rPr>
        <w:footnoteReference w:id="11"/>
      </w:r>
      <w:r>
        <w:rPr>
          <w:rFonts w:ascii="Times New Roman" w:hAnsi="Times New Roman" w:cs="Times New Roman"/>
          <w:noProof/>
          <w:sz w:val="24"/>
          <w:szCs w:val="24"/>
        </w:rPr>
        <w:t xml:space="preserve">. Over 50% of the investments approved so far are climate relevant. Co-investment in projects under the European Fund for Strategic Investments </w:t>
      </w:r>
      <w:r>
        <w:rPr>
          <w:rFonts w:ascii="Times New Roman" w:hAnsi="Times New Roman" w:cs="Times New Roman"/>
          <w:noProof/>
          <w:sz w:val="24"/>
          <w:szCs w:val="24"/>
        </w:rPr>
        <w:t>can take place either at project level or at the level of an Investment Platform. Investment platforms can help finance small projects and bundle funds from different sources to enable diversified investments with a geographic or thematic focus. They can a</w:t>
      </w:r>
      <w:r>
        <w:rPr>
          <w:rFonts w:ascii="Times New Roman" w:hAnsi="Times New Roman" w:cs="Times New Roman"/>
          <w:noProof/>
          <w:sz w:val="24"/>
          <w:szCs w:val="24"/>
        </w:rPr>
        <w:t>lso render small or local investment opportunities attractive to new investor groups, for example pension funds or overseas institutional investors. The Commission is exploring ways to blend and combine the resources available under other EU programmes, as</w:t>
      </w:r>
      <w:r>
        <w:rPr>
          <w:rFonts w:ascii="Times New Roman" w:hAnsi="Times New Roman" w:cs="Times New Roman"/>
          <w:noProof/>
          <w:sz w:val="24"/>
          <w:szCs w:val="24"/>
        </w:rPr>
        <w:t xml:space="preserve"> for example the Connecting Europe Facility or Horizon 2020 to unlock additional investments, in particular through investment platforms, for example in the fields of energy efficiency, smart urban mobility, and innovative technologies. </w:t>
      </w:r>
    </w:p>
    <w:p w:rsidR="00575B53" w:rsidRDefault="00293B4B">
      <w:pPr>
        <w:spacing w:before="120" w:after="0"/>
        <w:jc w:val="both"/>
        <w:rPr>
          <w:rFonts w:ascii="Times New Roman" w:hAnsi="Times New Roman" w:cs="Times New Roman"/>
          <w:noProof/>
          <w:sz w:val="24"/>
          <w:szCs w:val="24"/>
        </w:rPr>
      </w:pPr>
      <w:r>
        <w:rPr>
          <w:rFonts w:ascii="Times New Roman" w:hAnsi="Times New Roman" w:cs="Times New Roman"/>
          <w:noProof/>
          <w:sz w:val="24"/>
          <w:szCs w:val="24"/>
        </w:rPr>
        <w:t>The reformed EU Co</w:t>
      </w:r>
      <w:r>
        <w:rPr>
          <w:rFonts w:ascii="Times New Roman" w:hAnsi="Times New Roman" w:cs="Times New Roman"/>
          <w:noProof/>
          <w:sz w:val="24"/>
          <w:szCs w:val="24"/>
        </w:rPr>
        <w:t xml:space="preserve">hesion policy also supports low-carbon transition and its projects will result in benefits for the post-2020 period. It supports measures in energy efficiency in public and residential buildings (EUR 13.3 billion) and in enterprises (EUR 3.4 billion, with </w:t>
      </w:r>
      <w:r>
        <w:rPr>
          <w:rFonts w:ascii="Times New Roman" w:hAnsi="Times New Roman" w:cs="Times New Roman"/>
          <w:noProof/>
          <w:sz w:val="24"/>
          <w:szCs w:val="24"/>
        </w:rPr>
        <w:t>a focus on SMEs), in the move towards an energy-efficient, low-emissions transport sector (EUR 39.7 billion for sustainable urban mobility and low-carbon transport modes such as rail, seaports and inland waterways). In addition, EUR 8 billion are allocated</w:t>
      </w:r>
      <w:r>
        <w:rPr>
          <w:rFonts w:ascii="Times New Roman" w:hAnsi="Times New Roman" w:cs="Times New Roman"/>
          <w:noProof/>
          <w:sz w:val="24"/>
          <w:szCs w:val="24"/>
        </w:rPr>
        <w:t xml:space="preserve"> for risk prevention and management, including 6.4 billion for climate-related risks. </w:t>
      </w:r>
      <w:r>
        <w:rPr>
          <w:rFonts w:ascii="Times New Roman" w:hAnsi="Times New Roman"/>
          <w:noProof/>
          <w:sz w:val="24"/>
          <w:szCs w:val="24"/>
        </w:rPr>
        <w:t>A total of EUR 115 billion of the budget for the reformed Common Agricultural Policy supports climate action through improved land management and targeted investments</w:t>
      </w:r>
      <w:r>
        <w:rPr>
          <w:rStyle w:val="FootnoteReference"/>
          <w:rFonts w:ascii="Times New Roman" w:hAnsi="Times New Roman"/>
          <w:noProof/>
          <w:sz w:val="24"/>
          <w:szCs w:val="24"/>
        </w:rPr>
        <w:footnoteReference w:id="12"/>
      </w:r>
      <w:r>
        <w:rPr>
          <w:rFonts w:ascii="Times New Roman" w:hAnsi="Times New Roman"/>
          <w:noProof/>
          <w:sz w:val="24"/>
          <w:szCs w:val="24"/>
        </w:rPr>
        <w:t>.</w:t>
      </w:r>
    </w:p>
    <w:p w:rsidR="00575B53" w:rsidRDefault="00293B4B">
      <w:pPr>
        <w:spacing w:before="120" w:after="0"/>
        <w:jc w:val="both"/>
        <w:rPr>
          <w:rFonts w:ascii="Times New Roman" w:hAnsi="Times New Roman" w:cs="Times New Roman"/>
          <w:noProof/>
          <w:sz w:val="24"/>
          <w:szCs w:val="24"/>
        </w:rPr>
      </w:pPr>
      <w:r>
        <w:rPr>
          <w:rFonts w:ascii="Times New Roman" w:hAnsi="Times New Roman" w:cs="Times New Roman"/>
          <w:noProof/>
          <w:sz w:val="24"/>
          <w:szCs w:val="24"/>
        </w:rPr>
        <w:t>In order to support investments in innovation, such as carbon capture, renewable energy and the uptake of new breakthrough technologies in industry, the Commission's proposal for a revision of the Emissions Trading System foresees 450 million emission allo</w:t>
      </w:r>
      <w:r>
        <w:rPr>
          <w:rFonts w:ascii="Times New Roman" w:hAnsi="Times New Roman" w:cs="Times New Roman"/>
          <w:noProof/>
          <w:sz w:val="24"/>
          <w:szCs w:val="24"/>
        </w:rPr>
        <w:t xml:space="preserve">wances to be reserved for this purpose.  </w:t>
      </w:r>
    </w:p>
    <w:p w:rsidR="00575B53" w:rsidRDefault="00293B4B" w:rsidP="00293B4B">
      <w:pPr>
        <w:pStyle w:val="ListParagraph"/>
        <w:keepNext/>
        <w:numPr>
          <w:ilvl w:val="2"/>
          <w:numId w:val="1"/>
        </w:numPr>
        <w:spacing w:before="240" w:after="120"/>
        <w:ind w:left="1225" w:hanging="505"/>
        <w:contextualSpacing w:val="0"/>
        <w:jc w:val="both"/>
        <w:rPr>
          <w:rFonts w:ascii="Times New Roman" w:hAnsi="Times New Roman" w:cs="Times New Roman"/>
          <w:noProof/>
          <w:sz w:val="24"/>
          <w:szCs w:val="24"/>
        </w:rPr>
      </w:pPr>
      <w:r>
        <w:rPr>
          <w:rFonts w:ascii="Times New Roman" w:hAnsi="Times New Roman" w:cs="Times New Roman"/>
          <w:noProof/>
          <w:sz w:val="24"/>
          <w:szCs w:val="24"/>
        </w:rPr>
        <w:t>Fair social transition and new skills</w:t>
      </w:r>
    </w:p>
    <w:p w:rsidR="00575B53" w:rsidRDefault="00293B4B">
      <w:pPr>
        <w:spacing w:before="120" w:after="0"/>
        <w:jc w:val="both"/>
        <w:rPr>
          <w:rFonts w:ascii="Times New Roman" w:hAnsi="Times New Roman" w:cs="Times New Roman"/>
          <w:noProof/>
          <w:sz w:val="24"/>
          <w:szCs w:val="24"/>
        </w:rPr>
      </w:pPr>
      <w:r>
        <w:rPr>
          <w:rFonts w:ascii="Times New Roman" w:hAnsi="Times New Roman" w:cs="Times New Roman"/>
          <w:noProof/>
          <w:sz w:val="24"/>
          <w:szCs w:val="24"/>
        </w:rPr>
        <w:t>The low-carbon transition is expected to reduce occupations in traditional markets (related to fossil fuels, in particular carbon-intensive industries), while new jobs (related</w:t>
      </w:r>
      <w:r>
        <w:rPr>
          <w:rFonts w:ascii="Times New Roman" w:hAnsi="Times New Roman" w:cs="Times New Roman"/>
          <w:noProof/>
          <w:sz w:val="24"/>
          <w:szCs w:val="24"/>
        </w:rPr>
        <w:t xml:space="preserve"> to renewables, energy efficiency and electrification of vehicle transport) will be created. That means also the need to anticipate and mitigate the societal impact of the transition in specific regions and socio-economic sectors, including through the Eur</w:t>
      </w:r>
      <w:r>
        <w:rPr>
          <w:rFonts w:ascii="Times New Roman" w:hAnsi="Times New Roman" w:cs="Times New Roman"/>
          <w:noProof/>
          <w:sz w:val="24"/>
          <w:szCs w:val="24"/>
        </w:rPr>
        <w:t xml:space="preserve">opean Structural and Investment Funds. </w:t>
      </w:r>
    </w:p>
    <w:p w:rsidR="00575B53" w:rsidRDefault="00293B4B">
      <w:pPr>
        <w:spacing w:before="120" w:after="0"/>
        <w:jc w:val="both"/>
        <w:rPr>
          <w:rFonts w:ascii="Times New Roman" w:hAnsi="Times New Roman" w:cs="Times New Roman"/>
          <w:noProof/>
          <w:sz w:val="24"/>
          <w:szCs w:val="24"/>
        </w:rPr>
      </w:pPr>
      <w:r>
        <w:rPr>
          <w:rFonts w:ascii="Times New Roman" w:hAnsi="Times New Roman" w:cs="Times New Roman"/>
          <w:noProof/>
          <w:sz w:val="24"/>
          <w:szCs w:val="24"/>
        </w:rPr>
        <w:t>Since skills will be the key pathway to employability and prosperity, the Commission has adopted a new comprehensive Skills Agenda for Europe</w:t>
      </w:r>
      <w:r>
        <w:rPr>
          <w:rStyle w:val="FootnoteReference"/>
          <w:rFonts w:ascii="Times New Roman" w:hAnsi="Times New Roman" w:cs="Times New Roman"/>
          <w:noProof/>
          <w:sz w:val="24"/>
          <w:szCs w:val="24"/>
        </w:rPr>
        <w:footnoteReference w:id="13"/>
      </w:r>
      <w:r>
        <w:rPr>
          <w:rFonts w:ascii="Times New Roman" w:hAnsi="Times New Roman" w:cs="Times New Roman"/>
          <w:noProof/>
          <w:sz w:val="24"/>
          <w:szCs w:val="24"/>
        </w:rPr>
        <w:t>. To help tackle skills challenges, the Commission is launching actions, w</w:t>
      </w:r>
      <w:r>
        <w:rPr>
          <w:rFonts w:ascii="Times New Roman" w:hAnsi="Times New Roman" w:cs="Times New Roman"/>
          <w:noProof/>
          <w:sz w:val="24"/>
          <w:szCs w:val="24"/>
        </w:rPr>
        <w:t>hich will make skills more visible and improve their recognition at local, national and EU levels, from schools and universities to the labour market. Among others, the agenda addresses re-skilling and up-skilling and sets a "Blueprint for Sectoral Coopera</w:t>
      </w:r>
      <w:r>
        <w:rPr>
          <w:rFonts w:ascii="Times New Roman" w:hAnsi="Times New Roman" w:cs="Times New Roman"/>
          <w:noProof/>
          <w:sz w:val="24"/>
          <w:szCs w:val="24"/>
        </w:rPr>
        <w:t>tion on Skills" to improve skills intelligence and address skills shortages in specific economic sectors including green technologies.</w:t>
      </w:r>
    </w:p>
    <w:p w:rsidR="00575B53" w:rsidRDefault="00293B4B" w:rsidP="00293B4B">
      <w:pPr>
        <w:pStyle w:val="ListParagraph"/>
        <w:keepNext/>
        <w:numPr>
          <w:ilvl w:val="2"/>
          <w:numId w:val="1"/>
        </w:numPr>
        <w:spacing w:before="240" w:after="120"/>
        <w:ind w:left="1225" w:hanging="505"/>
        <w:contextualSpacing w:val="0"/>
        <w:jc w:val="both"/>
        <w:rPr>
          <w:rFonts w:ascii="Times New Roman" w:hAnsi="Times New Roman" w:cs="Times New Roman"/>
          <w:noProof/>
          <w:sz w:val="24"/>
          <w:szCs w:val="24"/>
        </w:rPr>
      </w:pPr>
      <w:r>
        <w:rPr>
          <w:rFonts w:ascii="Times New Roman" w:hAnsi="Times New Roman" w:cs="Times New Roman"/>
          <w:noProof/>
          <w:sz w:val="24"/>
          <w:szCs w:val="24"/>
        </w:rPr>
        <w:t>Trade and export opportunities</w:t>
      </w:r>
    </w:p>
    <w:p w:rsidR="00575B53" w:rsidRDefault="00293B4B">
      <w:pPr>
        <w:spacing w:before="240" w:after="120"/>
        <w:jc w:val="both"/>
        <w:rPr>
          <w:rFonts w:ascii="Times New Roman" w:hAnsi="Times New Roman" w:cs="Times New Roman"/>
          <w:noProof/>
          <w:sz w:val="24"/>
          <w:szCs w:val="24"/>
        </w:rPr>
      </w:pPr>
      <w:r>
        <w:rPr>
          <w:rFonts w:ascii="Times New Roman" w:hAnsi="Times New Roman" w:cs="Times New Roman"/>
          <w:noProof/>
          <w:sz w:val="24"/>
          <w:szCs w:val="24"/>
        </w:rPr>
        <w:t>Increased trade flows are expected to help the rapid spread of green goods, services and t</w:t>
      </w:r>
      <w:r>
        <w:rPr>
          <w:rFonts w:ascii="Times New Roman" w:hAnsi="Times New Roman" w:cs="Times New Roman"/>
          <w:noProof/>
          <w:sz w:val="24"/>
          <w:szCs w:val="24"/>
        </w:rPr>
        <w:t>echnologies around the world and the shift to a low-carbon economy. The EU is a world leader in exports and imports of environmental goods. In 2013, EU exports of the green listed products amounted to EUR 146 billion (around 8% of the EU's total) and impor</w:t>
      </w:r>
      <w:r>
        <w:rPr>
          <w:rFonts w:ascii="Times New Roman" w:hAnsi="Times New Roman" w:cs="Times New Roman"/>
          <w:noProof/>
          <w:sz w:val="24"/>
          <w:szCs w:val="24"/>
        </w:rPr>
        <w:t xml:space="preserve">ts to EUR 70 billion. European companies should aim to continue developing and exporting their innovation ingenuity and know-how. </w:t>
      </w:r>
    </w:p>
    <w:p w:rsidR="00575B53" w:rsidRDefault="00293B4B">
      <w:pPr>
        <w:spacing w:before="240" w:after="120"/>
        <w:jc w:val="both"/>
        <w:rPr>
          <w:rFonts w:ascii="Times New Roman" w:hAnsi="Times New Roman" w:cs="Times New Roman"/>
          <w:noProof/>
          <w:sz w:val="24"/>
          <w:szCs w:val="24"/>
        </w:rPr>
      </w:pPr>
      <w:r>
        <w:rPr>
          <w:rFonts w:ascii="Times New Roman" w:hAnsi="Times New Roman" w:cs="Times New Roman"/>
          <w:noProof/>
          <w:sz w:val="24"/>
          <w:szCs w:val="24"/>
        </w:rPr>
        <w:t>As a member of the World Trade Organisation, the EU actively promotes liberalisation of goods and services, which can deliver</w:t>
      </w:r>
      <w:r>
        <w:rPr>
          <w:rFonts w:ascii="Times New Roman" w:hAnsi="Times New Roman" w:cs="Times New Roman"/>
          <w:noProof/>
          <w:sz w:val="24"/>
          <w:szCs w:val="24"/>
        </w:rPr>
        <w:t xml:space="preserve"> environmental benefit.  Together, with six other members of the World Trade Organisation, it has been working closely together with the aim of concluding an ambitious environmental goods agreement with all participants ahead of when G20 leaders meet in Ch</w:t>
      </w:r>
      <w:r>
        <w:rPr>
          <w:rFonts w:ascii="Times New Roman" w:hAnsi="Times New Roman" w:cs="Times New Roman"/>
          <w:noProof/>
          <w:sz w:val="24"/>
          <w:szCs w:val="24"/>
        </w:rPr>
        <w:t xml:space="preserve">ina later this year for the G20 Summit. Also in its bilateral trade agreements, the EU pursues early liberalisation of environmental goods and services and facilitation of trade and investment in renewable energy generation, contributing to climate policy </w:t>
      </w:r>
      <w:r>
        <w:rPr>
          <w:rFonts w:ascii="Times New Roman" w:hAnsi="Times New Roman" w:cs="Times New Roman"/>
          <w:noProof/>
          <w:sz w:val="24"/>
          <w:szCs w:val="24"/>
        </w:rPr>
        <w:t>goals.</w:t>
      </w:r>
    </w:p>
    <w:p w:rsidR="00575B53" w:rsidRDefault="00293B4B" w:rsidP="00293B4B">
      <w:pPr>
        <w:pStyle w:val="ListParagraph"/>
        <w:keepNext/>
        <w:numPr>
          <w:ilvl w:val="0"/>
          <w:numId w:val="1"/>
        </w:numPr>
        <w:spacing w:before="240" w:after="240"/>
        <w:ind w:left="357" w:hanging="357"/>
        <w:contextualSpacing w:val="0"/>
        <w:jc w:val="both"/>
        <w:rPr>
          <w:rFonts w:ascii="Times New Roman" w:hAnsi="Times New Roman" w:cs="Times New Roman"/>
          <w:b/>
          <w:noProof/>
          <w:sz w:val="24"/>
          <w:szCs w:val="24"/>
        </w:rPr>
      </w:pPr>
      <w:r>
        <w:rPr>
          <w:rFonts w:ascii="Times New Roman" w:hAnsi="Times New Roman" w:cs="Times New Roman"/>
          <w:b/>
          <w:noProof/>
          <w:sz w:val="24"/>
          <w:szCs w:val="24"/>
        </w:rPr>
        <w:t>Conclusions</w:t>
      </w:r>
    </w:p>
    <w:p w:rsidR="00575B53" w:rsidRDefault="00293B4B">
      <w:pPr>
        <w:spacing w:before="240" w:after="120"/>
        <w:jc w:val="both"/>
        <w:rPr>
          <w:rFonts w:ascii="Times New Roman" w:hAnsi="Times New Roman" w:cs="Times New Roman"/>
          <w:noProof/>
          <w:sz w:val="24"/>
          <w:szCs w:val="24"/>
        </w:rPr>
      </w:pPr>
      <w:r>
        <w:rPr>
          <w:rFonts w:ascii="Times New Roman" w:hAnsi="Times New Roman" w:cs="Times New Roman"/>
          <w:noProof/>
          <w:sz w:val="24"/>
          <w:szCs w:val="24"/>
        </w:rPr>
        <w:t>Europe's transition to the low-carbon economy needs to accelerate. The EU needs more jobs and growth and more investment and this agenda has the potential to deliver them and modernise Europe's economy. In the long-term, this will profou</w:t>
      </w:r>
      <w:r>
        <w:rPr>
          <w:rFonts w:ascii="Times New Roman" w:hAnsi="Times New Roman" w:cs="Times New Roman"/>
          <w:noProof/>
          <w:sz w:val="24"/>
          <w:szCs w:val="24"/>
        </w:rPr>
        <w:t>ndly change our economic landscape.</w:t>
      </w:r>
    </w:p>
    <w:p w:rsidR="00575B53" w:rsidRDefault="00293B4B">
      <w:pPr>
        <w:spacing w:before="240" w:after="120"/>
        <w:jc w:val="both"/>
        <w:rPr>
          <w:rFonts w:ascii="Times New Roman" w:hAnsi="Times New Roman" w:cs="Times New Roman"/>
          <w:noProof/>
          <w:sz w:val="24"/>
          <w:szCs w:val="24"/>
        </w:rPr>
      </w:pPr>
      <w:r>
        <w:rPr>
          <w:rFonts w:ascii="Times New Roman" w:hAnsi="Times New Roman" w:cs="Times New Roman"/>
          <w:noProof/>
          <w:sz w:val="24"/>
          <w:szCs w:val="24"/>
        </w:rPr>
        <w:t xml:space="preserve">The climate-related legislative proposals attached to this communication and last year's proposal to reform of the EU Emission Trading System need to be addressed as a priority by the Council and the Parliament. </w:t>
      </w:r>
    </w:p>
    <w:p w:rsidR="00575B53" w:rsidRDefault="00293B4B">
      <w:pPr>
        <w:spacing w:before="240" w:after="120"/>
        <w:jc w:val="both"/>
        <w:rPr>
          <w:rFonts w:ascii="Times New Roman" w:hAnsi="Times New Roman" w:cs="Times New Roman"/>
          <w:noProof/>
          <w:sz w:val="24"/>
          <w:szCs w:val="24"/>
        </w:rPr>
      </w:pPr>
      <w:r>
        <w:rPr>
          <w:rFonts w:ascii="Times New Roman" w:hAnsi="Times New Roman" w:cs="Times New Roman"/>
          <w:noProof/>
          <w:sz w:val="24"/>
          <w:szCs w:val="24"/>
        </w:rPr>
        <w:t>The Commission will immediately start or accelerate better regulation processes (including public consultations and impact assessments) to turn the Action Plan on low-emission mobility into a set of efficient and proportionate measures without delay. By th</w:t>
      </w:r>
      <w:r>
        <w:rPr>
          <w:rFonts w:ascii="Times New Roman" w:hAnsi="Times New Roman" w:cs="Times New Roman"/>
          <w:noProof/>
          <w:sz w:val="24"/>
          <w:szCs w:val="24"/>
        </w:rPr>
        <w:t xml:space="preserve">e end of the year, the Commission will also present the remaining initiatives to complete the delivery of the EU's Energy Union Strategy. </w:t>
      </w:r>
    </w:p>
    <w:p w:rsidR="00575B53" w:rsidRDefault="00293B4B">
      <w:pPr>
        <w:spacing w:before="240" w:after="120"/>
        <w:jc w:val="both"/>
        <w:rPr>
          <w:rFonts w:ascii="Times New Roman" w:hAnsi="Times New Roman" w:cs="Times New Roman"/>
          <w:noProof/>
          <w:sz w:val="24"/>
          <w:szCs w:val="24"/>
        </w:rPr>
      </w:pPr>
      <w:r>
        <w:rPr>
          <w:rFonts w:ascii="Times New Roman" w:hAnsi="Times New Roman" w:cs="Times New Roman"/>
          <w:noProof/>
          <w:sz w:val="24"/>
          <w:szCs w:val="24"/>
        </w:rPr>
        <w:t xml:space="preserve">Member States have already started to prepare their post-2020 energy and climate strategies. This set of initiatives </w:t>
      </w:r>
      <w:r>
        <w:rPr>
          <w:rFonts w:ascii="Times New Roman" w:hAnsi="Times New Roman" w:cs="Times New Roman"/>
          <w:noProof/>
          <w:sz w:val="24"/>
          <w:szCs w:val="24"/>
        </w:rPr>
        <w:t>provides them with the necessary clarity and tools, also allowing them to proceed with the domestic ratification process of the Paris agreement in climate change. Member States should make the maximum use of the EU's enabling environment to make the transi</w:t>
      </w:r>
      <w:r>
        <w:rPr>
          <w:rFonts w:ascii="Times New Roman" w:hAnsi="Times New Roman" w:cs="Times New Roman"/>
          <w:noProof/>
          <w:sz w:val="24"/>
          <w:szCs w:val="24"/>
        </w:rPr>
        <w:t xml:space="preserve">tion to low-carbon economy as smooth and fair as possible. </w:t>
      </w:r>
    </w:p>
    <w:sectPr w:rsidR="00575B53">
      <w:headerReference w:type="even" r:id="rId16"/>
      <w:headerReference w:type="default" r:id="rId17"/>
      <w:footerReference w:type="even" r:id="rId18"/>
      <w:footerReference w:type="default" r:id="rId19"/>
      <w:headerReference w:type="first" r:id="rId20"/>
      <w:footerReference w:type="first" r:id="rId21"/>
      <w:pgSz w:w="11906" w:h="16838"/>
      <w:pgMar w:top="1418" w:right="1418" w:bottom="1418" w:left="1418" w:header="709" w:footer="709" w:gutter="0"/>
      <w:pgNumType w:start="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5B53" w:rsidRDefault="00293B4B">
      <w:pPr>
        <w:spacing w:after="0" w:line="240" w:lineRule="auto"/>
      </w:pPr>
      <w:r>
        <w:separator/>
      </w:r>
    </w:p>
  </w:endnote>
  <w:endnote w:type="continuationSeparator" w:id="0">
    <w:p w:rsidR="00575B53" w:rsidRDefault="00293B4B">
      <w:pPr>
        <w:spacing w:after="0" w:line="240" w:lineRule="auto"/>
      </w:pPr>
      <w:r>
        <w:continuationSeparator/>
      </w:r>
    </w:p>
  </w:endnote>
  <w:endnote w:type="continuationNotice" w:id="1">
    <w:p w:rsidR="00575B53" w:rsidRDefault="00575B5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3B4B" w:rsidRPr="00293B4B" w:rsidRDefault="00293B4B" w:rsidP="00293B4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3B4B" w:rsidRPr="00293B4B" w:rsidRDefault="00293B4B" w:rsidP="00293B4B">
    <w:pPr>
      <w:pStyle w:val="FooterCoverPage"/>
      <w:rPr>
        <w:rFonts w:ascii="Arial" w:hAnsi="Arial" w:cs="Arial"/>
        <w:b/>
        <w:sz w:val="48"/>
      </w:rPr>
    </w:pPr>
    <w:r w:rsidRPr="00293B4B">
      <w:rPr>
        <w:rFonts w:ascii="Arial" w:hAnsi="Arial" w:cs="Arial"/>
        <w:b/>
        <w:sz w:val="48"/>
      </w:rPr>
      <w:t>EN</w:t>
    </w:r>
    <w:r w:rsidRPr="00293B4B">
      <w:rPr>
        <w:rFonts w:ascii="Arial" w:hAnsi="Arial" w:cs="Arial"/>
        <w:b/>
        <w:sz w:val="48"/>
      </w:rPr>
      <w:tab/>
    </w:r>
    <w:r w:rsidRPr="00293B4B">
      <w:rPr>
        <w:rFonts w:ascii="Arial" w:hAnsi="Arial" w:cs="Arial"/>
        <w:b/>
        <w:sz w:val="48"/>
      </w:rPr>
      <w:tab/>
    </w:r>
    <w:fldSimple w:instr=" DOCVARIABLE &quot;LW_Confidence&quot; \* MERGEFORMAT ">
      <w:r>
        <w:t xml:space="preserve"> </w:t>
      </w:r>
    </w:fldSimple>
    <w:r w:rsidRPr="00293B4B">
      <w:tab/>
    </w:r>
    <w:r w:rsidRPr="00293B4B">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3B4B" w:rsidRPr="00293B4B" w:rsidRDefault="00293B4B" w:rsidP="00293B4B">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5B53" w:rsidRDefault="00575B53">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36691641"/>
      <w:docPartObj>
        <w:docPartGallery w:val="Page Numbers (Bottom of Page)"/>
        <w:docPartUnique/>
      </w:docPartObj>
    </w:sdtPr>
    <w:sdtEndPr>
      <w:rPr>
        <w:noProof/>
      </w:rPr>
    </w:sdtEndPr>
    <w:sdtContent>
      <w:p w:rsidR="00575B53" w:rsidRDefault="00293B4B">
        <w:pPr>
          <w:pStyle w:val="Footer"/>
          <w:jc w:val="right"/>
        </w:pPr>
        <w:r>
          <w:fldChar w:fldCharType="begin"/>
        </w:r>
        <w:r>
          <w:instrText xml:space="preserve"> PAGE   \* MERGEFORMAT </w:instrText>
        </w:r>
        <w:r>
          <w:fldChar w:fldCharType="separate"/>
        </w:r>
        <w:r>
          <w:rPr>
            <w:noProof/>
          </w:rPr>
          <w:t>6</w:t>
        </w:r>
        <w:r>
          <w:rPr>
            <w:noProof/>
          </w:rPr>
          <w:fldChar w:fldCharType="end"/>
        </w:r>
      </w:p>
    </w:sdtContent>
  </w:sdt>
  <w:p w:rsidR="00575B53" w:rsidRDefault="00575B53">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5B53" w:rsidRDefault="00575B5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5B53" w:rsidRDefault="00293B4B">
      <w:pPr>
        <w:spacing w:after="0" w:line="240" w:lineRule="auto"/>
      </w:pPr>
      <w:r>
        <w:separator/>
      </w:r>
    </w:p>
  </w:footnote>
  <w:footnote w:type="continuationSeparator" w:id="0">
    <w:p w:rsidR="00575B53" w:rsidRDefault="00293B4B">
      <w:pPr>
        <w:spacing w:after="0" w:line="240" w:lineRule="auto"/>
      </w:pPr>
      <w:r>
        <w:continuationSeparator/>
      </w:r>
    </w:p>
  </w:footnote>
  <w:footnote w:type="continuationNotice" w:id="1">
    <w:p w:rsidR="00575B53" w:rsidRDefault="00575B53">
      <w:pPr>
        <w:spacing w:after="0" w:line="240" w:lineRule="auto"/>
      </w:pPr>
    </w:p>
  </w:footnote>
  <w:footnote w:id="2">
    <w:p w:rsidR="00575B53" w:rsidRDefault="00293B4B">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COM (2016) 110 </w:t>
      </w:r>
      <w:r>
        <w:rPr>
          <w:rFonts w:ascii="Times New Roman" w:hAnsi="Times New Roman" w:cs="Times New Roman"/>
          <w:i/>
        </w:rPr>
        <w:t>The Road from Paris: assessing the implications of the Paris Agreement</w:t>
      </w:r>
      <w:r>
        <w:rPr>
          <w:rFonts w:ascii="Times New Roman" w:hAnsi="Times New Roman" w:cs="Times New Roman"/>
        </w:rPr>
        <w:t>.</w:t>
      </w:r>
    </w:p>
  </w:footnote>
  <w:footnote w:id="3">
    <w:p w:rsidR="00575B53" w:rsidRDefault="00293B4B">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COM (2015) 80 </w:t>
      </w:r>
      <w:r>
        <w:rPr>
          <w:rFonts w:ascii="Times New Roman" w:hAnsi="Times New Roman" w:cs="Times New Roman"/>
          <w:i/>
        </w:rPr>
        <w:t>A Framework Strategy for a Resilient Energy Union</w:t>
      </w:r>
      <w:r>
        <w:rPr>
          <w:rFonts w:ascii="Times New Roman" w:hAnsi="Times New Roman" w:cs="Times New Roman"/>
          <w:i/>
        </w:rPr>
        <w:t xml:space="preserve"> with a Forward-Looking Climate Change Policy.</w:t>
      </w:r>
    </w:p>
  </w:footnote>
  <w:footnote w:id="4">
    <w:p w:rsidR="00575B53" w:rsidRDefault="00293B4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In October 2014, the EU Heads of State and Government agreed the 2030 policy framework for climate and energy. The framework sets out the EU commitment to a binding target of at least a 40% domestic reductio</w:t>
      </w:r>
      <w:r>
        <w:rPr>
          <w:rFonts w:ascii="Times New Roman" w:hAnsi="Times New Roman" w:cs="Times New Roman"/>
        </w:rPr>
        <w:t>n in economy-wide greenhouse gas emissions by 2030 compared to 1990.</w:t>
      </w:r>
    </w:p>
  </w:footnote>
  <w:footnote w:id="5">
    <w:p w:rsidR="00575B53" w:rsidRDefault="00293B4B">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European climate diplomacy after COP21 – Council conclusions of 15 February 2016.  </w:t>
      </w:r>
    </w:p>
  </w:footnote>
  <w:footnote w:id="6">
    <w:p w:rsidR="00575B53" w:rsidRDefault="00293B4B">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The EU 2030 target requires reductions of -43% compared to 2005 in these sectors.</w:t>
      </w:r>
    </w:p>
  </w:footnote>
  <w:footnote w:id="7">
    <w:p w:rsidR="00575B53" w:rsidRDefault="00293B4B">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The EU 2030 tar</w:t>
      </w:r>
      <w:r>
        <w:rPr>
          <w:rFonts w:ascii="Times New Roman" w:hAnsi="Times New Roman" w:cs="Times New Roman"/>
        </w:rPr>
        <w:t>get requires reductions of –30% compared to 2005 in these sectors.</w:t>
      </w:r>
    </w:p>
  </w:footnote>
  <w:footnote w:id="8">
    <w:p w:rsidR="00575B53" w:rsidRDefault="00293B4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To further facilitate compliance, Member States that face proportionately higher costs to meet their target can opt to transfer some allowances under the Emission Trading System to offset</w:t>
      </w:r>
      <w:r>
        <w:rPr>
          <w:rFonts w:ascii="Times New Roman" w:hAnsi="Times New Roman" w:cs="Times New Roman"/>
        </w:rPr>
        <w:t xml:space="preserve"> emissions in the other economic sectors.</w:t>
      </w:r>
    </w:p>
  </w:footnote>
  <w:footnote w:id="9">
    <w:p w:rsidR="00575B53" w:rsidRDefault="00293B4B">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COM (2015) 614 </w:t>
      </w:r>
      <w:r>
        <w:rPr>
          <w:rFonts w:ascii="Times New Roman" w:hAnsi="Times New Roman" w:cs="Times New Roman"/>
          <w:i/>
        </w:rPr>
        <w:t>Closing the loop - An EU action plan for the Circular Economy</w:t>
      </w:r>
      <w:r>
        <w:rPr>
          <w:rFonts w:ascii="Times New Roman" w:hAnsi="Times New Roman" w:cs="Times New Roman"/>
        </w:rPr>
        <w:t>.</w:t>
      </w:r>
    </w:p>
  </w:footnote>
  <w:footnote w:id="10">
    <w:p w:rsidR="00575B53" w:rsidRDefault="00293B4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See also </w:t>
      </w:r>
      <w:r>
        <w:rPr>
          <w:rFonts w:ascii="Times New Roman" w:hAnsi="Times New Roman" w:cs="Times New Roman"/>
          <w:i/>
        </w:rPr>
        <w:t>Capital Markets Union: First Status Report</w:t>
      </w:r>
      <w:r>
        <w:rPr>
          <w:rFonts w:ascii="Times New Roman" w:hAnsi="Times New Roman" w:cs="Times New Roman"/>
        </w:rPr>
        <w:t xml:space="preserve">, SWD (2016) 147 final.  </w:t>
      </w:r>
    </w:p>
  </w:footnote>
  <w:footnote w:id="11">
    <w:p w:rsidR="00575B53" w:rsidRDefault="00293B4B">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COM (2016) 359 </w:t>
      </w:r>
      <w:r>
        <w:rPr>
          <w:rFonts w:ascii="Times New Roman" w:hAnsi="Times New Roman" w:cs="Times New Roman"/>
          <w:i/>
        </w:rPr>
        <w:t>Taking Stock of the Investment Plan fo</w:t>
      </w:r>
      <w:r>
        <w:rPr>
          <w:rFonts w:ascii="Times New Roman" w:hAnsi="Times New Roman" w:cs="Times New Roman"/>
          <w:i/>
        </w:rPr>
        <w:t>r Europe and next steps</w:t>
      </w:r>
      <w:r>
        <w:rPr>
          <w:rFonts w:ascii="Times New Roman" w:hAnsi="Times New Roman" w:cs="Times New Roman"/>
        </w:rPr>
        <w:t xml:space="preserve"> (state of play on 1 June 2016)</w:t>
      </w:r>
    </w:p>
  </w:footnote>
  <w:footnote w:id="12">
    <w:p w:rsidR="00575B53" w:rsidRDefault="00293B4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Under the Rural Development pillar of the policy, EUR 7.7 billion are earmarked for projects targeting carbon sequestration and storage in soils, the supply and use of sustainable renewable energy an</w:t>
      </w:r>
      <w:r>
        <w:rPr>
          <w:rFonts w:ascii="Times New Roman" w:hAnsi="Times New Roman" w:cs="Times New Roman"/>
        </w:rPr>
        <w:t>d climate smart investments. Another EUR 43.7 billion are earmarked actions to improve ecosystems which also have an effect on the carbon footprint of agriculture and forestry.</w:t>
      </w:r>
    </w:p>
  </w:footnote>
  <w:footnote w:id="13">
    <w:p w:rsidR="00575B53" w:rsidRDefault="00293B4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COM (2016) 381 </w:t>
      </w:r>
      <w:r>
        <w:rPr>
          <w:rFonts w:ascii="Times New Roman" w:hAnsi="Times New Roman" w:cs="Times New Roman"/>
          <w:i/>
        </w:rPr>
        <w:t>A New Skills Agenda for Europe: Working together to strengthen</w:t>
      </w:r>
      <w:r>
        <w:rPr>
          <w:rFonts w:ascii="Times New Roman" w:hAnsi="Times New Roman" w:cs="Times New Roman"/>
          <w:i/>
        </w:rPr>
        <w:t xml:space="preserve"> human capital, employability and competitiveness.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3B4B" w:rsidRPr="00293B4B" w:rsidRDefault="00293B4B" w:rsidP="00293B4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3B4B" w:rsidRPr="00293B4B" w:rsidRDefault="00293B4B" w:rsidP="00293B4B">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3B4B" w:rsidRPr="00293B4B" w:rsidRDefault="00293B4B" w:rsidP="00293B4B">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5B53" w:rsidRDefault="00575B53">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5B53" w:rsidRDefault="00575B53">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5B53" w:rsidRDefault="00575B5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E315D"/>
    <w:multiLevelType w:val="hybridMultilevel"/>
    <w:tmpl w:val="E1C4C4F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nsid w:val="089F66D8"/>
    <w:multiLevelType w:val="hybridMultilevel"/>
    <w:tmpl w:val="713697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8EB5C0C"/>
    <w:multiLevelType w:val="hybridMultilevel"/>
    <w:tmpl w:val="E8906D6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095113AE"/>
    <w:multiLevelType w:val="hybridMultilevel"/>
    <w:tmpl w:val="542A2B86"/>
    <w:lvl w:ilvl="0" w:tplc="1EAAB79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D9B23AC"/>
    <w:multiLevelType w:val="hybridMultilevel"/>
    <w:tmpl w:val="7F66D77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nsid w:val="1C825E5D"/>
    <w:multiLevelType w:val="hybridMultilevel"/>
    <w:tmpl w:val="CBD8A582"/>
    <w:lvl w:ilvl="0" w:tplc="0809000F">
      <w:start w:val="1"/>
      <w:numFmt w:val="decimal"/>
      <w:lvlText w:val="%1."/>
      <w:lvlJc w:val="left"/>
      <w:pPr>
        <w:ind w:left="1077" w:hanging="360"/>
      </w:p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6">
    <w:nsid w:val="21765590"/>
    <w:multiLevelType w:val="hybridMultilevel"/>
    <w:tmpl w:val="561A824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nsid w:val="2B300C50"/>
    <w:multiLevelType w:val="hybridMultilevel"/>
    <w:tmpl w:val="FEC219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CD6369A"/>
    <w:multiLevelType w:val="hybridMultilevel"/>
    <w:tmpl w:val="B0620D46"/>
    <w:lvl w:ilvl="0" w:tplc="08090001">
      <w:start w:val="1"/>
      <w:numFmt w:val="bullet"/>
      <w:lvlText w:val=""/>
      <w:lvlJc w:val="left"/>
      <w:pPr>
        <w:ind w:left="1512" w:hanging="360"/>
      </w:pPr>
      <w:rPr>
        <w:rFonts w:ascii="Symbol" w:hAnsi="Symbol" w:hint="default"/>
      </w:rPr>
    </w:lvl>
    <w:lvl w:ilvl="1" w:tplc="08090003">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9">
    <w:nsid w:val="35610697"/>
    <w:multiLevelType w:val="hybridMultilevel"/>
    <w:tmpl w:val="5CB85FB4"/>
    <w:lvl w:ilvl="0" w:tplc="C45C6F82">
      <w:numFmt w:val="bullet"/>
      <w:lvlText w:val="-"/>
      <w:lvlJc w:val="left"/>
      <w:pPr>
        <w:ind w:left="1800" w:hanging="360"/>
      </w:pPr>
      <w:rPr>
        <w:rFonts w:ascii="Calibri" w:eastAsia="Calibri" w:hAnsi="Calibri" w:cs="Times New Roman"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cs="Courier New"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cs="Courier New" w:hint="default"/>
      </w:rPr>
    </w:lvl>
    <w:lvl w:ilvl="8" w:tplc="08090005">
      <w:start w:val="1"/>
      <w:numFmt w:val="bullet"/>
      <w:lvlText w:val=""/>
      <w:lvlJc w:val="left"/>
      <w:pPr>
        <w:ind w:left="7560" w:hanging="360"/>
      </w:pPr>
      <w:rPr>
        <w:rFonts w:ascii="Wingdings" w:hAnsi="Wingdings" w:hint="default"/>
      </w:rPr>
    </w:lvl>
  </w:abstractNum>
  <w:abstractNum w:abstractNumId="10">
    <w:nsid w:val="36C71FB7"/>
    <w:multiLevelType w:val="hybridMultilevel"/>
    <w:tmpl w:val="B76E98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nsid w:val="38E910FF"/>
    <w:multiLevelType w:val="multilevel"/>
    <w:tmpl w:val="DFB47E68"/>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475F49D7"/>
    <w:multiLevelType w:val="hybridMultilevel"/>
    <w:tmpl w:val="1A4EAC7A"/>
    <w:lvl w:ilvl="0" w:tplc="08090001">
      <w:start w:val="1"/>
      <w:numFmt w:val="bullet"/>
      <w:lvlText w:val=""/>
      <w:lvlJc w:val="left"/>
      <w:pPr>
        <w:ind w:left="1152" w:hanging="360"/>
      </w:pPr>
      <w:rPr>
        <w:rFonts w:ascii="Symbol" w:hAnsi="Symbol" w:hint="default"/>
      </w:rPr>
    </w:lvl>
    <w:lvl w:ilvl="1" w:tplc="08090003" w:tentative="1">
      <w:start w:val="1"/>
      <w:numFmt w:val="bullet"/>
      <w:lvlText w:val="o"/>
      <w:lvlJc w:val="left"/>
      <w:pPr>
        <w:ind w:left="1872" w:hanging="360"/>
      </w:pPr>
      <w:rPr>
        <w:rFonts w:ascii="Courier New" w:hAnsi="Courier New" w:cs="Courier New" w:hint="default"/>
      </w:rPr>
    </w:lvl>
    <w:lvl w:ilvl="2" w:tplc="08090005" w:tentative="1">
      <w:start w:val="1"/>
      <w:numFmt w:val="bullet"/>
      <w:lvlText w:val=""/>
      <w:lvlJc w:val="left"/>
      <w:pPr>
        <w:ind w:left="2592" w:hanging="360"/>
      </w:pPr>
      <w:rPr>
        <w:rFonts w:ascii="Wingdings" w:hAnsi="Wingdings" w:hint="default"/>
      </w:rPr>
    </w:lvl>
    <w:lvl w:ilvl="3" w:tplc="08090001" w:tentative="1">
      <w:start w:val="1"/>
      <w:numFmt w:val="bullet"/>
      <w:lvlText w:val=""/>
      <w:lvlJc w:val="left"/>
      <w:pPr>
        <w:ind w:left="3312" w:hanging="360"/>
      </w:pPr>
      <w:rPr>
        <w:rFonts w:ascii="Symbol" w:hAnsi="Symbol" w:hint="default"/>
      </w:rPr>
    </w:lvl>
    <w:lvl w:ilvl="4" w:tplc="08090003" w:tentative="1">
      <w:start w:val="1"/>
      <w:numFmt w:val="bullet"/>
      <w:lvlText w:val="o"/>
      <w:lvlJc w:val="left"/>
      <w:pPr>
        <w:ind w:left="4032" w:hanging="360"/>
      </w:pPr>
      <w:rPr>
        <w:rFonts w:ascii="Courier New" w:hAnsi="Courier New" w:cs="Courier New" w:hint="default"/>
      </w:rPr>
    </w:lvl>
    <w:lvl w:ilvl="5" w:tplc="08090005" w:tentative="1">
      <w:start w:val="1"/>
      <w:numFmt w:val="bullet"/>
      <w:lvlText w:val=""/>
      <w:lvlJc w:val="left"/>
      <w:pPr>
        <w:ind w:left="4752" w:hanging="360"/>
      </w:pPr>
      <w:rPr>
        <w:rFonts w:ascii="Wingdings" w:hAnsi="Wingdings" w:hint="default"/>
      </w:rPr>
    </w:lvl>
    <w:lvl w:ilvl="6" w:tplc="08090001" w:tentative="1">
      <w:start w:val="1"/>
      <w:numFmt w:val="bullet"/>
      <w:lvlText w:val=""/>
      <w:lvlJc w:val="left"/>
      <w:pPr>
        <w:ind w:left="5472" w:hanging="360"/>
      </w:pPr>
      <w:rPr>
        <w:rFonts w:ascii="Symbol" w:hAnsi="Symbol" w:hint="default"/>
      </w:rPr>
    </w:lvl>
    <w:lvl w:ilvl="7" w:tplc="08090003" w:tentative="1">
      <w:start w:val="1"/>
      <w:numFmt w:val="bullet"/>
      <w:lvlText w:val="o"/>
      <w:lvlJc w:val="left"/>
      <w:pPr>
        <w:ind w:left="6192" w:hanging="360"/>
      </w:pPr>
      <w:rPr>
        <w:rFonts w:ascii="Courier New" w:hAnsi="Courier New" w:cs="Courier New" w:hint="default"/>
      </w:rPr>
    </w:lvl>
    <w:lvl w:ilvl="8" w:tplc="08090005" w:tentative="1">
      <w:start w:val="1"/>
      <w:numFmt w:val="bullet"/>
      <w:lvlText w:val=""/>
      <w:lvlJc w:val="left"/>
      <w:pPr>
        <w:ind w:left="6912" w:hanging="360"/>
      </w:pPr>
      <w:rPr>
        <w:rFonts w:ascii="Wingdings" w:hAnsi="Wingdings" w:hint="default"/>
      </w:rPr>
    </w:lvl>
  </w:abstractNum>
  <w:abstractNum w:abstractNumId="13">
    <w:nsid w:val="4AE335D6"/>
    <w:multiLevelType w:val="hybridMultilevel"/>
    <w:tmpl w:val="D1764678"/>
    <w:lvl w:ilvl="0" w:tplc="1EAAB79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4BF125D4"/>
    <w:multiLevelType w:val="multilevel"/>
    <w:tmpl w:val="EB78066A"/>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500B7064"/>
    <w:multiLevelType w:val="hybridMultilevel"/>
    <w:tmpl w:val="00762B7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nsid w:val="60B251C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66E36BEB"/>
    <w:multiLevelType w:val="hybridMultilevel"/>
    <w:tmpl w:val="715AF9A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9">
    <w:nsid w:val="6F1A06BD"/>
    <w:multiLevelType w:val="hybridMultilevel"/>
    <w:tmpl w:val="E626FEC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nsid w:val="70C920AA"/>
    <w:multiLevelType w:val="hybridMultilevel"/>
    <w:tmpl w:val="A74ED1D8"/>
    <w:lvl w:ilvl="0" w:tplc="08090001">
      <w:start w:val="1"/>
      <w:numFmt w:val="bullet"/>
      <w:lvlText w:val=""/>
      <w:lvlJc w:val="left"/>
      <w:pPr>
        <w:ind w:left="1512" w:hanging="360"/>
      </w:pPr>
      <w:rPr>
        <w:rFonts w:ascii="Symbol" w:hAnsi="Symbol" w:hint="default"/>
      </w:rPr>
    </w:lvl>
    <w:lvl w:ilvl="1" w:tplc="08090003" w:tentative="1">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21">
    <w:nsid w:val="7D5D196D"/>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6"/>
  </w:num>
  <w:num w:numId="2">
    <w:abstractNumId w:val="8"/>
  </w:num>
  <w:num w:numId="3">
    <w:abstractNumId w:val="20"/>
  </w:num>
  <w:num w:numId="4">
    <w:abstractNumId w:val="12"/>
  </w:num>
  <w:num w:numId="5">
    <w:abstractNumId w:val="19"/>
  </w:num>
  <w:num w:numId="6">
    <w:abstractNumId w:val="17"/>
  </w:num>
  <w:num w:numId="7">
    <w:abstractNumId w:val="0"/>
  </w:num>
  <w:num w:numId="8">
    <w:abstractNumId w:val="4"/>
  </w:num>
  <w:num w:numId="9">
    <w:abstractNumId w:val="15"/>
  </w:num>
  <w:num w:numId="10">
    <w:abstractNumId w:val="18"/>
  </w:num>
  <w:num w:numId="11">
    <w:abstractNumId w:val="7"/>
  </w:num>
  <w:num w:numId="12">
    <w:abstractNumId w:val="6"/>
  </w:num>
  <w:num w:numId="13">
    <w:abstractNumId w:val="11"/>
  </w:num>
  <w:num w:numId="14">
    <w:abstractNumId w:val="2"/>
  </w:num>
  <w:num w:numId="15">
    <w:abstractNumId w:val="17"/>
  </w:num>
  <w:num w:numId="16">
    <w:abstractNumId w:val="19"/>
  </w:num>
  <w:num w:numId="17">
    <w:abstractNumId w:val="1"/>
  </w:num>
  <w:num w:numId="18">
    <w:abstractNumId w:val="13"/>
  </w:num>
  <w:num w:numId="19">
    <w:abstractNumId w:val="3"/>
  </w:num>
  <w:num w:numId="20">
    <w:abstractNumId w:val="10"/>
  </w:num>
  <w:num w:numId="21">
    <w:abstractNumId w:val="21"/>
  </w:num>
  <w:num w:numId="22">
    <w:abstractNumId w:val="14"/>
  </w:num>
  <w:num w:numId="23">
    <w:abstractNumId w:val="9"/>
  </w:num>
  <w:num w:numId="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removePersonalInformation/>
  <w:removeDateAndTime/>
  <w:hideSpellingErrors/>
  <w:hideGrammaticalErrors/>
  <w:revisionView w:markup="0"/>
  <w:defaultTabStop w:val="720"/>
  <w:characterSpacingControl w:val="doNotCompress"/>
  <w:hdrShapeDefaults>
    <o:shapedefaults v:ext="edit" spidmax="1843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EU RESTRICTED"/>
    <w:docVar w:name="LW_CORRIGENDUM" w:val="&lt;UNUSED&gt;"/>
    <w:docVar w:name="LW_COVERPAGE_GUID" w:val="602F77E1C8EF4CFEA5DF7897204813AA"/>
    <w:docVar w:name="LW_CROSSREFERENCE" w:val="&lt;UNUSED&gt;"/>
    <w:docVar w:name="LW_DocType" w:val="NORMAL"/>
    <w:docVar w:name="LW_EMISSION" w:val="20.7.2016"/>
    <w:docVar w:name="LW_EMISSION_ISODATE" w:val="2016-07-20"/>
    <w:docVar w:name="LW_EMISSION_LOCATION" w:val="BRX"/>
    <w:docVar w:name="LW_EMISSION_PREFIX" w:val="Brussels, "/>
    <w:docVar w:name="LW_EMISSION_SUFFIX" w:val=" "/>
    <w:docVar w:name="LW_ID_DOCTYPE_NONLW" w:val="CP-014"/>
    <w:docVar w:name="LW_LANGUE" w:val="EN"/>
    <w:docVar w:name="LW_MARKING" w:val="&lt;UNUSED&g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6) 500"/>
    <w:docVar w:name="LW_REF.INTERNE" w:val="&lt;UNUSED&gt;"/>
    <w:docVar w:name="LW_SOUS.TITRE.OBJ" w:val="Communication accompanying measures under the Energy Union Framework Strategy: legislative proposal on binding annual greenhouse gas emissions reductions by Member States from 2021 to 2030, legislative proposal on the inclusion of greenhouse gas emissions and removals from land use, land use change and forestry into the 2030 climate and energy framework and communication on a European Strategy for low-emission mobility"/>
    <w:docVar w:name="LW_SOUS.TITRE.OBJ.CP" w:val="Communication accompanying measures under the Energy Union Framework Strategy: legislative proposal on binding annual greenhouse gas emissions reductions by Member States from 2021 to 2030, legislative proposal on the inclusion of greenhouse gas emissions and removals from land use, land use change and forestry into the 2030 climate and energy framework and communication on a European Strategy for low-emission mobility"/>
    <w:docVar w:name="LW_SUPERTITRE" w:val="&lt;UNUSED&gt;"/>
    <w:docVar w:name="LW_TITRE.OBJ.CP" w:val="Accelerating Europe's transition to a low-carbon economy"/>
    <w:docVar w:name="LW_TYPE.DOC.CP" w:val="COMMUNICATION FROM THE COMMISSION TO THE EUROPEAN PARLIAMENT, THE COUNCIL, THE EUROPEAN ECONOMIC AND SOCIAL COMMITTEE AND THE COMMITTEE OF THE REGIONS"/>
    <w:docVar w:name="LW_TYPE.DOC.CP.USERTEXT" w:val="&lt;EMPTY&gt;"/>
  </w:docVars>
  <w:rsids>
    <w:rsidRoot w:val="00575B53"/>
    <w:rsid w:val="00293B4B"/>
    <w:rsid w:val="00575B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qFormat="1"/>
    <w:lsdException w:name="List Bullet 4"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Yellow Bullet,Normal bullet 2,Table/Figure Heading,Listeafsnit,Dot pt,No Spacing1,List Paragraph Char Char Char,Indicator Text,Numbered Para 1,List Paragraph1,Bullet Points,MAIN CONTENT,List Paragraph12,List Paragraph11,OBC Bullet"/>
    <w:basedOn w:val="Normal"/>
    <w:link w:val="ListParagraphChar"/>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rFonts w:eastAsiaTheme="minorEastAsia"/>
      <w:sz w:val="20"/>
      <w:szCs w:val="20"/>
      <w:lang w:eastAsia="en-GB"/>
    </w:rPr>
  </w:style>
  <w:style w:type="character" w:customStyle="1" w:styleId="CommentTextChar">
    <w:name w:val="Comment Text Char"/>
    <w:basedOn w:val="DefaultParagraphFont"/>
    <w:link w:val="CommentText"/>
    <w:uiPriority w:val="99"/>
    <w:rPr>
      <w:rFonts w:eastAsiaTheme="minorEastAsia"/>
      <w:sz w:val="20"/>
      <w:szCs w:val="20"/>
      <w:lang w:eastAsia="en-GB"/>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nhideWhenUsed/>
    <w:qFormat/>
    <w:pPr>
      <w:spacing w:after="0" w:line="240" w:lineRule="auto"/>
    </w:pPr>
    <w:rPr>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rPr>
      <w:sz w:val="20"/>
      <w:szCs w:val="20"/>
    </w:rPr>
  </w:style>
  <w:style w:type="character" w:styleId="FootnoteReference">
    <w:name w:val="footnote reference"/>
    <w:aliases w:val="number,SUPERS,Footnote Reference Superscript,Footnote number,-E Fußnotenzeichen,EN Footnote Reference,-E Fuﬂnotenzeichen,-E Fuûnotenzeichen,stylish,Footnote symbol,(Footnote Reference),Footnote reference number,note TESI,BVI fnr,fr,o"/>
    <w:basedOn w:val="DefaultParagraphFont"/>
    <w:link w:val="FootnotesymbolCarZchn"/>
    <w:uiPriority w:val="99"/>
    <w:unhideWhenUsed/>
    <w:qFormat/>
    <w:rPr>
      <w:vertAlign w:val="superscript"/>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CommentSubject">
    <w:name w:val="annotation subject"/>
    <w:basedOn w:val="CommentText"/>
    <w:next w:val="CommentText"/>
    <w:link w:val="CommentSubjectChar"/>
    <w:uiPriority w:val="99"/>
    <w:semiHidden/>
    <w:unhideWhenUsed/>
    <w:rPr>
      <w:rFonts w:eastAsiaTheme="minorHAnsi"/>
      <w:b/>
      <w:bCs/>
      <w:lang w:eastAsia="en-US"/>
    </w:rPr>
  </w:style>
  <w:style w:type="character" w:customStyle="1" w:styleId="CommentSubjectChar">
    <w:name w:val="Comment Subject Char"/>
    <w:basedOn w:val="CommentTextChar"/>
    <w:link w:val="CommentSubject"/>
    <w:uiPriority w:val="99"/>
    <w:semiHidden/>
    <w:rPr>
      <w:rFonts w:eastAsiaTheme="minorEastAsia"/>
      <w:b/>
      <w:bCs/>
      <w:sz w:val="20"/>
      <w:szCs w:val="20"/>
      <w:lang w:eastAsia="en-GB"/>
    </w:rPr>
  </w:style>
  <w:style w:type="paragraph" w:styleId="Revision">
    <w:name w:val="Revision"/>
    <w:hidden/>
    <w:uiPriority w:val="99"/>
    <w:semiHidden/>
    <w:pPr>
      <w:spacing w:after="0" w:line="240" w:lineRule="auto"/>
    </w:pPr>
  </w:style>
  <w:style w:type="paragraph" w:styleId="BodyText2">
    <w:name w:val="Body Text 2"/>
    <w:basedOn w:val="Normal"/>
    <w:link w:val="BodyText2Char"/>
    <w:pPr>
      <w:spacing w:after="120" w:line="480" w:lineRule="auto"/>
      <w:jc w:val="both"/>
    </w:pPr>
    <w:rPr>
      <w:rFonts w:ascii="Times New Roman" w:eastAsia="Times New Roman" w:hAnsi="Times New Roman" w:cs="Times New Roman"/>
      <w:sz w:val="24"/>
      <w:szCs w:val="20"/>
    </w:rPr>
  </w:style>
  <w:style w:type="character" w:customStyle="1" w:styleId="BodyText2Char">
    <w:name w:val="Body Text 2 Char"/>
    <w:basedOn w:val="DefaultParagraphFont"/>
    <w:link w:val="BodyText2"/>
    <w:rPr>
      <w:rFonts w:ascii="Times New Roman" w:eastAsia="Times New Roman" w:hAnsi="Times New Roman" w:cs="Times New Roman"/>
      <w:sz w:val="24"/>
      <w:szCs w:val="20"/>
    </w:rPr>
  </w:style>
  <w:style w:type="paragraph" w:styleId="ListBullet4">
    <w:name w:val="List Bullet 4"/>
    <w:basedOn w:val="Normal"/>
    <w:pPr>
      <w:numPr>
        <w:numId w:val="10"/>
      </w:numPr>
      <w:spacing w:after="240" w:line="240" w:lineRule="auto"/>
      <w:jc w:val="both"/>
    </w:pPr>
    <w:rPr>
      <w:rFonts w:ascii="Times New Roman" w:eastAsia="Times New Roman" w:hAnsi="Times New Roman" w:cs="Times New Roman"/>
      <w:sz w:val="24"/>
      <w:szCs w:val="20"/>
    </w:rPr>
  </w:style>
  <w:style w:type="character" w:styleId="Strong">
    <w:name w:val="Strong"/>
    <w:basedOn w:val="DefaultParagraphFont"/>
    <w:uiPriority w:val="22"/>
    <w:qFormat/>
    <w:rPr>
      <w:b/>
      <w:bCs/>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semiHidden/>
    <w:unhideWhenUsed/>
    <w:rPr>
      <w:color w:val="0000FF" w:themeColor="hyperlink"/>
      <w:u w:val="single"/>
    </w:rPr>
  </w:style>
  <w:style w:type="character" w:customStyle="1" w:styleId="ListParagraphChar">
    <w:name w:val="List Paragraph Char"/>
    <w:aliases w:val="Yellow Bullet Char,Normal bullet 2 Char,Table/Figure Heading Char,Listeafsnit Char,Dot pt Char,No Spacing1 Char,List Paragraph Char Char Char Char,Indicator Text Char,Numbered Para 1 Char,List Paragraph1 Char,Bullet Points Char"/>
    <w:link w:val="ListParagraph"/>
    <w:uiPriority w:val="34"/>
    <w:qFormat/>
    <w:locked/>
  </w:style>
  <w:style w:type="paragraph" w:styleId="PlainText">
    <w:name w:val="Plain Text"/>
    <w:basedOn w:val="Normal"/>
    <w:link w:val="PlainTextChar"/>
    <w:uiPriority w:val="99"/>
    <w:semiHidden/>
    <w:unhideWhenUsed/>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Pr>
      <w:rFonts w:ascii="Consolas" w:hAnsi="Consolas"/>
      <w:sz w:val="21"/>
      <w:szCs w:val="21"/>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jc w:val="both"/>
    </w:pPr>
    <w:rPr>
      <w:vertAlign w:val="superscript"/>
    </w:rPr>
  </w:style>
  <w:style w:type="character" w:styleId="Emphasis">
    <w:name w:val="Emphasis"/>
    <w:basedOn w:val="DefaultParagraphFont"/>
    <w:uiPriority w:val="20"/>
    <w:qFormat/>
    <w:rPr>
      <w:i/>
      <w:iCs/>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Text1">
    <w:name w:val="Text 1"/>
    <w:basedOn w:val="Normal"/>
    <w:pPr>
      <w:spacing w:after="240" w:line="240" w:lineRule="auto"/>
      <w:ind w:left="482"/>
      <w:jc w:val="both"/>
    </w:pPr>
    <w:rPr>
      <w:rFonts w:ascii="Times New Roman" w:eastAsia="Times New Roman" w:hAnsi="Times New Roman" w:cs="Times New Roman"/>
      <w:sz w:val="24"/>
      <w:szCs w:val="20"/>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szCs w:val="24"/>
    </w:rPr>
  </w:style>
  <w:style w:type="character" w:customStyle="1" w:styleId="FooterCoverPageChar">
    <w:name w:val="Footer Cover Page Char"/>
    <w:basedOn w:val="DefaultParagraphFont"/>
    <w:link w:val="FooterCoverPage"/>
    <w:rPr>
      <w:rFonts w:ascii="Times New Roman" w:hAnsi="Times New Roman" w:cs="Times New Roman"/>
      <w:sz w:val="24"/>
      <w:szCs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szCs w:val="24"/>
    </w:rPr>
  </w:style>
  <w:style w:type="character" w:customStyle="1" w:styleId="HeaderCoverPageChar">
    <w:name w:val="Header Cover Page Char"/>
    <w:basedOn w:val="DefaultParagraphFont"/>
    <w:link w:val="HeaderCoverPage"/>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qFormat="1"/>
    <w:lsdException w:name="List Bullet 4"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Yellow Bullet,Normal bullet 2,Table/Figure Heading,Listeafsnit,Dot pt,No Spacing1,List Paragraph Char Char Char,Indicator Text,Numbered Para 1,List Paragraph1,Bullet Points,MAIN CONTENT,List Paragraph12,List Paragraph11,OBC Bullet"/>
    <w:basedOn w:val="Normal"/>
    <w:link w:val="ListParagraphChar"/>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rFonts w:eastAsiaTheme="minorEastAsia"/>
      <w:sz w:val="20"/>
      <w:szCs w:val="20"/>
      <w:lang w:eastAsia="en-GB"/>
    </w:rPr>
  </w:style>
  <w:style w:type="character" w:customStyle="1" w:styleId="CommentTextChar">
    <w:name w:val="Comment Text Char"/>
    <w:basedOn w:val="DefaultParagraphFont"/>
    <w:link w:val="CommentText"/>
    <w:uiPriority w:val="99"/>
    <w:rPr>
      <w:rFonts w:eastAsiaTheme="minorEastAsia"/>
      <w:sz w:val="20"/>
      <w:szCs w:val="20"/>
      <w:lang w:eastAsia="en-GB"/>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nhideWhenUsed/>
    <w:qFormat/>
    <w:pPr>
      <w:spacing w:after="0" w:line="240" w:lineRule="auto"/>
    </w:pPr>
    <w:rPr>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rPr>
      <w:sz w:val="20"/>
      <w:szCs w:val="20"/>
    </w:rPr>
  </w:style>
  <w:style w:type="character" w:styleId="FootnoteReference">
    <w:name w:val="footnote reference"/>
    <w:aliases w:val="number,SUPERS,Footnote Reference Superscript,Footnote number,-E Fußnotenzeichen,EN Footnote Reference,-E Fuﬂnotenzeichen,-E Fuûnotenzeichen,stylish,Footnote symbol,(Footnote Reference),Footnote reference number,note TESI,BVI fnr,fr,o"/>
    <w:basedOn w:val="DefaultParagraphFont"/>
    <w:link w:val="FootnotesymbolCarZchn"/>
    <w:uiPriority w:val="99"/>
    <w:unhideWhenUsed/>
    <w:qFormat/>
    <w:rPr>
      <w:vertAlign w:val="superscript"/>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CommentSubject">
    <w:name w:val="annotation subject"/>
    <w:basedOn w:val="CommentText"/>
    <w:next w:val="CommentText"/>
    <w:link w:val="CommentSubjectChar"/>
    <w:uiPriority w:val="99"/>
    <w:semiHidden/>
    <w:unhideWhenUsed/>
    <w:rPr>
      <w:rFonts w:eastAsiaTheme="minorHAnsi"/>
      <w:b/>
      <w:bCs/>
      <w:lang w:eastAsia="en-US"/>
    </w:rPr>
  </w:style>
  <w:style w:type="character" w:customStyle="1" w:styleId="CommentSubjectChar">
    <w:name w:val="Comment Subject Char"/>
    <w:basedOn w:val="CommentTextChar"/>
    <w:link w:val="CommentSubject"/>
    <w:uiPriority w:val="99"/>
    <w:semiHidden/>
    <w:rPr>
      <w:rFonts w:eastAsiaTheme="minorEastAsia"/>
      <w:b/>
      <w:bCs/>
      <w:sz w:val="20"/>
      <w:szCs w:val="20"/>
      <w:lang w:eastAsia="en-GB"/>
    </w:rPr>
  </w:style>
  <w:style w:type="paragraph" w:styleId="Revision">
    <w:name w:val="Revision"/>
    <w:hidden/>
    <w:uiPriority w:val="99"/>
    <w:semiHidden/>
    <w:pPr>
      <w:spacing w:after="0" w:line="240" w:lineRule="auto"/>
    </w:pPr>
  </w:style>
  <w:style w:type="paragraph" w:styleId="BodyText2">
    <w:name w:val="Body Text 2"/>
    <w:basedOn w:val="Normal"/>
    <w:link w:val="BodyText2Char"/>
    <w:pPr>
      <w:spacing w:after="120" w:line="480" w:lineRule="auto"/>
      <w:jc w:val="both"/>
    </w:pPr>
    <w:rPr>
      <w:rFonts w:ascii="Times New Roman" w:eastAsia="Times New Roman" w:hAnsi="Times New Roman" w:cs="Times New Roman"/>
      <w:sz w:val="24"/>
      <w:szCs w:val="20"/>
    </w:rPr>
  </w:style>
  <w:style w:type="character" w:customStyle="1" w:styleId="BodyText2Char">
    <w:name w:val="Body Text 2 Char"/>
    <w:basedOn w:val="DefaultParagraphFont"/>
    <w:link w:val="BodyText2"/>
    <w:rPr>
      <w:rFonts w:ascii="Times New Roman" w:eastAsia="Times New Roman" w:hAnsi="Times New Roman" w:cs="Times New Roman"/>
      <w:sz w:val="24"/>
      <w:szCs w:val="20"/>
    </w:rPr>
  </w:style>
  <w:style w:type="paragraph" w:styleId="ListBullet4">
    <w:name w:val="List Bullet 4"/>
    <w:basedOn w:val="Normal"/>
    <w:pPr>
      <w:numPr>
        <w:numId w:val="10"/>
      </w:numPr>
      <w:spacing w:after="240" w:line="240" w:lineRule="auto"/>
      <w:jc w:val="both"/>
    </w:pPr>
    <w:rPr>
      <w:rFonts w:ascii="Times New Roman" w:eastAsia="Times New Roman" w:hAnsi="Times New Roman" w:cs="Times New Roman"/>
      <w:sz w:val="24"/>
      <w:szCs w:val="20"/>
    </w:rPr>
  </w:style>
  <w:style w:type="character" w:styleId="Strong">
    <w:name w:val="Strong"/>
    <w:basedOn w:val="DefaultParagraphFont"/>
    <w:uiPriority w:val="22"/>
    <w:qFormat/>
    <w:rPr>
      <w:b/>
      <w:bCs/>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semiHidden/>
    <w:unhideWhenUsed/>
    <w:rPr>
      <w:color w:val="0000FF" w:themeColor="hyperlink"/>
      <w:u w:val="single"/>
    </w:rPr>
  </w:style>
  <w:style w:type="character" w:customStyle="1" w:styleId="ListParagraphChar">
    <w:name w:val="List Paragraph Char"/>
    <w:aliases w:val="Yellow Bullet Char,Normal bullet 2 Char,Table/Figure Heading Char,Listeafsnit Char,Dot pt Char,No Spacing1 Char,List Paragraph Char Char Char Char,Indicator Text Char,Numbered Para 1 Char,List Paragraph1 Char,Bullet Points Char"/>
    <w:link w:val="ListParagraph"/>
    <w:uiPriority w:val="34"/>
    <w:qFormat/>
    <w:locked/>
  </w:style>
  <w:style w:type="paragraph" w:styleId="PlainText">
    <w:name w:val="Plain Text"/>
    <w:basedOn w:val="Normal"/>
    <w:link w:val="PlainTextChar"/>
    <w:uiPriority w:val="99"/>
    <w:semiHidden/>
    <w:unhideWhenUsed/>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Pr>
      <w:rFonts w:ascii="Consolas" w:hAnsi="Consolas"/>
      <w:sz w:val="21"/>
      <w:szCs w:val="21"/>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jc w:val="both"/>
    </w:pPr>
    <w:rPr>
      <w:vertAlign w:val="superscript"/>
    </w:rPr>
  </w:style>
  <w:style w:type="character" w:styleId="Emphasis">
    <w:name w:val="Emphasis"/>
    <w:basedOn w:val="DefaultParagraphFont"/>
    <w:uiPriority w:val="20"/>
    <w:qFormat/>
    <w:rPr>
      <w:i/>
      <w:iCs/>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Text1">
    <w:name w:val="Text 1"/>
    <w:basedOn w:val="Normal"/>
    <w:pPr>
      <w:spacing w:after="240" w:line="240" w:lineRule="auto"/>
      <w:ind w:left="482"/>
      <w:jc w:val="both"/>
    </w:pPr>
    <w:rPr>
      <w:rFonts w:ascii="Times New Roman" w:eastAsia="Times New Roman" w:hAnsi="Times New Roman" w:cs="Times New Roman"/>
      <w:sz w:val="24"/>
      <w:szCs w:val="20"/>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szCs w:val="24"/>
    </w:rPr>
  </w:style>
  <w:style w:type="character" w:customStyle="1" w:styleId="FooterCoverPageChar">
    <w:name w:val="Footer Cover Page Char"/>
    <w:basedOn w:val="DefaultParagraphFont"/>
    <w:link w:val="FooterCoverPage"/>
    <w:rPr>
      <w:rFonts w:ascii="Times New Roman" w:hAnsi="Times New Roman" w:cs="Times New Roman"/>
      <w:sz w:val="24"/>
      <w:szCs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szCs w:val="24"/>
    </w:rPr>
  </w:style>
  <w:style w:type="character" w:customStyle="1" w:styleId="HeaderCoverPageChar">
    <w:name w:val="Header Cover Page Char"/>
    <w:basedOn w:val="DefaultParagraphFont"/>
    <w:link w:val="HeaderCoverPag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919070">
      <w:bodyDiv w:val="1"/>
      <w:marLeft w:val="0"/>
      <w:marRight w:val="0"/>
      <w:marTop w:val="0"/>
      <w:marBottom w:val="0"/>
      <w:divBdr>
        <w:top w:val="none" w:sz="0" w:space="0" w:color="auto"/>
        <w:left w:val="none" w:sz="0" w:space="0" w:color="auto"/>
        <w:bottom w:val="none" w:sz="0" w:space="0" w:color="auto"/>
        <w:right w:val="none" w:sz="0" w:space="0" w:color="auto"/>
      </w:divBdr>
    </w:div>
    <w:div w:id="210045537">
      <w:bodyDiv w:val="1"/>
      <w:marLeft w:val="0"/>
      <w:marRight w:val="0"/>
      <w:marTop w:val="0"/>
      <w:marBottom w:val="0"/>
      <w:divBdr>
        <w:top w:val="none" w:sz="0" w:space="0" w:color="auto"/>
        <w:left w:val="none" w:sz="0" w:space="0" w:color="auto"/>
        <w:bottom w:val="none" w:sz="0" w:space="0" w:color="auto"/>
        <w:right w:val="none" w:sz="0" w:space="0" w:color="auto"/>
      </w:divBdr>
    </w:div>
    <w:div w:id="407700704">
      <w:bodyDiv w:val="1"/>
      <w:marLeft w:val="0"/>
      <w:marRight w:val="0"/>
      <w:marTop w:val="0"/>
      <w:marBottom w:val="0"/>
      <w:divBdr>
        <w:top w:val="none" w:sz="0" w:space="0" w:color="auto"/>
        <w:left w:val="none" w:sz="0" w:space="0" w:color="auto"/>
        <w:bottom w:val="none" w:sz="0" w:space="0" w:color="auto"/>
        <w:right w:val="none" w:sz="0" w:space="0" w:color="auto"/>
      </w:divBdr>
    </w:div>
    <w:div w:id="557254002">
      <w:bodyDiv w:val="1"/>
      <w:marLeft w:val="0"/>
      <w:marRight w:val="0"/>
      <w:marTop w:val="0"/>
      <w:marBottom w:val="0"/>
      <w:divBdr>
        <w:top w:val="none" w:sz="0" w:space="0" w:color="auto"/>
        <w:left w:val="none" w:sz="0" w:space="0" w:color="auto"/>
        <w:bottom w:val="none" w:sz="0" w:space="0" w:color="auto"/>
        <w:right w:val="none" w:sz="0" w:space="0" w:color="auto"/>
      </w:divBdr>
    </w:div>
    <w:div w:id="698777441">
      <w:bodyDiv w:val="1"/>
      <w:marLeft w:val="0"/>
      <w:marRight w:val="0"/>
      <w:marTop w:val="0"/>
      <w:marBottom w:val="0"/>
      <w:divBdr>
        <w:top w:val="none" w:sz="0" w:space="0" w:color="auto"/>
        <w:left w:val="none" w:sz="0" w:space="0" w:color="auto"/>
        <w:bottom w:val="none" w:sz="0" w:space="0" w:color="auto"/>
        <w:right w:val="none" w:sz="0" w:space="0" w:color="auto"/>
      </w:divBdr>
    </w:div>
    <w:div w:id="785349223">
      <w:bodyDiv w:val="1"/>
      <w:marLeft w:val="0"/>
      <w:marRight w:val="0"/>
      <w:marTop w:val="0"/>
      <w:marBottom w:val="0"/>
      <w:divBdr>
        <w:top w:val="none" w:sz="0" w:space="0" w:color="auto"/>
        <w:left w:val="none" w:sz="0" w:space="0" w:color="auto"/>
        <w:bottom w:val="none" w:sz="0" w:space="0" w:color="auto"/>
        <w:right w:val="none" w:sz="0" w:space="0" w:color="auto"/>
      </w:divBdr>
    </w:div>
    <w:div w:id="924538623">
      <w:bodyDiv w:val="1"/>
      <w:marLeft w:val="0"/>
      <w:marRight w:val="0"/>
      <w:marTop w:val="0"/>
      <w:marBottom w:val="0"/>
      <w:divBdr>
        <w:top w:val="none" w:sz="0" w:space="0" w:color="auto"/>
        <w:left w:val="none" w:sz="0" w:space="0" w:color="auto"/>
        <w:bottom w:val="none" w:sz="0" w:space="0" w:color="auto"/>
        <w:right w:val="none" w:sz="0" w:space="0" w:color="auto"/>
      </w:divBdr>
    </w:div>
    <w:div w:id="1001927470">
      <w:bodyDiv w:val="1"/>
      <w:marLeft w:val="0"/>
      <w:marRight w:val="0"/>
      <w:marTop w:val="0"/>
      <w:marBottom w:val="0"/>
      <w:divBdr>
        <w:top w:val="none" w:sz="0" w:space="0" w:color="auto"/>
        <w:left w:val="none" w:sz="0" w:space="0" w:color="auto"/>
        <w:bottom w:val="none" w:sz="0" w:space="0" w:color="auto"/>
        <w:right w:val="none" w:sz="0" w:space="0" w:color="auto"/>
      </w:divBdr>
    </w:div>
    <w:div w:id="1010184035">
      <w:bodyDiv w:val="1"/>
      <w:marLeft w:val="0"/>
      <w:marRight w:val="0"/>
      <w:marTop w:val="0"/>
      <w:marBottom w:val="0"/>
      <w:divBdr>
        <w:top w:val="none" w:sz="0" w:space="0" w:color="auto"/>
        <w:left w:val="none" w:sz="0" w:space="0" w:color="auto"/>
        <w:bottom w:val="none" w:sz="0" w:space="0" w:color="auto"/>
        <w:right w:val="none" w:sz="0" w:space="0" w:color="auto"/>
      </w:divBdr>
    </w:div>
    <w:div w:id="1240363320">
      <w:bodyDiv w:val="1"/>
      <w:marLeft w:val="0"/>
      <w:marRight w:val="0"/>
      <w:marTop w:val="0"/>
      <w:marBottom w:val="0"/>
      <w:divBdr>
        <w:top w:val="none" w:sz="0" w:space="0" w:color="auto"/>
        <w:left w:val="none" w:sz="0" w:space="0" w:color="auto"/>
        <w:bottom w:val="none" w:sz="0" w:space="0" w:color="auto"/>
        <w:right w:val="none" w:sz="0" w:space="0" w:color="auto"/>
      </w:divBdr>
    </w:div>
    <w:div w:id="1268929192">
      <w:bodyDiv w:val="1"/>
      <w:marLeft w:val="0"/>
      <w:marRight w:val="0"/>
      <w:marTop w:val="0"/>
      <w:marBottom w:val="0"/>
      <w:divBdr>
        <w:top w:val="none" w:sz="0" w:space="0" w:color="auto"/>
        <w:left w:val="none" w:sz="0" w:space="0" w:color="auto"/>
        <w:bottom w:val="none" w:sz="0" w:space="0" w:color="auto"/>
        <w:right w:val="none" w:sz="0" w:space="0" w:color="auto"/>
      </w:divBdr>
    </w:div>
    <w:div w:id="1399476629">
      <w:bodyDiv w:val="1"/>
      <w:marLeft w:val="0"/>
      <w:marRight w:val="0"/>
      <w:marTop w:val="0"/>
      <w:marBottom w:val="0"/>
      <w:divBdr>
        <w:top w:val="none" w:sz="0" w:space="0" w:color="auto"/>
        <w:left w:val="none" w:sz="0" w:space="0" w:color="auto"/>
        <w:bottom w:val="none" w:sz="0" w:space="0" w:color="auto"/>
        <w:right w:val="none" w:sz="0" w:space="0" w:color="auto"/>
      </w:divBdr>
    </w:div>
    <w:div w:id="1409112922">
      <w:bodyDiv w:val="1"/>
      <w:marLeft w:val="0"/>
      <w:marRight w:val="0"/>
      <w:marTop w:val="0"/>
      <w:marBottom w:val="0"/>
      <w:divBdr>
        <w:top w:val="none" w:sz="0" w:space="0" w:color="auto"/>
        <w:left w:val="none" w:sz="0" w:space="0" w:color="auto"/>
        <w:bottom w:val="none" w:sz="0" w:space="0" w:color="auto"/>
        <w:right w:val="none" w:sz="0" w:space="0" w:color="auto"/>
      </w:divBdr>
    </w:div>
    <w:div w:id="1430080723">
      <w:bodyDiv w:val="1"/>
      <w:marLeft w:val="0"/>
      <w:marRight w:val="0"/>
      <w:marTop w:val="0"/>
      <w:marBottom w:val="0"/>
      <w:divBdr>
        <w:top w:val="none" w:sz="0" w:space="0" w:color="auto"/>
        <w:left w:val="none" w:sz="0" w:space="0" w:color="auto"/>
        <w:bottom w:val="none" w:sz="0" w:space="0" w:color="auto"/>
        <w:right w:val="none" w:sz="0" w:space="0" w:color="auto"/>
      </w:divBdr>
    </w:div>
    <w:div w:id="1570533529">
      <w:bodyDiv w:val="1"/>
      <w:marLeft w:val="0"/>
      <w:marRight w:val="0"/>
      <w:marTop w:val="0"/>
      <w:marBottom w:val="0"/>
      <w:divBdr>
        <w:top w:val="none" w:sz="0" w:space="0" w:color="auto"/>
        <w:left w:val="none" w:sz="0" w:space="0" w:color="auto"/>
        <w:bottom w:val="none" w:sz="0" w:space="0" w:color="auto"/>
        <w:right w:val="none" w:sz="0" w:space="0" w:color="auto"/>
      </w:divBdr>
    </w:div>
    <w:div w:id="1637950779">
      <w:bodyDiv w:val="1"/>
      <w:marLeft w:val="0"/>
      <w:marRight w:val="0"/>
      <w:marTop w:val="0"/>
      <w:marBottom w:val="0"/>
      <w:divBdr>
        <w:top w:val="none" w:sz="0" w:space="0" w:color="auto"/>
        <w:left w:val="none" w:sz="0" w:space="0" w:color="auto"/>
        <w:bottom w:val="none" w:sz="0" w:space="0" w:color="auto"/>
        <w:right w:val="none" w:sz="0" w:space="0" w:color="auto"/>
      </w:divBdr>
      <w:divsChild>
        <w:div w:id="149907572">
          <w:marLeft w:val="0"/>
          <w:marRight w:val="0"/>
          <w:marTop w:val="0"/>
          <w:marBottom w:val="0"/>
          <w:divBdr>
            <w:top w:val="none" w:sz="0" w:space="0" w:color="auto"/>
            <w:left w:val="none" w:sz="0" w:space="0" w:color="auto"/>
            <w:bottom w:val="none" w:sz="0" w:space="0" w:color="auto"/>
            <w:right w:val="none" w:sz="0" w:space="0" w:color="auto"/>
          </w:divBdr>
          <w:divsChild>
            <w:div w:id="414136704">
              <w:marLeft w:val="0"/>
              <w:marRight w:val="0"/>
              <w:marTop w:val="0"/>
              <w:marBottom w:val="0"/>
              <w:divBdr>
                <w:top w:val="none" w:sz="0" w:space="0" w:color="auto"/>
                <w:left w:val="none" w:sz="0" w:space="0" w:color="auto"/>
                <w:bottom w:val="none" w:sz="0" w:space="0" w:color="auto"/>
                <w:right w:val="none" w:sz="0" w:space="0" w:color="auto"/>
              </w:divBdr>
              <w:divsChild>
                <w:div w:id="2144419605">
                  <w:marLeft w:val="0"/>
                  <w:marRight w:val="0"/>
                  <w:marTop w:val="0"/>
                  <w:marBottom w:val="0"/>
                  <w:divBdr>
                    <w:top w:val="none" w:sz="0" w:space="0" w:color="auto"/>
                    <w:left w:val="none" w:sz="0" w:space="0" w:color="auto"/>
                    <w:bottom w:val="none" w:sz="0" w:space="0" w:color="auto"/>
                    <w:right w:val="none" w:sz="0" w:space="0" w:color="auto"/>
                  </w:divBdr>
                  <w:divsChild>
                    <w:div w:id="1112212293">
                      <w:marLeft w:val="0"/>
                      <w:marRight w:val="0"/>
                      <w:marTop w:val="0"/>
                      <w:marBottom w:val="0"/>
                      <w:divBdr>
                        <w:top w:val="none" w:sz="0" w:space="0" w:color="auto"/>
                        <w:left w:val="none" w:sz="0" w:space="0" w:color="auto"/>
                        <w:bottom w:val="none" w:sz="0" w:space="0" w:color="auto"/>
                        <w:right w:val="none" w:sz="0" w:space="0" w:color="auto"/>
                      </w:divBdr>
                      <w:divsChild>
                        <w:div w:id="1103693703">
                          <w:marLeft w:val="0"/>
                          <w:marRight w:val="0"/>
                          <w:marTop w:val="0"/>
                          <w:marBottom w:val="0"/>
                          <w:divBdr>
                            <w:top w:val="none" w:sz="0" w:space="0" w:color="auto"/>
                            <w:left w:val="none" w:sz="0" w:space="0" w:color="auto"/>
                            <w:bottom w:val="none" w:sz="0" w:space="0" w:color="auto"/>
                            <w:right w:val="none" w:sz="0" w:space="0" w:color="auto"/>
                          </w:divBdr>
                          <w:divsChild>
                            <w:div w:id="1065106007">
                              <w:marLeft w:val="0"/>
                              <w:marRight w:val="0"/>
                              <w:marTop w:val="0"/>
                              <w:marBottom w:val="0"/>
                              <w:divBdr>
                                <w:top w:val="none" w:sz="0" w:space="0" w:color="auto"/>
                                <w:left w:val="none" w:sz="0" w:space="0" w:color="auto"/>
                                <w:bottom w:val="none" w:sz="0" w:space="0" w:color="auto"/>
                                <w:right w:val="none" w:sz="0" w:space="0" w:color="auto"/>
                              </w:divBdr>
                              <w:divsChild>
                                <w:div w:id="932126704">
                                  <w:marLeft w:val="0"/>
                                  <w:marRight w:val="0"/>
                                  <w:marTop w:val="0"/>
                                  <w:marBottom w:val="0"/>
                                  <w:divBdr>
                                    <w:top w:val="none" w:sz="0" w:space="0" w:color="auto"/>
                                    <w:left w:val="none" w:sz="0" w:space="0" w:color="auto"/>
                                    <w:bottom w:val="none" w:sz="0" w:space="0" w:color="auto"/>
                                    <w:right w:val="none" w:sz="0" w:space="0" w:color="auto"/>
                                  </w:divBdr>
                                  <w:divsChild>
                                    <w:div w:id="52509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4254396">
      <w:bodyDiv w:val="1"/>
      <w:marLeft w:val="0"/>
      <w:marRight w:val="0"/>
      <w:marTop w:val="0"/>
      <w:marBottom w:val="0"/>
      <w:divBdr>
        <w:top w:val="none" w:sz="0" w:space="0" w:color="auto"/>
        <w:left w:val="none" w:sz="0" w:space="0" w:color="auto"/>
        <w:bottom w:val="none" w:sz="0" w:space="0" w:color="auto"/>
        <w:right w:val="none" w:sz="0" w:space="0" w:color="auto"/>
      </w:divBdr>
    </w:div>
    <w:div w:id="1769539414">
      <w:bodyDiv w:val="1"/>
      <w:marLeft w:val="0"/>
      <w:marRight w:val="0"/>
      <w:marTop w:val="0"/>
      <w:marBottom w:val="0"/>
      <w:divBdr>
        <w:top w:val="none" w:sz="0" w:space="0" w:color="auto"/>
        <w:left w:val="none" w:sz="0" w:space="0" w:color="auto"/>
        <w:bottom w:val="none" w:sz="0" w:space="0" w:color="auto"/>
        <w:right w:val="none" w:sz="0" w:space="0" w:color="auto"/>
      </w:divBdr>
    </w:div>
    <w:div w:id="1782263712">
      <w:bodyDiv w:val="1"/>
      <w:marLeft w:val="0"/>
      <w:marRight w:val="0"/>
      <w:marTop w:val="0"/>
      <w:marBottom w:val="0"/>
      <w:divBdr>
        <w:top w:val="none" w:sz="0" w:space="0" w:color="auto"/>
        <w:left w:val="none" w:sz="0" w:space="0" w:color="auto"/>
        <w:bottom w:val="none" w:sz="0" w:space="0" w:color="auto"/>
        <w:right w:val="none" w:sz="0" w:space="0" w:color="auto"/>
      </w:divBdr>
    </w:div>
    <w:div w:id="1984650160">
      <w:bodyDiv w:val="1"/>
      <w:marLeft w:val="0"/>
      <w:marRight w:val="0"/>
      <w:marTop w:val="0"/>
      <w:marBottom w:val="0"/>
      <w:divBdr>
        <w:top w:val="none" w:sz="0" w:space="0" w:color="auto"/>
        <w:left w:val="none" w:sz="0" w:space="0" w:color="auto"/>
        <w:bottom w:val="none" w:sz="0" w:space="0" w:color="auto"/>
        <w:right w:val="none" w:sz="0" w:space="0" w:color="auto"/>
      </w:divBdr>
    </w:div>
    <w:div w:id="2014333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455A24-74CC-42A6-A332-45D7AB692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2802</Words>
  <Characters>15573</Characters>
  <Application>Microsoft Office Word</Application>
  <DocSecurity>0</DocSecurity>
  <Lines>229</Lines>
  <Paragraphs>49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18347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2016-07-19T13:54:00Z</dcterms:created>
  <dcterms:modified xsi:type="dcterms:W3CDTF">2016-07-19T13:54:00Z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DocStatus">
    <vt:lpwstr>Green</vt:lpwstr>
  </property>
</Properties>
</file>