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5B53" w:rsidRDefault="00784532" w:rsidP="00784532">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3" type="#_x0000_t75" alt="2449F65D250B445C9565386C2FA8E299" style="width:450.85pt;height:444pt">
            <v:imagedata r:id="rId9" o:title=""/>
          </v:shape>
        </w:pict>
      </w:r>
    </w:p>
    <w:bookmarkEnd w:id="0"/>
    <w:p w:rsidR="00575B53" w:rsidRDefault="00575B53">
      <w:pPr>
        <w:rPr>
          <w:noProof/>
        </w:rPr>
        <w:sectPr w:rsidR="00575B53" w:rsidSect="00784532">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rsidR="00784532" w:rsidRDefault="00784532" w:rsidP="0014332E">
      <w:pPr>
        <w:pStyle w:val="ListParagraph"/>
        <w:keepNext/>
        <w:numPr>
          <w:ilvl w:val="0"/>
          <w:numId w:val="1"/>
        </w:numPr>
        <w:spacing w:before="240" w:after="240"/>
        <w:ind w:left="357" w:hanging="357"/>
        <w:contextualSpacing w:val="0"/>
        <w:jc w:val="both"/>
        <w:rPr>
          <w:rFonts w:ascii="Times New Roman" w:hAnsi="Times New Roman" w:cs="Times New Roman"/>
          <w:b/>
          <w:sz w:val="24"/>
          <w:szCs w:val="24"/>
        </w:rPr>
      </w:pPr>
      <w:r>
        <w:rPr>
          <w:rFonts w:ascii="Times New Roman" w:hAnsi="Times New Roman"/>
          <w:b/>
          <w:sz w:val="24"/>
        </w:rPr>
        <w:lastRenderedPageBreak/>
        <w:t>Introduction</w:t>
      </w:r>
    </w:p>
    <w:p w:rsidR="00784532" w:rsidRPr="00784532" w:rsidRDefault="00784532" w:rsidP="00784532">
      <w:pPr>
        <w:spacing w:before="120" w:after="0"/>
        <w:jc w:val="both"/>
        <w:rPr>
          <w:rFonts w:ascii="Times New Roman" w:hAnsi="Times New Roman" w:cs="Times New Roman"/>
          <w:sz w:val="24"/>
          <w:szCs w:val="24"/>
          <w:lang w:val="fr-FR"/>
        </w:rPr>
      </w:pPr>
      <w:r w:rsidRPr="00784532">
        <w:rPr>
          <w:rFonts w:ascii="Times New Roman" w:hAnsi="Times New Roman"/>
          <w:sz w:val="24"/>
          <w:lang w:val="fr-FR"/>
        </w:rPr>
        <w:t>Grâce au nouvel élan imprimé par l'accord de Paris sur le changement climatique</w:t>
      </w:r>
      <w:r>
        <w:rPr>
          <w:rStyle w:val="FootnoteReference"/>
          <w:rFonts w:ascii="Times New Roman" w:hAnsi="Times New Roman"/>
          <w:sz w:val="24"/>
        </w:rPr>
        <w:footnoteReference w:id="2"/>
      </w:r>
      <w:r w:rsidRPr="00784532">
        <w:rPr>
          <w:rFonts w:ascii="Times New Roman" w:hAnsi="Times New Roman"/>
          <w:sz w:val="24"/>
          <w:lang w:val="fr-FR"/>
        </w:rPr>
        <w:t xml:space="preserve"> et par le programme de développement durable à l’horizon 2030, la transition mondiale vers une économie circulaire et à faible intensité de carbone a été amorcée. Cette transition est indispensable pour garantir aux générations d'Européens, présentes et futures, des possibilités d'emploi, de croissance et d'investissement et pour atténuer les effets dangereux liés au changement climatique. Si l'Union ne fait pas en sorte de conserver et d'exploiter son avantage de pionnière dans des domaines tels que la promotion des énergies renouvelables et de l’efficacité énergétique ou le développement d’autres technologies à faible intensité de carbone concurrentielles sur le marché mondial, elle sera devancée par d'autres régions. Le modèle économique européen est appelé à changer. Il en va de notre responsabilité commune de faire en sorte que la transition repose sur les principes d'équité et de solidarité, afin que nul ne soit laissé pour compte. Le cadre stratégique pour une Union de l'énergie</w:t>
      </w:r>
      <w:r>
        <w:rPr>
          <w:rStyle w:val="FootnoteReference"/>
          <w:rFonts w:ascii="Times New Roman" w:hAnsi="Times New Roman"/>
          <w:sz w:val="24"/>
        </w:rPr>
        <w:footnoteReference w:id="3"/>
      </w:r>
      <w:r w:rsidRPr="00784532">
        <w:rPr>
          <w:rFonts w:ascii="Times New Roman" w:hAnsi="Times New Roman"/>
          <w:sz w:val="24"/>
          <w:lang w:val="fr-FR"/>
        </w:rPr>
        <w:t xml:space="preserve"> participe de cet objectif.</w:t>
      </w:r>
    </w:p>
    <w:p w:rsidR="00784532" w:rsidRPr="00784532" w:rsidRDefault="00784532" w:rsidP="00784532">
      <w:pPr>
        <w:spacing w:before="120" w:after="0"/>
        <w:jc w:val="both"/>
        <w:rPr>
          <w:rFonts w:ascii="Times New Roman" w:hAnsi="Times New Roman" w:cs="Times New Roman"/>
          <w:sz w:val="24"/>
          <w:szCs w:val="24"/>
          <w:lang w:val="fr-FR"/>
        </w:rPr>
      </w:pPr>
      <w:r w:rsidRPr="00784532">
        <w:rPr>
          <w:rFonts w:ascii="Times New Roman" w:hAnsi="Times New Roman"/>
          <w:sz w:val="24"/>
          <w:lang w:val="fr-FR"/>
        </w:rPr>
        <w:t>L'ensemble de mesures que présente aujourd'hui la Commission donne à l'Europe les moyens de se préparer à l'avenir et de rester compétitive. Ces mesures s'adressent principalement aux États membres, puisqu'ils seront les premiers à décider de la manière de les appliquer pour atteindre l'objectif de réduction des émissions de gaz à effet de serre arrêté d'un commun accord pour 2030</w:t>
      </w:r>
      <w:r>
        <w:rPr>
          <w:rStyle w:val="FootnoteReference"/>
          <w:rFonts w:ascii="Times New Roman" w:hAnsi="Times New Roman"/>
          <w:sz w:val="24"/>
        </w:rPr>
        <w:footnoteReference w:id="4"/>
      </w:r>
      <w:r w:rsidRPr="00784532">
        <w:rPr>
          <w:rFonts w:ascii="Times New Roman" w:hAnsi="Times New Roman"/>
          <w:sz w:val="24"/>
          <w:lang w:val="fr-FR"/>
        </w:rPr>
        <w:t>.</w:t>
      </w:r>
    </w:p>
    <w:p w:rsidR="00784532" w:rsidRPr="00784532" w:rsidRDefault="00784532" w:rsidP="00784532">
      <w:pPr>
        <w:spacing w:before="120" w:after="0"/>
        <w:jc w:val="both"/>
        <w:rPr>
          <w:rFonts w:ascii="Times New Roman" w:hAnsi="Times New Roman" w:cs="Times New Roman"/>
          <w:sz w:val="24"/>
          <w:szCs w:val="24"/>
          <w:lang w:val="fr-FR"/>
        </w:rPr>
      </w:pPr>
      <w:r w:rsidRPr="00784532">
        <w:rPr>
          <w:rFonts w:ascii="Times New Roman" w:hAnsi="Times New Roman"/>
          <w:sz w:val="24"/>
          <w:lang w:val="fr-FR"/>
        </w:rPr>
        <w:t>Cependant, les États membres ne peuvent agir seuls. La mobilisation en amont de la conférence de Paris sur le climat a montré le rôle essentiel que jouent les acteurs non étatiques pour apporter un réel changement. L'Union compte également sur les initiatives de ses entrepreneurs, agriculteurs, chercheurs, investisseurs, éducateurs et partenaires sociaux, entre autres. Néanmoins, elle se doit aussi de stimuler ces initiatives en établissant des mesures et en créant des conditions propices à l'échelle de son territoire. L'Union soutient les actions de ses villes, où résident 80 % de la population européenne. Les villes sont parmi les acteurs les plus dynamiques et les plus innovants du mouvement en faveur d'une économie circulaire et à faible intensité de carbone, dépassant bien souvent les ambitions nationales. Les communautés rurales sont tout aussi importantes, puisqu'elles remplissent une fonction essentielle à la fois de production de ressources naturelles durables et de protection de l'environnement pour les générations à venir.</w:t>
      </w:r>
    </w:p>
    <w:p w:rsidR="00784532" w:rsidRPr="00784532" w:rsidRDefault="00784532" w:rsidP="00784532">
      <w:pPr>
        <w:spacing w:before="120" w:after="0"/>
        <w:jc w:val="both"/>
        <w:rPr>
          <w:rFonts w:ascii="Times New Roman" w:hAnsi="Times New Roman" w:cs="Times New Roman"/>
          <w:sz w:val="24"/>
          <w:szCs w:val="24"/>
          <w:lang w:val="fr-FR"/>
        </w:rPr>
      </w:pPr>
      <w:r w:rsidRPr="00784532">
        <w:rPr>
          <w:rFonts w:ascii="Times New Roman" w:hAnsi="Times New Roman"/>
          <w:sz w:val="24"/>
          <w:lang w:val="fr-FR"/>
        </w:rPr>
        <w:t>L'Union met tout en œuvre pour entretenir la dynamique positive dont bénéficie actuellement l'action climatique au niveau international. Aucun peuple n'est isolé lorsqu'il est confronté à la menace d'un dérèglement catastrophique du climat. Aussi les dirigeants du G7, au plus haut niveau politique, se sont-ils engagés à accélérer la transition vers un système énergétique propice à la décarbonisation de l'économie mondiale et à fixer une date limite pour la suppression de la plupart des subventions aux énergies fossiles, en promettant de mettre fin aux aides publiques en faveur du charbon, du gaz et du pétrole d'ici à fin 2025. Les villes européennes seront amenées à jouer un rôle décisif en s'intégrant à une nouvelle coalition mondiale de villes, qui pourrait être pour elles une occasion supplémentaire de poursuivre sur le plan international la lutte contre le changement climatique sur le plan local. La conscience de plus en plus aiguë du lien à traiter urgemment entre le changement climatique et la fragilité et la sécurité a été réaffirmée cette année dans le plan d'action de l'UE pour une diplomatie climatique</w:t>
      </w:r>
      <w:r>
        <w:rPr>
          <w:rStyle w:val="FootnoteReference"/>
          <w:rFonts w:ascii="Times New Roman" w:hAnsi="Times New Roman"/>
          <w:sz w:val="24"/>
        </w:rPr>
        <w:footnoteReference w:id="5"/>
      </w:r>
      <w:r w:rsidRPr="00784532">
        <w:rPr>
          <w:rFonts w:ascii="Times New Roman" w:hAnsi="Times New Roman"/>
          <w:sz w:val="24"/>
          <w:lang w:val="fr-FR"/>
        </w:rPr>
        <w:t>.</w:t>
      </w:r>
    </w:p>
    <w:p w:rsidR="00784532" w:rsidRPr="00784532" w:rsidRDefault="00784532" w:rsidP="00784532">
      <w:pPr>
        <w:spacing w:before="120" w:after="0"/>
        <w:jc w:val="both"/>
        <w:rPr>
          <w:rFonts w:ascii="Times New Roman" w:hAnsi="Times New Roman" w:cs="Times New Roman"/>
          <w:sz w:val="24"/>
          <w:szCs w:val="24"/>
          <w:lang w:val="fr-FR"/>
        </w:rPr>
      </w:pPr>
      <w:r w:rsidRPr="00784532">
        <w:rPr>
          <w:rFonts w:ascii="Times New Roman" w:hAnsi="Times New Roman"/>
          <w:sz w:val="24"/>
          <w:lang w:val="fr-FR"/>
        </w:rPr>
        <w:t>L'Union a toutes les cartes en main pour faire du changement climatique une occasion à saisir. Dans le contexte mondial actuel, l'Europe se situe à la pointe du développement de technologies et de services innovants et sobres en carbone, dans le secteur de l'énergie mais aussi dans l'industrie, le bâtiment et les transports. Il importe qu'elle conserve cette position. Nous devons continuer à œuvrer pour que les Européens acquièrent les compétences les plus adaptées à une économie à faible intensité de carbone, investir dans l'avenir de nos enfants et aider l'industrie à s'ajuster au mieux à l'évolution des besoins. L'Europe a promis une action ambitieuse, et elle entend tenir ses promesses.</w:t>
      </w:r>
    </w:p>
    <w:p w:rsidR="00784532" w:rsidRPr="00784532" w:rsidRDefault="00784532" w:rsidP="0014332E">
      <w:pPr>
        <w:pStyle w:val="ListParagraph"/>
        <w:keepNext/>
        <w:numPr>
          <w:ilvl w:val="0"/>
          <w:numId w:val="1"/>
        </w:numPr>
        <w:spacing w:before="240" w:after="240"/>
        <w:ind w:left="357" w:hanging="357"/>
        <w:contextualSpacing w:val="0"/>
        <w:jc w:val="both"/>
        <w:rPr>
          <w:rFonts w:ascii="Times New Roman" w:hAnsi="Times New Roman" w:cs="Times New Roman"/>
          <w:b/>
          <w:sz w:val="24"/>
          <w:szCs w:val="24"/>
          <w:lang w:val="fr-FR"/>
        </w:rPr>
      </w:pPr>
      <w:r w:rsidRPr="00784532">
        <w:rPr>
          <w:rFonts w:ascii="Times New Roman" w:hAnsi="Times New Roman"/>
          <w:b/>
          <w:sz w:val="24"/>
          <w:lang w:val="fr-FR"/>
        </w:rPr>
        <w:t>Principes directeurs du cadre réglementaire pour une transition vers une économie à faible intensité de carbone dans tous les secteurs</w:t>
      </w:r>
    </w:p>
    <w:p w:rsidR="00784532" w:rsidRPr="00784532" w:rsidRDefault="00784532" w:rsidP="00784532">
      <w:pPr>
        <w:spacing w:before="120" w:after="0"/>
        <w:jc w:val="both"/>
        <w:rPr>
          <w:rFonts w:ascii="Times New Roman" w:hAnsi="Times New Roman" w:cs="Times New Roman"/>
          <w:sz w:val="24"/>
          <w:szCs w:val="24"/>
          <w:lang w:val="fr-FR"/>
        </w:rPr>
      </w:pPr>
      <w:r w:rsidRPr="00784532">
        <w:rPr>
          <w:rFonts w:ascii="Times New Roman" w:hAnsi="Times New Roman"/>
          <w:sz w:val="24"/>
          <w:lang w:val="fr-FR"/>
        </w:rPr>
        <w:t>En octobre 2014, l'Union a pris un engagement formel, à savoir atteindre un objectif contraignant de réduction de ses émissions d'au moins 40 % d'ici à 2030 par rapport aux niveaux de 1990, dans tous les secteurs. Cet engagement, qui est compatible avec une progression économiquement rationnelle vers l'objectif climatique à long terme de l'Union, est devenu la base de l'engagement international de celle-ci au titre de l'accord de Paris sur le changement climatique et sera honoré de manière collective par l'ensemble des États membres.</w:t>
      </w:r>
    </w:p>
    <w:p w:rsidR="00784532" w:rsidRPr="00784532" w:rsidRDefault="00784532" w:rsidP="00784532">
      <w:pPr>
        <w:spacing w:before="120" w:after="0"/>
        <w:jc w:val="both"/>
        <w:rPr>
          <w:rFonts w:ascii="Times New Roman" w:hAnsi="Times New Roman" w:cs="Times New Roman"/>
          <w:sz w:val="24"/>
          <w:szCs w:val="24"/>
          <w:lang w:val="fr-FR"/>
        </w:rPr>
      </w:pPr>
      <w:r w:rsidRPr="00784532">
        <w:rPr>
          <w:rFonts w:ascii="Times New Roman" w:hAnsi="Times New Roman"/>
          <w:sz w:val="24"/>
          <w:lang w:val="fr-FR"/>
        </w:rPr>
        <w:t>En guise de première étape, en juillet 2015, la Commission a présenté une proposition de réforme du système d'échange de quotas d'émission (SEQE) de l'UE en vue de le rendre plus adapté à sa finalité et d'encourager les investissements dans les secteurs de l'industrie et de l'énergie au-delà de 2020</w:t>
      </w:r>
      <w:r>
        <w:rPr>
          <w:rStyle w:val="FootnoteReference"/>
          <w:rFonts w:ascii="Times New Roman" w:hAnsi="Times New Roman"/>
          <w:sz w:val="24"/>
        </w:rPr>
        <w:footnoteReference w:id="6"/>
      </w:r>
      <w:r w:rsidRPr="00784532">
        <w:rPr>
          <w:rFonts w:ascii="Times New Roman" w:hAnsi="Times New Roman"/>
          <w:sz w:val="24"/>
          <w:lang w:val="fr-FR"/>
        </w:rPr>
        <w:t>. Le Parlement européen et les gouvernements des États membres réunis au sein du Conseil devraient faire tout leur possible pour que cette proposition soit adoptée rapidement. Les mesures qu'accompagne la présente communication concernent les autres grands domaines de l'économie appelés à contribuer à l'action climatique, à savoir les secteurs de la construction, des transports, des déchets, de l'agriculture</w:t>
      </w:r>
      <w:r>
        <w:rPr>
          <w:rStyle w:val="FootnoteReference"/>
          <w:rFonts w:ascii="Times New Roman" w:hAnsi="Times New Roman"/>
          <w:sz w:val="24"/>
        </w:rPr>
        <w:footnoteReference w:id="7"/>
      </w:r>
      <w:r w:rsidRPr="00784532">
        <w:rPr>
          <w:rFonts w:ascii="Times New Roman" w:hAnsi="Times New Roman"/>
          <w:sz w:val="24"/>
          <w:lang w:val="fr-FR"/>
        </w:rPr>
        <w:t>, ainsi que l'utilisation des terres et la foresterie.</w:t>
      </w:r>
    </w:p>
    <w:p w:rsidR="00784532" w:rsidRPr="00784532" w:rsidRDefault="00784532" w:rsidP="00784532">
      <w:pPr>
        <w:spacing w:before="120" w:after="0"/>
        <w:jc w:val="both"/>
        <w:rPr>
          <w:rFonts w:ascii="Times New Roman" w:hAnsi="Times New Roman" w:cs="Times New Roman"/>
          <w:sz w:val="24"/>
          <w:szCs w:val="24"/>
          <w:lang w:val="fr-FR"/>
        </w:rPr>
      </w:pPr>
      <w:r w:rsidRPr="00784532">
        <w:rPr>
          <w:rFonts w:ascii="Times New Roman" w:hAnsi="Times New Roman"/>
          <w:sz w:val="24"/>
          <w:lang w:val="fr-FR"/>
        </w:rPr>
        <w:t>Reprenant les principes directeurs qui ont inspiré l'action climatique de l'Union jusqu'à présent, le nouveau cadre réglementaire repose sur les principes fondamentaux que sont l'équité, la solidarité, la flexibilité et l'intégrité environnementale.</w:t>
      </w:r>
    </w:p>
    <w:p w:rsidR="00784532" w:rsidRPr="00784532" w:rsidRDefault="00784532" w:rsidP="00784532">
      <w:pPr>
        <w:spacing w:before="120" w:after="0"/>
        <w:jc w:val="both"/>
        <w:rPr>
          <w:rFonts w:ascii="Times New Roman" w:hAnsi="Times New Roman"/>
          <w:sz w:val="24"/>
          <w:lang w:val="fr-FR"/>
        </w:rPr>
      </w:pPr>
      <w:r w:rsidRPr="00784532">
        <w:rPr>
          <w:rFonts w:ascii="Times New Roman" w:hAnsi="Times New Roman"/>
          <w:sz w:val="24"/>
          <w:lang w:val="fr-FR"/>
        </w:rPr>
        <w:t>Pour garantir l'équité et la solidarité, inscrites dans le cadre d'action pour le climat et l’énergie à l'horizon 2030 tel qu'approuvé par le Conseil européen, la Commission propose des objectifs nationaux de réduction pour 2030 différenciés, déterminés sur la base du PIB des États membres de manière à traduire leur richesse relative. Les objectifs fixés aux États membres les plus riches sont ensuite ajustés pour tenir compte du rapport coût-efficacité au sein de ce groupe.</w:t>
      </w:r>
    </w:p>
    <w:p w:rsidR="00784532" w:rsidRPr="00784532" w:rsidRDefault="00784532" w:rsidP="00784532">
      <w:pPr>
        <w:spacing w:before="120" w:after="0"/>
        <w:jc w:val="both"/>
        <w:rPr>
          <w:rFonts w:ascii="Times New Roman" w:hAnsi="Times New Roman" w:cs="Times New Roman"/>
          <w:sz w:val="24"/>
          <w:szCs w:val="24"/>
          <w:lang w:val="fr-FR"/>
        </w:rPr>
      </w:pPr>
      <w:r w:rsidRPr="00784532">
        <w:rPr>
          <w:rFonts w:ascii="Times New Roman" w:hAnsi="Times New Roman"/>
          <w:sz w:val="24"/>
          <w:lang w:val="fr-FR"/>
        </w:rPr>
        <w:t>La proposition prévoit en outre un système souple, donnant aux États membres la possibilité de réduire leurs émissions conjointement, dans plusieurs secteurs et sur un temps donné, ce qui permet également de tenir compte des différences de structure économique des États membres. La proposition autorisera les échanges de quotas d'émission entre les États membres ou l'élaboration de projets visant à réduire les émissions dans d'autres États membres. Ces mécanismes permettront aux flux d'investissements d'atteindre les régions de l'Union qui en ont le plus besoin pour moderniser leur économie et où ils produiront le maximum de bénéfices à moindre coût</w:t>
      </w:r>
      <w:r>
        <w:rPr>
          <w:rStyle w:val="FootnoteReference"/>
          <w:rFonts w:ascii="Times New Roman" w:hAnsi="Times New Roman"/>
          <w:sz w:val="24"/>
        </w:rPr>
        <w:footnoteReference w:id="8"/>
      </w:r>
      <w:r w:rsidRPr="00784532">
        <w:rPr>
          <w:rFonts w:ascii="Times New Roman" w:hAnsi="Times New Roman"/>
          <w:sz w:val="24"/>
          <w:lang w:val="fr-FR"/>
        </w:rPr>
        <w:t>.</w:t>
      </w:r>
    </w:p>
    <w:p w:rsidR="00784532" w:rsidRPr="00784532" w:rsidRDefault="00784532" w:rsidP="00784532">
      <w:pPr>
        <w:spacing w:before="120" w:after="0"/>
        <w:jc w:val="both"/>
        <w:rPr>
          <w:rFonts w:ascii="Times New Roman" w:hAnsi="Times New Roman" w:cs="Times New Roman"/>
          <w:sz w:val="24"/>
          <w:szCs w:val="24"/>
          <w:lang w:val="fr-FR"/>
        </w:rPr>
      </w:pPr>
      <w:r w:rsidRPr="00784532">
        <w:rPr>
          <w:rFonts w:ascii="Times New Roman" w:hAnsi="Times New Roman"/>
          <w:sz w:val="24"/>
          <w:lang w:val="fr-FR"/>
        </w:rPr>
        <w:t>C'est la première fois que le secteur de l'utilisation des terres et de la foresterie est intégré au cadre d'action de l'Union pour le climat et l'énergie. La Commission propose un juste équilibre entre le renforcement des incitations à capter le carbone et à réduire les émissions dues aux sols et aux forêts, d'une part, et la nécessité de maintenir l'intégrité environnementale du cadre climatique de l'UE, d'autre part, de façon à encourager les réductions d'émissions dans la construction, les transports et l'agriculture. Par conséquent, les mécanismes de compensation avec d'autres secteurs seront limités.</w:t>
      </w:r>
    </w:p>
    <w:p w:rsidR="00784532" w:rsidRPr="00784532" w:rsidRDefault="00784532" w:rsidP="00784532">
      <w:pPr>
        <w:spacing w:before="120" w:after="0"/>
        <w:jc w:val="both"/>
        <w:rPr>
          <w:rFonts w:ascii="Times New Roman" w:hAnsi="Times New Roman" w:cs="Times New Roman"/>
          <w:sz w:val="24"/>
          <w:szCs w:val="24"/>
          <w:lang w:val="fr-FR"/>
        </w:rPr>
      </w:pPr>
      <w:r w:rsidRPr="00784532">
        <w:rPr>
          <w:rFonts w:ascii="Times New Roman" w:hAnsi="Times New Roman"/>
          <w:sz w:val="24"/>
          <w:lang w:val="fr-FR"/>
        </w:rPr>
        <w:t>La proposition de règlement relative à ces secteurs établit des règles comptables plus fiables en ce qui concerne les terres, l'utilisation des terres et la foresterie. La gestion forestière offrant la principale source de biomasse à des fins de production énergétique et ligneuse, des règles comptables améliorées dans ce domaine offriront une base plus solide à la politique de l'Europe en matière d'énergies renouvelables ainsi qu'au développement accru de la bio-économie après 2020.</w:t>
      </w:r>
    </w:p>
    <w:p w:rsidR="00784532" w:rsidRPr="00784532" w:rsidRDefault="00784532" w:rsidP="00784532">
      <w:pPr>
        <w:pStyle w:val="ListParagraph"/>
        <w:keepNext/>
        <w:numPr>
          <w:ilvl w:val="0"/>
          <w:numId w:val="1"/>
        </w:numPr>
        <w:spacing w:before="240" w:after="240"/>
        <w:ind w:left="357" w:hanging="357"/>
        <w:contextualSpacing w:val="0"/>
        <w:jc w:val="both"/>
        <w:rPr>
          <w:rFonts w:ascii="Times New Roman" w:hAnsi="Times New Roman" w:cs="Times New Roman"/>
          <w:b/>
          <w:sz w:val="24"/>
          <w:szCs w:val="24"/>
          <w:lang w:val="fr-FR"/>
        </w:rPr>
      </w:pPr>
      <w:r w:rsidRPr="00784532">
        <w:rPr>
          <w:rFonts w:ascii="Times New Roman" w:hAnsi="Times New Roman"/>
          <w:b/>
          <w:sz w:val="24"/>
          <w:lang w:val="fr-FR"/>
        </w:rPr>
        <w:t>Créer des conditions plus propices à la transition vers une économie à faible intensité de carbone dans l'Union</w:t>
      </w:r>
    </w:p>
    <w:p w:rsidR="00784532" w:rsidRPr="00784532" w:rsidRDefault="00784532" w:rsidP="00784532">
      <w:pPr>
        <w:spacing w:before="240" w:after="120"/>
        <w:jc w:val="both"/>
        <w:rPr>
          <w:rFonts w:ascii="Times New Roman" w:hAnsi="Times New Roman"/>
          <w:i/>
          <w:sz w:val="24"/>
          <w:lang w:val="fr-FR"/>
        </w:rPr>
      </w:pPr>
      <w:r w:rsidRPr="00784532">
        <w:rPr>
          <w:rFonts w:ascii="Times New Roman" w:hAnsi="Times New Roman"/>
          <w:sz w:val="24"/>
          <w:lang w:val="fr-FR"/>
        </w:rPr>
        <w:t>À partir de ce cadre réglementaire, il reviendra aux États membres de mettre au point les mesures les plus à même de produire les bénéfices escomptés du passage à une économie à faible intensité de carbone et d'atteindre leurs objectifs. L'Union fera en sorte d'assister les États membres au moyen d'un certain nombre d'outils et de mesures de soutien.</w:t>
      </w:r>
    </w:p>
    <w:p w:rsidR="00784532" w:rsidRPr="00784532" w:rsidRDefault="00784532" w:rsidP="0014332E">
      <w:pPr>
        <w:pStyle w:val="ListParagraph"/>
        <w:keepNext/>
        <w:numPr>
          <w:ilvl w:val="1"/>
          <w:numId w:val="1"/>
        </w:numPr>
        <w:spacing w:before="240" w:after="120"/>
        <w:ind w:left="788" w:hanging="431"/>
        <w:contextualSpacing w:val="0"/>
        <w:jc w:val="both"/>
        <w:rPr>
          <w:rFonts w:ascii="Times New Roman" w:hAnsi="Times New Roman" w:cs="Times New Roman"/>
          <w:i/>
          <w:sz w:val="24"/>
          <w:szCs w:val="24"/>
          <w:lang w:val="fr-FR"/>
        </w:rPr>
      </w:pPr>
      <w:r w:rsidRPr="00784532">
        <w:rPr>
          <w:rFonts w:ascii="Times New Roman" w:hAnsi="Times New Roman"/>
          <w:i/>
          <w:sz w:val="24"/>
          <w:lang w:val="fr-FR"/>
        </w:rPr>
        <w:t>La stratégie pour une Union de l'énergie et autres initiatives sectorielles</w:t>
      </w:r>
    </w:p>
    <w:p w:rsidR="00784532" w:rsidRPr="00784532" w:rsidRDefault="00784532" w:rsidP="00784532">
      <w:pPr>
        <w:pStyle w:val="CommentText"/>
        <w:spacing w:before="120" w:after="0" w:line="276" w:lineRule="auto"/>
        <w:jc w:val="both"/>
        <w:rPr>
          <w:rFonts w:ascii="Times New Roman" w:hAnsi="Times New Roman" w:cs="Times New Roman"/>
          <w:sz w:val="24"/>
          <w:szCs w:val="24"/>
          <w:lang w:val="fr-FR"/>
        </w:rPr>
      </w:pPr>
      <w:r w:rsidRPr="00784532">
        <w:rPr>
          <w:rFonts w:ascii="Times New Roman" w:hAnsi="Times New Roman"/>
          <w:sz w:val="24"/>
          <w:lang w:val="fr-FR"/>
        </w:rPr>
        <w:t>Eu égard à la part importante des transports dans les émissions de l'Union, la Commission présente une stratégie sur la mobilité à faible intensité de carbone qui répertorie les leviers essentiels dans le domaine des transports, notamment les dispositions européennes sur les véhicules à émissions faibles ou nulles et sur les carburants de substitution à faible taux d'émissions. La stratégie met également en exergue la nécessité d'exploiter au maximum les synergies entre systèmes de transports et systèmes énergétiques.</w:t>
      </w:r>
    </w:p>
    <w:p w:rsidR="00784532" w:rsidRPr="00784532" w:rsidRDefault="00784532" w:rsidP="00784532">
      <w:pPr>
        <w:spacing w:before="120" w:after="0"/>
        <w:jc w:val="both"/>
        <w:rPr>
          <w:rFonts w:ascii="Times New Roman" w:hAnsi="Times New Roman" w:cs="Times New Roman"/>
          <w:sz w:val="24"/>
          <w:szCs w:val="24"/>
          <w:lang w:val="fr-FR"/>
        </w:rPr>
      </w:pPr>
      <w:r w:rsidRPr="00784532">
        <w:rPr>
          <w:rFonts w:ascii="Times New Roman" w:hAnsi="Times New Roman"/>
          <w:sz w:val="24"/>
          <w:lang w:val="fr-FR"/>
        </w:rPr>
        <w:t>En ce qui concerne les bâtiments, la Commission est en train de revoir le cadre de l'UE en matière d'efficacité énergétique et soumettra des propositions avant la fin de l'année, y compris sur les moyens d'attirer des financements dans la rénovation des bâtiments. La Commission doit également achever cette année un protocole de recyclage volontaire à l'échelle du secteur pour les déchets de construction et de démolition. Étant donné la marge plus restreinte de réduction des émissions dans les secteurs de l'agriculture et de l'utilisation des terres, la proposition sur l'utilisation des terres et la foresterie mettra en place des incitations supplémentaires au piégeage du carbone dans les activités liées à ce secteur. La politique agricole commune (PAC) réformée prévoit en outre plusieurs instruments et mesures en faveur de l'action climatique dans ses deux piliers. Le réexamen de la politique européenne en matière d'utilisation d'engrais devrait contribuer à réduire les émissions liées aux engrais minéraux et de synthèse. Le secteur des déchets est actuellement le deuxième émetteur, après l'agriculture, de gaz autres que le dioxyde de carbone. La directive-cadre sur la gestion des déchets, mais aussi et surtout la directive sur la mise en décharge, dont la Commission a proposé des révisions en 2015, devraient contribuer à une réduction notable des émissions dues aux déchets.</w:t>
      </w:r>
    </w:p>
    <w:p w:rsidR="00784532" w:rsidRPr="00784532" w:rsidRDefault="00784532" w:rsidP="00784532">
      <w:pPr>
        <w:spacing w:before="120" w:after="0"/>
        <w:jc w:val="both"/>
        <w:rPr>
          <w:rFonts w:ascii="Times New Roman" w:hAnsi="Times New Roman" w:cs="Times New Roman"/>
          <w:sz w:val="24"/>
          <w:szCs w:val="24"/>
          <w:lang w:val="fr-FR"/>
        </w:rPr>
      </w:pPr>
      <w:r w:rsidRPr="00784532">
        <w:rPr>
          <w:rFonts w:ascii="Times New Roman" w:hAnsi="Times New Roman"/>
          <w:sz w:val="24"/>
          <w:lang w:val="fr-FR"/>
        </w:rPr>
        <w:t>Les États membres ont tout à gagner de ces mesures européennes s'ils les appliquent et les font respecter de manière appropriée.</w:t>
      </w:r>
    </w:p>
    <w:p w:rsidR="00784532" w:rsidRDefault="00784532" w:rsidP="0014332E">
      <w:pPr>
        <w:pStyle w:val="ListParagraph"/>
        <w:keepNext/>
        <w:numPr>
          <w:ilvl w:val="1"/>
          <w:numId w:val="1"/>
        </w:numPr>
        <w:spacing w:before="240" w:after="120"/>
        <w:ind w:left="788" w:hanging="431"/>
        <w:contextualSpacing w:val="0"/>
        <w:jc w:val="both"/>
        <w:rPr>
          <w:rFonts w:ascii="Times New Roman" w:hAnsi="Times New Roman" w:cs="Times New Roman"/>
          <w:i/>
          <w:sz w:val="24"/>
          <w:szCs w:val="24"/>
        </w:rPr>
      </w:pPr>
      <w:r>
        <w:rPr>
          <w:rFonts w:ascii="Times New Roman" w:hAnsi="Times New Roman"/>
          <w:i/>
          <w:sz w:val="24"/>
        </w:rPr>
        <w:t>Outils et facteurs transversaux</w:t>
      </w:r>
    </w:p>
    <w:p w:rsidR="00784532" w:rsidRPr="00784532" w:rsidRDefault="00784532" w:rsidP="00784532">
      <w:pPr>
        <w:spacing w:before="240" w:after="120"/>
        <w:jc w:val="both"/>
        <w:rPr>
          <w:rFonts w:ascii="Times New Roman" w:hAnsi="Times New Roman"/>
          <w:sz w:val="24"/>
          <w:lang w:val="fr-FR"/>
        </w:rPr>
      </w:pPr>
      <w:r w:rsidRPr="00784532">
        <w:rPr>
          <w:rFonts w:ascii="Times New Roman" w:hAnsi="Times New Roman"/>
          <w:sz w:val="24"/>
          <w:lang w:val="fr-FR"/>
        </w:rPr>
        <w:t>L’Union de l’énergie, qui revêt un caractère prioritaire, offre de par ses nombreuses dimensions un cadre général sur lequel l’Union pourra s'appuyer pour créer des conditions réellement propices à la transition énergétique. Néanmoins, plusieurs autres facteurs en dehors de ce cadre sont propres à faciliter une telle transition dans tous les secteurs de l'économie.</w:t>
      </w:r>
    </w:p>
    <w:p w:rsidR="00784532" w:rsidRDefault="00784532" w:rsidP="0014332E">
      <w:pPr>
        <w:pStyle w:val="ListParagraph"/>
        <w:keepNext/>
        <w:numPr>
          <w:ilvl w:val="2"/>
          <w:numId w:val="1"/>
        </w:numPr>
        <w:spacing w:before="240" w:after="120"/>
        <w:ind w:left="1225" w:hanging="505"/>
        <w:contextualSpacing w:val="0"/>
        <w:jc w:val="both"/>
        <w:rPr>
          <w:rFonts w:ascii="Times New Roman" w:hAnsi="Times New Roman" w:cs="Times New Roman"/>
          <w:sz w:val="24"/>
          <w:szCs w:val="24"/>
        </w:rPr>
      </w:pPr>
      <w:r>
        <w:rPr>
          <w:rFonts w:ascii="Times New Roman" w:hAnsi="Times New Roman"/>
          <w:sz w:val="24"/>
        </w:rPr>
        <w:t>Économie circulaire</w:t>
      </w:r>
    </w:p>
    <w:p w:rsidR="00784532" w:rsidRPr="00784532" w:rsidRDefault="00784532" w:rsidP="00784532">
      <w:pPr>
        <w:spacing w:before="120" w:after="0"/>
        <w:jc w:val="both"/>
        <w:rPr>
          <w:rFonts w:ascii="Times New Roman" w:hAnsi="Times New Roman" w:cs="Times New Roman"/>
          <w:sz w:val="24"/>
          <w:szCs w:val="24"/>
          <w:lang w:val="fr-FR"/>
        </w:rPr>
      </w:pPr>
      <w:r w:rsidRPr="00784532">
        <w:rPr>
          <w:rFonts w:ascii="Times New Roman" w:hAnsi="Times New Roman"/>
          <w:sz w:val="24"/>
          <w:lang w:val="fr-FR"/>
        </w:rPr>
        <w:t>L'économie circulaire a un rôle à jouer dans les secteurs qui relèvent de cet ensemble de mesures comme dans d'autres domaines. Il existe un lien physique direct entre la quantité de matière première utilisée, l'énergie requise et les émissions de gaz à effet de serre. Si l'Union est parvenue à dissocier sa croissance économique de l'augmentation des émissions de dioxyde de carbone, elle n'a pas encore réussi à en faire autant en ce qui concerne l'utilisation des matériaux et l'exploitation rationnelle des ressources.</w:t>
      </w:r>
    </w:p>
    <w:p w:rsidR="00784532" w:rsidRPr="00784532" w:rsidRDefault="00784532" w:rsidP="00784532">
      <w:pPr>
        <w:spacing w:before="120" w:after="0"/>
        <w:jc w:val="both"/>
        <w:rPr>
          <w:rFonts w:ascii="Times New Roman" w:hAnsi="Times New Roman" w:cs="Times New Roman"/>
          <w:sz w:val="24"/>
          <w:szCs w:val="24"/>
          <w:lang w:val="fr-FR"/>
        </w:rPr>
      </w:pPr>
      <w:r w:rsidRPr="00784532">
        <w:rPr>
          <w:rFonts w:ascii="Times New Roman" w:hAnsi="Times New Roman"/>
          <w:sz w:val="24"/>
          <w:lang w:val="fr-FR"/>
        </w:rPr>
        <w:t>La Commission a donc voulu relever ce défi en présentant en 2015 un train de mesures ambitieux sur l'économie circulaire</w:t>
      </w:r>
      <w:r>
        <w:rPr>
          <w:rStyle w:val="FootnoteReference"/>
          <w:rFonts w:ascii="Times New Roman" w:hAnsi="Times New Roman"/>
          <w:sz w:val="24"/>
        </w:rPr>
        <w:footnoteReference w:id="9"/>
      </w:r>
      <w:r w:rsidRPr="00784532">
        <w:rPr>
          <w:rFonts w:ascii="Times New Roman" w:hAnsi="Times New Roman"/>
          <w:sz w:val="24"/>
          <w:lang w:val="fr-FR"/>
        </w:rPr>
        <w:t>. Les actions proposées contribueront à «boucler la boucle» des cycles de vie des produits en augmentant leur recyclage et leur réemploi, et à tirer le maximum de valeur et d'utilité de l'ensemble des matières premières, produits et déchets.</w:t>
      </w:r>
    </w:p>
    <w:p w:rsidR="00784532" w:rsidRPr="00784532" w:rsidRDefault="00784532" w:rsidP="0014332E">
      <w:pPr>
        <w:pStyle w:val="ListParagraph"/>
        <w:keepNext/>
        <w:numPr>
          <w:ilvl w:val="2"/>
          <w:numId w:val="1"/>
        </w:numPr>
        <w:spacing w:before="240" w:after="120"/>
        <w:ind w:left="1225" w:hanging="505"/>
        <w:contextualSpacing w:val="0"/>
        <w:jc w:val="both"/>
        <w:rPr>
          <w:rFonts w:ascii="Times New Roman" w:hAnsi="Times New Roman" w:cs="Times New Roman"/>
          <w:sz w:val="24"/>
          <w:szCs w:val="24"/>
          <w:lang w:val="fr-FR"/>
        </w:rPr>
      </w:pPr>
      <w:r w:rsidRPr="00784532">
        <w:rPr>
          <w:rFonts w:ascii="Times New Roman" w:hAnsi="Times New Roman"/>
          <w:sz w:val="24"/>
          <w:lang w:val="fr-FR"/>
        </w:rPr>
        <w:t>Innovation en faveur de la compétitivité</w:t>
      </w:r>
    </w:p>
    <w:p w:rsidR="00784532" w:rsidRPr="00784532" w:rsidRDefault="00784532" w:rsidP="00784532">
      <w:pPr>
        <w:spacing w:before="120" w:after="0"/>
        <w:jc w:val="both"/>
        <w:rPr>
          <w:rFonts w:ascii="Times New Roman" w:hAnsi="Times New Roman" w:cs="Times New Roman"/>
          <w:sz w:val="24"/>
          <w:szCs w:val="24"/>
          <w:lang w:val="fr-FR"/>
        </w:rPr>
      </w:pPr>
      <w:r w:rsidRPr="00784532">
        <w:rPr>
          <w:rFonts w:ascii="Times New Roman" w:hAnsi="Times New Roman"/>
          <w:sz w:val="24"/>
          <w:lang w:val="fr-FR"/>
        </w:rPr>
        <w:t>Pour saisir les occasions offertes par l'innovation, en tant que facteur décisif de la transition vers une économie à faible intensité de carbone, et obtenir de chaque euro investi le maximum d'effet, la Commission compte présenter avant la fin de l'année une stratégie intégrée de l'Union de l'énergie pour la recherche, l'innovation et la compétitivité. Les actions concrètes prévues dans cette nouvelle stratégie devraient directement soutenir la réalisation des objectifs climatiques et énergétiques de l'Europe et contribuer à la modernisation et à la compétitivité de l'économie de l'UE, en aidant celle-ci à se positionner en tête du secteur des technologies propres.</w:t>
      </w:r>
    </w:p>
    <w:p w:rsidR="00784532" w:rsidRPr="00784532" w:rsidRDefault="00784532" w:rsidP="00784532">
      <w:pPr>
        <w:spacing w:before="120" w:after="0"/>
        <w:jc w:val="both"/>
        <w:rPr>
          <w:rFonts w:ascii="Times New Roman" w:hAnsi="Times New Roman" w:cs="Times New Roman"/>
          <w:sz w:val="24"/>
          <w:szCs w:val="24"/>
          <w:lang w:val="fr-FR"/>
        </w:rPr>
      </w:pPr>
      <w:r w:rsidRPr="00784532">
        <w:rPr>
          <w:rFonts w:ascii="Times New Roman" w:hAnsi="Times New Roman"/>
          <w:sz w:val="24"/>
          <w:lang w:val="fr-FR"/>
        </w:rPr>
        <w:t>L'Europe constitue encore la première source de financement au monde pour la recherche et développement dans le domaine de l'énergie (avec 3,9 milliards d'EUR alloués en 2014, soit 36 % du total) et concentre la plus grande part des demandes de brevets portant sur des technologies à haute valeur d'atténuation des effets du changement climatique (soit 40 % des demandes). Par ailleurs, des possibilités de développements à haute valeur ajoutée demeurent inexploitées, notamment dans le domaine des énergies propres et des véhicules à émissions nulles. Dans d'autres domaines, dont les technologies liées aux énergies renouvelables, l'Union a commencé à perdre du terrain face à ses concurrents. Enfin et surtout, quels que soient les technologies et secteurs d'innovation concernés, l'Europe doit améliorer sa capacité d'exploiter ses innovations sur le marché et d'assurer leur succès commercial.</w:t>
      </w:r>
    </w:p>
    <w:p w:rsidR="00784532" w:rsidRDefault="00784532" w:rsidP="0014332E">
      <w:pPr>
        <w:pStyle w:val="ListParagraph"/>
        <w:keepNext/>
        <w:numPr>
          <w:ilvl w:val="2"/>
          <w:numId w:val="1"/>
        </w:numPr>
        <w:spacing w:before="240" w:after="120"/>
        <w:ind w:left="1225" w:hanging="505"/>
        <w:contextualSpacing w:val="0"/>
        <w:jc w:val="both"/>
        <w:rPr>
          <w:rFonts w:ascii="Times New Roman" w:hAnsi="Times New Roman" w:cs="Times New Roman"/>
          <w:sz w:val="24"/>
          <w:szCs w:val="24"/>
        </w:rPr>
      </w:pPr>
      <w:r>
        <w:rPr>
          <w:rFonts w:ascii="Times New Roman" w:hAnsi="Times New Roman"/>
          <w:sz w:val="24"/>
        </w:rPr>
        <w:t>Réorienter et accroître les investissements</w:t>
      </w:r>
    </w:p>
    <w:p w:rsidR="00784532" w:rsidRPr="00784532" w:rsidRDefault="00784532" w:rsidP="00784532">
      <w:pPr>
        <w:spacing w:before="120" w:after="0"/>
        <w:jc w:val="both"/>
        <w:rPr>
          <w:rFonts w:ascii="Times New Roman" w:hAnsi="Times New Roman" w:cs="Times New Roman"/>
          <w:sz w:val="24"/>
          <w:szCs w:val="24"/>
          <w:lang w:val="fr-FR"/>
        </w:rPr>
      </w:pPr>
      <w:r w:rsidRPr="00784532">
        <w:rPr>
          <w:rFonts w:ascii="Times New Roman" w:hAnsi="Times New Roman"/>
          <w:sz w:val="24"/>
          <w:lang w:val="fr-FR"/>
        </w:rPr>
        <w:t>Afin d’accompagner la transition vers une économie sobre en carbone et résiliente au changement climatique et d’éviter le «verrouillage» des infrastructures à forte intensité d’émission et des actifs, il est essentiel de réorienter et d’accroître rapidement les investissements privés.</w:t>
      </w:r>
    </w:p>
    <w:p w:rsidR="00784532" w:rsidRPr="00784532" w:rsidRDefault="00784532" w:rsidP="00784532">
      <w:pPr>
        <w:spacing w:before="120" w:after="0"/>
        <w:jc w:val="both"/>
        <w:rPr>
          <w:rFonts w:ascii="Times New Roman" w:hAnsi="Times New Roman" w:cs="Times New Roman"/>
          <w:sz w:val="24"/>
          <w:szCs w:val="24"/>
          <w:lang w:val="fr-FR"/>
        </w:rPr>
      </w:pPr>
      <w:r w:rsidRPr="00784532">
        <w:rPr>
          <w:rFonts w:ascii="Times New Roman" w:hAnsi="Times New Roman"/>
          <w:sz w:val="24"/>
          <w:lang w:val="fr-FR"/>
        </w:rPr>
        <w:t>Des efforts sont déjà menés dans l'Union pour favoriser la cohérence des investissements privés avec les objectifs liés au climat et à l'exploitation rationnelle des ressources, que ce soit par l'intermédiaire de politiques ou d'investissements publics stratégiques.</w:t>
      </w:r>
    </w:p>
    <w:p w:rsidR="00784532" w:rsidRPr="00784532" w:rsidRDefault="00784532" w:rsidP="00784532">
      <w:pPr>
        <w:spacing w:before="120" w:after="0"/>
        <w:jc w:val="both"/>
        <w:rPr>
          <w:rFonts w:ascii="Times New Roman" w:hAnsi="Times New Roman" w:cs="Times New Roman"/>
          <w:sz w:val="24"/>
          <w:szCs w:val="24"/>
          <w:lang w:val="fr-FR"/>
        </w:rPr>
      </w:pPr>
      <w:r w:rsidRPr="00784532">
        <w:rPr>
          <w:rFonts w:ascii="Times New Roman" w:hAnsi="Times New Roman"/>
          <w:sz w:val="24"/>
          <w:lang w:val="fr-FR"/>
        </w:rPr>
        <w:t>Le SEQE de l'UE fixe le prix du carbone. Pour les secteurs qui ne relèvent pas de ce système, les politiques de taxation des États membres sont un autre moyen de créer les incitations appropriées.</w:t>
      </w:r>
    </w:p>
    <w:p w:rsidR="00784532" w:rsidRPr="00784532" w:rsidRDefault="00784532" w:rsidP="00784532">
      <w:pPr>
        <w:spacing w:before="120" w:after="0"/>
        <w:jc w:val="both"/>
        <w:rPr>
          <w:rFonts w:ascii="Times New Roman" w:hAnsi="Times New Roman" w:cs="Times New Roman"/>
          <w:sz w:val="24"/>
          <w:szCs w:val="24"/>
          <w:lang w:val="fr-FR"/>
        </w:rPr>
      </w:pPr>
      <w:r w:rsidRPr="00784532">
        <w:rPr>
          <w:rFonts w:ascii="Times New Roman" w:hAnsi="Times New Roman"/>
          <w:sz w:val="24"/>
          <w:lang w:val="fr-FR"/>
        </w:rPr>
        <w:t>L'initiative relative à une union des marchés des capitaux</w:t>
      </w:r>
      <w:r>
        <w:rPr>
          <w:rStyle w:val="FootnoteReference"/>
          <w:rFonts w:ascii="Times New Roman" w:hAnsi="Times New Roman"/>
          <w:sz w:val="24"/>
        </w:rPr>
        <w:footnoteReference w:id="10"/>
      </w:r>
      <w:r w:rsidRPr="00784532">
        <w:rPr>
          <w:rFonts w:ascii="Times New Roman" w:hAnsi="Times New Roman"/>
          <w:sz w:val="24"/>
          <w:lang w:val="fr-FR"/>
        </w:rPr>
        <w:t xml:space="preserve"> répond au besoin d'investissements à long terme et durables pour maintenir et améliorer la compétitivité de l'Union et encourager le passage à une économie à faible intensité de carbone et efficace dans l’utilisation des ressources. L'apparition récente des «obligations vertes» peut également contribuer à orienter les capitaux vers des investissements dans les technologies à faible intensité de carbone.</w:t>
      </w:r>
    </w:p>
    <w:p w:rsidR="00784532" w:rsidRPr="00784532" w:rsidRDefault="00784532" w:rsidP="00784532">
      <w:pPr>
        <w:spacing w:before="120" w:after="0"/>
        <w:jc w:val="both"/>
        <w:rPr>
          <w:rFonts w:ascii="Times New Roman" w:hAnsi="Times New Roman" w:cs="Times New Roman"/>
          <w:sz w:val="24"/>
          <w:szCs w:val="24"/>
          <w:lang w:val="fr-FR"/>
        </w:rPr>
      </w:pPr>
      <w:r w:rsidRPr="00784532">
        <w:rPr>
          <w:rFonts w:ascii="Times New Roman" w:hAnsi="Times New Roman"/>
          <w:sz w:val="24"/>
          <w:lang w:val="fr-FR"/>
        </w:rPr>
        <w:t>Il reste beaucoup à faire. L'Union continuera à approfondir le marché unique et à œuvrer pour la suppression des obstacles aux investissements.</w:t>
      </w:r>
    </w:p>
    <w:p w:rsidR="00784532" w:rsidRPr="00784532" w:rsidRDefault="00784532" w:rsidP="00784532">
      <w:pPr>
        <w:spacing w:before="120" w:after="0"/>
        <w:jc w:val="both"/>
        <w:rPr>
          <w:rFonts w:ascii="Times New Roman" w:hAnsi="Times New Roman" w:cs="Times New Roman"/>
          <w:sz w:val="24"/>
          <w:szCs w:val="24"/>
          <w:lang w:val="fr-FR"/>
        </w:rPr>
      </w:pPr>
      <w:r w:rsidRPr="00784532">
        <w:rPr>
          <w:rFonts w:ascii="Times New Roman" w:hAnsi="Times New Roman"/>
          <w:sz w:val="24"/>
          <w:lang w:val="fr-FR"/>
        </w:rPr>
        <w:t>La Commission s'emploie activement à garantir l'adéquation entre les dépenses du budget actuel de l'Union et les objectifs climatiques. L'engagement politique de consacrer au moins 20 % du cadre financier pluriannuel à des actions expressément liées au climat est en train de porter ses fruits. C'est dans cet esprit que la Commission s'est récemment associée à l'initiative «Mission innovation», dont les membres se sont engagés à doubler, dans un délai de cinq ans et avant 2020, leurs financements publics en faveur de la recherche et développement dans les énergies propres.</w:t>
      </w:r>
    </w:p>
    <w:p w:rsidR="00784532" w:rsidRPr="00784532" w:rsidRDefault="00784532" w:rsidP="00784532">
      <w:pPr>
        <w:spacing w:before="120" w:after="0"/>
        <w:jc w:val="both"/>
        <w:rPr>
          <w:rFonts w:ascii="Times New Roman" w:hAnsi="Times New Roman" w:cs="Times New Roman"/>
          <w:sz w:val="24"/>
          <w:szCs w:val="24"/>
          <w:lang w:val="fr-FR"/>
        </w:rPr>
      </w:pPr>
      <w:r w:rsidRPr="00784532">
        <w:rPr>
          <w:rFonts w:ascii="Times New Roman" w:hAnsi="Times New Roman"/>
          <w:sz w:val="24"/>
          <w:lang w:val="fr-FR"/>
        </w:rPr>
        <w:t>Les instruments financiers européens jouent également un rôle majeur dans l'action climatique de l'Union, comme le montre le Fonds européen pour les investissements stratégiques (FEIS). Ce Fonds est bien parti pour mobiliser, comme escompté, au moins 315 milliards d'EUR d'investissements supplémentaires dans l'économie réelle d'ici le milieu de l’année 2018</w:t>
      </w:r>
      <w:r>
        <w:rPr>
          <w:rStyle w:val="FootnoteReference"/>
          <w:rFonts w:ascii="Times New Roman" w:hAnsi="Times New Roman"/>
          <w:sz w:val="24"/>
        </w:rPr>
        <w:footnoteReference w:id="11"/>
      </w:r>
      <w:r w:rsidRPr="00784532">
        <w:rPr>
          <w:rFonts w:ascii="Times New Roman" w:hAnsi="Times New Roman"/>
          <w:sz w:val="24"/>
          <w:lang w:val="fr-FR"/>
        </w:rPr>
        <w:t>. Plus de la moitié des investissements approuvés jusqu'à présent ont un rapport avec le climat. Les co-investissements dans des projets soutenus par le FEIS peuvent intervenir soit au niveau des projets eux-mêmes, soit au niveau d'une plateforme d'investissement. Les plateformes d'investissement permettent de financer des projets de petite taille et de regrouper les fonds issus de différentes sources pour diversifier les investissements en fonction du thème ou de la zone géographique. Elles peuvent également rendre les possibilités d'investissement de portée restreinte ou locale intéressantes pour de nouveaux groupes d’investisseurs, comme les fonds de pension ou les investisseurs institutionnels étrangers, par exemple. La Commission étudie de nouvelles manières de fusionner et de combiner les ressources disponibles au titre d'autres programmes de l'UE, comme le mécanisme pour l’interconnexion en Europe ou le programme «Horizon 2020», en vue de débloquer des investissements supplémentaires (notamment grâce à des plateformes d'investissement), par exemple dans les domaines de l'efficacité énergétique, de la mobilité urbaine intelligente et des technologies innovantes.</w:t>
      </w:r>
    </w:p>
    <w:p w:rsidR="00784532" w:rsidRPr="00784532" w:rsidRDefault="00784532" w:rsidP="00784532">
      <w:pPr>
        <w:spacing w:before="120" w:after="0"/>
        <w:jc w:val="both"/>
        <w:rPr>
          <w:rFonts w:ascii="Times New Roman" w:hAnsi="Times New Roman" w:cs="Times New Roman"/>
          <w:sz w:val="24"/>
          <w:szCs w:val="24"/>
          <w:lang w:val="fr-FR"/>
        </w:rPr>
      </w:pPr>
      <w:r w:rsidRPr="00784532">
        <w:rPr>
          <w:rFonts w:ascii="Times New Roman" w:hAnsi="Times New Roman"/>
          <w:sz w:val="24"/>
          <w:lang w:val="fr-FR"/>
        </w:rPr>
        <w:t>La politique européenne de cohésion réformée contribue elle aussi à la transition vers une économie à faible intensité de carbone, et ses projets porteront leurs fruits dans la période post-2020. Elle soutient les mesures d'efficacité énergétique dans les bâtiments publics et résidentiels (13,3 milliards d'EUR) et dans les entreprises (3,4 milliards d'EUR, bénéficiant notamment aux PME), ainsi que les mesures de transition vers un secteur des transports économe en énergie et sobre en carbone (39,7 milliards d'EUR en faveur de la mobilité urbaine durable et des modes de transport à faibles émissions de carbone, comme les transports ferroviaire, maritime et fluvial). En outre, 8 milliards d'EUR sont affectés à la prévention et à la gestion des risques, dont 6,4 milliards pour les risques liés au changement climatique. En tout, 115 milliards d'EUR issus du budget de la PAC réformée contribuent à l'action climatique en permettant l'amélioration de la gestion des sols et des investissements ciblés</w:t>
      </w:r>
      <w:r>
        <w:rPr>
          <w:rStyle w:val="FootnoteReference"/>
          <w:rFonts w:ascii="Times New Roman" w:hAnsi="Times New Roman"/>
          <w:sz w:val="24"/>
        </w:rPr>
        <w:footnoteReference w:id="12"/>
      </w:r>
      <w:r w:rsidRPr="00784532">
        <w:rPr>
          <w:rFonts w:ascii="Times New Roman" w:hAnsi="Times New Roman"/>
          <w:sz w:val="24"/>
          <w:lang w:val="fr-FR"/>
        </w:rPr>
        <w:t>.</w:t>
      </w:r>
    </w:p>
    <w:p w:rsidR="00784532" w:rsidRPr="00784532" w:rsidRDefault="00784532" w:rsidP="00784532">
      <w:pPr>
        <w:spacing w:before="120" w:after="0"/>
        <w:jc w:val="both"/>
        <w:rPr>
          <w:rFonts w:ascii="Times New Roman" w:hAnsi="Times New Roman" w:cs="Times New Roman"/>
          <w:sz w:val="24"/>
          <w:szCs w:val="24"/>
          <w:lang w:val="fr-FR"/>
        </w:rPr>
      </w:pPr>
      <w:r w:rsidRPr="00784532">
        <w:rPr>
          <w:rFonts w:ascii="Times New Roman" w:hAnsi="Times New Roman"/>
          <w:sz w:val="24"/>
          <w:lang w:val="fr-FR"/>
        </w:rPr>
        <w:t>La révision du SEQE proposée par la Commission prévoit de réserver 450 millions de quotas d'émission pour soutenir les investissements dans les technologies innovantes (comme le piégeage du carbone) et les énergies renouvelables et favoriser l'essor de nouvelles technologies de pointe dans l'industrie.</w:t>
      </w:r>
    </w:p>
    <w:p w:rsidR="00784532" w:rsidRPr="00784532" w:rsidRDefault="00784532" w:rsidP="0014332E">
      <w:pPr>
        <w:pStyle w:val="ListParagraph"/>
        <w:keepNext/>
        <w:numPr>
          <w:ilvl w:val="2"/>
          <w:numId w:val="1"/>
        </w:numPr>
        <w:spacing w:before="240" w:after="120"/>
        <w:ind w:left="1225" w:hanging="505"/>
        <w:contextualSpacing w:val="0"/>
        <w:jc w:val="both"/>
        <w:rPr>
          <w:rFonts w:ascii="Times New Roman" w:hAnsi="Times New Roman" w:cs="Times New Roman"/>
          <w:sz w:val="24"/>
          <w:szCs w:val="24"/>
          <w:lang w:val="fr-FR"/>
        </w:rPr>
      </w:pPr>
      <w:r w:rsidRPr="00784532">
        <w:rPr>
          <w:rFonts w:ascii="Times New Roman" w:hAnsi="Times New Roman"/>
          <w:sz w:val="24"/>
          <w:lang w:val="fr-FR"/>
        </w:rPr>
        <w:t>Une transition équitable sur le plan social et de nouvelles compétences</w:t>
      </w:r>
    </w:p>
    <w:p w:rsidR="00784532" w:rsidRPr="00784532" w:rsidRDefault="00784532" w:rsidP="00784532">
      <w:pPr>
        <w:spacing w:before="120" w:after="0"/>
        <w:jc w:val="both"/>
        <w:rPr>
          <w:rFonts w:ascii="Times New Roman" w:hAnsi="Times New Roman" w:cs="Times New Roman"/>
          <w:sz w:val="24"/>
          <w:szCs w:val="24"/>
          <w:lang w:val="fr-FR"/>
        </w:rPr>
      </w:pPr>
      <w:r w:rsidRPr="00784532">
        <w:rPr>
          <w:rFonts w:ascii="Times New Roman" w:hAnsi="Times New Roman"/>
          <w:sz w:val="24"/>
          <w:lang w:val="fr-FR"/>
        </w:rPr>
        <w:t>La transition vers une économie à faible intensité de carbone devrait entraîner une baisse de l'emploi dans les marchés traditionnels (liés aux combustibles fossiles, en particulier les industries à forte intensité de carbone) mais aussi créer de nouveaux emplois dans les domaines des énergies renouvelables, de l'efficacité énergétique et de l'électrification du transport routier. Il importe donc d'anticiper et d'atténuer les répercussions sociétales de la transition dans certaines régions et certains secteurs socio-économiques, en s'appuyant notamment sur les Fonds structurels et d'investissement européens.</w:t>
      </w:r>
    </w:p>
    <w:p w:rsidR="00784532" w:rsidRPr="00784532" w:rsidRDefault="00784532" w:rsidP="00784532">
      <w:pPr>
        <w:spacing w:before="120" w:after="0"/>
        <w:jc w:val="both"/>
        <w:rPr>
          <w:rFonts w:ascii="Times New Roman" w:hAnsi="Times New Roman" w:cs="Times New Roman"/>
          <w:sz w:val="24"/>
          <w:szCs w:val="24"/>
          <w:lang w:val="fr-FR"/>
        </w:rPr>
      </w:pPr>
      <w:r w:rsidRPr="00784532">
        <w:rPr>
          <w:rFonts w:ascii="Times New Roman" w:hAnsi="Times New Roman"/>
          <w:sz w:val="24"/>
          <w:lang w:val="fr-FR"/>
        </w:rPr>
        <w:t>Sachant que les compétences constitueront la voie royale vers l'employabilité et la prospérité, la Commission a adopté une nouvelle stratégie globale en matière de compétences pour l’Europe</w:t>
      </w:r>
      <w:r>
        <w:rPr>
          <w:rStyle w:val="FootnoteReference"/>
          <w:rFonts w:ascii="Times New Roman" w:hAnsi="Times New Roman"/>
          <w:sz w:val="24"/>
        </w:rPr>
        <w:footnoteReference w:id="13"/>
      </w:r>
      <w:r w:rsidRPr="00784532">
        <w:rPr>
          <w:rFonts w:ascii="Times New Roman" w:hAnsi="Times New Roman"/>
          <w:sz w:val="24"/>
          <w:lang w:val="fr-FR"/>
        </w:rPr>
        <w:t>. Pour tenter de remédier aux problèmes liés à ce domaine, la Commission a engagé des actions qui amélioreront la visibilité et la reconnaissance des compétences au niveau local, national et européen, aussi bien dans les écoles et les universités que sur le marché du travail. La stratégie comporte notamment des mesures de requalification et d'amélioration des compétences et établit un «plan de coopération sectorielle en matière de compétences» visant à améliorer la veille stratégique sur les besoins de compétences et à remédier aux pénuries de compétences dans des secteurs économiques spécifiques, dont les technologies vertes.</w:t>
      </w:r>
    </w:p>
    <w:p w:rsidR="00784532" w:rsidRPr="00784532" w:rsidRDefault="00784532" w:rsidP="0014332E">
      <w:pPr>
        <w:pStyle w:val="ListParagraph"/>
        <w:keepNext/>
        <w:numPr>
          <w:ilvl w:val="2"/>
          <w:numId w:val="1"/>
        </w:numPr>
        <w:spacing w:before="240" w:after="120"/>
        <w:ind w:left="1225" w:hanging="505"/>
        <w:contextualSpacing w:val="0"/>
        <w:jc w:val="both"/>
        <w:rPr>
          <w:rFonts w:ascii="Times New Roman" w:hAnsi="Times New Roman" w:cs="Times New Roman"/>
          <w:sz w:val="24"/>
          <w:szCs w:val="24"/>
          <w:lang w:val="fr-FR"/>
        </w:rPr>
      </w:pPr>
      <w:r w:rsidRPr="00784532">
        <w:rPr>
          <w:rFonts w:ascii="Times New Roman" w:hAnsi="Times New Roman"/>
          <w:sz w:val="24"/>
          <w:lang w:val="fr-FR"/>
        </w:rPr>
        <w:t>De nouvelles perspectives de commerce et d'exportation</w:t>
      </w:r>
    </w:p>
    <w:p w:rsidR="00784532" w:rsidRPr="00784532" w:rsidRDefault="00784532" w:rsidP="00784532">
      <w:pPr>
        <w:spacing w:before="240" w:after="120"/>
        <w:jc w:val="both"/>
        <w:rPr>
          <w:rFonts w:ascii="Times New Roman" w:hAnsi="Times New Roman" w:cs="Times New Roman"/>
          <w:sz w:val="24"/>
          <w:szCs w:val="24"/>
          <w:lang w:val="fr-FR"/>
        </w:rPr>
      </w:pPr>
      <w:r w:rsidRPr="00784532">
        <w:rPr>
          <w:rFonts w:ascii="Times New Roman" w:hAnsi="Times New Roman"/>
          <w:sz w:val="24"/>
          <w:lang w:val="fr-FR"/>
        </w:rPr>
        <w:t>L'intensification des flux commerciaux devrait contribuer à une diffusion mondiale rapide des produits, des services et des technologies verts et faciliter le passage à une économie à faible intensité de carbone. L'Union est la première exportatrice et importatrice mondiale de biens environnementaux. En 2013, les exportations de l'Union de produits classés parmi les biens environnementaux ont représenté 146 milliards d'EUR (soit environ 8 % des exportations totales de l'Union), tandis que les importations de ces produits ont pesé 70 milliards d'EUR. Les entreprises européennes devraient se fixer pour objectif de continuer à développer et à exporter leur ingéniosité et leur talent pour l'innovation.</w:t>
      </w:r>
    </w:p>
    <w:p w:rsidR="00784532" w:rsidRPr="00784532" w:rsidRDefault="00784532" w:rsidP="00784532">
      <w:pPr>
        <w:spacing w:before="240" w:after="120"/>
        <w:jc w:val="both"/>
        <w:rPr>
          <w:rFonts w:ascii="Times New Roman" w:hAnsi="Times New Roman" w:cs="Times New Roman"/>
          <w:sz w:val="24"/>
          <w:szCs w:val="24"/>
          <w:lang w:val="fr-FR"/>
        </w:rPr>
      </w:pPr>
      <w:r w:rsidRPr="00784532">
        <w:rPr>
          <w:rFonts w:ascii="Times New Roman" w:hAnsi="Times New Roman"/>
          <w:sz w:val="24"/>
          <w:lang w:val="fr-FR"/>
        </w:rPr>
        <w:t>En tant que membre de l'Organisation mondiale du commerce (OMC), l'Union plaide activement en faveur de la libéralisation des échanges de biens et de services, susceptible d'entraîner des effets bénéfiques sur le plan environnemental. Elle travaille étroitement avec six autres membres de l'OMC à l'élaboration d'un accord ambitieux sur les biens environnementaux, dans l'espoir de le faire adopter par l'ensemble des participants au sommet du G20 qui se tiendra en Chine avant la fin de l'année. Dans ses accords commerciaux bilatéraux également, l'Union s'efforce d'obtenir une libéralisation rapide des échanges de biens et de services environnementaux et une facilitation des échanges et des investissements dans le domaine de la production d'énergies renouvelables, contribuant ainsi à la réalisation des objectifs climatiques.</w:t>
      </w:r>
    </w:p>
    <w:p w:rsidR="00784532" w:rsidRDefault="00784532" w:rsidP="0014332E">
      <w:pPr>
        <w:pStyle w:val="ListParagraph"/>
        <w:keepNext/>
        <w:numPr>
          <w:ilvl w:val="0"/>
          <w:numId w:val="1"/>
        </w:numPr>
        <w:spacing w:before="240" w:after="240"/>
        <w:ind w:left="357" w:hanging="357"/>
        <w:contextualSpacing w:val="0"/>
        <w:jc w:val="both"/>
        <w:rPr>
          <w:rFonts w:ascii="Times New Roman" w:hAnsi="Times New Roman" w:cs="Times New Roman"/>
          <w:b/>
          <w:sz w:val="24"/>
          <w:szCs w:val="24"/>
        </w:rPr>
      </w:pPr>
      <w:r>
        <w:rPr>
          <w:rFonts w:ascii="Times New Roman" w:hAnsi="Times New Roman"/>
          <w:b/>
          <w:sz w:val="24"/>
        </w:rPr>
        <w:t>Conclu</w:t>
      </w:r>
      <w:bookmarkStart w:id="1" w:name="_GoBack"/>
      <w:bookmarkEnd w:id="1"/>
      <w:r>
        <w:rPr>
          <w:rFonts w:ascii="Times New Roman" w:hAnsi="Times New Roman"/>
          <w:b/>
          <w:sz w:val="24"/>
        </w:rPr>
        <w:t>sions</w:t>
      </w:r>
    </w:p>
    <w:p w:rsidR="00784532" w:rsidRPr="00784532" w:rsidRDefault="00784532" w:rsidP="00784532">
      <w:pPr>
        <w:spacing w:before="240" w:after="120"/>
        <w:jc w:val="both"/>
        <w:rPr>
          <w:rFonts w:ascii="Times New Roman" w:hAnsi="Times New Roman" w:cs="Times New Roman"/>
          <w:sz w:val="24"/>
          <w:szCs w:val="24"/>
          <w:lang w:val="fr-FR"/>
        </w:rPr>
      </w:pPr>
      <w:r w:rsidRPr="00784532">
        <w:rPr>
          <w:rFonts w:ascii="Times New Roman" w:hAnsi="Times New Roman"/>
          <w:sz w:val="24"/>
          <w:lang w:val="fr-FR"/>
        </w:rPr>
        <w:t>La transition de l'Europe vers une économie à faible intensité de carbone doit être accélérée. L'Union a besoin de davantage d'emploi, de croissance et d'investissements; or les mesures envisagées permettent d'y parvenir et de moderniser l'économie européenne. À long terme, notre paysage économique s'en trouvera profondément transformé.</w:t>
      </w:r>
    </w:p>
    <w:p w:rsidR="00784532" w:rsidRPr="00784532" w:rsidRDefault="00784532" w:rsidP="00784532">
      <w:pPr>
        <w:spacing w:before="240" w:after="120"/>
        <w:jc w:val="both"/>
        <w:rPr>
          <w:rFonts w:ascii="Times New Roman" w:hAnsi="Times New Roman" w:cs="Times New Roman"/>
          <w:sz w:val="24"/>
          <w:szCs w:val="24"/>
          <w:lang w:val="fr-FR"/>
        </w:rPr>
      </w:pPr>
      <w:r w:rsidRPr="00784532">
        <w:rPr>
          <w:rFonts w:ascii="Times New Roman" w:hAnsi="Times New Roman"/>
          <w:sz w:val="24"/>
          <w:lang w:val="fr-FR"/>
        </w:rPr>
        <w:t>Les propositions législatives dans le domaine climatique qu'accompagne la présente communication et la proposition de l'an dernier visant à réformer le SEQE de l'UE doivent être examinées en priorité par le Conseil et le Parlement.</w:t>
      </w:r>
    </w:p>
    <w:p w:rsidR="00784532" w:rsidRPr="00784532" w:rsidRDefault="00784532" w:rsidP="00784532">
      <w:pPr>
        <w:spacing w:before="240" w:after="120"/>
        <w:jc w:val="both"/>
        <w:rPr>
          <w:rFonts w:ascii="Times New Roman" w:hAnsi="Times New Roman" w:cs="Times New Roman"/>
          <w:sz w:val="24"/>
          <w:szCs w:val="24"/>
          <w:lang w:val="fr-FR"/>
        </w:rPr>
      </w:pPr>
      <w:r w:rsidRPr="00784532">
        <w:rPr>
          <w:rFonts w:ascii="Times New Roman" w:hAnsi="Times New Roman"/>
          <w:sz w:val="24"/>
          <w:lang w:val="fr-FR"/>
        </w:rPr>
        <w:t>La Commission va immédiatement lancer ou accélérer les processus relevant de la stratégie pour «Mieux légiférer» (notamment les consultations publiques et les analyses d'impact) afin de traduire au plus vite le plan d'action sur la mobilité à faible intensité de carbone en un ensemble de mesures efficaces et proportionnées. Elle compte aussi présenter avant la fin de l'année les dernières initiatives composant la stratégie pour l’Union de l’énergie.</w:t>
      </w:r>
    </w:p>
    <w:p w:rsidR="00575B53" w:rsidRPr="00784532" w:rsidRDefault="00784532" w:rsidP="00784532">
      <w:pPr>
        <w:spacing w:before="240" w:after="120"/>
        <w:jc w:val="both"/>
        <w:rPr>
          <w:rFonts w:ascii="Times New Roman" w:hAnsi="Times New Roman" w:cs="Times New Roman"/>
          <w:noProof/>
          <w:sz w:val="24"/>
          <w:szCs w:val="24"/>
          <w:lang w:val="fr-FR"/>
        </w:rPr>
      </w:pPr>
      <w:r w:rsidRPr="00784532">
        <w:rPr>
          <w:rFonts w:ascii="Times New Roman" w:hAnsi="Times New Roman"/>
          <w:sz w:val="24"/>
          <w:lang w:val="fr-FR"/>
        </w:rPr>
        <w:t>Les États membres ont déjà commencé à élaborer leurs stratégies énergétiques et climatiques pour l'après-2020. Le train de mesures décrit dans la présente communication leur offre la clarté et les outils nécessaires pour entamer leurs processus de ratification internes de l'accord de Paris sur le changement climatique. Les États membres devraient exploiter au maximum les conditions propices instaurées par l'Union en vue de rendre la transition vers une économie à faible intensité de carbone aussi harmonieuse et équitable que possible.</w:t>
      </w:r>
    </w:p>
    <w:sectPr w:rsidR="00575B53" w:rsidRPr="00784532">
      <w:headerReference w:type="even" r:id="rId16"/>
      <w:headerReference w:type="default" r:id="rId17"/>
      <w:footerReference w:type="even" r:id="rId18"/>
      <w:footerReference w:type="default" r:id="rId19"/>
      <w:headerReference w:type="first" r:id="rId20"/>
      <w:footerReference w:type="first" r:id="rId21"/>
      <w:pgSz w:w="11906" w:h="16838"/>
      <w:pgMar w:top="1418" w:right="1418" w:bottom="1418" w:left="1418" w:header="709" w:footer="709"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5B53" w:rsidRDefault="00293B4B">
      <w:pPr>
        <w:spacing w:after="0" w:line="240" w:lineRule="auto"/>
      </w:pPr>
      <w:r>
        <w:separator/>
      </w:r>
    </w:p>
  </w:endnote>
  <w:endnote w:type="continuationSeparator" w:id="0">
    <w:p w:rsidR="00575B53" w:rsidRDefault="00293B4B">
      <w:pPr>
        <w:spacing w:after="0" w:line="240" w:lineRule="auto"/>
      </w:pPr>
      <w:r>
        <w:continuationSeparator/>
      </w:r>
    </w:p>
  </w:endnote>
  <w:endnote w:type="continuationNotice" w:id="1">
    <w:p w:rsidR="00575B53" w:rsidRDefault="00575B5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332E" w:rsidRDefault="0014332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4532" w:rsidRPr="00784532" w:rsidRDefault="00784532" w:rsidP="00784532">
    <w:pPr>
      <w:pStyle w:val="FooterCoverPage"/>
      <w:rPr>
        <w:rFonts w:ascii="Arial" w:hAnsi="Arial" w:cs="Arial"/>
        <w:b/>
        <w:sz w:val="48"/>
      </w:rPr>
    </w:pPr>
    <w:r w:rsidRPr="00784532">
      <w:rPr>
        <w:rFonts w:ascii="Arial" w:hAnsi="Arial" w:cs="Arial"/>
        <w:b/>
        <w:sz w:val="48"/>
      </w:rPr>
      <w:t>FR</w:t>
    </w:r>
    <w:r w:rsidRPr="00784532">
      <w:rPr>
        <w:rFonts w:ascii="Arial" w:hAnsi="Arial" w:cs="Arial"/>
        <w:b/>
        <w:sz w:val="48"/>
      </w:rPr>
      <w:tab/>
    </w:r>
    <w:r w:rsidRPr="00784532">
      <w:rPr>
        <w:rFonts w:ascii="Arial" w:hAnsi="Arial" w:cs="Arial"/>
        <w:b/>
        <w:sz w:val="48"/>
      </w:rPr>
      <w:tab/>
    </w:r>
    <w:fldSimple w:instr=" DOCVARIABLE &quot;LW_Confidence&quot; \* MERGEFORMAT ">
      <w:r>
        <w:t xml:space="preserve"> </w:t>
      </w:r>
    </w:fldSimple>
    <w:r w:rsidRPr="00784532">
      <w:tab/>
    </w:r>
    <w:r w:rsidRPr="00784532">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332E" w:rsidRDefault="0014332E">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5B53" w:rsidRDefault="00575B53">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6691641"/>
      <w:docPartObj>
        <w:docPartGallery w:val="Page Numbers (Bottom of Page)"/>
        <w:docPartUnique/>
      </w:docPartObj>
    </w:sdtPr>
    <w:sdtEndPr>
      <w:rPr>
        <w:noProof/>
      </w:rPr>
    </w:sdtEndPr>
    <w:sdtContent>
      <w:p w:rsidR="00575B53" w:rsidRDefault="00293B4B">
        <w:pPr>
          <w:pStyle w:val="Footer"/>
          <w:jc w:val="right"/>
        </w:pPr>
        <w:r>
          <w:fldChar w:fldCharType="begin"/>
        </w:r>
        <w:r>
          <w:instrText xml:space="preserve"> PAGE   \* MERGEFORMAT </w:instrText>
        </w:r>
        <w:r>
          <w:fldChar w:fldCharType="separate"/>
        </w:r>
        <w:r w:rsidR="0014332E">
          <w:rPr>
            <w:noProof/>
          </w:rPr>
          <w:t>2</w:t>
        </w:r>
        <w:r>
          <w:rPr>
            <w:noProof/>
          </w:rPr>
          <w:fldChar w:fldCharType="end"/>
        </w:r>
      </w:p>
    </w:sdtContent>
  </w:sdt>
  <w:p w:rsidR="00575B53" w:rsidRDefault="00575B53">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5B53" w:rsidRDefault="00575B5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5B53" w:rsidRDefault="00293B4B">
      <w:pPr>
        <w:spacing w:after="0" w:line="240" w:lineRule="auto"/>
      </w:pPr>
      <w:r>
        <w:separator/>
      </w:r>
    </w:p>
  </w:footnote>
  <w:footnote w:type="continuationSeparator" w:id="0">
    <w:p w:rsidR="00575B53" w:rsidRDefault="00293B4B">
      <w:pPr>
        <w:spacing w:after="0" w:line="240" w:lineRule="auto"/>
      </w:pPr>
      <w:r>
        <w:continuationSeparator/>
      </w:r>
    </w:p>
  </w:footnote>
  <w:footnote w:type="continuationNotice" w:id="1">
    <w:p w:rsidR="00575B53" w:rsidRDefault="00575B53">
      <w:pPr>
        <w:spacing w:after="0" w:line="240" w:lineRule="auto"/>
      </w:pPr>
    </w:p>
  </w:footnote>
  <w:footnote w:id="2">
    <w:p w:rsidR="00784532" w:rsidRPr="00784532" w:rsidRDefault="00784532" w:rsidP="00784532">
      <w:pPr>
        <w:pStyle w:val="FootnoteText"/>
        <w:rPr>
          <w:rFonts w:ascii="Times New Roman" w:hAnsi="Times New Roman" w:cs="Times New Roman"/>
          <w:lang w:val="fr-FR"/>
        </w:rPr>
      </w:pPr>
      <w:r>
        <w:rPr>
          <w:rStyle w:val="FootnoteReference"/>
          <w:rFonts w:ascii="Times New Roman" w:hAnsi="Times New Roman"/>
        </w:rPr>
        <w:footnoteRef/>
      </w:r>
      <w:r w:rsidRPr="00784532">
        <w:rPr>
          <w:rFonts w:ascii="Times New Roman" w:hAnsi="Times New Roman"/>
          <w:lang w:val="fr-FR"/>
        </w:rPr>
        <w:t xml:space="preserve"> COM(2016) 110, «L’après-Paris:</w:t>
      </w:r>
      <w:r w:rsidRPr="00784532">
        <w:rPr>
          <w:rFonts w:ascii="Times New Roman" w:hAnsi="Times New Roman"/>
          <w:i/>
          <w:lang w:val="fr-FR"/>
        </w:rPr>
        <w:t xml:space="preserve"> </w:t>
      </w:r>
      <w:r w:rsidRPr="00784532">
        <w:rPr>
          <w:rFonts w:ascii="Times New Roman" w:hAnsi="Times New Roman"/>
          <w:lang w:val="fr-FR"/>
        </w:rPr>
        <w:t>évaluation des implications de l’accord de Paris».</w:t>
      </w:r>
    </w:p>
  </w:footnote>
  <w:footnote w:id="3">
    <w:p w:rsidR="00784532" w:rsidRPr="00784532" w:rsidRDefault="00784532" w:rsidP="00784532">
      <w:pPr>
        <w:pStyle w:val="FootnoteText"/>
        <w:rPr>
          <w:rFonts w:ascii="Times New Roman" w:hAnsi="Times New Roman" w:cs="Times New Roman"/>
          <w:lang w:val="fr-FR"/>
        </w:rPr>
      </w:pPr>
      <w:r>
        <w:rPr>
          <w:rStyle w:val="FootnoteReference"/>
          <w:rFonts w:ascii="Times New Roman" w:hAnsi="Times New Roman"/>
        </w:rPr>
        <w:footnoteRef/>
      </w:r>
      <w:r w:rsidRPr="00784532">
        <w:rPr>
          <w:rFonts w:ascii="Times New Roman" w:hAnsi="Times New Roman"/>
          <w:lang w:val="fr-FR"/>
        </w:rPr>
        <w:t xml:space="preserve"> COM(2015) 80, «Cadre stratégique pour une Union de l'énergie résiliente, dotée d'une politique clairvoyante en matière de changement climatique».</w:t>
      </w:r>
    </w:p>
  </w:footnote>
  <w:footnote w:id="4">
    <w:p w:rsidR="00784532" w:rsidRPr="00784532" w:rsidRDefault="00784532" w:rsidP="00784532">
      <w:pPr>
        <w:pStyle w:val="FootnoteText"/>
        <w:jc w:val="both"/>
        <w:rPr>
          <w:rFonts w:ascii="Times New Roman" w:hAnsi="Times New Roman" w:cs="Times New Roman"/>
          <w:lang w:val="fr-FR"/>
        </w:rPr>
      </w:pPr>
      <w:r>
        <w:rPr>
          <w:rStyle w:val="FootnoteReference"/>
          <w:rFonts w:ascii="Times New Roman" w:hAnsi="Times New Roman"/>
        </w:rPr>
        <w:footnoteRef/>
      </w:r>
      <w:r w:rsidRPr="00784532">
        <w:rPr>
          <w:rFonts w:ascii="Times New Roman" w:hAnsi="Times New Roman"/>
          <w:lang w:val="fr-FR"/>
        </w:rPr>
        <w:t xml:space="preserve"> En octobre 2014, les chefs d'État et de gouvernement de l'UE ont approuvé le cadre d’action pour le climat et l’énergie à l’horizon 2030. Ce cadre concrétise l’engagement de l’Union en faveur d’un objectif contraignant de réduction de ses émissions de gaz à effet de serre, dans tous les secteurs de l’économie, d'au moins 40 % d’ici à 2030 par rapport à 1990.</w:t>
      </w:r>
    </w:p>
  </w:footnote>
  <w:footnote w:id="5">
    <w:p w:rsidR="00784532" w:rsidRPr="00784532" w:rsidRDefault="00784532" w:rsidP="00784532">
      <w:pPr>
        <w:pStyle w:val="FootnoteText"/>
        <w:rPr>
          <w:rFonts w:ascii="Times New Roman" w:hAnsi="Times New Roman" w:cs="Times New Roman"/>
          <w:lang w:val="fr-FR"/>
        </w:rPr>
      </w:pPr>
      <w:r>
        <w:rPr>
          <w:rStyle w:val="FootnoteReference"/>
          <w:rFonts w:ascii="Times New Roman" w:hAnsi="Times New Roman"/>
        </w:rPr>
        <w:footnoteRef/>
      </w:r>
      <w:r w:rsidRPr="00784532">
        <w:rPr>
          <w:rFonts w:ascii="Times New Roman" w:hAnsi="Times New Roman"/>
          <w:lang w:val="fr-FR"/>
        </w:rPr>
        <w:t xml:space="preserve"> Conclusions du Conseil du 15 février 2016 sur la diplomatie climatique européenne après la COP21.</w:t>
      </w:r>
    </w:p>
  </w:footnote>
  <w:footnote w:id="6">
    <w:p w:rsidR="00784532" w:rsidRPr="00784532" w:rsidRDefault="00784532" w:rsidP="00784532">
      <w:pPr>
        <w:pStyle w:val="FootnoteText"/>
        <w:rPr>
          <w:rFonts w:ascii="Times New Roman" w:hAnsi="Times New Roman" w:cs="Times New Roman"/>
          <w:lang w:val="fr-FR"/>
        </w:rPr>
      </w:pPr>
      <w:r>
        <w:rPr>
          <w:rStyle w:val="FootnoteReference"/>
          <w:rFonts w:ascii="Times New Roman" w:hAnsi="Times New Roman"/>
        </w:rPr>
        <w:footnoteRef/>
      </w:r>
      <w:r w:rsidRPr="00784532">
        <w:rPr>
          <w:rFonts w:ascii="Times New Roman" w:hAnsi="Times New Roman"/>
          <w:lang w:val="fr-FR"/>
        </w:rPr>
        <w:t xml:space="preserve"> La réalisation de l'objectif de l'Union à l'horizon 2030 nécessite une réduction des émissions de ces secteurs de 43 % par rapport à 2005.</w:t>
      </w:r>
    </w:p>
  </w:footnote>
  <w:footnote w:id="7">
    <w:p w:rsidR="00784532" w:rsidRPr="00784532" w:rsidRDefault="00784532" w:rsidP="00784532">
      <w:pPr>
        <w:pStyle w:val="FootnoteText"/>
        <w:rPr>
          <w:rFonts w:ascii="Times New Roman" w:hAnsi="Times New Roman" w:cs="Times New Roman"/>
          <w:lang w:val="fr-FR"/>
        </w:rPr>
      </w:pPr>
      <w:r>
        <w:rPr>
          <w:rStyle w:val="FootnoteReference"/>
          <w:rFonts w:ascii="Times New Roman" w:hAnsi="Times New Roman"/>
        </w:rPr>
        <w:footnoteRef/>
      </w:r>
      <w:r w:rsidRPr="00784532">
        <w:rPr>
          <w:rFonts w:ascii="Times New Roman" w:hAnsi="Times New Roman"/>
          <w:lang w:val="fr-FR"/>
        </w:rPr>
        <w:t xml:space="preserve"> La réalisation de l'objectif de l'Union à l'horizon 2030 nécessite une réduction des émissions de ces secteurs de 30 % par rapport à 2005.</w:t>
      </w:r>
    </w:p>
  </w:footnote>
  <w:footnote w:id="8">
    <w:p w:rsidR="00784532" w:rsidRPr="00784532" w:rsidRDefault="00784532" w:rsidP="00784532">
      <w:pPr>
        <w:pStyle w:val="FootnoteText"/>
        <w:jc w:val="both"/>
        <w:rPr>
          <w:rFonts w:ascii="Times New Roman" w:hAnsi="Times New Roman" w:cs="Times New Roman"/>
          <w:lang w:val="fr-FR"/>
        </w:rPr>
      </w:pPr>
      <w:r>
        <w:rPr>
          <w:rStyle w:val="FootnoteReference"/>
          <w:rFonts w:ascii="Times New Roman" w:hAnsi="Times New Roman"/>
        </w:rPr>
        <w:footnoteRef/>
      </w:r>
      <w:r w:rsidRPr="00784532">
        <w:rPr>
          <w:rFonts w:ascii="Times New Roman" w:hAnsi="Times New Roman"/>
          <w:lang w:val="fr-FR"/>
        </w:rPr>
        <w:t xml:space="preserve"> Afin d'encourager encore davantage le respect des engagements souscrits, les États membres qui doivent supporter des coûts proportionnellement plus élevés pour atteindre leur objectif peuvent choisir de transférer une partie des quotas qui leur ont été attribués au titre du SEQE pour compenser leurs émissions dans d'autres secteurs économiques.</w:t>
      </w:r>
    </w:p>
  </w:footnote>
  <w:footnote w:id="9">
    <w:p w:rsidR="00784532" w:rsidRPr="00784532" w:rsidRDefault="00784532" w:rsidP="00784532">
      <w:pPr>
        <w:pStyle w:val="FootnoteText"/>
        <w:rPr>
          <w:rFonts w:ascii="Times New Roman" w:hAnsi="Times New Roman" w:cs="Times New Roman"/>
          <w:lang w:val="fr-FR"/>
        </w:rPr>
      </w:pPr>
      <w:r>
        <w:rPr>
          <w:rStyle w:val="FootnoteReference"/>
          <w:rFonts w:ascii="Times New Roman" w:hAnsi="Times New Roman"/>
        </w:rPr>
        <w:footnoteRef/>
      </w:r>
      <w:r w:rsidRPr="00784532">
        <w:rPr>
          <w:rFonts w:ascii="Times New Roman" w:hAnsi="Times New Roman"/>
          <w:lang w:val="fr-FR"/>
        </w:rPr>
        <w:t xml:space="preserve"> COM(2015) 614, «Boucler la boucle – Un plan d’action de l’Union européenne en faveur de l’économie circulaire».</w:t>
      </w:r>
    </w:p>
  </w:footnote>
  <w:footnote w:id="10">
    <w:p w:rsidR="00784532" w:rsidRPr="00784532" w:rsidRDefault="00784532" w:rsidP="00784532">
      <w:pPr>
        <w:pStyle w:val="FootnoteText"/>
        <w:jc w:val="both"/>
        <w:rPr>
          <w:rFonts w:ascii="Times New Roman" w:hAnsi="Times New Roman" w:cs="Times New Roman"/>
          <w:lang w:val="fr-FR"/>
        </w:rPr>
      </w:pPr>
      <w:r>
        <w:rPr>
          <w:rStyle w:val="FootnoteReference"/>
          <w:rFonts w:ascii="Times New Roman" w:hAnsi="Times New Roman"/>
        </w:rPr>
        <w:footnoteRef/>
      </w:r>
      <w:r w:rsidRPr="00784532">
        <w:rPr>
          <w:rFonts w:ascii="Times New Roman" w:hAnsi="Times New Roman"/>
          <w:lang w:val="fr-FR"/>
        </w:rPr>
        <w:t xml:space="preserve"> Voir aussi le premier rapport d'étape sur l’union des marchés des capitaux, «</w:t>
      </w:r>
      <w:r w:rsidRPr="00784532">
        <w:rPr>
          <w:rFonts w:ascii="Times New Roman" w:hAnsi="Times New Roman"/>
          <w:i/>
          <w:lang w:val="fr-FR"/>
        </w:rPr>
        <w:t>Capital Markets Union: First Status Report</w:t>
      </w:r>
      <w:r w:rsidRPr="00784532">
        <w:rPr>
          <w:rFonts w:ascii="Times New Roman" w:hAnsi="Times New Roman"/>
          <w:lang w:val="fr-FR"/>
        </w:rPr>
        <w:t>», SWD(2016) 147 final.</w:t>
      </w:r>
    </w:p>
  </w:footnote>
  <w:footnote w:id="11">
    <w:p w:rsidR="00784532" w:rsidRPr="00784532" w:rsidRDefault="00784532" w:rsidP="00784532">
      <w:pPr>
        <w:pStyle w:val="FootnoteText"/>
        <w:rPr>
          <w:rFonts w:ascii="Times New Roman" w:hAnsi="Times New Roman" w:cs="Times New Roman"/>
          <w:lang w:val="fr-FR"/>
        </w:rPr>
      </w:pPr>
      <w:r>
        <w:rPr>
          <w:rStyle w:val="FootnoteReference"/>
          <w:rFonts w:ascii="Times New Roman" w:hAnsi="Times New Roman"/>
        </w:rPr>
        <w:footnoteRef/>
      </w:r>
      <w:r w:rsidRPr="00784532">
        <w:rPr>
          <w:rFonts w:ascii="Times New Roman" w:hAnsi="Times New Roman"/>
          <w:lang w:val="fr-FR"/>
        </w:rPr>
        <w:t xml:space="preserve"> COM(2016) 359, «L'Europe investit de nouveau – Premier bilan du plan d'investissement pour l'Europe et prochaines étapes» (état de la situation au 1</w:t>
      </w:r>
      <w:r w:rsidRPr="00784532">
        <w:rPr>
          <w:rFonts w:ascii="Times New Roman" w:hAnsi="Times New Roman"/>
          <w:vertAlign w:val="superscript"/>
          <w:lang w:val="fr-FR"/>
        </w:rPr>
        <w:t>er</w:t>
      </w:r>
      <w:r w:rsidRPr="00784532">
        <w:rPr>
          <w:rFonts w:ascii="Times New Roman" w:hAnsi="Times New Roman"/>
          <w:lang w:val="fr-FR"/>
        </w:rPr>
        <w:t xml:space="preserve"> juin 2016).</w:t>
      </w:r>
    </w:p>
  </w:footnote>
  <w:footnote w:id="12">
    <w:p w:rsidR="00784532" w:rsidRPr="00784532" w:rsidRDefault="00784532" w:rsidP="00784532">
      <w:pPr>
        <w:pStyle w:val="FootnoteText"/>
        <w:jc w:val="both"/>
        <w:rPr>
          <w:rFonts w:ascii="Times New Roman" w:hAnsi="Times New Roman" w:cs="Times New Roman"/>
          <w:lang w:val="fr-FR"/>
        </w:rPr>
      </w:pPr>
      <w:r>
        <w:rPr>
          <w:rStyle w:val="FootnoteReference"/>
          <w:rFonts w:ascii="Times New Roman" w:hAnsi="Times New Roman"/>
        </w:rPr>
        <w:footnoteRef/>
      </w:r>
      <w:r w:rsidRPr="00784532">
        <w:rPr>
          <w:rFonts w:ascii="Times New Roman" w:hAnsi="Times New Roman"/>
          <w:lang w:val="fr-FR"/>
        </w:rPr>
        <w:t xml:space="preserve"> Un montant de 7,7 milliards d'EUR au titre du pilier «développement rural» de la PAC est ainsi réservé à des projets consacrés au piégeage du carbone et à son stockage dans les sols, à la production et à l'utilisation d'énergies renouvelables et aux investissements intelligents en faveur du climat. Un montant supplémentaire de 43,7 milliards d'EUR est alloué aux actions visant à améliorer les écosystèmes qui ont également un effet sur l'empreinte carbone de l'agriculture et de la foresterie.</w:t>
      </w:r>
    </w:p>
  </w:footnote>
  <w:footnote w:id="13">
    <w:p w:rsidR="00784532" w:rsidRPr="00784532" w:rsidRDefault="00784532" w:rsidP="00784532">
      <w:pPr>
        <w:pStyle w:val="FootnoteText"/>
        <w:jc w:val="both"/>
        <w:rPr>
          <w:rFonts w:ascii="Times New Roman" w:hAnsi="Times New Roman" w:cs="Times New Roman"/>
          <w:lang w:val="fr-FR"/>
        </w:rPr>
      </w:pPr>
      <w:r>
        <w:rPr>
          <w:rStyle w:val="FootnoteReference"/>
          <w:rFonts w:ascii="Times New Roman" w:hAnsi="Times New Roman"/>
        </w:rPr>
        <w:footnoteRef/>
      </w:r>
      <w:r w:rsidRPr="00784532">
        <w:rPr>
          <w:rFonts w:ascii="Times New Roman" w:hAnsi="Times New Roman"/>
          <w:lang w:val="fr-FR"/>
        </w:rPr>
        <w:t xml:space="preserve"> COM(2016) 381 «Une nouvelle stratégie en matière de compétences pour l’Europe –</w:t>
      </w:r>
      <w:r w:rsidRPr="00784532">
        <w:rPr>
          <w:rFonts w:ascii="Times New Roman" w:hAnsi="Times New Roman"/>
          <w:i/>
          <w:lang w:val="fr-FR"/>
        </w:rPr>
        <w:t xml:space="preserve"> </w:t>
      </w:r>
      <w:r w:rsidRPr="00784532">
        <w:rPr>
          <w:rFonts w:ascii="Times New Roman" w:hAnsi="Times New Roman"/>
          <w:lang w:val="fr-FR"/>
        </w:rPr>
        <w:t>Travailler ensemble pour renforcer le capital humain et améliorer l’employabilité et la compétitivité»</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332E" w:rsidRDefault="0014332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332E" w:rsidRDefault="0014332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332E" w:rsidRDefault="0014332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5B53" w:rsidRDefault="00575B53">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5B53" w:rsidRDefault="00575B53">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5B53" w:rsidRDefault="00575B5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E315D"/>
    <w:multiLevelType w:val="hybridMultilevel"/>
    <w:tmpl w:val="E1C4C4F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nsid w:val="089F66D8"/>
    <w:multiLevelType w:val="hybridMultilevel"/>
    <w:tmpl w:val="71369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8EB5C0C"/>
    <w:multiLevelType w:val="hybridMultilevel"/>
    <w:tmpl w:val="E8906D6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095113AE"/>
    <w:multiLevelType w:val="hybridMultilevel"/>
    <w:tmpl w:val="542A2B86"/>
    <w:lvl w:ilvl="0" w:tplc="1EAAB79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D9B23AC"/>
    <w:multiLevelType w:val="hybridMultilevel"/>
    <w:tmpl w:val="7F66D7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nsid w:val="1C825E5D"/>
    <w:multiLevelType w:val="hybridMultilevel"/>
    <w:tmpl w:val="CBD8A582"/>
    <w:lvl w:ilvl="0" w:tplc="0809000F">
      <w:start w:val="1"/>
      <w:numFmt w:val="decimal"/>
      <w:lvlText w:val="%1."/>
      <w:lvlJc w:val="left"/>
      <w:pPr>
        <w:ind w:left="1077" w:hanging="360"/>
      </w:p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6">
    <w:nsid w:val="21765590"/>
    <w:multiLevelType w:val="hybridMultilevel"/>
    <w:tmpl w:val="561A824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nsid w:val="2B300C50"/>
    <w:multiLevelType w:val="hybridMultilevel"/>
    <w:tmpl w:val="FEC21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CD6369A"/>
    <w:multiLevelType w:val="hybridMultilevel"/>
    <w:tmpl w:val="B0620D46"/>
    <w:lvl w:ilvl="0" w:tplc="08090001">
      <w:start w:val="1"/>
      <w:numFmt w:val="bullet"/>
      <w:lvlText w:val=""/>
      <w:lvlJc w:val="left"/>
      <w:pPr>
        <w:ind w:left="1512" w:hanging="360"/>
      </w:pPr>
      <w:rPr>
        <w:rFonts w:ascii="Symbol" w:hAnsi="Symbol" w:hint="default"/>
      </w:rPr>
    </w:lvl>
    <w:lvl w:ilvl="1" w:tplc="08090003">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9">
    <w:nsid w:val="35610697"/>
    <w:multiLevelType w:val="hybridMultilevel"/>
    <w:tmpl w:val="5CB85FB4"/>
    <w:lvl w:ilvl="0" w:tplc="C45C6F82">
      <w:numFmt w:val="bullet"/>
      <w:lvlText w:val="-"/>
      <w:lvlJc w:val="left"/>
      <w:pPr>
        <w:ind w:left="1800" w:hanging="360"/>
      </w:pPr>
      <w:rPr>
        <w:rFonts w:ascii="Calibri" w:eastAsia="Calibri" w:hAnsi="Calibri" w:cs="Times New Roman"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10">
    <w:nsid w:val="36C71FB7"/>
    <w:multiLevelType w:val="hybridMultilevel"/>
    <w:tmpl w:val="B76E98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nsid w:val="38E910FF"/>
    <w:multiLevelType w:val="multilevel"/>
    <w:tmpl w:val="DFB47E68"/>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75F49D7"/>
    <w:multiLevelType w:val="hybridMultilevel"/>
    <w:tmpl w:val="1A4EAC7A"/>
    <w:lvl w:ilvl="0" w:tplc="08090001">
      <w:start w:val="1"/>
      <w:numFmt w:val="bullet"/>
      <w:lvlText w:val=""/>
      <w:lvlJc w:val="left"/>
      <w:pPr>
        <w:ind w:left="1152" w:hanging="360"/>
      </w:pPr>
      <w:rPr>
        <w:rFonts w:ascii="Symbol" w:hAnsi="Symbol" w:hint="default"/>
      </w:rPr>
    </w:lvl>
    <w:lvl w:ilvl="1" w:tplc="08090003" w:tentative="1">
      <w:start w:val="1"/>
      <w:numFmt w:val="bullet"/>
      <w:lvlText w:val="o"/>
      <w:lvlJc w:val="left"/>
      <w:pPr>
        <w:ind w:left="1872" w:hanging="360"/>
      </w:pPr>
      <w:rPr>
        <w:rFonts w:ascii="Courier New" w:hAnsi="Courier New" w:cs="Courier New" w:hint="default"/>
      </w:rPr>
    </w:lvl>
    <w:lvl w:ilvl="2" w:tplc="08090005" w:tentative="1">
      <w:start w:val="1"/>
      <w:numFmt w:val="bullet"/>
      <w:lvlText w:val=""/>
      <w:lvlJc w:val="left"/>
      <w:pPr>
        <w:ind w:left="2592" w:hanging="360"/>
      </w:pPr>
      <w:rPr>
        <w:rFonts w:ascii="Wingdings" w:hAnsi="Wingdings" w:hint="default"/>
      </w:rPr>
    </w:lvl>
    <w:lvl w:ilvl="3" w:tplc="08090001" w:tentative="1">
      <w:start w:val="1"/>
      <w:numFmt w:val="bullet"/>
      <w:lvlText w:val=""/>
      <w:lvlJc w:val="left"/>
      <w:pPr>
        <w:ind w:left="3312" w:hanging="360"/>
      </w:pPr>
      <w:rPr>
        <w:rFonts w:ascii="Symbol" w:hAnsi="Symbol" w:hint="default"/>
      </w:rPr>
    </w:lvl>
    <w:lvl w:ilvl="4" w:tplc="08090003" w:tentative="1">
      <w:start w:val="1"/>
      <w:numFmt w:val="bullet"/>
      <w:lvlText w:val="o"/>
      <w:lvlJc w:val="left"/>
      <w:pPr>
        <w:ind w:left="4032" w:hanging="360"/>
      </w:pPr>
      <w:rPr>
        <w:rFonts w:ascii="Courier New" w:hAnsi="Courier New" w:cs="Courier New" w:hint="default"/>
      </w:rPr>
    </w:lvl>
    <w:lvl w:ilvl="5" w:tplc="08090005" w:tentative="1">
      <w:start w:val="1"/>
      <w:numFmt w:val="bullet"/>
      <w:lvlText w:val=""/>
      <w:lvlJc w:val="left"/>
      <w:pPr>
        <w:ind w:left="4752" w:hanging="360"/>
      </w:pPr>
      <w:rPr>
        <w:rFonts w:ascii="Wingdings" w:hAnsi="Wingdings" w:hint="default"/>
      </w:rPr>
    </w:lvl>
    <w:lvl w:ilvl="6" w:tplc="08090001" w:tentative="1">
      <w:start w:val="1"/>
      <w:numFmt w:val="bullet"/>
      <w:lvlText w:val=""/>
      <w:lvlJc w:val="left"/>
      <w:pPr>
        <w:ind w:left="5472" w:hanging="360"/>
      </w:pPr>
      <w:rPr>
        <w:rFonts w:ascii="Symbol" w:hAnsi="Symbol" w:hint="default"/>
      </w:rPr>
    </w:lvl>
    <w:lvl w:ilvl="7" w:tplc="08090003" w:tentative="1">
      <w:start w:val="1"/>
      <w:numFmt w:val="bullet"/>
      <w:lvlText w:val="o"/>
      <w:lvlJc w:val="left"/>
      <w:pPr>
        <w:ind w:left="6192" w:hanging="360"/>
      </w:pPr>
      <w:rPr>
        <w:rFonts w:ascii="Courier New" w:hAnsi="Courier New" w:cs="Courier New" w:hint="default"/>
      </w:rPr>
    </w:lvl>
    <w:lvl w:ilvl="8" w:tplc="08090005" w:tentative="1">
      <w:start w:val="1"/>
      <w:numFmt w:val="bullet"/>
      <w:lvlText w:val=""/>
      <w:lvlJc w:val="left"/>
      <w:pPr>
        <w:ind w:left="6912" w:hanging="360"/>
      </w:pPr>
      <w:rPr>
        <w:rFonts w:ascii="Wingdings" w:hAnsi="Wingdings" w:hint="default"/>
      </w:rPr>
    </w:lvl>
  </w:abstractNum>
  <w:abstractNum w:abstractNumId="13">
    <w:nsid w:val="4AE335D6"/>
    <w:multiLevelType w:val="hybridMultilevel"/>
    <w:tmpl w:val="D1764678"/>
    <w:lvl w:ilvl="0" w:tplc="1EAAB79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BF125D4"/>
    <w:multiLevelType w:val="multilevel"/>
    <w:tmpl w:val="EB78066A"/>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500B7064"/>
    <w:multiLevelType w:val="hybridMultilevel"/>
    <w:tmpl w:val="00762B7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nsid w:val="60B251C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66E36BEB"/>
    <w:multiLevelType w:val="hybridMultilevel"/>
    <w:tmpl w:val="715AF9A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9">
    <w:nsid w:val="6F1A06BD"/>
    <w:multiLevelType w:val="hybridMultilevel"/>
    <w:tmpl w:val="E626FEC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nsid w:val="70C920AA"/>
    <w:multiLevelType w:val="hybridMultilevel"/>
    <w:tmpl w:val="A74ED1D8"/>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21">
    <w:nsid w:val="7D5D196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6"/>
  </w:num>
  <w:num w:numId="2">
    <w:abstractNumId w:val="8"/>
  </w:num>
  <w:num w:numId="3">
    <w:abstractNumId w:val="20"/>
  </w:num>
  <w:num w:numId="4">
    <w:abstractNumId w:val="12"/>
  </w:num>
  <w:num w:numId="5">
    <w:abstractNumId w:val="19"/>
  </w:num>
  <w:num w:numId="6">
    <w:abstractNumId w:val="17"/>
  </w:num>
  <w:num w:numId="7">
    <w:abstractNumId w:val="0"/>
  </w:num>
  <w:num w:numId="8">
    <w:abstractNumId w:val="4"/>
  </w:num>
  <w:num w:numId="9">
    <w:abstractNumId w:val="15"/>
  </w:num>
  <w:num w:numId="10">
    <w:abstractNumId w:val="18"/>
  </w:num>
  <w:num w:numId="11">
    <w:abstractNumId w:val="7"/>
  </w:num>
  <w:num w:numId="12">
    <w:abstractNumId w:val="6"/>
  </w:num>
  <w:num w:numId="13">
    <w:abstractNumId w:val="11"/>
  </w:num>
  <w:num w:numId="14">
    <w:abstractNumId w:val="2"/>
  </w:num>
  <w:num w:numId="15">
    <w:abstractNumId w:val="17"/>
  </w:num>
  <w:num w:numId="16">
    <w:abstractNumId w:val="19"/>
  </w:num>
  <w:num w:numId="17">
    <w:abstractNumId w:val="1"/>
  </w:num>
  <w:num w:numId="18">
    <w:abstractNumId w:val="13"/>
  </w:num>
  <w:num w:numId="19">
    <w:abstractNumId w:val="3"/>
  </w:num>
  <w:num w:numId="20">
    <w:abstractNumId w:val="10"/>
  </w:num>
  <w:num w:numId="21">
    <w:abstractNumId w:val="21"/>
  </w:num>
  <w:num w:numId="22">
    <w:abstractNumId w:val="14"/>
  </w:num>
  <w:num w:numId="23">
    <w:abstractNumId w:val="9"/>
  </w:num>
  <w:num w:numId="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removePersonalInformation/>
  <w:removeDateAndTime/>
  <w:hideSpellingErrors/>
  <w:hideGrammaticalErrors/>
  <w:defaultTabStop w:val="720"/>
  <w:hyphenationZone w:val="425"/>
  <w:characterSpacingControl w:val="doNotCompress"/>
  <w:hdrShapeDefaults>
    <o:shapedefaults v:ext="edit" spidmax="2048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EU RESTRICTED"/>
    <w:docVar w:name="LW_CORRIGENDUM" w:val="&lt;UNUSED&gt;"/>
    <w:docVar w:name="LW_COVERPAGE_GUID" w:val="2449F65D250B445C9565386C2FA8E299"/>
    <w:docVar w:name="LW_CROSSREFERENCE" w:val="&lt;UNUSED&gt;"/>
    <w:docVar w:name="LW_DocType" w:val="NORMAL"/>
    <w:docVar w:name="LW_EMISSION" w:val="20.7.2016"/>
    <w:docVar w:name="LW_EMISSION_ISODATE" w:val="2016-07-20"/>
    <w:docVar w:name="LW_EMISSION_LOCATION" w:val="BRX"/>
    <w:docVar w:name="LW_EMISSION_PREFIX" w:val="Bruxelles, le "/>
    <w:docVar w:name="LW_EMISSION_SUFFIX" w:val=" "/>
    <w:docVar w:name="LW_ID_DOCTYPE_NONLW" w:val="CP-014"/>
    <w:docVar w:name="LW_LANGUE" w:val="FR"/>
    <w:docVar w:name="LW_MARKING" w:val="&lt;UNUSED&g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6) 500"/>
    <w:docVar w:name="LW_REF.INTERNE" w:val="&lt;UNUSED&gt;"/>
    <w:docVar w:name="LW_SOUS.TITRE.OBJ" w:val="Communication accompagnant des mesures relevant du cadre stratégique pour une Union de l\u8217?énergie&lt;LWCR:NBS&gt;: proposition législative relative aux réductions annuelles contraignantes des émissions de gaz à effet de serre par les États membres de 2021 à 2030, proposition législative relative à la prise en compte des émissions et des absorptions de gaz à effet de serre résultant de l\u8217?utilisation des terres, du changement d\u8217?affectation des terres et de la foresterie dans le cadre d'action pour le climat et l\u8217?énergie à l'horizon 2030 et communication relative à une stratégie européenne pour une mobilité à faible intensité de carbone_x000b_"/>
    <w:docVar w:name="LW_SOUS.TITRE.OBJ.CP" w:val="Communication accompagnant des mesures relevant du cadre stratégique pour une Union de l\u8217?énergie : proposition législative relative aux réductions annuelles contraignantes des émissions de gaz à effet de serre par les États membres de 2021 à 2030, proposition législative relative à la prise en compte des émissions et des absorptions de gaz à effet de serre résultant de l\u8217?utilisation des terres, du changement d\u8217?affectation des terres et de la foresterie dans le cadre d'action pour le climat et l\u8217?énergie à l'horizon 2030 et communication relative à une stratégie européenne pour une mobilité à faible intensité de carbone_x000b_"/>
    <w:docVar w:name="LW_SUPERTITRE" w:val="&lt;UNUSED&gt;"/>
    <w:docVar w:name="LW_TITRE.OBJ.CP" w:val="«Accélérer la transition de l\u8217?Europe vers une économie à faible intensité de carbone»"/>
    <w:docVar w:name="LW_TYPE.DOC.CP" w:val="COMMUNICATION DE LA COMMISSION AU PARLEMENT EUROPÉEN, AU CONSEIL, AU COMITÉ ÉCONOMIQUE ET SOCIAL EUROPÉEN ET AU COMITÉ DES RÉGIONS"/>
    <w:docVar w:name="LW_TYPE.DOC.CP.USERTEXT" w:val="&lt;EMPTY&gt;"/>
  </w:docVars>
  <w:rsids>
    <w:rsidRoot w:val="00575B53"/>
    <w:rsid w:val="0014332E"/>
    <w:rsid w:val="00293B4B"/>
    <w:rsid w:val="00575B53"/>
    <w:rsid w:val="007845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List Bullet 4"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Yellow Bullet,Normal bullet 2,Table/Figure Heading,Listeafsnit,Dot pt,No Spacing1,List Paragraph Char Char Char,Indicator Text,Numbered Para 1,List Paragraph1,Bullet Points,MAIN CONTENT,List Paragraph12,List Paragraph11,OBC Bullet"/>
    <w:basedOn w:val="Normal"/>
    <w:link w:val="ListParagraphChar"/>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rFonts w:eastAsiaTheme="minorEastAsia"/>
      <w:sz w:val="20"/>
      <w:szCs w:val="20"/>
      <w:lang w:eastAsia="en-GB"/>
    </w:rPr>
  </w:style>
  <w:style w:type="character" w:customStyle="1" w:styleId="CommentTextChar">
    <w:name w:val="Comment Text Char"/>
    <w:basedOn w:val="DefaultParagraphFont"/>
    <w:link w:val="CommentText"/>
    <w:uiPriority w:val="99"/>
    <w:rPr>
      <w:rFonts w:eastAsiaTheme="minorEastAsia"/>
      <w:sz w:val="20"/>
      <w:szCs w:val="20"/>
      <w:lang w:eastAsia="en-GB"/>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nhideWhenUsed/>
    <w:qFormat/>
    <w:pPr>
      <w:spacing w:after="0" w:line="240" w:lineRule="auto"/>
    </w:pPr>
    <w:rPr>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rPr>
      <w:sz w:val="20"/>
      <w:szCs w:val="20"/>
    </w:rPr>
  </w:style>
  <w:style w:type="character" w:styleId="FootnoteReference">
    <w:name w:val="footnote reference"/>
    <w:aliases w:val="number,SUPERS,Footnote Reference Superscript,Footnote number,-E Fußnotenzeichen,EN Footnote Reference,-E Fuﬂnotenzeichen,-E Fuûnotenzeichen,stylish,Footnote symbol,(Footnote Reference),Footnote reference number,note TESI,BVI fnr,fr,o"/>
    <w:basedOn w:val="DefaultParagraphFont"/>
    <w:link w:val="FootnotesymbolCarZchn"/>
    <w:uiPriority w:val="99"/>
    <w:unhideWhenUsed/>
    <w:qFormat/>
    <w:rPr>
      <w:vertAlign w:val="superscript"/>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CommentSubject">
    <w:name w:val="annotation subject"/>
    <w:basedOn w:val="CommentText"/>
    <w:next w:val="CommentText"/>
    <w:link w:val="CommentSubjectChar"/>
    <w:uiPriority w:val="99"/>
    <w:semiHidden/>
    <w:unhideWhenUsed/>
    <w:rPr>
      <w:rFonts w:eastAsiaTheme="minorHAnsi"/>
      <w:b/>
      <w:bCs/>
      <w:lang w:eastAsia="en-US"/>
    </w:rPr>
  </w:style>
  <w:style w:type="character" w:customStyle="1" w:styleId="CommentSubjectChar">
    <w:name w:val="Comment Subject Char"/>
    <w:basedOn w:val="CommentTextChar"/>
    <w:link w:val="CommentSubject"/>
    <w:uiPriority w:val="99"/>
    <w:semiHidden/>
    <w:rPr>
      <w:rFonts w:eastAsiaTheme="minorEastAsia"/>
      <w:b/>
      <w:bCs/>
      <w:sz w:val="20"/>
      <w:szCs w:val="20"/>
      <w:lang w:eastAsia="en-GB"/>
    </w:rPr>
  </w:style>
  <w:style w:type="paragraph" w:styleId="Revision">
    <w:name w:val="Revision"/>
    <w:hidden/>
    <w:uiPriority w:val="99"/>
    <w:semiHidden/>
    <w:pPr>
      <w:spacing w:after="0" w:line="240" w:lineRule="auto"/>
    </w:pPr>
  </w:style>
  <w:style w:type="paragraph" w:styleId="BodyText2">
    <w:name w:val="Body Text 2"/>
    <w:basedOn w:val="Normal"/>
    <w:link w:val="BodyText2Char"/>
    <w:pPr>
      <w:spacing w:after="120" w:line="480" w:lineRule="auto"/>
      <w:jc w:val="both"/>
    </w:pPr>
    <w:rPr>
      <w:rFonts w:ascii="Times New Roman" w:eastAsia="Times New Roman" w:hAnsi="Times New Roman" w:cs="Times New Roman"/>
      <w:sz w:val="24"/>
      <w:szCs w:val="20"/>
    </w:rPr>
  </w:style>
  <w:style w:type="character" w:customStyle="1" w:styleId="BodyText2Char">
    <w:name w:val="Body Text 2 Char"/>
    <w:basedOn w:val="DefaultParagraphFont"/>
    <w:link w:val="BodyText2"/>
    <w:rPr>
      <w:rFonts w:ascii="Times New Roman" w:eastAsia="Times New Roman" w:hAnsi="Times New Roman" w:cs="Times New Roman"/>
      <w:sz w:val="24"/>
      <w:szCs w:val="20"/>
    </w:rPr>
  </w:style>
  <w:style w:type="paragraph" w:styleId="ListBullet4">
    <w:name w:val="List Bullet 4"/>
    <w:basedOn w:val="Normal"/>
    <w:pPr>
      <w:numPr>
        <w:numId w:val="10"/>
      </w:numPr>
      <w:spacing w:after="240" w:line="240" w:lineRule="auto"/>
      <w:jc w:val="both"/>
    </w:pPr>
    <w:rPr>
      <w:rFonts w:ascii="Times New Roman" w:eastAsia="Times New Roman" w:hAnsi="Times New Roman" w:cs="Times New Roman"/>
      <w:sz w:val="24"/>
      <w:szCs w:val="20"/>
    </w:rPr>
  </w:style>
  <w:style w:type="character" w:styleId="Strong">
    <w:name w:val="Strong"/>
    <w:basedOn w:val="DefaultParagraphFont"/>
    <w:uiPriority w:val="22"/>
    <w:qFormat/>
    <w:rPr>
      <w:b/>
      <w:bCs/>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semiHidden/>
    <w:unhideWhenUsed/>
    <w:rPr>
      <w:color w:val="0000FF" w:themeColor="hyperlink"/>
      <w:u w:val="single"/>
    </w:rPr>
  </w:style>
  <w:style w:type="character" w:customStyle="1" w:styleId="ListParagraphChar">
    <w:name w:val="List Paragraph Char"/>
    <w:aliases w:val="Yellow Bullet Char,Normal bullet 2 Char,Table/Figure Heading Char,Listeafsnit Char,Dot pt Char,No Spacing1 Char,List Paragraph Char Char Char Char,Indicator Text Char,Numbered Para 1 Char,List Paragraph1 Char,Bullet Points Char"/>
    <w:link w:val="ListParagraph"/>
    <w:uiPriority w:val="34"/>
    <w:qFormat/>
    <w:locked/>
  </w:style>
  <w:style w:type="paragraph" w:styleId="PlainText">
    <w:name w:val="Plain Text"/>
    <w:basedOn w:val="Normal"/>
    <w:link w:val="PlainTextChar"/>
    <w:uiPriority w:val="99"/>
    <w:semiHidden/>
    <w:unhideWhenUsed/>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Pr>
      <w:rFonts w:ascii="Consolas" w:hAnsi="Consolas"/>
      <w:sz w:val="21"/>
      <w:szCs w:val="21"/>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jc w:val="both"/>
    </w:pPr>
    <w:rPr>
      <w:vertAlign w:val="superscript"/>
    </w:rPr>
  </w:style>
  <w:style w:type="character" w:styleId="Emphasis">
    <w:name w:val="Emphasis"/>
    <w:basedOn w:val="DefaultParagraphFont"/>
    <w:uiPriority w:val="20"/>
    <w:qFormat/>
    <w:rPr>
      <w:i/>
      <w:iCs/>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ext1">
    <w:name w:val="Text 1"/>
    <w:basedOn w:val="Normal"/>
    <w:pPr>
      <w:spacing w:after="240" w:line="240" w:lineRule="auto"/>
      <w:ind w:left="482"/>
      <w:jc w:val="both"/>
    </w:pPr>
    <w:rPr>
      <w:rFonts w:ascii="Times New Roman" w:eastAsia="Times New Roman" w:hAnsi="Times New Roman" w:cs="Times New Roman"/>
      <w:sz w:val="24"/>
      <w:szCs w:val="20"/>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szCs w:val="24"/>
    </w:rPr>
  </w:style>
  <w:style w:type="character" w:customStyle="1" w:styleId="FooterCoverPageChar">
    <w:name w:val="Footer Cover Page Char"/>
    <w:basedOn w:val="DefaultParagraphFont"/>
    <w:link w:val="FooterCoverPage"/>
    <w:rPr>
      <w:rFonts w:ascii="Times New Roman" w:hAnsi="Times New Roman" w:cs="Times New Roman"/>
      <w:sz w:val="24"/>
      <w:szCs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szCs w:val="24"/>
    </w:rPr>
  </w:style>
  <w:style w:type="character" w:customStyle="1" w:styleId="HeaderCoverPageChar">
    <w:name w:val="Header Cover Page Char"/>
    <w:basedOn w:val="DefaultParagraphFont"/>
    <w:link w:val="HeaderCoverPage"/>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List Bullet 4"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Yellow Bullet,Normal bullet 2,Table/Figure Heading,Listeafsnit,Dot pt,No Spacing1,List Paragraph Char Char Char,Indicator Text,Numbered Para 1,List Paragraph1,Bullet Points,MAIN CONTENT,List Paragraph12,List Paragraph11,OBC Bullet"/>
    <w:basedOn w:val="Normal"/>
    <w:link w:val="ListParagraphChar"/>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rFonts w:eastAsiaTheme="minorEastAsia"/>
      <w:sz w:val="20"/>
      <w:szCs w:val="20"/>
      <w:lang w:eastAsia="en-GB"/>
    </w:rPr>
  </w:style>
  <w:style w:type="character" w:customStyle="1" w:styleId="CommentTextChar">
    <w:name w:val="Comment Text Char"/>
    <w:basedOn w:val="DefaultParagraphFont"/>
    <w:link w:val="CommentText"/>
    <w:uiPriority w:val="99"/>
    <w:rPr>
      <w:rFonts w:eastAsiaTheme="minorEastAsia"/>
      <w:sz w:val="20"/>
      <w:szCs w:val="20"/>
      <w:lang w:eastAsia="en-GB"/>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nhideWhenUsed/>
    <w:qFormat/>
    <w:pPr>
      <w:spacing w:after="0" w:line="240" w:lineRule="auto"/>
    </w:pPr>
    <w:rPr>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rPr>
      <w:sz w:val="20"/>
      <w:szCs w:val="20"/>
    </w:rPr>
  </w:style>
  <w:style w:type="character" w:styleId="FootnoteReference">
    <w:name w:val="footnote reference"/>
    <w:aliases w:val="number,SUPERS,Footnote Reference Superscript,Footnote number,-E Fußnotenzeichen,EN Footnote Reference,-E Fuﬂnotenzeichen,-E Fuûnotenzeichen,stylish,Footnote symbol,(Footnote Reference),Footnote reference number,note TESI,BVI fnr,fr,o"/>
    <w:basedOn w:val="DefaultParagraphFont"/>
    <w:link w:val="FootnotesymbolCarZchn"/>
    <w:uiPriority w:val="99"/>
    <w:unhideWhenUsed/>
    <w:qFormat/>
    <w:rPr>
      <w:vertAlign w:val="superscript"/>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CommentSubject">
    <w:name w:val="annotation subject"/>
    <w:basedOn w:val="CommentText"/>
    <w:next w:val="CommentText"/>
    <w:link w:val="CommentSubjectChar"/>
    <w:uiPriority w:val="99"/>
    <w:semiHidden/>
    <w:unhideWhenUsed/>
    <w:rPr>
      <w:rFonts w:eastAsiaTheme="minorHAnsi"/>
      <w:b/>
      <w:bCs/>
      <w:lang w:eastAsia="en-US"/>
    </w:rPr>
  </w:style>
  <w:style w:type="character" w:customStyle="1" w:styleId="CommentSubjectChar">
    <w:name w:val="Comment Subject Char"/>
    <w:basedOn w:val="CommentTextChar"/>
    <w:link w:val="CommentSubject"/>
    <w:uiPriority w:val="99"/>
    <w:semiHidden/>
    <w:rPr>
      <w:rFonts w:eastAsiaTheme="minorEastAsia"/>
      <w:b/>
      <w:bCs/>
      <w:sz w:val="20"/>
      <w:szCs w:val="20"/>
      <w:lang w:eastAsia="en-GB"/>
    </w:rPr>
  </w:style>
  <w:style w:type="paragraph" w:styleId="Revision">
    <w:name w:val="Revision"/>
    <w:hidden/>
    <w:uiPriority w:val="99"/>
    <w:semiHidden/>
    <w:pPr>
      <w:spacing w:after="0" w:line="240" w:lineRule="auto"/>
    </w:pPr>
  </w:style>
  <w:style w:type="paragraph" w:styleId="BodyText2">
    <w:name w:val="Body Text 2"/>
    <w:basedOn w:val="Normal"/>
    <w:link w:val="BodyText2Char"/>
    <w:pPr>
      <w:spacing w:after="120" w:line="480" w:lineRule="auto"/>
      <w:jc w:val="both"/>
    </w:pPr>
    <w:rPr>
      <w:rFonts w:ascii="Times New Roman" w:eastAsia="Times New Roman" w:hAnsi="Times New Roman" w:cs="Times New Roman"/>
      <w:sz w:val="24"/>
      <w:szCs w:val="20"/>
    </w:rPr>
  </w:style>
  <w:style w:type="character" w:customStyle="1" w:styleId="BodyText2Char">
    <w:name w:val="Body Text 2 Char"/>
    <w:basedOn w:val="DefaultParagraphFont"/>
    <w:link w:val="BodyText2"/>
    <w:rPr>
      <w:rFonts w:ascii="Times New Roman" w:eastAsia="Times New Roman" w:hAnsi="Times New Roman" w:cs="Times New Roman"/>
      <w:sz w:val="24"/>
      <w:szCs w:val="20"/>
    </w:rPr>
  </w:style>
  <w:style w:type="paragraph" w:styleId="ListBullet4">
    <w:name w:val="List Bullet 4"/>
    <w:basedOn w:val="Normal"/>
    <w:pPr>
      <w:numPr>
        <w:numId w:val="10"/>
      </w:numPr>
      <w:spacing w:after="240" w:line="240" w:lineRule="auto"/>
      <w:jc w:val="both"/>
    </w:pPr>
    <w:rPr>
      <w:rFonts w:ascii="Times New Roman" w:eastAsia="Times New Roman" w:hAnsi="Times New Roman" w:cs="Times New Roman"/>
      <w:sz w:val="24"/>
      <w:szCs w:val="20"/>
    </w:rPr>
  </w:style>
  <w:style w:type="character" w:styleId="Strong">
    <w:name w:val="Strong"/>
    <w:basedOn w:val="DefaultParagraphFont"/>
    <w:uiPriority w:val="22"/>
    <w:qFormat/>
    <w:rPr>
      <w:b/>
      <w:bCs/>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semiHidden/>
    <w:unhideWhenUsed/>
    <w:rPr>
      <w:color w:val="0000FF" w:themeColor="hyperlink"/>
      <w:u w:val="single"/>
    </w:rPr>
  </w:style>
  <w:style w:type="character" w:customStyle="1" w:styleId="ListParagraphChar">
    <w:name w:val="List Paragraph Char"/>
    <w:aliases w:val="Yellow Bullet Char,Normal bullet 2 Char,Table/Figure Heading Char,Listeafsnit Char,Dot pt Char,No Spacing1 Char,List Paragraph Char Char Char Char,Indicator Text Char,Numbered Para 1 Char,List Paragraph1 Char,Bullet Points Char"/>
    <w:link w:val="ListParagraph"/>
    <w:uiPriority w:val="34"/>
    <w:qFormat/>
    <w:locked/>
  </w:style>
  <w:style w:type="paragraph" w:styleId="PlainText">
    <w:name w:val="Plain Text"/>
    <w:basedOn w:val="Normal"/>
    <w:link w:val="PlainTextChar"/>
    <w:uiPriority w:val="99"/>
    <w:semiHidden/>
    <w:unhideWhenUsed/>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Pr>
      <w:rFonts w:ascii="Consolas" w:hAnsi="Consolas"/>
      <w:sz w:val="21"/>
      <w:szCs w:val="21"/>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jc w:val="both"/>
    </w:pPr>
    <w:rPr>
      <w:vertAlign w:val="superscript"/>
    </w:rPr>
  </w:style>
  <w:style w:type="character" w:styleId="Emphasis">
    <w:name w:val="Emphasis"/>
    <w:basedOn w:val="DefaultParagraphFont"/>
    <w:uiPriority w:val="20"/>
    <w:qFormat/>
    <w:rPr>
      <w:i/>
      <w:iCs/>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ext1">
    <w:name w:val="Text 1"/>
    <w:basedOn w:val="Normal"/>
    <w:pPr>
      <w:spacing w:after="240" w:line="240" w:lineRule="auto"/>
      <w:ind w:left="482"/>
      <w:jc w:val="both"/>
    </w:pPr>
    <w:rPr>
      <w:rFonts w:ascii="Times New Roman" w:eastAsia="Times New Roman" w:hAnsi="Times New Roman" w:cs="Times New Roman"/>
      <w:sz w:val="24"/>
      <w:szCs w:val="20"/>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szCs w:val="24"/>
    </w:rPr>
  </w:style>
  <w:style w:type="character" w:customStyle="1" w:styleId="FooterCoverPageChar">
    <w:name w:val="Footer Cover Page Char"/>
    <w:basedOn w:val="DefaultParagraphFont"/>
    <w:link w:val="FooterCoverPage"/>
    <w:rPr>
      <w:rFonts w:ascii="Times New Roman" w:hAnsi="Times New Roman" w:cs="Times New Roman"/>
      <w:sz w:val="24"/>
      <w:szCs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szCs w:val="24"/>
    </w:rPr>
  </w:style>
  <w:style w:type="character" w:customStyle="1" w:styleId="HeaderCoverPageChar">
    <w:name w:val="Header Cover Page Char"/>
    <w:basedOn w:val="DefaultParagraphFont"/>
    <w:link w:val="HeaderCoverPag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919070">
      <w:bodyDiv w:val="1"/>
      <w:marLeft w:val="0"/>
      <w:marRight w:val="0"/>
      <w:marTop w:val="0"/>
      <w:marBottom w:val="0"/>
      <w:divBdr>
        <w:top w:val="none" w:sz="0" w:space="0" w:color="auto"/>
        <w:left w:val="none" w:sz="0" w:space="0" w:color="auto"/>
        <w:bottom w:val="none" w:sz="0" w:space="0" w:color="auto"/>
        <w:right w:val="none" w:sz="0" w:space="0" w:color="auto"/>
      </w:divBdr>
    </w:div>
    <w:div w:id="210045537">
      <w:bodyDiv w:val="1"/>
      <w:marLeft w:val="0"/>
      <w:marRight w:val="0"/>
      <w:marTop w:val="0"/>
      <w:marBottom w:val="0"/>
      <w:divBdr>
        <w:top w:val="none" w:sz="0" w:space="0" w:color="auto"/>
        <w:left w:val="none" w:sz="0" w:space="0" w:color="auto"/>
        <w:bottom w:val="none" w:sz="0" w:space="0" w:color="auto"/>
        <w:right w:val="none" w:sz="0" w:space="0" w:color="auto"/>
      </w:divBdr>
    </w:div>
    <w:div w:id="407700704">
      <w:bodyDiv w:val="1"/>
      <w:marLeft w:val="0"/>
      <w:marRight w:val="0"/>
      <w:marTop w:val="0"/>
      <w:marBottom w:val="0"/>
      <w:divBdr>
        <w:top w:val="none" w:sz="0" w:space="0" w:color="auto"/>
        <w:left w:val="none" w:sz="0" w:space="0" w:color="auto"/>
        <w:bottom w:val="none" w:sz="0" w:space="0" w:color="auto"/>
        <w:right w:val="none" w:sz="0" w:space="0" w:color="auto"/>
      </w:divBdr>
    </w:div>
    <w:div w:id="557254002">
      <w:bodyDiv w:val="1"/>
      <w:marLeft w:val="0"/>
      <w:marRight w:val="0"/>
      <w:marTop w:val="0"/>
      <w:marBottom w:val="0"/>
      <w:divBdr>
        <w:top w:val="none" w:sz="0" w:space="0" w:color="auto"/>
        <w:left w:val="none" w:sz="0" w:space="0" w:color="auto"/>
        <w:bottom w:val="none" w:sz="0" w:space="0" w:color="auto"/>
        <w:right w:val="none" w:sz="0" w:space="0" w:color="auto"/>
      </w:divBdr>
    </w:div>
    <w:div w:id="698777441">
      <w:bodyDiv w:val="1"/>
      <w:marLeft w:val="0"/>
      <w:marRight w:val="0"/>
      <w:marTop w:val="0"/>
      <w:marBottom w:val="0"/>
      <w:divBdr>
        <w:top w:val="none" w:sz="0" w:space="0" w:color="auto"/>
        <w:left w:val="none" w:sz="0" w:space="0" w:color="auto"/>
        <w:bottom w:val="none" w:sz="0" w:space="0" w:color="auto"/>
        <w:right w:val="none" w:sz="0" w:space="0" w:color="auto"/>
      </w:divBdr>
    </w:div>
    <w:div w:id="785349223">
      <w:bodyDiv w:val="1"/>
      <w:marLeft w:val="0"/>
      <w:marRight w:val="0"/>
      <w:marTop w:val="0"/>
      <w:marBottom w:val="0"/>
      <w:divBdr>
        <w:top w:val="none" w:sz="0" w:space="0" w:color="auto"/>
        <w:left w:val="none" w:sz="0" w:space="0" w:color="auto"/>
        <w:bottom w:val="none" w:sz="0" w:space="0" w:color="auto"/>
        <w:right w:val="none" w:sz="0" w:space="0" w:color="auto"/>
      </w:divBdr>
    </w:div>
    <w:div w:id="924538623">
      <w:bodyDiv w:val="1"/>
      <w:marLeft w:val="0"/>
      <w:marRight w:val="0"/>
      <w:marTop w:val="0"/>
      <w:marBottom w:val="0"/>
      <w:divBdr>
        <w:top w:val="none" w:sz="0" w:space="0" w:color="auto"/>
        <w:left w:val="none" w:sz="0" w:space="0" w:color="auto"/>
        <w:bottom w:val="none" w:sz="0" w:space="0" w:color="auto"/>
        <w:right w:val="none" w:sz="0" w:space="0" w:color="auto"/>
      </w:divBdr>
    </w:div>
    <w:div w:id="1001927470">
      <w:bodyDiv w:val="1"/>
      <w:marLeft w:val="0"/>
      <w:marRight w:val="0"/>
      <w:marTop w:val="0"/>
      <w:marBottom w:val="0"/>
      <w:divBdr>
        <w:top w:val="none" w:sz="0" w:space="0" w:color="auto"/>
        <w:left w:val="none" w:sz="0" w:space="0" w:color="auto"/>
        <w:bottom w:val="none" w:sz="0" w:space="0" w:color="auto"/>
        <w:right w:val="none" w:sz="0" w:space="0" w:color="auto"/>
      </w:divBdr>
    </w:div>
    <w:div w:id="1010184035">
      <w:bodyDiv w:val="1"/>
      <w:marLeft w:val="0"/>
      <w:marRight w:val="0"/>
      <w:marTop w:val="0"/>
      <w:marBottom w:val="0"/>
      <w:divBdr>
        <w:top w:val="none" w:sz="0" w:space="0" w:color="auto"/>
        <w:left w:val="none" w:sz="0" w:space="0" w:color="auto"/>
        <w:bottom w:val="none" w:sz="0" w:space="0" w:color="auto"/>
        <w:right w:val="none" w:sz="0" w:space="0" w:color="auto"/>
      </w:divBdr>
    </w:div>
    <w:div w:id="1240363320">
      <w:bodyDiv w:val="1"/>
      <w:marLeft w:val="0"/>
      <w:marRight w:val="0"/>
      <w:marTop w:val="0"/>
      <w:marBottom w:val="0"/>
      <w:divBdr>
        <w:top w:val="none" w:sz="0" w:space="0" w:color="auto"/>
        <w:left w:val="none" w:sz="0" w:space="0" w:color="auto"/>
        <w:bottom w:val="none" w:sz="0" w:space="0" w:color="auto"/>
        <w:right w:val="none" w:sz="0" w:space="0" w:color="auto"/>
      </w:divBdr>
    </w:div>
    <w:div w:id="1268929192">
      <w:bodyDiv w:val="1"/>
      <w:marLeft w:val="0"/>
      <w:marRight w:val="0"/>
      <w:marTop w:val="0"/>
      <w:marBottom w:val="0"/>
      <w:divBdr>
        <w:top w:val="none" w:sz="0" w:space="0" w:color="auto"/>
        <w:left w:val="none" w:sz="0" w:space="0" w:color="auto"/>
        <w:bottom w:val="none" w:sz="0" w:space="0" w:color="auto"/>
        <w:right w:val="none" w:sz="0" w:space="0" w:color="auto"/>
      </w:divBdr>
    </w:div>
    <w:div w:id="1399476629">
      <w:bodyDiv w:val="1"/>
      <w:marLeft w:val="0"/>
      <w:marRight w:val="0"/>
      <w:marTop w:val="0"/>
      <w:marBottom w:val="0"/>
      <w:divBdr>
        <w:top w:val="none" w:sz="0" w:space="0" w:color="auto"/>
        <w:left w:val="none" w:sz="0" w:space="0" w:color="auto"/>
        <w:bottom w:val="none" w:sz="0" w:space="0" w:color="auto"/>
        <w:right w:val="none" w:sz="0" w:space="0" w:color="auto"/>
      </w:divBdr>
    </w:div>
    <w:div w:id="1409112922">
      <w:bodyDiv w:val="1"/>
      <w:marLeft w:val="0"/>
      <w:marRight w:val="0"/>
      <w:marTop w:val="0"/>
      <w:marBottom w:val="0"/>
      <w:divBdr>
        <w:top w:val="none" w:sz="0" w:space="0" w:color="auto"/>
        <w:left w:val="none" w:sz="0" w:space="0" w:color="auto"/>
        <w:bottom w:val="none" w:sz="0" w:space="0" w:color="auto"/>
        <w:right w:val="none" w:sz="0" w:space="0" w:color="auto"/>
      </w:divBdr>
    </w:div>
    <w:div w:id="1430080723">
      <w:bodyDiv w:val="1"/>
      <w:marLeft w:val="0"/>
      <w:marRight w:val="0"/>
      <w:marTop w:val="0"/>
      <w:marBottom w:val="0"/>
      <w:divBdr>
        <w:top w:val="none" w:sz="0" w:space="0" w:color="auto"/>
        <w:left w:val="none" w:sz="0" w:space="0" w:color="auto"/>
        <w:bottom w:val="none" w:sz="0" w:space="0" w:color="auto"/>
        <w:right w:val="none" w:sz="0" w:space="0" w:color="auto"/>
      </w:divBdr>
    </w:div>
    <w:div w:id="1570533529">
      <w:bodyDiv w:val="1"/>
      <w:marLeft w:val="0"/>
      <w:marRight w:val="0"/>
      <w:marTop w:val="0"/>
      <w:marBottom w:val="0"/>
      <w:divBdr>
        <w:top w:val="none" w:sz="0" w:space="0" w:color="auto"/>
        <w:left w:val="none" w:sz="0" w:space="0" w:color="auto"/>
        <w:bottom w:val="none" w:sz="0" w:space="0" w:color="auto"/>
        <w:right w:val="none" w:sz="0" w:space="0" w:color="auto"/>
      </w:divBdr>
    </w:div>
    <w:div w:id="1637950779">
      <w:bodyDiv w:val="1"/>
      <w:marLeft w:val="0"/>
      <w:marRight w:val="0"/>
      <w:marTop w:val="0"/>
      <w:marBottom w:val="0"/>
      <w:divBdr>
        <w:top w:val="none" w:sz="0" w:space="0" w:color="auto"/>
        <w:left w:val="none" w:sz="0" w:space="0" w:color="auto"/>
        <w:bottom w:val="none" w:sz="0" w:space="0" w:color="auto"/>
        <w:right w:val="none" w:sz="0" w:space="0" w:color="auto"/>
      </w:divBdr>
      <w:divsChild>
        <w:div w:id="149907572">
          <w:marLeft w:val="0"/>
          <w:marRight w:val="0"/>
          <w:marTop w:val="0"/>
          <w:marBottom w:val="0"/>
          <w:divBdr>
            <w:top w:val="none" w:sz="0" w:space="0" w:color="auto"/>
            <w:left w:val="none" w:sz="0" w:space="0" w:color="auto"/>
            <w:bottom w:val="none" w:sz="0" w:space="0" w:color="auto"/>
            <w:right w:val="none" w:sz="0" w:space="0" w:color="auto"/>
          </w:divBdr>
          <w:divsChild>
            <w:div w:id="414136704">
              <w:marLeft w:val="0"/>
              <w:marRight w:val="0"/>
              <w:marTop w:val="0"/>
              <w:marBottom w:val="0"/>
              <w:divBdr>
                <w:top w:val="none" w:sz="0" w:space="0" w:color="auto"/>
                <w:left w:val="none" w:sz="0" w:space="0" w:color="auto"/>
                <w:bottom w:val="none" w:sz="0" w:space="0" w:color="auto"/>
                <w:right w:val="none" w:sz="0" w:space="0" w:color="auto"/>
              </w:divBdr>
              <w:divsChild>
                <w:div w:id="2144419605">
                  <w:marLeft w:val="0"/>
                  <w:marRight w:val="0"/>
                  <w:marTop w:val="0"/>
                  <w:marBottom w:val="0"/>
                  <w:divBdr>
                    <w:top w:val="none" w:sz="0" w:space="0" w:color="auto"/>
                    <w:left w:val="none" w:sz="0" w:space="0" w:color="auto"/>
                    <w:bottom w:val="none" w:sz="0" w:space="0" w:color="auto"/>
                    <w:right w:val="none" w:sz="0" w:space="0" w:color="auto"/>
                  </w:divBdr>
                  <w:divsChild>
                    <w:div w:id="1112212293">
                      <w:marLeft w:val="0"/>
                      <w:marRight w:val="0"/>
                      <w:marTop w:val="0"/>
                      <w:marBottom w:val="0"/>
                      <w:divBdr>
                        <w:top w:val="none" w:sz="0" w:space="0" w:color="auto"/>
                        <w:left w:val="none" w:sz="0" w:space="0" w:color="auto"/>
                        <w:bottom w:val="none" w:sz="0" w:space="0" w:color="auto"/>
                        <w:right w:val="none" w:sz="0" w:space="0" w:color="auto"/>
                      </w:divBdr>
                      <w:divsChild>
                        <w:div w:id="1103693703">
                          <w:marLeft w:val="0"/>
                          <w:marRight w:val="0"/>
                          <w:marTop w:val="0"/>
                          <w:marBottom w:val="0"/>
                          <w:divBdr>
                            <w:top w:val="none" w:sz="0" w:space="0" w:color="auto"/>
                            <w:left w:val="none" w:sz="0" w:space="0" w:color="auto"/>
                            <w:bottom w:val="none" w:sz="0" w:space="0" w:color="auto"/>
                            <w:right w:val="none" w:sz="0" w:space="0" w:color="auto"/>
                          </w:divBdr>
                          <w:divsChild>
                            <w:div w:id="1065106007">
                              <w:marLeft w:val="0"/>
                              <w:marRight w:val="0"/>
                              <w:marTop w:val="0"/>
                              <w:marBottom w:val="0"/>
                              <w:divBdr>
                                <w:top w:val="none" w:sz="0" w:space="0" w:color="auto"/>
                                <w:left w:val="none" w:sz="0" w:space="0" w:color="auto"/>
                                <w:bottom w:val="none" w:sz="0" w:space="0" w:color="auto"/>
                                <w:right w:val="none" w:sz="0" w:space="0" w:color="auto"/>
                              </w:divBdr>
                              <w:divsChild>
                                <w:div w:id="932126704">
                                  <w:marLeft w:val="0"/>
                                  <w:marRight w:val="0"/>
                                  <w:marTop w:val="0"/>
                                  <w:marBottom w:val="0"/>
                                  <w:divBdr>
                                    <w:top w:val="none" w:sz="0" w:space="0" w:color="auto"/>
                                    <w:left w:val="none" w:sz="0" w:space="0" w:color="auto"/>
                                    <w:bottom w:val="none" w:sz="0" w:space="0" w:color="auto"/>
                                    <w:right w:val="none" w:sz="0" w:space="0" w:color="auto"/>
                                  </w:divBdr>
                                  <w:divsChild>
                                    <w:div w:id="52509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4254396">
      <w:bodyDiv w:val="1"/>
      <w:marLeft w:val="0"/>
      <w:marRight w:val="0"/>
      <w:marTop w:val="0"/>
      <w:marBottom w:val="0"/>
      <w:divBdr>
        <w:top w:val="none" w:sz="0" w:space="0" w:color="auto"/>
        <w:left w:val="none" w:sz="0" w:space="0" w:color="auto"/>
        <w:bottom w:val="none" w:sz="0" w:space="0" w:color="auto"/>
        <w:right w:val="none" w:sz="0" w:space="0" w:color="auto"/>
      </w:divBdr>
    </w:div>
    <w:div w:id="1769539414">
      <w:bodyDiv w:val="1"/>
      <w:marLeft w:val="0"/>
      <w:marRight w:val="0"/>
      <w:marTop w:val="0"/>
      <w:marBottom w:val="0"/>
      <w:divBdr>
        <w:top w:val="none" w:sz="0" w:space="0" w:color="auto"/>
        <w:left w:val="none" w:sz="0" w:space="0" w:color="auto"/>
        <w:bottom w:val="none" w:sz="0" w:space="0" w:color="auto"/>
        <w:right w:val="none" w:sz="0" w:space="0" w:color="auto"/>
      </w:divBdr>
    </w:div>
    <w:div w:id="1782263712">
      <w:bodyDiv w:val="1"/>
      <w:marLeft w:val="0"/>
      <w:marRight w:val="0"/>
      <w:marTop w:val="0"/>
      <w:marBottom w:val="0"/>
      <w:divBdr>
        <w:top w:val="none" w:sz="0" w:space="0" w:color="auto"/>
        <w:left w:val="none" w:sz="0" w:space="0" w:color="auto"/>
        <w:bottom w:val="none" w:sz="0" w:space="0" w:color="auto"/>
        <w:right w:val="none" w:sz="0" w:space="0" w:color="auto"/>
      </w:divBdr>
    </w:div>
    <w:div w:id="1984650160">
      <w:bodyDiv w:val="1"/>
      <w:marLeft w:val="0"/>
      <w:marRight w:val="0"/>
      <w:marTop w:val="0"/>
      <w:marBottom w:val="0"/>
      <w:divBdr>
        <w:top w:val="none" w:sz="0" w:space="0" w:color="auto"/>
        <w:left w:val="none" w:sz="0" w:space="0" w:color="auto"/>
        <w:bottom w:val="none" w:sz="0" w:space="0" w:color="auto"/>
        <w:right w:val="none" w:sz="0" w:space="0" w:color="auto"/>
      </w:divBdr>
    </w:div>
    <w:div w:id="2014333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99CE2A-41B5-44AD-870C-8ADC1CAD18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3509</Words>
  <Characters>19864</Characters>
  <Application>Microsoft Office Word</Application>
  <DocSecurity>0</DocSecurity>
  <Lines>283</Lines>
  <Paragraphs>57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23316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2016-07-19T13:54:00Z</dcterms:created>
  <dcterms:modified xsi:type="dcterms:W3CDTF">2016-07-20T14:39:00Z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ies>
</file>