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A59" w:rsidRDefault="00A919D9" w:rsidP="00A919D9">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A927A21A6B248E084748B47F06157EF" style="width:450.75pt;height:334.5pt">
            <v:imagedata r:id="rId10" o:title=""/>
          </v:shape>
        </w:pict>
      </w:r>
    </w:p>
    <w:bookmarkEnd w:id="0"/>
    <w:p w:rsidR="00D65A59" w:rsidRDefault="00D65A59">
      <w:pPr>
        <w:rPr>
          <w:noProof/>
        </w:rPr>
        <w:sectPr w:rsidR="00D65A59" w:rsidSect="00A919D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60"/>
        </w:sectPr>
      </w:pPr>
    </w:p>
    <w:p w:rsidR="00D65A59" w:rsidRDefault="00A919D9">
      <w:pPr>
        <w:spacing w:line="240" w:lineRule="auto"/>
        <w:jc w:val="both"/>
        <w:rPr>
          <w:rFonts w:ascii="Times New Roman" w:hAnsi="Times New Roman" w:cs="Times New Roman"/>
          <w:b/>
          <w:noProof/>
          <w:sz w:val="24"/>
          <w:szCs w:val="24"/>
          <w:u w:val="single"/>
        </w:rPr>
      </w:pPr>
      <w:bookmarkStart w:id="1" w:name="_GoBack"/>
      <w:bookmarkEnd w:id="1"/>
      <w:r>
        <w:rPr>
          <w:rFonts w:ascii="Times New Roman" w:hAnsi="Times New Roman"/>
          <w:b/>
          <w:noProof/>
          <w:sz w:val="24"/>
          <w:u w:val="single"/>
        </w:rPr>
        <w:lastRenderedPageBreak/>
        <w:t>Introducere</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 xml:space="preserve">Uniunea piețelor de capital (UPC), care face parte din al treilea pilon al Planului de </w:t>
      </w:r>
      <w:r>
        <w:rPr>
          <w:rFonts w:ascii="Times New Roman" w:hAnsi="Times New Roman"/>
          <w:b/>
          <w:noProof/>
          <w:sz w:val="24"/>
        </w:rPr>
        <w:t>investiții pentru Europa al Comisiei, este esențială pentru realizarea priorității Comisiei Juncker de a stimula crearea de locuri de muncă, inclusiv pentru tineri, și creșterea economică</w:t>
      </w:r>
      <w:r>
        <w:rPr>
          <w:rFonts w:ascii="Times New Roman" w:hAnsi="Times New Roman"/>
          <w:noProof/>
          <w:sz w:val="24"/>
        </w:rPr>
        <w:t>. Prin crearea UPC se urmărește să se stabilească o legătură mai strâ</w:t>
      </w:r>
      <w:r>
        <w:rPr>
          <w:rFonts w:ascii="Times New Roman" w:hAnsi="Times New Roman"/>
          <w:noProof/>
          <w:sz w:val="24"/>
        </w:rPr>
        <w:t>nsă între economii și investiții și să se consolideze sistemul financiar european prin creșterea gradului de partajare a riscurilor de către sectorul privat, oferirea unor surse alternative de finanțare și diversificarea opțiunilor în materie de investiții</w:t>
      </w:r>
      <w:r>
        <w:rPr>
          <w:rFonts w:ascii="Times New Roman" w:hAnsi="Times New Roman"/>
          <w:noProof/>
          <w:sz w:val="24"/>
        </w:rPr>
        <w:t xml:space="preserve"> aflate la dispoziția investitorilor individuali și instituționali. Eliminarea obstacolelor din calea liberei circulații transfrontaliere a capitalurilor va consolida uniunea economică și monetară prin sprijinirea convergenței economice și prin contribuția</w:t>
      </w:r>
      <w:r>
        <w:rPr>
          <w:rFonts w:ascii="Times New Roman" w:hAnsi="Times New Roman"/>
          <w:noProof/>
          <w:sz w:val="24"/>
        </w:rPr>
        <w:t xml:space="preserve"> la atenuarea șocurilor economice în zona euro și în afara acesteia, economia europeană devenind astfel mai rezilientă. Acest lucru este cu atât mai important în actualul mediu economic.</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În Planul de acțiune privind UPC din septembrie 2015</w:t>
      </w:r>
      <w:r>
        <w:rPr>
          <w:rStyle w:val="FootnoteReference"/>
          <w:rFonts w:ascii="Times New Roman" w:hAnsi="Times New Roman"/>
          <w:b/>
          <w:noProof/>
          <w:sz w:val="24"/>
        </w:rPr>
        <w:footnoteReference w:id="2"/>
      </w:r>
      <w:r>
        <w:rPr>
          <w:rFonts w:ascii="Times New Roman" w:hAnsi="Times New Roman"/>
          <w:b/>
          <w:noProof/>
          <w:sz w:val="24"/>
        </w:rPr>
        <w:t xml:space="preserve"> a fost inclus u</w:t>
      </w:r>
      <w:r>
        <w:rPr>
          <w:rFonts w:ascii="Times New Roman" w:hAnsi="Times New Roman"/>
          <w:b/>
          <w:noProof/>
          <w:sz w:val="24"/>
        </w:rPr>
        <w:t xml:space="preserve">n program amplu de măsuri care vizează punerea în aplicare a elementelor de bază ale UPC până în 2019, planul fiind puternic susținut de Parlamentul European, de Consiliu și de părțile interesate. </w:t>
      </w:r>
      <w:r>
        <w:rPr>
          <w:rFonts w:ascii="Times New Roman" w:hAnsi="Times New Roman"/>
          <w:noProof/>
          <w:sz w:val="24"/>
        </w:rPr>
        <w:t>Împreună cu strategia privind piața unică și strategia priv</w:t>
      </w:r>
      <w:r>
        <w:rPr>
          <w:rFonts w:ascii="Times New Roman" w:hAnsi="Times New Roman"/>
          <w:noProof/>
          <w:sz w:val="24"/>
        </w:rPr>
        <w:t>ind piața unică digitală, acest plan reprezintă punctul central al agendei de reformă europene pentru o piață unică aprofundată și mai echitabilă</w:t>
      </w:r>
      <w:r>
        <w:rPr>
          <w:rStyle w:val="FootnoteReference"/>
          <w:rFonts w:ascii="Times New Roman" w:hAnsi="Times New Roman"/>
          <w:noProof/>
          <w:sz w:val="24"/>
        </w:rPr>
        <w:footnoteReference w:id="3"/>
      </w:r>
      <w:r>
        <w:rPr>
          <w:rFonts w:ascii="Times New Roman" w:hAnsi="Times New Roman"/>
          <w:noProof/>
          <w:sz w:val="24"/>
        </w:rPr>
        <w:t>. În contextul politic și economic actual, consolidarea piețelor de capital din UE este cu atât mai importantă</w:t>
      </w:r>
      <w:r>
        <w:rPr>
          <w:rFonts w:ascii="Times New Roman" w:hAnsi="Times New Roman"/>
          <w:noProof/>
          <w:sz w:val="24"/>
        </w:rPr>
        <w:t>.</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Prin urmare, este esențial să se stimuleze punerea în aplicare a planului de acțiune și să se accelereze procesul de reformă</w:t>
      </w:r>
      <w:r>
        <w:rPr>
          <w:rFonts w:ascii="Times New Roman" w:hAnsi="Times New Roman"/>
          <w:noProof/>
          <w:sz w:val="24"/>
        </w:rPr>
        <w:t>. Consiliul European din 28 iunie 2016 a făcut apel la „asigurarea unui acces mai ușor la finanțare pentru întreprinderi și spriji</w:t>
      </w:r>
      <w:r>
        <w:rPr>
          <w:rFonts w:ascii="Times New Roman" w:hAnsi="Times New Roman"/>
          <w:noProof/>
          <w:sz w:val="24"/>
        </w:rPr>
        <w:t>nirea investițiilor în economia reală prin înregistrarea de progrese în ceea ce privește agenda uniunii piețelor de capital”.</w:t>
      </w:r>
      <w:r>
        <w:rPr>
          <w:rStyle w:val="FootnoteReference"/>
          <w:rFonts w:ascii="Times New Roman" w:hAnsi="Times New Roman"/>
          <w:noProof/>
          <w:sz w:val="24"/>
        </w:rPr>
        <w:footnoteReference w:id="4"/>
      </w:r>
      <w:r>
        <w:rPr>
          <w:rFonts w:ascii="Times New Roman" w:hAnsi="Times New Roman"/>
          <w:noProof/>
          <w:sz w:val="24"/>
        </w:rPr>
        <w:t xml:space="preserve"> La un an după lansarea Planului de acțiune privind UPC, este important să se finalizeze rapid primul val de inițiative legate de </w:t>
      </w:r>
      <w:r>
        <w:rPr>
          <w:rFonts w:ascii="Times New Roman" w:hAnsi="Times New Roman"/>
          <w:noProof/>
          <w:sz w:val="24"/>
        </w:rPr>
        <w:t>UPC astfel încât efectul acestuia să fie cât mai curând vizibil în economie. De asemenea, este important să se progreseze rapid în direcția adoptării viitoarelor propuneri legislative. În sfârșit, evoluțiile economice și tehnologice, cum ar fi creșterea ra</w:t>
      </w:r>
      <w:r>
        <w:rPr>
          <w:rFonts w:ascii="Times New Roman" w:hAnsi="Times New Roman"/>
          <w:noProof/>
          <w:sz w:val="24"/>
        </w:rPr>
        <w:t>pidă a tehnologiei financiare sau nevoia de a asigura o mai mare sustenabilitate fiscală, pot transforma piețele de capital ale UE. Ținând seama de contextul politic în schimbare, Comisia se concentrează și asupra celorlalte domenii prioritare necesare pen</w:t>
      </w:r>
      <w:r>
        <w:rPr>
          <w:rFonts w:ascii="Times New Roman" w:hAnsi="Times New Roman"/>
          <w:noProof/>
          <w:sz w:val="24"/>
        </w:rPr>
        <w:t>tru finalizarea UPC și va efectua o evaluare la jumătatea perioadei, în 2017.</w:t>
      </w:r>
    </w:p>
    <w:p w:rsidR="00D65A59" w:rsidRDefault="00A919D9">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1) Finalizarea primelor măsuri legate de CMU</w:t>
      </w:r>
    </w:p>
    <w:p w:rsidR="00D65A59" w:rsidRDefault="00A919D9">
      <w:pPr>
        <w:spacing w:line="240" w:lineRule="auto"/>
        <w:jc w:val="both"/>
        <w:rPr>
          <w:rFonts w:ascii="Times New Roman" w:hAnsi="Times New Roman" w:cs="Times New Roman"/>
          <w:b/>
          <w:noProof/>
          <w:sz w:val="24"/>
          <w:szCs w:val="24"/>
        </w:rPr>
      </w:pPr>
      <w:r>
        <w:rPr>
          <w:rFonts w:ascii="Times New Roman" w:hAnsi="Times New Roman"/>
          <w:b/>
          <w:noProof/>
          <w:sz w:val="24"/>
        </w:rPr>
        <w:t xml:space="preserve">Finalizarea primelor măsuri este esențială pentru ca UPC să aibă un impact concret în economie. </w:t>
      </w:r>
      <w:r>
        <w:rPr>
          <w:rFonts w:ascii="Times New Roman" w:hAnsi="Times New Roman"/>
          <w:noProof/>
          <w:sz w:val="24"/>
        </w:rPr>
        <w:t xml:space="preserve">Consiliul European din 28 iunie 2016 </w:t>
      </w:r>
      <w:r>
        <w:rPr>
          <w:rFonts w:ascii="Times New Roman" w:hAnsi="Times New Roman"/>
          <w:noProof/>
          <w:sz w:val="24"/>
        </w:rPr>
        <w:t>a solicitat ajungerea la un acord până la finele anului 2016 cu privire la propunerea privind securitizarea simplă, transparentă și standardizată (STS)</w:t>
      </w:r>
      <w:r>
        <w:rPr>
          <w:rStyle w:val="FootnoteReference"/>
          <w:rFonts w:ascii="Times New Roman" w:hAnsi="Times New Roman"/>
          <w:noProof/>
          <w:sz w:val="24"/>
        </w:rPr>
        <w:footnoteReference w:id="5"/>
      </w:r>
      <w:r>
        <w:rPr>
          <w:rFonts w:ascii="Times New Roman" w:hAnsi="Times New Roman"/>
          <w:noProof/>
          <w:sz w:val="24"/>
        </w:rPr>
        <w:t>, astfel încât să se degreveze bilanțurile băncilor și să se ofere oportunități de investiții investitor</w:t>
      </w:r>
      <w:r>
        <w:rPr>
          <w:rFonts w:ascii="Times New Roman" w:hAnsi="Times New Roman"/>
          <w:noProof/>
          <w:sz w:val="24"/>
        </w:rPr>
        <w:t xml:space="preserve">ilor pe termen lung, și cu privire la propunerea de simplificare a </w:t>
      </w:r>
      <w:r>
        <w:rPr>
          <w:rFonts w:ascii="Times New Roman" w:hAnsi="Times New Roman"/>
          <w:noProof/>
          <w:sz w:val="24"/>
        </w:rPr>
        <w:lastRenderedPageBreak/>
        <w:t xml:space="preserve">normelor privind prospectul, pentru a se facilita accesul întreprinderilor la investiții pe piețele de capital. </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Punerea în aplicare rapidă a pachetului privind securitizarea are potențialu</w:t>
      </w:r>
      <w:r>
        <w:rPr>
          <w:rFonts w:ascii="Times New Roman" w:hAnsi="Times New Roman"/>
          <w:b/>
          <w:noProof/>
          <w:sz w:val="24"/>
        </w:rPr>
        <w:t xml:space="preserve">l de a genera în mod rapid fonduri suplimentare în economia reală. </w:t>
      </w:r>
      <w:r>
        <w:rPr>
          <w:rFonts w:ascii="Times New Roman" w:hAnsi="Times New Roman"/>
          <w:noProof/>
          <w:sz w:val="24"/>
        </w:rPr>
        <w:t>Stabilirea unor cerințe de capital mai sensibile la risc pentru securitizările STS va contribui la consolidarea încrederii în piață și la degrevarea bilanțurilor contabile ale băncilor, car</w:t>
      </w:r>
      <w:r>
        <w:rPr>
          <w:rFonts w:ascii="Times New Roman" w:hAnsi="Times New Roman"/>
          <w:noProof/>
          <w:sz w:val="24"/>
        </w:rPr>
        <w:t>e vor putea astfel oferi finanțări suplimentare. Dacă securitizările din UE ar putea fi relansate - în condiții de siguranță - la nivelurile medii din perioada anterioară crizei, s-ar putea furniza o finanțare suplimentară în economie în valoare de peste 1</w:t>
      </w:r>
      <w:r>
        <w:rPr>
          <w:rFonts w:ascii="Times New Roman" w:hAnsi="Times New Roman"/>
          <w:noProof/>
          <w:sz w:val="24"/>
        </w:rPr>
        <w:t xml:space="preserve">00 de miliarde EUR, asigurându-se în același timp consolidarea stabilității financiare. Consiliul a adoptat deja o abordare generală și în prezent Parlamentul European este cel care ar trebui să înregistreze de urgență progrese în această privință. </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Modern</w:t>
      </w:r>
      <w:r>
        <w:rPr>
          <w:rFonts w:ascii="Times New Roman" w:hAnsi="Times New Roman"/>
          <w:b/>
          <w:noProof/>
          <w:sz w:val="24"/>
        </w:rPr>
        <w:t>izarea normelor privind prospectul</w:t>
      </w:r>
      <w:r>
        <w:rPr>
          <w:rStyle w:val="FootnoteReference"/>
          <w:rFonts w:ascii="Times New Roman" w:hAnsi="Times New Roman"/>
          <w:b/>
          <w:noProof/>
          <w:sz w:val="24"/>
        </w:rPr>
        <w:footnoteReference w:id="6"/>
      </w:r>
      <w:r>
        <w:rPr>
          <w:rFonts w:ascii="Times New Roman" w:hAnsi="Times New Roman"/>
          <w:b/>
          <w:noProof/>
          <w:sz w:val="24"/>
        </w:rPr>
        <w:t xml:space="preserve"> va îmbunătăți accesul la piețele de capital, în special pentru întreprinderile mici. </w:t>
      </w:r>
      <w:r>
        <w:rPr>
          <w:rFonts w:ascii="Times New Roman" w:hAnsi="Times New Roman"/>
          <w:noProof/>
          <w:sz w:val="24"/>
        </w:rPr>
        <w:t>Prospectul reprezintă punctul de acces la piețele de capital ale UE. Acesta trebuie să fie simplu de obținut, clar pentru investitori ș</w:t>
      </w:r>
      <w:r>
        <w:rPr>
          <w:rFonts w:ascii="Times New Roman" w:hAnsi="Times New Roman"/>
          <w:noProof/>
          <w:sz w:val="24"/>
        </w:rPr>
        <w:t>i aprobat rapid. Noile norme privind prospectul ar trebui să contribuie la crearea unor oportunități de finanțare mai numeroase și mai puțin costisitoare pentru întreprinderi. Acestea trebuie să fie puse în aplicare cât mai rapid posibil. Comisia va depune</w:t>
      </w:r>
      <w:r>
        <w:rPr>
          <w:rFonts w:ascii="Times New Roman" w:hAnsi="Times New Roman"/>
          <w:noProof/>
          <w:sz w:val="24"/>
        </w:rPr>
        <w:t xml:space="preserve"> toate eforturile pentru a sprijini colegislatorii să ajungă la un acord înainte de sfârșitul anului.</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Măsurile de consolidare a piețelor de capital de risc vor facilita accesul întreprinderilor mijlocii inovatoare la finanțare.</w:t>
      </w:r>
      <w:r>
        <w:rPr>
          <w:rFonts w:ascii="Times New Roman" w:hAnsi="Times New Roman"/>
          <w:noProof/>
          <w:sz w:val="24"/>
        </w:rPr>
        <w:t xml:space="preserve"> În cadrul celui de al treile</w:t>
      </w:r>
      <w:r>
        <w:rPr>
          <w:rFonts w:ascii="Times New Roman" w:hAnsi="Times New Roman"/>
          <w:noProof/>
          <w:sz w:val="24"/>
        </w:rPr>
        <w:t>a pilon al Planului de investiții pentru Europa, Comisia a propus revizuirea Regulamentului privind fondul european cu capital de risc și a Regulamentului privind fondul european de antreprenoriat social. Propunerile vor stimula investițiile în proiecte cu</w:t>
      </w:r>
      <w:r>
        <w:rPr>
          <w:rFonts w:ascii="Times New Roman" w:hAnsi="Times New Roman"/>
          <w:noProof/>
          <w:sz w:val="24"/>
        </w:rPr>
        <w:t xml:space="preserve"> capital de risc și în proiecte sociale și vor facilita demersul investitorilor de a investi în întreprinderile mici și mijlocii inovatoare prin includerea în regulament a administratorilor de fonduri de toate dimensiunile și prin extinderea gamei de între</w:t>
      </w:r>
      <w:r>
        <w:rPr>
          <w:rFonts w:ascii="Times New Roman" w:hAnsi="Times New Roman"/>
          <w:noProof/>
          <w:sz w:val="24"/>
        </w:rPr>
        <w:t>prinderi în care se poate investi. Pentru a facilita comercializarea transfrontalieră de fonduri și pentru a reduce costurile aferente acesteia, propunerile interzic în mod explicit perceperea de taxe de către statele membre. Pentru a continua consolidarea</w:t>
      </w:r>
      <w:r>
        <w:rPr>
          <w:rFonts w:ascii="Times New Roman" w:hAnsi="Times New Roman"/>
          <w:noProof/>
          <w:sz w:val="24"/>
        </w:rPr>
        <w:t xml:space="preserve"> încrederii în piața europeană de capital de risc, Comisia invită Parlamentul European și Consiliul să finalizeze aceste propuneri până la sfârșitul anului 2016. În plus, Comisia va promova crearea unuia sau a mai multor fonduri cu capital de risc în veder</w:t>
      </w:r>
      <w:r>
        <w:rPr>
          <w:rFonts w:ascii="Times New Roman" w:hAnsi="Times New Roman"/>
          <w:noProof/>
          <w:sz w:val="24"/>
        </w:rPr>
        <w:t>ea sprijinirii investițiilor inovatoare în Europa și va continua lucrările privind alte măsuri de susținere a capitalului de risc.</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 xml:space="preserve">UPC este un proiect pentru toate statele membre. </w:t>
      </w:r>
      <w:r>
        <w:rPr>
          <w:rFonts w:ascii="Times New Roman" w:hAnsi="Times New Roman"/>
          <w:noProof/>
          <w:sz w:val="24"/>
        </w:rPr>
        <w:t>Stadiul de dezvoltare a piețelor de capital diferă de la un stat membru la a</w:t>
      </w:r>
      <w:r>
        <w:rPr>
          <w:rFonts w:ascii="Times New Roman" w:hAnsi="Times New Roman"/>
          <w:noProof/>
          <w:sz w:val="24"/>
        </w:rPr>
        <w:t>ltul, iar întreprinderile mici au nevoie de acces la finanțare prin intermediul unor canale locale eficiente și accesibile. Pentru a sprijini dezvoltarea piețelor de capital naționale și regionale, Comisia a consolidat capacitatea de a furniza asistență te</w:t>
      </w:r>
      <w:r>
        <w:rPr>
          <w:rFonts w:ascii="Times New Roman" w:hAnsi="Times New Roman"/>
          <w:noProof/>
          <w:sz w:val="24"/>
        </w:rPr>
        <w:t xml:space="preserve">hnică statelor membre, la cerere. Pentru ca primele proiecte să fie lansate la începutul anului 2017, colegislatorii trebuie să finalizeze rapid negocierile cu privire la </w:t>
      </w:r>
      <w:r>
        <w:rPr>
          <w:rFonts w:ascii="Times New Roman" w:hAnsi="Times New Roman"/>
          <w:noProof/>
          <w:sz w:val="24"/>
        </w:rPr>
        <w:lastRenderedPageBreak/>
        <w:t>Propunerea de regulament al Comisiei de instituire a Programului de sprijin pentru re</w:t>
      </w:r>
      <w:r>
        <w:rPr>
          <w:rFonts w:ascii="Times New Roman" w:hAnsi="Times New Roman"/>
          <w:noProof/>
          <w:sz w:val="24"/>
        </w:rPr>
        <w:t>forme structurale (PSRS) pentru perioada 2017</w:t>
      </w:r>
      <w:r>
        <w:rPr>
          <w:noProof/>
        </w:rPr>
        <w:softHyphen/>
      </w:r>
      <w:r>
        <w:rPr>
          <w:rFonts w:ascii="Times New Roman" w:hAnsi="Times New Roman"/>
          <w:noProof/>
          <w:sz w:val="24"/>
        </w:rPr>
        <w:t>2020</w:t>
      </w:r>
      <w:r>
        <w:rPr>
          <w:rStyle w:val="FootnoteReference"/>
          <w:rFonts w:ascii="Times New Roman" w:hAnsi="Times New Roman"/>
          <w:noProof/>
          <w:sz w:val="24"/>
        </w:rPr>
        <w:footnoteReference w:id="7"/>
      </w:r>
      <w:r>
        <w:rPr>
          <w:rFonts w:ascii="Times New Roman" w:hAnsi="Times New Roman"/>
          <w:noProof/>
          <w:sz w:val="24"/>
        </w:rPr>
        <w:t>.</w:t>
      </w:r>
    </w:p>
    <w:p w:rsidR="00D65A59" w:rsidRDefault="00A919D9">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Accelerarea realizării fazei următoare de acțiuni în vederea UPC</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Ineficiența cadrelor naționale de insolvență și diferențele existente între aceste cadre generează insecuritate juridică, obstacole în calea recuperării creanțelor de către creditori și bariere în calea restructurării eficiente a întreprinderilor viabile î</w:t>
      </w:r>
      <w:r>
        <w:rPr>
          <w:rFonts w:ascii="Times New Roman" w:hAnsi="Times New Roman"/>
          <w:b/>
          <w:noProof/>
          <w:sz w:val="24"/>
        </w:rPr>
        <w:t xml:space="preserve">n UE, inclusiv pentru grupurile transfrontaliere. </w:t>
      </w:r>
      <w:r>
        <w:rPr>
          <w:rFonts w:ascii="Times New Roman" w:hAnsi="Times New Roman"/>
          <w:noProof/>
          <w:sz w:val="24"/>
        </w:rPr>
        <w:t>Comisia va prezenta în curând o propunere privind restructurarea întreprinderilor și oferirea unei a doua șanse, aceste două elemente constituind baza unui cadru adecvat în materie de insolvență. Pentru a s</w:t>
      </w:r>
      <w:r>
        <w:rPr>
          <w:rFonts w:ascii="Times New Roman" w:hAnsi="Times New Roman"/>
          <w:noProof/>
          <w:sz w:val="24"/>
        </w:rPr>
        <w:t>e asigura un mediu de afaceri dinamic și a se promova inovarea, este crucial să se acorde antreprenorilor onești o a doua șansă după depășirea falimentului. De asemenea, Comisia efectuează o evaluare comparativă a regimurilor de executare silită a creditel</w:t>
      </w:r>
      <w:r>
        <w:rPr>
          <w:rFonts w:ascii="Times New Roman" w:hAnsi="Times New Roman"/>
          <w:noProof/>
          <w:sz w:val="24"/>
        </w:rPr>
        <w:t>or (inclusiv din perspectiva insolvenței) pentru a avea o imagine detaliată și fiabilă a situațiilor cu care se confruntă băncile în cazul împrumuturilor nerambursate, în ceea ce privește întârzierile, costurile și recuperarea creanțelor. Această analiză l</w:t>
      </w:r>
      <w:r>
        <w:rPr>
          <w:rFonts w:ascii="Times New Roman" w:hAnsi="Times New Roman"/>
          <w:noProof/>
          <w:sz w:val="24"/>
        </w:rPr>
        <w:t>e va fi utilă statelor membre în încercarea de a îmbunătăți eficiența și transparența propriilor regimuri.</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 xml:space="preserve">Regimurile de impozitare pot reprezenta obstacole în calea dezvoltării piețelor transfrontaliere de capital. </w:t>
      </w:r>
      <w:r>
        <w:rPr>
          <w:rFonts w:ascii="Times New Roman" w:hAnsi="Times New Roman"/>
          <w:noProof/>
          <w:sz w:val="24"/>
        </w:rPr>
        <w:t>Comisia ia măsuri pentru a încuraja stat</w:t>
      </w:r>
      <w:r>
        <w:rPr>
          <w:rFonts w:ascii="Times New Roman" w:hAnsi="Times New Roman"/>
          <w:noProof/>
          <w:sz w:val="24"/>
        </w:rPr>
        <w:t xml:space="preserve">ele membre să îmbunătățească procedurile de rambursare a impozitului reținut la sursă și să încurajeze cele mai bune practici în promovarea investițiilor cu capital de risc și a celor de tip „investitori providențiali” în întreprinderile nou-înființate și </w:t>
      </w:r>
      <w:r>
        <w:rPr>
          <w:rFonts w:ascii="Times New Roman" w:hAnsi="Times New Roman"/>
          <w:noProof/>
          <w:sz w:val="24"/>
        </w:rPr>
        <w:t>în cele inovatoare. Majorarea gradului de finanțare prin participare la capital, care este relativ subdezvoltat în Europa, necesită modificări ale cadrelor fiscale.</w:t>
      </w:r>
      <w:r>
        <w:rPr>
          <w:rFonts w:ascii="Times New Roman" w:hAnsi="Times New Roman"/>
          <w:b/>
          <w:noProof/>
          <w:sz w:val="24"/>
        </w:rPr>
        <w:t xml:space="preserve"> </w:t>
      </w:r>
      <w:r>
        <w:rPr>
          <w:rFonts w:ascii="Times New Roman" w:hAnsi="Times New Roman"/>
          <w:noProof/>
          <w:sz w:val="24"/>
        </w:rPr>
        <w:t xml:space="preserve">Reducerea tratamentului fiscal preferențial al finanțării prin capital propriu ar încuraja </w:t>
      </w:r>
      <w:r>
        <w:rPr>
          <w:rFonts w:ascii="Times New Roman" w:hAnsi="Times New Roman"/>
          <w:noProof/>
          <w:sz w:val="24"/>
        </w:rPr>
        <w:t>investițiile de capital și ar crea o bază mai puternică de capitaluri proprii în cadrul societăților. De asemenea, acest lucru ar aduce beneficii în ceea ce privește stabilitatea financiară, deoarece întreprinderile cu o bază de capital mai solidă ar fi ma</w:t>
      </w:r>
      <w:r>
        <w:rPr>
          <w:rFonts w:ascii="Times New Roman" w:hAnsi="Times New Roman"/>
          <w:noProof/>
          <w:sz w:val="24"/>
        </w:rPr>
        <w:t>i puțin vulnerabile în fața șocurilor. În noiembrie, în contextul propunerii privind baza fiscală consolidată comună a societăților</w:t>
      </w:r>
      <w:r>
        <w:rPr>
          <w:rStyle w:val="FootnoteReference"/>
          <w:rFonts w:ascii="Times New Roman" w:hAnsi="Times New Roman"/>
          <w:noProof/>
          <w:sz w:val="24"/>
        </w:rPr>
        <w:footnoteReference w:id="8"/>
      </w:r>
      <w:r>
        <w:rPr>
          <w:rFonts w:ascii="Times New Roman" w:hAnsi="Times New Roman"/>
          <w:noProof/>
          <w:sz w:val="24"/>
        </w:rPr>
        <w:t>, Comisia intenționează să prezinte o propunere privind favorizarea îndatorării în cadrul sistemului de impozitare a societă</w:t>
      </w:r>
      <w:r>
        <w:rPr>
          <w:rFonts w:ascii="Times New Roman" w:hAnsi="Times New Roman"/>
          <w:noProof/>
          <w:sz w:val="24"/>
        </w:rPr>
        <w:t>ț</w:t>
      </w:r>
      <w:r>
        <w:rPr>
          <w:rFonts w:ascii="Times New Roman" w:hAnsi="Times New Roman"/>
          <w:noProof/>
          <w:sz w:val="24"/>
        </w:rPr>
        <w:t xml:space="preserve">ilor și solicită Consiliului să adopte această măsură cât mai rapid posibil. </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Propunerea privind FEIS 2.0 va consolida în mod semnificativ Planul de investiții pentru Europa.</w:t>
      </w:r>
      <w:r>
        <w:rPr>
          <w:rFonts w:ascii="Times New Roman" w:hAnsi="Times New Roman"/>
          <w:noProof/>
          <w:sz w:val="24"/>
        </w:rPr>
        <w:t xml:space="preserve"> </w:t>
      </w:r>
      <w:r>
        <w:rPr>
          <w:rFonts w:ascii="Times New Roman" w:hAnsi="Times New Roman"/>
          <w:b/>
          <w:noProof/>
          <w:sz w:val="24"/>
        </w:rPr>
        <w:t>Uniunea Europeană are nevoie de un volum mare de investiții suplimentare sustena</w:t>
      </w:r>
      <w:r>
        <w:rPr>
          <w:rFonts w:ascii="Times New Roman" w:hAnsi="Times New Roman"/>
          <w:b/>
          <w:noProof/>
          <w:sz w:val="24"/>
        </w:rPr>
        <w:t>bile pe termen lung pentru a sprijini crearea de locuri de muncă, creșterea economică, competitivitatea și o economie cu emisii reduse de dioxid de carbon. Sprijinul public oferit în cadrul Planului consolidat de investiții pentru Europa va fi util în aces</w:t>
      </w:r>
      <w:r>
        <w:rPr>
          <w:rFonts w:ascii="Times New Roman" w:hAnsi="Times New Roman"/>
          <w:b/>
          <w:noProof/>
          <w:sz w:val="24"/>
        </w:rPr>
        <w:t xml:space="preserve">t sens, pentru că va pune accentul pe disfuncționalitățile pieței și pe situațiile de investiții sub nivelul optim, dar sunt necesare măsuri suplimentare pentru a debloca investițiile private pe termen lung. </w:t>
      </w:r>
      <w:r>
        <w:rPr>
          <w:rFonts w:ascii="Times New Roman" w:hAnsi="Times New Roman"/>
          <w:noProof/>
          <w:sz w:val="24"/>
        </w:rPr>
        <w:t>Pentru a facilita și mai mult investițiile în ac</w:t>
      </w:r>
      <w:r>
        <w:rPr>
          <w:rFonts w:ascii="Times New Roman" w:hAnsi="Times New Roman"/>
          <w:noProof/>
          <w:sz w:val="24"/>
        </w:rPr>
        <w:t xml:space="preserve">tive de infrastructură efectuate de investitori instituționali, Comisia va adopta o propunere de modificare a actului delegat Solvabilitate II pentru a reduce cerințele de capital asociate investițiilor realizate de societățile de asigurare în societățile </w:t>
      </w:r>
      <w:r>
        <w:rPr>
          <w:rFonts w:ascii="Times New Roman" w:hAnsi="Times New Roman"/>
          <w:noProof/>
          <w:sz w:val="24"/>
        </w:rPr>
        <w:t>active în sectoarele legate de infrastructură. În paralel, ca parte a revizuirii regulamentului și a directivei privind cerințele de capital, înainte de sfârșitul anului, Comisia va propune extinderea tratamentului favorabil privind cerințele de capital de</w:t>
      </w:r>
      <w:r>
        <w:rPr>
          <w:rFonts w:ascii="Times New Roman" w:hAnsi="Times New Roman"/>
          <w:noProof/>
          <w:sz w:val="24"/>
        </w:rPr>
        <w:t xml:space="preserve"> care beneficiază împrumuturile acordate IMM-urilor și reducerea cerințelor de capital legate de investițiile în infrastructură. </w:t>
      </w:r>
    </w:p>
    <w:p w:rsidR="00D65A59" w:rsidRDefault="00A919D9">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3) Următoarele etape: formularea de noi priorități</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Comisia va examina propunerile pentru un produs de pensii private la nivelu</w:t>
      </w:r>
      <w:r>
        <w:rPr>
          <w:rFonts w:ascii="Times New Roman" w:hAnsi="Times New Roman"/>
          <w:b/>
          <w:noProof/>
          <w:sz w:val="24"/>
        </w:rPr>
        <w:t>l UE, care să fie simplu, eficient și competitiv</w:t>
      </w:r>
      <w:r>
        <w:rPr>
          <w:rStyle w:val="FootnoteReference"/>
          <w:rFonts w:ascii="Times New Roman" w:hAnsi="Times New Roman"/>
          <w:noProof/>
          <w:sz w:val="24"/>
        </w:rPr>
        <w:footnoteReference w:id="9"/>
      </w:r>
      <w:r>
        <w:rPr>
          <w:rFonts w:ascii="Times New Roman" w:hAnsi="Times New Roman"/>
          <w:b/>
          <w:noProof/>
          <w:sz w:val="24"/>
        </w:rPr>
        <w:t>.</w:t>
      </w:r>
      <w:r>
        <w:rPr>
          <w:rFonts w:ascii="Times New Roman" w:hAnsi="Times New Roman"/>
          <w:noProof/>
          <w:sz w:val="24"/>
        </w:rPr>
        <w:t xml:space="preserve"> Pensiile private joacă un rol important în conectarea deținătorilor de conturi de economii pe termen lung cu oportunități de investiții pe termen lung. Pensiile private pot contribui la găsirea de soluții </w:t>
      </w:r>
      <w:r>
        <w:rPr>
          <w:rFonts w:ascii="Times New Roman" w:hAnsi="Times New Roman"/>
          <w:noProof/>
          <w:sz w:val="24"/>
        </w:rPr>
        <w:t>la provocările demografice reprezentate de îmbătrânirea populației și modelele de muncă în schimbare ale lucrătorilor și la asigurarea unor rate adecvate de înlocuire în viitor, ca o completare a pensiilor oferite de stat sau a celor ocupaționale. Ca urmar</w:t>
      </w:r>
      <w:r>
        <w:rPr>
          <w:rFonts w:ascii="Times New Roman" w:hAnsi="Times New Roman"/>
          <w:noProof/>
          <w:sz w:val="24"/>
        </w:rPr>
        <w:t xml:space="preserve">e a reducerii barierelor în calea furnizării de servicii transfrontaliere de pensii, un produs de pensii private la nivelul UE ar mări concurența între furnizorii de pensii, ar permite vânzarea serviciilor pe piețe mai mari și ar crea economii de scară de </w:t>
      </w:r>
      <w:r>
        <w:rPr>
          <w:rFonts w:ascii="Times New Roman" w:hAnsi="Times New Roman"/>
          <w:noProof/>
          <w:sz w:val="24"/>
        </w:rPr>
        <w:t>care ar trebui să beneficieze deținătorii de conturi de economii. Comisia își va decide abordarea privind cea mai bună cale de sprijinire a acestor piețe în funcție de rezultatele consultării publice aflate în desfășurare</w:t>
      </w:r>
      <w:r>
        <w:rPr>
          <w:rStyle w:val="FootnoteReference"/>
          <w:rFonts w:ascii="Times New Roman" w:hAnsi="Times New Roman"/>
          <w:noProof/>
          <w:sz w:val="24"/>
        </w:rPr>
        <w:footnoteReference w:id="10"/>
      </w:r>
      <w:r>
        <w:rPr>
          <w:rFonts w:ascii="Times New Roman" w:hAnsi="Times New Roman"/>
          <w:noProof/>
          <w:sz w:val="24"/>
        </w:rPr>
        <w:t>. Opțiunile avute în vedere includ</w:t>
      </w:r>
      <w:r>
        <w:rPr>
          <w:rFonts w:ascii="Times New Roman" w:hAnsi="Times New Roman"/>
          <w:noProof/>
          <w:sz w:val="24"/>
        </w:rPr>
        <w:t xml:space="preserve"> o posibilă propunere legislativă care ar putea fi prezentată în 2017.</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UPC urmărește o mai bună utilizare a economiilor europenilor, îmbunătățirea eficienței cu care sunt puși în legătură deponenții și creditorii, precum și creșterea performanțelor economi</w:t>
      </w:r>
      <w:r>
        <w:rPr>
          <w:rFonts w:ascii="Times New Roman" w:hAnsi="Times New Roman"/>
          <w:b/>
          <w:noProof/>
          <w:sz w:val="24"/>
        </w:rPr>
        <w:t xml:space="preserve">ei UE. </w:t>
      </w:r>
      <w:r>
        <w:rPr>
          <w:rFonts w:ascii="Times New Roman" w:hAnsi="Times New Roman"/>
          <w:noProof/>
          <w:sz w:val="24"/>
        </w:rPr>
        <w:t>Participarea investitorilor individuali reprezintă o provocare esențială pentru dezvoltarea unei piețe de capital mai puternice în UE. Acest lucru necesită o mai mare încredere în rândul investitorilor individuali și transparență pentru a ajuta inve</w:t>
      </w:r>
      <w:r>
        <w:rPr>
          <w:rFonts w:ascii="Times New Roman" w:hAnsi="Times New Roman"/>
          <w:noProof/>
          <w:sz w:val="24"/>
        </w:rPr>
        <w:t>stitorii să ia deciziile corecte în materie de investiții. Comisia va prezenta un plan de acțiune privind serviciile financiare cu amănuntul, pentru a consolida participarea investitorilor individuali în piețele de capital și a deschide piața europeană a s</w:t>
      </w:r>
      <w:r>
        <w:rPr>
          <w:rFonts w:ascii="Times New Roman" w:hAnsi="Times New Roman"/>
          <w:noProof/>
          <w:sz w:val="24"/>
        </w:rPr>
        <w:t xml:space="preserve">erviciilor financiare cu amănuntul, astfel încât aceasta să ofere rezultate mai bune consumatorilor și întreprinderilor. </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Sustenabilitatea financiară impune reforme, astfel încât să se sprijine investițiile în tehnologii curate și în utilizarea acestora, s</w:t>
      </w:r>
      <w:r>
        <w:rPr>
          <w:rFonts w:ascii="Times New Roman" w:hAnsi="Times New Roman"/>
          <w:b/>
          <w:noProof/>
          <w:sz w:val="24"/>
        </w:rPr>
        <w:t xml:space="preserve">ă se asigure că sistemul financiar poate finanța în mod sustenabil creșterea pe termen lung și să asigure o contribuție la crearea unei economii cu emisii scăzute de dioxid de carbon și rezilientă la schimbările climatice. </w:t>
      </w:r>
      <w:r>
        <w:rPr>
          <w:rFonts w:ascii="Times New Roman" w:hAnsi="Times New Roman"/>
          <w:noProof/>
          <w:sz w:val="24"/>
        </w:rPr>
        <w:t>Aceste reforme sunt esențiale pen</w:t>
      </w:r>
      <w:r>
        <w:rPr>
          <w:rFonts w:ascii="Times New Roman" w:hAnsi="Times New Roman"/>
          <w:noProof/>
          <w:sz w:val="24"/>
        </w:rPr>
        <w:t>tru a ne îndeplini obiectivele climatice și de mediu și a ne respecta angajamentele internaționale, inclusiv angajamentele asumate de UE în temeiul Acordului de la Paris privind schimbările climatice</w:t>
      </w:r>
      <w:r>
        <w:rPr>
          <w:rStyle w:val="FootnoteReference"/>
          <w:rFonts w:ascii="Times New Roman" w:hAnsi="Times New Roman"/>
          <w:noProof/>
          <w:sz w:val="24"/>
        </w:rPr>
        <w:footnoteReference w:id="11"/>
      </w:r>
      <w:r>
        <w:rPr>
          <w:rFonts w:ascii="Times New Roman" w:hAnsi="Times New Roman"/>
          <w:noProof/>
          <w:sz w:val="24"/>
        </w:rPr>
        <w:t xml:space="preserve"> și obiectivele pachetului privind economia circulară din 2015</w:t>
      </w:r>
      <w:r>
        <w:rPr>
          <w:rStyle w:val="FootnoteReference"/>
          <w:rFonts w:ascii="Times New Roman" w:hAnsi="Times New Roman"/>
          <w:noProof/>
          <w:sz w:val="24"/>
        </w:rPr>
        <w:footnoteReference w:id="12"/>
      </w:r>
      <w:r>
        <w:rPr>
          <w:rFonts w:ascii="Times New Roman" w:hAnsi="Times New Roman"/>
          <w:noProof/>
          <w:sz w:val="24"/>
        </w:rPr>
        <w:t>. Comisia depune eforturi, în cadrul G20, pentru a promova în continuare aceste obiective</w:t>
      </w:r>
      <w:r>
        <w:rPr>
          <w:rStyle w:val="FootnoteReference"/>
          <w:rFonts w:ascii="Times New Roman" w:hAnsi="Times New Roman"/>
          <w:noProof/>
          <w:sz w:val="24"/>
        </w:rPr>
        <w:footnoteReference w:id="13"/>
      </w:r>
      <w:r>
        <w:rPr>
          <w:rFonts w:ascii="Times New Roman" w:hAnsi="Times New Roman"/>
          <w:noProof/>
          <w:sz w:val="24"/>
        </w:rPr>
        <w:t>. Aceasta sprijină alinierea investițiilor private la obiectivele din domeniul schimbărilor climatice ș</w:t>
      </w:r>
      <w:r>
        <w:rPr>
          <w:rFonts w:ascii="Times New Roman" w:hAnsi="Times New Roman"/>
          <w:noProof/>
          <w:sz w:val="24"/>
        </w:rPr>
        <w:t>i al utilizării eficiente a resurselor și la alte obiective de mediu, atât prin măsuri de politică, cât și prin investiții publice. În acest sens, se depun eforturi pentru creșterea gradului de disponibilitate a fondurilor ecologice prin intermediul Fondul</w:t>
      </w:r>
      <w:r>
        <w:rPr>
          <w:rFonts w:ascii="Times New Roman" w:hAnsi="Times New Roman"/>
          <w:noProof/>
          <w:sz w:val="24"/>
        </w:rPr>
        <w:t>ui european pentru investiții strategice, alocându-se cel puțin 20 % din bugetul UE disponibil pentru perioada 2014-2020 măsurilor în favoarea climei și stabilindu-se o platformă pentru finanțarea economiei circulare. În Planul de acțiune privind uniunea p</w:t>
      </w:r>
      <w:r>
        <w:rPr>
          <w:rFonts w:ascii="Times New Roman" w:hAnsi="Times New Roman"/>
          <w:noProof/>
          <w:sz w:val="24"/>
        </w:rPr>
        <w:t>iețelor de capital s-a evidențiat necesitatea de a sprijini definirea de standarde pentru obligațiunile ecologice la nivelul UE. Comisia va institui un grup de experți pentru a dezvolta o strategie europeană cuprinzătoare privind finanțarea în domeniul eco</w:t>
      </w:r>
      <w:r>
        <w:rPr>
          <w:rFonts w:ascii="Times New Roman" w:hAnsi="Times New Roman"/>
          <w:noProof/>
          <w:sz w:val="24"/>
        </w:rPr>
        <w:t>logic în următoarele luni. În sens mai larg, în ceea ce privește aspectele de mediu, sociale și de guvernanță, UE a adoptat cerințe obligatorii de informare pentru anumite întreprinderi mari și va adopta, de asemenea, orientări fără caracter obligatoriu pr</w:t>
      </w:r>
      <w:r>
        <w:rPr>
          <w:rFonts w:ascii="Times New Roman" w:hAnsi="Times New Roman"/>
          <w:noProof/>
          <w:sz w:val="24"/>
        </w:rPr>
        <w:t>ivind metodologia de comunicare a acestor informații investitorilor și consumatorilor. La nivelul UE se evaluează, de asemenea, care sunt acțiunile ce urmează a fi întreprinse ca urmare a consultărilor recente privind investițiile pe termen lung și sustena</w:t>
      </w:r>
      <w:r>
        <w:rPr>
          <w:rFonts w:ascii="Times New Roman" w:hAnsi="Times New Roman"/>
          <w:noProof/>
          <w:sz w:val="24"/>
        </w:rPr>
        <w:t>bile, care au subliniat importanța aspectelor de mediu, sociale și de guvernanță în rezultatele pe termen mai lung ale societăților și investitorilor.</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Tehnologia generează schimbări rapide în sectorul financiar și are potențialul de a crește rolul piețelor</w:t>
      </w:r>
      <w:r>
        <w:rPr>
          <w:rFonts w:ascii="Times New Roman" w:hAnsi="Times New Roman"/>
          <w:b/>
          <w:noProof/>
          <w:sz w:val="24"/>
        </w:rPr>
        <w:t xml:space="preserve"> de capital și de a le aduce mai aproape de societăți și investitori. Consumatorii beneficiază, de asemenea, de tehnologie, prin faptul că li se oferă o gamă mai largă de servicii, care sunt mai ușor de folosit și mai ușor accesibile. Acest potențial inova</w:t>
      </w:r>
      <w:r>
        <w:rPr>
          <w:rFonts w:ascii="Times New Roman" w:hAnsi="Times New Roman"/>
          <w:b/>
          <w:noProof/>
          <w:sz w:val="24"/>
        </w:rPr>
        <w:t xml:space="preserve">tor ar trebui exploatat. </w:t>
      </w:r>
      <w:r>
        <w:rPr>
          <w:rFonts w:ascii="Times New Roman" w:hAnsi="Times New Roman"/>
          <w:noProof/>
          <w:sz w:val="24"/>
        </w:rPr>
        <w:t>Întreprinderile din domeniul tehnologiei financiare se bucură de succes pentru că furnizează servicii noi, care corespund mai bine nevoilor consumatorilor, în numeroase domenii financiare, inclusiv cel al plăților și al împrumuturi</w:t>
      </w:r>
      <w:r>
        <w:rPr>
          <w:rFonts w:ascii="Times New Roman" w:hAnsi="Times New Roman"/>
          <w:noProof/>
          <w:sz w:val="24"/>
        </w:rPr>
        <w:t>lor. Tehnologia este un vector al concurenței, care contribuie la crearea unui cadru financiar mai divers. În același timp, evoluția rapidă a societăților din domeniul tehnologiei financiare generează noi provocări legate de gestionarea riscurilor și neces</w:t>
      </w:r>
      <w:r>
        <w:rPr>
          <w:rFonts w:ascii="Times New Roman" w:hAnsi="Times New Roman"/>
          <w:noProof/>
          <w:sz w:val="24"/>
        </w:rPr>
        <w:t>itatea de a se asigura că toți consumatorii beneficiază de informații adecvate și de garanții.</w:t>
      </w:r>
      <w:r>
        <w:rPr>
          <w:noProof/>
        </w:rPr>
        <w:t xml:space="preserve"> </w:t>
      </w:r>
      <w:r>
        <w:rPr>
          <w:rFonts w:ascii="Times New Roman" w:hAnsi="Times New Roman"/>
          <w:noProof/>
          <w:sz w:val="24"/>
        </w:rPr>
        <w:t>În mai multe state membre, autoritățile de reglementare adoptă noi modalități pentru a sprijini dezvoltarea societăților din domeniul tehnologiei financiare, inc</w:t>
      </w:r>
      <w:r>
        <w:rPr>
          <w:rFonts w:ascii="Times New Roman" w:hAnsi="Times New Roman"/>
          <w:noProof/>
          <w:sz w:val="24"/>
        </w:rPr>
        <w:t xml:space="preserve">lusiv platforme care oferă orientări în materie de reglementare sau echipe care se axează pe implicațiile de politică ale tehnologiei financiare. Comisia va continua să promoveze dezvoltarea sectorului tehnologiei financiare și depune eforturi pentru a se </w:t>
      </w:r>
      <w:r>
        <w:rPr>
          <w:rFonts w:ascii="Times New Roman" w:hAnsi="Times New Roman"/>
          <w:noProof/>
          <w:sz w:val="24"/>
        </w:rPr>
        <w:t>asigura că mediul de reglementare stabilește un echilibru adecvat între consolidarea încrederii în întreprinderi și investitori, protecția consumatorilor și crearea cadrului necesar dezvoltării sectorului tehnologiei financiare. Comisia va colabora cu auto</w:t>
      </w:r>
      <w:r>
        <w:rPr>
          <w:rFonts w:ascii="Times New Roman" w:hAnsi="Times New Roman"/>
          <w:noProof/>
          <w:sz w:val="24"/>
        </w:rPr>
        <w:t>ritățile europene de supraveghere (AES), cu Banca Centrală Europeană, cu alte organisme de standardizare și cu statele membre pentru a elabora o abordare coordonată de politică care să sprijine dezvoltarea tehnologiei financiare într-un mediu de reglementa</w:t>
      </w:r>
      <w:r>
        <w:rPr>
          <w:rFonts w:ascii="Times New Roman" w:hAnsi="Times New Roman"/>
          <w:noProof/>
          <w:sz w:val="24"/>
        </w:rPr>
        <w:t xml:space="preserve">re adecvat. </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Piețele de obligațiuni garantate sunt printre cele mai mari piețe ale datoriilor private din Europa și un important canal de finanțare pe termen mai lung</w:t>
      </w:r>
      <w:r>
        <w:rPr>
          <w:rFonts w:ascii="Times New Roman" w:hAnsi="Times New Roman"/>
          <w:noProof/>
          <w:sz w:val="24"/>
        </w:rPr>
        <w:t>. Acestea sunt esențiale pentru ca instituțiile de credit să își direcționeze în mod efici</w:t>
      </w:r>
      <w:r>
        <w:rPr>
          <w:rFonts w:ascii="Times New Roman" w:hAnsi="Times New Roman"/>
          <w:noProof/>
          <w:sz w:val="24"/>
        </w:rPr>
        <w:t>ent finanțarea către piața imobiliară și pentru instrumentele garantate public, inclusiv unele împrumuturi pentru IMM</w:t>
      </w:r>
      <w:r>
        <w:rPr>
          <w:rFonts w:ascii="Times New Roman" w:hAnsi="Times New Roman" w:cs="Times New Roman"/>
          <w:noProof/>
          <w:sz w:val="24"/>
        </w:rPr>
        <w:t>­</w:t>
      </w:r>
      <w:r>
        <w:rPr>
          <w:rFonts w:ascii="Times New Roman" w:hAnsi="Times New Roman"/>
          <w:noProof/>
          <w:sz w:val="24"/>
        </w:rPr>
        <w:t>uri. Pe baza rezultatelor consultării publice recente și a unui studiu în curs, Comisia va stabili, în cadrul revizuirii intermediare a UP</w:t>
      </w:r>
      <w:r>
        <w:rPr>
          <w:rFonts w:ascii="Times New Roman" w:hAnsi="Times New Roman"/>
          <w:noProof/>
          <w:sz w:val="24"/>
        </w:rPr>
        <w:t>C, care sunt modificările legislative necesare pentru a sprijini dezvoltarea piețelor de obligațiuni garantate în întreaga UE.</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UE a înregistrat rezultate bune în promovarea distribuirii transfrontaliere a fondurilor de investiții și va depune eforturi pent</w:t>
      </w:r>
      <w:r>
        <w:rPr>
          <w:rFonts w:ascii="Times New Roman" w:hAnsi="Times New Roman"/>
          <w:b/>
          <w:noProof/>
          <w:sz w:val="24"/>
        </w:rPr>
        <w:t>ru a elimina obstacolele rămase în calea unei piețe complet integrate, ceea ce ar urma să reducă costurile pentru furnizori și să le ofere avantaje investitorilor de retail</w:t>
      </w:r>
      <w:r>
        <w:rPr>
          <w:rFonts w:ascii="Times New Roman" w:hAnsi="Times New Roman"/>
          <w:noProof/>
          <w:sz w:val="24"/>
        </w:rPr>
        <w:t>. Comisia a publicat o consultare publică detaliată</w:t>
      </w:r>
      <w:r>
        <w:rPr>
          <w:rStyle w:val="FootnoteReference"/>
          <w:rFonts w:ascii="Times New Roman" w:hAnsi="Times New Roman"/>
          <w:noProof/>
          <w:sz w:val="24"/>
        </w:rPr>
        <w:footnoteReference w:id="14"/>
      </w:r>
      <w:r>
        <w:rPr>
          <w:rFonts w:ascii="Times New Roman" w:hAnsi="Times New Roman"/>
          <w:noProof/>
          <w:sz w:val="24"/>
        </w:rPr>
        <w:t>, al cărei scop este identificar</w:t>
      </w:r>
      <w:r>
        <w:rPr>
          <w:rFonts w:ascii="Times New Roman" w:hAnsi="Times New Roman"/>
          <w:noProof/>
          <w:sz w:val="24"/>
        </w:rPr>
        <w:t xml:space="preserve">ea barierelor nejustificate a căror eliminare ar putea contribui la intensificarea comercializării transfrontaliere a fondurilor, la creșterea concurenței, la diversificarea posibilităților de a alege și la reducerea costurilor pentru investitori. Comisia </w:t>
      </w:r>
      <w:r>
        <w:rPr>
          <w:rFonts w:ascii="Times New Roman" w:hAnsi="Times New Roman"/>
          <w:noProof/>
          <w:sz w:val="24"/>
        </w:rPr>
        <w:t>va lua măsuri pentru înlăturarea barierelor rămase în sectorul administrării activelor, prin modificări legislative, dacă este necesar.</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Comisia își va accelera eforturile de eliminare a barierelor în mediul post-tranzacționare.</w:t>
      </w:r>
      <w:r>
        <w:rPr>
          <w:rFonts w:ascii="Times New Roman" w:hAnsi="Times New Roman"/>
          <w:noProof/>
          <w:sz w:val="24"/>
        </w:rPr>
        <w:t xml:space="preserve"> Pentru buna funcționare a pi</w:t>
      </w:r>
      <w:r>
        <w:rPr>
          <w:rFonts w:ascii="Times New Roman" w:hAnsi="Times New Roman"/>
          <w:noProof/>
          <w:sz w:val="24"/>
        </w:rPr>
        <w:t>ețelor de capital este esențial să existe infrastructuri post-tranzacționare sigure și eficiente. A fost înființat un grup de experți pentru a analiza evoluția peisajului post-tranzacționare din UE în urma modificărilor legislative recente, a evoluției pie</w:t>
      </w:r>
      <w:r>
        <w:rPr>
          <w:rFonts w:ascii="Times New Roman" w:hAnsi="Times New Roman"/>
          <w:noProof/>
          <w:sz w:val="24"/>
        </w:rPr>
        <w:t>ț</w:t>
      </w:r>
      <w:r>
        <w:rPr>
          <w:rFonts w:ascii="Times New Roman" w:hAnsi="Times New Roman"/>
          <w:noProof/>
          <w:sz w:val="24"/>
        </w:rPr>
        <w:t>ei și a apariției de noi tehnologii. Grupul va analiza, de asemenea, în ce măsură barierele identificate în rapoartele Giovannini</w:t>
      </w:r>
      <w:r>
        <w:rPr>
          <w:rStyle w:val="FootnoteReference"/>
          <w:rFonts w:ascii="Times New Roman" w:hAnsi="Times New Roman"/>
          <w:noProof/>
          <w:sz w:val="24"/>
        </w:rPr>
        <w:footnoteReference w:id="15"/>
      </w:r>
      <w:r>
        <w:rPr>
          <w:rFonts w:ascii="Times New Roman" w:hAnsi="Times New Roman"/>
          <w:noProof/>
          <w:sz w:val="24"/>
        </w:rPr>
        <w:t xml:space="preserve"> au fost eliminate și va identifica orice barieră nouă sau pe cale de apariție. În 2017, Comisia va lansa o consultare public</w:t>
      </w:r>
      <w:r>
        <w:rPr>
          <w:rFonts w:ascii="Times New Roman" w:hAnsi="Times New Roman"/>
          <w:noProof/>
          <w:sz w:val="24"/>
        </w:rPr>
        <w:t xml:space="preserve">ă pe baza rezultatelor activității acestui grup pentru a stabili cea mai adecvată cale de urmat în acest domeniu. În paralel, Comisia va propune o inițiativă legislativă pentru a stabili cu certitudine juridică legislația națională care se aplică în cazul </w:t>
      </w:r>
      <w:r>
        <w:rPr>
          <w:rFonts w:ascii="Times New Roman" w:hAnsi="Times New Roman"/>
          <w:noProof/>
          <w:sz w:val="24"/>
        </w:rPr>
        <w:t>proprietății asupra titlurilor de valoare și în cazul efectelor asupra terților ale cesionării creanțelor.</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O supraveghere eficace și coerentă este</w:t>
      </w:r>
      <w:r>
        <w:rPr>
          <w:rFonts w:ascii="Times New Roman" w:hAnsi="Times New Roman"/>
          <w:noProof/>
          <w:sz w:val="24"/>
        </w:rPr>
        <w:t xml:space="preserve"> </w:t>
      </w:r>
      <w:r>
        <w:rPr>
          <w:rFonts w:ascii="Times New Roman" w:hAnsi="Times New Roman"/>
          <w:b/>
          <w:noProof/>
          <w:sz w:val="24"/>
        </w:rPr>
        <w:t>esențială pentru a se asigura protecția investitorilor, pentru a se favoriza integrarea piețelor de capital ș</w:t>
      </w:r>
      <w:r>
        <w:rPr>
          <w:rFonts w:ascii="Times New Roman" w:hAnsi="Times New Roman"/>
          <w:b/>
          <w:noProof/>
          <w:sz w:val="24"/>
        </w:rPr>
        <w:t>i pentru a se asigura stabilitatea financiară</w:t>
      </w:r>
      <w:r>
        <w:rPr>
          <w:rFonts w:ascii="Times New Roman" w:hAnsi="Times New Roman"/>
          <w:noProof/>
          <w:sz w:val="24"/>
        </w:rPr>
        <w:t>. Autoritățile europene de supraveghere (AES) au un rol fundamental în construirea unei piețe unice aprofundate și mai integrate. Autoritatea Europeană pentru Valori Mobiliare și Piețe (ESMA) și-a concentrat act</w:t>
      </w:r>
      <w:r>
        <w:rPr>
          <w:rFonts w:ascii="Times New Roman" w:hAnsi="Times New Roman"/>
          <w:noProof/>
          <w:sz w:val="24"/>
        </w:rPr>
        <w:t>ivitatea pe îmbunătățirea convergenței în materie de supraveghere pentru a asigura coerența în aplicarea normelor în materie de piețe de capital și supravegherea participanților la piață</w:t>
      </w:r>
      <w:r>
        <w:rPr>
          <w:rStyle w:val="FootnoteReference"/>
          <w:rFonts w:ascii="Times New Roman" w:hAnsi="Times New Roman"/>
          <w:noProof/>
          <w:sz w:val="24"/>
        </w:rPr>
        <w:footnoteReference w:id="16"/>
      </w:r>
      <w:r>
        <w:rPr>
          <w:rFonts w:ascii="Times New Roman" w:hAnsi="Times New Roman"/>
          <w:noProof/>
          <w:sz w:val="24"/>
        </w:rPr>
        <w:t>. Cu toate acestea, vor fi necesare eforturi suplimentare pentru a co</w:t>
      </w:r>
      <w:r>
        <w:rPr>
          <w:rFonts w:ascii="Times New Roman" w:hAnsi="Times New Roman"/>
          <w:noProof/>
          <w:sz w:val="24"/>
        </w:rPr>
        <w:t>nsolida dimensiunea europeană a supravegherii în domeniile în care aceasta poate oferi avantaje. De exemplu, sunt în curs proiecte în domeniul guvernanței și al finanțării autorităților europene de supraveghere, Comisia urmând să publice o carte albă privi</w:t>
      </w:r>
      <w:r>
        <w:rPr>
          <w:rFonts w:ascii="Times New Roman" w:hAnsi="Times New Roman"/>
          <w:noProof/>
          <w:sz w:val="24"/>
        </w:rPr>
        <w:t>nd aceste chestiuni. În plus, o consultare publică a fost lansată în august 2016 ca parte a revizuirii cadrului macroprudențial al UE</w:t>
      </w:r>
      <w:r>
        <w:rPr>
          <w:rStyle w:val="FootnoteReference"/>
          <w:rFonts w:ascii="Times New Roman" w:hAnsi="Times New Roman"/>
          <w:noProof/>
          <w:sz w:val="24"/>
        </w:rPr>
        <w:footnoteReference w:id="17"/>
      </w:r>
      <w:r>
        <w:rPr>
          <w:rFonts w:ascii="Times New Roman" w:hAnsi="Times New Roman"/>
          <w:noProof/>
          <w:sz w:val="24"/>
        </w:rPr>
        <w:t>. Pe baza rezultatelor acestei consultări, Comisia va adopta, în 2017, o propunere legislativă în acest domeniu.</w:t>
      </w:r>
    </w:p>
    <w:p w:rsidR="00D65A59" w:rsidRDefault="00A919D9">
      <w:pPr>
        <w:spacing w:line="240" w:lineRule="auto"/>
        <w:jc w:val="both"/>
        <w:rPr>
          <w:rFonts w:ascii="Times New Roman" w:hAnsi="Times New Roman"/>
          <w:b/>
          <w:noProof/>
          <w:sz w:val="24"/>
        </w:rPr>
      </w:pPr>
      <w:r>
        <w:rPr>
          <w:rFonts w:ascii="Times New Roman" w:hAnsi="Times New Roman"/>
          <w:noProof/>
          <w:sz w:val="24"/>
        </w:rPr>
        <w:t xml:space="preserve">Raportul </w:t>
      </w:r>
      <w:r>
        <w:rPr>
          <w:rFonts w:ascii="Times New Roman" w:hAnsi="Times New Roman"/>
          <w:noProof/>
          <w:sz w:val="24"/>
        </w:rPr>
        <w:t>celor cinci președinți a evidențiat necesitatea consolidării cadrului de supraveghere pentru a asigura soliditatea tuturor actorilor financiari, care ar trebui să ducă, în cele din urmă, la instituirea unei autorități europene unice de supraveghere a piețe</w:t>
      </w:r>
      <w:r>
        <w:rPr>
          <w:rFonts w:ascii="Times New Roman" w:hAnsi="Times New Roman"/>
          <w:noProof/>
          <w:sz w:val="24"/>
        </w:rPr>
        <w:t xml:space="preserve">lor de capital. Comisia va examina, în strânsă consultare cu Parlamentul European și cu Consiliul, măsurile suplimentare în ceea ce privește cadrul de supraveghere care sunt necesare pentru a valorifica pe deplin potențialul UPC. </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Succesul UPC poate fi asi</w:t>
      </w:r>
      <w:r>
        <w:rPr>
          <w:rFonts w:ascii="Times New Roman" w:hAnsi="Times New Roman"/>
          <w:b/>
          <w:noProof/>
          <w:sz w:val="24"/>
        </w:rPr>
        <w:t xml:space="preserve">gurat numai dacă statele membre sunt hotărâte să depună eforturi pentru a elimina obstacolele naționale nejustificate din calea liberei circulații a capitalurilor. </w:t>
      </w:r>
      <w:r>
        <w:rPr>
          <w:rFonts w:ascii="Times New Roman" w:hAnsi="Times New Roman"/>
          <w:noProof/>
          <w:sz w:val="24"/>
        </w:rPr>
        <w:t>De multe ori, dispozițiile naționale sunt mai stricte decât cele europene și, în unele cazur</w:t>
      </w:r>
      <w:r>
        <w:rPr>
          <w:rFonts w:ascii="Times New Roman" w:hAnsi="Times New Roman"/>
          <w:noProof/>
          <w:sz w:val="24"/>
        </w:rPr>
        <w:t>i, pot fi dăunătoare pentru investițiile transfrontaliere. Un grup de experți ai statelor membre a făcut progrese în identificarea obstacolelor și în schimbul de bune practici. Pe baza activității acestui grup, Comisia va adopta, până la sfârșitul anului 2</w:t>
      </w:r>
      <w:r>
        <w:rPr>
          <w:rFonts w:ascii="Times New Roman" w:hAnsi="Times New Roman"/>
          <w:noProof/>
          <w:sz w:val="24"/>
        </w:rPr>
        <w:t>016, un raport care va cuprinde obstacolele identificate de grup, va recomanda bune practici și va stabili o foaie de parcurs a măsurilor propuse pe care statele membre vor fi încurajate să le adopte până cel târziu în 2019. O mare parte a acestei activită</w:t>
      </w:r>
      <w:r>
        <w:rPr>
          <w:rFonts w:ascii="Times New Roman" w:hAnsi="Times New Roman"/>
          <w:noProof/>
          <w:sz w:val="24"/>
        </w:rPr>
        <w:t>ț</w:t>
      </w:r>
      <w:r>
        <w:rPr>
          <w:rFonts w:ascii="Times New Roman" w:hAnsi="Times New Roman"/>
          <w:noProof/>
          <w:sz w:val="24"/>
        </w:rPr>
        <w:t>i se axează pe bunele practici și pe un cod de conduită pentru proceduri mai eficiente de reținere la sursă a impozitelor. Acest lucru reprezintă un obstacol în calea investițiilor transfrontaliere pe termen lung. Pentru eficientizarea acestor proceduri l</w:t>
      </w:r>
      <w:r>
        <w:rPr>
          <w:rFonts w:ascii="Times New Roman" w:hAnsi="Times New Roman"/>
          <w:noProof/>
          <w:sz w:val="24"/>
        </w:rPr>
        <w:t>a nivel național și ajungerea la un acord privind un cod de conduită în 2017, va fi nevoie de un angajament ferm din partea statelor membre.</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O mai bună legiferare, reducerea sarcinii administrative pentru participanții la piață și simplificarea legislației</w:t>
      </w:r>
      <w:r>
        <w:rPr>
          <w:rFonts w:ascii="Times New Roman" w:hAnsi="Times New Roman"/>
          <w:b/>
          <w:noProof/>
          <w:sz w:val="24"/>
        </w:rPr>
        <w:t xml:space="preserve"> existente vor contribui la valorificarea potențialului UPC.</w:t>
      </w:r>
      <w:r>
        <w:rPr>
          <w:rFonts w:ascii="Times New Roman" w:hAnsi="Times New Roman"/>
          <w:noProof/>
          <w:sz w:val="24"/>
        </w:rPr>
        <w:t xml:space="preserve"> Toate propunerile UPC anunțate sunt pregătite în conformitate cu principiile unei mai bune reglementări, în urma unor consultări și a unei evaluări a impactului. Ca parte a strategiei sale pentru</w:t>
      </w:r>
      <w:r>
        <w:rPr>
          <w:rFonts w:ascii="Times New Roman" w:hAnsi="Times New Roman"/>
          <w:noProof/>
          <w:sz w:val="24"/>
        </w:rPr>
        <w:t xml:space="preserve"> o mai bună legiferare, Comisia desfășoară un program ambițios de identificare și înlăturare a obstacolelor de reglementare inutile. În cererea de contribuții a Comisiei s-au identificat principalele domenii din cadrul legislației privind serviciile financ</w:t>
      </w:r>
      <w:r>
        <w:rPr>
          <w:rFonts w:ascii="Times New Roman" w:hAnsi="Times New Roman"/>
          <w:noProof/>
          <w:sz w:val="24"/>
        </w:rPr>
        <w:t>iare în care se pot aduce îmbunătățiri. Acestea se referă la faptul că trebuie găsite soluții pentru îndepărtarea obstacolelor existente în calea fluxului de finanțare a economiei, trebuie îmbunătățită proporționalitatea cadrului de reglementare pentru o m</w:t>
      </w:r>
      <w:r>
        <w:rPr>
          <w:rFonts w:ascii="Times New Roman" w:hAnsi="Times New Roman"/>
          <w:noProof/>
          <w:sz w:val="24"/>
        </w:rPr>
        <w:t xml:space="preserve">ai bună echilibrare a obiectivelor în materie de stabilitate financiară și de creștere, trebuie reduse sarcinile de reglementare inutile și trebuie abordate riscurile rămase în sistemul financiar. În lunile următoare, Comisia va prezenta acțiunile pe care </w:t>
      </w:r>
      <w:r>
        <w:rPr>
          <w:rFonts w:ascii="Times New Roman" w:hAnsi="Times New Roman"/>
          <w:noProof/>
          <w:sz w:val="24"/>
        </w:rPr>
        <w:t>le-a întreprins în urma cererii de contribuții.</w:t>
      </w:r>
    </w:p>
    <w:p w:rsidR="00D65A59" w:rsidRDefault="00A919D9">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Concluzii</w:t>
      </w:r>
    </w:p>
    <w:p w:rsidR="00D65A59" w:rsidRDefault="00A919D9">
      <w:pPr>
        <w:spacing w:line="240" w:lineRule="auto"/>
        <w:jc w:val="both"/>
        <w:rPr>
          <w:rFonts w:ascii="Times New Roman" w:hAnsi="Times New Roman" w:cs="Times New Roman"/>
          <w:noProof/>
          <w:sz w:val="24"/>
          <w:szCs w:val="24"/>
        </w:rPr>
      </w:pPr>
      <w:r>
        <w:rPr>
          <w:rFonts w:ascii="Times New Roman" w:hAnsi="Times New Roman"/>
          <w:b/>
          <w:noProof/>
          <w:sz w:val="24"/>
        </w:rPr>
        <w:t xml:space="preserve">Planul de acțiune privind uniunea piețelor de capital stabilește principalele modificări care sunt necesare pentru consolidarea piețelor de capital ale UE. Acest plan este mai important ca oricând, </w:t>
      </w:r>
      <w:r>
        <w:rPr>
          <w:rFonts w:ascii="Times New Roman" w:hAnsi="Times New Roman"/>
          <w:b/>
          <w:noProof/>
          <w:sz w:val="24"/>
        </w:rPr>
        <w:t xml:space="preserve">iar punerea în aplicare a acțiunilor cuprinse în plan ar trebui accelerată. </w:t>
      </w:r>
      <w:r>
        <w:rPr>
          <w:rFonts w:ascii="Times New Roman" w:hAnsi="Times New Roman"/>
          <w:noProof/>
          <w:sz w:val="24"/>
        </w:rPr>
        <w:t>Este esențial ca toți actorii implicați să lucreze împreună pentru realizarea acestui obiectiv. La fel de important este să se asigure că prioritățile UPC se adaptează în funcție d</w:t>
      </w:r>
      <w:r>
        <w:rPr>
          <w:rFonts w:ascii="Times New Roman" w:hAnsi="Times New Roman"/>
          <w:noProof/>
          <w:sz w:val="24"/>
        </w:rPr>
        <w:t>e evoluția peisajului politic, economic și tehnologic. Comisia va continua să monitorizeze evoluția situației și să identifice măsuri suplimentare care sunt necesare pentru dezvoltarea sistemului UPC.</w:t>
      </w:r>
      <w:r>
        <w:rPr>
          <w:rFonts w:ascii="Times New Roman" w:hAnsi="Times New Roman"/>
          <w:b/>
          <w:noProof/>
          <w:sz w:val="24"/>
        </w:rPr>
        <w:t xml:space="preserve"> Comisia solicită Parlamentului European și statelor mem</w:t>
      </w:r>
      <w:r>
        <w:rPr>
          <w:rFonts w:ascii="Times New Roman" w:hAnsi="Times New Roman"/>
          <w:b/>
          <w:noProof/>
          <w:sz w:val="24"/>
        </w:rPr>
        <w:t>bre să facă tot ce le stă în putință pentru punerea în aplicare a Planului de acțiune privind UPC cât mai curând posibil și să sprijine crearea de locuri de muncă și creșterea economică în Europa.</w:t>
      </w:r>
    </w:p>
    <w:p w:rsidR="00D65A59" w:rsidRDefault="00A919D9">
      <w:pPr>
        <w:rPr>
          <w:noProof/>
        </w:rPr>
      </w:pPr>
      <w:r>
        <w:rPr>
          <w:noProof/>
        </w:rPr>
        <w:br w:type="page"/>
      </w:r>
    </w:p>
    <w:p w:rsidR="00D65A59" w:rsidRDefault="00A919D9">
      <w:pPr>
        <w:jc w:val="both"/>
        <w:rPr>
          <w:rFonts w:ascii="Times New Roman" w:hAnsi="Times New Roman" w:cs="Times New Roman"/>
          <w:b/>
          <w:noProof/>
          <w:sz w:val="24"/>
          <w:szCs w:val="24"/>
        </w:rPr>
      </w:pPr>
      <w:r>
        <w:rPr>
          <w:rFonts w:ascii="Times New Roman" w:hAnsi="Times New Roman"/>
          <w:b/>
          <w:noProof/>
          <w:sz w:val="24"/>
        </w:rPr>
        <w:t>ANEXĂ: SITUAȚIA ACTUALĂ A INIȚIATIVELOR INCLUSE ÎN PLANUL</w:t>
      </w:r>
      <w:r>
        <w:rPr>
          <w:rFonts w:ascii="Times New Roman" w:hAnsi="Times New Roman"/>
          <w:b/>
          <w:noProof/>
          <w:sz w:val="24"/>
        </w:rPr>
        <w:t xml:space="preserve"> PRIVIND UNIUNEA PIEȚELOR DE CAPITAL</w:t>
      </w:r>
    </w:p>
    <w:p w:rsidR="00D65A59" w:rsidRDefault="00A919D9">
      <w:pPr>
        <w:jc w:val="both"/>
        <w:rPr>
          <w:rFonts w:ascii="Times New Roman" w:hAnsi="Times New Roman" w:cs="Times New Roman"/>
          <w:noProof/>
          <w:sz w:val="24"/>
          <w:szCs w:val="24"/>
        </w:rPr>
      </w:pPr>
      <w:r>
        <w:rPr>
          <w:rFonts w:ascii="Times New Roman" w:hAnsi="Times New Roman"/>
          <w:noProof/>
          <w:sz w:val="24"/>
        </w:rPr>
        <w:t>Această scurtă prezentare oferă informații actualizate referitoare la stadiul acțiunilor cuprinse în Planul de acțiune privind uniunea piețelor de capital, primul raport fiind publicat la 25 aprilie 2016</w:t>
      </w:r>
      <w:r>
        <w:rPr>
          <w:rStyle w:val="FootnoteReference"/>
          <w:rFonts w:ascii="Times New Roman" w:hAnsi="Times New Roman"/>
          <w:noProof/>
          <w:sz w:val="24"/>
        </w:rPr>
        <w:footnoteReference w:id="18"/>
      </w:r>
      <w:r>
        <w:rPr>
          <w:rFonts w:ascii="Times New Roman" w:hAnsi="Times New Roman"/>
          <w:noProof/>
          <w:sz w:val="24"/>
        </w:rPr>
        <w:t>.</w:t>
      </w:r>
    </w:p>
    <w:tbl>
      <w:tblPr>
        <w:tblW w:w="4666" w:type="pct"/>
        <w:jc w:val="center"/>
        <w:tblInd w:w="-158"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00"/>
        <w:gridCol w:w="3103"/>
        <w:gridCol w:w="4065"/>
      </w:tblGrid>
      <w:tr w:rsidR="00D65A59">
        <w:trPr>
          <w:trHeight w:val="462"/>
          <w:jc w:val="center"/>
        </w:trPr>
        <w:tc>
          <w:tcPr>
            <w:tcW w:w="5000" w:type="pct"/>
            <w:gridSpan w:val="3"/>
            <w:tcBorders>
              <w:top w:val="single" w:sz="8" w:space="0" w:color="000000"/>
              <w:left w:val="single" w:sz="12" w:space="0" w:color="auto"/>
              <w:bottom w:val="nil"/>
              <w:right w:val="single" w:sz="12" w:space="0" w:color="000000"/>
            </w:tcBorders>
            <w:shd w:val="clear" w:color="auto" w:fill="002060"/>
            <w:vAlign w:val="center"/>
            <w:hideMark/>
          </w:tcPr>
          <w:p w:rsidR="00D65A59" w:rsidRDefault="00A919D9">
            <w:pPr>
              <w:spacing w:after="120" w:line="240" w:lineRule="auto"/>
              <w:jc w:val="center"/>
              <w:rPr>
                <w:rFonts w:ascii="Times New Roman" w:hAnsi="Times New Roman"/>
                <w:b/>
                <w:noProof/>
                <w:color w:val="FFFFFF"/>
                <w:sz w:val="18"/>
                <w:szCs w:val="18"/>
              </w:rPr>
            </w:pPr>
            <w:r>
              <w:rPr>
                <w:rFonts w:ascii="Times New Roman" w:hAnsi="Times New Roman"/>
                <w:b/>
                <w:noProof/>
                <w:color w:val="FFFFFF"/>
                <w:sz w:val="18"/>
              </w:rPr>
              <w:t>Finanțare pen</w:t>
            </w:r>
            <w:r>
              <w:rPr>
                <w:rFonts w:ascii="Times New Roman" w:hAnsi="Times New Roman"/>
                <w:b/>
                <w:noProof/>
                <w:color w:val="FFFFFF"/>
                <w:sz w:val="18"/>
              </w:rPr>
              <w:t>tru inovare, societăți nou-înființate și societăți necotate</w:t>
            </w:r>
          </w:p>
        </w:tc>
      </w:tr>
      <w:tr w:rsidR="00D65A59">
        <w:trPr>
          <w:trHeight w:val="277"/>
          <w:jc w:val="center"/>
        </w:trPr>
        <w:tc>
          <w:tcPr>
            <w:tcW w:w="865" w:type="pct"/>
            <w:tcBorders>
              <w:top w:val="nil"/>
              <w:left w:val="single" w:sz="12" w:space="0" w:color="000000"/>
              <w:bottom w:val="single" w:sz="12" w:space="0" w:color="auto"/>
              <w:right w:val="nil"/>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 xml:space="preserve">Acțiune </w:t>
            </w:r>
          </w:p>
        </w:tc>
        <w:tc>
          <w:tcPr>
            <w:tcW w:w="1790" w:type="pct"/>
            <w:tcBorders>
              <w:top w:val="nil"/>
              <w:left w:val="nil"/>
              <w:bottom w:val="single" w:sz="12" w:space="0" w:color="auto"/>
              <w:right w:val="single" w:sz="8" w:space="0" w:color="000000"/>
            </w:tcBorders>
            <w:shd w:val="clear" w:color="auto" w:fill="auto"/>
            <w:vAlign w:val="center"/>
          </w:tcPr>
          <w:p w:rsidR="00D65A59" w:rsidRDefault="00D65A59">
            <w:pPr>
              <w:spacing w:after="120" w:line="240" w:lineRule="auto"/>
              <w:rPr>
                <w:rFonts w:ascii="Times New Roman" w:hAnsi="Times New Roman"/>
                <w:b/>
                <w:noProof/>
                <w:sz w:val="18"/>
              </w:rPr>
            </w:pPr>
          </w:p>
        </w:tc>
        <w:tc>
          <w:tcPr>
            <w:tcW w:w="2345" w:type="pct"/>
            <w:tcBorders>
              <w:top w:val="nil"/>
              <w:left w:val="single" w:sz="8" w:space="0" w:color="000000"/>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b/>
                <w:noProof/>
                <w:sz w:val="18"/>
              </w:rPr>
            </w:pPr>
            <w:r>
              <w:rPr>
                <w:rFonts w:ascii="Times New Roman" w:hAnsi="Times New Roman"/>
                <w:b/>
                <w:noProof/>
                <w:sz w:val="18"/>
              </w:rPr>
              <w:t>Progresele înregistrate și etapele următoare</w:t>
            </w:r>
          </w:p>
        </w:tc>
      </w:tr>
      <w:tr w:rsidR="00D65A59">
        <w:trPr>
          <w:trHeight w:val="556"/>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Susținerea capitalului de risc și a finanțării prin participare la capital</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 xml:space="preserve">Fond de fonduri paneuropene de capital de risc </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Publicarea unei </w:t>
            </w:r>
            <w:r>
              <w:rPr>
                <w:rFonts w:ascii="Times New Roman" w:hAnsi="Times New Roman"/>
                <w:noProof/>
                <w:sz w:val="18"/>
              </w:rPr>
              <w:t>cereri de exprimare a interesului în 2016</w:t>
            </w:r>
          </w:p>
        </w:tc>
      </w:tr>
      <w:tr w:rsidR="00D65A59">
        <w:trPr>
          <w:trHeight w:val="512"/>
          <w:jc w:val="center"/>
        </w:trPr>
        <w:tc>
          <w:tcPr>
            <w:tcW w:w="865" w:type="pct"/>
            <w:vMerge/>
            <w:tcBorders>
              <w:left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90"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noProof/>
              </w:rPr>
            </w:pPr>
            <w:r>
              <w:rPr>
                <w:rFonts w:ascii="Times New Roman" w:hAnsi="Times New Roman"/>
                <w:b/>
                <w:i/>
                <w:noProof/>
                <w:sz w:val="18"/>
              </w:rPr>
              <w:t>Revizuirea legislației privind EuVECA și FEAS</w:t>
            </w: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Propunere legislativă prezentată de Comisie în iulie 2016, în curs de negociere în cadrul Parlamentului European și al Consiliului</w:t>
            </w:r>
          </w:p>
        </w:tc>
      </w:tr>
      <w:tr w:rsidR="00D65A59">
        <w:trPr>
          <w:trHeight w:hRule="exact" w:val="1126"/>
          <w:jc w:val="center"/>
        </w:trPr>
        <w:tc>
          <w:tcPr>
            <w:tcW w:w="865" w:type="pct"/>
            <w:vMerge/>
            <w:tcBorders>
              <w:left w:val="single" w:sz="12" w:space="0" w:color="000000"/>
              <w:bottom w:val="single" w:sz="12" w:space="0" w:color="auto"/>
              <w:right w:val="single" w:sz="4" w:space="0" w:color="auto"/>
            </w:tcBorders>
            <w:shd w:val="clear" w:color="auto" w:fill="auto"/>
          </w:tcPr>
          <w:p w:rsidR="00D65A59" w:rsidRDefault="00D65A59">
            <w:pPr>
              <w:spacing w:after="120" w:line="240" w:lineRule="auto"/>
              <w:rPr>
                <w:rFonts w:ascii="Times New Roman" w:hAnsi="Times New Roman"/>
                <w:b/>
                <w:noProof/>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noProof/>
                <w:sz w:val="18"/>
              </w:rPr>
            </w:pPr>
            <w:r>
              <w:rPr>
                <w:rFonts w:ascii="Times New Roman" w:hAnsi="Times New Roman"/>
                <w:b/>
                <w:i/>
                <w:noProof/>
                <w:sz w:val="18"/>
              </w:rPr>
              <w:t xml:space="preserve">Stimulente fiscale pentru </w:t>
            </w:r>
            <w:r>
              <w:rPr>
                <w:rFonts w:ascii="Times New Roman" w:hAnsi="Times New Roman"/>
                <w:b/>
                <w:i/>
                <w:noProof/>
                <w:sz w:val="18"/>
              </w:rPr>
              <w:t>capitalul de risc și investitorii providențiali</w:t>
            </w: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Studiu privind stimulentele fiscale naționale în curs de desfășurare</w:t>
            </w:r>
          </w:p>
          <w:p w:rsidR="00D65A59" w:rsidRDefault="00A919D9">
            <w:pPr>
              <w:spacing w:after="120" w:line="240" w:lineRule="auto"/>
              <w:rPr>
                <w:rFonts w:ascii="Times New Roman" w:hAnsi="Times New Roman"/>
                <w:noProof/>
                <w:sz w:val="18"/>
              </w:rPr>
            </w:pPr>
            <w:r>
              <w:rPr>
                <w:rFonts w:ascii="Times New Roman" w:hAnsi="Times New Roman"/>
                <w:noProof/>
                <w:sz w:val="18"/>
              </w:rPr>
              <w:t>Atelier de lucru cu experți din statele membre, în octombrie 2016</w:t>
            </w:r>
          </w:p>
        </w:tc>
      </w:tr>
      <w:tr w:rsidR="00D65A59">
        <w:trPr>
          <w:trHeight w:hRule="exact" w:val="869"/>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 xml:space="preserve">Depășirea barierelor informaționale care stau în calea investițiilor </w:t>
            </w:r>
            <w:r>
              <w:rPr>
                <w:rFonts w:ascii="Times New Roman" w:hAnsi="Times New Roman"/>
                <w:b/>
                <w:noProof/>
                <w:sz w:val="18"/>
              </w:rPr>
              <w:t>IMM-urilor</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Consolidarea feedback-ului oferit de băncile care resping cererile de credit ale IMM-urilor</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Încheierea discuțiilor cu sectorul bancar european și cu reprezentanții întreprinderilor mici</w:t>
            </w:r>
          </w:p>
        </w:tc>
      </w:tr>
      <w:tr w:rsidR="00D65A59">
        <w:trPr>
          <w:trHeight w:hRule="exact" w:val="833"/>
          <w:jc w:val="center"/>
        </w:trPr>
        <w:tc>
          <w:tcPr>
            <w:tcW w:w="865" w:type="pct"/>
            <w:vMerge/>
            <w:tcBorders>
              <w:left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90"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b/>
                <w:i/>
                <w:noProof/>
                <w:sz w:val="18"/>
              </w:rPr>
              <w:t xml:space="preserve">Identificarea capacităților de sprijin și de consiliere </w:t>
            </w:r>
            <w:r>
              <w:rPr>
                <w:rFonts w:ascii="Times New Roman" w:hAnsi="Times New Roman"/>
                <w:b/>
                <w:i/>
                <w:noProof/>
                <w:sz w:val="18"/>
              </w:rPr>
              <w:t>locale sau naționale la nivelul UE în vederea promovării bunelor practici</w:t>
            </w:r>
          </w:p>
          <w:p w:rsidR="00D65A59" w:rsidRDefault="00D65A59">
            <w:pPr>
              <w:spacing w:after="120" w:line="240" w:lineRule="auto"/>
              <w:rPr>
                <w:rFonts w:ascii="Times New Roman" w:hAnsi="Times New Roman" w:cs="Times New Roman"/>
                <w:noProof/>
                <w:sz w:val="18"/>
                <w:szCs w:val="18"/>
              </w:rPr>
            </w:pPr>
          </w:p>
          <w:p w:rsidR="00D65A59" w:rsidRDefault="00D65A59">
            <w:pPr>
              <w:spacing w:after="120" w:line="240" w:lineRule="auto"/>
              <w:rPr>
                <w:rFonts w:ascii="Times New Roman" w:hAnsi="Times New Roman"/>
                <w:noProof/>
                <w:sz w:val="18"/>
              </w:rPr>
            </w:pP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Atelier privind servicii de consultanță pentru accesul la finanțare al IMM-urilor, în septembrie 2016 </w:t>
            </w:r>
          </w:p>
        </w:tc>
      </w:tr>
      <w:tr w:rsidR="00D65A59">
        <w:trPr>
          <w:trHeight w:val="835"/>
          <w:jc w:val="center"/>
        </w:trPr>
        <w:tc>
          <w:tcPr>
            <w:tcW w:w="865" w:type="pct"/>
            <w:vMerge/>
            <w:tcBorders>
              <w:left w:val="single" w:sz="12" w:space="0" w:color="000000"/>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 xml:space="preserve">Examinarea modalităților de dezvoltare sau sprijinire a sistemelor </w:t>
            </w:r>
            <w:r>
              <w:rPr>
                <w:rFonts w:ascii="Times New Roman" w:hAnsi="Times New Roman"/>
                <w:b/>
                <w:i/>
                <w:noProof/>
                <w:sz w:val="18"/>
              </w:rPr>
              <w:t>paneuropene de informații</w:t>
            </w: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noProof/>
                <w:sz w:val="18"/>
              </w:rPr>
            </w:pPr>
            <w:r>
              <w:rPr>
                <w:rFonts w:ascii="Times New Roman" w:hAnsi="Times New Roman"/>
                <w:noProof/>
                <w:sz w:val="18"/>
              </w:rPr>
              <w:t>Această acțiune se va baza pe rezultatele procesului de cartografiere a sistemelor naționale de sprijinire și de consultanță.</w:t>
            </w:r>
          </w:p>
        </w:tc>
      </w:tr>
      <w:tr w:rsidR="00D65A59">
        <w:trPr>
          <w:trHeight w:hRule="exact" w:val="438"/>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Promovarea unor forme inovatoare de finanțare a întreprinderilor</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noProof/>
              </w:rPr>
            </w:pPr>
            <w:r>
              <w:rPr>
                <w:rFonts w:ascii="Times New Roman" w:hAnsi="Times New Roman"/>
                <w:b/>
                <w:i/>
                <w:noProof/>
                <w:sz w:val="18"/>
              </w:rPr>
              <w:t xml:space="preserve">Raport referitor la finanțarea </w:t>
            </w:r>
            <w:r>
              <w:rPr>
                <w:rFonts w:ascii="Times New Roman" w:hAnsi="Times New Roman"/>
                <w:b/>
                <w:i/>
                <w:noProof/>
                <w:sz w:val="18"/>
              </w:rPr>
              <w:t>participativă</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ind w:left="2"/>
              <w:rPr>
                <w:rFonts w:ascii="Times New Roman" w:hAnsi="Times New Roman"/>
                <w:noProof/>
                <w:sz w:val="18"/>
              </w:rPr>
            </w:pPr>
            <w:r>
              <w:rPr>
                <w:rFonts w:ascii="Times New Roman" w:hAnsi="Times New Roman"/>
                <w:noProof/>
                <w:sz w:val="18"/>
              </w:rPr>
              <w:t>Raport publicat în mai 2016</w:t>
            </w:r>
          </w:p>
        </w:tc>
      </w:tr>
      <w:tr w:rsidR="00D65A59">
        <w:trPr>
          <w:trHeight w:hRule="exact" w:val="818"/>
          <w:jc w:val="center"/>
        </w:trPr>
        <w:tc>
          <w:tcPr>
            <w:tcW w:w="865" w:type="pct"/>
            <w:vMerge/>
            <w:tcBorders>
              <w:left w:val="single" w:sz="12" w:space="0" w:color="000000"/>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i/>
                <w:noProof/>
                <w:sz w:val="18"/>
                <w:szCs w:val="18"/>
              </w:rPr>
            </w:pPr>
            <w:r>
              <w:rPr>
                <w:rFonts w:ascii="Times New Roman" w:hAnsi="Times New Roman"/>
                <w:b/>
                <w:i/>
                <w:noProof/>
                <w:sz w:val="18"/>
              </w:rPr>
              <w:t>Dezvoltarea unei abordări coordonate în ceea ce privește generarea de împrumuturi de către fonduri și evaluarea argumentelor în favoarea unui viitor cadru al UE în acest domeniu</w:t>
            </w:r>
          </w:p>
          <w:p w:rsidR="00D65A59" w:rsidRDefault="00D65A59">
            <w:pPr>
              <w:spacing w:after="120" w:line="240" w:lineRule="auto"/>
              <w:ind w:left="462"/>
              <w:rPr>
                <w:rFonts w:ascii="Times New Roman" w:hAnsi="Times New Roman"/>
                <w:noProof/>
                <w:sz w:val="18"/>
              </w:rPr>
            </w:pPr>
          </w:p>
          <w:p w:rsidR="00D65A59" w:rsidRDefault="00D65A59">
            <w:pPr>
              <w:spacing w:after="120" w:line="240" w:lineRule="auto"/>
              <w:ind w:left="462"/>
              <w:rPr>
                <w:rFonts w:ascii="Times New Roman" w:hAnsi="Times New Roman"/>
                <w:noProof/>
                <w:sz w:val="18"/>
              </w:rPr>
            </w:pPr>
          </w:p>
          <w:p w:rsidR="00D65A59" w:rsidRDefault="00D65A59">
            <w:pPr>
              <w:spacing w:after="120" w:line="240" w:lineRule="auto"/>
              <w:ind w:left="462"/>
              <w:rPr>
                <w:rFonts w:ascii="Times New Roman" w:hAnsi="Times New Roman"/>
                <w:noProof/>
                <w:sz w:val="18"/>
              </w:rPr>
            </w:pPr>
          </w:p>
          <w:p w:rsidR="00D65A59" w:rsidRDefault="00D65A59">
            <w:pPr>
              <w:spacing w:after="120" w:line="240" w:lineRule="auto"/>
              <w:rPr>
                <w:rFonts w:ascii="Times New Roman" w:hAnsi="Times New Roman"/>
                <w:noProof/>
                <w:sz w:val="18"/>
              </w:rPr>
            </w:pP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i/>
                <w:noProof/>
                <w:sz w:val="18"/>
                <w:szCs w:val="18"/>
              </w:rPr>
            </w:pPr>
            <w:r>
              <w:rPr>
                <w:rFonts w:ascii="Times New Roman" w:hAnsi="Times New Roman"/>
                <w:noProof/>
                <w:sz w:val="18"/>
              </w:rPr>
              <w:t xml:space="preserve">Avizul ESMA a fost primit în </w:t>
            </w:r>
            <w:r>
              <w:rPr>
                <w:rFonts w:ascii="Times New Roman" w:hAnsi="Times New Roman"/>
                <w:noProof/>
                <w:sz w:val="18"/>
              </w:rPr>
              <w:t>aprilie 2016.</w:t>
            </w:r>
          </w:p>
        </w:tc>
      </w:tr>
    </w:tbl>
    <w:p w:rsidR="00D65A59" w:rsidRDefault="00D65A59">
      <w:pPr>
        <w:spacing w:after="120" w:line="240" w:lineRule="auto"/>
        <w:rPr>
          <w:rFonts w:ascii="Times New Roman" w:hAnsi="Times New Roman" w:cs="Times New Roman"/>
          <w:noProof/>
          <w:sz w:val="18"/>
          <w:szCs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D65A59">
        <w:trPr>
          <w:jc w:val="center"/>
        </w:trPr>
        <w:tc>
          <w:tcPr>
            <w:tcW w:w="5000" w:type="pct"/>
            <w:gridSpan w:val="3"/>
            <w:tcBorders>
              <w:top w:val="single" w:sz="8" w:space="0" w:color="000000"/>
              <w:left w:val="single" w:sz="12" w:space="0" w:color="auto"/>
              <w:bottom w:val="nil"/>
              <w:right w:val="single" w:sz="12" w:space="0" w:color="000000"/>
            </w:tcBorders>
            <w:shd w:val="clear" w:color="auto" w:fill="002060"/>
            <w:vAlign w:val="center"/>
            <w:hideMark/>
          </w:tcPr>
          <w:p w:rsidR="00D65A59" w:rsidRDefault="00A919D9">
            <w:pPr>
              <w:spacing w:after="120" w:line="240" w:lineRule="auto"/>
              <w:jc w:val="center"/>
              <w:rPr>
                <w:rFonts w:ascii="Times New Roman" w:hAnsi="Times New Roman"/>
                <w:b/>
                <w:noProof/>
                <w:sz w:val="18"/>
              </w:rPr>
            </w:pPr>
            <w:r>
              <w:rPr>
                <w:rFonts w:ascii="Times New Roman" w:hAnsi="Times New Roman"/>
                <w:b/>
                <w:noProof/>
                <w:sz w:val="18"/>
              </w:rPr>
              <w:t>Facilitarea intrării societăților pe piețele publice și a mobilizării de capital</w:t>
            </w:r>
          </w:p>
        </w:tc>
      </w:tr>
      <w:tr w:rsidR="00D65A59">
        <w:trPr>
          <w:trHeight w:hRule="exact" w:val="329"/>
          <w:jc w:val="center"/>
        </w:trPr>
        <w:tc>
          <w:tcPr>
            <w:tcW w:w="906" w:type="pct"/>
            <w:tcBorders>
              <w:top w:val="nil"/>
              <w:left w:val="single" w:sz="12" w:space="0" w:color="000000"/>
              <w:bottom w:val="single" w:sz="12" w:space="0" w:color="000000"/>
              <w:right w:val="nil"/>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Acțiune</w:t>
            </w:r>
          </w:p>
        </w:tc>
        <w:tc>
          <w:tcPr>
            <w:tcW w:w="1748" w:type="pct"/>
            <w:tcBorders>
              <w:top w:val="nil"/>
              <w:left w:val="nil"/>
              <w:bottom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000000"/>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b/>
                <w:noProof/>
                <w:sz w:val="18"/>
              </w:rPr>
            </w:pPr>
            <w:r>
              <w:rPr>
                <w:rFonts w:ascii="Times New Roman" w:hAnsi="Times New Roman"/>
                <w:b/>
                <w:noProof/>
                <w:sz w:val="18"/>
              </w:rPr>
              <w:t>Progresele înregistrate și etapele următoare</w:t>
            </w:r>
          </w:p>
        </w:tc>
      </w:tr>
      <w:tr w:rsidR="00D65A59">
        <w:trPr>
          <w:trHeight w:hRule="exact" w:val="977"/>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Îmbunătățirea accesului la piețele publice</w:t>
            </w:r>
          </w:p>
        </w:tc>
        <w:tc>
          <w:tcPr>
            <w:tcW w:w="1748" w:type="pct"/>
            <w:tcBorders>
              <w:top w:val="single" w:sz="12" w:space="0" w:color="000000"/>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b/>
                <w:noProof/>
              </w:rPr>
            </w:pPr>
            <w:r>
              <w:rPr>
                <w:rFonts w:ascii="Times New Roman" w:hAnsi="Times New Roman"/>
                <w:b/>
                <w:i/>
                <w:noProof/>
                <w:sz w:val="18"/>
              </w:rPr>
              <w:t>Propunere de modernizare a Directivei privind prospectul</w:t>
            </w:r>
            <w:r>
              <w:rPr>
                <w:rFonts w:ascii="Times New Roman" w:hAnsi="Times New Roman"/>
                <w:noProof/>
                <w:sz w:val="18"/>
              </w:rPr>
              <w:t xml:space="preserve"> </w:t>
            </w:r>
          </w:p>
        </w:tc>
        <w:tc>
          <w:tcPr>
            <w:tcW w:w="2346" w:type="pct"/>
            <w:tcBorders>
              <w:top w:val="single" w:sz="12" w:space="0" w:color="000000"/>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Dezbatere în plenul Parlamentului European în septembrie 2016</w:t>
            </w:r>
          </w:p>
          <w:p w:rsidR="00D65A59" w:rsidRDefault="00A919D9">
            <w:pPr>
              <w:spacing w:after="120" w:line="240" w:lineRule="auto"/>
              <w:rPr>
                <w:rFonts w:ascii="Times New Roman" w:hAnsi="Times New Roman"/>
                <w:b/>
                <w:noProof/>
                <w:sz w:val="18"/>
              </w:rPr>
            </w:pPr>
            <w:r>
              <w:rPr>
                <w:rFonts w:ascii="Times New Roman" w:hAnsi="Times New Roman"/>
                <w:noProof/>
                <w:sz w:val="18"/>
              </w:rPr>
              <w:t>Abordarea generală a Consiliului, la care s-a ajuns în iunie 2016</w:t>
            </w:r>
          </w:p>
        </w:tc>
      </w:tr>
      <w:tr w:rsidR="00D65A59">
        <w:trPr>
          <w:trHeight w:hRule="exact" w:val="971"/>
          <w:jc w:val="center"/>
        </w:trPr>
        <w:tc>
          <w:tcPr>
            <w:tcW w:w="906" w:type="pct"/>
            <w:vMerge/>
            <w:tcBorders>
              <w:left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 xml:space="preserve">Revizuirea obstacolelor în materie de reglementare care împiedică accesul IMM-urilor pe piețele publice și pe piețele de </w:t>
            </w:r>
            <w:r>
              <w:rPr>
                <w:rFonts w:ascii="Times New Roman" w:hAnsi="Times New Roman"/>
                <w:b/>
                <w:i/>
                <w:noProof/>
                <w:sz w:val="18"/>
              </w:rPr>
              <w:t>creștere pentru IMM-uri</w:t>
            </w:r>
          </w:p>
          <w:p w:rsidR="00D65A59" w:rsidRDefault="00D65A59">
            <w:pPr>
              <w:spacing w:after="120" w:line="240" w:lineRule="auto"/>
              <w:rPr>
                <w:rFonts w:ascii="Times New Roman" w:hAnsi="Times New Roman" w:cs="Times New Roman"/>
                <w:i/>
                <w:noProof/>
                <w:sz w:val="18"/>
                <w:szCs w:val="18"/>
              </w:rPr>
            </w:pPr>
          </w:p>
          <w:p w:rsidR="00D65A59" w:rsidRDefault="00D65A59">
            <w:pPr>
              <w:spacing w:after="120" w:line="240" w:lineRule="auto"/>
              <w:ind w:left="462"/>
              <w:rPr>
                <w:rFonts w:ascii="Times New Roman" w:hAnsi="Times New Roman"/>
                <w:noProof/>
                <w:sz w:val="18"/>
              </w:rPr>
            </w:pPr>
          </w:p>
        </w:tc>
        <w:tc>
          <w:tcPr>
            <w:tcW w:w="2346"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 xml:space="preserve">Ateliere organizate cu părțile interesate în lunile octombrie și decembrie 2016 </w:t>
            </w:r>
          </w:p>
          <w:p w:rsidR="00D65A59" w:rsidRDefault="00D65A59">
            <w:pPr>
              <w:spacing w:after="120" w:line="240" w:lineRule="auto"/>
              <w:ind w:left="2" w:hanging="2"/>
              <w:rPr>
                <w:rFonts w:ascii="Times New Roman" w:hAnsi="Times New Roman"/>
                <w:b/>
                <w:noProof/>
                <w:sz w:val="18"/>
              </w:rPr>
            </w:pPr>
          </w:p>
        </w:tc>
      </w:tr>
      <w:tr w:rsidR="00D65A59">
        <w:trPr>
          <w:trHeight w:hRule="exact" w:val="841"/>
          <w:jc w:val="center"/>
        </w:trPr>
        <w:tc>
          <w:tcPr>
            <w:tcW w:w="906" w:type="pct"/>
            <w:vMerge/>
            <w:tcBorders>
              <w:left w:val="single" w:sz="12" w:space="0" w:color="000000"/>
              <w:bottom w:val="single" w:sz="12" w:space="0" w:color="auto"/>
              <w:right w:val="single" w:sz="4" w:space="0" w:color="auto"/>
            </w:tcBorders>
            <w:shd w:val="clear" w:color="auto" w:fill="auto"/>
          </w:tcPr>
          <w:p w:rsidR="00D65A59" w:rsidRDefault="00D65A59">
            <w:pPr>
              <w:spacing w:after="120" w:line="240" w:lineRule="auto"/>
              <w:rPr>
                <w:rFonts w:ascii="Times New Roman" w:hAnsi="Times New Roman"/>
                <w:b/>
                <w:noProof/>
                <w:sz w:val="18"/>
              </w:rPr>
            </w:pPr>
          </w:p>
        </w:tc>
        <w:tc>
          <w:tcPr>
            <w:tcW w:w="1748"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noProof/>
              </w:rPr>
            </w:pPr>
            <w:r>
              <w:rPr>
                <w:rFonts w:ascii="Times New Roman" w:hAnsi="Times New Roman"/>
                <w:b/>
                <w:i/>
                <w:noProof/>
                <w:sz w:val="18"/>
              </w:rPr>
              <w:t>Reexaminarea piețelor obligațiunilor corporative din UE, punându-se accentul pe lichiditatea pieței</w:t>
            </w:r>
          </w:p>
        </w:tc>
        <w:tc>
          <w:tcPr>
            <w:tcW w:w="2346"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rPr>
                <w:rFonts w:ascii="Times New Roman" w:hAnsi="Times New Roman"/>
                <w:noProof/>
                <w:sz w:val="18"/>
              </w:rPr>
            </w:pPr>
            <w:r>
              <w:rPr>
                <w:rFonts w:ascii="Times New Roman" w:hAnsi="Times New Roman"/>
                <w:noProof/>
                <w:sz w:val="18"/>
              </w:rPr>
              <w:t>Studiu lansat în iulie 2016</w:t>
            </w:r>
          </w:p>
          <w:p w:rsidR="00D65A59" w:rsidRDefault="00A919D9">
            <w:pPr>
              <w:spacing w:after="120" w:line="240" w:lineRule="auto"/>
              <w:rPr>
                <w:rFonts w:ascii="Times New Roman" w:hAnsi="Times New Roman"/>
                <w:noProof/>
                <w:sz w:val="18"/>
              </w:rPr>
            </w:pPr>
            <w:r>
              <w:rPr>
                <w:rFonts w:ascii="Times New Roman" w:hAnsi="Times New Roman"/>
                <w:noProof/>
                <w:sz w:val="18"/>
              </w:rPr>
              <w:t xml:space="preserve">Grupul de experți </w:t>
            </w:r>
            <w:r>
              <w:rPr>
                <w:rFonts w:ascii="Times New Roman" w:hAnsi="Times New Roman"/>
                <w:noProof/>
                <w:sz w:val="18"/>
              </w:rPr>
              <w:t>urmează să își înceapă activitatea în toamna anului 2016.</w:t>
            </w:r>
          </w:p>
        </w:tc>
      </w:tr>
      <w:tr w:rsidR="00D65A59">
        <w:trPr>
          <w:trHeight w:hRule="exact" w:val="1029"/>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Sprijinirea finanțării prin participare la capital</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noProof/>
              </w:rPr>
            </w:pPr>
            <w:r>
              <w:rPr>
                <w:rFonts w:ascii="Times New Roman" w:hAnsi="Times New Roman"/>
                <w:b/>
                <w:i/>
                <w:noProof/>
                <w:sz w:val="18"/>
              </w:rPr>
              <w:t xml:space="preserve">Abordarea problemei tratamentului fiscal inegal, prin care se favorizează îndatorarea în cadrul sistemului național de impozitare a societăților </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noProof/>
                <w:sz w:val="18"/>
              </w:rPr>
            </w:pPr>
            <w:r>
              <w:rPr>
                <w:rFonts w:ascii="Times New Roman" w:hAnsi="Times New Roman"/>
                <w:noProof/>
                <w:sz w:val="18"/>
              </w:rPr>
              <w:t>Comisia urmează să prezinte, până la sfârșitul anului 2016, propuneri privind baza comună de impozitare a societăților.</w:t>
            </w:r>
          </w:p>
        </w:tc>
      </w:tr>
    </w:tbl>
    <w:p w:rsidR="00D65A59" w:rsidRDefault="00D65A59">
      <w:pPr>
        <w:spacing w:after="120" w:line="240" w:lineRule="auto"/>
        <w:rPr>
          <w:rFonts w:ascii="Times New Roman" w:hAnsi="Times New Roman"/>
          <w:noProof/>
          <w:sz w:val="18"/>
        </w:rPr>
      </w:pPr>
    </w:p>
    <w:p w:rsidR="00D65A59" w:rsidRDefault="00D65A59">
      <w:pPr>
        <w:spacing w:after="120" w:line="240" w:lineRule="auto"/>
        <w:rPr>
          <w:rFonts w:ascii="Times New Roman" w:hAnsi="Times New Roman"/>
          <w:noProof/>
          <w:sz w:val="18"/>
        </w:rPr>
      </w:pPr>
    </w:p>
    <w:p w:rsidR="00D65A59" w:rsidRDefault="00D65A59">
      <w:pPr>
        <w:spacing w:after="120" w:line="240" w:lineRule="auto"/>
        <w:rPr>
          <w:rFonts w:ascii="Times New Roman" w:hAnsi="Times New Roman"/>
          <w:noProof/>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D65A59">
        <w:trPr>
          <w:trHeight w:val="499"/>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D65A59" w:rsidRDefault="00A919D9">
            <w:pPr>
              <w:spacing w:after="120" w:line="240" w:lineRule="auto"/>
              <w:jc w:val="center"/>
              <w:rPr>
                <w:rFonts w:ascii="Times New Roman" w:hAnsi="Times New Roman"/>
                <w:b/>
                <w:noProof/>
                <w:sz w:val="18"/>
              </w:rPr>
            </w:pPr>
            <w:r>
              <w:rPr>
                <w:rFonts w:ascii="Times New Roman" w:hAnsi="Times New Roman"/>
                <w:b/>
                <w:noProof/>
                <w:sz w:val="18"/>
              </w:rPr>
              <w:t>Investiții pe termen lung, infrastructură și investiții sustenabile</w:t>
            </w:r>
          </w:p>
        </w:tc>
      </w:tr>
      <w:tr w:rsidR="00D65A59">
        <w:trPr>
          <w:trHeight w:hRule="exact" w:val="288"/>
          <w:jc w:val="center"/>
        </w:trPr>
        <w:tc>
          <w:tcPr>
            <w:tcW w:w="906" w:type="pct"/>
            <w:tcBorders>
              <w:top w:val="nil"/>
              <w:left w:val="single" w:sz="12" w:space="0" w:color="000000"/>
              <w:bottom w:val="single" w:sz="12" w:space="0" w:color="000000"/>
              <w:right w:val="nil"/>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Acțiune</w:t>
            </w:r>
          </w:p>
        </w:tc>
        <w:tc>
          <w:tcPr>
            <w:tcW w:w="1748" w:type="pct"/>
            <w:tcBorders>
              <w:top w:val="nil"/>
              <w:left w:val="nil"/>
              <w:bottom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000000"/>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b/>
                <w:noProof/>
                <w:sz w:val="18"/>
              </w:rPr>
            </w:pPr>
            <w:r>
              <w:rPr>
                <w:rFonts w:ascii="Times New Roman" w:hAnsi="Times New Roman"/>
                <w:b/>
                <w:noProof/>
                <w:sz w:val="18"/>
              </w:rPr>
              <w:t>Progresele înregistrate și etapele următoare</w:t>
            </w:r>
          </w:p>
        </w:tc>
      </w:tr>
      <w:tr w:rsidR="00D65A59">
        <w:trPr>
          <w:trHeight w:hRule="exact" w:val="1465"/>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Sprijinirea investițiilor în infrastructură</w:t>
            </w:r>
          </w:p>
        </w:tc>
        <w:tc>
          <w:tcPr>
            <w:tcW w:w="1748" w:type="pct"/>
            <w:tcBorders>
              <w:top w:val="single" w:sz="12" w:space="0" w:color="000000"/>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ind w:left="11" w:hanging="11"/>
              <w:rPr>
                <w:rFonts w:ascii="Times New Roman" w:hAnsi="Times New Roman"/>
                <w:b/>
                <w:i/>
                <w:noProof/>
                <w:sz w:val="18"/>
              </w:rPr>
            </w:pPr>
            <w:r>
              <w:rPr>
                <w:rFonts w:ascii="Times New Roman" w:hAnsi="Times New Roman"/>
                <w:b/>
                <w:i/>
                <w:noProof/>
                <w:sz w:val="18"/>
              </w:rPr>
              <w:t>Ajustarea calibrărilor Solvabilitate II pentru investițiile societăților de asigurare în infrastructură, inclusiv în societățile active în sectoarele legate de infrastructură și în fondurile europene de investiți</w:t>
            </w:r>
            <w:r>
              <w:rPr>
                <w:rFonts w:ascii="Times New Roman" w:hAnsi="Times New Roman"/>
                <w:b/>
                <w:i/>
                <w:noProof/>
                <w:sz w:val="18"/>
              </w:rPr>
              <w:t>i pe termen lung</w:t>
            </w:r>
          </w:p>
          <w:p w:rsidR="00D65A59" w:rsidRDefault="00D65A59">
            <w:pPr>
              <w:pStyle w:val="ListParagraph"/>
              <w:spacing w:after="120" w:line="240" w:lineRule="auto"/>
              <w:rPr>
                <w:rFonts w:ascii="Times New Roman" w:hAnsi="Times New Roman"/>
                <w:noProof/>
              </w:rPr>
            </w:pPr>
          </w:p>
          <w:p w:rsidR="00D65A59" w:rsidRDefault="00D65A59">
            <w:pPr>
              <w:spacing w:after="120" w:line="240" w:lineRule="auto"/>
              <w:ind w:left="11" w:hanging="11"/>
              <w:rPr>
                <w:rFonts w:ascii="Times New Roman" w:hAnsi="Times New Roman"/>
                <w:noProof/>
                <w:sz w:val="18"/>
              </w:rPr>
            </w:pPr>
          </w:p>
        </w:tc>
        <w:tc>
          <w:tcPr>
            <w:tcW w:w="2346" w:type="pct"/>
            <w:tcBorders>
              <w:top w:val="single" w:sz="12" w:space="0" w:color="000000"/>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Modificările aduse legislației Solvabilitate II în ceea ce privește proiectele de infrastructură și fondurile de investiții pe termen lung (FEITL) au intrat în vigoare în aprilie 2016.</w:t>
            </w:r>
          </w:p>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 xml:space="preserve">Evaluarea societăților active în sectoarele legate de infrastructură este în curs. </w:t>
            </w:r>
          </w:p>
        </w:tc>
      </w:tr>
      <w:tr w:rsidR="00D65A59">
        <w:trPr>
          <w:trHeight w:hRule="exact" w:val="80"/>
          <w:jc w:val="center"/>
        </w:trPr>
        <w:tc>
          <w:tcPr>
            <w:tcW w:w="906" w:type="pct"/>
            <w:vMerge/>
            <w:tcBorders>
              <w:top w:val="single" w:sz="8" w:space="0" w:color="000000"/>
              <w:left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single" w:sz="4" w:space="0" w:color="000000"/>
              <w:left w:val="single" w:sz="4" w:space="0" w:color="auto"/>
              <w:bottom w:val="nil"/>
              <w:right w:val="single" w:sz="4" w:space="0" w:color="auto"/>
            </w:tcBorders>
            <w:shd w:val="clear" w:color="auto" w:fill="auto"/>
            <w:vAlign w:val="center"/>
          </w:tcPr>
          <w:p w:rsidR="00D65A59" w:rsidRDefault="00A919D9">
            <w:pPr>
              <w:spacing w:after="120" w:line="240" w:lineRule="auto"/>
              <w:ind w:left="12" w:hanging="12"/>
              <w:rPr>
                <w:rFonts w:ascii="Times New Roman" w:hAnsi="Times New Roman"/>
                <w:noProof/>
                <w:sz w:val="18"/>
              </w:rPr>
            </w:pPr>
            <w:r>
              <w:rPr>
                <w:rFonts w:ascii="Times New Roman" w:hAnsi="Times New Roman"/>
                <w:noProof/>
                <w:sz w:val="18"/>
              </w:rPr>
              <w:t>calibrări, dacă este cazul (în curs)</w:t>
            </w:r>
          </w:p>
        </w:tc>
        <w:tc>
          <w:tcPr>
            <w:tcW w:w="2346" w:type="pct"/>
            <w:tcBorders>
              <w:top w:val="single" w:sz="4" w:space="0" w:color="000000"/>
              <w:left w:val="single" w:sz="4" w:space="0" w:color="auto"/>
              <w:bottom w:val="nil"/>
              <w:right w:val="single" w:sz="4" w:space="0" w:color="auto"/>
            </w:tcBorders>
            <w:shd w:val="clear" w:color="auto" w:fill="auto"/>
            <w:vAlign w:val="center"/>
          </w:tcPr>
          <w:p w:rsidR="00D65A59" w:rsidRDefault="00D65A59">
            <w:pPr>
              <w:spacing w:after="120" w:line="240" w:lineRule="auto"/>
              <w:ind w:left="12" w:hanging="12"/>
              <w:rPr>
                <w:rFonts w:ascii="Times New Roman" w:hAnsi="Times New Roman"/>
                <w:noProof/>
                <w:sz w:val="18"/>
              </w:rPr>
            </w:pPr>
          </w:p>
        </w:tc>
      </w:tr>
      <w:tr w:rsidR="00D65A59">
        <w:trPr>
          <w:trHeight w:hRule="exact" w:val="735"/>
          <w:jc w:val="center"/>
        </w:trPr>
        <w:tc>
          <w:tcPr>
            <w:tcW w:w="906" w:type="pct"/>
            <w:vMerge/>
            <w:tcBorders>
              <w:left w:val="single" w:sz="12" w:space="0" w:color="000000"/>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12" w:hanging="12"/>
              <w:rPr>
                <w:rFonts w:ascii="Times New Roman" w:hAnsi="Times New Roman"/>
                <w:b/>
                <w:i/>
                <w:noProof/>
                <w:sz w:val="18"/>
              </w:rPr>
            </w:pPr>
            <w:r>
              <w:rPr>
                <w:rFonts w:ascii="Times New Roman" w:hAnsi="Times New Roman"/>
                <w:b/>
                <w:i/>
                <w:noProof/>
                <w:sz w:val="18"/>
              </w:rPr>
              <w:t>Revizuirea CRR-ului, modificări ale calibrărilor referitoare la infrastructură</w:t>
            </w:r>
          </w:p>
          <w:p w:rsidR="00D65A59" w:rsidRDefault="00D65A59">
            <w:pPr>
              <w:spacing w:after="120" w:line="240" w:lineRule="auto"/>
              <w:rPr>
                <w:rFonts w:ascii="Times New Roman" w:hAnsi="Times New Roman"/>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12" w:hanging="12"/>
              <w:rPr>
                <w:rFonts w:ascii="Times New Roman" w:hAnsi="Times New Roman" w:cs="Times New Roman"/>
                <w:noProof/>
                <w:sz w:val="18"/>
                <w:szCs w:val="18"/>
              </w:rPr>
            </w:pPr>
            <w:r>
              <w:rPr>
                <w:rFonts w:ascii="Times New Roman" w:hAnsi="Times New Roman"/>
                <w:noProof/>
                <w:sz w:val="18"/>
              </w:rPr>
              <w:t xml:space="preserve">Luată în considerare în contextul viitoarei </w:t>
            </w:r>
            <w:r>
              <w:rPr>
                <w:rFonts w:ascii="Times New Roman" w:hAnsi="Times New Roman"/>
                <w:noProof/>
                <w:sz w:val="18"/>
              </w:rPr>
              <w:t>revizuiri a CRR/CRD</w:t>
            </w:r>
          </w:p>
          <w:p w:rsidR="00D65A59" w:rsidRDefault="00D65A59">
            <w:pPr>
              <w:spacing w:after="120" w:line="240" w:lineRule="auto"/>
              <w:rPr>
                <w:rFonts w:ascii="Times New Roman" w:hAnsi="Times New Roman"/>
                <w:noProof/>
                <w:sz w:val="18"/>
              </w:rPr>
            </w:pPr>
          </w:p>
        </w:tc>
      </w:tr>
      <w:tr w:rsidR="00D65A59">
        <w:trPr>
          <w:trHeight w:hRule="exact" w:val="1038"/>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Asigurarea coerenței cadrului de reglementare privind serviciile financiare din UE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11" w:hanging="11"/>
              <w:rPr>
                <w:rFonts w:ascii="Times New Roman" w:hAnsi="Times New Roman"/>
                <w:b/>
                <w:i/>
                <w:noProof/>
                <w:sz w:val="18"/>
              </w:rPr>
            </w:pPr>
            <w:r>
              <w:rPr>
                <w:rFonts w:ascii="Times New Roman" w:hAnsi="Times New Roman"/>
                <w:b/>
                <w:i/>
                <w:noProof/>
                <w:sz w:val="18"/>
              </w:rPr>
              <w:t xml:space="preserve">Lansarea unui apel pentru furnizarea de informații privind impactul cumulat al reformelor financiare </w:t>
            </w:r>
          </w:p>
          <w:p w:rsidR="00D65A59" w:rsidRDefault="00D65A59">
            <w:pPr>
              <w:spacing w:after="120" w:line="240" w:lineRule="auto"/>
              <w:rPr>
                <w:rFonts w:ascii="Times New Roman" w:hAnsi="Times New Roman"/>
                <w:noProof/>
                <w:sz w:val="18"/>
              </w:rPr>
            </w:pP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 xml:space="preserve">Consultarea publică a avut loc în mai 2016, iar sinteza reacțiilor primite a fost publicată în luna mai. </w:t>
            </w:r>
          </w:p>
          <w:p w:rsidR="00D65A59" w:rsidRDefault="00A919D9">
            <w:pPr>
              <w:spacing w:after="120" w:line="240" w:lineRule="auto"/>
              <w:rPr>
                <w:rFonts w:ascii="Times New Roman" w:hAnsi="Times New Roman"/>
                <w:noProof/>
                <w:sz w:val="18"/>
              </w:rPr>
            </w:pPr>
            <w:r>
              <w:rPr>
                <w:rFonts w:ascii="Times New Roman" w:hAnsi="Times New Roman"/>
                <w:noProof/>
                <w:sz w:val="18"/>
              </w:rPr>
              <w:t>Măsurile subsecvente urmează să fie anunțate în cel de al treilea trimestru al anului 2016.</w:t>
            </w:r>
          </w:p>
        </w:tc>
      </w:tr>
    </w:tbl>
    <w:p w:rsidR="00D65A59" w:rsidRDefault="00D65A59">
      <w:pPr>
        <w:spacing w:after="120" w:line="240" w:lineRule="auto"/>
        <w:rPr>
          <w:rFonts w:ascii="Times New Roman" w:hAnsi="Times New Roman"/>
          <w:noProof/>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D65A59">
        <w:trPr>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D65A59" w:rsidRDefault="00A919D9">
            <w:pPr>
              <w:spacing w:after="120" w:line="240" w:lineRule="auto"/>
              <w:jc w:val="center"/>
              <w:rPr>
                <w:rFonts w:ascii="Times New Roman" w:hAnsi="Times New Roman"/>
                <w:b/>
                <w:noProof/>
                <w:sz w:val="18"/>
              </w:rPr>
            </w:pPr>
            <w:r>
              <w:rPr>
                <w:rFonts w:ascii="Times New Roman" w:hAnsi="Times New Roman"/>
                <w:b/>
                <w:noProof/>
                <w:sz w:val="18"/>
              </w:rPr>
              <w:t>Promovarea investițiilor instituționale și de retail</w:t>
            </w:r>
          </w:p>
        </w:tc>
      </w:tr>
      <w:tr w:rsidR="00D65A59">
        <w:trPr>
          <w:trHeight w:val="243"/>
          <w:jc w:val="center"/>
        </w:trPr>
        <w:tc>
          <w:tcPr>
            <w:tcW w:w="906" w:type="pct"/>
            <w:tcBorders>
              <w:top w:val="nil"/>
              <w:left w:val="single" w:sz="12" w:space="0" w:color="000000"/>
              <w:bottom w:val="single" w:sz="12" w:space="0" w:color="auto"/>
              <w:right w:val="nil"/>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Acțiune</w:t>
            </w:r>
          </w:p>
        </w:tc>
        <w:tc>
          <w:tcPr>
            <w:tcW w:w="1748" w:type="pct"/>
            <w:tcBorders>
              <w:top w:val="nil"/>
              <w:left w:val="nil"/>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b/>
                <w:noProof/>
                <w:sz w:val="18"/>
              </w:rPr>
            </w:pPr>
            <w:r>
              <w:rPr>
                <w:rFonts w:ascii="Times New Roman" w:hAnsi="Times New Roman"/>
                <w:b/>
                <w:noProof/>
                <w:sz w:val="18"/>
              </w:rPr>
              <w:t>Progresele înregistrate și etapele următoare</w:t>
            </w:r>
          </w:p>
        </w:tc>
      </w:tr>
      <w:tr w:rsidR="00D65A59">
        <w:trPr>
          <w:trHeight w:val="909"/>
          <w:jc w:val="center"/>
        </w:trPr>
        <w:tc>
          <w:tcPr>
            <w:tcW w:w="906" w:type="pct"/>
            <w:tcBorders>
              <w:top w:val="nil"/>
              <w:left w:val="single" w:sz="12" w:space="0" w:color="000000"/>
              <w:bottom w:val="single" w:sz="12" w:space="0" w:color="auto"/>
              <w:right w:val="single" w:sz="4" w:space="0" w:color="auto"/>
            </w:tcBorders>
            <w:shd w:val="clear" w:color="auto" w:fill="auto"/>
            <w:vAlign w:val="center"/>
            <w:hideMark/>
          </w:tcPr>
          <w:p w:rsidR="00D65A59" w:rsidRDefault="00A919D9">
            <w:pPr>
              <w:spacing w:after="120" w:line="240" w:lineRule="auto"/>
              <w:rPr>
                <w:rFonts w:ascii="Times New Roman" w:hAnsi="Times New Roman"/>
                <w:b/>
                <w:noProof/>
                <w:sz w:val="18"/>
              </w:rPr>
            </w:pPr>
            <w:r>
              <w:rPr>
                <w:rFonts w:ascii="Times New Roman" w:hAnsi="Times New Roman"/>
                <w:b/>
                <w:noProof/>
                <w:sz w:val="18"/>
              </w:rPr>
              <w:t>Diversificarea posibilităților de a alege și intensificarea concurenței pe segmentul cu amănuntul</w:t>
            </w:r>
          </w:p>
        </w:tc>
        <w:tc>
          <w:tcPr>
            <w:tcW w:w="1748" w:type="pct"/>
            <w:tcBorders>
              <w:top w:val="nil"/>
              <w:left w:val="single" w:sz="4" w:space="0" w:color="auto"/>
              <w:bottom w:val="single" w:sz="12" w:space="0" w:color="auto"/>
              <w:right w:val="single" w:sz="4" w:space="0" w:color="auto"/>
            </w:tcBorders>
            <w:shd w:val="clear" w:color="auto" w:fill="auto"/>
            <w:vAlign w:val="center"/>
            <w:hideMark/>
          </w:tcPr>
          <w:p w:rsidR="00D65A59" w:rsidRDefault="00A919D9">
            <w:pPr>
              <w:spacing w:after="120" w:line="240" w:lineRule="auto"/>
              <w:rPr>
                <w:rFonts w:ascii="Times New Roman" w:hAnsi="Times New Roman"/>
                <w:noProof/>
                <w:sz w:val="18"/>
              </w:rPr>
            </w:pPr>
            <w:r>
              <w:rPr>
                <w:rFonts w:ascii="Times New Roman" w:hAnsi="Times New Roman"/>
                <w:b/>
                <w:i/>
                <w:noProof/>
                <w:sz w:val="18"/>
              </w:rPr>
              <w:t>Cartea verde privind serviciile financiare cu amănuntul și asigurările</w:t>
            </w: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Urmează publicarea unui plan de </w:t>
            </w:r>
            <w:r>
              <w:rPr>
                <w:rFonts w:ascii="Times New Roman" w:hAnsi="Times New Roman"/>
                <w:noProof/>
                <w:sz w:val="18"/>
              </w:rPr>
              <w:t>acțiune.</w:t>
            </w:r>
          </w:p>
        </w:tc>
      </w:tr>
      <w:tr w:rsidR="00D65A59">
        <w:trPr>
          <w:trHeight w:val="781"/>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Sprijinirea investitorilor individuali să obțină condiții mai avantajoase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Evaluarea piețelor UE de produse de investiții de retail</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Studiu privind sistemele de distribuție a produselor de investiții cu amănuntul în Uniunea Europeană, care urmează </w:t>
            </w:r>
            <w:r>
              <w:rPr>
                <w:rFonts w:ascii="Times New Roman" w:hAnsi="Times New Roman"/>
                <w:noProof/>
                <w:sz w:val="18"/>
              </w:rPr>
              <w:t>să fie lansat până la sfârșitul anului 2016</w:t>
            </w:r>
          </w:p>
        </w:tc>
      </w:tr>
      <w:tr w:rsidR="00D65A59">
        <w:trPr>
          <w:trHeight w:hRule="exact" w:val="1306"/>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Sprijinirea economiilor pentru pensie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Evaluarea argumentelor în favoarea unui cadru de politică pentru instituirea unui sistem european de pensii private</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Consultarea publică, lansată în iulie 2016, urmează să se</w:t>
            </w:r>
            <w:r>
              <w:rPr>
                <w:rFonts w:ascii="Times New Roman" w:hAnsi="Times New Roman"/>
                <w:noProof/>
                <w:sz w:val="18"/>
              </w:rPr>
              <w:t xml:space="preserve"> încheie la 31 octombrie 2016.</w:t>
            </w:r>
          </w:p>
          <w:p w:rsidR="00D65A59" w:rsidRDefault="00A919D9">
            <w:pPr>
              <w:spacing w:after="120" w:line="240" w:lineRule="auto"/>
              <w:rPr>
                <w:rFonts w:ascii="Times New Roman" w:hAnsi="Times New Roman"/>
                <w:noProof/>
                <w:sz w:val="18"/>
              </w:rPr>
            </w:pPr>
            <w:r>
              <w:rPr>
                <w:rFonts w:ascii="Times New Roman" w:hAnsi="Times New Roman"/>
                <w:noProof/>
                <w:sz w:val="18"/>
              </w:rPr>
              <w:t>Procedură de ofertare pentru un studiu lansată în iunie 2016</w:t>
            </w:r>
          </w:p>
          <w:p w:rsidR="00D65A59" w:rsidRDefault="00A919D9">
            <w:pPr>
              <w:spacing w:after="120" w:line="240" w:lineRule="auto"/>
              <w:rPr>
                <w:rFonts w:ascii="Times New Roman" w:hAnsi="Times New Roman"/>
                <w:noProof/>
                <w:sz w:val="18"/>
              </w:rPr>
            </w:pPr>
            <w:r>
              <w:rPr>
                <w:rFonts w:ascii="Times New Roman" w:hAnsi="Times New Roman"/>
                <w:noProof/>
                <w:sz w:val="18"/>
              </w:rPr>
              <w:t>EIOPA și-a dat avizul în iulie 2016.</w:t>
            </w:r>
          </w:p>
          <w:p w:rsidR="00D65A59" w:rsidRDefault="00D65A59">
            <w:pPr>
              <w:spacing w:after="120" w:line="240" w:lineRule="auto"/>
              <w:rPr>
                <w:rFonts w:ascii="Times New Roman" w:hAnsi="Times New Roman"/>
                <w:noProof/>
                <w:sz w:val="18"/>
                <w:highlight w:val="yellow"/>
              </w:rPr>
            </w:pPr>
          </w:p>
        </w:tc>
      </w:tr>
      <w:tr w:rsidR="00D65A59">
        <w:trPr>
          <w:trHeight w:val="784"/>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Extinderea posibilităților oferite investitorilor instituționali și administratorilor de fonduri</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 xml:space="preserve">Evaluarea tratamentului </w:t>
            </w:r>
            <w:r>
              <w:rPr>
                <w:rFonts w:ascii="Times New Roman" w:hAnsi="Times New Roman"/>
                <w:b/>
                <w:i/>
                <w:noProof/>
                <w:sz w:val="18"/>
              </w:rPr>
              <w:t>prudențial al capitalului privat și al plasamentelor private în instrumente de datorie conform cadrului Solvabilitate II</w:t>
            </w: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Lucrările pregătitoare sunt în desfășurare.</w:t>
            </w:r>
          </w:p>
        </w:tc>
      </w:tr>
      <w:tr w:rsidR="00D65A59">
        <w:trPr>
          <w:trHeight w:val="784"/>
          <w:jc w:val="center"/>
        </w:trPr>
        <w:tc>
          <w:tcPr>
            <w:tcW w:w="906" w:type="pct"/>
            <w:vMerge/>
            <w:tcBorders>
              <w:left w:val="single" w:sz="12" w:space="0" w:color="000000"/>
              <w:bottom w:val="single" w:sz="12" w:space="0" w:color="auto"/>
              <w:right w:val="single" w:sz="4" w:space="0" w:color="auto"/>
            </w:tcBorders>
            <w:shd w:val="clear" w:color="auto" w:fill="auto"/>
            <w:hideMark/>
          </w:tcPr>
          <w:p w:rsidR="00D65A59" w:rsidRDefault="00D65A59">
            <w:pPr>
              <w:spacing w:after="120" w:line="240" w:lineRule="auto"/>
              <w:rPr>
                <w:rFonts w:ascii="Times New Roman" w:hAnsi="Times New Roman"/>
                <w:b/>
                <w:noProof/>
                <w:sz w:val="18"/>
              </w:rPr>
            </w:pPr>
          </w:p>
        </w:tc>
        <w:tc>
          <w:tcPr>
            <w:tcW w:w="1748" w:type="pct"/>
            <w:tcBorders>
              <w:top w:val="single" w:sz="4" w:space="0" w:color="000000"/>
              <w:left w:val="single" w:sz="4" w:space="0" w:color="auto"/>
              <w:bottom w:val="single" w:sz="12" w:space="0" w:color="auto"/>
              <w:right w:val="single" w:sz="4" w:space="0" w:color="000000"/>
            </w:tcBorders>
            <w:shd w:val="clear" w:color="auto" w:fill="auto"/>
            <w:vAlign w:val="center"/>
            <w:hideMark/>
          </w:tcPr>
          <w:p w:rsidR="00D65A59" w:rsidRDefault="00A919D9">
            <w:pPr>
              <w:spacing w:after="120" w:line="240" w:lineRule="auto"/>
              <w:rPr>
                <w:noProof/>
              </w:rPr>
            </w:pPr>
            <w:r>
              <w:rPr>
                <w:rFonts w:ascii="Times New Roman" w:hAnsi="Times New Roman"/>
                <w:b/>
                <w:i/>
                <w:noProof/>
                <w:sz w:val="18"/>
              </w:rPr>
              <w:t xml:space="preserve">Consultare privind principalele obstacole în calea distribuției transfrontaliere a </w:t>
            </w:r>
            <w:r>
              <w:rPr>
                <w:rFonts w:ascii="Times New Roman" w:hAnsi="Times New Roman"/>
                <w:b/>
                <w:i/>
                <w:noProof/>
                <w:sz w:val="18"/>
              </w:rPr>
              <w:t>fondurilor de investiții</w:t>
            </w:r>
          </w:p>
        </w:tc>
        <w:tc>
          <w:tcPr>
            <w:tcW w:w="2346" w:type="pct"/>
            <w:tcBorders>
              <w:top w:val="single" w:sz="4" w:space="0" w:color="000000"/>
              <w:left w:val="single" w:sz="4"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Consultarea publică, lansată la 2 iunie 2016, urmează să se încheie la 2 octombrie.</w:t>
            </w:r>
          </w:p>
        </w:tc>
      </w:tr>
    </w:tbl>
    <w:p w:rsidR="00D65A59" w:rsidRDefault="00D65A59">
      <w:pPr>
        <w:spacing w:after="120" w:line="240" w:lineRule="auto"/>
        <w:rPr>
          <w:rFonts w:ascii="Times New Roman" w:hAnsi="Times New Roman"/>
          <w:noProof/>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D65A59">
        <w:trPr>
          <w:trHeight w:val="331"/>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D65A59" w:rsidRDefault="00A919D9">
            <w:pPr>
              <w:spacing w:after="120" w:line="240" w:lineRule="auto"/>
              <w:jc w:val="center"/>
              <w:rPr>
                <w:rFonts w:ascii="Times New Roman" w:hAnsi="Times New Roman"/>
                <w:b/>
                <w:noProof/>
                <w:sz w:val="18"/>
              </w:rPr>
            </w:pPr>
            <w:r>
              <w:rPr>
                <w:rFonts w:ascii="Times New Roman" w:hAnsi="Times New Roman"/>
                <w:b/>
                <w:noProof/>
                <w:sz w:val="18"/>
              </w:rPr>
              <w:t>Stimularea capacității băncilor de a sprijini economia în sens larg</w:t>
            </w:r>
          </w:p>
        </w:tc>
      </w:tr>
      <w:tr w:rsidR="00D65A59">
        <w:trPr>
          <w:trHeight w:hRule="exact" w:val="323"/>
          <w:jc w:val="center"/>
        </w:trPr>
        <w:tc>
          <w:tcPr>
            <w:tcW w:w="906" w:type="pct"/>
            <w:tcBorders>
              <w:top w:val="nil"/>
              <w:left w:val="single" w:sz="12" w:space="0" w:color="000000"/>
              <w:bottom w:val="single" w:sz="12" w:space="0" w:color="auto"/>
              <w:right w:val="nil"/>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Acțiune</w:t>
            </w:r>
          </w:p>
        </w:tc>
        <w:tc>
          <w:tcPr>
            <w:tcW w:w="1748" w:type="pct"/>
            <w:tcBorders>
              <w:top w:val="nil"/>
              <w:left w:val="nil"/>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b/>
                <w:noProof/>
                <w:sz w:val="18"/>
              </w:rPr>
            </w:pPr>
            <w:r>
              <w:rPr>
                <w:rFonts w:ascii="Times New Roman" w:hAnsi="Times New Roman"/>
                <w:b/>
                <w:noProof/>
                <w:sz w:val="18"/>
              </w:rPr>
              <w:t>Progresele înregistrate și etapele următoare</w:t>
            </w:r>
          </w:p>
        </w:tc>
      </w:tr>
      <w:tr w:rsidR="00D65A59">
        <w:trPr>
          <w:trHeight w:hRule="exact" w:val="1033"/>
          <w:jc w:val="center"/>
        </w:trPr>
        <w:tc>
          <w:tcPr>
            <w:tcW w:w="906" w:type="pct"/>
            <w:tcBorders>
              <w:top w:val="nil"/>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 xml:space="preserve">Consolidarea rețelelor locale de finanțare </w:t>
            </w:r>
          </w:p>
        </w:tc>
        <w:tc>
          <w:tcPr>
            <w:tcW w:w="1748"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Extinderea capacității statelor membre de a autoriza cooperative de credit care să funcționeze în afara CRD/CRR.</w:t>
            </w: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Analizarea posibilității de modificare a CRR ca parte a revizuirii CRD/CRR</w:t>
            </w:r>
          </w:p>
        </w:tc>
      </w:tr>
      <w:tr w:rsidR="00D65A59">
        <w:trPr>
          <w:trHeight w:hRule="exact" w:val="863"/>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Dezvoltarea piețelor de</w:t>
            </w:r>
            <w:r>
              <w:rPr>
                <w:rFonts w:ascii="Times New Roman" w:hAnsi="Times New Roman"/>
                <w:b/>
                <w:noProof/>
                <w:sz w:val="18"/>
              </w:rPr>
              <w:t xml:space="preserve"> securitizare în UE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 xml:space="preserve">Propunere cu privire la produsele de securitizare simple, transparente și standardizate (STS) și revizuirea calibrărilor în privința capitalului băncilor </w:t>
            </w:r>
          </w:p>
          <w:p w:rsidR="00D65A59" w:rsidRDefault="00D65A59">
            <w:pPr>
              <w:spacing w:after="120" w:line="240" w:lineRule="auto"/>
              <w:rPr>
                <w:rFonts w:ascii="Times New Roman" w:hAnsi="Times New Roman"/>
                <w:i/>
                <w:noProof/>
                <w:sz w:val="18"/>
              </w:rPr>
            </w:pP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Abordare generală în cadrul Consiliului; în curs de examinare de către </w:t>
            </w:r>
            <w:r>
              <w:rPr>
                <w:rFonts w:ascii="Times New Roman" w:hAnsi="Times New Roman"/>
                <w:noProof/>
                <w:sz w:val="18"/>
              </w:rPr>
              <w:t>Parlamentul European. Vot în cadrul Comisiei ECON preconizat pentru luna noiembrie 2016.</w:t>
            </w:r>
          </w:p>
        </w:tc>
      </w:tr>
      <w:tr w:rsidR="00D65A59">
        <w:trPr>
          <w:trHeight w:hRule="exact" w:val="847"/>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Sprijinirea finanțării bancare a economiei în general</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i/>
                <w:noProof/>
                <w:sz w:val="18"/>
              </w:rPr>
            </w:pPr>
            <w:r>
              <w:rPr>
                <w:rFonts w:ascii="Times New Roman" w:hAnsi="Times New Roman"/>
                <w:b/>
                <w:i/>
                <w:noProof/>
                <w:sz w:val="18"/>
              </w:rPr>
              <w:t xml:space="preserve">Consultare privind instaurarea unui cadru la nivelul UE pentru obligațiunile garantate și a unor structuri </w:t>
            </w:r>
            <w:r>
              <w:rPr>
                <w:rFonts w:ascii="Times New Roman" w:hAnsi="Times New Roman"/>
                <w:b/>
                <w:i/>
                <w:noProof/>
                <w:sz w:val="18"/>
              </w:rPr>
              <w:t>similare pentru împrumuturile acordate IMM-urilor</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Consultarea s-a încheiat și a fost lansat un studiu.</w:t>
            </w:r>
          </w:p>
          <w:p w:rsidR="00D65A59" w:rsidRDefault="00D65A59">
            <w:pPr>
              <w:spacing w:after="120" w:line="240" w:lineRule="auto"/>
              <w:rPr>
                <w:rFonts w:ascii="Times New Roman" w:hAnsi="Times New Roman"/>
                <w:noProof/>
                <w:sz w:val="18"/>
              </w:rPr>
            </w:pPr>
          </w:p>
        </w:tc>
      </w:tr>
    </w:tbl>
    <w:p w:rsidR="00D65A59" w:rsidRDefault="00D65A59">
      <w:pPr>
        <w:spacing w:after="120" w:line="240" w:lineRule="auto"/>
        <w:rPr>
          <w:rFonts w:ascii="Times New Roman" w:hAnsi="Times New Roman"/>
          <w:noProof/>
          <w:sz w:val="18"/>
        </w:rPr>
      </w:pPr>
    </w:p>
    <w:p w:rsidR="00D65A59" w:rsidRDefault="00D65A59">
      <w:pPr>
        <w:spacing w:after="120" w:line="240" w:lineRule="auto"/>
        <w:rPr>
          <w:rFonts w:ascii="Times New Roman" w:hAnsi="Times New Roman"/>
          <w:noProof/>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D65A59">
        <w:trPr>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D65A59" w:rsidRDefault="00A919D9">
            <w:pPr>
              <w:spacing w:after="120" w:line="240" w:lineRule="auto"/>
              <w:jc w:val="center"/>
              <w:rPr>
                <w:rFonts w:ascii="Times New Roman" w:hAnsi="Times New Roman"/>
                <w:b/>
                <w:noProof/>
                <w:sz w:val="18"/>
              </w:rPr>
            </w:pPr>
            <w:r>
              <w:rPr>
                <w:rFonts w:ascii="Times New Roman" w:hAnsi="Times New Roman"/>
                <w:b/>
                <w:noProof/>
                <w:sz w:val="18"/>
              </w:rPr>
              <w:t>Facilitarea investițiilor transfrontaliere</w:t>
            </w:r>
          </w:p>
        </w:tc>
      </w:tr>
      <w:tr w:rsidR="00D65A59">
        <w:trPr>
          <w:trHeight w:val="270"/>
          <w:jc w:val="center"/>
        </w:trPr>
        <w:tc>
          <w:tcPr>
            <w:tcW w:w="906" w:type="pct"/>
            <w:tcBorders>
              <w:top w:val="nil"/>
              <w:left w:val="single" w:sz="12" w:space="0" w:color="000000"/>
              <w:bottom w:val="single" w:sz="12" w:space="0" w:color="auto"/>
              <w:right w:val="nil"/>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Acțiune</w:t>
            </w:r>
          </w:p>
        </w:tc>
        <w:tc>
          <w:tcPr>
            <w:tcW w:w="1748" w:type="pct"/>
            <w:tcBorders>
              <w:top w:val="nil"/>
              <w:left w:val="nil"/>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ind w:left="2" w:hanging="2"/>
              <w:rPr>
                <w:rFonts w:ascii="Times New Roman" w:hAnsi="Times New Roman"/>
                <w:b/>
                <w:noProof/>
                <w:sz w:val="18"/>
              </w:rPr>
            </w:pPr>
            <w:r>
              <w:rPr>
                <w:rFonts w:ascii="Times New Roman" w:hAnsi="Times New Roman"/>
                <w:b/>
                <w:noProof/>
                <w:sz w:val="18"/>
              </w:rPr>
              <w:t>Progresele înregistrate și etapele următoare</w:t>
            </w:r>
          </w:p>
        </w:tc>
      </w:tr>
      <w:tr w:rsidR="00D65A59">
        <w:trPr>
          <w:trHeight w:val="785"/>
          <w:jc w:val="center"/>
        </w:trPr>
        <w:tc>
          <w:tcPr>
            <w:tcW w:w="906" w:type="pct"/>
            <w:tcBorders>
              <w:top w:val="nil"/>
              <w:left w:val="single" w:sz="12" w:space="0" w:color="000000"/>
              <w:bottom w:val="single" w:sz="12" w:space="0" w:color="auto"/>
              <w:right w:val="single" w:sz="4" w:space="0" w:color="auto"/>
            </w:tcBorders>
            <w:shd w:val="clear" w:color="auto" w:fill="auto"/>
          </w:tcPr>
          <w:p w:rsidR="00D65A59" w:rsidRDefault="00A919D9">
            <w:pPr>
              <w:spacing w:after="120" w:line="240" w:lineRule="auto"/>
              <w:rPr>
                <w:rFonts w:ascii="Times New Roman" w:hAnsi="Times New Roman"/>
                <w:b/>
                <w:noProof/>
                <w:sz w:val="18"/>
              </w:rPr>
            </w:pPr>
            <w:r>
              <w:rPr>
                <w:rFonts w:ascii="Times New Roman" w:hAnsi="Times New Roman"/>
                <w:b/>
                <w:noProof/>
                <w:sz w:val="18"/>
              </w:rPr>
              <w:t xml:space="preserve">Eliminarea barierelor naționale din calea </w:t>
            </w:r>
            <w:r>
              <w:rPr>
                <w:rFonts w:ascii="Times New Roman" w:hAnsi="Times New Roman"/>
                <w:b/>
                <w:noProof/>
                <w:sz w:val="18"/>
              </w:rPr>
              <w:t>investițiilor transfrontaliere</w:t>
            </w:r>
          </w:p>
        </w:tc>
        <w:tc>
          <w:tcPr>
            <w:tcW w:w="1748"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Raport privind barierele naționale care împiedică libera circulație a capitalurilor</w:t>
            </w:r>
          </w:p>
        </w:tc>
        <w:tc>
          <w:tcPr>
            <w:tcW w:w="2346" w:type="pct"/>
            <w:tcBorders>
              <w:top w:val="nil"/>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Reuniuni ale grupului de experți alcătuit din reprezentanți ai statelor membre - în curs</w:t>
            </w:r>
          </w:p>
          <w:p w:rsidR="00D65A59" w:rsidRDefault="00A919D9">
            <w:pPr>
              <w:spacing w:after="120" w:line="240" w:lineRule="auto"/>
              <w:rPr>
                <w:rFonts w:ascii="Times New Roman" w:hAnsi="Times New Roman"/>
                <w:noProof/>
                <w:sz w:val="18"/>
              </w:rPr>
            </w:pPr>
            <w:r>
              <w:rPr>
                <w:rFonts w:ascii="Times New Roman" w:hAnsi="Times New Roman"/>
                <w:noProof/>
                <w:sz w:val="18"/>
              </w:rPr>
              <w:t xml:space="preserve">Urmează să se adopte o comunicare până la sfârșitul </w:t>
            </w:r>
            <w:r>
              <w:rPr>
                <w:rFonts w:ascii="Times New Roman" w:hAnsi="Times New Roman"/>
                <w:noProof/>
                <w:sz w:val="18"/>
              </w:rPr>
              <w:t>anului 2016.</w:t>
            </w:r>
          </w:p>
        </w:tc>
      </w:tr>
      <w:tr w:rsidR="00D65A59">
        <w:trPr>
          <w:trHeight w:val="717"/>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Ameliorarea infrastructurii de piață pentru investiții transfrontaliere</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Acțiuni specifice privind normele referitoare la proprietatea asupra titlurilor de valoare și efectele cesionării creanțelor asupra terților</w:t>
            </w: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Procedură de ofertare pentru </w:t>
            </w:r>
            <w:r>
              <w:rPr>
                <w:rFonts w:ascii="Times New Roman" w:hAnsi="Times New Roman"/>
                <w:noProof/>
                <w:sz w:val="18"/>
              </w:rPr>
              <w:t>un studiu lansată în august 2016</w:t>
            </w:r>
          </w:p>
        </w:tc>
      </w:tr>
      <w:tr w:rsidR="00D65A59">
        <w:trPr>
          <w:trHeight w:val="533"/>
          <w:jc w:val="center"/>
        </w:trPr>
        <w:tc>
          <w:tcPr>
            <w:tcW w:w="906" w:type="pct"/>
            <w:vMerge/>
            <w:tcBorders>
              <w:left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single" w:sz="4" w:space="0" w:color="000000"/>
              <w:left w:val="single" w:sz="4" w:space="0" w:color="auto"/>
              <w:bottom w:val="nil"/>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Evaluarea progreselor realizate în ceea ce privește înlăturarea barierelor care există în continuare, identificate în raportul Giovannini</w:t>
            </w:r>
          </w:p>
        </w:tc>
        <w:tc>
          <w:tcPr>
            <w:tcW w:w="2346" w:type="pct"/>
            <w:tcBorders>
              <w:top w:val="single" w:sz="4" w:space="0" w:color="000000"/>
              <w:left w:val="single" w:sz="4" w:space="0" w:color="auto"/>
              <w:bottom w:val="nil"/>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 xml:space="preserve">Grupul de experți urmează să își încheie lucrările la începutul anului 2017; </w:t>
            </w:r>
            <w:r>
              <w:rPr>
                <w:rFonts w:ascii="Times New Roman" w:hAnsi="Times New Roman"/>
                <w:noProof/>
                <w:sz w:val="18"/>
              </w:rPr>
              <w:t>urmează o consultare a Comisiei.</w:t>
            </w:r>
          </w:p>
        </w:tc>
      </w:tr>
      <w:tr w:rsidR="00D65A59">
        <w:trPr>
          <w:trHeight w:val="904"/>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hideMark/>
          </w:tcPr>
          <w:p w:rsidR="00D65A59" w:rsidRDefault="00A919D9">
            <w:pPr>
              <w:spacing w:after="120" w:line="240" w:lineRule="auto"/>
              <w:rPr>
                <w:rFonts w:ascii="Times New Roman" w:hAnsi="Times New Roman"/>
                <w:b/>
                <w:noProof/>
                <w:sz w:val="18"/>
              </w:rPr>
            </w:pPr>
            <w:r>
              <w:rPr>
                <w:rFonts w:ascii="Times New Roman" w:hAnsi="Times New Roman"/>
                <w:b/>
                <w:noProof/>
                <w:sz w:val="18"/>
              </w:rPr>
              <w:t>Promovarea convergenței procedurilor de insolvență</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hideMark/>
          </w:tcPr>
          <w:p w:rsidR="00D65A59" w:rsidRDefault="00A919D9">
            <w:pPr>
              <w:spacing w:after="120" w:line="240" w:lineRule="auto"/>
              <w:rPr>
                <w:noProof/>
              </w:rPr>
            </w:pPr>
            <w:r>
              <w:rPr>
                <w:rFonts w:ascii="Times New Roman" w:hAnsi="Times New Roman"/>
                <w:b/>
                <w:i/>
                <w:noProof/>
                <w:sz w:val="18"/>
              </w:rPr>
              <w:t xml:space="preserve">Legislația în materie de insolvență </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O propunere legislativă privind restructurarea întreprinderilor și cea de a doua șansă urmează a fi prezentată în toamna anului 2016;</w:t>
            </w:r>
          </w:p>
          <w:p w:rsidR="00D65A59" w:rsidRDefault="00A919D9">
            <w:pPr>
              <w:spacing w:after="120" w:line="240" w:lineRule="auto"/>
              <w:rPr>
                <w:rFonts w:ascii="Times New Roman" w:hAnsi="Times New Roman"/>
                <w:noProof/>
                <w:sz w:val="18"/>
              </w:rPr>
            </w:pPr>
            <w:r>
              <w:rPr>
                <w:rFonts w:ascii="Times New Roman" w:hAnsi="Times New Roman"/>
                <w:noProof/>
                <w:sz w:val="18"/>
              </w:rPr>
              <w:t>Analiză comparativă a regimurilor de executare silită a împrumuturilor (inclusiv a regimului insolvenței).</w:t>
            </w:r>
          </w:p>
        </w:tc>
      </w:tr>
      <w:tr w:rsidR="00D65A59">
        <w:trPr>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Îndepărtarea obstacolelor fiscale transfrontaliere</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 xml:space="preserve">Bune practici și coduri de conduită pentru procedurile de scutire la sursă de taxele cu reținere la sursă </w:t>
            </w:r>
          </w:p>
          <w:p w:rsidR="00D65A59" w:rsidRDefault="00D65A59">
            <w:pPr>
              <w:pStyle w:val="ListParagraph"/>
              <w:spacing w:after="120" w:line="240" w:lineRule="auto"/>
              <w:ind w:left="360"/>
              <w:rPr>
                <w:rFonts w:ascii="Times New Roman" w:hAnsi="Times New Roman"/>
                <w:noProof/>
                <w:sz w:val="18"/>
              </w:rPr>
            </w:pP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 xml:space="preserve">Schimburi de bune practici în cadrul grupului de experți privind obstacolele în calea liberei circulații a capitalurilor </w:t>
            </w:r>
          </w:p>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Rezultatele grupului de co</w:t>
            </w:r>
            <w:r>
              <w:rPr>
                <w:rFonts w:ascii="Times New Roman" w:hAnsi="Times New Roman"/>
                <w:noProof/>
                <w:sz w:val="18"/>
              </w:rPr>
              <w:t xml:space="preserve">ordonare privind armonizarea T2S (BCE) </w:t>
            </w:r>
          </w:p>
          <w:p w:rsidR="00D65A59" w:rsidRDefault="00A919D9">
            <w:pPr>
              <w:spacing w:after="120" w:line="240" w:lineRule="auto"/>
              <w:rPr>
                <w:rFonts w:ascii="Times New Roman" w:hAnsi="Times New Roman"/>
                <w:noProof/>
                <w:sz w:val="18"/>
              </w:rPr>
            </w:pPr>
            <w:r>
              <w:rPr>
                <w:rFonts w:ascii="Times New Roman" w:hAnsi="Times New Roman"/>
                <w:noProof/>
                <w:sz w:val="18"/>
              </w:rPr>
              <w:t>Stabilirea următoarelor etape în comunicarea privind barierele în calea liberei circulații a capitalurilor</w:t>
            </w:r>
          </w:p>
        </w:tc>
      </w:tr>
      <w:tr w:rsidR="00D65A59">
        <w:trPr>
          <w:jc w:val="center"/>
        </w:trPr>
        <w:tc>
          <w:tcPr>
            <w:tcW w:w="906" w:type="pct"/>
            <w:vMerge/>
            <w:tcBorders>
              <w:left w:val="single" w:sz="12" w:space="0" w:color="000000"/>
              <w:bottom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single" w:sz="4" w:space="0" w:color="000000"/>
              <w:left w:val="single" w:sz="4" w:space="0" w:color="auto"/>
              <w:bottom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b/>
                <w:i/>
                <w:noProof/>
                <w:sz w:val="18"/>
              </w:rPr>
              <w:t xml:space="preserve">Studiu privind obstacolele fiscale discriminatorii care împiedică investițiile transfrontaliere ale fondurilor de pensii și ale societăților de asigurări de viață </w:t>
            </w:r>
          </w:p>
        </w:tc>
        <w:tc>
          <w:tcPr>
            <w:tcW w:w="2346" w:type="pct"/>
            <w:tcBorders>
              <w:top w:val="single" w:sz="4" w:space="0" w:color="000000"/>
              <w:left w:val="single" w:sz="4" w:space="0" w:color="auto"/>
              <w:bottom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Mandat în curs de pregătire</w:t>
            </w:r>
          </w:p>
        </w:tc>
      </w:tr>
      <w:tr w:rsidR="00D65A59">
        <w:trPr>
          <w:trHeight w:hRule="exact" w:val="1172"/>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D65A59" w:rsidRDefault="00A919D9">
            <w:pPr>
              <w:spacing w:after="120" w:line="240" w:lineRule="auto"/>
              <w:rPr>
                <w:rFonts w:ascii="Times New Roman" w:hAnsi="Times New Roman"/>
                <w:b/>
                <w:noProof/>
                <w:sz w:val="18"/>
              </w:rPr>
            </w:pPr>
            <w:r>
              <w:rPr>
                <w:rFonts w:ascii="Times New Roman" w:hAnsi="Times New Roman"/>
                <w:b/>
                <w:noProof/>
                <w:sz w:val="18"/>
              </w:rPr>
              <w:t xml:space="preserve">Consolidarea convergenței în materie de supraveghere și a </w:t>
            </w:r>
            <w:r>
              <w:rPr>
                <w:rFonts w:ascii="Times New Roman" w:hAnsi="Times New Roman"/>
                <w:b/>
                <w:noProof/>
                <w:sz w:val="18"/>
              </w:rPr>
              <w:t>dezvoltării capacității pieței de capital</w:t>
            </w:r>
          </w:p>
        </w:tc>
        <w:tc>
          <w:tcPr>
            <w:tcW w:w="1748" w:type="pct"/>
            <w:tcBorders>
              <w:top w:val="single" w:sz="12" w:space="0" w:color="000000"/>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O strategie privind convergența în materie de supraveghere pentru a îmbunătăți funcționarea pieței unice de capital</w:t>
            </w:r>
          </w:p>
          <w:p w:rsidR="00D65A59" w:rsidRDefault="00D65A59">
            <w:pPr>
              <w:pStyle w:val="ListParagraph"/>
              <w:spacing w:after="120" w:line="240" w:lineRule="auto"/>
              <w:ind w:left="360"/>
              <w:rPr>
                <w:rFonts w:ascii="Times New Roman" w:hAnsi="Times New Roman"/>
                <w:noProof/>
                <w:sz w:val="18"/>
              </w:rPr>
            </w:pPr>
          </w:p>
        </w:tc>
        <w:tc>
          <w:tcPr>
            <w:tcW w:w="2346" w:type="pct"/>
            <w:tcBorders>
              <w:top w:val="single" w:sz="12" w:space="0" w:color="000000"/>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cs="Times New Roman"/>
                <w:noProof/>
                <w:sz w:val="18"/>
                <w:szCs w:val="18"/>
              </w:rPr>
            </w:pPr>
            <w:r>
              <w:rPr>
                <w:rFonts w:ascii="Times New Roman" w:hAnsi="Times New Roman"/>
                <w:noProof/>
                <w:sz w:val="18"/>
              </w:rPr>
              <w:t>Punerea în aplicare a primului program anual al ESMA privind convergența în materie de supraveghe</w:t>
            </w:r>
            <w:r>
              <w:rPr>
                <w:rFonts w:ascii="Times New Roman" w:hAnsi="Times New Roman"/>
                <w:noProof/>
                <w:sz w:val="18"/>
              </w:rPr>
              <w:t>re este în curs.</w:t>
            </w:r>
          </w:p>
          <w:p w:rsidR="00D65A59" w:rsidRDefault="00A919D9">
            <w:pPr>
              <w:spacing w:after="120" w:line="240" w:lineRule="auto"/>
              <w:rPr>
                <w:noProof/>
                <w:sz w:val="18"/>
              </w:rPr>
            </w:pPr>
            <w:r>
              <w:rPr>
                <w:rFonts w:ascii="Times New Roman" w:hAnsi="Times New Roman"/>
                <w:noProof/>
                <w:sz w:val="18"/>
              </w:rPr>
              <w:t xml:space="preserve">Au loc discuții privind elaborarea unui program de lucru pe 2017 privind convergența în materie de supraveghere. </w:t>
            </w:r>
          </w:p>
        </w:tc>
      </w:tr>
      <w:tr w:rsidR="00D65A59">
        <w:trPr>
          <w:trHeight w:hRule="exact" w:val="629"/>
          <w:jc w:val="center"/>
        </w:trPr>
        <w:tc>
          <w:tcPr>
            <w:tcW w:w="906" w:type="pct"/>
            <w:vMerge/>
            <w:tcBorders>
              <w:left w:val="single" w:sz="12" w:space="0" w:color="000000"/>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Carte albă privind guvernanța și finanțarea AES</w:t>
            </w:r>
          </w:p>
          <w:p w:rsidR="00D65A59" w:rsidRDefault="00D65A59">
            <w:pPr>
              <w:spacing w:after="120" w:line="240" w:lineRule="auto"/>
              <w:rPr>
                <w:noProof/>
              </w:rPr>
            </w:pPr>
          </w:p>
        </w:tc>
        <w:tc>
          <w:tcPr>
            <w:tcW w:w="2346" w:type="pct"/>
            <w:tcBorders>
              <w:top w:val="single" w:sz="4" w:space="0" w:color="auto"/>
              <w:left w:val="single" w:sz="4" w:space="0" w:color="auto"/>
              <w:bottom w:val="single" w:sz="4"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Au loc lucrări pregătitoare în vederea adoptării unei cărți albe.</w:t>
            </w:r>
          </w:p>
        </w:tc>
      </w:tr>
      <w:tr w:rsidR="00D65A59">
        <w:trPr>
          <w:trHeight w:hRule="exact" w:val="1193"/>
          <w:jc w:val="center"/>
        </w:trPr>
        <w:tc>
          <w:tcPr>
            <w:tcW w:w="906" w:type="pct"/>
            <w:vMerge/>
            <w:tcBorders>
              <w:left w:val="single" w:sz="12" w:space="0" w:color="000000"/>
              <w:bottom w:val="single" w:sz="12" w:space="0" w:color="auto"/>
              <w:right w:val="single" w:sz="4" w:space="0" w:color="auto"/>
            </w:tcBorders>
            <w:shd w:val="clear" w:color="auto" w:fill="auto"/>
            <w:vAlign w:val="center"/>
          </w:tcPr>
          <w:p w:rsidR="00D65A59" w:rsidRDefault="00D65A59">
            <w:pPr>
              <w:spacing w:after="120" w:line="240" w:lineRule="auto"/>
              <w:rPr>
                <w:rFonts w:ascii="Times New Roman" w:hAnsi="Times New Roman"/>
                <w:b/>
                <w:noProof/>
                <w:sz w:val="18"/>
              </w:rPr>
            </w:pPr>
          </w:p>
        </w:tc>
        <w:tc>
          <w:tcPr>
            <w:tcW w:w="1748"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b/>
                <w:i/>
                <w:noProof/>
                <w:sz w:val="18"/>
              </w:rPr>
            </w:pPr>
            <w:r>
              <w:rPr>
                <w:rFonts w:ascii="Times New Roman" w:hAnsi="Times New Roman"/>
                <w:b/>
                <w:i/>
                <w:noProof/>
                <w:sz w:val="18"/>
              </w:rPr>
              <w:t>Acordarea de asistență tehnică statelor membre în vederea sprijinirii capacității piețelor de capital</w:t>
            </w:r>
          </w:p>
          <w:p w:rsidR="00D65A59" w:rsidRDefault="00D65A59">
            <w:pPr>
              <w:pStyle w:val="ListParagraph"/>
              <w:spacing w:after="120" w:line="240" w:lineRule="auto"/>
              <w:ind w:left="360"/>
              <w:rPr>
                <w:rFonts w:ascii="Times New Roman" w:hAnsi="Times New Roman"/>
                <w:noProof/>
                <w:sz w:val="18"/>
              </w:rPr>
            </w:pPr>
          </w:p>
        </w:tc>
        <w:tc>
          <w:tcPr>
            <w:tcW w:w="2346" w:type="pct"/>
            <w:tcBorders>
              <w:top w:val="single" w:sz="4"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Parlamentul European și Consiliul urmează să adopte Regulamentul privind PSRS.</w:t>
            </w:r>
          </w:p>
          <w:p w:rsidR="00D65A59" w:rsidRDefault="00A919D9">
            <w:pPr>
              <w:spacing w:after="120" w:line="240" w:lineRule="auto"/>
              <w:rPr>
                <w:rFonts w:ascii="Times New Roman" w:hAnsi="Times New Roman"/>
                <w:noProof/>
                <w:sz w:val="18"/>
              </w:rPr>
            </w:pPr>
            <w:r>
              <w:rPr>
                <w:rFonts w:ascii="Times New Roman" w:hAnsi="Times New Roman"/>
                <w:noProof/>
                <w:sz w:val="18"/>
              </w:rPr>
              <w:t>Se colaborează cu statele membre pentru identificarea domeniilor prioritar</w:t>
            </w:r>
            <w:r>
              <w:rPr>
                <w:rFonts w:ascii="Times New Roman" w:hAnsi="Times New Roman"/>
                <w:noProof/>
                <w:sz w:val="18"/>
              </w:rPr>
              <w:t xml:space="preserve">e de asistență tehnică. </w:t>
            </w:r>
          </w:p>
        </w:tc>
      </w:tr>
      <w:tr w:rsidR="00D65A59">
        <w:trPr>
          <w:trHeight w:hRule="exact" w:val="875"/>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hideMark/>
          </w:tcPr>
          <w:p w:rsidR="00D65A59" w:rsidRDefault="00A919D9">
            <w:pPr>
              <w:spacing w:after="120" w:line="240" w:lineRule="auto"/>
              <w:rPr>
                <w:rFonts w:ascii="Times New Roman" w:hAnsi="Times New Roman"/>
                <w:b/>
                <w:noProof/>
                <w:sz w:val="18"/>
              </w:rPr>
            </w:pPr>
            <w:r>
              <w:rPr>
                <w:rFonts w:ascii="Times New Roman" w:hAnsi="Times New Roman"/>
                <w:b/>
                <w:noProof/>
                <w:sz w:val="18"/>
              </w:rPr>
              <w:t>Stabilitate financiară</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hideMark/>
          </w:tcPr>
          <w:p w:rsidR="00D65A59" w:rsidRDefault="00A919D9">
            <w:pPr>
              <w:spacing w:after="120" w:line="240" w:lineRule="auto"/>
              <w:rPr>
                <w:rFonts w:ascii="Times New Roman" w:hAnsi="Times New Roman"/>
                <w:noProof/>
                <w:sz w:val="18"/>
              </w:rPr>
            </w:pPr>
            <w:r>
              <w:rPr>
                <w:rFonts w:ascii="Times New Roman" w:hAnsi="Times New Roman"/>
                <w:b/>
                <w:i/>
                <w:noProof/>
                <w:sz w:val="18"/>
              </w:rPr>
              <w:t>Revizuirea cadrului macroprudențial al UE</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D65A59" w:rsidRDefault="00A919D9">
            <w:pPr>
              <w:spacing w:after="120" w:line="240" w:lineRule="auto"/>
              <w:rPr>
                <w:rFonts w:ascii="Times New Roman" w:hAnsi="Times New Roman"/>
                <w:noProof/>
                <w:sz w:val="18"/>
              </w:rPr>
            </w:pPr>
            <w:r>
              <w:rPr>
                <w:rFonts w:ascii="Times New Roman" w:hAnsi="Times New Roman"/>
                <w:noProof/>
                <w:sz w:val="18"/>
              </w:rPr>
              <w:t>Rezultatele consultării publice lansate la 1 august 2016 urmează să fie utilizate ca bază pentru propunerea legislativă.</w:t>
            </w:r>
          </w:p>
        </w:tc>
      </w:tr>
    </w:tbl>
    <w:p w:rsidR="00D65A59" w:rsidRDefault="00D65A59">
      <w:pPr>
        <w:rPr>
          <w:rFonts w:ascii="Times New Roman" w:hAnsi="Times New Roman" w:cs="Times New Roman"/>
          <w:noProof/>
          <w:sz w:val="24"/>
          <w:szCs w:val="24"/>
        </w:rPr>
      </w:pPr>
    </w:p>
    <w:sectPr w:rsidR="00D65A5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A59" w:rsidRDefault="00A919D9">
      <w:pPr>
        <w:spacing w:after="0" w:line="240" w:lineRule="auto"/>
      </w:pPr>
      <w:r>
        <w:separator/>
      </w:r>
    </w:p>
  </w:endnote>
  <w:endnote w:type="continuationSeparator" w:id="0">
    <w:p w:rsidR="00D65A59" w:rsidRDefault="00A919D9">
      <w:pPr>
        <w:spacing w:after="0" w:line="240" w:lineRule="auto"/>
      </w:pPr>
      <w:r>
        <w:continuationSeparator/>
      </w:r>
    </w:p>
  </w:endnote>
  <w:endnote w:type="continuationNotice" w:id="1">
    <w:p w:rsidR="00D65A59" w:rsidRDefault="00D65A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9D9" w:rsidRPr="00A919D9" w:rsidRDefault="00A919D9" w:rsidP="00A919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9D9" w:rsidRPr="00A919D9" w:rsidRDefault="00A919D9" w:rsidP="00A919D9">
    <w:pPr>
      <w:pStyle w:val="FooterCoverPage"/>
      <w:rPr>
        <w:rFonts w:ascii="Arial" w:hAnsi="Arial" w:cs="Arial"/>
        <w:b/>
        <w:sz w:val="48"/>
      </w:rPr>
    </w:pPr>
    <w:r w:rsidRPr="00A919D9">
      <w:rPr>
        <w:rFonts w:ascii="Arial" w:hAnsi="Arial" w:cs="Arial"/>
        <w:b/>
        <w:sz w:val="48"/>
      </w:rPr>
      <w:t>RO</w:t>
    </w:r>
    <w:r w:rsidRPr="00A919D9">
      <w:rPr>
        <w:rFonts w:ascii="Arial" w:hAnsi="Arial" w:cs="Arial"/>
        <w:b/>
        <w:sz w:val="48"/>
      </w:rPr>
      <w:tab/>
    </w:r>
    <w:r w:rsidRPr="00A919D9">
      <w:rPr>
        <w:rFonts w:ascii="Arial" w:hAnsi="Arial" w:cs="Arial"/>
        <w:b/>
        <w:sz w:val="48"/>
      </w:rPr>
      <w:tab/>
    </w:r>
    <w:fldSimple w:instr=" DOCVARIABLE &quot;LW_Confidence&quot; \* MERGEFORMAT ">
      <w:r>
        <w:t xml:space="preserve"> </w:t>
      </w:r>
    </w:fldSimple>
    <w:r w:rsidRPr="00A919D9">
      <w:tab/>
    </w:r>
    <w:r w:rsidRPr="00A919D9">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9D9" w:rsidRPr="00A919D9" w:rsidRDefault="00A919D9" w:rsidP="00A919D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A59" w:rsidRDefault="00D65A5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770826"/>
      <w:docPartObj>
        <w:docPartGallery w:val="Page Numbers (Bottom of Page)"/>
        <w:docPartUnique/>
      </w:docPartObj>
    </w:sdtPr>
    <w:sdtEndPr>
      <w:rPr>
        <w:rFonts w:ascii="Times New Roman" w:hAnsi="Times New Roman" w:cs="Times New Roman"/>
        <w:noProof/>
      </w:rPr>
    </w:sdtEndPr>
    <w:sdtContent>
      <w:p w:rsidR="00D65A59" w:rsidRDefault="00A919D9">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rsidR="00D65A59" w:rsidRDefault="00D65A5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A59" w:rsidRDefault="00D65A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A59" w:rsidRDefault="00A919D9">
      <w:pPr>
        <w:spacing w:after="0" w:line="240" w:lineRule="auto"/>
      </w:pPr>
      <w:r>
        <w:separator/>
      </w:r>
    </w:p>
  </w:footnote>
  <w:footnote w:type="continuationSeparator" w:id="0">
    <w:p w:rsidR="00D65A59" w:rsidRDefault="00A919D9">
      <w:pPr>
        <w:spacing w:after="0" w:line="240" w:lineRule="auto"/>
      </w:pPr>
      <w:r>
        <w:continuationSeparator/>
      </w:r>
    </w:p>
  </w:footnote>
  <w:footnote w:type="continuationNotice" w:id="1">
    <w:p w:rsidR="00D65A59" w:rsidRDefault="00D65A59">
      <w:pPr>
        <w:spacing w:after="0" w:line="240" w:lineRule="auto"/>
      </w:pPr>
    </w:p>
  </w:footnote>
  <w:footnote w:id="2">
    <w:p w:rsidR="00D65A59" w:rsidRDefault="00A919D9">
      <w:pPr>
        <w:pStyle w:val="FootnoteText"/>
        <w:tabs>
          <w:tab w:val="left" w:pos="426"/>
        </w:tab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Plan de acțiune privind edificarea unei Uniuni a piețelor de capital, COM(2015) 468 final, 30.9.2015. </w:t>
      </w:r>
    </w:p>
  </w:footnote>
  <w:footnote w:id="3">
    <w:p w:rsidR="00D65A59" w:rsidRDefault="00A919D9">
      <w:pPr>
        <w:pStyle w:val="FootnoteText"/>
        <w:tabs>
          <w:tab w:val="left" w:pos="426"/>
        </w:tabs>
        <w:ind w:left="426" w:hanging="426"/>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Comunicarea Comisiei din 1 iunie 2016 intitulată „Realizarea Agendei privind piața unică pentru susținerea creării de locuri de muncă, a creșterii </w:t>
      </w:r>
      <w:r>
        <w:rPr>
          <w:rFonts w:ascii="Times New Roman" w:hAnsi="Times New Roman"/>
        </w:rPr>
        <w:t>economice și a investițiilor”, COM(2016) 361.</w:t>
      </w:r>
    </w:p>
  </w:footnote>
  <w:footnote w:id="4">
    <w:p w:rsidR="00D65A59" w:rsidRDefault="00A919D9">
      <w:pPr>
        <w:pStyle w:val="FootnoteText"/>
        <w:tabs>
          <w:tab w:val="left" w:pos="426"/>
        </w:tabs>
        <w:ind w:left="426" w:hanging="426"/>
        <w:jc w:val="both"/>
      </w:pPr>
      <w:r>
        <w:rPr>
          <w:rStyle w:val="FootnoteReference"/>
        </w:rPr>
        <w:footnoteRef/>
      </w:r>
      <w:r>
        <w:t xml:space="preserve"> </w:t>
      </w:r>
      <w:r>
        <w:tab/>
      </w:r>
      <w:r>
        <w:rPr>
          <w:rFonts w:ascii="Times New Roman" w:hAnsi="Times New Roman"/>
        </w:rPr>
        <w:t>Concluziile Consiliului European, EUCO 26/16, 28 iunie 2016.</w:t>
      </w:r>
    </w:p>
  </w:footnote>
  <w:footnote w:id="5">
    <w:p w:rsidR="00D65A59" w:rsidRDefault="00A919D9">
      <w:pPr>
        <w:pStyle w:val="FootnoteText"/>
        <w:tabs>
          <w:tab w:val="left" w:pos="426"/>
        </w:tabs>
        <w:ind w:left="426" w:hanging="426"/>
        <w:jc w:val="both"/>
      </w:pPr>
      <w:r>
        <w:rPr>
          <w:rStyle w:val="FootnoteReference"/>
        </w:rPr>
        <w:footnoteRef/>
      </w:r>
      <w:r>
        <w:t xml:space="preserve"> </w:t>
      </w:r>
      <w:r>
        <w:tab/>
      </w:r>
      <w:r>
        <w:rPr>
          <w:rFonts w:ascii="Times New Roman" w:hAnsi="Times New Roman"/>
        </w:rPr>
        <w:t>Propunere de regulament de stabilire a unor norme comune privind securitizarea și de creare a unui cadru european pentru o securitizare simplă,</w:t>
      </w:r>
      <w:r>
        <w:rPr>
          <w:rFonts w:ascii="Times New Roman" w:hAnsi="Times New Roman"/>
        </w:rPr>
        <w:t xml:space="preserve"> transparentă și standardizată, COM(2015) 472 final, 30.9.2015; Propunere de regulament de modificare a Regulamentului (UE) nr. 575/2013 privind cerințele prudențiale pentru instituțiile de credit și firmele de investiții, COM(2015) 473 final, 30.9.2015.</w:t>
      </w:r>
    </w:p>
  </w:footnote>
  <w:footnote w:id="6">
    <w:p w:rsidR="00D65A59" w:rsidRDefault="00A919D9">
      <w:pPr>
        <w:pStyle w:val="FootnoteText"/>
        <w:tabs>
          <w:tab w:val="left" w:pos="426"/>
        </w:tabs>
        <w:ind w:left="426" w:hanging="426"/>
        <w:jc w:val="both"/>
      </w:pPr>
      <w:r>
        <w:rPr>
          <w:rStyle w:val="FootnoteReference"/>
        </w:rPr>
        <w:footnoteRef/>
      </w:r>
      <w:r>
        <w:t xml:space="preserve"> </w:t>
      </w:r>
      <w:r>
        <w:tab/>
      </w:r>
      <w:r>
        <w:rPr>
          <w:rFonts w:ascii="Times New Roman" w:hAnsi="Times New Roman"/>
        </w:rPr>
        <w:t>Propunere de regulament privind prospectul care trebuie publicat în cazul unei oferte publice de valori mobiliare sau al admiterii de valori mobiliare la tranzacționare, COM(2015) 583 final, 30.11.2015.</w:t>
      </w:r>
    </w:p>
  </w:footnote>
  <w:footnote w:id="7">
    <w:p w:rsidR="00D65A59" w:rsidRDefault="00A919D9">
      <w:pPr>
        <w:pStyle w:val="FootnoteText"/>
        <w:tabs>
          <w:tab w:val="left" w:pos="426"/>
        </w:tabs>
        <w:ind w:left="426" w:hanging="426"/>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Propunere de regulament de instituire a Programu</w:t>
      </w:r>
      <w:r>
        <w:rPr>
          <w:rFonts w:ascii="Times New Roman" w:hAnsi="Times New Roman"/>
        </w:rPr>
        <w:t>lui de sprijin pentru reforme structurale pentru perioada 2017</w:t>
      </w:r>
      <w:r>
        <w:softHyphen/>
      </w:r>
      <w:r>
        <w:rPr>
          <w:rFonts w:ascii="Times New Roman" w:hAnsi="Times New Roman"/>
        </w:rPr>
        <w:t>2020, COM(2015) 701 final, 26.11.2015.</w:t>
      </w:r>
    </w:p>
  </w:footnote>
  <w:footnote w:id="8">
    <w:p w:rsidR="00D65A59" w:rsidRDefault="00A919D9">
      <w:pPr>
        <w:pStyle w:val="FootnoteText"/>
        <w:tabs>
          <w:tab w:val="left" w:pos="426"/>
        </w:tab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Propunerea privind baza fiscală consolidată comună a societăților va stimula convergența în definirea bazelor fiscale naționale. Aceasta va fi însoțită</w:t>
      </w:r>
      <w:r>
        <w:rPr>
          <w:rFonts w:ascii="Times New Roman" w:hAnsi="Times New Roman"/>
        </w:rPr>
        <w:t xml:space="preserve"> de o propunere separată (CCCTB) menită să stabilească o abordare comună a „consolidării” impozitului pe profit datorat de societățile care își desfășoară activitatea în două sau mai multe state membre.</w:t>
      </w:r>
    </w:p>
  </w:footnote>
  <w:footnote w:id="9">
    <w:p w:rsidR="00D65A59" w:rsidRDefault="00A919D9">
      <w:pPr>
        <w:pStyle w:val="FootnoteText"/>
        <w:tabs>
          <w:tab w:val="left" w:pos="426"/>
        </w:tab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Produsele de pensii private sunt produse individua</w:t>
      </w:r>
      <w:r>
        <w:rPr>
          <w:rFonts w:ascii="Times New Roman" w:hAnsi="Times New Roman"/>
        </w:rPr>
        <w:t>le de economii în scop de pensionare care sunt complementare sistemelor de pensii stat sau de pensii ocupaționale, dar distincte de acestea. Eforturile de a dezvolta aceste piețe vor completa acordarea de pensii prin intermediul sistemelor de pensii stat s</w:t>
      </w:r>
      <w:r>
        <w:rPr>
          <w:rFonts w:ascii="Times New Roman" w:hAnsi="Times New Roman"/>
        </w:rPr>
        <w:t>au de pensii ocupaționale.</w:t>
      </w:r>
    </w:p>
  </w:footnote>
  <w:footnote w:id="10">
    <w:p w:rsidR="00D65A59" w:rsidRDefault="00A919D9">
      <w:pPr>
        <w:pStyle w:val="FootnoteText"/>
        <w:tabs>
          <w:tab w:val="left" w:pos="426"/>
        </w:tabs>
        <w:ind w:left="426" w:hanging="426"/>
        <w:jc w:val="both"/>
      </w:pPr>
      <w:r>
        <w:rPr>
          <w:rStyle w:val="FootnoteReference"/>
        </w:rPr>
        <w:footnoteRef/>
      </w:r>
      <w:r>
        <w:t xml:space="preserve"> </w:t>
      </w:r>
      <w:r>
        <w:tab/>
      </w:r>
      <w:r>
        <w:rPr>
          <w:rFonts w:ascii="Times New Roman" w:hAnsi="Times New Roman"/>
        </w:rPr>
        <w:t xml:space="preserve">Consultare privind uniunea piețelor de capital: acțiuni privind un eventual cadru UE pentru pensiile private, 27.7.2016. </w:t>
      </w:r>
    </w:p>
  </w:footnote>
  <w:footnote w:id="11">
    <w:p w:rsidR="00D65A59" w:rsidRDefault="00A919D9">
      <w:pPr>
        <w:pStyle w:val="FootnoteText"/>
        <w:tabs>
          <w:tab w:val="left" w:pos="426"/>
        </w:tab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conformitate cu angajamentele asumate de UE în cadrul Agendei 2030 pentru dezvoltare durabilă și a</w:t>
      </w:r>
      <w:r>
        <w:rPr>
          <w:rFonts w:ascii="Times New Roman" w:hAnsi="Times New Roman"/>
        </w:rPr>
        <w:t xml:space="preserve"> obiectivelor UE 2020 și 2030 privind clima și energia.</w:t>
      </w:r>
    </w:p>
  </w:footnote>
  <w:footnote w:id="12">
    <w:p w:rsidR="00D65A59" w:rsidRDefault="00A919D9">
      <w:pPr>
        <w:pStyle w:val="FootnoteText"/>
        <w:tabs>
          <w:tab w:val="left" w:pos="426"/>
        </w:tab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Comunicare intitulată „Închiderea buclei - un plan de acțiune al UE pentru economia circulară, COM(2015) 614 final, 2.12.2015.</w:t>
      </w:r>
    </w:p>
  </w:footnote>
  <w:footnote w:id="13">
    <w:p w:rsidR="00D65A59" w:rsidRDefault="00A919D9">
      <w:pPr>
        <w:tabs>
          <w:tab w:val="left" w:pos="426"/>
        </w:tabs>
        <w:spacing w:after="0" w:line="240" w:lineRule="auto"/>
        <w:ind w:left="426" w:hanging="426"/>
        <w:jc w:val="both"/>
        <w:rPr>
          <w:i/>
          <w:iCs/>
          <w:color w:val="1F497D"/>
        </w:rPr>
      </w:pPr>
      <w:r>
        <w:rPr>
          <w:rStyle w:val="FootnoteReference"/>
        </w:rPr>
        <w:footnoteRef/>
      </w:r>
      <w:r>
        <w:t xml:space="preserve"> </w:t>
      </w:r>
      <w:r>
        <w:tab/>
      </w:r>
      <w:r>
        <w:rPr>
          <w:rFonts w:ascii="Times New Roman" w:hAnsi="Times New Roman"/>
          <w:sz w:val="20"/>
        </w:rPr>
        <w:t>Comunicatul reuniunii la nivel înalt G20 de la Hangzhou la nivel în</w:t>
      </w:r>
      <w:r>
        <w:rPr>
          <w:rFonts w:ascii="Times New Roman" w:hAnsi="Times New Roman"/>
          <w:sz w:val="20"/>
        </w:rPr>
        <w:t>alt (4-5 septembrie) salută raportul grupului de studiu G20 pentru finanțarea combaterii schimbărilor climatice privind promovarea unei finanțări eficiente și transparente și mobilizarea finanțării combaterii schimbărilor climatice pentru a spori gradul de</w:t>
      </w:r>
      <w:r>
        <w:rPr>
          <w:rFonts w:ascii="Times New Roman" w:hAnsi="Times New Roman"/>
          <w:sz w:val="20"/>
        </w:rPr>
        <w:t xml:space="preserve"> ambiție a acțiunilor de atenuare și adaptare.</w:t>
      </w:r>
    </w:p>
    <w:p w:rsidR="00D65A59" w:rsidRDefault="00D65A59">
      <w:pPr>
        <w:pStyle w:val="FootnoteText"/>
      </w:pPr>
    </w:p>
  </w:footnote>
  <w:footnote w:id="14">
    <w:p w:rsidR="00D65A59" w:rsidRDefault="00A919D9">
      <w:pPr>
        <w:pStyle w:val="FootnoteText"/>
        <w:tabs>
          <w:tab w:val="left" w:pos="426"/>
        </w:tabs>
        <w:ind w:left="426" w:hanging="426"/>
        <w:jc w:val="both"/>
        <w:rPr>
          <w:rFonts w:ascii="Times New Roman" w:hAnsi="Times New Roman" w:cs="Times New Roman"/>
        </w:rPr>
      </w:pPr>
      <w:r>
        <w:rPr>
          <w:rStyle w:val="FootnoteReference"/>
        </w:rPr>
        <w:footnoteRef/>
      </w:r>
      <w:r>
        <w:t xml:space="preserve"> </w:t>
      </w:r>
      <w:r>
        <w:tab/>
      </w:r>
      <w:r>
        <w:rPr>
          <w:rFonts w:ascii="Times New Roman" w:hAnsi="Times New Roman"/>
        </w:rPr>
        <w:t>Consultarea referitoare la acțiunea UPC privind distribuția transfrontalieră a fondurilor (OPCVM, FIA, FEITL, EuVECA și FEAS) în UE, 2.6.2016.</w:t>
      </w:r>
    </w:p>
  </w:footnote>
  <w:footnote w:id="15">
    <w:p w:rsidR="00D65A59" w:rsidRDefault="00A919D9">
      <w:pPr>
        <w:pStyle w:val="FootnoteText"/>
        <w:tabs>
          <w:tab w:val="left" w:pos="426"/>
        </w:tabs>
        <w:ind w:left="426" w:hanging="426"/>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Primul raport al Grupului Giovannini (2001): „Mecanismele d</w:t>
      </w:r>
      <w:r>
        <w:rPr>
          <w:rFonts w:ascii="Times New Roman" w:hAnsi="Times New Roman"/>
        </w:rPr>
        <w:t>e compensare și de decontare transfrontaliere în Uniunea Europeană” a identificat 15 obstacole în calea compensării și a decontării transfrontaliere eficiente a titlurilor de valoare în Uniunea Europeană.</w:t>
      </w:r>
    </w:p>
  </w:footnote>
  <w:footnote w:id="16">
    <w:p w:rsidR="00D65A59" w:rsidRDefault="00A919D9">
      <w:pPr>
        <w:pStyle w:val="FootnoteText"/>
        <w:tabs>
          <w:tab w:val="left" w:pos="426"/>
        </w:tabs>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Programul de lucru pe 2016 al ESMA privind conve</w:t>
      </w:r>
      <w:r>
        <w:rPr>
          <w:rFonts w:ascii="Times New Roman" w:hAnsi="Times New Roman"/>
        </w:rPr>
        <w:t xml:space="preserve">rgența în materie de supraveghere 11.2.2016, ESMA/2016/203, 2016. </w:t>
      </w:r>
    </w:p>
  </w:footnote>
  <w:footnote w:id="17">
    <w:p w:rsidR="00D65A59" w:rsidRDefault="00A919D9">
      <w:pPr>
        <w:pStyle w:val="FootnoteText"/>
        <w:tabs>
          <w:tab w:val="left" w:pos="426"/>
        </w:tabs>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Consultare privind revizuirea cadrului de politici macroprudențiale, 1.8.2016. </w:t>
      </w:r>
    </w:p>
    <w:p w:rsidR="00D65A59" w:rsidRDefault="00D65A59">
      <w:pPr>
        <w:pStyle w:val="FootnoteText"/>
        <w:rPr>
          <w:rFonts w:ascii="Times New Roman" w:hAnsi="Times New Roman" w:cs="Times New Roman"/>
        </w:rPr>
      </w:pPr>
    </w:p>
  </w:footnote>
  <w:footnote w:id="18">
    <w:p w:rsidR="00D65A59" w:rsidRDefault="00A919D9">
      <w:pPr>
        <w:pStyle w:val="FootnoteText"/>
        <w:tabs>
          <w:tab w:val="left" w:pos="426"/>
        </w:tabs>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Document de lucru al serviciilor Comisiei „Uniunea piețelor de capital: primul raport de etapă”, SWD(2</w:t>
      </w:r>
      <w:r>
        <w:rPr>
          <w:rFonts w:ascii="Times New Roman" w:hAnsi="Times New Roman"/>
        </w:rPr>
        <w:t xml:space="preserve">016)147 final, 25.4.2016, disponibil la adresa </w:t>
      </w:r>
      <w:hyperlink r:id="rId1">
        <w:r>
          <w:rPr>
            <w:rStyle w:val="Hyperlink"/>
            <w:rFonts w:ascii="Times New Roman" w:hAnsi="Times New Roman"/>
          </w:rPr>
          <w:t>http://ec.europa.eu/finance/capital-markets-union/docs/cmu-first-status-report_en.pdf</w:t>
        </w:r>
      </w:hyperlink>
    </w:p>
    <w:p w:rsidR="00D65A59" w:rsidRDefault="00D65A59">
      <w:pPr>
        <w:pStyle w:val="FootnoteText"/>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9D9" w:rsidRPr="00A919D9" w:rsidRDefault="00A919D9" w:rsidP="00A919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9D9" w:rsidRPr="00A919D9" w:rsidRDefault="00A919D9" w:rsidP="00A919D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9D9" w:rsidRPr="00A919D9" w:rsidRDefault="00A919D9" w:rsidP="00A919D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A59" w:rsidRDefault="00D65A5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A59" w:rsidRDefault="00D65A5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A59" w:rsidRDefault="00D65A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94D1A"/>
    <w:multiLevelType w:val="hybridMultilevel"/>
    <w:tmpl w:val="452AE8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419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A927A21A6B248E084748B47F06157EF"/>
    <w:docVar w:name="LW_CROSSREFERENCE" w:val="&lt;UNUSED&gt;"/>
    <w:docVar w:name="LW_DocType" w:val="NORMAL"/>
    <w:docVar w:name="LW_EMISSION" w:val="14.9.2016"/>
    <w:docVar w:name="LW_EMISSION_ISODATE" w:val="2016-09-14"/>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601"/>
    <w:docVar w:name="LW_REF.INTERNE" w:val="&lt;UNUSED&gt;"/>
    <w:docVar w:name="LW_SOUS.TITRE.OBJ.CP" w:val="&lt;UNUSED&gt;"/>
    <w:docVar w:name="LW_SUPERTITRE" w:val="&lt;UNUSED&gt;"/>
    <w:docVar w:name="LW_TITRE.OBJ.CP" w:val="Uniunea pie\u539?elor de capital- Accelerara reformelor"/>
    <w:docVar w:name="LW_TYPE.DOC.CP" w:val="COMUNICARE A COMISIEI"/>
    <w:docVar w:name="LW_TYPE.DOC.CP.USERTEXT" w:val="C\u258?TRE PARLAMENTUL EUROPEAN, CONSILIU, BANCA CENTRAL\u258? EUROPEAN\u258?, COMITETUL ECONOMIC \u536?I SOCIAL EUROPEAN \u536?I COMITETUL REGIUNILOR_x000b_"/>
  </w:docVars>
  <w:rsids>
    <w:rsidRoot w:val="00D65A59"/>
    <w:rsid w:val="00A919D9"/>
    <w:rsid w:val="00D65A5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571523">
      <w:bodyDiv w:val="1"/>
      <w:marLeft w:val="0"/>
      <w:marRight w:val="0"/>
      <w:marTop w:val="0"/>
      <w:marBottom w:val="0"/>
      <w:divBdr>
        <w:top w:val="none" w:sz="0" w:space="0" w:color="auto"/>
        <w:left w:val="none" w:sz="0" w:space="0" w:color="auto"/>
        <w:bottom w:val="none" w:sz="0" w:space="0" w:color="auto"/>
        <w:right w:val="none" w:sz="0" w:space="0" w:color="auto"/>
      </w:divBdr>
    </w:div>
    <w:div w:id="110646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finance/capital-markets-union/docs/cmu-first-status-repor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14A74-57D2-4AFE-AAA2-434B24A21767}">
  <ds:schemaRefs>
    <ds:schemaRef ds:uri="http://schemas.openxmlformats.org/officeDocument/2006/bibliography"/>
  </ds:schemaRefs>
</ds:datastoreItem>
</file>

<file path=customXml/itemProps2.xml><?xml version="1.0" encoding="utf-8"?>
<ds:datastoreItem xmlns:ds="http://schemas.openxmlformats.org/officeDocument/2006/customXml" ds:itemID="{3718AC5A-076D-41D5-AD5B-11727DB15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4792</Words>
  <Characters>29094</Characters>
  <Application>Microsoft Office Word</Application>
  <DocSecurity>0</DocSecurity>
  <Lines>662</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2016-09-12T07:53:00Z</dcterms:created>
  <dcterms:modified xsi:type="dcterms:W3CDTF">2016-09-15T09:02:00Z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