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DBB54AE163DF477F86B51A24BF15F263" style="width:450.75pt;height:30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26"/>
        </w:sectPr>
      </w:pPr>
    </w:p>
    <w:p>
      <w:pPr>
        <w:pStyle w:val="Heading1"/>
        <w:numPr>
          <w:ilvl w:val="0"/>
          <w:numId w:val="24"/>
        </w:numPr>
        <w:rPr>
          <w:noProof/>
        </w:rPr>
      </w:pPr>
      <w:bookmarkStart w:id="1" w:name="_GoBack"/>
      <w:bookmarkEnd w:id="1"/>
      <w:r>
        <w:rPr>
          <w:noProof/>
        </w:rPr>
        <w:lastRenderedPageBreak/>
        <w:t>INTRODUCERE</w:t>
      </w:r>
    </w:p>
    <w:p>
      <w:pPr>
        <w:rPr>
          <w:noProof/>
        </w:rPr>
      </w:pPr>
      <w:r>
        <w:rPr>
          <w:noProof/>
        </w:rPr>
        <w:t xml:space="preserve">Impozitarea este un element central al activității depuse de UE în vederea construirii unei economii mai puternice, mai competitive și mai echitabile, cu o dimensiune socială clară. Europa are nevoie de un sistem fiscal care să corespundă pieței sale interne și să sprijine creșterea economică și competitivitatea, să atragă investiții, să contribuie la crearea de locuri de muncă, să stimuleze inovarea și să mențină modelul social european. Impozitarea ar trebui să asigure venituri stabile în sprijinul investițiilor publice și al politicilor favorabile creșterii. Totodată, ea ar trebui să asigure condiții de concurență echitabile, securitate juridică și obstacole minime pentru toate societățile care își desfășoară activitatea la nivel transfrontalier. Impozitarea ar trebui să facă parte dintr-un sistem fiscal mai larg în care cetățenii să aibă încredere, deoarece este corect și răspunde nevoilor socioeconomice ale societății. Prioritățile UE în materie de impozitare sunt axate, prin urmare, pe realizarea acestor obiective. </w:t>
      </w:r>
    </w:p>
    <w:p>
      <w:pPr>
        <w:pStyle w:val="Heading1"/>
        <w:numPr>
          <w:ilvl w:val="0"/>
          <w:numId w:val="24"/>
        </w:numPr>
        <w:rPr>
          <w:noProof/>
        </w:rPr>
      </w:pPr>
      <w:r>
        <w:rPr>
          <w:noProof/>
        </w:rPr>
        <w:t>MĂSURI IMEDIATE PENTRU A RĂSPUNDE NECESITĂȚILOR IMEDIATE: REFORMAREA SISTEMULUI DE IMPOZITARE A SOCIETĂȚILOR</w:t>
      </w:r>
    </w:p>
    <w:p>
      <w:pPr>
        <w:rPr>
          <w:noProof/>
        </w:rPr>
      </w:pPr>
      <w:r>
        <w:rPr>
          <w:noProof/>
        </w:rPr>
        <w:t>Comisia a conceput o agendă ambițioasă, menită să conducă la o impozitare a societăților mai echitabilă și mai eficace, mai bine adaptată la economia modernă și mai pregătită pentru provocările care apar în acest domeniu. Realizarea acestei agende progresează rapid, multe dintre etapele esențiale fiind deja îndeplinite. Toate inițiativele anunțate în planul de acțiune al Comisiei pentru un sistem de impozitare a întreprinderilor echitabil și eficient</w:t>
      </w:r>
      <w:r>
        <w:rPr>
          <w:rStyle w:val="FootnoteReference"/>
          <w:noProof/>
        </w:rPr>
        <w:footnoteReference w:id="1"/>
      </w:r>
      <w:r>
        <w:rPr>
          <w:noProof/>
        </w:rPr>
        <w:t xml:space="preserve"> au fost deja lansate și numeroase propuneri noi au fost adoptate de către statele membre. Totodată, Comisia a început să lărgească sfera lucrărilor sale și dincolo de planul de acțiune. Așa cum se arată în Comunicarea privind măsuri suplimentare pentru creșterea transparenței și lupta împotriva evaziunii fiscale și a evitării obligațiilor fiscale</w:t>
      </w:r>
      <w:r>
        <w:rPr>
          <w:noProof/>
          <w:vertAlign w:val="superscript"/>
        </w:rPr>
        <w:footnoteReference w:id="2"/>
      </w:r>
      <w:r>
        <w:rPr>
          <w:noProof/>
        </w:rPr>
        <w:t>, care a urmat dezvăluirilor „Panama Papers”, Comisia este pregătită să ofere răspunsuri rapide și eficiente la problemele care apar. În plus, Comisia a efectuat investigații privind ajutoarele de stat pentru a stabili dacă anumite state membre au acordat avantaje fiscale anumitor companii multinaționale</w:t>
      </w:r>
      <w:r>
        <w:rPr>
          <w:noProof/>
          <w:vertAlign w:val="superscript"/>
        </w:rPr>
        <w:footnoteReference w:id="3"/>
      </w:r>
      <w:r>
        <w:rPr>
          <w:noProof/>
        </w:rPr>
        <w:t>, în efortul de a garanta un mediu concurențial echitabil pentru toate societățile din UE.</w:t>
      </w:r>
    </w:p>
    <w:p>
      <w:pPr>
        <w:autoSpaceDE w:val="0"/>
        <w:autoSpaceDN w:val="0"/>
        <w:adjustRightInd w:val="0"/>
        <w:spacing w:after="0"/>
        <w:rPr>
          <w:noProof/>
        </w:rPr>
      </w:pPr>
      <w:r>
        <w:rPr>
          <w:b/>
          <w:noProof/>
        </w:rPr>
        <w:t>Prima linie de acțiune a Comisiei a fost creșterea transparenței fiscale, o bază esențială pentru orice reforme ulterioare.</w:t>
      </w:r>
      <w:r>
        <w:rPr>
          <w:noProof/>
        </w:rPr>
        <w:t xml:space="preserve"> Într-un interval de timp de 12 luni, statele membre s-au pus de acord cu privire la propunerile referitoare la schimbul automat de informații privind deciziile fiscale</w:t>
      </w:r>
      <w:r>
        <w:rPr>
          <w:noProof/>
          <w:vertAlign w:val="superscript"/>
        </w:rPr>
        <w:footnoteReference w:id="4"/>
      </w:r>
      <w:r>
        <w:rPr>
          <w:noProof/>
        </w:rPr>
        <w:t xml:space="preserve"> și la rapoartele pentru fiecare țară în parte cu informații fiscale privind întreprinderile multinaționale</w:t>
      </w:r>
      <w:r>
        <w:rPr>
          <w:noProof/>
          <w:vertAlign w:val="superscript"/>
        </w:rPr>
        <w:footnoteReference w:id="5"/>
      </w:r>
      <w:r>
        <w:rPr>
          <w:noProof/>
        </w:rPr>
        <w:t>. Aceste propuneri vor asigura un nivel fără precedent de transparență și cooperare între autoritățile fiscale în domeniul impozitării societăților. Comisia a propus, de asemenea, întocmirea de rapoarte publice pentru fiecare țară în parte de către întreprinderile multinaționale, care să le ofere cetățenilor o vedere de ansamblu mai clară asupra practicilor fiscale ale societăților. Această propunere, care este în prezent în curs de negociere în cadrul Consiliului și al Parlamentului European, ar trebui să contribuie la restabilirea încrederii publicului în sistemul de impozitare a societăților și să asigure că societățile nu se confruntă cu un mozaic de norme naționale în materie de publicare a informațiilor. O propunere care vizează să permită accesul autorităților fiscale la informații naționale privind combaterea spălării banilor</w:t>
      </w:r>
      <w:r>
        <w:rPr>
          <w:noProof/>
          <w:vertAlign w:val="superscript"/>
        </w:rPr>
        <w:footnoteReference w:id="6"/>
      </w:r>
      <w:r>
        <w:rPr>
          <w:noProof/>
        </w:rPr>
        <w:t xml:space="preserve"> ar trebui să fie adoptată înainte de sfârșitul anului. Parlamentul European și Consiliul au început totodată lucrările legate de pozițiile lor cu privire la modificările propuse la cea de a patra directivă privind combaterea spălării banilor și ar trebui să avanseze rapid, astfel încât trilogurile să debuteze la începutul anului 2017. Pe lângă aceasta, Comisia a început să studieze care este cel mai adecvat cadru pentru a pune în aplicare schimbul automat de informații privind beneficiarul real, la nivel european, și analizează cea mai bună modalitate de a îmbunătăți supravegherea facilitatorilor și a promotorilor mecanismelor de planificare fiscală agresivă. Această creștere a transparenței fiscale în întreaga Europă va contribui la expunerea celor care practică planificarea fiscală agresivă, la descoperirea practicilor fiscale dăunătoare și la stabilizarea unui mediu de impozitare a societăților bazat pe deschidere și pe încredere.</w:t>
      </w:r>
    </w:p>
    <w:p>
      <w:pPr>
        <w:rPr>
          <w:noProof/>
        </w:rPr>
      </w:pPr>
      <w:r>
        <w:rPr>
          <w:b/>
          <w:noProof/>
        </w:rPr>
        <w:t>În paralel, Comisia depune eforturi pentru a se asigura că toate societățile care desfășoară activități în UE plătesc impozitele acolo unde sunt generate profiturile și valoarea.</w:t>
      </w:r>
      <w:r>
        <w:rPr>
          <w:noProof/>
        </w:rPr>
        <w:t xml:space="preserve"> Acest principiu este esențial pentru o impozitare echitabilă și eficientă, însă nu poate fi pus efectiv în practică în cadrul unei piețe unice decât prin măsuri comune și coordonate. Prin urmare, Comisia a propus o nouă directivă privind combaterea evitării obligațiilor fiscale</w:t>
      </w:r>
      <w:r>
        <w:rPr>
          <w:noProof/>
          <w:vertAlign w:val="superscript"/>
        </w:rPr>
        <w:footnoteReference w:id="7"/>
      </w:r>
      <w:r>
        <w:rPr>
          <w:noProof/>
        </w:rPr>
        <w:t xml:space="preserve">, care prevede măsuri antiabuz obligatorii din punct de vedere juridic la nivelul întregii UE, pentru a bloca unele dintre cele mai răspândite forme de erodare a bazei impozabile și de transfer al profiturilor. Acest act normativ, adoptat de statele membre în iulie 2016, a permis statelor membre să pună în aplicare într-un mod rapid, coordonat și coerent, angajamentele asumate în cadrul proiectului OCDE/G20 privind erodarea bazei impozabile și transferul profiturilor (BEPS). Regimurile preferențiale ale statelor membre și normele privind prețurile de transfer sunt, de asemenea, în curs de revizuire, pentru a asigura o abordare comună a UE în ceea ce privește noile standarde internaționale. Acest lucru este esențial pentru a oferi societăților certitudine în momentul implementării reformelor și pentru a preveni apariția unor noi lacune în cadrul pieței unice. </w:t>
      </w:r>
    </w:p>
    <w:p>
      <w:pPr>
        <w:rPr>
          <w:noProof/>
        </w:rPr>
      </w:pPr>
      <w:r>
        <w:rPr>
          <w:b/>
          <w:noProof/>
        </w:rPr>
        <w:t xml:space="preserve">În fine, Comisia a prezentat măsuri menite să promoveze buna guvernanță fiscală la nivel mondial, pentru a asigura existența unor condiții de concurență echitabile între UE și partenerii săi internaționali. </w:t>
      </w:r>
      <w:r>
        <w:rPr>
          <w:noProof/>
        </w:rPr>
        <w:t>Statele membre au aprobat noua strategie externă pentru impozitarea eficace</w:t>
      </w:r>
      <w:r>
        <w:rPr>
          <w:noProof/>
          <w:vertAlign w:val="superscript"/>
        </w:rPr>
        <w:footnoteReference w:id="8"/>
      </w:r>
      <w:r>
        <w:rPr>
          <w:noProof/>
        </w:rPr>
        <w:t xml:space="preserve">, prezentată de Comisie în ianuarie 2016, în vederea protejării bazelor lor de impozitare împotriva riscurilor de erodare provenite din străinătate. O componentă cheie a acestei strategii este un nou proces de înscriere pe o listă a UE, pentru a aborda problema jurisdicțiilor fiscale necooperante și a încuraja toate jurisdicțiile țărilor terțe să respecte standardele internaționale de bună guvernanță fiscală. Primele măsuri aferente acestui proces de înscriere pe listă au fost deja luate și lista comună a UE ar trebui să fie finalizată în 2017. Această listă le va oferi statelor membre un instrument puternic în relația cu țările care refuză să respecte regulile în materie fiscală. Regulamentul financiar al UE a fost, de asemenea, revizuit pentru a împiedica transferul de fonduri din UE către paradisuri fiscale și se depun eforturi pentru a consolida clauzele privind buna guvernanță fiscală din acordurile UE cu țări terțe. </w:t>
      </w:r>
    </w:p>
    <w:p>
      <w:pPr>
        <w:pStyle w:val="Heading1"/>
        <w:numPr>
          <w:ilvl w:val="0"/>
          <w:numId w:val="24"/>
        </w:numPr>
        <w:rPr>
          <w:noProof/>
        </w:rPr>
      </w:pPr>
      <w:r>
        <w:rPr>
          <w:noProof/>
        </w:rPr>
        <w:t>O AGENDĂ POZITIVĂ, ORIENTATĂ SPRE VIITOR</w:t>
      </w:r>
    </w:p>
    <w:p>
      <w:pPr>
        <w:rPr>
          <w:noProof/>
        </w:rPr>
      </w:pPr>
      <w:r>
        <w:rPr>
          <w:noProof/>
        </w:rPr>
        <w:t xml:space="preserve">Inițiativele prezentate mai sus sunt vitale pentru a proteja bazele de impozitare ale statelor membre, a oferi condiții de concurență echitabile pentru societăți și a asigura o impozitare echitabilă și eficientă pentru toți contribuabilii. Ele abordează problemele cele mai presante la momentul actual în materie de impozitare a societăților. Cu toate acestea, pe termen mai lung, este nevoie să se meargă mai departe. Soluțiile pe termen scurt pot deveni rapid învechite, deoarece modelele de afaceri și tehnicile de planificare fiscală evoluează mai rapid decât pot fi elaborate noi strategii de răspuns. În plus, actualizările fragmentare ale normelor fiscale internaționale, naționale sau ale UE provoacă turbulențe, atât pentru administrațiile fiscale, cât și pentru societățile care trebuie să se adapteze la acestea. Pentru a stimula crearea de locuri de muncă, creșterea economică și investițiile, este necesar să se creeze un mediu fiscal favorabil pentru societăți, prin reducerea costurilor de asigurare a conformității și a sarcinilor administrative, precum și prin asigurarea securității fiscale. Importanța securității fiscale în promovarea investițiilor și a creșterii economice a fost recunoscută recent de liderii G20 și a devenit noua prioritate mondială. Statele membre trebuie să găsească un echilibru între aplicarea reformelor necesare și asigurarea unui mediu fiscal stabil, clar și previzibil pentru societăți. </w:t>
      </w:r>
    </w:p>
    <w:p>
      <w:pPr>
        <w:rPr>
          <w:noProof/>
        </w:rPr>
      </w:pPr>
      <w:r>
        <w:rPr>
          <w:noProof/>
        </w:rPr>
        <w:t>UE are nevoie de un cadru pozitiv, orientat spre viitor, în materie de impozitare a societăților. Acesta trebuie să fie favorabil creșterii, eficient și echitabil și să sprijine pe deplin prioritățile politice mai largi ale UE, atât în prezent, cât și în viitor. Acesta este raționamentul care stă la baza propunerii Comisiei de relansare a bazei fiscale consolidate comune a societăților (CCCTB). CCCTB poate răspunde celor două cerințe prioritare ale societăților și cetățenilor din Europa de astăzi, și anume creșterea economică durabilă și justiția socială, și poate consolida agenda economică și socială generală a UE. Analiza efectuată arată că CCCTB poate într-adevăr să determine o creștere a investițiilor din UE cu până la 3,4% și o accelerare a creșterii cu 1,2%</w:t>
      </w:r>
      <w:r>
        <w:rPr>
          <w:rStyle w:val="FootnoteReference"/>
          <w:noProof/>
        </w:rPr>
        <w:footnoteReference w:id="9"/>
      </w:r>
      <w:r>
        <w:rPr>
          <w:noProof/>
        </w:rPr>
        <w:t xml:space="preserve">. </w:t>
      </w:r>
    </w:p>
    <w:p>
      <w:pPr>
        <w:rPr>
          <w:noProof/>
        </w:rPr>
      </w:pPr>
      <w:r>
        <w:rPr>
          <w:noProof/>
        </w:rPr>
        <w:t xml:space="preserve">Comisia a propus pentru prima dată CCCTB în 2011, cu scopul de a consolida piața unică pentru societățile comerciale. Propunerea era ambițioasă și robustă, însă amploarea sa a dus la blocarea negocierilor în cadrul Consiliului. Cu toate acestea, Parlamentul European, societățile, părțile interesate și numeroase state membre și-au menținut sprijinul ferm pentru CCCTB, având în vedere numeroasele beneficii pe care aceasta le oferă. În plus, în ultimii ani, a devenit evident că CCCTB oferă mai mult decât un regim fiscal favorabil societăților și care consolidează piața unică. </w:t>
      </w:r>
    </w:p>
    <w:p>
      <w:pPr>
        <w:rPr>
          <w:noProof/>
        </w:rPr>
      </w:pPr>
      <w:r>
        <w:rPr>
          <w:noProof/>
        </w:rPr>
        <w:t xml:space="preserve">Prin urmare, în planul de acțiune din iunie 2015, Comisia a anunțat că va relansa acest proiect important prin intermediul unui proces în două etape, mai ușor de gestionat. Prima etapă se axează pe punerea în aplicare a bazei comune. Ulterior, va fi introdus aspectul mai complex al consolidării. Multe dintre cele mai importante beneficii ale CCCTB sunt legate de consolidare. Prin urmare, această a doua etapă a relansării CCCTB nu poate fi neglijată sau lăsată deoparte. Lucrările cu privire la acest pachet legislativ se vor finaliza numai odată cu punerea în aplicare integrală a CCCTB. </w:t>
      </w:r>
    </w:p>
    <w:p>
      <w:pPr>
        <w:rPr>
          <w:noProof/>
        </w:rPr>
      </w:pPr>
      <w:r>
        <w:rPr>
          <w:noProof/>
        </w:rPr>
        <w:t xml:space="preserve">Relansarea CCCTB oferă posibilitatea de a actualiza propunerea inițială și de a o adapta la noile provocări care au apărut în mediul fiscal global. Cea mai importantă modificare este reprezentată de faptul că CCCTB va fi obligatorie pentru toate grupurile consolidate în scopuri de contabilitate financiară ale căror venituri consolidate depășesc 750 de milioane EUR. Această dispoziție ar trebui să contribuie la maximizarea potențialului CCCTB ca instrument de combatere a practicilor de evitare a obligațiilor fiscale. Ea va permite totodată societăților să își cunoască propria situație în raport cu regulile antiabuz ale UE și să nu mai fie nevoite să facă ajustări inutile. Ca atare, propunerea va contribui la crearea unui mediu mai previzibil pentru societățile din UE. </w:t>
      </w:r>
    </w:p>
    <w:p>
      <w:pPr>
        <w:rPr>
          <w:noProof/>
        </w:rPr>
      </w:pPr>
      <w:r>
        <w:rPr>
          <w:noProof/>
        </w:rPr>
        <w:t xml:space="preserve">De asemenea, Comisia a introdus în propunere două noi elemente care sprijină în mod direct agenda economică mai largă a UE. Costurile legate de cercetare și dezvoltare vor beneficia de o super-deducere, pentru a încuraja cercetarea, dezvoltarea și inovarea, care sunt principalele motoare ale creșterii economice. În plus, pentru a sprijini micul antreprenoriat inovator, se va acorda o super-deducere majorată pentru micile societăți în faza de lansare fără întreprinderi asociate. CCCTB va aborda, de asemenea, denaturările cauzate de tratamentul preferențial acordat datoriei în raport cu capitalurile proprii, pentru a contribui la întărirea uniunii piețelor de capital și la creșterea stabilității financiare în UE. </w:t>
      </w:r>
    </w:p>
    <w:p>
      <w:pPr>
        <w:pStyle w:val="Heading1"/>
        <w:numPr>
          <w:ilvl w:val="0"/>
          <w:numId w:val="24"/>
        </w:numPr>
        <w:rPr>
          <w:noProof/>
        </w:rPr>
      </w:pPr>
      <w:r>
        <w:rPr>
          <w:noProof/>
        </w:rPr>
        <w:t xml:space="preserve">MODERN, SIMPLU ȘI SIGUR: UN MEDIU FISCAL PENTRU SOCIETĂȚI MAI BUN ȘI MAI EFICIENT </w:t>
      </w:r>
    </w:p>
    <w:p>
      <w:pPr>
        <w:rPr>
          <w:noProof/>
        </w:rPr>
      </w:pPr>
      <w:r>
        <w:rPr>
          <w:noProof/>
        </w:rPr>
        <w:t>Pentru a prospera, societățile au nevoie, în cadrul pieței unice, de un mediu simplu, stabil și sigur din punct de vedere juridic. Ele ar trebui să întâmpine obstacole fiscale minime atunci când desfășoară activități transfrontaliere și nu ar trebui împovărate cu sarcini administrative și costuri inutile. UE are nevoie de un cadru al impozitului pe profit adaptat la realitățile mediului de afaceri al secolului 21, care să stimuleze spiritul antreprenorial, să atragă investitori și să favorizeze toate societățile, mari sau mici.</w:t>
      </w:r>
    </w:p>
    <w:p>
      <w:pPr>
        <w:rPr>
          <w:b/>
          <w:noProof/>
        </w:rPr>
      </w:pPr>
      <w:r>
        <w:rPr>
          <w:b/>
          <w:noProof/>
        </w:rPr>
        <w:t xml:space="preserve">4.1 Un sistem unic de impozitare a societăților pentru piața unică </w:t>
      </w:r>
    </w:p>
    <w:p>
      <w:pPr>
        <w:rPr>
          <w:noProof/>
        </w:rPr>
      </w:pPr>
      <w:r>
        <w:rPr>
          <w:b/>
          <w:noProof/>
        </w:rPr>
        <w:t xml:space="preserve">CCCTB va îmbunătăți considerabil funcționarea pieței unice din punct de vedere fiscal. </w:t>
      </w:r>
      <w:r>
        <w:rPr>
          <w:noProof/>
        </w:rPr>
        <w:t xml:space="preserve">Societățile transfrontaliere vor beneficia de un set unic de norme pentru a-și calcula profiturile impozabile în UE, care va înlocui mozaicul de sisteme naționale diferite. Ele vor putea să depună o singură declarație fiscală pentru totalitatea activităților lor în UE prin intermediul unui sistem de „ghișee unice”, putând astfel să trateze cu un singur stat membru, și nu cu o multitudine de autorități fiscale. Consolidarea înseamnă totodată că pierderile dintr-un stat membru pot fi în mod automat compensate cu profiturile realizate într-un alt stat membru, ceea ce va permite societăților transfrontaliere să se bucure de același tratament ca cele a căror activitate se desfășoară exclusiv la nivel național. </w:t>
      </w:r>
    </w:p>
    <w:p>
      <w:pPr>
        <w:rPr>
          <w:noProof/>
        </w:rPr>
      </w:pPr>
      <w:r>
        <w:rPr>
          <w:noProof/>
        </w:rPr>
        <w:t xml:space="preserve">În propunerea de directivă de relansare a CCCTB, Comisia a păstrat aceeași abordare ambițioasă în materie de consolidare ca și în propunerea inițială. Cu toate acestea, abordarea în două etape va întârzia acest avantaj. Pentru a compensa acest lucru, Comisia a propus ca, până când se va ajunge la un acord cu privire la consolidare, societățile să aibă acces la un sistem simplu, robust și temporar de compensare transfrontalieră a pierderilor în cadrul bazei comune. </w:t>
      </w:r>
    </w:p>
    <w:p>
      <w:pPr>
        <w:rPr>
          <w:noProof/>
        </w:rPr>
      </w:pPr>
      <w:r>
        <w:rPr>
          <w:b/>
          <w:noProof/>
        </w:rPr>
        <w:t>CCCTB va fi clară, stabilă și integrată în legislația UE.</w:t>
      </w:r>
      <w:r>
        <w:rPr>
          <w:noProof/>
        </w:rPr>
        <w:t xml:space="preserve"> CCCTB va face obiectul unui acord unanim al statelor membre, ceea ce va garanta un sistem stabil, care nu va fi susceptibil să fie modificat periodic. Acest lucru va oferi societăților un nivel fără precedent de securitate fiscală. Acestea nu vor mai fi nevoite să se adapteze la normele fiscale divergente din fiecare stat membru pentru a se extinde la nivel transfrontalier. Ele nu vor mai trebui să facă eforturi pentru a înțelege abordările diferite ale statelor membre față de impozitarea anumitor venituri și nu vor mai suporta costuri juridice și administrative ridicate pentru a face față complexității prețurilor de transfer. CCCTB va permite eliminarea principalelor obstacole fiscale cu care societățile se confruntă în prezent pe piața unică. </w:t>
      </w:r>
    </w:p>
    <w:p>
      <w:pPr>
        <w:rPr>
          <w:noProof/>
        </w:rPr>
      </w:pPr>
      <w:r>
        <w:rPr>
          <w:b/>
          <w:noProof/>
        </w:rPr>
        <w:t xml:space="preserve">CCCTB oferă avantaje importante pentru întreprinderile mici și mijlocii (IMM-uri), precum și pentru societățile mari, în cadrul UE. </w:t>
      </w:r>
      <w:r>
        <w:rPr>
          <w:noProof/>
        </w:rPr>
        <w:t xml:space="preserve">CCCTB va fi obligatorie doar pentru cele mai mari societăți. Cu toate acestea, IMM-urile și întreprinderile nou-înființate pot opta să participe la sistem, dacă doresc să beneficieze de simplificarea și de reducerea costurilor pe care acesta le oferă. În prezent, se estimează că IMM-urile cheltuiesc echivalentul a aproximativ 30% din impozitele plătite pentru costuri de asigurare a conformității, și chiar mai mult dacă se extind la nivel transfrontalier. CCCTB va reduce aceste costuri în mod semnificativ și va diminua cheltuielile cu înființarea unei filiale într-un alt stat membru. Aceste economii, alături de raționalizarea normelor și de simplificarea sistemului de declarații fiscale, vor înlesni semnificativ creșterea societăților mici și a societăților nou-înființate și extinderea lor pe piața unică. </w:t>
      </w:r>
    </w:p>
    <w:p>
      <w:pPr>
        <w:pStyle w:val="Heading2"/>
        <w:numPr>
          <w:ilvl w:val="0"/>
          <w:numId w:val="0"/>
        </w:numPr>
        <w:rPr>
          <w:b w:val="0"/>
          <w:noProof/>
        </w:rPr>
      </w:pPr>
      <w:r>
        <w:rPr>
          <w:noProof/>
        </w:rPr>
        <w:t xml:space="preserve">4.2 Instrumente îmbunătățite de evitare a dublei impuneri </w:t>
      </w:r>
    </w:p>
    <w:p>
      <w:pPr>
        <w:rPr>
          <w:noProof/>
        </w:rPr>
      </w:pPr>
      <w:r>
        <w:rPr>
          <w:b/>
          <w:noProof/>
        </w:rPr>
        <w:t>Societățile trebuie să plătească impozite echitabile în țara în care generează profiturile, dar nu ar trebui să plătească mai mult.</w:t>
      </w:r>
      <w:r>
        <w:rPr>
          <w:noProof/>
        </w:rPr>
        <w:t xml:space="preserve"> Unul dintre cele mai mari obstacole fiscale din cadrul pieței unice este dubla impunere.</w:t>
      </w:r>
    </w:p>
    <w:p>
      <w:pPr>
        <w:rPr>
          <w:noProof/>
        </w:rPr>
      </w:pPr>
      <w:r>
        <w:rPr>
          <w:noProof/>
        </w:rPr>
        <w:t xml:space="preserve">Dezacordurile dintre statele membre pentru a stabili cine are dreptul de a impozita anumite profituri duc adesea la impozitarea de două sau mai multe ori a societăților pentru aceleași venituri. Potrivit celor mai recente cifre, în UE există aproximativ 900 de litigii legate de dubla impunere în curs de desfășurare, sumele implicate ridicându-se la 10,5 miliarde EUR. Majoritatea statelor membre au încheiat tratate fiscale bilaterale pentru evitarea dublei impuneri și există proceduri de soluționare a litigiilor. Aceste proceduri sunt însă lungi și costisitoare și nu duc întotdeauna la un acord. Convenția de arbitraj multilaterală, care a fost convenită între statele membre, reprezintă o soluție parțială, însă domeniul său de aplicare este limitat la litigiile legate de prețurile de transfer și nu există căi de atac împotriva interpretării normelor. </w:t>
      </w:r>
    </w:p>
    <w:p>
      <w:pPr>
        <w:rPr>
          <w:b/>
          <w:noProof/>
        </w:rPr>
      </w:pPr>
      <w:r>
        <w:rPr>
          <w:b/>
          <w:noProof/>
        </w:rPr>
        <w:t>Pentru societățile care aplică sistemul CCCTB, dubla impunere ar trebui, în general, să fie de domeniul trecutului.</w:t>
      </w:r>
      <w:r>
        <w:rPr>
          <w:noProof/>
        </w:rPr>
        <w:t xml:space="preserve"> Un set unic de reguli pentru calcularea profiturilor societăților, alături de noua formulă de repartizare care distribuie cu claritate drepturile de impozitare, va permite stabilirea fără echivoc a profiturilor impozabile și a țării de impozitare. Cu toate acestea, pot să apară cazuri specifice, de exemplu atunci când există acorduri privind prețurile de transfer între entități ale grupului din interiorul și din afara UE și pentru societățile care nu aplică CCCTB. Pentru aceste cazuri, este nevoie de un sistem mai eficient de soluționare a litigiilor legate de dubla impunere. În plus, până la acordul asupra CCCTB, este necesar un sistem eficace la scară mai largă pentru soluționarea litigiilor legate de dubla impunere. </w:t>
      </w:r>
    </w:p>
    <w:p>
      <w:pPr>
        <w:rPr>
          <w:noProof/>
        </w:rPr>
      </w:pPr>
      <w:r>
        <w:rPr>
          <w:b/>
          <w:noProof/>
        </w:rPr>
        <w:t xml:space="preserve">Comisia a propus astăzi o directivă care vizează îmbunătățirea mecanismelor de soluționare a litigiilor legate de dubla impunere în cadrul UE, pentru a instaura un mediu fiscal mai echitabil, mai sigur și mai stabil. </w:t>
      </w:r>
      <w:r>
        <w:rPr>
          <w:noProof/>
        </w:rPr>
        <w:t xml:space="preserve">Noile norme vor garanta soluționarea mai rapidă și mai riguroasă a cazurilor de dublă impunere care apar între statele membre. Dacă statele membre nu ajung la un acord în ceea ce privește soluționarea unui caz, contribuabilul poate solicita instanței naționale să înființeze un comitet de arbitraj care să emită o decizie finală și cu caracter obligatoriu cu privire la cazul respectiv, într-un termen stabilit. Acest lucru va contribui la evitarea incertitudinii pentru societățile implicate. Totodată, în temeiul propunerii adoptate astăzi, mecanismele de soluționare a litigiilor vor fi disponibile pentru o gamă mai largă de cazuri. Aceste îmbunătățiri aduse mecanismelor de soluționare a litigiilor vor genera, atât pentru societăți, cât și pentru administrații, economii importante de timp, bani și resurse și vor consolida securitatea fiscală pentru societățile din UE. </w:t>
      </w:r>
    </w:p>
    <w:p>
      <w:pPr>
        <w:pStyle w:val="Heading1"/>
        <w:numPr>
          <w:ilvl w:val="0"/>
          <w:numId w:val="24"/>
        </w:numPr>
        <w:rPr>
          <w:noProof/>
          <w:szCs w:val="24"/>
        </w:rPr>
      </w:pPr>
      <w:r>
        <w:rPr>
          <w:noProof/>
        </w:rPr>
        <w:t xml:space="preserve">TRANSPARENȚĂ, EFICACITATE, COERENȚĂ: O IMPOZITARE MAI ECHITABILĂ PENTRU TOȚI </w:t>
      </w:r>
    </w:p>
    <w:p>
      <w:pPr>
        <w:rPr>
          <w:noProof/>
        </w:rPr>
      </w:pPr>
      <w:r>
        <w:rPr>
          <w:noProof/>
        </w:rPr>
        <w:t xml:space="preserve">Echitatea a devenit o condiție esențială pentru politica în materie de impozitare a societăților, în Europa și la nivel internațional. Societățile care beneficiază de piața unică trebuie să plătească impozite acolo unde obțin profiturile și toate societățile ar trebui tratate conform principiului neutralității fiscale. UE are nevoie de un sistem de impozitare a societăților care să asigure mecanisme solide de apărare împotriva abuzurilor, un mediu concurențial echitabil pentru societăți și repartizarea echitabilă a sarcinii între toți contribuabilii. </w:t>
      </w:r>
    </w:p>
    <w:p>
      <w:pPr>
        <w:rPr>
          <w:b/>
          <w:noProof/>
        </w:rPr>
      </w:pPr>
      <w:r>
        <w:rPr>
          <w:b/>
          <w:noProof/>
        </w:rPr>
        <w:t xml:space="preserve">5.1 Un sistem mai echitabil de impozitare a societăților </w:t>
      </w:r>
    </w:p>
    <w:p>
      <w:pPr>
        <w:rPr>
          <w:b/>
          <w:noProof/>
        </w:rPr>
      </w:pPr>
      <w:r>
        <w:rPr>
          <w:b/>
          <w:noProof/>
        </w:rPr>
        <w:t>CCCTB este expresia unui sistem echitabil de impozitare a societăților.</w:t>
      </w:r>
      <w:r>
        <w:rPr>
          <w:noProof/>
        </w:rPr>
        <w:t xml:space="preserve"> Aceasta va permite remedierea unor puncte slabe ale actualului cadru fiscal care fac posibilă planificarea fiscală agresivă. Dat fiind că toate statele membre vor aplica aceleași norme pentru calcularea profiturilor impozabile ale societăților, ea va elimina neconcordanțele și lacunele dintre sistemele fiscale naționale, care sunt exploatate pentru evitarea obligațiilor fiscale. Prețurile de transfer, care reprezintă aproximativ 70% din totalul transferului profiturilor, vor fi eliminate. În plus, pentru a consolida capacitatea CCCTB de combatere a evitării obligațiilor fiscale, aceasta va deveni obligatorie pentru cele mai mari societăți care își desfășoară activitatea în UE. </w:t>
      </w:r>
    </w:p>
    <w:p>
      <w:pPr>
        <w:rPr>
          <w:noProof/>
        </w:rPr>
      </w:pPr>
      <w:r>
        <w:rPr>
          <w:b/>
          <w:noProof/>
        </w:rPr>
        <w:t xml:space="preserve">Stimulentele pentru ca statele membre să se angajeze într-o concurență fiscală dăunătoare vor fi înlăturate. </w:t>
      </w:r>
      <w:r>
        <w:rPr>
          <w:noProof/>
        </w:rPr>
        <w:t xml:space="preserve">Statele membre nu vor mai trebui să aloce resurse importante pentru a căuta baze fiscale mobile, întrucât CCCTB repartizează profiturile astfel încât impozitarea să fie mai bine corelată cu locul în care se desfășoară activitatea economică reală. Acest lucru va permite statelor membre să își reorienteze resursele către o impozitare favorabilă creșterii, care oferă stimulente pentru investiții și ocuparea forței de muncă și sprijină nevoile socioeconomice mai largi. </w:t>
      </w:r>
    </w:p>
    <w:p>
      <w:pPr>
        <w:rPr>
          <w:noProof/>
        </w:rPr>
      </w:pPr>
      <w:r>
        <w:rPr>
          <w:b/>
          <w:noProof/>
        </w:rPr>
        <w:t xml:space="preserve">CCCTB va introduce, de asemenea, o transparență totală în legătură cu sistemul fiecărui stat membru și cu cotele de impozitare efective. </w:t>
      </w:r>
      <w:r>
        <w:rPr>
          <w:noProof/>
        </w:rPr>
        <w:t xml:space="preserve">Statele membre au dreptul suveran de a stabili cotele de impozitare și CCCTB nu modifică deloc această situație. Ea va garanta însă că, atunci când un stat membru decide asupra cotei impozitelor sale, aceasta este apoi aplicată efectiv tuturor societăților. Regimurile preferențiale ascunse și deciziile fiscale dăunătoare nu vor mai fi posibile. Acest lucru ar trebui să sporească încrederea cetățenilor în modul în care societățile comerciale sunt impozitate și să asigure condiții de concurență mai echitabile pentru toate societățile de pe piața unică. </w:t>
      </w:r>
    </w:p>
    <w:p>
      <w:pPr>
        <w:rPr>
          <w:b/>
          <w:noProof/>
        </w:rPr>
      </w:pPr>
      <w:r>
        <w:rPr>
          <w:b/>
          <w:noProof/>
        </w:rPr>
        <w:t xml:space="preserve">5.2 Măsuri suplimentare de combatere a abuzurilor </w:t>
      </w:r>
    </w:p>
    <w:p>
      <w:pPr>
        <w:rPr>
          <w:noProof/>
        </w:rPr>
      </w:pPr>
      <w:r>
        <w:rPr>
          <w:b/>
          <w:noProof/>
        </w:rPr>
        <w:t>CCCTB conține dispoziții antiabuz pentru a proteja statele membre împotriva erodării bazei impozabile și a transferului profiturilor, atât în cadrul UE, cât și în raport cu țările terțe.</w:t>
      </w:r>
      <w:r>
        <w:rPr>
          <w:noProof/>
        </w:rPr>
        <w:t xml:space="preserve"> Aceste dispoziții vor întări impactul CCCTB ca instrument de prevenire a practicilor de evitare a obligațiilor fiscale. Măsurile antiabuz din cadrul CCCTB le reflectă pe cele din Directiva privind combaterea evitării obligațiilor fiscale (ATAD), care au fost convenite de statele membre în iulie 2016. Astfel, toate societățile vor fi supuse acelorași reguli antiabuz, indiferent dacă participă sau nu la sistemul CCCTB. </w:t>
      </w:r>
    </w:p>
    <w:p>
      <w:pPr>
        <w:rPr>
          <w:b/>
          <w:noProof/>
        </w:rPr>
      </w:pPr>
      <w:r>
        <w:rPr>
          <w:b/>
          <w:noProof/>
        </w:rPr>
        <w:t>Totodată, Comisia a prezentat astăzi o nouă propunere pentru combaterea tratamentului neuniform al elementelor hibride care implică țări terțe</w:t>
      </w:r>
      <w:r>
        <w:rPr>
          <w:noProof/>
        </w:rPr>
        <w:t>, pentru a întări și mai mult dispozițiile antiabuz din UE și a face față riscurilor externe.</w:t>
      </w:r>
      <w:r>
        <w:rPr>
          <w:b/>
          <w:noProof/>
        </w:rPr>
        <w:t xml:space="preserve"> </w:t>
      </w:r>
      <w:r>
        <w:rPr>
          <w:noProof/>
        </w:rPr>
        <w:t xml:space="preserve">Directiva privind combaterea evitării obligațiilor fiscale (ATAD) vizează deja tratamentele neuniforme ale elementelor hibride în cadrul UE, eliminând un important canal de erodare a bazei impozabile și de transfer al profiturilor. Aceste tratamente neuniforme nu se limitează însă la piața unică și este necesară o soluție pentru combaterea riscurilor externe. În momentul în care au convenit asupra ATAD, statele membre au solicitat Comisiei să prezinte o altă propunere, pentru a se asigura că această lacună este remediată în mod eficient. Prin urmare, Comisia a propus noi măsuri care vizează o gamă largă de tratamente neuniforme, inclusiv tratamentul neuniform al sediilor permanente hibride, tratamentele neuniforme importate, transferurile hibride și tratamentele neuniforme ale entităților cu dublă rezidență , atât în cadrul UE, cât și în raport cu țările terțe. La fel ca măsurile prevăzute în ATAD, normele din această nouă propunere sunt conforme cu abordarea OCDE privind BEPS. </w:t>
      </w:r>
    </w:p>
    <w:p>
      <w:pPr>
        <w:pStyle w:val="Heading1"/>
        <w:numPr>
          <w:ilvl w:val="0"/>
          <w:numId w:val="24"/>
        </w:numPr>
        <w:rPr>
          <w:noProof/>
        </w:rPr>
      </w:pPr>
      <w:r>
        <w:rPr>
          <w:noProof/>
        </w:rPr>
        <w:t>STABIL, FAVORABIL, OBIECTIV: UN SISTEM FISCAL MODERN PENTRU O ECONOMIE SĂNĂTOASĂ</w:t>
      </w:r>
    </w:p>
    <w:p>
      <w:pPr>
        <w:rPr>
          <w:noProof/>
        </w:rPr>
      </w:pPr>
      <w:r>
        <w:rPr>
          <w:noProof/>
        </w:rPr>
        <w:t xml:space="preserve">UE are nevoie de un sistem de impozitare a societăților conceput astfel încât să sprijine o Uniune mai competitivă, mai inovatoare și mai stabilă din punct de vedere economic. Creșterea și investițiile se bazează pe un mediu favorabil societăților, care încurajează finanțările productive și recompensează activitățile propice creșterii, cum ar fi cercetarea și inovarea. Datorită CCCTB, UE va deveni o piață extrem de atractivă pentru investiții, oferind societăților norme solide și previzibile, condiții de concurență echitabile și o reducere a costurilor și a sarcinii administrative. În plus, Comisia a consolidat propunerea privind CCCTB cu noi dispoziții care se referă în mod specific la activitățile de stimulare a creșterii. </w:t>
      </w:r>
    </w:p>
    <w:p>
      <w:pPr>
        <w:rPr>
          <w:b/>
          <w:noProof/>
        </w:rPr>
      </w:pPr>
      <w:r>
        <w:rPr>
          <w:b/>
          <w:noProof/>
        </w:rPr>
        <w:t>6.1 Stimulente mai adecvate pentru inovare</w:t>
      </w:r>
    </w:p>
    <w:p>
      <w:pPr>
        <w:rPr>
          <w:noProof/>
        </w:rPr>
      </w:pPr>
      <w:r>
        <w:rPr>
          <w:b/>
          <w:noProof/>
        </w:rPr>
        <w:t xml:space="preserve">CCCTB va sprijini cercetarea și dezvoltarea, care sunt principalele motoare ale creșterii și competitivității. </w:t>
      </w:r>
      <w:r>
        <w:rPr>
          <w:noProof/>
        </w:rPr>
        <w:t xml:space="preserve">În prezent, UE se află în urma altor economii avansate în ceea ce privește investițiile în cercetare și inovare. Deși aproape toate statele membre au anumite avantaje fiscale pentru cercetare și dezvoltare, nu toate aceste măsuri sunt eficace, iar unele dintre ele chiar sunt exploatate de societățile mari pentru a evita obligațiile fiscale. Stimulentele naționale divergente creează, de asemenea, un mediu fiscal complex pentru societățile care investesc în cercetare și dezvoltare. </w:t>
      </w:r>
    </w:p>
    <w:p>
      <w:pPr>
        <w:rPr>
          <w:b/>
          <w:noProof/>
        </w:rPr>
      </w:pPr>
      <w:r>
        <w:rPr>
          <w:b/>
          <w:noProof/>
        </w:rPr>
        <w:t xml:space="preserve">CCCTB va oferi o deducere fiscală la nivelul UE pentru societățile care investesc în activități veritabile de cercetare. </w:t>
      </w:r>
      <w:r>
        <w:rPr>
          <w:noProof/>
        </w:rPr>
        <w:t xml:space="preserve">Această deducere va fi chiar mai generoasă pentru societățile nou-înființate, dată fiind importanța acestora pentru crearea de locuri de muncă, promovarea unei concurențe sănătoase și instituirea unor modele de afaceri mai eficiente. Stimulentul pentru cercetare și dezvoltare va da un impuls societăților cu bugete mai mici, pentru a le permite să se dezvolte, și va încuraja crearea și extinderea societăților tinere și inovatoare. În plus, acest sistem este conceput pe baza unui model de bune practici, astfel încât să nu poată fi utilizat în scopul evitării obligațiilor fiscale. </w:t>
      </w:r>
    </w:p>
    <w:p>
      <w:pPr>
        <w:rPr>
          <w:b/>
          <w:noProof/>
        </w:rPr>
      </w:pPr>
      <w:r>
        <w:rPr>
          <w:b/>
          <w:noProof/>
        </w:rPr>
        <w:t>6.2 Un mediu fiscal propice pentru investiții</w:t>
      </w:r>
    </w:p>
    <w:p>
      <w:pPr>
        <w:rPr>
          <w:b/>
          <w:noProof/>
        </w:rPr>
      </w:pPr>
      <w:r>
        <w:rPr>
          <w:b/>
          <w:noProof/>
        </w:rPr>
        <w:t>CCCTB va viza totodată denaturările din cadrul sistemelor fiscale existente care pot destabiliza economia.</w:t>
      </w:r>
      <w:r>
        <w:rPr>
          <w:noProof/>
        </w:rPr>
        <w:t xml:space="preserve"> Majoritatea sistemelor de impozitare a societăților ale statelor membre favorizează îndatorarea, permițând deducerea plăților de dobânzi, fără a acorda însă un tratament similar capitalurilor proprii. Acest tratament preferențial încurajează societățile să contracteze și mai multe datorii, ceea ce le face mai fragile, iar economiile devin astfel mai predispuse la crize. Din cauza acestei stări de fapt, societățile europene sunt descurajate să creeze o bază mai puternică de capitaluri proprii. Structura pieței financiare este așadar înclinată în favoarea instrumentelor de datorie, iar eficiența finanțării pe piața de capital poate fi afectată.</w:t>
      </w:r>
      <w:r>
        <w:rPr>
          <w:b/>
          <w:noProof/>
        </w:rPr>
        <w:t xml:space="preserve"> </w:t>
      </w:r>
      <w:r>
        <w:rPr>
          <w:noProof/>
        </w:rPr>
        <w:t>Această situație contravine obiectivelor fundamentale ale uniunii piețelor de capital și cerințelor de capital ale uniunii bancare.</w:t>
      </w:r>
      <w:r>
        <w:rPr>
          <w:b/>
          <w:noProof/>
        </w:rPr>
        <w:t xml:space="preserve"> </w:t>
      </w:r>
    </w:p>
    <w:p>
      <w:pPr>
        <w:rPr>
          <w:noProof/>
          <w:szCs w:val="24"/>
        </w:rPr>
      </w:pPr>
      <w:r>
        <w:rPr>
          <w:b/>
          <w:noProof/>
        </w:rPr>
        <w:t>CCCTB va elimina problema favorizării îndatorării, oferind o deducere pentru creștere și investiții (DCI).</w:t>
      </w:r>
      <w:r>
        <w:rPr>
          <w:noProof/>
        </w:rPr>
        <w:t xml:space="preserve"> Această deducere va asigura un nivel similar al avantajelor fiscale pentru capitalurile proprii și pentru datorie, creând un mediu fiscal mai neutru și favorabil investițiilor. DCI va recompensa societățile care își consolidează structurile de finanțare și valorifică piețele de capital</w:t>
      </w:r>
      <w:r>
        <w:rPr>
          <w:rStyle w:val="FootnoteReference"/>
          <w:noProof/>
        </w:rPr>
        <w:footnoteReference w:id="10"/>
      </w:r>
      <w:r>
        <w:rPr>
          <w:noProof/>
        </w:rPr>
        <w:t xml:space="preserve">. De această nouă dispoziție vor beneficia în special IMM-urile, care de cele mai multe ori întâmpină dificultăți pentru a obține împrumuturi. Dat fiind impactul pozitiv pe care DCI îl va avea atât asupra societăților, cât și asupra economiei în ansamblul său, Comisia invită, de asemenea, statele membre să ia în considerare posibilitatea de a utiliza această deducere și pentru societățile care nu participă la sistemul CCCTB. </w:t>
      </w:r>
    </w:p>
    <w:p>
      <w:pPr>
        <w:pStyle w:val="ListParagraph"/>
        <w:rPr>
          <w:b/>
          <w:noProof/>
          <w:szCs w:val="24"/>
        </w:rPr>
      </w:pPr>
    </w:p>
    <w:p>
      <w:pPr>
        <w:pStyle w:val="ListParagraph"/>
        <w:numPr>
          <w:ilvl w:val="0"/>
          <w:numId w:val="24"/>
        </w:numPr>
        <w:rPr>
          <w:b/>
          <w:noProof/>
          <w:szCs w:val="24"/>
        </w:rPr>
      </w:pPr>
      <w:r>
        <w:rPr>
          <w:b/>
          <w:noProof/>
        </w:rPr>
        <w:t>CONCLUZIE</w:t>
      </w:r>
    </w:p>
    <w:p>
      <w:pPr>
        <w:rPr>
          <w:noProof/>
        </w:rPr>
      </w:pPr>
      <w:r>
        <w:rPr>
          <w:noProof/>
        </w:rPr>
        <w:t xml:space="preserve">Comisia propune un răspuns cuprinzător la provocările actuale și emergente în materie de impozitare a societăților comerciale și o abordare nouă și pozitivă a impozitării societăților pentru viitor. CCCTB va aduce îmbunătățiri importante cadrului UE de impozitare a societăților, din punctul de vedere al simplității, al certitudinii fiscale și al echității. Ea va permite ca impozitarea societăților să fie adaptată la economia modernă și să sprijine obiectivul privind o piață unică mai puternică și mai competitivă. Propunerea privind soluționarea litigiilor legate de dubla impunere și propunerea referitoare la problema tratamentului neuniform al elementelor hibride care implică țări terțe, pe care Comisia le-a prezentat tot astăzi, vor contribui, de asemenea, la o impozitare mai echitabilă și mai eficientă a societăților în UE. Prin urmare, Comisia invită statele membre să convină rapid asupra tuturor propunerilor prezentate astăzi, astfel încât societățile, administrațiile, cetățenii și economia europeană să poată începe să se bucure pe deplin de avantajele acestui mediu echitabil, competitiv și stabil în materie de impozitare a societăților.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10</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711967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id="1">
    <w:p>
      <w:pPr>
        <w:pStyle w:val="FootnoteText"/>
      </w:pPr>
      <w:r>
        <w:rPr>
          <w:rStyle w:val="FootnoteReference"/>
        </w:rPr>
        <w:footnoteRef/>
      </w:r>
      <w:r>
        <w:t xml:space="preserve"> COM(2015) 302 final.</w:t>
      </w:r>
    </w:p>
  </w:footnote>
  <w:footnote w:id="2">
    <w:p>
      <w:pPr>
        <w:rPr>
          <w:sz w:val="20"/>
        </w:rPr>
      </w:pPr>
      <w:r>
        <w:rPr>
          <w:rStyle w:val="FootnoteReference"/>
          <w:rFonts w:asciiTheme="minorHAnsi" w:hAnsiTheme="minorHAnsi"/>
          <w:sz w:val="20"/>
        </w:rPr>
        <w:footnoteRef/>
      </w:r>
      <w:r>
        <w:rPr>
          <w:rFonts w:asciiTheme="minorHAnsi" w:hAnsiTheme="minorHAnsi"/>
          <w:sz w:val="20"/>
        </w:rPr>
        <w:t xml:space="preserve"> </w:t>
      </w:r>
      <w:r>
        <w:rPr>
          <w:sz w:val="20"/>
        </w:rPr>
        <w:t>COM(2016) 451 final.</w:t>
      </w:r>
    </w:p>
  </w:footnote>
  <w:footnote w:id="3">
    <w:p>
      <w:pPr>
        <w:pStyle w:val="FootnoteText"/>
      </w:pPr>
      <w:r>
        <w:rPr>
          <w:rStyle w:val="FootnoteReference"/>
        </w:rPr>
        <w:footnoteRef/>
      </w:r>
      <w:r>
        <w:t xml:space="preserve"> A se vedea Comunicarea privind noțiunea de ajutor de stat, punctele 169-174:</w:t>
      </w:r>
    </w:p>
    <w:p>
      <w:pPr>
        <w:pStyle w:val="FootnoteText"/>
        <w:rPr>
          <w:color w:val="1F497D"/>
        </w:rPr>
      </w:pPr>
      <w:hyperlink r:id="rId1">
        <w:r>
          <w:rPr>
            <w:rStyle w:val="Hyperlink"/>
          </w:rPr>
          <w:t>http://ec.europa.eu/competition/state_aid/modernisation/notice_of_aid_ro.pdf</w:t>
        </w:r>
      </w:hyperlink>
    </w:p>
  </w:footnote>
  <w:footnote w:id="4">
    <w:p>
      <w:pPr>
        <w:pStyle w:val="FootnoteText"/>
        <w:rPr>
          <w:lang w:val="pt-PT"/>
        </w:rPr>
      </w:pPr>
      <w:r>
        <w:rPr>
          <w:rStyle w:val="FootnoteReference"/>
        </w:rPr>
        <w:footnoteRef/>
      </w:r>
      <w:r>
        <w:t xml:space="preserve"> Directiva (UE) 2015/2376 a Consiliului. </w:t>
      </w:r>
    </w:p>
  </w:footnote>
  <w:footnote w:id="5">
    <w:p>
      <w:pPr>
        <w:pStyle w:val="FootnoteText"/>
        <w:rPr>
          <w:lang w:val="pt-PT"/>
        </w:rPr>
      </w:pPr>
      <w:r>
        <w:rPr>
          <w:rStyle w:val="FootnoteReference"/>
        </w:rPr>
        <w:footnoteRef/>
      </w:r>
      <w:r>
        <w:t xml:space="preserve"> Directiva (UE) 2016/881 a Consiliului.</w:t>
      </w:r>
    </w:p>
  </w:footnote>
  <w:footnote w:id="6">
    <w:p>
      <w:pPr>
        <w:pStyle w:val="FootnoteText"/>
        <w:rPr>
          <w:lang w:val="pt-PT"/>
        </w:rPr>
      </w:pPr>
      <w:r>
        <w:rPr>
          <w:rStyle w:val="FootnoteReference"/>
        </w:rPr>
        <w:footnoteRef/>
      </w:r>
      <w:r>
        <w:t xml:space="preserve"> COM(2016) 452 final.</w:t>
      </w:r>
    </w:p>
  </w:footnote>
  <w:footnote w:id="7">
    <w:p>
      <w:pPr>
        <w:pStyle w:val="FootnoteText"/>
      </w:pPr>
      <w:r>
        <w:rPr>
          <w:rStyle w:val="FootnoteReference"/>
        </w:rPr>
        <w:footnoteRef/>
      </w:r>
      <w:r>
        <w:t xml:space="preserve"> Directiva (UE) 2016/1164 a Consiliului.</w:t>
      </w:r>
    </w:p>
  </w:footnote>
  <w:footnote w:id="8">
    <w:p>
      <w:pPr>
        <w:pStyle w:val="FootnoteText"/>
      </w:pPr>
      <w:r>
        <w:rPr>
          <w:rStyle w:val="FootnoteReference"/>
        </w:rPr>
        <w:footnoteRef/>
      </w:r>
      <w:r>
        <w:t xml:space="preserve"> COM(2016) 24 final.</w:t>
      </w:r>
    </w:p>
  </w:footnote>
  <w:footnote w:id="9">
    <w:p>
      <w:pPr>
        <w:pStyle w:val="FootnoteText"/>
      </w:pPr>
      <w:r>
        <w:rPr>
          <w:rStyle w:val="FootnoteReference"/>
        </w:rPr>
        <w:footnoteRef/>
      </w:r>
      <w:r>
        <w:t xml:space="preserve"> Evaluarea impactului privind o bază fiscală consolidată comună a societăților (CCCTB) [SWD (2016) 341].</w:t>
      </w:r>
    </w:p>
  </w:footnote>
  <w:footnote w:id="10">
    <w:p>
      <w:pPr>
        <w:pStyle w:val="FootnoteText"/>
      </w:pPr>
      <w:r>
        <w:rPr>
          <w:rStyle w:val="FootnoteReference"/>
        </w:rPr>
        <w:footnoteRef/>
      </w:r>
      <w:r>
        <w:tab/>
        <w:t xml:space="preserve">Având în vedere riscurile mai mari legate de finanțarea prin capitaluri proprii față de finanțarea prin îndatorare, pentru a stabili cuantumul deducerii, la randament se va adăuga o primă de risc. Având în vedere că majorările capitalurilor proprii pot avea o vechime de 10 ani, randamentul de referință pentru deducere va fi randamentul obligațiunilor guvernamentale de referință pe 10 ani din zona euro.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C07772"/>
    <w:multiLevelType w:val="hybridMultilevel"/>
    <w:tmpl w:val="3B327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9">
    <w:nsid w:val="64CB1E6D"/>
    <w:multiLevelType w:val="hybridMultilevel"/>
    <w:tmpl w:val="EE9216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1">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7AB55682"/>
    <w:multiLevelType w:val="multilevel"/>
    <w:tmpl w:val="FA5C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3"/>
  </w:num>
  <w:num w:numId="5">
    <w:abstractNumId w:val="7"/>
  </w:num>
  <w:num w:numId="6">
    <w:abstractNumId w:val="12"/>
  </w:num>
  <w:num w:numId="7">
    <w:abstractNumId w:val="18"/>
  </w:num>
  <w:num w:numId="8">
    <w:abstractNumId w:val="20"/>
  </w:num>
  <w:num w:numId="9">
    <w:abstractNumId w:val="10"/>
  </w:num>
  <w:num w:numId="10">
    <w:abstractNumId w:val="17"/>
  </w:num>
  <w:num w:numId="11">
    <w:abstractNumId w:val="16"/>
  </w:num>
  <w:num w:numId="12">
    <w:abstractNumId w:val="14"/>
  </w:num>
  <w:num w:numId="13">
    <w:abstractNumId w:val="15"/>
  </w:num>
  <w:num w:numId="14">
    <w:abstractNumId w:val="6"/>
  </w:num>
  <w:num w:numId="15">
    <w:abstractNumId w:val="11"/>
  </w:num>
  <w:num w:numId="16">
    <w:abstractNumId w:val="4"/>
  </w:num>
  <w:num w:numId="17">
    <w:abstractNumId w:val="8"/>
  </w:num>
  <w:num w:numId="18">
    <w:abstractNumId w:val="21"/>
  </w:num>
  <w:num w:numId="19">
    <w:abstractNumId w:val="9"/>
  </w:num>
  <w:num w:numId="20">
    <w:abstractNumId w:val="23"/>
  </w:num>
  <w:num w:numId="21">
    <w:abstractNumId w:val="3"/>
  </w:num>
  <w:num w:numId="22">
    <w:abstractNumId w:val="2"/>
  </w:num>
  <w:num w:numId="23">
    <w:abstractNumId w:val="22"/>
  </w:num>
  <w:num w:numId="24">
    <w:abstractNumId w:val="19"/>
  </w:num>
  <w:num w:numId="25">
    <w:abstractNumId w:val="5"/>
  </w:num>
  <w:num w:numId="26">
    <w:abstractNumId w:val="5"/>
  </w:num>
  <w:num w:numId="27">
    <w:abstractNumId w:val="5"/>
  </w:num>
  <w:num w:numId="28">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DBB54AE163DF477F86B51A24BF15F263"/>
    <w:docVar w:name="LW_CROSSREFERENCE" w:val="&lt;UNUSED&gt;"/>
    <w:docVar w:name="LW_DocType" w:val="REP"/>
    <w:docVar w:name="LW_EMISSION" w:val="25.10.2016"/>
    <w:docVar w:name="LW_EMISSION_ISODATE" w:val="2016-10-25"/>
    <w:docVar w:name="LW_EMISSION_LOCATION" w:val="STR"/>
    <w:docVar w:name="LW_EMISSION_PREFIX" w:val="Strasbourg, "/>
    <w:docVar w:name="LW_EMISSION_SUFFIX" w:val=" "/>
    <w:docVar w:name="LW_ID_DOCTYPE_NONLW" w:val="CP-012"/>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682"/>
    <w:docVar w:name="LW_REF.INTERNE" w:val="&lt;UNUSED&gt;"/>
    <w:docVar w:name="LW_SOUS.TITRE.OBJ.CP" w:val="&lt;UNUSED&gt;"/>
    <w:docVar w:name="LW_SUPERTITRE" w:val="&lt;UNUSED&gt;"/>
    <w:docVar w:name="LW_TITRE.OBJ.CP" w:val="Crearea unui sistem de impozitare a societ\u259?\u539?ilor echitabil, competitiv \u537?i stabil pentru Uniunea European\u259?"/>
    <w:docVar w:name="LW_TYPE.DOC.CP" w:val="COMUNICARE A COMISIEI C\u258?TRE PARLAMENTUL EUROPEAN \u536?I CONSILIU"/>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ro-RO"/>
    </w:rPr>
  </w:style>
  <w:style w:type="character" w:customStyle="1" w:styleId="FooterCoverPageChar">
    <w:name w:val="Footer Cover Page Char"/>
    <w:basedOn w:val="TypedudocumentChar"/>
    <w:link w:val="FooterCoverPage"/>
    <w:rPr>
      <w:rFonts w:eastAsiaTheme="minorHAnsi"/>
      <w:b w:val="0"/>
      <w:sz w:val="24"/>
      <w:szCs w:val="22"/>
      <w:lang w:eastAsia="ro-RO"/>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paragraph" w:styleId="Revision">
    <w:name w:val="Revision"/>
    <w:hidden/>
    <w:uiPriority w:val="99"/>
    <w:semiHidden/>
    <w:rPr>
      <w:sz w:val="2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semiHidden/>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ro-RO"/>
    </w:rPr>
  </w:style>
  <w:style w:type="character" w:customStyle="1" w:styleId="HeaderChar">
    <w:name w:val="Header Char"/>
    <w:basedOn w:val="DefaultParagraphFont"/>
    <w:link w:val="Header"/>
    <w:uiPriority w:val="99"/>
    <w:rPr>
      <w:sz w:val="24"/>
      <w:lang w:eastAsia="ro-RO"/>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ro-RO"/>
    </w:rPr>
  </w:style>
  <w:style w:type="character" w:customStyle="1" w:styleId="FooterCoverPageChar">
    <w:name w:val="Footer Cover Page Char"/>
    <w:basedOn w:val="TypedudocumentChar"/>
    <w:link w:val="FooterCoverPage"/>
    <w:rPr>
      <w:rFonts w:eastAsiaTheme="minorHAnsi"/>
      <w:b w:val="0"/>
      <w:sz w:val="24"/>
      <w:szCs w:val="22"/>
      <w:lang w:eastAsia="ro-RO"/>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ro-RO"/>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paragraph" w:styleId="Revision">
    <w:name w:val="Revision"/>
    <w:hidden/>
    <w:uiPriority w:val="99"/>
    <w:semiHidden/>
    <w:rPr>
      <w:sz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94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competition/state_aid/modernisation/notice_of_aid_ro.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5CBAD-7F2A-44AF-92D1-73B753D08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72</TotalTime>
  <Pages>10</Pages>
  <Words>4199</Words>
  <Characters>24358</Characters>
  <Application>Microsoft Office Word</Application>
  <DocSecurity>0</DocSecurity>
  <PresentationFormat>Microsoft Word 14.0</PresentationFormat>
  <Lines>353</Lines>
  <Paragraphs>52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25</cp:revision>
  <cp:lastPrinted>2016-10-17T09:09:00Z</cp:lastPrinted>
  <dcterms:created xsi:type="dcterms:W3CDTF">2016-10-20T09:27:00Z</dcterms:created>
  <dcterms:modified xsi:type="dcterms:W3CDTF">2016-11-07T10:47:00Z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ies>
</file>