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D3BC9F396B840BA83979EA2FC8DC121" style="width:451.25pt;height:348.3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spacing w:after="120" w:line="240" w:lineRule="auto"/>
        <w:jc w:val="center"/>
        <w:rPr>
          <w:rFonts w:ascii="Times New Roman" w:eastAsiaTheme="minorHAnsi" w:hAnsi="Times New Roman" w:cs="Times New Roman"/>
          <w:b/>
          <w:smallCaps/>
          <w:noProof/>
        </w:rPr>
      </w:pPr>
      <w:bookmarkStart w:id="1" w:name="_GoBack"/>
      <w:bookmarkEnd w:id="1"/>
      <w:r>
        <w:rPr>
          <w:rFonts w:ascii="Times New Roman" w:eastAsiaTheme="minorHAnsi" w:hAnsi="Times New Roman"/>
          <w:b/>
          <w:smallCaps/>
          <w:noProof/>
        </w:rPr>
        <w:lastRenderedPageBreak/>
        <w:t>COMUNICAREA COMISIEI</w:t>
      </w:r>
    </w:p>
    <w:p>
      <w:pPr>
        <w:spacing w:after="120" w:line="240" w:lineRule="auto"/>
        <w:jc w:val="center"/>
        <w:rPr>
          <w:rFonts w:ascii="Times New Roman" w:eastAsiaTheme="minorHAnsi" w:hAnsi="Times New Roman" w:cs="Times New Roman"/>
          <w:b/>
          <w:smallCaps/>
          <w:noProof/>
        </w:rPr>
      </w:pPr>
      <w:r>
        <w:rPr>
          <w:rFonts w:ascii="Times New Roman" w:eastAsiaTheme="minorHAnsi" w:hAnsi="Times New Roman"/>
          <w:b/>
          <w:smallCaps/>
          <w:noProof/>
        </w:rPr>
        <w:t>Viitorii lideri ai Europei: inițiativa privind întreprinderile nou-înființate și extinderea acestora</w:t>
      </w:r>
    </w:p>
    <w:p>
      <w:pPr>
        <w:spacing w:after="120" w:line="240" w:lineRule="auto"/>
        <w:jc w:val="both"/>
        <w:rPr>
          <w:rFonts w:ascii="Times New Roman" w:eastAsiaTheme="minorHAnsi" w:hAnsi="Times New Roman" w:cs="Times New Roman"/>
          <w:noProof/>
        </w:rPr>
      </w:pPr>
    </w:p>
    <w:p>
      <w:pPr>
        <w:pStyle w:val="Heading2"/>
        <w:rPr>
          <w:smallCaps/>
          <w:noProof/>
        </w:rPr>
      </w:pPr>
      <w:r>
        <w:rPr>
          <w:noProof/>
        </w:rPr>
        <w:t>1.</w:t>
      </w:r>
      <w:r>
        <w:rPr>
          <w:noProof/>
        </w:rPr>
        <w:tab/>
      </w:r>
      <w:r>
        <w:rPr>
          <w:smallCaps/>
          <w:noProof/>
        </w:rPr>
        <w:t>Introducere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Întreprinderile cu creștere puternică creează mult mai multe locuri de muncă în comparație cu alte întreprinderi</w:t>
      </w:r>
      <w:r>
        <w:rPr>
          <w:rStyle w:val="FootnoteReference"/>
          <w:rFonts w:ascii="Times New Roman" w:eastAsiaTheme="minorHAnsi" w:hAnsi="Times New Roman"/>
          <w:noProof/>
        </w:rPr>
        <w:footnoteReference w:id="2"/>
      </w:r>
      <w:r>
        <w:rPr>
          <w:noProof/>
        </w:rPr>
        <w:t>.</w:t>
      </w:r>
      <w:r>
        <w:rPr>
          <w:rFonts w:ascii="Times New Roman" w:eastAsiaTheme="minorHAnsi" w:hAnsi="Times New Roman"/>
          <w:noProof/>
        </w:rPr>
        <w:t xml:space="preserve"> Întreprinderile nou-înființate care se dezvoltă în companii mai mari reprezintă o mare parte din aceste întreprinderi. Ele sporesc nivelul de inovare și de competitivitate al UE, consolidând economia. Astfel de „extinderi” pot aduce și beneficii sociale, inclusiv prin faptul că oferă modalități de lucru mai flexibile și moderne.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În cadrul Strategiei privind piața unică, Comisia a anunțat că va analiza modalitățile de creștere a eficienței pieței unice pentru întreprinderile nou-înființate și pentru întreprinderile în curs de extindere. În ultimă instanță, îmbunătățirea ecosistemului pentru întreprinderile nou-înființate și pentru întreprinderile în curs de extindere din Europa va avea un efect benefic direct asupra locurilor de muncă și a creșterii în UE.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Întreprinderile nou-înființate, adesea tehnologizate</w:t>
      </w:r>
      <w:r>
        <w:rPr>
          <w:rStyle w:val="FootnoteReference"/>
          <w:rFonts w:ascii="Times New Roman" w:eastAsiaTheme="minorHAnsi" w:hAnsi="Times New Roman"/>
          <w:noProof/>
        </w:rPr>
        <w:footnoteReference w:id="3"/>
      </w:r>
      <w:r>
        <w:rPr>
          <w:rFonts w:ascii="Times New Roman" w:eastAsiaTheme="minorHAnsi" w:hAnsi="Times New Roman"/>
          <w:noProof/>
        </w:rPr>
        <w:t xml:space="preserve">, combină în general creșterea rapidă, utilizarea intensă a inovării în materie de produse, de procese și de finanțare, atenția deosebită acordată noilor evoluții tehnologice, utilizarea extinsă a modelelor inovatoare de afaceri și, adesea, platformele colaborative. </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Mai multe state membre au pus deja în aplicare sau au în vedere inițiative pentru a crea un mediu favorabil inovării și antreprenoriatului. În consecință, nu există o diferență semnificativă între UE și SUA în ceea ce privește crearea de noi întreprinderi</w:t>
      </w:r>
      <w:r>
        <w:rPr>
          <w:rStyle w:val="FootnoteReference"/>
          <w:rFonts w:ascii="Times New Roman" w:eastAsiaTheme="minorHAnsi" w:hAnsi="Times New Roman"/>
          <w:noProof/>
        </w:rPr>
        <w:footnoteReference w:id="4"/>
      </w:r>
      <w:r>
        <w:rPr>
          <w:noProof/>
        </w:rPr>
        <w:t>.</w:t>
      </w:r>
      <w:r>
        <w:rPr>
          <w:rFonts w:ascii="Times New Roman" w:eastAsiaTheme="minorHAnsi" w:hAnsi="Times New Roman"/>
          <w:noProof/>
        </w:rPr>
        <w:t xml:space="preserve"> Acest lucru este vizibil în mod special în sectorul tehnologic, la nivelul căruia întreprinderile din UE sunt pe cale să devină lideri mondiali în anumite sectoare de medie/înaltă tehnologie (de exemplu inginerie, industria autovehiculelor).</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O serie de inițiative ale UE contribuie la crearea de locuri de muncă și la creștere: Fondul european pentru investiții strategice (FEIS)</w:t>
      </w:r>
      <w:r>
        <w:rPr>
          <w:rStyle w:val="FootnoteReference"/>
          <w:rFonts w:ascii="Times New Roman" w:eastAsiaTheme="minorHAnsi" w:hAnsi="Times New Roman"/>
          <w:noProof/>
        </w:rPr>
        <w:footnoteReference w:id="5"/>
      </w:r>
      <w:r>
        <w:rPr>
          <w:rFonts w:ascii="Times New Roman" w:eastAsiaTheme="minorHAnsi" w:hAnsi="Times New Roman"/>
          <w:noProof/>
        </w:rPr>
        <w:t>, precum și extinderea și consolidarea acestuia, dar și Strategia privind piața unică</w:t>
      </w:r>
      <w:r>
        <w:rPr>
          <w:rStyle w:val="FootnoteReference"/>
          <w:rFonts w:ascii="Times New Roman" w:eastAsiaTheme="minorHAnsi" w:hAnsi="Times New Roman"/>
          <w:noProof/>
        </w:rPr>
        <w:footnoteReference w:id="6"/>
      </w:r>
      <w:r>
        <w:rPr>
          <w:rFonts w:ascii="Times New Roman" w:eastAsiaTheme="minorHAnsi" w:hAnsi="Times New Roman"/>
          <w:noProof/>
        </w:rPr>
        <w:t>, piața unică digitală</w:t>
      </w:r>
      <w:r>
        <w:rPr>
          <w:rStyle w:val="FootnoteReference"/>
          <w:rFonts w:ascii="Times New Roman" w:eastAsiaTheme="minorHAnsi" w:hAnsi="Times New Roman"/>
          <w:noProof/>
        </w:rPr>
        <w:footnoteReference w:id="7"/>
      </w:r>
      <w:r>
        <w:rPr>
          <w:rFonts w:ascii="Times New Roman" w:eastAsiaTheme="minorHAnsi" w:hAnsi="Times New Roman"/>
          <w:noProof/>
        </w:rPr>
        <w:t xml:space="preserve"> și uniunea piețelor de capital</w:t>
      </w:r>
      <w:r>
        <w:rPr>
          <w:rStyle w:val="FootnoteReference"/>
          <w:rFonts w:ascii="Times New Roman" w:eastAsiaTheme="minorHAnsi" w:hAnsi="Times New Roman"/>
          <w:noProof/>
        </w:rPr>
        <w:footnoteReference w:id="8"/>
      </w:r>
      <w:r>
        <w:rPr>
          <w:rFonts w:ascii="Times New Roman" w:eastAsiaTheme="minorHAnsi" w:hAnsi="Times New Roman"/>
          <w:noProof/>
        </w:rPr>
        <w:t xml:space="preserve"> au oferit, de asemenea, un cadru pentru îmbunătățiri suplimentare. În plus, o concentrare mai puternică a fondurilor structurale și de investiții europene (fondurile ESI) asupra inovării și asupra sprijinirii IMM-urilor include acordarea de sprijin sub formă de capital de risc pentru 140 000 de întreprinderi nou-înființate și extinderi</w:t>
      </w:r>
      <w:r>
        <w:rPr>
          <w:rStyle w:val="FootnoteReference"/>
          <w:rFonts w:ascii="Times New Roman" w:hAnsi="Times New Roman"/>
          <w:noProof/>
        </w:rPr>
        <w:footnoteReference w:id="9"/>
      </w:r>
      <w:r>
        <w:rPr>
          <w:rFonts w:ascii="Times New Roman" w:eastAsiaTheme="minorHAnsi" w:hAnsi="Times New Roman"/>
          <w:noProof/>
        </w:rPr>
        <w:t>. Acordurile FEIS vizează deja 377 000 de IMM-uri, inclusiv întreprinderi nou-înființate.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Însă, în loc să prospere și să se extindă în Europa și dincolo de granițele acesteia, prea puține întreprinderi nou-înființate europene supraviețuiesc după faza critică de 2-3 ani și încă și mai puține se dezvoltă în întreprinderi mai mari</w:t>
      </w:r>
      <w:r>
        <w:rPr>
          <w:rStyle w:val="FootnoteReference"/>
          <w:rFonts w:ascii="Times New Roman" w:eastAsiaTheme="minorHAnsi" w:hAnsi="Times New Roman"/>
          <w:noProof/>
        </w:rPr>
        <w:footnoteReference w:id="10"/>
      </w:r>
      <w:r>
        <w:rPr>
          <w:noProof/>
        </w:rPr>
        <w:t>.</w:t>
      </w:r>
      <w:r>
        <w:rPr>
          <w:rFonts w:ascii="Times New Roman" w:eastAsiaTheme="minorHAnsi" w:hAnsi="Times New Roman"/>
          <w:noProof/>
        </w:rPr>
        <w:t xml:space="preserve"> </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Deși motivele pentru această situație sunt numeroase, s-a estimat că în următorii 20 de ani în UE ar putea fi create până la 1 milion de noi locuri de muncă și s-ar putea ajunge la un PIB suplimentar de 2 000 de miliarde EUR, dacă ponderea întreprinderilor în curs de extindere ar ajunge să fie echivalentă </w:t>
      </w:r>
      <w:r>
        <w:rPr>
          <w:rFonts w:ascii="Times New Roman" w:eastAsiaTheme="minorHAnsi" w:hAnsi="Times New Roman"/>
          <w:noProof/>
        </w:rPr>
        <w:lastRenderedPageBreak/>
        <w:t>cu cea din SUA</w:t>
      </w:r>
      <w:r>
        <w:rPr>
          <w:rStyle w:val="FootnoteReference"/>
          <w:rFonts w:ascii="Times New Roman" w:eastAsiaTheme="minorHAnsi" w:hAnsi="Times New Roman"/>
          <w:noProof/>
        </w:rPr>
        <w:footnoteReference w:id="11"/>
      </w:r>
      <w:r>
        <w:rPr>
          <w:noProof/>
        </w:rPr>
        <w:t>.</w:t>
      </w:r>
      <w:r>
        <w:rPr>
          <w:rFonts w:ascii="Times New Roman" w:eastAsiaTheme="minorHAnsi" w:hAnsi="Times New Roman"/>
          <w:noProof/>
        </w:rPr>
        <w:t xml:space="preserve"> Datorită legăturii pozitive dintre mărimea și productivitatea întreprinderii, aceasta ar îmbunătăți creșterea productivității în Europa</w:t>
      </w:r>
      <w:r>
        <w:rPr>
          <w:rStyle w:val="FootnoteReference"/>
          <w:rFonts w:ascii="Times New Roman" w:eastAsiaTheme="minorHAnsi" w:hAnsi="Times New Roman"/>
          <w:noProof/>
        </w:rPr>
        <w:footnoteReference w:id="12"/>
      </w:r>
      <w:r>
        <w:rPr>
          <w:rStyle w:val="FootnoteReference"/>
          <w:rFonts w:ascii="Times New Roman" w:eastAsiaTheme="minorHAnsi" w:hAnsi="Times New Roman"/>
          <w:noProof/>
          <w:color w:val="5F497A" w:themeColor="accent4" w:themeShade="BF"/>
        </w:rPr>
        <w:footnoteReference w:id="13"/>
      </w:r>
      <w:r>
        <w:rPr>
          <w:noProof/>
        </w:rPr>
        <w:t>.</w:t>
      </w:r>
      <w:r>
        <w:rPr>
          <w:rFonts w:ascii="Times New Roman" w:eastAsiaTheme="minorHAnsi" w:hAnsi="Times New Roman"/>
          <w:noProof/>
        </w:rPr>
        <w:t xml:space="preserve"> În plus, identificarea unor modalități de sprijinire a întreprinderilor nou-înființate în curs de extindere ar putea, de asemenea, să aducă beneficii întreprinderilor tradiționale, sprijinindu-le să funcționeze și să crească în cadrul pieței unice.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Rezultatele unei consultări publice organizate de Comisie la începutul anului 2016 au confirmat această situație. Concluziile esențiale</w:t>
      </w:r>
      <w:r>
        <w:rPr>
          <w:rStyle w:val="FootnoteReference"/>
          <w:rFonts w:ascii="Times New Roman" w:eastAsiaTheme="minorHAnsi" w:hAnsi="Times New Roman"/>
          <w:noProof/>
        </w:rPr>
        <w:footnoteReference w:id="14"/>
      </w:r>
      <w:r>
        <w:rPr>
          <w:rFonts w:ascii="Times New Roman" w:eastAsiaTheme="minorHAnsi" w:hAnsi="Times New Roman"/>
          <w:noProof/>
        </w:rPr>
        <w:t xml:space="preserve"> au fost următoarele:</w:t>
      </w:r>
    </w:p>
    <w:p>
      <w:pPr>
        <w:pStyle w:val="ListParagraph"/>
        <w:numPr>
          <w:ilvl w:val="0"/>
          <w:numId w:val="22"/>
        </w:num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întreprinderile nou-înființate care urmăresc să se extindă încă se confruntă cu </w:t>
      </w:r>
      <w:r>
        <w:rPr>
          <w:rFonts w:ascii="Times New Roman" w:eastAsiaTheme="minorHAnsi" w:hAnsi="Times New Roman"/>
          <w:b/>
          <w:noProof/>
        </w:rPr>
        <w:t>prea multe obstacole administrative</w:t>
      </w:r>
      <w:r>
        <w:rPr>
          <w:rFonts w:ascii="Times New Roman" w:eastAsiaTheme="minorHAnsi" w:hAnsi="Times New Roman"/>
          <w:noProof/>
        </w:rPr>
        <w:t xml:space="preserve"> și </w:t>
      </w:r>
      <w:r>
        <w:rPr>
          <w:rFonts w:ascii="Times New Roman" w:eastAsiaTheme="minorHAnsi" w:hAnsi="Times New Roman"/>
          <w:b/>
          <w:noProof/>
        </w:rPr>
        <w:t>de reglementare</w:t>
      </w:r>
      <w:r>
        <w:rPr>
          <w:rFonts w:ascii="Times New Roman" w:eastAsiaTheme="minorHAnsi" w:hAnsi="Times New Roman"/>
          <w:noProof/>
        </w:rPr>
        <w:t>, în special la nivel transfrontalier;</w:t>
      </w:r>
    </w:p>
    <w:p>
      <w:pPr>
        <w:pStyle w:val="ListParagraph"/>
        <w:numPr>
          <w:ilvl w:val="0"/>
          <w:numId w:val="22"/>
        </w:num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atât pentru întreprinderile nou-înființate, cât și pentru întreprinderile în curs de extindere, </w:t>
      </w:r>
      <w:r>
        <w:rPr>
          <w:rFonts w:ascii="Times New Roman" w:eastAsiaTheme="minorHAnsi" w:hAnsi="Times New Roman"/>
          <w:b/>
          <w:noProof/>
        </w:rPr>
        <w:t>există prea puține oportunități</w:t>
      </w:r>
      <w:r>
        <w:rPr>
          <w:rFonts w:ascii="Times New Roman" w:eastAsiaTheme="minorHAnsi" w:hAnsi="Times New Roman"/>
          <w:noProof/>
        </w:rPr>
        <w:t xml:space="preserve"> de a găsi și de a colabora cu potențiali parteneri de finanțare, de afaceri și din rândul autorităților locale; </w:t>
      </w:r>
    </w:p>
    <w:p>
      <w:pPr>
        <w:pStyle w:val="ListParagraph"/>
        <w:numPr>
          <w:ilvl w:val="0"/>
          <w:numId w:val="22"/>
        </w:numPr>
        <w:spacing w:after="120" w:line="240" w:lineRule="auto"/>
        <w:jc w:val="both"/>
        <w:rPr>
          <w:rFonts w:ascii="Times New Roman" w:eastAsiaTheme="minorHAnsi" w:hAnsi="Times New Roman" w:cs="Times New Roman"/>
          <w:noProof/>
        </w:rPr>
      </w:pPr>
      <w:r>
        <w:rPr>
          <w:rFonts w:ascii="Times New Roman" w:eastAsiaTheme="minorHAnsi" w:hAnsi="Times New Roman"/>
          <w:b/>
          <w:noProof/>
        </w:rPr>
        <w:t xml:space="preserve">accesarea finanțării </w:t>
      </w:r>
      <w:r>
        <w:rPr>
          <w:rFonts w:ascii="Times New Roman" w:eastAsiaTheme="minorHAnsi" w:hAnsi="Times New Roman"/>
          <w:noProof/>
        </w:rPr>
        <w:t>este unul dintre cele mai mari obstacole în calea extinderii.</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Pe scurt, piața unică încă prea fragmentată</w:t>
      </w:r>
      <w:r>
        <w:rPr>
          <w:rStyle w:val="FootnoteReference"/>
          <w:rFonts w:ascii="Times New Roman" w:eastAsiaTheme="minorHAnsi" w:hAnsi="Times New Roman"/>
          <w:noProof/>
        </w:rPr>
        <w:footnoteReference w:id="15"/>
      </w:r>
      <w:r>
        <w:rPr>
          <w:rFonts w:ascii="Times New Roman" w:eastAsiaTheme="minorHAnsi" w:hAnsi="Times New Roman"/>
          <w:noProof/>
        </w:rPr>
        <w:t xml:space="preserve"> poate limita în special potențialul de creștere al întreprinderilor nou-înființate și al întreprinderilor în curs de extindere. Se pare că barierele administrative și de reglementare le descurajează adesea să inoveze, să își valorifice activele necorporale și să se extindă la nivelul UE. Întreprinderile pot alege să își desfășoare activitatea în jurisdicții din afara UE, care au un potențial de creștere mai ridicat, fapt care poate avea ca rezultat pierderea de locuri de muncă în UE.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Autoritățile publice europene, întreprinderile nou-înființate și partenerii lor de afaceri trebuie să acționeze în mod colectiv pentru a împiedica irosirea eforturilor importante depuse de întreprinderile nou-înființate. Este nevoie de un parteneriat cu autoritățile naționale, regionale și locale și, în special, chiar cu întreprinderile nou-înființate. Acest demers presupune ca autoritățile să promoveze condiții care să asigure faptul că întreprinderile nou-înființate se pot extinde. În schimb, respectivele întreprinderi nou-înființate pot crea locuri de muncă, pot concura pe piață și pot fi responsabile din punct de vedere social. Recentul Manifest „Scale-up Europe”</w:t>
      </w:r>
      <w:r>
        <w:rPr>
          <w:rStyle w:val="FootnoteReference"/>
          <w:rFonts w:ascii="Times New Roman" w:eastAsiaTheme="minorHAnsi" w:hAnsi="Times New Roman"/>
          <w:noProof/>
        </w:rPr>
        <w:footnoteReference w:id="16"/>
      </w:r>
      <w:r>
        <w:rPr>
          <w:rFonts w:ascii="Times New Roman" w:eastAsiaTheme="minorHAnsi" w:hAnsi="Times New Roman"/>
          <w:noProof/>
        </w:rPr>
        <w:t xml:space="preserve"> arată că întreprinderile nou-înființate sunt pregătite să se implice. Comisia salută această inițiativă a actorilor din domeniu, iar recomandările formulate în cadrul inițiativei au alimentat reflecțiile Comisiei cu privire la aceste chestiuni.</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Această inițiativă abordează trei chestiuni: </w:t>
      </w:r>
      <w:r>
        <w:rPr>
          <w:rFonts w:ascii="Times New Roman" w:eastAsiaTheme="minorHAnsi" w:hAnsi="Times New Roman"/>
          <w:b/>
          <w:noProof/>
        </w:rPr>
        <w:t>obstacolele</w:t>
      </w:r>
      <w:r>
        <w:rPr>
          <w:rFonts w:ascii="Times New Roman" w:eastAsiaTheme="minorHAnsi" w:hAnsi="Times New Roman"/>
          <w:noProof/>
        </w:rPr>
        <w:t xml:space="preserve">; </w:t>
      </w:r>
      <w:r>
        <w:rPr>
          <w:rFonts w:ascii="Times New Roman" w:eastAsiaTheme="minorHAnsi" w:hAnsi="Times New Roman"/>
          <w:b/>
          <w:noProof/>
        </w:rPr>
        <w:t>deficitul de parteneri și de oportunități</w:t>
      </w:r>
      <w:r>
        <w:rPr>
          <w:rFonts w:ascii="Times New Roman" w:eastAsiaTheme="minorHAnsi" w:hAnsi="Times New Roman"/>
          <w:noProof/>
        </w:rPr>
        <w:t>; și</w:t>
      </w:r>
      <w:r>
        <w:rPr>
          <w:rFonts w:ascii="Times New Roman" w:eastAsiaTheme="minorHAnsi" w:hAnsi="Times New Roman"/>
          <w:b/>
          <w:noProof/>
        </w:rPr>
        <w:t xml:space="preserve"> dificultățile privind finanțarea</w:t>
      </w:r>
      <w:r>
        <w:rPr>
          <w:rFonts w:ascii="Times New Roman" w:eastAsiaTheme="minorHAnsi" w:hAnsi="Times New Roman"/>
          <w:noProof/>
        </w:rPr>
        <w:t>. Inițiativa se bazează pe:</w:t>
      </w:r>
    </w:p>
    <w:p>
      <w:pPr>
        <w:pStyle w:val="ListParagraph"/>
        <w:numPr>
          <w:ilvl w:val="0"/>
          <w:numId w:val="23"/>
        </w:num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o </w:t>
      </w:r>
      <w:r>
        <w:rPr>
          <w:rFonts w:ascii="Times New Roman" w:eastAsiaTheme="minorHAnsi" w:hAnsi="Times New Roman"/>
          <w:b/>
          <w:noProof/>
        </w:rPr>
        <w:t>abordare coordonată</w:t>
      </w:r>
      <w:r>
        <w:rPr>
          <w:rFonts w:ascii="Times New Roman" w:eastAsiaTheme="minorHAnsi" w:hAnsi="Times New Roman"/>
          <w:noProof/>
        </w:rPr>
        <w:t xml:space="preserve"> la nivelul politicilor UE, bazată pe măsurile în vigoare sau în curs de elaborare, inclusiv abordări sectoriale, cum ar fi în sectorul spațial;</w:t>
      </w:r>
    </w:p>
    <w:p>
      <w:pPr>
        <w:pStyle w:val="ListParagraph"/>
        <w:numPr>
          <w:ilvl w:val="0"/>
          <w:numId w:val="23"/>
        </w:num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un set limitat și orientat de </w:t>
      </w:r>
      <w:r>
        <w:rPr>
          <w:rFonts w:ascii="Times New Roman" w:eastAsiaTheme="minorHAnsi" w:hAnsi="Times New Roman"/>
          <w:b/>
          <w:noProof/>
        </w:rPr>
        <w:t>măsuri practice</w:t>
      </w:r>
      <w:r>
        <w:rPr>
          <w:rFonts w:ascii="Times New Roman" w:eastAsiaTheme="minorHAnsi" w:hAnsi="Times New Roman"/>
          <w:noProof/>
        </w:rPr>
        <w:t>; și, mai ales,</w:t>
      </w:r>
    </w:p>
    <w:p>
      <w:pPr>
        <w:pStyle w:val="ListParagraph"/>
        <w:numPr>
          <w:ilvl w:val="0"/>
          <w:numId w:val="23"/>
        </w:num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un </w:t>
      </w:r>
      <w:r>
        <w:rPr>
          <w:rFonts w:ascii="Times New Roman" w:eastAsiaTheme="minorHAnsi" w:hAnsi="Times New Roman"/>
          <w:b/>
          <w:noProof/>
        </w:rPr>
        <w:t>parteneriat</w:t>
      </w:r>
      <w:r>
        <w:rPr>
          <w:rFonts w:ascii="Times New Roman" w:eastAsiaTheme="minorHAnsi" w:hAnsi="Times New Roman"/>
          <w:noProof/>
        </w:rPr>
        <w:t>.</w:t>
      </w:r>
    </w:p>
    <w:p>
      <w:pPr>
        <w:spacing w:after="120" w:line="240" w:lineRule="auto"/>
        <w:jc w:val="both"/>
        <w:rPr>
          <w:rFonts w:ascii="Times New Roman" w:eastAsiaTheme="minorHAnsi" w:hAnsi="Times New Roman" w:cs="Times New Roman"/>
          <w:noProof/>
        </w:rPr>
      </w:pPr>
    </w:p>
    <w:p>
      <w:pPr>
        <w:pStyle w:val="Heading2"/>
        <w:rPr>
          <w:smallCaps/>
          <w:noProof/>
        </w:rPr>
      </w:pPr>
      <w:r>
        <w:rPr>
          <w:noProof/>
        </w:rPr>
        <w:t>2.</w:t>
      </w:r>
      <w:r>
        <w:rPr>
          <w:noProof/>
        </w:rPr>
        <w:tab/>
      </w:r>
      <w:r>
        <w:rPr>
          <w:smallCaps/>
          <w:noProof/>
        </w:rPr>
        <w:t>Eliminarea obstacolelor</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Multe întreprinderi inovatoare tinere se tem că, dacă se dezvoltă prea mult, vor fi sancționate prin mai multe norme împovărătoare, chiar dacă nu se extind la nivel transfrontalier. Multe inițiative în curs care au ca obiectiv reducerea obstacolelor din calea activităților transfrontaliere nu se limitează la întreprinderile nou-înființate, însă pot avea un impact pozitiv deosebit asupra acestora; de exemplu, activitatea privind economia colaborativă</w:t>
      </w:r>
      <w:r>
        <w:rPr>
          <w:rStyle w:val="FootnoteReference"/>
          <w:rFonts w:ascii="Times New Roman" w:eastAsiaTheme="minorHAnsi" w:hAnsi="Times New Roman"/>
          <w:noProof/>
        </w:rPr>
        <w:footnoteReference w:id="17"/>
      </w:r>
      <w:r>
        <w:rPr>
          <w:rFonts w:ascii="Times New Roman" w:eastAsiaTheme="minorHAnsi" w:hAnsi="Times New Roman"/>
          <w:noProof/>
        </w:rPr>
        <w:t>, inițiativele în curs privind îmbunătățirea în continuare a prestării de servicii în cadrul pieței unice și a e-guvernării sau prioritățile de standardizare a TIC</w:t>
      </w:r>
      <w:r>
        <w:rPr>
          <w:rStyle w:val="FootnoteReference"/>
          <w:rFonts w:ascii="Times New Roman" w:eastAsiaTheme="minorHAnsi" w:hAnsi="Times New Roman"/>
          <w:noProof/>
        </w:rPr>
        <w:footnoteReference w:id="18"/>
      </w:r>
      <w:r>
        <w:rPr>
          <w:rFonts w:ascii="Times New Roman" w:eastAsiaTheme="minorHAnsi" w:hAnsi="Times New Roman"/>
          <w:noProof/>
        </w:rPr>
        <w:t>.</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În primul rând, identificarea și respectarea </w:t>
      </w:r>
      <w:r>
        <w:rPr>
          <w:rFonts w:ascii="Times New Roman" w:eastAsiaTheme="minorHAnsi" w:hAnsi="Times New Roman"/>
          <w:b/>
          <w:noProof/>
        </w:rPr>
        <w:t>normelor și a formalităților administrative și de reglementare</w:t>
      </w:r>
      <w:r>
        <w:rPr>
          <w:rFonts w:ascii="Times New Roman" w:eastAsiaTheme="minorHAnsi" w:hAnsi="Times New Roman"/>
          <w:noProof/>
        </w:rPr>
        <w:t xml:space="preserve"> pot necesita mult timp atunci când </w:t>
      </w:r>
      <w:r>
        <w:rPr>
          <w:rFonts w:ascii="Times New Roman" w:eastAsiaTheme="minorHAnsi" w:hAnsi="Times New Roman"/>
          <w:b/>
          <w:noProof/>
        </w:rPr>
        <w:t>informațiile</w:t>
      </w:r>
      <w:r>
        <w:rPr>
          <w:rFonts w:ascii="Times New Roman" w:eastAsiaTheme="minorHAnsi" w:hAnsi="Times New Roman"/>
          <w:noProof/>
        </w:rPr>
        <w:t xml:space="preserve"> privind normele naționale și de la nivelul UE sunt adesea dispersate și greu de asimilat. Înțelegerea tuturor normelor dreptului fiscal, al societăților comerciale și al muncii, precum și a altor cerințe este o adevărată provocare, în special pentru o întreprindere nou-înființată cu resurse sau expertiză limitate. Consultarea a arătat faptul că, chiar și atunci când înțeleg și respectă toate cerințele relevante, întreprinderile nou-înființate le consideră extrem de împovărătoare. Aproape 40 % din respondenți au considerat că extinderea este mai dificilă decât se prevăzuse. </w:t>
      </w:r>
    </w:p>
    <w:p>
      <w:pPr>
        <w:spacing w:after="120" w:line="240" w:lineRule="auto"/>
        <w:jc w:val="both"/>
        <w:rPr>
          <w:rFonts w:ascii="Times New Roman" w:eastAsiaTheme="minorHAnsi" w:hAnsi="Times New Roman" w:cs="Times New Roman"/>
          <w:noProof/>
        </w:rPr>
      </w:pPr>
      <w:r>
        <w:rPr>
          <w:rFonts w:ascii="Times New Roman" w:hAnsi="Times New Roman"/>
          <w:noProof/>
        </w:rPr>
        <w:t>Pentru întreprinderile nou-înființate, în special pentru cele din domeniul digital, este de asemenea dificil să angajeze personal aflat în alte state membre ale UE (deoarece normele privind impozitarea și ocuparea forței de muncă sunt diferite). Înființarea unei filiale este adesea prea împovărătoare și nu corespunde nevoilor lor (de exemplu, angajarea unei singure persoane).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Așadar, autoritățile publice de la toate nivelurile – local, regional, național, european – trebuie să acționeze pentru a elimina obstacolele și sarcinile inutile și pentru a acorda asistență întreprinderilor în vederea abordării obstacolelor inevitabile. </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Comisia a acționat deja și a anunțat măsuri suplimentare în mai multe dintre aceste domenii</w:t>
      </w:r>
      <w:r>
        <w:rPr>
          <w:rStyle w:val="FootnoteReference"/>
          <w:rFonts w:ascii="Times New Roman" w:eastAsiaTheme="minorHAnsi" w:hAnsi="Times New Roman"/>
          <w:noProof/>
        </w:rPr>
        <w:footnoteReference w:id="19"/>
      </w:r>
      <w:r>
        <w:rPr>
          <w:rFonts w:ascii="Times New Roman" w:eastAsiaTheme="minorHAnsi" w:hAnsi="Times New Roman"/>
          <w:noProof/>
        </w:rPr>
        <w:t>. În 2017, Comisia intenționează să prezinte inițiative referitoare la un portal digital unic care să asigure un acces online simplu la informații privind piața unică, la proceduri electronice, la servicii de asistență, de consiliere și de rezolvare a problemelor pentru cetățeni și întreprinderi, precum și posibilitatea de a efectua online procedurile transfrontaliere</w:t>
      </w:r>
      <w:r>
        <w:rPr>
          <w:rStyle w:val="FootnoteReference"/>
          <w:rFonts w:ascii="Times New Roman" w:eastAsiaTheme="minorHAnsi" w:hAnsi="Times New Roman"/>
          <w:noProof/>
        </w:rPr>
        <w:footnoteReference w:id="20"/>
      </w:r>
      <w:r>
        <w:rPr>
          <w:rFonts w:ascii="Times New Roman" w:eastAsiaTheme="minorHAnsi" w:hAnsi="Times New Roman"/>
          <w:noProof/>
        </w:rPr>
        <w:t>.</w:t>
      </w:r>
    </w:p>
    <w:p>
      <w:pPr>
        <w:spacing w:after="120" w:line="240" w:lineRule="auto"/>
        <w:jc w:val="both"/>
        <w:rPr>
          <w:noProof/>
        </w:rPr>
      </w:pPr>
      <w:r>
        <w:rPr>
          <w:rFonts w:ascii="Times New Roman" w:eastAsiaTheme="minorHAnsi" w:hAnsi="Times New Roman"/>
          <w:noProof/>
        </w:rPr>
        <w:t xml:space="preserve">Autoritățile naționale care participă la Grupul de experți ai statelor membre analizează cadrul general de reglementare pentru întreprinderile nou-înființate, susținut de mecanismul de sprijin al politicilor prevăzut în programul Orizont 2020, care permite fiecărui stat membru să ceară recomandări privind modalitatea de îmbunătățire a cadrului de afaceri pentru astfel de societăți. Pentru a se asigura că statele membre și Comisia dețin informații și dovezi detaliate privind întreprinderile nou-înființate și întreprinderile în curs de extindere, în cadrul </w:t>
      </w:r>
      <w:r>
        <w:rPr>
          <w:rFonts w:ascii="Times New Roman" w:eastAsiaTheme="minorHAnsi" w:hAnsi="Times New Roman"/>
          <w:b/>
          <w:noProof/>
        </w:rPr>
        <w:t>Observatorului european al clusterelor și al mutațiilor industriale</w:t>
      </w:r>
      <w:r>
        <w:rPr>
          <w:rFonts w:ascii="Times New Roman" w:eastAsiaTheme="minorHAnsi" w:hAnsi="Times New Roman"/>
          <w:noProof/>
        </w:rPr>
        <w:t xml:space="preserve"> restructurat</w:t>
      </w:r>
      <w:r>
        <w:rPr>
          <w:rStyle w:val="FootnoteReference"/>
          <w:rFonts w:ascii="Times New Roman" w:eastAsiaTheme="minorHAnsi" w:hAnsi="Times New Roman"/>
          <w:b/>
          <w:noProof/>
        </w:rPr>
        <w:footnoteReference w:id="21"/>
      </w:r>
      <w:r>
        <w:rPr>
          <w:rFonts w:ascii="Times New Roman" w:eastAsiaTheme="minorHAnsi" w:hAnsi="Times New Roman"/>
          <w:noProof/>
        </w:rPr>
        <w:t>, Comisia va colecta, pentru prima dată în mod sistematic informații privind întreprinderile nou-înființate și întreprinderile în curs de extindere, va efectua analize detaliate și va furniza feedback și dovezi statelor membre, pentru a le ajuta să își îmbunătățească procesul de elaborare a politicilor și să optimizeze instrumentele de punere în aplicare.</w:t>
      </w:r>
      <w:r>
        <w:rPr>
          <w:noProof/>
        </w:rPr>
        <w:t xml:space="preserve"> </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În al doilea rând, întreprinderile nou-înființate sunt preocupate în special de </w:t>
      </w:r>
      <w:r>
        <w:rPr>
          <w:rFonts w:ascii="Times New Roman" w:eastAsiaTheme="minorHAnsi" w:hAnsi="Times New Roman"/>
          <w:b/>
          <w:noProof/>
        </w:rPr>
        <w:t>impozitare și de sarcina de a respecta 28 de regimuri fiscale diferite</w:t>
      </w:r>
      <w:r>
        <w:rPr>
          <w:rFonts w:ascii="Times New Roman" w:eastAsiaTheme="minorHAnsi" w:hAnsi="Times New Roman"/>
          <w:noProof/>
        </w:rPr>
        <w:t>: 58 % dintre respondenții la consultarea organizată de Comisie au raportat costuri ridicate legate de respectarea normelor fiscale. Întreprinderile mici și mijlocii (IMM-urile) cheltuiesc aproximativ 30 % din cheltuielile legate de impozitare pentru costuri de asigurare a conformității, și chiar mai mult dacă se extind la nivel transfrontalier</w:t>
      </w:r>
      <w:r>
        <w:rPr>
          <w:rStyle w:val="FootnoteReference"/>
          <w:rFonts w:ascii="Times New Roman" w:eastAsiaTheme="minorHAnsi" w:hAnsi="Times New Roman"/>
          <w:noProof/>
        </w:rPr>
        <w:footnoteReference w:id="22"/>
      </w:r>
      <w:r>
        <w:rPr>
          <w:rFonts w:ascii="Times New Roman" w:eastAsiaTheme="minorHAnsi" w:hAnsi="Times New Roman"/>
          <w:noProof/>
        </w:rPr>
        <w:t xml:space="preserve">. Soluționarea acestei probleme ar aduce o diferență concretă și ar putea ajuta întreprinderile nou-înființate să crească. </w:t>
      </w:r>
    </w:p>
    <w:p>
      <w:pPr>
        <w:spacing w:after="120" w:line="240" w:lineRule="auto"/>
        <w:jc w:val="both"/>
        <w:rPr>
          <w:noProof/>
        </w:rPr>
      </w:pPr>
      <w:r>
        <w:rPr>
          <w:rFonts w:ascii="Times New Roman" w:eastAsiaTheme="minorHAnsi" w:hAnsi="Times New Roman"/>
          <w:noProof/>
        </w:rPr>
        <w:t>Astfel cum a prezentat în planul său de acțiune adoptat la 6 aprilie 2016, Comisia intenționează să modernizeze și să simplifice sistemul taxei pe valoarea adăugată (TVA) care se aplică în cazul comerțului transfrontalier de pe teritoriul UE, prin crearea unui spațiu unic pentru TVA</w:t>
      </w:r>
      <w:r>
        <w:rPr>
          <w:rStyle w:val="FootnoteReference"/>
          <w:rFonts w:ascii="Times New Roman" w:eastAsiaTheme="minorHAnsi" w:hAnsi="Times New Roman"/>
          <w:noProof/>
        </w:rPr>
        <w:footnoteReference w:id="23"/>
      </w:r>
      <w:r>
        <w:rPr>
          <w:rFonts w:ascii="Times New Roman" w:eastAsiaTheme="minorHAnsi" w:hAnsi="Times New Roman"/>
          <w:noProof/>
        </w:rPr>
        <w:t xml:space="preserve">. Prin urmare, ea va prezenta în lunile următoare un pachet cuprinzător, care să reducă fragmentarea și complexitatea sistemului de TVA din UE și să creeze astfel un mediu propice creșterii întreprinderilor și favorabil comerțului transfrontalier. În săptămânile următoare, Comisia va propune simplificarea mini-ghișeului unic (M1SS) și extinderea lui la furnizarea transfrontalieră </w:t>
      </w:r>
      <w:r>
        <w:rPr>
          <w:rFonts w:ascii="Times New Roman" w:eastAsiaTheme="minorHAnsi" w:hAnsi="Times New Roman"/>
          <w:i/>
          <w:noProof/>
        </w:rPr>
        <w:t>business-to-consumer</w:t>
      </w:r>
      <w:r>
        <w:rPr>
          <w:rFonts w:ascii="Times New Roman" w:eastAsiaTheme="minorHAnsi" w:hAnsi="Times New Roman"/>
          <w:noProof/>
        </w:rPr>
        <w:t xml:space="preserve"> de bunuri și de alte servicii. În 2017, ea va prezenta un pachet de simplificare a TVA-ului special pentru IMM-uri, inclusiv pentru întreprinderile nou-înființate.</w:t>
      </w:r>
      <w:r>
        <w:rPr>
          <w:noProof/>
        </w:rPr>
        <w:t xml:space="preserve"> </w:t>
      </w:r>
      <w:r>
        <w:rPr>
          <w:rFonts w:ascii="Times New Roman" w:eastAsiaTheme="minorHAnsi" w:hAnsi="Times New Roman"/>
          <w:noProof/>
        </w:rPr>
        <w:t>De asemenea, Comisia va propune un regim de TVA definitiv pentru comerțul transfrontalier din cadrul UE, care va reduce și mai mult sarcina pentru întreprinderile nou-înființate și pentru întreprinderile în curs de extindere.</w:t>
      </w:r>
      <w:r>
        <w:rPr>
          <w:noProof/>
        </w:rPr>
        <w:t xml:space="preserve"> </w:t>
      </w:r>
    </w:p>
    <w:p>
      <w:pPr>
        <w:spacing w:after="120" w:line="240" w:lineRule="auto"/>
        <w:jc w:val="both"/>
        <w:rPr>
          <w:noProof/>
        </w:rPr>
      </w:pPr>
      <w:r>
        <w:rPr>
          <w:rFonts w:ascii="Times New Roman" w:hAnsi="Times New Roman"/>
          <w:noProof/>
        </w:rPr>
        <w:t>În plus, propunerile recent adoptate de a relansa baza fiscală consolidată comună a societăților (CCCTB) conțin stimulente pentru ca întreprinderile să crească și să se extindă la nivel transfrontalier în cadrul pieței unice. În special, pentru întreprinderile nou-înființate și pentru întreprinderile în curs de extindere inovatoare care optează pentru CCCTB, aceasta include o deducere semnificativă pentru cercetare și dezvoltare (C&amp;D) și o ajustare care să asigure faptul că finanțarea prin capitaluri proprii și prin îndatorare sunt tratate în mod egal din punctul de vedere al impozitării</w:t>
      </w:r>
      <w:r>
        <w:rPr>
          <w:rStyle w:val="FootnoteReference"/>
          <w:rFonts w:ascii="Times New Roman" w:hAnsi="Times New Roman"/>
          <w:noProof/>
        </w:rPr>
        <w:footnoteReference w:id="24"/>
      </w:r>
      <w:r>
        <w:rPr>
          <w:rFonts w:ascii="Times New Roman" w:hAnsi="Times New Roman"/>
          <w:noProof/>
        </w:rPr>
        <w:t>.</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În al treilea rând, întreprinderile oneste care își asumă riscuri fac prea adesea obiectul unor </w:t>
      </w:r>
      <w:r>
        <w:rPr>
          <w:rFonts w:ascii="Times New Roman" w:eastAsiaTheme="minorHAnsi" w:hAnsi="Times New Roman"/>
          <w:b/>
          <w:noProof/>
        </w:rPr>
        <w:t>proceduri de insolvență</w:t>
      </w:r>
      <w:r>
        <w:rPr>
          <w:rFonts w:ascii="Times New Roman" w:eastAsiaTheme="minorHAnsi" w:hAnsi="Times New Roman"/>
          <w:noProof/>
        </w:rPr>
        <w:t xml:space="preserve"> ineficiente și extrem de îndelungate. Mai mult, întreprinderile viabile nu au posibilitatea de a se restructura. În plus, pare foarte limitată posibilitatea unei „a doua șanse” pentru antreprenorii onești supraîndatorați, deși eșecul face parte adesea din drumul unui antreprenor de succes. Teama de eșec și sancționarea eșecului pot descuraja investițiile în extindere. </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 În privința </w:t>
      </w:r>
      <w:r>
        <w:rPr>
          <w:rFonts w:ascii="Times New Roman" w:eastAsiaTheme="minorHAnsi" w:hAnsi="Times New Roman"/>
          <w:b/>
          <w:noProof/>
        </w:rPr>
        <w:t>dreptului societăților comerciale și a legislației în materie de insolvență</w:t>
      </w:r>
      <w:r>
        <w:rPr>
          <w:rFonts w:ascii="Times New Roman" w:eastAsiaTheme="minorHAnsi" w:hAnsi="Times New Roman"/>
          <w:noProof/>
        </w:rPr>
        <w:t>, Comisia a adoptat astăzi un instrument legislativ care (i) va garanta un mecanism de avertizare timpurie și disponibilitatea în statele membre a unor cadre de restructurare pentru a restabili viabilitatea și pentru a evita insolvența, în special pentru IMM-uri, (ii) va prevedea un regim al celei de a doua șanse pentru antreprenorii individuali onești supraîndatorați, prin descărcarea acestora de datorii și (iii) va îmbunătăți eficiența procedurilor de restructurare, de insolvență și de descărcare de datorii. De asemenea, Comisia intenționează să prezinte, în 2017, o inițiativă privind dreptul societăților comerciale care să faciliteze utilizarea tehnologiilor digitale pe toată durata ciclului de viață al unei întreprinderi, în special în legătură cu înregistrarea sa și cu completarea documentelor și a informațiilor referitoare la întreprindere, precum și privind fuziunile și divizările transfrontaliere, inclusiv prin actualizarea normelor privind fuziunile transfrontaliere și prin completarea acestora cu norme privind divizările transfrontaliere. Astfel cum s-a anunțat în cadrul pieței unice digitale și în planul de acțiune privind guvernarea electronică, în 2016 va fi lansat, cu participarea statelor membre, un proiect-pilot de mare anvergură privind punerea în aplicare a principiului „doar o singură dată” în context transfrontalier în domeniul relațiilor dintre întreprinderi și administrațiile publice (</w:t>
      </w:r>
      <w:r>
        <w:rPr>
          <w:rFonts w:ascii="Times New Roman" w:eastAsiaTheme="minorHAnsi" w:hAnsi="Times New Roman"/>
          <w:i/>
          <w:noProof/>
        </w:rPr>
        <w:t>business-to-government</w:t>
      </w:r>
      <w:r>
        <w:rPr>
          <w:rFonts w:ascii="Times New Roman" w:eastAsiaTheme="minorHAnsi" w:hAnsi="Times New Roman"/>
          <w:noProof/>
        </w:rPr>
        <w:t>)</w:t>
      </w:r>
      <w:r>
        <w:rPr>
          <w:rStyle w:val="FootnoteReference"/>
          <w:rFonts w:ascii="Times New Roman" w:eastAsiaTheme="minorHAnsi" w:hAnsi="Times New Roman"/>
          <w:noProof/>
        </w:rPr>
        <w:footnoteReference w:id="25"/>
      </w:r>
      <w:r>
        <w:rPr>
          <w:rFonts w:ascii="Times New Roman" w:eastAsiaTheme="minorHAnsi" w:hAnsi="Times New Roman"/>
          <w:noProof/>
        </w:rPr>
        <w:t>.</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În al patrulea rând, în privința </w:t>
      </w:r>
      <w:r>
        <w:rPr>
          <w:rFonts w:ascii="Times New Roman" w:eastAsiaTheme="minorHAnsi" w:hAnsi="Times New Roman"/>
          <w:b/>
          <w:noProof/>
        </w:rPr>
        <w:t>legislației muncii</w:t>
      </w:r>
      <w:r>
        <w:rPr>
          <w:rFonts w:ascii="Times New Roman" w:eastAsiaTheme="minorHAnsi" w:hAnsi="Times New Roman"/>
          <w:noProof/>
        </w:rPr>
        <w:t>, Comisia va continua să faciliteze respectarea drepturilor lucrătorilor de către întreprinderile nou-înființate, inclusiv respectarea normelor UE privind timpul de lucru și securitatea și sănătatea.</w:t>
      </w:r>
    </w:p>
    <w:p>
      <w:pPr>
        <w:spacing w:after="120" w:line="240" w:lineRule="auto"/>
        <w:jc w:val="both"/>
        <w:rPr>
          <w:noProof/>
        </w:rPr>
      </w:pPr>
      <w:r>
        <w:rPr>
          <w:rFonts w:ascii="Times New Roman" w:eastAsiaTheme="minorHAnsi" w:hAnsi="Times New Roman"/>
          <w:noProof/>
        </w:rPr>
        <w:t xml:space="preserve">În plus, UE va continua să utilizeze politica </w:t>
      </w:r>
      <w:r>
        <w:rPr>
          <w:rFonts w:ascii="Times New Roman" w:eastAsiaTheme="minorHAnsi" w:hAnsi="Times New Roman"/>
          <w:b/>
          <w:noProof/>
        </w:rPr>
        <w:t xml:space="preserve">comercială </w:t>
      </w:r>
      <w:r>
        <w:rPr>
          <w:rFonts w:ascii="Times New Roman" w:eastAsiaTheme="minorHAnsi" w:hAnsi="Times New Roman"/>
          <w:noProof/>
        </w:rPr>
        <w:t>în vederea deschiderii de oportunități pe piețele externe pentru întreprinderile nou-înființate și pentru întreprinderile în curs de extindere, în special prin acorduri comerciale și prin măsuri adecvate care să asigure norme comerciale previzibile și clare.</w:t>
      </w:r>
    </w:p>
    <w:p>
      <w:pPr>
        <w:pBdr>
          <w:top w:val="single" w:sz="4" w:space="1" w:color="auto"/>
          <w:left w:val="single" w:sz="4" w:space="4" w:color="auto"/>
          <w:bottom w:val="single" w:sz="4" w:space="1" w:color="auto"/>
          <w:right w:val="single" w:sz="4" w:space="4" w:color="auto"/>
        </w:pBdr>
        <w:shd w:val="pct10" w:color="auto" w:fill="auto"/>
        <w:spacing w:after="120" w:line="240" w:lineRule="auto"/>
        <w:jc w:val="both"/>
        <w:rPr>
          <w:rFonts w:ascii="Times New Roman" w:eastAsiaTheme="minorHAnsi" w:hAnsi="Times New Roman" w:cs="Times New Roman"/>
          <w:b/>
          <w:i/>
          <w:noProof/>
        </w:rPr>
      </w:pPr>
      <w:r>
        <w:rPr>
          <w:rFonts w:ascii="Times New Roman" w:eastAsiaTheme="minorHAnsi" w:hAnsi="Times New Roman"/>
          <w:b/>
          <w:i/>
          <w:noProof/>
        </w:rPr>
        <w:t>Alte acțiuni:</w:t>
      </w:r>
    </w:p>
    <w:p>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rPr>
      </w:pPr>
      <w:r>
        <w:rPr>
          <w:rFonts w:ascii="Times New Roman" w:eastAsiaTheme="minorHAnsi" w:hAnsi="Times New Roman"/>
          <w:i/>
          <w:noProof/>
        </w:rPr>
        <w:t>-</w:t>
      </w:r>
      <w:r>
        <w:rPr>
          <w:noProof/>
        </w:rPr>
        <w:tab/>
      </w:r>
      <w:r>
        <w:rPr>
          <w:rFonts w:ascii="Times New Roman" w:eastAsiaTheme="minorHAnsi" w:hAnsi="Times New Roman"/>
          <w:i/>
          <w:noProof/>
        </w:rPr>
        <w:t xml:space="preserve">Comisia va colabora cu Parlamentul European și cu Consiliul pentru a garanta adoptarea rapidă și punerea în aplicare în timp util a propunerii referitoare la </w:t>
      </w:r>
      <w:r>
        <w:rPr>
          <w:rFonts w:ascii="Times New Roman" w:eastAsiaTheme="minorHAnsi" w:hAnsi="Times New Roman"/>
          <w:b/>
          <w:i/>
          <w:noProof/>
        </w:rPr>
        <w:t>cadrele preventive de restructurare</w:t>
      </w:r>
      <w:r>
        <w:rPr>
          <w:rFonts w:ascii="Times New Roman" w:eastAsiaTheme="minorHAnsi" w:hAnsi="Times New Roman"/>
          <w:i/>
          <w:noProof/>
        </w:rPr>
        <w:t xml:space="preserve">, </w:t>
      </w:r>
      <w:r>
        <w:rPr>
          <w:rFonts w:ascii="Times New Roman" w:eastAsiaTheme="minorHAnsi" w:hAnsi="Times New Roman"/>
          <w:b/>
          <w:i/>
          <w:noProof/>
        </w:rPr>
        <w:t>a doua șansă pentru antreprenorii onești</w:t>
      </w:r>
      <w:r>
        <w:rPr>
          <w:rFonts w:ascii="Times New Roman" w:eastAsiaTheme="minorHAnsi" w:hAnsi="Times New Roman"/>
          <w:i/>
          <w:noProof/>
        </w:rPr>
        <w:t xml:space="preserve"> </w:t>
      </w:r>
      <w:r>
        <w:rPr>
          <w:rFonts w:ascii="Times New Roman" w:eastAsiaTheme="minorHAnsi" w:hAnsi="Times New Roman"/>
          <w:b/>
          <w:i/>
          <w:noProof/>
        </w:rPr>
        <w:t>și îmbunătățirea eficienței procedurilor de restructurare, de insolvență și de descărcare de datorii.</w:t>
      </w:r>
    </w:p>
    <w:p>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rPr>
      </w:pPr>
      <w:r>
        <w:rPr>
          <w:rFonts w:ascii="Times New Roman" w:eastAsiaTheme="minorHAnsi" w:hAnsi="Times New Roman"/>
          <w:i/>
          <w:noProof/>
        </w:rPr>
        <w:t>-</w:t>
      </w:r>
      <w:r>
        <w:rPr>
          <w:noProof/>
        </w:rPr>
        <w:tab/>
      </w:r>
      <w:r>
        <w:rPr>
          <w:rFonts w:ascii="Times New Roman" w:eastAsiaTheme="minorHAnsi" w:hAnsi="Times New Roman"/>
          <w:i/>
          <w:noProof/>
        </w:rPr>
        <w:t>Comisia va extinde viitoarele orientări privind cele mai bune practici în cadrul regimurilor fiscale ale statelor membre pentru capitalul de risc</w:t>
      </w:r>
      <w:r>
        <w:rPr>
          <w:rFonts w:ascii="Times New Roman" w:eastAsiaTheme="minorHAnsi" w:hAnsi="Times New Roman"/>
          <w:b/>
          <w:i/>
          <w:noProof/>
        </w:rPr>
        <w:t>.</w:t>
      </w:r>
    </w:p>
    <w:p>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rPr>
      </w:pPr>
      <w:r>
        <w:rPr>
          <w:rFonts w:ascii="Times New Roman" w:eastAsiaTheme="minorHAnsi" w:hAnsi="Times New Roman"/>
          <w:i/>
          <w:noProof/>
        </w:rPr>
        <w:t>-</w:t>
      </w:r>
      <w:r>
        <w:rPr>
          <w:noProof/>
        </w:rPr>
        <w:tab/>
      </w:r>
      <w:r>
        <w:rPr>
          <w:rFonts w:ascii="Times New Roman" w:eastAsiaTheme="minorHAnsi" w:hAnsi="Times New Roman"/>
          <w:i/>
          <w:noProof/>
        </w:rPr>
        <w:t xml:space="preserve">Pentru a ajuta întreprinderile nou-înființate și întreprinderile în curs de extindere să parcurgă sursele de informații adesea dispersate, </w:t>
      </w:r>
      <w:r>
        <w:rPr>
          <w:rFonts w:ascii="Times New Roman" w:eastAsiaTheme="minorHAnsi" w:hAnsi="Times New Roman"/>
          <w:b/>
          <w:i/>
          <w:noProof/>
        </w:rPr>
        <w:t>Rețeaua întreprinderilor europene își va extinde serviciile de consiliere</w:t>
      </w:r>
      <w:r>
        <w:rPr>
          <w:rFonts w:ascii="Times New Roman" w:eastAsiaTheme="minorHAnsi" w:hAnsi="Times New Roman"/>
          <w:i/>
          <w:noProof/>
        </w:rPr>
        <w:t>, incluzând consilieri în domeniul extinderii specializați în ceea ce privește normele naționale și europene relevante, oportunitățile de finanțare, încheierea de parteneriate și modalitățile de accesare a achizițiilor publice transfrontaliere, legătura cu inițiativa „Startup Europe” și cu accesul IMM-urilor la centrele de inovare digitală și liniile de producție pilot pentru IMM-uri în temeiul programului Orizont 2020.</w:t>
      </w:r>
    </w:p>
    <w:p>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rPr>
      </w:pPr>
      <w:r>
        <w:rPr>
          <w:rFonts w:ascii="Times New Roman" w:eastAsiaTheme="minorHAnsi" w:hAnsi="Times New Roman"/>
          <w:i/>
          <w:noProof/>
        </w:rPr>
        <w:t>-</w:t>
      </w:r>
      <w:r>
        <w:rPr>
          <w:noProof/>
        </w:rPr>
        <w:tab/>
      </w:r>
      <w:r>
        <w:rPr>
          <w:rFonts w:ascii="Times New Roman" w:eastAsiaTheme="minorHAnsi" w:hAnsi="Times New Roman"/>
          <w:i/>
          <w:noProof/>
        </w:rPr>
        <w:t>În 2017</w:t>
      </w:r>
      <w:r>
        <w:rPr>
          <w:noProof/>
        </w:rPr>
        <w:t xml:space="preserve">, </w:t>
      </w:r>
      <w:r>
        <w:rPr>
          <w:rFonts w:ascii="Times New Roman" w:eastAsiaTheme="minorHAnsi" w:hAnsi="Times New Roman"/>
          <w:i/>
          <w:noProof/>
        </w:rPr>
        <w:t xml:space="preserve">în cadrul grupului la nivel înalt al Consiliului Competitivitate, Comisia va susține </w:t>
      </w:r>
      <w:r>
        <w:rPr>
          <w:rFonts w:ascii="Times New Roman" w:eastAsiaTheme="minorHAnsi" w:hAnsi="Times New Roman"/>
          <w:b/>
          <w:i/>
          <w:noProof/>
        </w:rPr>
        <w:t>o evaluare inter pares semnificativă, cuprinzătoare și detaliată</w:t>
      </w:r>
      <w:r>
        <w:rPr>
          <w:rFonts w:ascii="Times New Roman" w:eastAsiaTheme="minorHAnsi" w:hAnsi="Times New Roman"/>
          <w:i/>
          <w:noProof/>
        </w:rPr>
        <w:t xml:space="preserve"> a tuturor normelor și practicilor statelor membre cu privire la întreprinderile nou-înființate și la întreprinderile în curs de extindere.</w:t>
      </w:r>
    </w:p>
    <w:p>
      <w:pPr>
        <w:pStyle w:val="Heading2"/>
        <w:rPr>
          <w:smallCaps/>
          <w:noProof/>
        </w:rPr>
      </w:pPr>
    </w:p>
    <w:p>
      <w:pPr>
        <w:pStyle w:val="Heading2"/>
        <w:rPr>
          <w:smallCaps/>
          <w:noProof/>
        </w:rPr>
      </w:pPr>
      <w:r>
        <w:rPr>
          <w:noProof/>
        </w:rPr>
        <w:t xml:space="preserve">3. </w:t>
      </w:r>
      <w:r>
        <w:rPr>
          <w:smallCaps/>
          <w:noProof/>
        </w:rPr>
        <w:t>Crearea de noi oportunități</w:t>
      </w:r>
    </w:p>
    <w:p>
      <w:pPr>
        <w:spacing w:after="120" w:line="240" w:lineRule="auto"/>
        <w:jc w:val="both"/>
        <w:rPr>
          <w:rFonts w:ascii="Times New Roman" w:hAnsi="Times New Roman" w:cs="Times New Roman"/>
          <w:noProof/>
        </w:rPr>
      </w:pPr>
      <w:r>
        <w:rPr>
          <w:rFonts w:ascii="Times New Roman" w:hAnsi="Times New Roman"/>
          <w:noProof/>
        </w:rPr>
        <w:t>UE și statele membre pot simplifica și mai mult viața întreprinderilor nou-înființate prin sprijinirea acestora în următoarele domenii:</w:t>
      </w:r>
    </w:p>
    <w:p>
      <w:pPr>
        <w:pStyle w:val="ListParagraph"/>
        <w:numPr>
          <w:ilvl w:val="0"/>
          <w:numId w:val="14"/>
        </w:numPr>
        <w:spacing w:after="120" w:line="240" w:lineRule="auto"/>
        <w:jc w:val="both"/>
        <w:rPr>
          <w:rFonts w:ascii="Times New Roman" w:hAnsi="Times New Roman" w:cs="Times New Roman"/>
          <w:noProof/>
        </w:rPr>
      </w:pPr>
      <w:r>
        <w:rPr>
          <w:rFonts w:ascii="Times New Roman" w:hAnsi="Times New Roman"/>
          <w:noProof/>
        </w:rPr>
        <w:t xml:space="preserve">conectarea cu </w:t>
      </w:r>
      <w:r>
        <w:rPr>
          <w:rFonts w:ascii="Times New Roman" w:hAnsi="Times New Roman"/>
          <w:b/>
          <w:noProof/>
        </w:rPr>
        <w:t xml:space="preserve">partenerii potriviți </w:t>
      </w:r>
      <w:r>
        <w:rPr>
          <w:rFonts w:ascii="Times New Roman" w:hAnsi="Times New Roman"/>
          <w:noProof/>
        </w:rPr>
        <w:t>(de exemplu investitori, parteneri comerciali, universități, centre de cercetare);</w:t>
      </w:r>
    </w:p>
    <w:p>
      <w:pPr>
        <w:pStyle w:val="ListParagraph"/>
        <w:numPr>
          <w:ilvl w:val="0"/>
          <w:numId w:val="14"/>
        </w:numPr>
        <w:spacing w:after="120" w:line="240" w:lineRule="auto"/>
        <w:jc w:val="both"/>
        <w:rPr>
          <w:rFonts w:ascii="Times New Roman" w:hAnsi="Times New Roman" w:cs="Times New Roman"/>
          <w:noProof/>
        </w:rPr>
      </w:pPr>
      <w:r>
        <w:rPr>
          <w:rFonts w:ascii="Times New Roman" w:hAnsi="Times New Roman"/>
          <w:noProof/>
        </w:rPr>
        <w:t xml:space="preserve">accesarea de oportunități comerciale (în special contracte de </w:t>
      </w:r>
      <w:r>
        <w:rPr>
          <w:rFonts w:ascii="Times New Roman" w:hAnsi="Times New Roman"/>
          <w:b/>
          <w:noProof/>
        </w:rPr>
        <w:t>achiziții publice</w:t>
      </w:r>
      <w:r>
        <w:rPr>
          <w:rFonts w:ascii="Times New Roman" w:hAnsi="Times New Roman"/>
          <w:noProof/>
        </w:rPr>
        <w:t>);</w:t>
      </w:r>
    </w:p>
    <w:p>
      <w:pPr>
        <w:pStyle w:val="ListParagraph"/>
        <w:numPr>
          <w:ilvl w:val="0"/>
          <w:numId w:val="14"/>
        </w:numPr>
        <w:spacing w:after="120" w:line="240" w:lineRule="auto"/>
        <w:jc w:val="both"/>
        <w:rPr>
          <w:rFonts w:ascii="Times New Roman" w:hAnsi="Times New Roman" w:cs="Times New Roman"/>
          <w:noProof/>
        </w:rPr>
      </w:pPr>
      <w:r>
        <w:rPr>
          <w:rFonts w:ascii="Times New Roman" w:hAnsi="Times New Roman"/>
          <w:noProof/>
        </w:rPr>
        <w:t xml:space="preserve">recrutarea de angajați care dețin </w:t>
      </w:r>
      <w:r>
        <w:rPr>
          <w:rFonts w:ascii="Times New Roman" w:hAnsi="Times New Roman"/>
          <w:b/>
          <w:noProof/>
        </w:rPr>
        <w:t>competențele potrivite</w:t>
      </w:r>
      <w:r>
        <w:rPr>
          <w:rFonts w:ascii="Times New Roman" w:hAnsi="Times New Roman"/>
          <w:noProof/>
        </w:rPr>
        <w:t>, inclusiv din afara UE.</w:t>
      </w:r>
    </w:p>
    <w:p>
      <w:pPr>
        <w:pStyle w:val="Heading3"/>
        <w:rPr>
          <w:noProof/>
        </w:rPr>
      </w:pPr>
      <w:r>
        <w:rPr>
          <w:noProof/>
        </w:rPr>
        <w:t>3.1</w:t>
      </w:r>
      <w:r>
        <w:rPr>
          <w:noProof/>
        </w:rPr>
        <w:tab/>
        <w:t>Parteneri, clustere și ecosisteme</w:t>
      </w:r>
    </w:p>
    <w:p>
      <w:pPr>
        <w:spacing w:after="120" w:line="240" w:lineRule="auto"/>
        <w:jc w:val="both"/>
        <w:rPr>
          <w:rFonts w:ascii="Times New Roman" w:hAnsi="Times New Roman" w:cs="Times New Roman"/>
          <w:noProof/>
        </w:rPr>
      </w:pPr>
      <w:r>
        <w:rPr>
          <w:rFonts w:ascii="Times New Roman" w:hAnsi="Times New Roman"/>
          <w:noProof/>
        </w:rPr>
        <w:t>În ultimii ani, Comisia și statele membre ale UE au sprijinit crearea de „</w:t>
      </w:r>
      <w:r>
        <w:rPr>
          <w:rFonts w:ascii="Times New Roman" w:hAnsi="Times New Roman"/>
          <w:b/>
          <w:noProof/>
        </w:rPr>
        <w:t>comunități</w:t>
      </w:r>
      <w:r>
        <w:rPr>
          <w:rFonts w:ascii="Times New Roman" w:hAnsi="Times New Roman"/>
          <w:noProof/>
        </w:rPr>
        <w:t>” pentru a ajuta întreprinderile nou-înființate să se conecteze cu potențiali parteneri (de exemplu investitori, parteneri comerciali, universități, centre de cercetare) prin intermediul unor evenimente, platforme și clustere economice, prin colaborarea în rețea și prin „ecosisteme” de sprijin locale/regionale</w:t>
      </w:r>
      <w:r>
        <w:rPr>
          <w:rStyle w:val="FootnoteReference"/>
          <w:rFonts w:ascii="Times New Roman" w:hAnsi="Times New Roman"/>
          <w:noProof/>
        </w:rPr>
        <w:footnoteReference w:id="26"/>
      </w:r>
      <w:r>
        <w:rPr>
          <w:rFonts w:ascii="Times New Roman" w:hAnsi="Times New Roman"/>
          <w:noProof/>
        </w:rPr>
        <w:t xml:space="preserve">. </w:t>
      </w:r>
    </w:p>
    <w:p>
      <w:pPr>
        <w:spacing w:after="120" w:line="240" w:lineRule="auto"/>
        <w:jc w:val="both"/>
        <w:rPr>
          <w:rFonts w:ascii="Times New Roman" w:hAnsi="Times New Roman" w:cs="Times New Roman"/>
          <w:noProof/>
        </w:rPr>
      </w:pPr>
      <w:r>
        <w:rPr>
          <w:rFonts w:ascii="Times New Roman" w:hAnsi="Times New Roman"/>
          <w:noProof/>
        </w:rPr>
        <w:t>La nivelul UE, inițiativa „Startup Europe” a apărut ca o marcă recunoscută pentru crearea de legături între ecosisteme</w:t>
      </w:r>
      <w:r>
        <w:rPr>
          <w:rStyle w:val="FootnoteReference"/>
          <w:rFonts w:ascii="Times New Roman" w:hAnsi="Times New Roman"/>
          <w:noProof/>
        </w:rPr>
        <w:footnoteReference w:id="27"/>
      </w:r>
      <w:r>
        <w:rPr>
          <w:rFonts w:ascii="Times New Roman" w:hAnsi="Times New Roman"/>
          <w:noProof/>
        </w:rPr>
        <w:t>, axându-se pe conectarea persoanelor, pe ecosistemele locale, pe comunicarea internațională și pe furnizarea de informații prin intermediul ghișeului unic pentru întreprinderile nou-înființate.</w:t>
      </w:r>
      <w:r>
        <w:rPr>
          <w:noProof/>
        </w:rPr>
        <w:t xml:space="preserve"> </w:t>
      </w:r>
      <w:r>
        <w:rPr>
          <w:rFonts w:ascii="Times New Roman" w:hAnsi="Times New Roman"/>
          <w:noProof/>
        </w:rPr>
        <w:t>Deși s-au realizat unele progrese, activitățile vor fi consolidate, în special prin corelarea investitorilor, corporațiilor și antreprenorilor, precum și prin crearea de rețele ale factorilor de decizie regionali.</w:t>
      </w:r>
    </w:p>
    <w:p>
      <w:pPr>
        <w:spacing w:after="120" w:line="240" w:lineRule="auto"/>
        <w:jc w:val="both"/>
        <w:rPr>
          <w:rFonts w:ascii="Times New Roman" w:hAnsi="Times New Roman" w:cs="Times New Roman"/>
          <w:noProof/>
        </w:rPr>
      </w:pPr>
      <w:r>
        <w:rPr>
          <w:rFonts w:ascii="Times New Roman" w:hAnsi="Times New Roman"/>
          <w:noProof/>
        </w:rPr>
        <w:t>În plus, Institutul European de Inovare și Tehnologie (EIT) a înființat o serie de comunități de cunoaștere și inovare în domenii tematice precum TIC, energia, schimbările climatice, sănătatea și materiile prime, care beneficiază de finanțare publică în proporție de 25 %, restul reprezentând investiții private. EIT contribuie pe mai multe fronturi: competențe antreprenoriale, îndrumare și programe de accelerare pentru întreprinderile nou-înființate.</w:t>
      </w:r>
    </w:p>
    <w:p>
      <w:pPr>
        <w:spacing w:after="120" w:line="240" w:lineRule="auto"/>
        <w:jc w:val="both"/>
        <w:rPr>
          <w:rFonts w:ascii="Times New Roman" w:hAnsi="Times New Roman" w:cs="Times New Roman"/>
          <w:noProof/>
        </w:rPr>
      </w:pPr>
      <w:r>
        <w:rPr>
          <w:rFonts w:ascii="Times New Roman" w:hAnsi="Times New Roman"/>
          <w:noProof/>
        </w:rPr>
        <w:t>De asemenea, UE a înființat platforme tematice de specializare inteligentă</w:t>
      </w:r>
      <w:r>
        <w:rPr>
          <w:rStyle w:val="FootnoteReference"/>
          <w:rFonts w:ascii="Times New Roman" w:hAnsi="Times New Roman"/>
          <w:noProof/>
        </w:rPr>
        <w:footnoteReference w:id="28"/>
      </w:r>
      <w:r>
        <w:rPr>
          <w:rFonts w:ascii="Times New Roman" w:hAnsi="Times New Roman"/>
          <w:noProof/>
        </w:rPr>
        <w:t>, care conectează regiuni și întreprinderi și sprijină investițiile din fondurile structurale și de investiții europene (fondurile ESI) pentru întreprinderile în curs de extindere promovate de rețelele regionale și de parteneriatele strategice de clustere europene. Împreună cu sprijinul orientat pe care îl primesc</w:t>
      </w:r>
      <w:r>
        <w:rPr>
          <w:rStyle w:val="FootnoteReference"/>
          <w:rFonts w:ascii="Times New Roman" w:hAnsi="Times New Roman"/>
          <w:noProof/>
        </w:rPr>
        <w:footnoteReference w:id="29"/>
      </w:r>
      <w:r>
        <w:rPr>
          <w:rFonts w:ascii="Times New Roman" w:hAnsi="Times New Roman"/>
          <w:noProof/>
        </w:rPr>
        <w:t>, aceste proiecte vor contribui la crearea de oportunități pentru întreprinderile în curs de extindere. Comisia va încuraja statele membre să participe la aceste platforme tematice de specializare inteligentă și să utilizeze mecanismul de sprijin al politicilor prevăzut în programul Orizont 2020.</w:t>
      </w:r>
    </w:p>
    <w:p>
      <w:pPr>
        <w:spacing w:after="120" w:line="240" w:lineRule="auto"/>
        <w:jc w:val="both"/>
        <w:rPr>
          <w:rFonts w:ascii="Times New Roman" w:hAnsi="Times New Roman" w:cs="Times New Roman"/>
          <w:noProof/>
        </w:rPr>
      </w:pPr>
      <w:r>
        <w:rPr>
          <w:rFonts w:ascii="Times New Roman" w:hAnsi="Times New Roman"/>
          <w:noProof/>
        </w:rPr>
        <w:t xml:space="preserve">Totuși, în pofida acestor inițiative, consultarea publică a demonstrat că întreprinderile nou-înființate și întreprinderile în curs de extindere ar beneficia de un </w:t>
      </w:r>
      <w:r>
        <w:rPr>
          <w:rFonts w:ascii="Times New Roman" w:hAnsi="Times New Roman"/>
          <w:b/>
          <w:noProof/>
        </w:rPr>
        <w:t>sprijin mai coordonat</w:t>
      </w:r>
      <w:r>
        <w:rPr>
          <w:rFonts w:ascii="Times New Roman" w:hAnsi="Times New Roman"/>
          <w:noProof/>
        </w:rPr>
        <w:t>:</w:t>
      </w:r>
    </w:p>
    <w:p>
      <w:pPr>
        <w:pStyle w:val="ListParagraph"/>
        <w:numPr>
          <w:ilvl w:val="0"/>
          <w:numId w:val="20"/>
        </w:numPr>
        <w:spacing w:after="120" w:line="240" w:lineRule="auto"/>
        <w:jc w:val="both"/>
        <w:rPr>
          <w:rFonts w:ascii="Times New Roman" w:hAnsi="Times New Roman" w:cs="Times New Roman"/>
          <w:noProof/>
        </w:rPr>
      </w:pPr>
      <w:r>
        <w:rPr>
          <w:rFonts w:ascii="Times New Roman" w:hAnsi="Times New Roman"/>
          <w:noProof/>
        </w:rPr>
        <w:t xml:space="preserve">o </w:t>
      </w:r>
      <w:r>
        <w:rPr>
          <w:rFonts w:ascii="Times New Roman" w:hAnsi="Times New Roman"/>
          <w:b/>
          <w:noProof/>
        </w:rPr>
        <w:t>masă critică</w:t>
      </w:r>
      <w:r>
        <w:rPr>
          <w:rFonts w:ascii="Times New Roman" w:hAnsi="Times New Roman"/>
          <w:noProof/>
        </w:rPr>
        <w:t xml:space="preserve"> de clustere și de ecosisteme interconectate în mod eficace în întreaga UE;</w:t>
      </w:r>
    </w:p>
    <w:p>
      <w:pPr>
        <w:pStyle w:val="ListParagraph"/>
        <w:numPr>
          <w:ilvl w:val="0"/>
          <w:numId w:val="20"/>
        </w:numPr>
        <w:spacing w:after="120" w:line="240" w:lineRule="auto"/>
        <w:jc w:val="both"/>
        <w:rPr>
          <w:rFonts w:ascii="Times New Roman" w:hAnsi="Times New Roman" w:cs="Times New Roman"/>
          <w:noProof/>
        </w:rPr>
      </w:pPr>
      <w:r>
        <w:rPr>
          <w:rFonts w:ascii="Times New Roman" w:hAnsi="Times New Roman"/>
          <w:noProof/>
        </w:rPr>
        <w:t xml:space="preserve">o mai bună utilizare a </w:t>
      </w:r>
      <w:r>
        <w:rPr>
          <w:rFonts w:ascii="Times New Roman" w:hAnsi="Times New Roman"/>
          <w:b/>
          <w:noProof/>
        </w:rPr>
        <w:t>programelor de accelerare</w:t>
      </w:r>
      <w:r>
        <w:rPr>
          <w:rFonts w:ascii="Times New Roman" w:hAnsi="Times New Roman"/>
          <w:noProof/>
        </w:rPr>
        <w:t xml:space="preserve"> și a </w:t>
      </w:r>
      <w:r>
        <w:rPr>
          <w:rFonts w:ascii="Times New Roman" w:hAnsi="Times New Roman"/>
          <w:b/>
          <w:noProof/>
        </w:rPr>
        <w:t>incubatoarelor</w:t>
      </w:r>
      <w:r>
        <w:rPr>
          <w:rFonts w:ascii="Times New Roman" w:hAnsi="Times New Roman"/>
          <w:noProof/>
        </w:rPr>
        <w:t>;</w:t>
      </w:r>
    </w:p>
    <w:p>
      <w:pPr>
        <w:pStyle w:val="ListParagraph"/>
        <w:numPr>
          <w:ilvl w:val="0"/>
          <w:numId w:val="20"/>
        </w:numPr>
        <w:spacing w:after="120" w:line="240" w:lineRule="auto"/>
        <w:jc w:val="both"/>
        <w:rPr>
          <w:rFonts w:ascii="Times New Roman" w:hAnsi="Times New Roman" w:cs="Times New Roman"/>
          <w:noProof/>
        </w:rPr>
      </w:pPr>
      <w:r>
        <w:rPr>
          <w:rFonts w:ascii="Times New Roman" w:hAnsi="Times New Roman"/>
          <w:noProof/>
        </w:rPr>
        <w:t xml:space="preserve">o </w:t>
      </w:r>
      <w:r>
        <w:rPr>
          <w:rFonts w:ascii="Times New Roman" w:hAnsi="Times New Roman"/>
          <w:b/>
          <w:noProof/>
        </w:rPr>
        <w:t>platformă care să conecteze</w:t>
      </w:r>
      <w:r>
        <w:rPr>
          <w:rFonts w:ascii="Times New Roman" w:hAnsi="Times New Roman"/>
          <w:noProof/>
        </w:rPr>
        <w:t xml:space="preserve"> întreprinderile nou-înființate cu potențialii parteneri la nivelul întregii UE (alături de platformele publice și private existente). </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b/>
          <w:i/>
          <w:noProof/>
        </w:rPr>
      </w:pPr>
      <w:r>
        <w:rPr>
          <w:rFonts w:ascii="Times New Roman" w:eastAsiaTheme="minorHAnsi" w:hAnsi="Times New Roman"/>
          <w:b/>
          <w:i/>
          <w:noProof/>
        </w:rPr>
        <w:t>Alte acțiuni:</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SimSun" w:hAnsi="Times New Roman" w:cs="Times New Roman"/>
          <w:i/>
          <w:iCs/>
          <w:noProof/>
        </w:rPr>
      </w:pPr>
      <w:r>
        <w:rPr>
          <w:rFonts w:ascii="Times New Roman" w:eastAsiaTheme="minorHAnsi" w:hAnsi="Times New Roman"/>
          <w:i/>
          <w:noProof/>
        </w:rPr>
        <w:t xml:space="preserve">- </w:t>
      </w:r>
      <w:r>
        <w:rPr>
          <w:noProof/>
        </w:rPr>
        <w:tab/>
      </w:r>
      <w:r>
        <w:rPr>
          <w:rFonts w:ascii="Times New Roman" w:hAnsi="Times New Roman"/>
          <w:i/>
          <w:noProof/>
        </w:rPr>
        <w:t xml:space="preserve">În 2017, Comisia </w:t>
      </w:r>
      <w:r>
        <w:rPr>
          <w:rFonts w:ascii="Times New Roman" w:hAnsi="Times New Roman"/>
          <w:b/>
          <w:i/>
          <w:noProof/>
        </w:rPr>
        <w:t>va consolida inițiativa „Startup Europe”</w:t>
      </w:r>
      <w:r>
        <w:rPr>
          <w:rFonts w:ascii="Times New Roman" w:hAnsi="Times New Roman"/>
          <w:i/>
          <w:noProof/>
        </w:rPr>
        <w:t>, care își va extinde domeniul de aplicare dincolo de TIC și de sectorul întreprinderilor nou-înființate în domeniul internetului.</w:t>
      </w:r>
      <w:r>
        <w:rPr>
          <w:rFonts w:ascii="Times New Roman" w:hAnsi="Times New Roman"/>
          <w:b/>
          <w:i/>
          <w:noProof/>
        </w:rPr>
        <w:t xml:space="preserve"> </w:t>
      </w:r>
      <w:r>
        <w:rPr>
          <w:rFonts w:ascii="Times New Roman" w:hAnsi="Times New Roman"/>
          <w:i/>
          <w:noProof/>
        </w:rPr>
        <w:t xml:space="preserve">Comisia va coordona activitatea UE de </w:t>
      </w:r>
      <w:r>
        <w:rPr>
          <w:rFonts w:ascii="Times New Roman" w:hAnsi="Times New Roman"/>
          <w:b/>
          <w:i/>
          <w:noProof/>
        </w:rPr>
        <w:t>conectare a clusterelor și a ecosistemelor la nivelul întregii Europe, precum și de creare a unei mai mari coerențe între diferitele inițiative ale UE</w:t>
      </w:r>
      <w:r>
        <w:rPr>
          <w:rFonts w:ascii="Times New Roman" w:hAnsi="Times New Roman"/>
          <w:i/>
          <w:noProof/>
        </w:rPr>
        <w:t>, în special prin crearea de legături între ministerele naționale și regionale, agențiile de inovare și alte părți interesate și ecosisteme.</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noProof/>
        </w:rPr>
      </w:pPr>
      <w:r>
        <w:rPr>
          <w:rFonts w:ascii="Times New Roman" w:hAnsi="Times New Roman"/>
          <w:i/>
          <w:noProof/>
        </w:rPr>
        <w:t>-</w:t>
      </w:r>
      <w:r>
        <w:rPr>
          <w:noProof/>
        </w:rPr>
        <w:tab/>
      </w:r>
      <w:r>
        <w:rPr>
          <w:rFonts w:ascii="Times New Roman" w:hAnsi="Times New Roman"/>
          <w:i/>
          <w:noProof/>
        </w:rPr>
        <w:t xml:space="preserve">Pentru a </w:t>
      </w:r>
      <w:r>
        <w:rPr>
          <w:rFonts w:ascii="Times New Roman" w:hAnsi="Times New Roman"/>
          <w:b/>
          <w:i/>
          <w:noProof/>
        </w:rPr>
        <w:t>conecta întreprinderile nou-înființate cu partenerii comerciali</w:t>
      </w:r>
      <w:r>
        <w:rPr>
          <w:rFonts w:ascii="Times New Roman" w:hAnsi="Times New Roman"/>
          <w:i/>
          <w:noProof/>
        </w:rPr>
        <w:t>, în 2017 Comisia va lansa o serie de măsuri-pilot privind corelarea întreprinderilor nou-înființate, a întreprinderilor cu capitalizare medie și a întreprinderilor mai mari și va extinde programul Erasmus pentru tineri antreprenori la incubatoarele și la antreprenorii de pe piețele internaționale.</w:t>
      </w:r>
    </w:p>
    <w:p>
      <w:pPr>
        <w:spacing w:after="120" w:line="240" w:lineRule="auto"/>
        <w:jc w:val="both"/>
        <w:rPr>
          <w:rFonts w:ascii="Times New Roman" w:hAnsi="Times New Roman" w:cs="Times New Roman"/>
          <w:noProof/>
        </w:rPr>
      </w:pPr>
    </w:p>
    <w:p>
      <w:pPr>
        <w:pStyle w:val="Heading3"/>
        <w:rPr>
          <w:noProof/>
        </w:rPr>
      </w:pPr>
      <w:r>
        <w:rPr>
          <w:noProof/>
        </w:rPr>
        <w:t xml:space="preserve">3.2 </w:t>
      </w:r>
      <w:r>
        <w:rPr>
          <w:noProof/>
        </w:rPr>
        <w:tab/>
        <w:t>Oportunități de achiziții publice</w:t>
      </w:r>
    </w:p>
    <w:p>
      <w:pPr>
        <w:spacing w:after="120" w:line="240" w:lineRule="auto"/>
        <w:jc w:val="both"/>
        <w:rPr>
          <w:rFonts w:ascii="Times New Roman" w:hAnsi="Times New Roman" w:cs="Times New Roman"/>
          <w:noProof/>
        </w:rPr>
      </w:pPr>
      <w:r>
        <w:rPr>
          <w:rFonts w:ascii="Times New Roman" w:hAnsi="Times New Roman"/>
          <w:noProof/>
        </w:rPr>
        <w:t xml:space="preserve">Contractele de </w:t>
      </w:r>
      <w:r>
        <w:rPr>
          <w:rFonts w:ascii="Times New Roman" w:hAnsi="Times New Roman"/>
          <w:b/>
          <w:noProof/>
        </w:rPr>
        <w:t xml:space="preserve">achiziții publice </w:t>
      </w:r>
      <w:r>
        <w:rPr>
          <w:rFonts w:ascii="Times New Roman" w:hAnsi="Times New Roman"/>
          <w:noProof/>
        </w:rPr>
        <w:t>pot sprijini activitățile de extindere, dar IMM-urile încă sunt subreprezentate</w:t>
      </w:r>
      <w:r>
        <w:rPr>
          <w:rStyle w:val="FootnoteReference"/>
          <w:rFonts w:ascii="Times New Roman" w:hAnsi="Times New Roman"/>
          <w:noProof/>
        </w:rPr>
        <w:footnoteReference w:id="30"/>
      </w:r>
      <w:r>
        <w:rPr>
          <w:rFonts w:ascii="Times New Roman" w:hAnsi="Times New Roman"/>
          <w:noProof/>
        </w:rPr>
        <w:t>, în special în ceea ce privește așa-numitele achiziții publice „superioare pragurilor”</w:t>
      </w:r>
      <w:r>
        <w:rPr>
          <w:rStyle w:val="FootnoteReference"/>
          <w:rFonts w:ascii="Times New Roman" w:hAnsi="Times New Roman"/>
          <w:noProof/>
        </w:rPr>
        <w:footnoteReference w:id="31"/>
      </w:r>
      <w:r>
        <w:rPr>
          <w:rFonts w:ascii="Times New Roman" w:hAnsi="Times New Roman"/>
          <w:noProof/>
        </w:rPr>
        <w:t xml:space="preserve">. </w:t>
      </w:r>
    </w:p>
    <w:p>
      <w:pPr>
        <w:spacing w:after="120" w:line="240" w:lineRule="auto"/>
        <w:jc w:val="both"/>
        <w:rPr>
          <w:rFonts w:ascii="Times New Roman" w:hAnsi="Times New Roman" w:cs="Times New Roman"/>
          <w:noProof/>
        </w:rPr>
      </w:pPr>
      <w:r>
        <w:rPr>
          <w:rFonts w:ascii="Times New Roman" w:hAnsi="Times New Roman"/>
          <w:noProof/>
        </w:rPr>
        <w:t>Achizițiile publice, o piață de 2 000 de miliarde EUR, reprezintă un potențial extraordinar pentru creșterea întreprinderilor nou-înființate/în curs de extindere. În prezent, acest potențial nu este încă suficient utilizat. Comparativ cu ponderea lor în cadrul economiei, întreprinderile nou-înființate/în curs de extindere nu obțin o cotă proporțională din contractele publice</w:t>
      </w:r>
      <w:r>
        <w:rPr>
          <w:rStyle w:val="FootnoteReference"/>
          <w:rFonts w:ascii="Times New Roman" w:hAnsi="Times New Roman"/>
          <w:noProof/>
        </w:rPr>
        <w:footnoteReference w:id="32"/>
      </w:r>
      <w:r>
        <w:rPr>
          <w:rFonts w:ascii="Times New Roman" w:hAnsi="Times New Roman"/>
          <w:noProof/>
        </w:rPr>
        <w:t>. Este necesar să se acorde un sprijin consolidat autorităților contractante în ceea ce privește utilizarea oportunităților de pe piață și a instrumentelor modernizate de achiziții publice, pentru a îmbunătăți participarea întreprinderilor nou-înființate/în curs de extindere inovatoare. În special, consultările preliminare ale pieței și parteneriatele inovatoare pot fi modalități solide prin care întreprinderile nou-înființate/în curs de extindere să își lanseze produsele inovatoare pentru cumpărători publici. Astfel, întreprinderile nou-înființate/în curs de extindere vor obține mai ușor succese în cadrul achizițiilor publice. Punerea în practică a achizițiilor publice electronice este esențială în acest sens.</w:t>
      </w:r>
    </w:p>
    <w:p>
      <w:pPr>
        <w:spacing w:after="120" w:line="240" w:lineRule="auto"/>
        <w:jc w:val="both"/>
        <w:rPr>
          <w:rFonts w:ascii="Times New Roman" w:hAnsi="Times New Roman" w:cs="Times New Roman"/>
          <w:noProof/>
        </w:rPr>
      </w:pPr>
      <w:r>
        <w:rPr>
          <w:rFonts w:ascii="Times New Roman" w:hAnsi="Times New Roman"/>
          <w:noProof/>
        </w:rPr>
        <w:t>Achizițiile publice în materie de inovare bine concepute au contribuit deja la lansarea pe piață a unor idei netestate, creând astfel oportunități de creștere transfrontalieră.</w:t>
      </w:r>
    </w:p>
    <w:p>
      <w:pPr>
        <w:spacing w:after="120" w:line="240" w:lineRule="auto"/>
        <w:jc w:val="both"/>
        <w:rPr>
          <w:rFonts w:ascii="Times New Roman" w:hAnsi="Times New Roman" w:cs="Times New Roman"/>
          <w:noProof/>
        </w:rPr>
      </w:pPr>
      <w:r>
        <w:rPr>
          <w:rFonts w:ascii="Times New Roman" w:hAnsi="Times New Roman"/>
          <w:noProof/>
        </w:rPr>
        <w:t>În cadrul primelor acțiuni ale PC7 referitoare la achizițiile pentru inovare, IMM-urile au câștigat de 2,5 ori mai multe contracte decât în exercițiile standard (73 % față de 29 %) și de 15 ori mai multe contracte la nivel transfrontalier decât media achizițiilor publice în Europa (29 % față de 2 %)</w:t>
      </w:r>
      <w:r>
        <w:rPr>
          <w:rStyle w:val="FootnoteReference"/>
          <w:rFonts w:ascii="Times New Roman" w:hAnsi="Times New Roman"/>
          <w:noProof/>
        </w:rPr>
        <w:footnoteReference w:id="33"/>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 xml:space="preserve">În 2014, UE a adoptat un nou cadru privind achizițiile publice, care permite întreprinderilor nou-înființate să aibă acces la achiziții publice. Cu toate acestea, se pare că autoritățile contractante naționale sau regionale/locale încă nu sunt suficient de conștiente de aceste posibilități. </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b/>
          <w:i/>
          <w:noProof/>
        </w:rPr>
      </w:pPr>
      <w:r>
        <w:rPr>
          <w:rFonts w:ascii="Times New Roman" w:hAnsi="Times New Roman"/>
          <w:b/>
          <w:i/>
          <w:noProof/>
        </w:rPr>
        <w:t>Alte acțiuni:</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i/>
          <w:noProof/>
        </w:rPr>
      </w:pPr>
      <w:r>
        <w:rPr>
          <w:rFonts w:ascii="Times New Roman" w:hAnsi="Times New Roman"/>
          <w:i/>
          <w:noProof/>
        </w:rPr>
        <w:t>-</w:t>
      </w:r>
      <w:r>
        <w:rPr>
          <w:noProof/>
        </w:rPr>
        <w:tab/>
      </w:r>
      <w:r>
        <w:rPr>
          <w:rFonts w:ascii="Times New Roman" w:hAnsi="Times New Roman"/>
          <w:i/>
          <w:noProof/>
        </w:rPr>
        <w:t>În 2017, Comisia va introduce măsuri privind</w:t>
      </w:r>
      <w:r>
        <w:rPr>
          <w:rFonts w:ascii="Times New Roman" w:hAnsi="Times New Roman"/>
          <w:b/>
          <w:i/>
          <w:noProof/>
        </w:rPr>
        <w:t xml:space="preserve"> achizițiile publice în UE</w:t>
      </w:r>
      <w:r>
        <w:rPr>
          <w:rFonts w:ascii="Times New Roman" w:hAnsi="Times New Roman"/>
          <w:i/>
          <w:noProof/>
        </w:rPr>
        <w:t>, vizând: (i) instituirea de brokeri în materie de inovare, care să creeze rețele de cumpărători interesați de achizițiile publice pentru inovare, să le conecteze cu întreprinderile inovatoare și să ajute întreprinderile să acceseze finanțarea de risc</w:t>
      </w:r>
      <w:r>
        <w:rPr>
          <w:rStyle w:val="FootnoteReference"/>
          <w:rFonts w:ascii="Times New Roman" w:eastAsiaTheme="minorHAnsi" w:hAnsi="Times New Roman"/>
          <w:i/>
          <w:noProof/>
        </w:rPr>
        <w:footnoteReference w:id="34"/>
      </w:r>
      <w:r>
        <w:rPr>
          <w:rFonts w:ascii="Times New Roman" w:hAnsi="Times New Roman"/>
          <w:i/>
          <w:noProof/>
        </w:rPr>
        <w:t>; (ii) încurajarea tuturor statele membre să stabilească obiective de cumpărare ambițioase pentru inovare; (iii) furnizarea de orientări cu privire la achizițiile pentru inovare</w:t>
      </w:r>
      <w:r>
        <w:rPr>
          <w:rStyle w:val="FootnoteReference"/>
          <w:rFonts w:ascii="Times New Roman" w:eastAsiaTheme="minorHAnsi" w:hAnsi="Times New Roman"/>
          <w:i/>
          <w:noProof/>
        </w:rPr>
        <w:footnoteReference w:id="35"/>
      </w:r>
      <w:r>
        <w:rPr>
          <w:rFonts w:ascii="Times New Roman" w:hAnsi="Times New Roman"/>
          <w:i/>
          <w:noProof/>
        </w:rPr>
        <w:t>, bazându-se pe Parteneriatul pentru inovare.</w:t>
      </w:r>
    </w:p>
    <w:p>
      <w:pPr>
        <w:spacing w:after="120" w:line="240" w:lineRule="auto"/>
        <w:jc w:val="both"/>
        <w:rPr>
          <w:rFonts w:ascii="Times New Roman" w:hAnsi="Times New Roman" w:cs="Times New Roman"/>
          <w:noProof/>
        </w:rPr>
      </w:pPr>
    </w:p>
    <w:p>
      <w:pPr>
        <w:pStyle w:val="Heading3"/>
        <w:keepNext/>
        <w:rPr>
          <w:noProof/>
        </w:rPr>
      </w:pPr>
      <w:r>
        <w:rPr>
          <w:noProof/>
        </w:rPr>
        <w:t>3.3</w:t>
      </w:r>
      <w:r>
        <w:rPr>
          <w:noProof/>
        </w:rPr>
        <w:tab/>
        <w:t>Competențe</w:t>
      </w:r>
    </w:p>
    <w:p>
      <w:pPr>
        <w:spacing w:after="120" w:line="240" w:lineRule="auto"/>
        <w:jc w:val="both"/>
        <w:rPr>
          <w:rFonts w:ascii="Times New Roman" w:hAnsi="Times New Roman" w:cs="Times New Roman"/>
          <w:noProof/>
        </w:rPr>
      </w:pPr>
      <w:r>
        <w:rPr>
          <w:rFonts w:ascii="Times New Roman" w:eastAsiaTheme="minorHAnsi" w:hAnsi="Times New Roman"/>
          <w:noProof/>
        </w:rPr>
        <w:t xml:space="preserve">Întreprinderile aflate în creștere au nevoie să recruteze angajați cu </w:t>
      </w:r>
      <w:r>
        <w:rPr>
          <w:rFonts w:ascii="Times New Roman" w:eastAsiaTheme="minorHAnsi" w:hAnsi="Times New Roman"/>
          <w:b/>
          <w:noProof/>
        </w:rPr>
        <w:t>competențe</w:t>
      </w:r>
      <w:r>
        <w:rPr>
          <w:rFonts w:ascii="Times New Roman" w:eastAsiaTheme="minorHAnsi" w:hAnsi="Times New Roman"/>
          <w:noProof/>
        </w:rPr>
        <w:t xml:space="preserve"> potrivite, în special cu competențe </w:t>
      </w:r>
      <w:r>
        <w:rPr>
          <w:rFonts w:ascii="Times New Roman" w:eastAsiaTheme="minorHAnsi" w:hAnsi="Times New Roman"/>
          <w:b/>
          <w:noProof/>
        </w:rPr>
        <w:t>tehnice, financiare</w:t>
      </w:r>
      <w:r>
        <w:rPr>
          <w:rFonts w:ascii="Times New Roman" w:eastAsiaTheme="minorHAnsi" w:hAnsi="Times New Roman"/>
          <w:noProof/>
        </w:rPr>
        <w:t xml:space="preserve"> și </w:t>
      </w:r>
      <w:r>
        <w:rPr>
          <w:rFonts w:ascii="Times New Roman" w:eastAsiaTheme="minorHAnsi" w:hAnsi="Times New Roman"/>
          <w:b/>
          <w:noProof/>
        </w:rPr>
        <w:t>digitale</w:t>
      </w:r>
      <w:r>
        <w:rPr>
          <w:rFonts w:ascii="Times New Roman" w:eastAsiaTheme="minorHAnsi" w:hAnsi="Times New Roman"/>
          <w:noProof/>
        </w:rPr>
        <w:t xml:space="preserve">. Spiritul antreprenorial, competențele de </w:t>
      </w:r>
      <w:r>
        <w:rPr>
          <w:rFonts w:ascii="Times New Roman" w:eastAsiaTheme="minorHAnsi" w:hAnsi="Times New Roman"/>
          <w:b/>
          <w:noProof/>
        </w:rPr>
        <w:t>gestionare</w:t>
      </w:r>
      <w:r>
        <w:rPr>
          <w:rFonts w:ascii="Times New Roman" w:eastAsiaTheme="minorHAnsi" w:hAnsi="Times New Roman"/>
          <w:noProof/>
        </w:rPr>
        <w:t xml:space="preserve"> și de </w:t>
      </w:r>
      <w:r>
        <w:rPr>
          <w:rFonts w:ascii="Times New Roman" w:eastAsiaTheme="minorHAnsi" w:hAnsi="Times New Roman"/>
          <w:b/>
          <w:noProof/>
        </w:rPr>
        <w:t>conducere</w:t>
      </w:r>
      <w:r>
        <w:rPr>
          <w:rFonts w:ascii="Times New Roman" w:eastAsiaTheme="minorHAnsi" w:hAnsi="Times New Roman"/>
          <w:noProof/>
        </w:rPr>
        <w:t xml:space="preserve"> necesare pentru extindere sunt, de asemenea, esențiale.</w:t>
      </w:r>
    </w:p>
    <w:p>
      <w:pPr>
        <w:spacing w:after="120" w:line="240" w:lineRule="auto"/>
        <w:jc w:val="both"/>
        <w:rPr>
          <w:rFonts w:ascii="Times New Roman" w:hAnsi="Times New Roman" w:cs="Times New Roman"/>
          <w:noProof/>
        </w:rPr>
      </w:pPr>
      <w:r>
        <w:rPr>
          <w:rFonts w:ascii="Times New Roman" w:hAnsi="Times New Roman"/>
          <w:noProof/>
        </w:rPr>
        <w:t>Pe baza „</w:t>
      </w:r>
      <w:r>
        <w:rPr>
          <w:rFonts w:ascii="Times New Roman" w:hAnsi="Times New Roman"/>
          <w:b/>
          <w:noProof/>
        </w:rPr>
        <w:t>Noii agende pentru competențe în Europa</w:t>
      </w:r>
      <w:r>
        <w:rPr>
          <w:rFonts w:ascii="Times New Roman" w:hAnsi="Times New Roman"/>
          <w:noProof/>
        </w:rPr>
        <w:t xml:space="preserve">” (iunie 2016), Comisia depune eforturi pentru a îmbunătăți </w:t>
      </w:r>
      <w:r>
        <w:rPr>
          <w:rFonts w:ascii="Times New Roman" w:hAnsi="Times New Roman"/>
          <w:b/>
          <w:noProof/>
        </w:rPr>
        <w:t>calitatea competențelor</w:t>
      </w:r>
      <w:r>
        <w:rPr>
          <w:rFonts w:ascii="Times New Roman" w:hAnsi="Times New Roman"/>
          <w:noProof/>
        </w:rPr>
        <w:t xml:space="preserve"> și </w:t>
      </w:r>
      <w:r>
        <w:rPr>
          <w:rFonts w:ascii="Times New Roman" w:hAnsi="Times New Roman"/>
          <w:b/>
          <w:noProof/>
        </w:rPr>
        <w:t>relevanța</w:t>
      </w:r>
      <w:r>
        <w:rPr>
          <w:rFonts w:ascii="Times New Roman" w:hAnsi="Times New Roman"/>
          <w:noProof/>
        </w:rPr>
        <w:t xml:space="preserve"> lor </w:t>
      </w:r>
      <w:r>
        <w:rPr>
          <w:rFonts w:ascii="Times New Roman" w:hAnsi="Times New Roman"/>
          <w:b/>
          <w:noProof/>
        </w:rPr>
        <w:t>pe piața forței de muncă</w:t>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Trei inițiative vor aborda aceste provocări:</w:t>
      </w:r>
    </w:p>
    <w:p>
      <w:pPr>
        <w:pStyle w:val="ListParagraph"/>
        <w:numPr>
          <w:ilvl w:val="0"/>
          <w:numId w:val="25"/>
        </w:numPr>
        <w:spacing w:after="120" w:line="240" w:lineRule="auto"/>
        <w:contextualSpacing w:val="0"/>
        <w:jc w:val="both"/>
        <w:rPr>
          <w:rFonts w:ascii="Times New Roman" w:eastAsiaTheme="minorHAnsi" w:hAnsi="Times New Roman" w:cs="Times New Roman"/>
          <w:noProof/>
        </w:rPr>
      </w:pPr>
      <w:r>
        <w:rPr>
          <w:rFonts w:ascii="Times New Roman" w:eastAsiaTheme="minorHAnsi" w:hAnsi="Times New Roman"/>
          <w:noProof/>
        </w:rPr>
        <w:t>Viitoarea „</w:t>
      </w:r>
      <w:r>
        <w:rPr>
          <w:rFonts w:ascii="Times New Roman" w:eastAsiaTheme="minorHAnsi" w:hAnsi="Times New Roman"/>
          <w:b/>
          <w:noProof/>
        </w:rPr>
        <w:t>Coaliție pentru competențe și locuri de muncă în sectorul digital</w:t>
      </w:r>
      <w:r>
        <w:rPr>
          <w:rFonts w:ascii="Times New Roman" w:eastAsiaTheme="minorHAnsi" w:hAnsi="Times New Roman"/>
          <w:noProof/>
        </w:rPr>
        <w:t>” – sprijină cooperarea între educație, ocuparea forței de muncă, industrie.</w:t>
      </w:r>
    </w:p>
    <w:p>
      <w:pPr>
        <w:pStyle w:val="ListParagraph"/>
        <w:numPr>
          <w:ilvl w:val="0"/>
          <w:numId w:val="25"/>
        </w:numPr>
        <w:spacing w:after="120" w:line="240" w:lineRule="auto"/>
        <w:contextualSpacing w:val="0"/>
        <w:jc w:val="both"/>
        <w:rPr>
          <w:rFonts w:ascii="Times New Roman" w:hAnsi="Times New Roman" w:cs="Times New Roman"/>
          <w:noProof/>
        </w:rPr>
      </w:pPr>
      <w:r>
        <w:rPr>
          <w:rFonts w:ascii="Times New Roman" w:eastAsiaTheme="minorHAnsi" w:hAnsi="Times New Roman"/>
          <w:noProof/>
        </w:rPr>
        <w:t>„</w:t>
      </w:r>
      <w:r>
        <w:rPr>
          <w:rFonts w:ascii="Times New Roman" w:eastAsiaTheme="minorHAnsi" w:hAnsi="Times New Roman"/>
          <w:b/>
          <w:noProof/>
        </w:rPr>
        <w:t>Planul de cooperare sectorială în materie de competențe</w:t>
      </w:r>
      <w:r>
        <w:rPr>
          <w:rFonts w:ascii="Times New Roman" w:eastAsiaTheme="minorHAnsi" w:hAnsi="Times New Roman"/>
          <w:noProof/>
        </w:rPr>
        <w:t>” – îmbunătățește informațiile privind competențele, soluționează problema deficitului de competențe.</w:t>
      </w:r>
    </w:p>
    <w:p>
      <w:pPr>
        <w:pStyle w:val="ListParagraph"/>
        <w:numPr>
          <w:ilvl w:val="0"/>
          <w:numId w:val="25"/>
        </w:numPr>
        <w:spacing w:after="120" w:line="240" w:lineRule="auto"/>
        <w:ind w:left="851" w:hanging="425"/>
        <w:contextualSpacing w:val="0"/>
        <w:jc w:val="both"/>
        <w:rPr>
          <w:rFonts w:ascii="Times New Roman" w:hAnsi="Times New Roman" w:cs="Times New Roman"/>
          <w:noProof/>
        </w:rPr>
      </w:pPr>
      <w:r>
        <w:rPr>
          <w:rFonts w:ascii="Times New Roman" w:hAnsi="Times New Roman"/>
          <w:noProof/>
        </w:rPr>
        <w:t xml:space="preserve">Viitorul </w:t>
      </w:r>
      <w:r>
        <w:rPr>
          <w:rFonts w:ascii="Times New Roman" w:hAnsi="Times New Roman"/>
          <w:b/>
          <w:noProof/>
        </w:rPr>
        <w:t>„instrument pentru datele masive”</w:t>
      </w:r>
      <w:r>
        <w:rPr>
          <w:rFonts w:ascii="Times New Roman" w:hAnsi="Times New Roman"/>
          <w:noProof/>
        </w:rPr>
        <w:t xml:space="preserve"> referitor la informațiile și la prognozele privind competențele, în cadrul inițiativei „Panorama competențelor”.</w:t>
      </w:r>
    </w:p>
    <w:p>
      <w:pPr>
        <w:spacing w:after="120" w:line="240" w:lineRule="auto"/>
        <w:jc w:val="both"/>
        <w:rPr>
          <w:rFonts w:ascii="Times New Roman" w:hAnsi="Times New Roman" w:cs="Times New Roman"/>
          <w:noProof/>
        </w:rPr>
      </w:pPr>
      <w:r>
        <w:rPr>
          <w:rFonts w:ascii="Times New Roman" w:hAnsi="Times New Roman"/>
          <w:noProof/>
        </w:rPr>
        <w:t>De asemenea, Comisia a instituit două cadre pentru a îmbunătăți predarea și evaluarea competențelor:</w:t>
      </w:r>
    </w:p>
    <w:p>
      <w:pPr>
        <w:pStyle w:val="ListParagraph"/>
        <w:numPr>
          <w:ilvl w:val="0"/>
          <w:numId w:val="16"/>
        </w:numPr>
        <w:spacing w:after="120" w:line="240" w:lineRule="auto"/>
        <w:jc w:val="both"/>
        <w:rPr>
          <w:rFonts w:ascii="Times New Roman" w:hAnsi="Times New Roman" w:cs="Times New Roman"/>
          <w:noProof/>
        </w:rPr>
      </w:pPr>
      <w:r>
        <w:rPr>
          <w:rFonts w:ascii="Times New Roman" w:hAnsi="Times New Roman"/>
          <w:noProof/>
        </w:rPr>
        <w:t>Cadrul european pentru antreprenoriat (EntrComp).</w:t>
      </w:r>
    </w:p>
    <w:p>
      <w:pPr>
        <w:pStyle w:val="ListParagraph"/>
        <w:numPr>
          <w:ilvl w:val="0"/>
          <w:numId w:val="16"/>
        </w:numPr>
        <w:spacing w:after="120" w:line="240" w:lineRule="auto"/>
        <w:jc w:val="both"/>
        <w:rPr>
          <w:rFonts w:ascii="Times New Roman" w:hAnsi="Times New Roman" w:cs="Times New Roman"/>
          <w:noProof/>
        </w:rPr>
      </w:pPr>
      <w:r>
        <w:rPr>
          <w:rFonts w:ascii="Times New Roman" w:hAnsi="Times New Roman"/>
          <w:noProof/>
        </w:rPr>
        <w:t>Cadrul pentru competențe digitale (DigComp).</w:t>
      </w:r>
    </w:p>
    <w:p>
      <w:pPr>
        <w:spacing w:after="120" w:line="240" w:lineRule="auto"/>
        <w:jc w:val="both"/>
        <w:rPr>
          <w:rFonts w:ascii="Times New Roman" w:hAnsi="Times New Roman" w:cs="Times New Roman"/>
          <w:noProof/>
        </w:rPr>
      </w:pPr>
      <w:r>
        <w:rPr>
          <w:rFonts w:ascii="Times New Roman" w:hAnsi="Times New Roman"/>
          <w:noProof/>
        </w:rPr>
        <w:t xml:space="preserve">Ea va colabora cu statele membre pentru a promova aceste cadre la nivel național. Totodată, EIT își va continua și își va consolida activitatea cu privire la formarea de studenți masteranzi cu competențe tehnice și antreprenoriale combinate. </w:t>
      </w:r>
    </w:p>
    <w:p>
      <w:pPr>
        <w:spacing w:after="120" w:line="240" w:lineRule="auto"/>
        <w:jc w:val="both"/>
        <w:rPr>
          <w:rFonts w:ascii="Times New Roman" w:hAnsi="Times New Roman" w:cs="Times New Roman"/>
          <w:noProof/>
        </w:rPr>
      </w:pPr>
      <w:r>
        <w:rPr>
          <w:rFonts w:ascii="Times New Roman" w:hAnsi="Times New Roman"/>
          <w:noProof/>
        </w:rPr>
        <w:t>Comisia promovează, de asemenea, profesionalismul în domeniul TIC – Cadrul european privind competențele informatice</w:t>
      </w:r>
      <w:r>
        <w:rPr>
          <w:rStyle w:val="FootnoteReference"/>
          <w:rFonts w:ascii="Times New Roman" w:hAnsi="Times New Roman"/>
          <w:noProof/>
        </w:rPr>
        <w:footnoteReference w:id="36"/>
      </w:r>
      <w:r>
        <w:rPr>
          <w:rFonts w:ascii="Times New Roman" w:hAnsi="Times New Roman"/>
          <w:noProof/>
        </w:rPr>
        <w:t xml:space="preserve"> destinat specialiștilor din domeniul TIC reprezintă acum un standard. În fine, abilitatea de a atrage persoanele cele mai talentate, inclusiv din afara UE, este alt factor important al succesului său. În iunie 2016, Comisia a propus reformarea </w:t>
      </w:r>
      <w:r>
        <w:rPr>
          <w:rFonts w:ascii="Times New Roman" w:hAnsi="Times New Roman"/>
          <w:b/>
          <w:noProof/>
        </w:rPr>
        <w:t>cărții albastre a UE</w:t>
      </w:r>
      <w:r>
        <w:rPr>
          <w:rFonts w:ascii="Times New Roman" w:hAnsi="Times New Roman"/>
          <w:noProof/>
        </w:rPr>
        <w:t>, pentru a atrage mai mulți lucrători cu înalte calificări care sunt resortisanți ai unor țări terțe</w:t>
      </w:r>
      <w:r>
        <w:rPr>
          <w:rStyle w:val="FootnoteReference"/>
          <w:rFonts w:ascii="Times New Roman" w:hAnsi="Times New Roman"/>
          <w:noProof/>
        </w:rPr>
        <w:footnoteReference w:id="37"/>
      </w:r>
      <w:r>
        <w:rPr>
          <w:noProof/>
        </w:rPr>
        <w:t>.</w:t>
      </w:r>
      <w:r>
        <w:rPr>
          <w:rFonts w:ascii="Times New Roman" w:hAnsi="Times New Roman"/>
          <w:noProof/>
        </w:rPr>
        <w:t xml:space="preserve"> Întrucât persoanele talentate din străinătate pot aduce, de asemenea, o contribuție importantă la înființarea de noi întreprinderi, în cadrul UE trebuie depuse mai multe eforturi pentru a le atrage și a le sprijini.</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b/>
          <w:i/>
          <w:noProof/>
        </w:rPr>
      </w:pPr>
      <w:r>
        <w:rPr>
          <w:rFonts w:ascii="Times New Roman" w:eastAsiaTheme="minorHAnsi" w:hAnsi="Times New Roman"/>
          <w:b/>
          <w:i/>
          <w:noProof/>
        </w:rPr>
        <w:t>Alte acțiuni:</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i/>
          <w:noProof/>
        </w:rPr>
      </w:pPr>
      <w:r>
        <w:rPr>
          <w:rFonts w:ascii="Times New Roman" w:eastAsiaTheme="minorHAnsi" w:hAnsi="Times New Roman"/>
          <w:i/>
          <w:noProof/>
        </w:rPr>
        <w:t xml:space="preserve">- </w:t>
      </w:r>
      <w:r>
        <w:rPr>
          <w:noProof/>
        </w:rPr>
        <w:tab/>
      </w:r>
      <w:r>
        <w:rPr>
          <w:rFonts w:ascii="Times New Roman" w:eastAsiaTheme="minorHAnsi" w:hAnsi="Times New Roman"/>
          <w:i/>
          <w:noProof/>
        </w:rPr>
        <w:t xml:space="preserve">În 2017, pe baza Noii agende pentru competențe, Comisia va analiza extinderea activităților </w:t>
      </w:r>
      <w:r>
        <w:rPr>
          <w:rFonts w:ascii="Times New Roman" w:eastAsiaTheme="minorHAnsi" w:hAnsi="Times New Roman"/>
          <w:b/>
          <w:i/>
          <w:noProof/>
        </w:rPr>
        <w:t xml:space="preserve">EIT </w:t>
      </w:r>
      <w:r>
        <w:rPr>
          <w:rFonts w:ascii="Times New Roman" w:eastAsiaTheme="minorHAnsi" w:hAnsi="Times New Roman"/>
          <w:i/>
          <w:noProof/>
        </w:rPr>
        <w:t xml:space="preserve">pentru promovarea competențelor în materie de antreprenoriat, gestionare și inovare. </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i/>
          <w:noProof/>
        </w:rPr>
      </w:pPr>
      <w:r>
        <w:rPr>
          <w:rFonts w:ascii="Times New Roman" w:eastAsiaTheme="minorHAnsi" w:hAnsi="Times New Roman"/>
          <w:i/>
          <w:noProof/>
        </w:rPr>
        <w:t>-</w:t>
      </w:r>
      <w:r>
        <w:rPr>
          <w:noProof/>
        </w:rPr>
        <w:tab/>
      </w:r>
      <w:r>
        <w:rPr>
          <w:rFonts w:ascii="Times New Roman" w:hAnsi="Times New Roman"/>
          <w:i/>
          <w:noProof/>
        </w:rPr>
        <w:t>Comisia va încuraja statele membre să utilizeze mai mult alianțele cunoașterii Erasmus+ și instrumentul de autoevaluare HEInnovate.</w:t>
      </w:r>
    </w:p>
    <w:p>
      <w:pPr>
        <w:spacing w:after="120" w:line="240" w:lineRule="auto"/>
        <w:jc w:val="both"/>
        <w:rPr>
          <w:rFonts w:ascii="Times New Roman" w:hAnsi="Times New Roman" w:cs="Times New Roman"/>
          <w:noProof/>
        </w:rPr>
      </w:pPr>
    </w:p>
    <w:p>
      <w:pPr>
        <w:pStyle w:val="Heading3"/>
        <w:rPr>
          <w:noProof/>
        </w:rPr>
      </w:pPr>
      <w:r>
        <w:rPr>
          <w:noProof/>
        </w:rPr>
        <w:t>3.4</w:t>
      </w:r>
      <w:r>
        <w:rPr>
          <w:noProof/>
        </w:rPr>
        <w:tab/>
        <w:t>Îmbunătățirea oportunităților în materie de inovare în UE pentru întreprinderile nou-înființate și pentru întreprinderile în curs de extindere</w:t>
      </w:r>
    </w:p>
    <w:p>
      <w:pPr>
        <w:spacing w:after="120" w:line="240" w:lineRule="auto"/>
        <w:jc w:val="both"/>
        <w:rPr>
          <w:rFonts w:ascii="Times New Roman" w:hAnsi="Times New Roman" w:cs="Times New Roman"/>
          <w:noProof/>
        </w:rPr>
      </w:pPr>
      <w:r>
        <w:rPr>
          <w:rFonts w:ascii="Times New Roman" w:hAnsi="Times New Roman"/>
          <w:noProof/>
        </w:rPr>
        <w:t>Comisia a oferit sprijin sporit IMM-urilor, prin intermediul Programului-cadru pentru cercetare și inovare „Orizont 2020”, fie ca parteneri în cadrul proiectelor de colaborare cu organizații din domeniul cercetării și cu alte întreprinderi, fie ca beneficiari unici. De asemenea, Comisia a sporit sprijinul pentru inovare, inclusiv prin intermediul mai multor proiecte demonstrative, prin facilitarea accesului la instalații de experimentare și pilot, precum și prin acțiuni privind achizițiile pentru inovare și prin instrumente financiare consolidate. În consecință, participarea IMM-urilor a crescut și a depășit în prezent nivelul-țintă de 20 %.</w:t>
      </w:r>
    </w:p>
    <w:p>
      <w:pPr>
        <w:spacing w:after="120" w:line="240" w:lineRule="auto"/>
        <w:jc w:val="both"/>
        <w:rPr>
          <w:rFonts w:ascii="Times New Roman" w:hAnsi="Times New Roman" w:cs="Times New Roman"/>
          <w:noProof/>
        </w:rPr>
      </w:pPr>
      <w:r>
        <w:rPr>
          <w:rFonts w:ascii="Times New Roman" w:hAnsi="Times New Roman"/>
          <w:noProof/>
        </w:rPr>
        <w:t>Noul instrument pentru IMM-uri a sprijinit deja proiecte inovatoare în cadrul a 1 924</w:t>
      </w:r>
      <w:r>
        <w:rPr>
          <w:rStyle w:val="FootnoteReference"/>
          <w:rFonts w:ascii="Times New Roman" w:hAnsi="Times New Roman"/>
          <w:noProof/>
        </w:rPr>
        <w:footnoteReference w:id="38"/>
      </w:r>
      <w:r>
        <w:rPr>
          <w:rFonts w:ascii="Times New Roman" w:hAnsi="Times New Roman"/>
          <w:noProof/>
        </w:rPr>
        <w:t xml:space="preserve"> de IMM-uri. Cu toate acestea, dovezile și opiniile părților interesate</w:t>
      </w:r>
      <w:r>
        <w:rPr>
          <w:rStyle w:val="FootnoteReference"/>
          <w:rFonts w:ascii="Times New Roman" w:hAnsi="Times New Roman"/>
          <w:noProof/>
        </w:rPr>
        <w:footnoteReference w:id="39"/>
      </w:r>
      <w:r>
        <w:rPr>
          <w:rFonts w:ascii="Times New Roman" w:hAnsi="Times New Roman"/>
          <w:noProof/>
        </w:rPr>
        <w:t xml:space="preserve"> demonstrează că Orizont 2020 este mai eficient pentru susținerea tehnologiilor și a întreprinderilor existente decât a întreprinderilor nou-înființate care inovează în cadrul unor piețe noi sau la intersecția dintre tehnologiile digitale și cele fizice. Sprijinul actual este considerat prea complex, inflexibil și lent pentru nevoile acestora. </w:t>
      </w:r>
    </w:p>
    <w:p>
      <w:pPr>
        <w:spacing w:after="120" w:line="240" w:lineRule="auto"/>
        <w:jc w:val="both"/>
        <w:rPr>
          <w:rFonts w:ascii="Times New Roman" w:hAnsi="Times New Roman" w:cs="Times New Roman"/>
          <w:noProof/>
        </w:rPr>
      </w:pPr>
      <w:r>
        <w:rPr>
          <w:rFonts w:ascii="Times New Roman" w:hAnsi="Times New Roman"/>
          <w:noProof/>
        </w:rPr>
        <w:t>În lumina aspectelor menționate anterior, Comisia intenționează să aducă modificări programului Orizont 2020 pentru perioada 2018-2020. Acestea includ:</w:t>
      </w:r>
    </w:p>
    <w:p>
      <w:pPr>
        <w:pStyle w:val="ListParagraph"/>
        <w:numPr>
          <w:ilvl w:val="0"/>
          <w:numId w:val="17"/>
        </w:numPr>
        <w:spacing w:after="120" w:line="240" w:lineRule="auto"/>
        <w:jc w:val="both"/>
        <w:rPr>
          <w:rFonts w:ascii="Times New Roman" w:hAnsi="Times New Roman" w:cs="Times New Roman"/>
          <w:noProof/>
        </w:rPr>
      </w:pPr>
      <w:r>
        <w:rPr>
          <w:rFonts w:ascii="Times New Roman" w:hAnsi="Times New Roman"/>
          <w:noProof/>
        </w:rPr>
        <w:t xml:space="preserve">adoptarea unei </w:t>
      </w:r>
      <w:r>
        <w:rPr>
          <w:rFonts w:ascii="Times New Roman" w:hAnsi="Times New Roman"/>
          <w:b/>
          <w:noProof/>
        </w:rPr>
        <w:t>abordări</w:t>
      </w:r>
      <w:r>
        <w:rPr>
          <w:rFonts w:ascii="Times New Roman" w:hAnsi="Times New Roman"/>
          <w:noProof/>
        </w:rPr>
        <w:t xml:space="preserve"> complet </w:t>
      </w:r>
      <w:r>
        <w:rPr>
          <w:rFonts w:ascii="Times New Roman" w:hAnsi="Times New Roman"/>
          <w:b/>
          <w:noProof/>
        </w:rPr>
        <w:t>„ascendente”</w:t>
      </w:r>
      <w:r>
        <w:rPr>
          <w:rFonts w:ascii="Times New Roman" w:hAnsi="Times New Roman"/>
          <w:noProof/>
        </w:rPr>
        <w:t xml:space="preserve"> — astfel încât proiectele inovatoare care acoperă mai multe sectoare/tehnologii să devină eligibile pentru sprijin;</w:t>
      </w:r>
    </w:p>
    <w:p>
      <w:pPr>
        <w:pStyle w:val="ListParagraph"/>
        <w:numPr>
          <w:ilvl w:val="0"/>
          <w:numId w:val="17"/>
        </w:numPr>
        <w:spacing w:after="120" w:line="240" w:lineRule="auto"/>
        <w:jc w:val="both"/>
        <w:rPr>
          <w:rFonts w:ascii="Times New Roman" w:hAnsi="Times New Roman" w:cs="Times New Roman"/>
          <w:noProof/>
        </w:rPr>
      </w:pPr>
      <w:r>
        <w:rPr>
          <w:rFonts w:ascii="Times New Roman" w:hAnsi="Times New Roman"/>
          <w:noProof/>
        </w:rPr>
        <w:t xml:space="preserve">facilitarea </w:t>
      </w:r>
      <w:r>
        <w:rPr>
          <w:rFonts w:ascii="Times New Roman" w:hAnsi="Times New Roman"/>
          <w:b/>
          <w:noProof/>
        </w:rPr>
        <w:t>accesării sprijinului financiar și tehnic</w:t>
      </w:r>
      <w:r>
        <w:rPr>
          <w:rFonts w:ascii="Times New Roman" w:hAnsi="Times New Roman"/>
          <w:noProof/>
        </w:rPr>
        <w:t xml:space="preserve"> de către întreprinderile nou-înființate;</w:t>
      </w:r>
    </w:p>
    <w:p>
      <w:pPr>
        <w:pStyle w:val="ListParagraph"/>
        <w:numPr>
          <w:ilvl w:val="0"/>
          <w:numId w:val="17"/>
        </w:numPr>
        <w:spacing w:after="120" w:line="240" w:lineRule="auto"/>
        <w:jc w:val="both"/>
        <w:rPr>
          <w:rFonts w:ascii="Times New Roman" w:hAnsi="Times New Roman" w:cs="Times New Roman"/>
          <w:noProof/>
        </w:rPr>
      </w:pPr>
      <w:r>
        <w:rPr>
          <w:rFonts w:ascii="Times New Roman" w:hAnsi="Times New Roman"/>
          <w:noProof/>
        </w:rPr>
        <w:t xml:space="preserve">urmărirea unor inovații creatoare de piețe, deschizătoare de drumuri, cu </w:t>
      </w:r>
      <w:r>
        <w:rPr>
          <w:rFonts w:ascii="Times New Roman" w:hAnsi="Times New Roman"/>
          <w:b/>
          <w:noProof/>
        </w:rPr>
        <w:t>potențial de extindere</w:t>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 xml:space="preserve">Pe baza acestora și a rezultatelor evaluării la jumătatea perioadei a programului Orizont 2020, Comisia Europeană va lua în considerare crearea unui </w:t>
      </w:r>
      <w:r>
        <w:rPr>
          <w:rFonts w:ascii="Times New Roman" w:hAnsi="Times New Roman"/>
          <w:b/>
          <w:noProof/>
        </w:rPr>
        <w:t>Consiliu european pentru inovare</w:t>
      </w:r>
      <w:r>
        <w:rPr>
          <w:rStyle w:val="FootnoteReference"/>
          <w:rFonts w:ascii="Times New Roman" w:hAnsi="Times New Roman"/>
          <w:b/>
          <w:noProof/>
        </w:rPr>
        <w:footnoteReference w:id="40"/>
      </w:r>
      <w:r>
        <w:rPr>
          <w:rFonts w:ascii="Times New Roman" w:hAnsi="Times New Roman"/>
          <w:noProof/>
        </w:rPr>
        <w:t xml:space="preserve">, pentru ca viitoarele programe să contribuie la generarea de inovații deschizătoare de drumuri care să poată capta și crea noi piețe. </w:t>
      </w:r>
    </w:p>
    <w:p>
      <w:pPr>
        <w:spacing w:after="120" w:line="240" w:lineRule="auto"/>
        <w:jc w:val="both"/>
        <w:rPr>
          <w:rFonts w:ascii="Times New Roman" w:hAnsi="Times New Roman"/>
          <w:noProof/>
        </w:rPr>
      </w:pPr>
      <w:r>
        <w:rPr>
          <w:rFonts w:ascii="Times New Roman" w:hAnsi="Times New Roman"/>
          <w:noProof/>
        </w:rPr>
        <w:t xml:space="preserve">Pe lângă luarea în considerare a nevoilor specifice ale IMM-urilor, cum ar fi accesul deschis și facilitat la instalații de experimentare și pilot, și în cooperare cu regiunile în ceea ce privește centrele de inovare, inițiativa privind </w:t>
      </w:r>
      <w:r>
        <w:rPr>
          <w:rFonts w:ascii="Times New Roman" w:hAnsi="Times New Roman"/>
          <w:b/>
          <w:noProof/>
        </w:rPr>
        <w:t>radarul de inovare</w:t>
      </w:r>
      <w:r>
        <w:rPr>
          <w:rFonts w:ascii="Times New Roman" w:hAnsi="Times New Roman"/>
          <w:noProof/>
        </w:rPr>
        <w:t xml:space="preserve"> facilitează identificarea mai rapid a inovațiilor finanțate prin programul Orizont 2020 care au un potențial de piață, precum și a echipelor aflate în spatele acestora (de exemplu IMM-uri, întreprinderi nou-înființate, </w:t>
      </w:r>
      <w:r>
        <w:rPr>
          <w:rFonts w:ascii="Times New Roman" w:hAnsi="Times New Roman"/>
          <w:i/>
          <w:noProof/>
        </w:rPr>
        <w:t>spin-off</w:t>
      </w:r>
      <w:r>
        <w:rPr>
          <w:rFonts w:ascii="Times New Roman" w:hAnsi="Times New Roman"/>
          <w:noProof/>
        </w:rPr>
        <w:t>-uri, universități).</w:t>
      </w:r>
    </w:p>
    <w:p>
      <w:pPr>
        <w:spacing w:after="120" w:line="240" w:lineRule="auto"/>
        <w:jc w:val="both"/>
        <w:rPr>
          <w:rFonts w:ascii="Times New Roman" w:hAnsi="Times New Roman" w:cs="Times New Roman"/>
          <w:noProof/>
        </w:rPr>
      </w:pPr>
      <w:r>
        <w:rPr>
          <w:rFonts w:ascii="Times New Roman" w:hAnsi="Times New Roman"/>
          <w:b/>
          <w:noProof/>
        </w:rPr>
        <w:t xml:space="preserve">Institutul European de Inovare și Tehnologie </w:t>
      </w:r>
      <w:r>
        <w:rPr>
          <w:rFonts w:ascii="Times New Roman" w:hAnsi="Times New Roman"/>
          <w:noProof/>
        </w:rPr>
        <w:t>(EIT) a înființat platforme paneuropene de accelerare pentru întreprinderile inovatoare. În plus, EIT va analiza crearea de scheme pentru investiții directe în extinderea întreprinderilor inovatoare existente, prin atragerea de investiții suplimentare din surse publice și private și din instrumentele existente.</w:t>
      </w:r>
    </w:p>
    <w:p>
      <w:pPr>
        <w:snapToGrid w:val="0"/>
        <w:spacing w:after="120" w:line="240" w:lineRule="auto"/>
        <w:jc w:val="both"/>
        <w:rPr>
          <w:rFonts w:ascii="Times New Roman" w:eastAsiaTheme="minorHAnsi" w:hAnsi="Times New Roman" w:cs="Times New Roman"/>
          <w:noProof/>
        </w:rPr>
      </w:pPr>
      <w:r>
        <w:rPr>
          <w:rFonts w:ascii="Times New Roman" w:eastAsiaTheme="minorHAnsi" w:hAnsi="Times New Roman"/>
          <w:noProof/>
        </w:rPr>
        <w:t>De asemenea, pentru întreprinderile nou-înființate și pentru întreprinderile în curs de extindere (și, la scară mai largă, pentru IMM-urile) care își doresc acest lucru, este prea dificil să protejeze și să valorifice drepturile de proprietate intelectuală (</w:t>
      </w:r>
      <w:r>
        <w:rPr>
          <w:rFonts w:ascii="Times New Roman" w:eastAsiaTheme="minorHAnsi" w:hAnsi="Times New Roman"/>
          <w:b/>
          <w:noProof/>
        </w:rPr>
        <w:t>DPI</w:t>
      </w:r>
      <w:r>
        <w:rPr>
          <w:rFonts w:ascii="Times New Roman" w:eastAsiaTheme="minorHAnsi" w:hAnsi="Times New Roman"/>
          <w:noProof/>
        </w:rPr>
        <w:t>), din cauza lipsei informațiilor precise și a expertizei privind modul de utilizare a DPI în mod strategic, ca vehicule de investiții/de creștere, a costurilor de sistem relativ ridicate, a dificultății de a evalua DPI</w:t>
      </w:r>
      <w:r>
        <w:rPr>
          <w:rStyle w:val="FootnoteReference"/>
          <w:rFonts w:ascii="Times New Roman" w:eastAsiaTheme="minorHAnsi" w:hAnsi="Times New Roman"/>
          <w:noProof/>
        </w:rPr>
        <w:t xml:space="preserve"> </w:t>
      </w:r>
      <w:r>
        <w:rPr>
          <w:rStyle w:val="FootnoteReference"/>
          <w:rFonts w:ascii="Times New Roman" w:eastAsiaTheme="minorHAnsi" w:hAnsi="Times New Roman"/>
          <w:noProof/>
        </w:rPr>
        <w:footnoteReference w:id="41"/>
      </w:r>
      <w:r>
        <w:rPr>
          <w:rFonts w:ascii="Times New Roman" w:eastAsiaTheme="minorHAnsi" w:hAnsi="Times New Roman"/>
          <w:noProof/>
        </w:rPr>
        <w:t xml:space="preserve"> și a costurilor de executare ridicate.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Doar 9 % din întreprinderile mici din UE utilizează proprietatea intelectuală (PI) înregistrată și chiar mai puține utilizează drepturile cu acoperire la nivelul întregii UE (3 % înregistrează mărci UE)</w:t>
      </w:r>
      <w:r>
        <w:rPr>
          <w:rStyle w:val="FootnoteReference"/>
          <w:rFonts w:ascii="Times New Roman" w:eastAsiaTheme="minorHAnsi" w:hAnsi="Times New Roman"/>
          <w:noProof/>
        </w:rPr>
        <w:footnoteReference w:id="42"/>
      </w:r>
      <w:r>
        <w:rPr>
          <w:rFonts w:ascii="Times New Roman" w:eastAsiaTheme="minorHAnsi" w:hAnsi="Times New Roman"/>
          <w:noProof/>
        </w:rPr>
        <w:t>. Acest fapt le împiedică adesea să profite de beneficiile cu potențial ridicat ale eforturilor lor în materie de inovare. Comparativ cu întreprinderile similare, IMM-urile care utilizează în mod activ PI generează un venit cu 32 % mai mare per angajat, ceea ce le permite să ofere salarii mai atrăgătoare și să își crească mai rapid forța de muncă. Prin urmare, PI este esențială pentru procesul de extindere a întreprinderilor mici inovatoare.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În fine, inovatorii și, în special, întreprinderile nou-înființate întâmpină adesea obstacole de reglementare sau incertitudini cu privire la introducerea inovațiilor lor pe piață. Ca parte a Agendei sale privind o mai bună legiferare, Comisia ia în considerare potențialul impact asupra inovării al actualului și al noului regulament</w:t>
      </w:r>
      <w:r>
        <w:rPr>
          <w:rStyle w:val="FootnoteReference"/>
          <w:rFonts w:ascii="Times New Roman" w:eastAsiaTheme="minorHAnsi" w:hAnsi="Times New Roman"/>
          <w:noProof/>
        </w:rPr>
        <w:footnoteReference w:id="43"/>
      </w:r>
      <w:r>
        <w:rPr>
          <w:rFonts w:ascii="Times New Roman" w:eastAsiaTheme="minorHAnsi" w:hAnsi="Times New Roman"/>
          <w:noProof/>
        </w:rPr>
        <w:t>, în conformitate cu „principiul inovării”</w:t>
      </w:r>
      <w:r>
        <w:rPr>
          <w:rStyle w:val="FootnoteReference"/>
          <w:rFonts w:ascii="Times New Roman" w:eastAsiaTheme="minorHAnsi" w:hAnsi="Times New Roman"/>
          <w:noProof/>
        </w:rPr>
        <w:footnoteReference w:id="44"/>
      </w:r>
      <w:r>
        <w:rPr>
          <w:rFonts w:ascii="Times New Roman" w:eastAsiaTheme="minorHAnsi" w:hAnsi="Times New Roman"/>
          <w:noProof/>
        </w:rPr>
        <w:t xml:space="preserve"> solicitat de Consiliu.</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jc w:val="both"/>
        <w:rPr>
          <w:rFonts w:ascii="Times New Roman" w:hAnsi="Times New Roman" w:cs="Times New Roman"/>
          <w:b/>
          <w:i/>
          <w:noProof/>
        </w:rPr>
      </w:pPr>
      <w:r>
        <w:rPr>
          <w:rFonts w:ascii="Times New Roman" w:hAnsi="Times New Roman"/>
          <w:b/>
          <w:i/>
          <w:noProof/>
        </w:rPr>
        <w:t>Alte acțiuni:</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noProof/>
        </w:rPr>
      </w:pPr>
      <w:r>
        <w:rPr>
          <w:rFonts w:ascii="Times New Roman" w:hAnsi="Times New Roman"/>
          <w:i/>
          <w:noProof/>
        </w:rPr>
        <w:t>-</w:t>
      </w:r>
      <w:r>
        <w:rPr>
          <w:noProof/>
        </w:rPr>
        <w:tab/>
      </w:r>
      <w:r>
        <w:rPr>
          <w:rFonts w:ascii="Times New Roman" w:hAnsi="Times New Roman"/>
          <w:i/>
          <w:noProof/>
        </w:rPr>
        <w:t xml:space="preserve">Pentru </w:t>
      </w:r>
      <w:r>
        <w:rPr>
          <w:rFonts w:ascii="Times New Roman" w:hAnsi="Times New Roman"/>
          <w:b/>
          <w:i/>
          <w:noProof/>
        </w:rPr>
        <w:t>a îmbunătăți sprijinul acordat inovării</w:t>
      </w:r>
      <w:r>
        <w:rPr>
          <w:rFonts w:ascii="Times New Roman" w:hAnsi="Times New Roman"/>
          <w:i/>
          <w:noProof/>
        </w:rPr>
        <w:t xml:space="preserve">, Comisia intenționează să aducă modificări pentru perioada rămasă din programul Orizont 2020, în vederea furnizării unui sprijin ascendent, destinat proiectelor inovatoare și deschizătoare de drumuri cu potențial de extindere, și va avea în vedere consolidarea acestei abordări pe viitor prin intermediul unui </w:t>
      </w:r>
      <w:r>
        <w:rPr>
          <w:rFonts w:ascii="Times New Roman" w:hAnsi="Times New Roman"/>
          <w:b/>
          <w:i/>
          <w:noProof/>
        </w:rPr>
        <w:t>Consiliu european pentru inovare</w:t>
      </w:r>
      <w:r>
        <w:rPr>
          <w:rStyle w:val="FootnoteReference"/>
          <w:rFonts w:ascii="Times New Roman" w:hAnsi="Times New Roman"/>
          <w:b/>
          <w:i/>
          <w:noProof/>
        </w:rPr>
        <w:footnoteReference w:id="45"/>
      </w:r>
      <w:r>
        <w:rPr>
          <w:rFonts w:ascii="Times New Roman" w:hAnsi="Times New Roman"/>
          <w:i/>
          <w:noProof/>
        </w:rPr>
        <w:t>.</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noProof/>
        </w:rPr>
      </w:pPr>
      <w:r>
        <w:rPr>
          <w:rFonts w:ascii="Times New Roman" w:hAnsi="Times New Roman"/>
          <w:i/>
          <w:noProof/>
        </w:rPr>
        <w:t>-</w:t>
      </w:r>
      <w:r>
        <w:rPr>
          <w:noProof/>
        </w:rPr>
        <w:tab/>
      </w:r>
      <w:r>
        <w:rPr>
          <w:rFonts w:ascii="Times New Roman" w:hAnsi="Times New Roman"/>
          <w:i/>
          <w:noProof/>
        </w:rPr>
        <w:t xml:space="preserve">Comisia va utiliza </w:t>
      </w:r>
      <w:r>
        <w:rPr>
          <w:rFonts w:ascii="Times New Roman" w:hAnsi="Times New Roman"/>
          <w:b/>
          <w:i/>
          <w:noProof/>
        </w:rPr>
        <w:t>radarul de inovare</w:t>
      </w:r>
      <w:r>
        <w:rPr>
          <w:rFonts w:ascii="Times New Roman" w:hAnsi="Times New Roman"/>
          <w:i/>
          <w:noProof/>
        </w:rPr>
        <w:t xml:space="preserve"> pentru a conecta potențialii parteneri comerciali și investitori cu inovatorii finanțați prin programul Orizont 2020, pentru a susține extinderea acestora.</w:t>
      </w:r>
      <w:r>
        <w:rPr>
          <w:noProof/>
        </w:rPr>
        <w:t xml:space="preserve"> </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i/>
          <w:noProof/>
        </w:rPr>
      </w:pPr>
      <w:r>
        <w:rPr>
          <w:rFonts w:ascii="Times New Roman" w:eastAsiaTheme="minorHAnsi" w:hAnsi="Times New Roman"/>
          <w:i/>
          <w:noProof/>
        </w:rPr>
        <w:t>-</w:t>
      </w:r>
      <w:r>
        <w:rPr>
          <w:noProof/>
        </w:rPr>
        <w:tab/>
      </w:r>
      <w:r>
        <w:rPr>
          <w:rFonts w:ascii="Times New Roman" w:eastAsiaTheme="minorHAnsi" w:hAnsi="Times New Roman"/>
          <w:i/>
          <w:noProof/>
        </w:rPr>
        <w:t xml:space="preserve">Comisia va efectua o evaluare a sistemului de </w:t>
      </w:r>
      <w:r>
        <w:rPr>
          <w:rFonts w:ascii="Times New Roman" w:eastAsiaTheme="minorHAnsi" w:hAnsi="Times New Roman"/>
          <w:b/>
          <w:i/>
          <w:noProof/>
        </w:rPr>
        <w:t>acorduri pentru inovare</w:t>
      </w:r>
      <w:r>
        <w:rPr>
          <w:rFonts w:ascii="Times New Roman" w:eastAsiaTheme="minorHAnsi" w:hAnsi="Times New Roman"/>
          <w:i/>
          <w:noProof/>
        </w:rPr>
        <w:t>, permițând inovatorilor să colaboreze cu autoritățile publice și cu alte părți interesate pentru a identifica modalități de eliminare a obstacolelor de reglementare percepute și, în cazul unui succes, să extindă demersul la alte domenii relevante. În acest context, Comisia va analiza, de asemenea, posibilitatea unui cadru favorabil pentru așa-numitele „</w:t>
      </w:r>
      <w:r>
        <w:rPr>
          <w:rFonts w:ascii="Times New Roman" w:eastAsiaTheme="minorHAnsi" w:hAnsi="Times New Roman"/>
          <w:b/>
          <w:i/>
          <w:noProof/>
        </w:rPr>
        <w:t>regulatory sandboxes</w:t>
      </w:r>
      <w:r>
        <w:rPr>
          <w:rFonts w:ascii="Times New Roman" w:eastAsiaTheme="minorHAnsi" w:hAnsi="Times New Roman"/>
          <w:i/>
          <w:noProof/>
        </w:rPr>
        <w:t>” (medii de testare în materie de reglementare).</w:t>
      </w:r>
      <w:r>
        <w:rPr>
          <w:rFonts w:ascii="Times New Roman" w:eastAsiaTheme="minorHAnsi" w:hAnsi="Times New Roman"/>
          <w:b/>
          <w:i/>
          <w:noProof/>
        </w:rPr>
        <w:t xml:space="preserve"> </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noProof/>
        </w:rPr>
      </w:pPr>
      <w:r>
        <w:rPr>
          <w:rFonts w:ascii="Times New Roman" w:hAnsi="Times New Roman"/>
          <w:i/>
          <w:noProof/>
        </w:rPr>
        <w:t>-</w:t>
      </w:r>
      <w:r>
        <w:rPr>
          <w:noProof/>
        </w:rPr>
        <w:tab/>
      </w:r>
      <w:r>
        <w:rPr>
          <w:rFonts w:ascii="Times New Roman" w:eastAsiaTheme="minorHAnsi" w:hAnsi="Times New Roman"/>
          <w:i/>
          <w:noProof/>
        </w:rPr>
        <w:t xml:space="preserve">În perioada 2017-2018, Comisia intenționează să adopte o serie de măsuri pentru </w:t>
      </w:r>
      <w:r>
        <w:rPr>
          <w:rFonts w:ascii="Times New Roman" w:eastAsiaTheme="minorHAnsi" w:hAnsi="Times New Roman"/>
          <w:b/>
          <w:i/>
          <w:noProof/>
        </w:rPr>
        <w:t>a sprijini utilizarea DPI de către IMM-uri</w:t>
      </w:r>
      <w:r>
        <w:rPr>
          <w:rStyle w:val="FootnoteReference"/>
          <w:rFonts w:ascii="Times New Roman" w:eastAsiaTheme="minorHAnsi" w:hAnsi="Times New Roman"/>
          <w:b/>
          <w:i/>
          <w:noProof/>
        </w:rPr>
        <w:footnoteReference w:id="46"/>
      </w:r>
      <w:r>
        <w:rPr>
          <w:rFonts w:ascii="Times New Roman" w:eastAsiaTheme="minorHAnsi" w:hAnsi="Times New Roman"/>
          <w:i/>
          <w:noProof/>
        </w:rPr>
        <w:t>, și anume (i) optimizarea acțiunilor de sensibilizare cu privire la sistemele de sprijin existente pentru PI aflate la dispoziția IMM-urilor; (ii) dezvoltarea unei rețele de mediere și de arbitraj la nivelul UE cu privire la PI pentru IMM-uri; (iii) încurajarea creării de sisteme de asigurări la nivel european pentru litigii și pentru furtul de PI; (iv) îmbunătățirea coordonării sistemelor de finanțare pentru sprijinirea PI, inclusiv prin intermediul unor posibile orientări pentru statele membre</w:t>
      </w:r>
      <w:r>
        <w:rPr>
          <w:rStyle w:val="FootnoteReference"/>
          <w:rFonts w:ascii="Times New Roman" w:eastAsiaTheme="minorHAnsi" w:hAnsi="Times New Roman"/>
          <w:i/>
          <w:noProof/>
        </w:rPr>
        <w:footnoteReference w:id="47"/>
      </w:r>
      <w:r>
        <w:rPr>
          <w:rFonts w:ascii="Times New Roman" w:eastAsiaTheme="minorHAnsi" w:hAnsi="Times New Roman"/>
          <w:i/>
          <w:noProof/>
        </w:rPr>
        <w:t>.</w:t>
      </w:r>
    </w:p>
    <w:p>
      <w:pPr>
        <w:pStyle w:val="Heading3"/>
        <w:rPr>
          <w:noProof/>
        </w:rPr>
      </w:pPr>
    </w:p>
    <w:p>
      <w:pPr>
        <w:pStyle w:val="Heading3"/>
        <w:keepNext/>
        <w:rPr>
          <w:noProof/>
        </w:rPr>
      </w:pPr>
      <w:r>
        <w:rPr>
          <w:noProof/>
        </w:rPr>
        <w:t>3.5</w:t>
      </w:r>
      <w:r>
        <w:rPr>
          <w:noProof/>
        </w:rPr>
        <w:tab/>
        <w:t>Economia socială și întreprinderile sociale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La nivel global, există un interes în creștere față de inovarea socială, ca modalitate de creștere durabilă, de exemplu comerțul echitabil, învățarea la distanță, transferul de bani mobili, integrarea migranților și locuințele fără emisii.</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Întreprinderile sociale nou-înființate</w:t>
      </w:r>
      <w:r>
        <w:rPr>
          <w:rStyle w:val="FootnoteReference"/>
          <w:rFonts w:ascii="Times New Roman" w:eastAsiaTheme="minorHAnsi" w:hAnsi="Times New Roman"/>
          <w:noProof/>
        </w:rPr>
        <w:footnoteReference w:id="48"/>
      </w:r>
      <w:r>
        <w:rPr>
          <w:rFonts w:ascii="Times New Roman" w:eastAsiaTheme="minorHAnsi" w:hAnsi="Times New Roman"/>
          <w:noProof/>
        </w:rPr>
        <w:t xml:space="preserve"> au, așadar, un potențial de inovare ridicat și un impact pozitiv în cadrul economiei și al societății în ansamblu</w:t>
      </w:r>
      <w:r>
        <w:rPr>
          <w:rStyle w:val="FootnoteReference"/>
          <w:rFonts w:ascii="Times New Roman" w:eastAsiaTheme="minorHAnsi" w:hAnsi="Times New Roman"/>
          <w:noProof/>
        </w:rPr>
        <w:footnoteReference w:id="49"/>
      </w:r>
      <w:r>
        <w:rPr>
          <w:noProof/>
        </w:rPr>
        <w:t>.</w:t>
      </w:r>
      <w:r>
        <w:rPr>
          <w:rFonts w:ascii="Times New Roman" w:eastAsiaTheme="minorHAnsi" w:hAnsi="Times New Roman"/>
          <w:noProof/>
        </w:rPr>
        <w:t xml:space="preserve"> Modelul lor de afaceri — care combină eficiența economică cu obiective societale</w:t>
      </w:r>
      <w:r>
        <w:rPr>
          <w:rStyle w:val="FootnoteReference"/>
          <w:rFonts w:ascii="Times New Roman" w:eastAsiaTheme="minorHAnsi" w:hAnsi="Times New Roman"/>
          <w:noProof/>
        </w:rPr>
        <w:footnoteReference w:id="50"/>
      </w:r>
      <w:r>
        <w:rPr>
          <w:rFonts w:ascii="Times New Roman" w:eastAsiaTheme="minorHAnsi" w:hAnsi="Times New Roman"/>
          <w:noProof/>
        </w:rPr>
        <w:t xml:space="preserve"> — s-a dovedit a fi foarte rezilient</w:t>
      </w:r>
      <w:r>
        <w:rPr>
          <w:rStyle w:val="FootnoteReference"/>
          <w:rFonts w:ascii="Times New Roman" w:eastAsiaTheme="minorHAnsi" w:hAnsi="Times New Roman"/>
          <w:noProof/>
        </w:rPr>
        <w:footnoteReference w:id="51"/>
      </w:r>
      <w:r>
        <w:rPr>
          <w:noProof/>
        </w:rPr>
        <w:t>.</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Perspectivele pentru astfel de întreprinderi nou-înființate sunt bune, datorită cererii tot mai mari de inovare socială și apariției de noi tehnologii și platforme de colaborare. În plus, multe au potențial de extindere a unor modele de afaceri dovedite, care ar putea fi reproduse în alte regiuni. Totuși, acestor întreprinderi încă li se pare dificilă asigurarea finanțării și a sprijinului, în special din cauza următorilor factori:</w:t>
      </w:r>
    </w:p>
    <w:p>
      <w:pPr>
        <w:numPr>
          <w:ilvl w:val="0"/>
          <w:numId w:val="18"/>
        </w:numPr>
        <w:spacing w:after="120" w:line="240" w:lineRule="auto"/>
        <w:contextualSpacing/>
        <w:jc w:val="both"/>
        <w:rPr>
          <w:rFonts w:ascii="Times New Roman" w:eastAsiaTheme="minorHAnsi" w:hAnsi="Times New Roman" w:cs="Times New Roman"/>
          <w:b/>
          <w:noProof/>
        </w:rPr>
      </w:pPr>
      <w:r>
        <w:rPr>
          <w:rFonts w:ascii="Times New Roman" w:eastAsiaTheme="minorHAnsi" w:hAnsi="Times New Roman"/>
          <w:noProof/>
        </w:rPr>
        <w:t>lipsa recunoașterii și a înțelegerii potențialului lor economic;</w:t>
      </w:r>
    </w:p>
    <w:p>
      <w:pPr>
        <w:numPr>
          <w:ilvl w:val="0"/>
          <w:numId w:val="18"/>
        </w:numPr>
        <w:spacing w:after="120" w:line="240" w:lineRule="auto"/>
        <w:contextualSpacing/>
        <w:jc w:val="both"/>
        <w:rPr>
          <w:rFonts w:ascii="Times New Roman" w:eastAsiaTheme="minorHAnsi" w:hAnsi="Times New Roman" w:cs="Times New Roman"/>
          <w:b/>
          <w:noProof/>
        </w:rPr>
      </w:pPr>
      <w:r>
        <w:rPr>
          <w:rFonts w:ascii="Times New Roman" w:eastAsiaTheme="minorHAnsi" w:hAnsi="Times New Roman"/>
          <w:noProof/>
        </w:rPr>
        <w:t>exploatarea insuficientă a tehnologiilor moderne. </w:t>
      </w:r>
    </w:p>
    <w:p>
      <w:pPr>
        <w:spacing w:after="120" w:line="240" w:lineRule="auto"/>
        <w:contextualSpacing/>
        <w:jc w:val="both"/>
        <w:rPr>
          <w:rFonts w:ascii="Times New Roman" w:eastAsiaTheme="minorHAnsi" w:hAnsi="Times New Roman" w:cs="Times New Roman"/>
          <w:b/>
          <w:noProof/>
        </w:rPr>
      </w:pPr>
    </w:p>
    <w:p>
      <w:pPr>
        <w:spacing w:after="120" w:line="240" w:lineRule="auto"/>
        <w:contextualSpacing/>
        <w:jc w:val="both"/>
        <w:rPr>
          <w:rFonts w:ascii="Times New Roman" w:hAnsi="Times New Roman"/>
          <w:noProof/>
        </w:rPr>
      </w:pPr>
      <w:r>
        <w:rPr>
          <w:rFonts w:ascii="Times New Roman" w:hAnsi="Times New Roman"/>
          <w:noProof/>
        </w:rPr>
        <w:t>Mai mult, Comisia a lansat, alături de Fondul european de investiții, noi instrumente financiare destinate să încurajeze acordarea de împrumuturi întreprinderilor sociale, precum și noi instrumente de capitaluri proprii cu impact social în cadrul Fondului european pentru investiții strategice.</w:t>
      </w:r>
    </w:p>
    <w:p>
      <w:pPr>
        <w:pBdr>
          <w:top w:val="single" w:sz="4" w:space="1" w:color="auto"/>
          <w:left w:val="single" w:sz="4" w:space="4" w:color="auto"/>
          <w:bottom w:val="single" w:sz="4" w:space="1" w:color="auto"/>
          <w:right w:val="single" w:sz="4" w:space="4" w:color="auto"/>
        </w:pBdr>
        <w:shd w:val="pct10" w:color="auto" w:fill="auto"/>
        <w:spacing w:after="120" w:line="240" w:lineRule="auto"/>
        <w:jc w:val="both"/>
        <w:rPr>
          <w:rFonts w:ascii="Times New Roman" w:hAnsi="Times New Roman" w:cs="Times New Roman"/>
          <w:b/>
          <w:i/>
          <w:noProof/>
        </w:rPr>
      </w:pPr>
      <w:r>
        <w:rPr>
          <w:rFonts w:ascii="Times New Roman" w:hAnsi="Times New Roman"/>
          <w:b/>
          <w:i/>
          <w:noProof/>
        </w:rPr>
        <w:t>Alte acțiuni:</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i/>
          <w:noProof/>
        </w:rPr>
      </w:pPr>
      <w:r>
        <w:rPr>
          <w:rFonts w:ascii="Times New Roman" w:hAnsi="Times New Roman"/>
          <w:i/>
          <w:noProof/>
        </w:rPr>
        <w:t>-</w:t>
      </w:r>
      <w:r>
        <w:rPr>
          <w:noProof/>
        </w:rPr>
        <w:tab/>
      </w:r>
      <w:r>
        <w:rPr>
          <w:rFonts w:ascii="Times New Roman" w:hAnsi="Times New Roman"/>
          <w:i/>
          <w:noProof/>
        </w:rPr>
        <w:t xml:space="preserve">Pe baza inițiativei pentru antreprenoriatul social, Comisia va încuraja întreprinderile sociale nou-înființate </w:t>
      </w:r>
      <w:r>
        <w:rPr>
          <w:rFonts w:ascii="Times New Roman" w:hAnsi="Times New Roman"/>
          <w:b/>
          <w:i/>
          <w:noProof/>
        </w:rPr>
        <w:t>să se extindă</w:t>
      </w:r>
      <w:r>
        <w:rPr>
          <w:rFonts w:ascii="Times New Roman" w:hAnsi="Times New Roman"/>
          <w:i/>
          <w:noProof/>
        </w:rPr>
        <w:t>, inclusiv prin măsuri care pun accentul pe un acces mai bun la finanțare, pe un acces ameliorat la piețe și pe consolidarea cadrelor de reglementare prin consilierea statelor membre cu privire la elaborarea politicilor.</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i/>
          <w:noProof/>
        </w:rPr>
      </w:pPr>
      <w:r>
        <w:rPr>
          <w:rFonts w:ascii="Times New Roman" w:hAnsi="Times New Roman"/>
          <w:i/>
          <w:noProof/>
        </w:rPr>
        <w:t>-</w:t>
      </w:r>
      <w:r>
        <w:rPr>
          <w:noProof/>
        </w:rPr>
        <w:tab/>
      </w:r>
      <w:r>
        <w:rPr>
          <w:rFonts w:ascii="Times New Roman" w:hAnsi="Times New Roman"/>
          <w:i/>
          <w:noProof/>
        </w:rPr>
        <w:t>De asemenea, Comisia va analiza măsuri care să faciliteze adoptarea de noi tehnologii și utilizarea de noi modele de afaceri</w:t>
      </w:r>
      <w:r>
        <w:rPr>
          <w:rStyle w:val="FootnoteReference"/>
          <w:rFonts w:ascii="Times New Roman" w:eastAsiaTheme="minorHAnsi" w:hAnsi="Times New Roman"/>
          <w:i/>
          <w:noProof/>
        </w:rPr>
        <w:footnoteReference w:id="52"/>
      </w:r>
      <w:r>
        <w:rPr>
          <w:rFonts w:ascii="Times New Roman" w:hAnsi="Times New Roman"/>
          <w:i/>
          <w:noProof/>
        </w:rPr>
        <w:t xml:space="preserve"> și care să sprijine finanțarea impactului economiei sociale și al întreprinderilor sociale prin intermediul politicilor UE de dezvoltare/vecinătate și al forumurilor internaționale (de exemplu, platforma G20 pentru întreprinderile favorabile incluziunii)</w:t>
      </w:r>
      <w:r>
        <w:rPr>
          <w:rStyle w:val="FootnoteReference"/>
          <w:rFonts w:ascii="Times New Roman" w:eastAsiaTheme="minorHAnsi" w:hAnsi="Times New Roman"/>
          <w:i/>
          <w:noProof/>
        </w:rPr>
        <w:footnoteReference w:id="53"/>
      </w:r>
      <w:r>
        <w:rPr>
          <w:rFonts w:ascii="Times New Roman" w:hAnsi="Times New Roman"/>
          <w:i/>
          <w:noProof/>
        </w:rPr>
        <w:t>.</w:t>
      </w:r>
    </w:p>
    <w:p>
      <w:pPr>
        <w:spacing w:after="120" w:line="240" w:lineRule="auto"/>
        <w:jc w:val="both"/>
        <w:rPr>
          <w:rFonts w:ascii="Times New Roman" w:eastAsiaTheme="minorHAnsi" w:hAnsi="Times New Roman" w:cs="Times New Roman"/>
          <w:b/>
          <w:noProof/>
        </w:rPr>
      </w:pPr>
    </w:p>
    <w:p>
      <w:pPr>
        <w:pStyle w:val="Heading2"/>
        <w:rPr>
          <w:smallCaps/>
          <w:noProof/>
        </w:rPr>
      </w:pPr>
      <w:r>
        <w:rPr>
          <w:noProof/>
        </w:rPr>
        <w:t xml:space="preserve">4. </w:t>
      </w:r>
      <w:r>
        <w:rPr>
          <w:smallCaps/>
          <w:noProof/>
        </w:rPr>
        <w:t>Accesul la finanțare</w:t>
      </w:r>
    </w:p>
    <w:p>
      <w:pPr>
        <w:spacing w:after="120" w:line="240" w:lineRule="auto"/>
        <w:jc w:val="both"/>
        <w:rPr>
          <w:rFonts w:ascii="Times New Roman" w:hAnsi="Times New Roman" w:cs="Times New Roman"/>
          <w:noProof/>
        </w:rPr>
      </w:pPr>
      <w:r>
        <w:rPr>
          <w:rFonts w:ascii="Times New Roman" w:hAnsi="Times New Roman"/>
          <w:noProof/>
        </w:rPr>
        <w:t xml:space="preserve">Eliminarea și simplificarea reglementărilor, precum și creșterea oportunităților de corelare, de acces la contracte publice și de recrutare eficace vor ajuta întreprinderile nou-înființate să se extindă și să creeze locuri de muncă durabile. </w:t>
      </w:r>
      <w:r>
        <w:rPr>
          <w:rFonts w:ascii="Times New Roman" w:hAnsi="Times New Roman"/>
          <w:b/>
          <w:noProof/>
        </w:rPr>
        <w:t xml:space="preserve">Accesul la finanțare </w:t>
      </w:r>
      <w:r>
        <w:rPr>
          <w:rFonts w:ascii="Times New Roman" w:hAnsi="Times New Roman"/>
          <w:noProof/>
        </w:rPr>
        <w:t xml:space="preserve">este un obstacol-cheie care trebuie eliminat. </w:t>
      </w:r>
    </w:p>
    <w:p>
      <w:pPr>
        <w:spacing w:after="120" w:line="240" w:lineRule="auto"/>
        <w:jc w:val="both"/>
        <w:rPr>
          <w:rFonts w:ascii="Times New Roman" w:hAnsi="Times New Roman" w:cs="Times New Roman"/>
          <w:noProof/>
        </w:rPr>
      </w:pPr>
      <w:r>
        <w:rPr>
          <w:rFonts w:ascii="Times New Roman" w:hAnsi="Times New Roman"/>
          <w:noProof/>
        </w:rPr>
        <w:t>Deși problemele cu care se confruntă întreprinderile din UE în faza de demarare nu sunt mai mari decât cele din SUA, dovezile științifice și consultarea publică confirmă faptul că există diferențe substanțiale în cursul fazei de extindere. Acest lucru este cauzat, în parte, de volumul finanțării disponibile pentru investițiile cu capital de risc: se estimează că, în 2014, doar aproximativ 5 miliarde EUR erau disponibile în UE, comparativ cu peste 26 de miliarde EUR în SUA</w:t>
      </w:r>
      <w:r>
        <w:rPr>
          <w:rStyle w:val="FootnoteReference"/>
          <w:rFonts w:ascii="Times New Roman" w:hAnsi="Times New Roman"/>
          <w:noProof/>
        </w:rPr>
        <w:footnoteReference w:id="54"/>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 xml:space="preserve">În plus, </w:t>
      </w:r>
      <w:r>
        <w:rPr>
          <w:rFonts w:ascii="Times New Roman" w:hAnsi="Times New Roman"/>
          <w:b/>
          <w:noProof/>
        </w:rPr>
        <w:t>fondurile europene cu capital de risc</w:t>
      </w:r>
      <w:r>
        <w:rPr>
          <w:rFonts w:ascii="Times New Roman" w:hAnsi="Times New Roman"/>
          <w:noProof/>
        </w:rPr>
        <w:t xml:space="preserve"> sunt în medie mai mici</w:t>
      </w:r>
      <w:r>
        <w:rPr>
          <w:rStyle w:val="FootnoteReference"/>
          <w:rFonts w:ascii="Times New Roman" w:hAnsi="Times New Roman"/>
          <w:noProof/>
        </w:rPr>
        <w:footnoteReference w:id="55"/>
      </w:r>
      <w:r>
        <w:rPr>
          <w:rFonts w:ascii="Times New Roman" w:hAnsi="Times New Roman"/>
          <w:noProof/>
        </w:rPr>
        <w:t xml:space="preserve"> și nu pot ajuta suficient întreprinderile să crească de la stadiul de întreprinderi nou-înființate la stadiul de întreprinderi cu capitalizare medie și la stadiul de actori la nivel mondial. În perioada 2007-2012, valoarea medie a fondurilor europene cu capital de risc (la închiderea finală) a fost de 61 de milioane EUR, iar 50 % din aceste fonduri au fost mai mici de 27 de milioane EUR; valoarea medie a unui fond cu capital de risc din SUA a fost în 2014 de 135 de milioane USD</w:t>
      </w:r>
      <w:r>
        <w:rPr>
          <w:rStyle w:val="FootnoteReference"/>
          <w:rFonts w:ascii="Times New Roman" w:hAnsi="Times New Roman"/>
          <w:noProof/>
        </w:rPr>
        <w:footnoteReference w:id="56"/>
      </w:r>
      <w:r>
        <w:rPr>
          <w:noProof/>
        </w:rPr>
        <w:t>.</w:t>
      </w:r>
      <w:r>
        <w:rPr>
          <w:rFonts w:ascii="Times New Roman" w:hAnsi="Times New Roman"/>
          <w:noProof/>
        </w:rPr>
        <w:t xml:space="preserve"> Aceasta este o problemă specifică pentru întreprinderile în curs de extindere, având în vedere că fondurile tind să se reducă în timp.</w:t>
      </w:r>
    </w:p>
    <w:p>
      <w:pPr>
        <w:spacing w:after="120" w:line="240" w:lineRule="auto"/>
        <w:jc w:val="both"/>
        <w:rPr>
          <w:rFonts w:ascii="Times New Roman" w:hAnsi="Times New Roman" w:cs="Times New Roman"/>
          <w:noProof/>
        </w:rPr>
      </w:pPr>
      <w:r>
        <w:rPr>
          <w:rFonts w:ascii="Times New Roman" w:hAnsi="Times New Roman"/>
          <w:noProof/>
        </w:rPr>
        <w:t xml:space="preserve">Pentru investitori este esențial să poată alege dintr-o gamă de </w:t>
      </w:r>
      <w:r>
        <w:rPr>
          <w:rFonts w:ascii="Times New Roman" w:hAnsi="Times New Roman"/>
          <w:b/>
          <w:noProof/>
        </w:rPr>
        <w:t>strategii de ieșire</w:t>
      </w:r>
      <w:r>
        <w:rPr>
          <w:rFonts w:ascii="Times New Roman" w:hAnsi="Times New Roman"/>
          <w:noProof/>
        </w:rPr>
        <w:t>. Aceștia trebuie să știe că își vor putea răscumpăra investiția, fie printr-o ofertă publică inițială, o vânzare comercială către o altă întreprindere, o vânzare către un fond cu capital de risc sau un fond de investiții în societăți necotate aflate într-un stadiu mai avansat, fie să o revândă fondatorului (fondatorilor) întreprinderii. Totuși, lipsa actuală de informații cu privire la posibilitățile de finanțare duce la nesiguranță și la investiții mai mici. De asemenea, cu cât finanțarea este disponibilă într-un stadiu mai avansat, cu atât crește probabilitatea ca investitorii din prima și din a doua rundă să investească.</w:t>
      </w:r>
    </w:p>
    <w:p>
      <w:pPr>
        <w:spacing w:after="120" w:line="240" w:lineRule="auto"/>
        <w:jc w:val="both"/>
        <w:rPr>
          <w:rFonts w:ascii="Times New Roman" w:hAnsi="Times New Roman" w:cs="Times New Roman"/>
          <w:noProof/>
        </w:rPr>
      </w:pPr>
      <w:r>
        <w:rPr>
          <w:rFonts w:ascii="Times New Roman" w:hAnsi="Times New Roman"/>
          <w:noProof/>
        </w:rPr>
        <w:t xml:space="preserve">În ceea ce privește accesarea </w:t>
      </w:r>
      <w:r>
        <w:rPr>
          <w:rFonts w:ascii="Times New Roman" w:hAnsi="Times New Roman"/>
          <w:b/>
          <w:noProof/>
        </w:rPr>
        <w:t>finanțării publice</w:t>
      </w:r>
      <w:r>
        <w:rPr>
          <w:rFonts w:ascii="Times New Roman" w:hAnsi="Times New Roman"/>
          <w:noProof/>
        </w:rPr>
        <w:t>, 85 % din respondenții la consultarea publică au solicitat sporirea coerenței și transparenței în ceea ce privește inițiativele de finanțare, precum și o mai bună vizare a întreprinderilor care ar putea deveni liderii de mâine.</w:t>
      </w:r>
    </w:p>
    <w:p>
      <w:pPr>
        <w:spacing w:after="120" w:line="240" w:lineRule="auto"/>
        <w:jc w:val="both"/>
        <w:rPr>
          <w:rFonts w:ascii="Times New Roman" w:eastAsiaTheme="minorHAnsi" w:hAnsi="Times New Roman" w:cs="Times New Roman"/>
          <w:noProof/>
        </w:rPr>
      </w:pPr>
      <w:r>
        <w:rPr>
          <w:rFonts w:ascii="Times New Roman" w:hAnsi="Times New Roman"/>
          <w:noProof/>
        </w:rPr>
        <w:t>Comisia abordează aceste probleme în cadrul mai multor politici. În cadrul revizuirii bugetului la jumătatea perioadei, Comisia a propus creșterea bugetului pentru FEIS</w:t>
      </w:r>
      <w:r>
        <w:rPr>
          <w:rStyle w:val="FootnoteReference"/>
          <w:rFonts w:ascii="Times New Roman" w:eastAsiaTheme="minorHAnsi" w:hAnsi="Times New Roman"/>
          <w:noProof/>
        </w:rPr>
        <w:footnoteReference w:id="57"/>
      </w:r>
      <w:r>
        <w:rPr>
          <w:rFonts w:ascii="Times New Roman" w:hAnsi="Times New Roman"/>
          <w:noProof/>
        </w:rPr>
        <w:t xml:space="preserve"> și COSME, consolidând instrumentele financiare existente și mobilizând finanțare suplimentară pentru IMM-urile aflate în fazele de demarare și de extindere.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Începând din 2010, Programul UE pentru ocuparea forței de muncă și inovare socială (EaSI) și predecesorul său au acordat microcredite în valoare de 1 miliard EUR pentru înființarea sau dezvoltarea unei întreprinderi mici, oferind sprijin pentru peste 100 000 de microantreprenori din întreaga Europă. </w:t>
      </w:r>
    </w:p>
    <w:p>
      <w:pPr>
        <w:spacing w:after="120" w:line="240" w:lineRule="auto"/>
        <w:jc w:val="both"/>
        <w:rPr>
          <w:rFonts w:ascii="Times New Roman" w:hAnsi="Times New Roman" w:cs="Times New Roman"/>
          <w:noProof/>
        </w:rPr>
      </w:pPr>
      <w:r>
        <w:rPr>
          <w:rFonts w:ascii="Times New Roman" w:eastAsiaTheme="minorHAnsi" w:hAnsi="Times New Roman"/>
          <w:noProof/>
        </w:rPr>
        <w:t xml:space="preserve">Va contribui, de asemenea, și </w:t>
      </w:r>
      <w:r>
        <w:rPr>
          <w:rFonts w:ascii="Times New Roman" w:eastAsiaTheme="minorHAnsi" w:hAnsi="Times New Roman"/>
          <w:b/>
          <w:noProof/>
        </w:rPr>
        <w:t>uniunea piețelor de capital</w:t>
      </w:r>
      <w:r>
        <w:rPr>
          <w:rFonts w:ascii="Times New Roman" w:eastAsiaTheme="minorHAnsi" w:hAnsi="Times New Roman"/>
          <w:noProof/>
        </w:rPr>
        <w:t>, lansată în 2015. Comisia avansează un pachet cuprinzător de măsuri pentru a sprijini capitalul de risc și finanțarea cu capital de risc în UE. Coroborată cu Strategia privind piața unică, ea propune crearea unui fond paneuropean de fonduri cu capital de risc pentru a face față dimensiunii reduse a fondurilor europene cu capital de risc și fragmentării acestora, pentru a atrage mai mult capital privat înapoi în capitalul de risc, pentru a permite mai multor IMM-uri să fie finanțate pe perioade mai îndelungate și pentru a diversifica finanțarea pentru întreprinderile nou-înființate, pentru inovare și pentru societățile necotate</w:t>
      </w:r>
      <w:r>
        <w:rPr>
          <w:rStyle w:val="FootnoteReference"/>
          <w:rFonts w:ascii="Times New Roman" w:eastAsiaTheme="minorHAnsi" w:hAnsi="Times New Roman"/>
          <w:noProof/>
        </w:rPr>
        <w:footnoteReference w:id="58"/>
      </w:r>
      <w:r>
        <w:rPr>
          <w:rFonts w:ascii="Times New Roman" w:eastAsiaTheme="minorHAnsi" w:hAnsi="Times New Roman"/>
          <w:noProof/>
        </w:rPr>
        <w:t xml:space="preserve">. În plus, în iulie 2016 Comisia a adoptat o propunere de modificare a regulamentelor privind fondurile europene cu capital de risc (EuVECA) și, după cum s-a menționat anterior, privind fondurile europene de antreprenoriat social (FEAS), pentru a facilita o mai mare finanțare transfrontalieră pentru IMM-uri. În completarea fondului paneuropean de fonduri cu capital de risc și a FEIS, Comisia va analiza potențiala valoare adăugată a unor </w:t>
      </w:r>
      <w:r>
        <w:rPr>
          <w:rFonts w:ascii="Times New Roman" w:eastAsiaTheme="minorHAnsi" w:hAnsi="Times New Roman"/>
          <w:b/>
          <w:noProof/>
        </w:rPr>
        <w:t>stimulente</w:t>
      </w:r>
      <w:r>
        <w:rPr>
          <w:rFonts w:ascii="Times New Roman" w:eastAsiaTheme="minorHAnsi" w:hAnsi="Times New Roman"/>
          <w:noProof/>
        </w:rPr>
        <w:t xml:space="preserve"> suplimentare</w:t>
      </w:r>
      <w:r>
        <w:rPr>
          <w:rFonts w:ascii="Times New Roman" w:eastAsiaTheme="minorHAnsi" w:hAnsi="Times New Roman"/>
          <w:b/>
          <w:noProof/>
        </w:rPr>
        <w:t xml:space="preserve"> pentru capitalul de risc</w:t>
      </w:r>
      <w:r>
        <w:rPr>
          <w:rFonts w:ascii="Times New Roman" w:eastAsiaTheme="minorHAnsi" w:hAnsi="Times New Roman"/>
          <w:noProof/>
        </w:rPr>
        <w:t>, de exemplu prin intermediul unor scheme care să permită fondurilor de investiții aflate în proprietate și gestiune privată să beneficieze de o garanție publică atunci când contractează datorii de finanțare pentru a face investiții în capitaluri proprii și investiții de tip credit în întreprinderi nou-înființate și în întreprinderi în curs de extindere.</w:t>
      </w:r>
    </w:p>
    <w:p>
      <w:pPr>
        <w:spacing w:after="120" w:line="240" w:lineRule="auto"/>
        <w:jc w:val="both"/>
        <w:rPr>
          <w:rFonts w:ascii="Times New Roman" w:hAnsi="Times New Roman"/>
          <w:noProof/>
        </w:rPr>
      </w:pPr>
      <w:r>
        <w:rPr>
          <w:rFonts w:ascii="Times New Roman" w:hAnsi="Times New Roman"/>
          <w:noProof/>
        </w:rPr>
        <w:t xml:space="preserve">De asemenea, Comisia va continua să monitorizeze </w:t>
      </w:r>
      <w:r>
        <w:rPr>
          <w:rFonts w:ascii="Times New Roman" w:hAnsi="Times New Roman"/>
          <w:b/>
          <w:noProof/>
        </w:rPr>
        <w:t>regimurile/stimulentele fiscale</w:t>
      </w:r>
      <w:r>
        <w:rPr>
          <w:rFonts w:ascii="Times New Roman" w:hAnsi="Times New Roman"/>
          <w:noProof/>
        </w:rPr>
        <w:t xml:space="preserve"> pentru investiții în întreprinderi nou-înființate/întreprinderi în curs de extindere și, pe baza abordărilor de succes implementate de statele membre și a rezultatelor studiului aflat în desfășurare privind eficacitatea stimulentelor fiscale pentru capitalul de risc și pentru investitorii providențiali în vederea atragerii unui volum mai mare de capital pe termen lung (</w:t>
      </w:r>
      <w:r>
        <w:rPr>
          <w:rFonts w:ascii="Times New Roman" w:hAnsi="Times New Roman"/>
          <w:i/>
          <w:noProof/>
        </w:rPr>
        <w:t>patient capital</w:t>
      </w:r>
      <w:r>
        <w:rPr>
          <w:rFonts w:ascii="Times New Roman" w:hAnsi="Times New Roman"/>
          <w:noProof/>
        </w:rPr>
        <w:t xml:space="preserve">), va analiza și alte moduri de a sprijini statele membre în procesul de elaborare a politicilor. </w:t>
      </w:r>
    </w:p>
    <w:p>
      <w:pPr>
        <w:spacing w:after="120" w:line="240" w:lineRule="auto"/>
        <w:jc w:val="both"/>
        <w:rPr>
          <w:rFonts w:ascii="Times New Roman" w:hAnsi="Times New Roman"/>
          <w:noProof/>
        </w:rPr>
      </w:pPr>
      <w:r>
        <w:rPr>
          <w:rFonts w:ascii="Times New Roman" w:hAnsi="Times New Roman"/>
          <w:noProof/>
        </w:rPr>
        <w:t>În vederea consolidării strategiilor de ieșire pentru investitorii timpurii în întreprinderile nou-înființate și în întreprinderile în curs de extindere și în vederea completării viitorului proiect-pilot referitor la o platformă paneuropeană pentru corelare, precum și inițiativele „Startup Europe”, în perioada 2017-2018 Comisia va monitoriza crearea de piețe de creștere pentru IMM-uri, o nouă categorie de sisteme multilaterale de tranzacționare cărora li se va da o formă juridică prin Directiva privind piețele instrumentelor financiare II (MiFID II)</w:t>
      </w:r>
      <w:r>
        <w:rPr>
          <w:rStyle w:val="FootnoteReference"/>
          <w:rFonts w:ascii="Times New Roman" w:hAnsi="Times New Roman"/>
          <w:noProof/>
        </w:rPr>
        <w:footnoteReference w:id="59"/>
      </w:r>
      <w:r>
        <w:rPr>
          <w:rFonts w:ascii="Times New Roman" w:hAnsi="Times New Roman"/>
          <w:noProof/>
        </w:rPr>
        <w:t>. Acest lucru va facilita mobilizarea de capital pentru întreprinderile mijlocii și schimbul de bune practici. Comisia va identifica inițiativele conduse de piață și inițiativele publice care încurajează admiterea acțiunilor IMM-urilor la tranzacționare și va analiza soluții fiabile pentru problemele de reglementare și pentru eșecurile pieței.</w:t>
      </w:r>
    </w:p>
    <w:p>
      <w:pPr>
        <w:pBdr>
          <w:top w:val="single" w:sz="4" w:space="1" w:color="auto"/>
          <w:left w:val="single" w:sz="4" w:space="4" w:color="auto"/>
          <w:bottom w:val="single" w:sz="4" w:space="0" w:color="auto"/>
          <w:right w:val="single" w:sz="4" w:space="4" w:color="auto"/>
        </w:pBdr>
        <w:shd w:val="pct10" w:color="auto" w:fill="auto"/>
        <w:spacing w:after="120" w:line="240" w:lineRule="auto"/>
        <w:jc w:val="both"/>
        <w:rPr>
          <w:rFonts w:ascii="Times New Roman" w:hAnsi="Times New Roman" w:cs="Times New Roman"/>
          <w:b/>
          <w:i/>
          <w:noProof/>
        </w:rPr>
      </w:pPr>
      <w:r>
        <w:rPr>
          <w:rFonts w:ascii="Times New Roman" w:hAnsi="Times New Roman"/>
          <w:b/>
          <w:i/>
          <w:noProof/>
        </w:rPr>
        <w:t>Alte acțiuni:</w:t>
      </w:r>
    </w:p>
    <w:p>
      <w:pPr>
        <w:pBdr>
          <w:top w:val="single" w:sz="4" w:space="1" w:color="auto"/>
          <w:left w:val="single" w:sz="4" w:space="4" w:color="auto"/>
          <w:bottom w:val="single" w:sz="4" w:space="0" w:color="auto"/>
          <w:right w:val="single" w:sz="4" w:space="4" w:color="auto"/>
        </w:pBdr>
        <w:shd w:val="pct10" w:color="auto" w:fill="auto"/>
        <w:spacing w:after="120" w:line="240" w:lineRule="auto"/>
        <w:ind w:left="720" w:hanging="720"/>
        <w:jc w:val="both"/>
        <w:rPr>
          <w:rFonts w:ascii="Times New Roman" w:hAnsi="Times New Roman" w:cs="Times New Roman"/>
          <w:i/>
          <w:noProof/>
        </w:rPr>
      </w:pPr>
      <w:r>
        <w:rPr>
          <w:rFonts w:ascii="Times New Roman" w:hAnsi="Times New Roman"/>
          <w:i/>
          <w:noProof/>
        </w:rPr>
        <w:t>-</w:t>
      </w:r>
      <w:r>
        <w:rPr>
          <w:noProof/>
        </w:rPr>
        <w:tab/>
      </w:r>
      <w:r>
        <w:rPr>
          <w:rFonts w:ascii="Times New Roman" w:hAnsi="Times New Roman"/>
          <w:i/>
          <w:noProof/>
        </w:rPr>
        <w:t xml:space="preserve">În 2017, Comisia și Fondul european de investiții </w:t>
      </w:r>
      <w:r>
        <w:rPr>
          <w:rFonts w:ascii="Times New Roman" w:hAnsi="Times New Roman"/>
          <w:b/>
          <w:i/>
          <w:noProof/>
        </w:rPr>
        <w:t xml:space="preserve">vor face investiții fundamentale </w:t>
      </w:r>
      <w:r>
        <w:rPr>
          <w:rFonts w:ascii="Times New Roman" w:hAnsi="Times New Roman"/>
          <w:i/>
          <w:noProof/>
        </w:rPr>
        <w:t xml:space="preserve">în noul </w:t>
      </w:r>
      <w:r>
        <w:rPr>
          <w:rFonts w:ascii="Times New Roman" w:hAnsi="Times New Roman"/>
          <w:b/>
          <w:i/>
          <w:noProof/>
        </w:rPr>
        <w:t>Fond paneuropean de fonduri cu capital de risc</w:t>
      </w:r>
      <w:r>
        <w:rPr>
          <w:rFonts w:ascii="Times New Roman" w:hAnsi="Times New Roman"/>
          <w:i/>
          <w:noProof/>
        </w:rPr>
        <w:t xml:space="preserve">, administrat în mod independent, alături de investitori privați majori, pentru a mări valoarea fondurilor cu capital de risc în Europa și pentru a elimina fragmentarea actuală. Investițiile fundamentale ale UE, de până la 400 de milioane EUR, vor fi plafonate la 25 % din capitalul total al Fondului de fonduri, atrăgând un potențial de investiții suplimentare la capitalul de risc din Europa de cel puțin 1,6 miliarde EUR. </w:t>
      </w:r>
    </w:p>
    <w:p>
      <w:pPr>
        <w:pBdr>
          <w:top w:val="single" w:sz="4" w:space="1" w:color="auto"/>
          <w:left w:val="single" w:sz="4" w:space="4" w:color="auto"/>
          <w:bottom w:val="single" w:sz="4" w:space="0" w:color="auto"/>
          <w:right w:val="single" w:sz="4" w:space="4" w:color="auto"/>
        </w:pBdr>
        <w:shd w:val="pct10" w:color="auto" w:fill="auto"/>
        <w:spacing w:after="120" w:line="240" w:lineRule="auto"/>
        <w:ind w:left="720" w:hanging="720"/>
        <w:jc w:val="both"/>
        <w:rPr>
          <w:rFonts w:ascii="Times New Roman" w:hAnsi="Times New Roman" w:cs="Times New Roman"/>
          <w:i/>
          <w:noProof/>
        </w:rPr>
      </w:pPr>
      <w:r>
        <w:rPr>
          <w:rFonts w:ascii="Times New Roman" w:hAnsi="Times New Roman"/>
          <w:i/>
          <w:noProof/>
        </w:rPr>
        <w:t>-</w:t>
      </w:r>
      <w:r>
        <w:rPr>
          <w:noProof/>
        </w:rPr>
        <w:tab/>
      </w:r>
      <w:r>
        <w:rPr>
          <w:rFonts w:ascii="Times New Roman" w:hAnsi="Times New Roman"/>
          <w:i/>
          <w:noProof/>
        </w:rPr>
        <w:t xml:space="preserve">În 2017, Comisia va coordona o platformă paneuropeană unde pot fi împărtășite cele mai bune practici ale statelor membre privind finanțarea participativă, împreună cu o evaluare a deficitelor de finanțare în cadrul </w:t>
      </w:r>
      <w:r>
        <w:rPr>
          <w:rFonts w:ascii="Times New Roman" w:hAnsi="Times New Roman"/>
          <w:b/>
          <w:i/>
          <w:noProof/>
        </w:rPr>
        <w:t>surselor alternative de finanțare</w:t>
      </w:r>
      <w:r>
        <w:rPr>
          <w:rFonts w:ascii="Times New Roman" w:hAnsi="Times New Roman"/>
          <w:i/>
          <w:noProof/>
        </w:rPr>
        <w:t xml:space="preserve">, pentru a înțelege dacă este nevoie de o finanțare publică suplimentară sau de alte măsuri. </w:t>
      </w:r>
    </w:p>
    <w:p>
      <w:pPr>
        <w:pStyle w:val="Heading2"/>
        <w:rPr>
          <w:smallCaps/>
          <w:noProof/>
        </w:rPr>
      </w:pPr>
    </w:p>
    <w:p>
      <w:pPr>
        <w:pStyle w:val="Heading2"/>
        <w:rPr>
          <w:smallCaps/>
          <w:noProof/>
        </w:rPr>
      </w:pPr>
      <w:r>
        <w:rPr>
          <w:noProof/>
        </w:rPr>
        <w:t xml:space="preserve">5. </w:t>
      </w:r>
      <w:r>
        <w:rPr>
          <w:smallCaps/>
          <w:noProof/>
        </w:rPr>
        <w:t>Concluzii</w:t>
      </w:r>
    </w:p>
    <w:p>
      <w:pPr>
        <w:spacing w:after="120" w:line="240" w:lineRule="auto"/>
        <w:jc w:val="both"/>
        <w:rPr>
          <w:rFonts w:ascii="Times New Roman" w:hAnsi="Times New Roman"/>
          <w:noProof/>
        </w:rPr>
      </w:pPr>
      <w:r>
        <w:rPr>
          <w:rFonts w:ascii="Times New Roman" w:hAnsi="Times New Roman"/>
          <w:noProof/>
        </w:rPr>
        <w:t xml:space="preserve">În pofida numeroșilor săi antreprenori tineri și inovatori, Europa încă nu a exploatat pe deplin potențialul capacității și talentului său antreprenorial. </w:t>
      </w:r>
    </w:p>
    <w:p>
      <w:pPr>
        <w:spacing w:after="120" w:line="240" w:lineRule="auto"/>
        <w:jc w:val="both"/>
        <w:rPr>
          <w:rFonts w:ascii="Times New Roman" w:hAnsi="Times New Roman"/>
          <w:noProof/>
        </w:rPr>
      </w:pPr>
      <w:r>
        <w:rPr>
          <w:rFonts w:ascii="Times New Roman" w:hAnsi="Times New Roman"/>
          <w:noProof/>
        </w:rPr>
        <w:t xml:space="preserve">Deși au fost întreprinse acțiuni atât la nivel național, cât și la nivelul UE pentru a încuraja înființarea de întreprinderi, este nevoie de adoptarea mai multor măsuri. </w:t>
      </w:r>
    </w:p>
    <w:p>
      <w:pPr>
        <w:spacing w:after="120" w:line="240" w:lineRule="auto"/>
        <w:jc w:val="both"/>
        <w:rPr>
          <w:rFonts w:ascii="Times New Roman" w:hAnsi="Times New Roman"/>
          <w:noProof/>
        </w:rPr>
      </w:pPr>
      <w:r>
        <w:rPr>
          <w:rFonts w:ascii="Times New Roman" w:hAnsi="Times New Roman"/>
          <w:noProof/>
        </w:rPr>
        <w:t>Înființarea și extinderea unei întreprinderi pe teritoriul Europei trebuie să se simplifice. Obiectivul Europei este de a deveni prima alegere a antreprenorilor ambițioși atunci când aceștia își pun în practică și își dezvoltă ideile de afaceri deschizătoare de drumuri în întreprinderi de succes în cadrul unor ecosisteme performante. În schimb, aceștia vor crea noi locuri de muncă, vor stimula responsabilitatea socială, iar unii dintre ei vor deveni lideri la nivel global.</w:t>
      </w:r>
    </w:p>
    <w:p>
      <w:pPr>
        <w:spacing w:after="120" w:line="240" w:lineRule="auto"/>
        <w:jc w:val="both"/>
        <w:rPr>
          <w:rFonts w:ascii="Times New Roman" w:hAnsi="Times New Roman"/>
          <w:noProof/>
        </w:rPr>
      </w:pPr>
      <w:r>
        <w:rPr>
          <w:rFonts w:ascii="Times New Roman" w:hAnsi="Times New Roman"/>
          <w:noProof/>
        </w:rPr>
        <w:t xml:space="preserve">Prezenta comunicare propune o abordare coordonată la nivelul politicilor UE, care urmează să fie pusă în aplicare printr-un set de măsuri pragmatice. Pentru punerea sa în aplicare eficientă și cu succes, va fi nevoie, de asemenea, de o colaborare cu toate nivelurile de administrație, în statele membre, în regiuni și în orașe, și cu toate părțile interesate, inclusiv cu întreprinderile nou-înființate și cu întreprinderile în curs de extindere. </w:t>
      </w:r>
    </w:p>
    <w:p>
      <w:pPr>
        <w:spacing w:after="120" w:line="240" w:lineRule="auto"/>
        <w:jc w:val="both"/>
        <w:rPr>
          <w:rFonts w:ascii="Times New Roman" w:hAnsi="Times New Roman"/>
          <w:noProof/>
        </w:rPr>
      </w:pPr>
      <w:r>
        <w:rPr>
          <w:rFonts w:ascii="Times New Roman" w:hAnsi="Times New Roman"/>
          <w:noProof/>
        </w:rPr>
        <w:t>Comisia invită Parlamentul European și Consiliul să aprobe prezenta comunicare și să se angajeze în mod activ în punerea sa în aplicare, în strânsă cooperare cu toate părțile interesate relevante.</w:t>
      </w:r>
    </w:p>
    <w:p>
      <w:pPr>
        <w:rPr>
          <w:rFonts w:ascii="Times New Roman" w:hAnsi="Times New Roman" w:cs="Times New Roman"/>
          <w:noProof/>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2"/>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0AF3B41" w15:done="0"/>
  <w15:commentEx w15:paraId="0D810EC6" w15:done="0"/>
  <w15:commentEx w15:paraId="2B20739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81327612"/>
      <w:docPartObj>
        <w:docPartGallery w:val="Page Numbers (Bottom of Page)"/>
        <w:docPartUnique/>
      </w:docPartObj>
    </w:sdtPr>
    <w:sdtContent>
      <w:p>
        <w:pPr>
          <w:pStyle w:val="Footer"/>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sz w:val="20"/>
            <w:szCs w:val="20"/>
          </w:rPr>
          <w:fldChar w:fldCharType="end"/>
        </w:r>
      </w:p>
    </w:sdtContent>
  </w:sdt>
  <w:p>
    <w:pPr>
      <w:pStyle w:val="FooterCoverPage"/>
      <w:rPr>
        <w:b/>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Potrivit studiului realizat de Henrekson și Johansson (2010), 4 % din firme generează 70 % din locurile de muncă noi. A se vedea și: </w:t>
      </w:r>
      <w:hyperlink r:id="rId1">
        <w:r>
          <w:rPr>
            <w:rStyle w:val="Hyperlink"/>
            <w:rFonts w:ascii="Times New Roman" w:hAnsi="Times New Roman"/>
            <w:sz w:val="16"/>
          </w:rPr>
          <w:t>http://www.kauffman.org/blogs/policy-dialogue/2015/august/deconstructing-job-creation-from-startups</w:t>
        </w:r>
      </w:hyperlink>
    </w:p>
  </w:footnote>
  <w:footnote w:id="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Conectivitate; 5G și bandă largă etc.</w:t>
      </w:r>
    </w:p>
  </w:footnote>
  <w:footnote w:id="4">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Deși există diferențe între statele membre ale UE. OCDE (2015), </w:t>
      </w:r>
      <w:r>
        <w:rPr>
          <w:rFonts w:ascii="Times New Roman" w:hAnsi="Times New Roman"/>
          <w:i/>
          <w:sz w:val="16"/>
        </w:rPr>
        <w:t>Entrepreneurship at a glance</w:t>
      </w:r>
      <w:r>
        <w:rPr>
          <w:rFonts w:ascii="Times New Roman" w:hAnsi="Times New Roman"/>
          <w:sz w:val="16"/>
        </w:rPr>
        <w:t>.</w:t>
      </w:r>
    </w:p>
  </w:footnote>
  <w:footnote w:id="5">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Hyperlink"/>
          <w:rFonts w:ascii="Times New Roman" w:hAnsi="Times New Roman"/>
          <w:sz w:val="16"/>
        </w:rPr>
        <w:t xml:space="preserve"> https://ec.europa.eu/growth/industry/innovation/funding/efsi_ro</w:t>
      </w:r>
    </w:p>
  </w:footnote>
  <w:footnote w:id="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Style w:val="Hyperlink"/>
          <w:rFonts w:ascii="Times New Roman" w:hAnsi="Times New Roman"/>
          <w:sz w:val="16"/>
        </w:rPr>
        <w:t>http://eur-lex.europa.eu/legal-content/RO/TXT/PDF/?uri=CELEX:52015DC0550&amp;from=RO</w:t>
      </w:r>
    </w:p>
  </w:footnote>
  <w:footnote w:id="7">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Hyperlink"/>
          <w:rFonts w:ascii="Times New Roman" w:hAnsi="Times New Roman"/>
          <w:sz w:val="16"/>
        </w:rPr>
        <w:t>http://eur-lex.europa.eu/legal-content/RO/TXT/?qid=1447773803386&amp;uri=CELEX:52015DC0192</w:t>
      </w:r>
    </w:p>
  </w:footnote>
  <w:footnote w:id="8">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Style w:val="Hyperlink"/>
          <w:rFonts w:ascii="Times New Roman" w:hAnsi="Times New Roman"/>
          <w:sz w:val="16"/>
        </w:rPr>
        <w:t>http://eur-lex.europa.eu/legal-content/RO/TXT/?uri=CELEX%3A52015DC0468</w:t>
      </w:r>
    </w:p>
  </w:footnote>
  <w:footnote w:id="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 se vedea </w:t>
      </w:r>
      <w:hyperlink r:id="rId2">
        <w:r>
          <w:rPr>
            <w:rStyle w:val="Hyperlink"/>
            <w:rFonts w:ascii="Times New Roman" w:hAnsi="Times New Roman"/>
            <w:sz w:val="16"/>
          </w:rPr>
          <w:t>https://cohesiondata.ec.europa.eu/themes/3</w:t>
        </w:r>
      </w:hyperlink>
    </w:p>
  </w:footnote>
  <w:footnote w:id="10">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 xml:space="preserve">Proporția întreprinderilor care cresc cu mai puțin de 5 % sau care nu cresc deloc depășește 45 % în Europa, comparativ cu 37 % în SUA (Bravo-Biosca, 2011, </w:t>
      </w:r>
      <w:r>
        <w:rPr>
          <w:rFonts w:ascii="Times New Roman" w:hAnsi="Times New Roman"/>
          <w:i/>
          <w:sz w:val="16"/>
        </w:rPr>
        <w:t>A look at business growth and contraction in Europe</w:t>
      </w:r>
      <w:r>
        <w:rPr>
          <w:rFonts w:ascii="Times New Roman" w:hAnsi="Times New Roman"/>
          <w:sz w:val="16"/>
        </w:rPr>
        <w:t xml:space="preserve">). </w:t>
      </w:r>
    </w:p>
  </w:footnote>
  <w:footnote w:id="11">
    <w:p>
      <w:pPr>
        <w:spacing w:after="120" w:line="240" w:lineRule="auto"/>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Raportul reprezentantului danez pentru IMM-uri, 2016, </w:t>
      </w:r>
      <w:r>
        <w:rPr>
          <w:rFonts w:ascii="Times New Roman" w:hAnsi="Times New Roman"/>
          <w:i/>
          <w:sz w:val="16"/>
        </w:rPr>
        <w:t>Scale-up Companies– is a new policy agenda needed?</w:t>
      </w:r>
      <w:r>
        <w:rPr>
          <w:rFonts w:ascii="Times New Roman" w:hAnsi="Times New Roman"/>
          <w:sz w:val="16"/>
        </w:rPr>
        <w:t xml:space="preserve"> </w:t>
      </w:r>
      <w:hyperlink r:id="rId3">
        <w:r>
          <w:rPr>
            <w:rStyle w:val="Hyperlink"/>
            <w:rFonts w:ascii="Times New Roman" w:hAnsi="Times New Roman"/>
            <w:sz w:val="16"/>
          </w:rPr>
          <w:t>http://ec.europa.eu/transparency/regexpert/index.cfm?do=groupDetail.groupDetailDoc&amp;id=26381&amp;no=1</w:t>
        </w:r>
      </w:hyperlink>
    </w:p>
  </w:footnote>
  <w:footnote w:id="12">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 se vedea Eurostat (martie 2016), </w:t>
      </w:r>
      <w:r>
        <w:rPr>
          <w:rFonts w:ascii="Times New Roman" w:hAnsi="Times New Roman"/>
          <w:i/>
          <w:sz w:val="16"/>
        </w:rPr>
        <w:t>Statistics Explained: Entrepreneurship — Statistical indicators</w:t>
      </w:r>
      <w:r>
        <w:rPr>
          <w:rFonts w:ascii="Times New Roman" w:hAnsi="Times New Roman"/>
          <w:sz w:val="16"/>
        </w:rPr>
        <w:t xml:space="preserve">: </w:t>
      </w:r>
      <w:hyperlink r:id="rId4" w:anchor="Small.2C_medium_and_large_enterprises">
        <w:r>
          <w:rPr>
            <w:rStyle w:val="Hyperlink"/>
            <w:rFonts w:ascii="Times New Roman" w:hAnsi="Times New Roman"/>
            <w:sz w:val="16"/>
          </w:rPr>
          <w:t>http://ec.europa.eu/eurostat/statistics-explained/index.php/Entrepreneurship_-_statistical_indicators#Small.2C_medium_and_large_enterprises</w:t>
        </w:r>
      </w:hyperlink>
      <w:r>
        <w:rPr>
          <w:rStyle w:val="Hyperlink"/>
          <w:rFonts w:ascii="Times New Roman" w:hAnsi="Times New Roman"/>
          <w:sz w:val="16"/>
        </w:rPr>
        <w:t>.</w:t>
      </w:r>
    </w:p>
  </w:footnote>
  <w:footnote w:id="1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Productivitatea în întreprinderile cu peste 1 000 de angajați este mult mai ridicată decât în alte întreprinderi. Autoritatea daneză pentru întreprinderi.</w:t>
      </w:r>
    </w:p>
    <w:p>
      <w:pPr>
        <w:pStyle w:val="FootnoteText"/>
        <w:rPr>
          <w:rFonts w:ascii="Times New Roman" w:hAnsi="Times New Roman" w:cs="Times New Roman"/>
          <w:sz w:val="16"/>
          <w:szCs w:val="16"/>
        </w:rPr>
      </w:pPr>
    </w:p>
  </w:footnote>
  <w:footnote w:id="1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5">
        <w:r>
          <w:rPr>
            <w:rStyle w:val="Hyperlink"/>
            <w:rFonts w:ascii="Times New Roman" w:hAnsi="Times New Roman"/>
            <w:sz w:val="16"/>
          </w:rPr>
          <w:t>http://ec.europa.eu/growth/tools-databases/newsroom/cf/itemdetail.cfm?item_id=8723&amp;lang=ro</w:t>
        </w:r>
      </w:hyperlink>
    </w:p>
  </w:footnote>
  <w:footnote w:id="1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Inclusiv piața unică digitală.</w:t>
      </w:r>
    </w:p>
  </w:footnote>
  <w:footnote w:id="1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Fonts w:ascii="Times New Roman" w:hAnsi="Times New Roman"/>
          <w:i/>
          <w:sz w:val="16"/>
        </w:rPr>
        <w:t>Scale-up Europe:</w:t>
      </w:r>
      <w:r>
        <w:rPr>
          <w:rFonts w:ascii="Times New Roman" w:hAnsi="Times New Roman"/>
          <w:sz w:val="16"/>
        </w:rPr>
        <w:t xml:space="preserve"> </w:t>
      </w:r>
      <w:r>
        <w:rPr>
          <w:rFonts w:ascii="Times New Roman" w:hAnsi="Times New Roman"/>
          <w:i/>
          <w:sz w:val="16"/>
        </w:rPr>
        <w:t>A Manifesto for change and empowerment in the digital age</w:t>
      </w:r>
      <w:r>
        <w:rPr>
          <w:rFonts w:ascii="Times New Roman" w:hAnsi="Times New Roman"/>
          <w:sz w:val="16"/>
        </w:rPr>
        <w:t>, 2016.</w:t>
      </w:r>
    </w:p>
  </w:footnote>
  <w:footnote w:id="17">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6">
        <w:r>
          <w:rPr>
            <w:rStyle w:val="Hyperlink"/>
            <w:rFonts w:ascii="Times New Roman" w:hAnsi="Times New Roman"/>
            <w:sz w:val="16"/>
          </w:rPr>
          <w:t>http://ec.europa.eu/growth/single-market/strategy/collaborative-economy_ro</w:t>
        </w:r>
      </w:hyperlink>
    </w:p>
  </w:footnote>
  <w:footnote w:id="18">
    <w:p>
      <w:pPr>
        <w:pStyle w:val="FootnoteText"/>
      </w:pPr>
      <w:r>
        <w:rPr>
          <w:rStyle w:val="FootnoteReference"/>
          <w:rFonts w:ascii="Times New Roman" w:hAnsi="Times New Roman"/>
          <w:sz w:val="16"/>
        </w:rPr>
        <w:footnoteRef/>
      </w:r>
      <w:r>
        <w:rPr>
          <w:rFonts w:ascii="Times New Roman" w:hAnsi="Times New Roman"/>
          <w:sz w:val="16"/>
        </w:rPr>
        <w:t xml:space="preserve"> </w:t>
      </w:r>
      <w:hyperlink r:id="rId7">
        <w:r>
          <w:rPr>
            <w:rStyle w:val="Hyperlink"/>
            <w:rFonts w:ascii="Times New Roman" w:hAnsi="Times New Roman"/>
            <w:sz w:val="16"/>
          </w:rPr>
          <w:t>http://ec.europa.eu/growth/tools-databases/newsroom/cf/itemdetail.cfm?item_id=8852&amp;lang=ro</w:t>
        </w:r>
      </w:hyperlink>
    </w:p>
  </w:footnote>
  <w:footnote w:id="1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Comisia Europeană gestionează în permanență corpusul legislației europene, prin intermediul Programului privind o reglementare adecvată și funcțională (REFIT), care urmărește să asigure faptul că dreptul UE rămâne adecvat scopului și furnizează rezultatele dorite de factorii de decizie în modul cel mai eficient și eficace. Programul vizează eliminarea birocrației și scăderea costurilor, fără a compromite obiectivele de politică și standardele înalte ale UE.</w:t>
      </w:r>
    </w:p>
  </w:footnote>
  <w:footnote w:id="20">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Înregistrarea online a întreprinderilor va fi abordată în cadrul propunerii planificate a Comisiei referitoare la facilitarea utilizării tehnologiilor digitale pe toată durata ciclului de viață al unei întreprinderi [a se vedea Comunicarea Comisiei intitulată „Ameliorarea pieței unice: mai multe oportunități pentru cetățeni și pentru întreprinderi”, COM(2015)550, p. 5; Comunicarea Comisiei intitulată „Planul de acțiune al UE privind guvernarea electronică 2016-2020”, COM(2016)179, p. 8; Programul de lucru al Comisiei pentru 2017, COM(2016)710, p. 8].</w:t>
      </w:r>
    </w:p>
  </w:footnote>
  <w:footnote w:id="2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Ea se va consulta cu platforme precum Rețeaua europeană a întreprinderilor nou-înființate și Rețeaua globală de antreprenoriat.</w:t>
      </w:r>
    </w:p>
  </w:footnote>
  <w:footnote w:id="2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 se vedea Comunicarea Comisiei intitulată „Crearea, pentru UE, a unui sistem de impozitare a societăților echitabil, competitiv și stabil”.</w:t>
      </w:r>
    </w:p>
  </w:footnote>
  <w:footnote w:id="2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8">
        <w:r>
          <w:rPr>
            <w:rStyle w:val="Hyperlink"/>
            <w:rFonts w:ascii="Times New Roman" w:hAnsi="Times New Roman"/>
            <w:sz w:val="16"/>
          </w:rPr>
          <w:t>https://ec.europa.eu/taxation_customs/sites/taxation/files/com_2016_148_ro.pdf</w:t>
        </w:r>
      </w:hyperlink>
      <w:r>
        <w:rPr>
          <w:rFonts w:ascii="Times New Roman" w:hAnsi="Times New Roman"/>
          <w:sz w:val="16"/>
        </w:rPr>
        <w:t xml:space="preserve"> </w:t>
      </w:r>
    </w:p>
  </w:footnote>
  <w:footnote w:id="2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CCCTB ar trebui să impulsioneze întreprinderile nou-înființate și întreprinderile în curs de extindere să investească și să se extindă pe piața unică. Ea va recompensa activitățile lor favorabile creșterii, precum investițiile în C&amp;D și finanțarea prin capitaluri proprii. Pentru a susține antreprenoriatul la scară mică și inovator, întreprinderile nou-înființate vor beneficia de o deducere sporită pentru investițiile în C&amp;D. CCCTB va aborda tratamentul preferențial acordat îndatorării în comparație cu capitalurile proprii, fapt care va aduce beneficii întreprinderilor inovatoare finanțate prin capitaluri proprii și, în special, întreprinderilor nou-înființate.</w:t>
      </w:r>
    </w:p>
  </w:footnote>
  <w:footnote w:id="2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 se vedea Planul de acțiune al UE privind guvernarea electronică 2016-2020, COM(2016)179, </w:t>
      </w:r>
      <w:hyperlink r:id="rId9">
        <w:r>
          <w:rPr>
            <w:rFonts w:ascii="Times New Roman" w:hAnsi="Times New Roman"/>
            <w:sz w:val="16"/>
          </w:rPr>
          <w:t>http://eur-lex.europa.eu/legal-content/RO/TXT/?uri=CELEX:52016DC0179</w:t>
        </w:r>
      </w:hyperlink>
    </w:p>
    <w:p>
      <w:pPr>
        <w:pStyle w:val="FootnoteText"/>
        <w:rPr>
          <w:rFonts w:ascii="Times New Roman" w:hAnsi="Times New Roman" w:cs="Times New Roman"/>
          <w:sz w:val="16"/>
          <w:szCs w:val="16"/>
        </w:rPr>
      </w:pPr>
    </w:p>
    <w:p>
      <w:pPr>
        <w:pStyle w:val="FootnoteText"/>
      </w:pPr>
    </w:p>
  </w:footnote>
  <w:footnote w:id="26">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„Abordarea ecosistemului antreprenorial” explică motivul pentru care unele orașe/regiuni au mult mai multe întreprinderi nou-înființate/întreprinderi în curs de extindere decât altele, în pofida faptului că au același cadru de reglementare. Ecosistemele canalizează resursele către utilizarea cea mai productivă. Ele fac posibilă elaborarea de politici holistice, care nu sunt realizate prin abordări tradiționale.</w:t>
      </w:r>
    </w:p>
  </w:footnote>
  <w:footnote w:id="27">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De exemplu, reuniunea la nivel înalt „Startup Europe”, Grupul programelor de accelerare „Startup Europe” (</w:t>
      </w:r>
      <w:r>
        <w:rPr>
          <w:rFonts w:ascii="Times New Roman" w:hAnsi="Times New Roman"/>
          <w:i/>
          <w:sz w:val="16"/>
        </w:rPr>
        <w:t>Startup Europe Accelerators Assembly</w:t>
      </w:r>
      <w:r>
        <w:rPr>
          <w:rFonts w:ascii="Times New Roman" w:hAnsi="Times New Roman"/>
          <w:sz w:val="16"/>
        </w:rPr>
        <w:t xml:space="preserve">), rețeaua de universități „Startup Europe”; creșterea gradului de sensibilizare cu privire la oportunitățile disponibile de finanțare și de colaborare în rețea; crearea de legături între marile corporații și întreprinderile nou-înființate (Parteneriatul „Startup Europe”) și promovarea antreprenoriatului. </w:t>
      </w:r>
    </w:p>
  </w:footnote>
  <w:footnote w:id="28">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Până în prezent, cu privire la modernizarea industrială, la produsele agroalimentare și la energie.</w:t>
      </w:r>
    </w:p>
  </w:footnote>
  <w:footnote w:id="2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De exemplu, privind transformarea regiunilor și a orașelor în rampe de lansare pentru transformarea digitală și modernizarea industrială.</w:t>
      </w:r>
    </w:p>
  </w:footnote>
  <w:footnote w:id="30">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Sondajul Eurobarometru Flash 417 referitor la obstacolele în calea accesării contractelor de achiziții publice de către întreprinderile mici.</w:t>
      </w:r>
    </w:p>
  </w:footnote>
  <w:footnote w:id="3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Achiziții publice cu o valoare egală sau mai mare decât pragurile prevăzute în legislația UE.</w:t>
      </w:r>
    </w:p>
  </w:footnote>
  <w:footnote w:id="3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Acest lucru este valabil, în special, pentru achizițiile publice cu o valoare egală sau mai mare decât pragurile prevăzute în legislația UE.</w:t>
      </w:r>
    </w:p>
  </w:footnote>
  <w:footnote w:id="3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0">
        <w:r>
          <w:rPr>
            <w:rStyle w:val="Hyperlink"/>
            <w:rFonts w:ascii="Times New Roman" w:hAnsi="Times New Roman"/>
            <w:sz w:val="16"/>
          </w:rPr>
          <w:t>https://ec.europa.eu/digital-single-market/en/news/updated-results-ongoing-pre-commercial-procurements-pcp-projects</w:t>
        </w:r>
      </w:hyperlink>
    </w:p>
  </w:footnote>
  <w:footnote w:id="3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Acești brokeri ar identifica și ar agrega nevoile cumpărătorilor publici, ar identifica potențialii furnizori, ar canaliza ideile și le-ar finanța pe cele mai promițătoare din anumite sectoare.</w:t>
      </w:r>
    </w:p>
  </w:footnote>
  <w:footnote w:id="3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Pe baza directivelor modernizate privind achizițiile publice.</w:t>
      </w:r>
    </w:p>
  </w:footnote>
  <w:footnote w:id="36">
    <w:p>
      <w:pPr>
        <w:pStyle w:val="FootnoteText"/>
        <w:ind w:left="284" w:hanging="284"/>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Style w:val="Hyperlink"/>
          <w:rFonts w:ascii="Times New Roman" w:hAnsi="Times New Roman"/>
          <w:sz w:val="16"/>
        </w:rPr>
        <w:t>http://www.ecompetences.eu/.</w:t>
      </w:r>
    </w:p>
  </w:footnote>
  <w:footnote w:id="37">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De asemenea, în 2016 a fost adoptată reforma normelor privind imigrația pentru studenții și cercetătorii resortisanți ai unor țări terțe, acordându-le acestora dreptul de ședere în UE, de a-și căuta un loc de muncă sau de a înființa o întreprindere pentru o perioadă de cel puțin nouă luni de la absolvire sau de la finalizarea cercetării [Directiva (UE) 2016/801].</w:t>
      </w:r>
    </w:p>
  </w:footnote>
  <w:footnote w:id="38">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Pe baza Parteneriatului pentru inovare și având în vedere aspectele sociale și ecologice.</w:t>
      </w:r>
    </w:p>
  </w:footnote>
  <w:footnote w:id="3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1" w:anchor="view=fit&amp;amp;pagemode=none">
        <w:r>
          <w:rPr>
            <w:rStyle w:val="Hyperlink"/>
            <w:rFonts w:ascii="Times New Roman" w:hAnsi="Times New Roman"/>
            <w:sz w:val="16"/>
          </w:rPr>
          <w:t>https://ec.europa.eu/research/eic/pdf//eic_call_for_ideas-overview.pdf#view=fit&amp;pagemode=none</w:t>
        </w:r>
      </w:hyperlink>
      <w:r>
        <w:rPr>
          <w:rFonts w:ascii="Times New Roman" w:hAnsi="Times New Roman"/>
          <w:sz w:val="16"/>
        </w:rPr>
        <w:t xml:space="preserve">. </w:t>
      </w:r>
    </w:p>
  </w:footnote>
  <w:footnote w:id="40">
    <w:p>
      <w:pPr>
        <w:pStyle w:val="FootnoteText"/>
      </w:pPr>
      <w:r>
        <w:rPr>
          <w:rStyle w:val="FootnoteReference"/>
          <w:rFonts w:ascii="Times New Roman" w:hAnsi="Times New Roman"/>
          <w:sz w:val="16"/>
        </w:rPr>
        <w:footnoteRef/>
      </w:r>
      <w:r>
        <w:rPr>
          <w:rFonts w:ascii="Times New Roman" w:hAnsi="Times New Roman"/>
          <w:sz w:val="16"/>
        </w:rPr>
        <w:t xml:space="preserve"> Denumirea de lucru.</w:t>
      </w:r>
    </w:p>
  </w:footnote>
  <w:footnote w:id="4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Fonts w:ascii="Times New Roman" w:hAnsi="Times New Roman"/>
          <w:i/>
          <w:sz w:val="16"/>
        </w:rPr>
        <w:t>Report on access to finance for the Cultural and Creative Sectors</w:t>
      </w:r>
      <w:r>
        <w:rPr>
          <w:rFonts w:ascii="Times New Roman" w:hAnsi="Times New Roman"/>
          <w:sz w:val="16"/>
        </w:rPr>
        <w:t xml:space="preserve"> (Comisia Europeană, 2015).</w:t>
      </w:r>
    </w:p>
  </w:footnote>
  <w:footnote w:id="4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Fonts w:ascii="Times New Roman" w:hAnsi="Times New Roman"/>
          <w:i/>
          <w:sz w:val="16"/>
        </w:rPr>
        <w:t>Intellectual property rights and firm performance in Europe: an economic analysis</w:t>
      </w:r>
      <w:r>
        <w:rPr>
          <w:rFonts w:ascii="Times New Roman" w:hAnsi="Times New Roman"/>
          <w:sz w:val="16"/>
        </w:rPr>
        <w:t xml:space="preserve"> (EUIPO, 2015).</w:t>
      </w:r>
    </w:p>
  </w:footnote>
  <w:footnote w:id="4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În cadrul următoarei revizuiri a instrumentului pentru cercetare și inovare, în conformitate cu orientările din evaluarea impactului.</w:t>
      </w:r>
    </w:p>
  </w:footnote>
  <w:footnote w:id="4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Style w:val="Hyperlink"/>
          <w:rFonts w:ascii="Times New Roman" w:hAnsi="Times New Roman"/>
          <w:sz w:val="16"/>
        </w:rPr>
        <w:t>https://ec.europa.eu/epsc/sites/epsc/files/strategic_note_issue_14.pdf</w:t>
      </w:r>
    </w:p>
  </w:footnote>
  <w:footnote w:id="4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Denumirea de lucru.</w:t>
      </w:r>
    </w:p>
  </w:footnote>
  <w:footnote w:id="4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Informații suplimentare cu privire la aceste măsuri sunt furnizate în documentul de lucru al serviciilor Comisiei însoțitor. Aceste măsuri vor fi elaborate în strânsă cooperare cu EUIPO (Oficiul Uniunii Europene pentru Proprietate Intelectuală).</w:t>
      </w:r>
    </w:p>
  </w:footnote>
  <w:footnote w:id="47">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SWD(2016) 373 din 22.11.2016, </w:t>
      </w:r>
      <w:r>
        <w:rPr>
          <w:rFonts w:ascii="Times New Roman" w:hAnsi="Times New Roman"/>
          <w:i/>
          <w:sz w:val="16"/>
        </w:rPr>
        <w:t>Putting intellectual property at the service of SMEs to foster innovation and growth</w:t>
      </w:r>
      <w:r>
        <w:rPr>
          <w:rFonts w:ascii="Times New Roman" w:hAnsi="Times New Roman"/>
          <w:sz w:val="16"/>
        </w:rPr>
        <w:t>.</w:t>
      </w:r>
    </w:p>
  </w:footnote>
  <w:footnote w:id="48">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O întreprindere socială nou-înființată este o întreprindere nou-înființată care are un impact societal.</w:t>
      </w:r>
    </w:p>
  </w:footnote>
  <w:footnote w:id="4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2">
        <w:r>
          <w:rPr>
            <w:rFonts w:ascii="Times New Roman" w:hAnsi="Times New Roman"/>
            <w:sz w:val="16"/>
          </w:rPr>
          <w:t>http://eureka.sbs.ox.ac.uk/761/1/Social_Innovation.pdf</w:t>
        </w:r>
      </w:hyperlink>
      <w:r>
        <w:rPr>
          <w:rFonts w:ascii="Times New Roman" w:hAnsi="Times New Roman"/>
          <w:sz w:val="16"/>
        </w:rPr>
        <w:t xml:space="preserve">, Oxford Said Business School, </w:t>
      </w:r>
      <w:r>
        <w:rPr>
          <w:rFonts w:ascii="Times New Roman" w:hAnsi="Times New Roman"/>
          <w:i/>
          <w:sz w:val="16"/>
        </w:rPr>
        <w:t>Social Innovation</w:t>
      </w:r>
      <w:r>
        <w:rPr>
          <w:rFonts w:ascii="Times New Roman" w:hAnsi="Times New Roman"/>
          <w:sz w:val="16"/>
        </w:rPr>
        <w:t>.</w:t>
      </w:r>
    </w:p>
  </w:footnote>
  <w:footnote w:id="50">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3">
        <w:r>
          <w:rPr>
            <w:rStyle w:val="Hyperlink"/>
            <w:rFonts w:ascii="Times New Roman" w:hAnsi="Times New Roman"/>
            <w:sz w:val="16"/>
          </w:rPr>
          <w:t>http://eur-lex.europa.eu/LexUriServ/LexUriServ.do?uri=OJ:L:2013:347:0238:0252:ro:PDF</w:t>
        </w:r>
      </w:hyperlink>
      <w:r>
        <w:rPr>
          <w:rFonts w:ascii="Times New Roman" w:hAnsi="Times New Roman"/>
          <w:sz w:val="16"/>
        </w:rPr>
        <w:t>.</w:t>
      </w:r>
    </w:p>
  </w:footnote>
  <w:footnote w:id="5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4">
        <w:r>
          <w:rPr>
            <w:rStyle w:val="Hyperlink"/>
            <w:rFonts w:ascii="Times New Roman" w:hAnsi="Times New Roman"/>
            <w:sz w:val="16"/>
          </w:rPr>
          <w:t>http://europa.eu/rapid/press-release_CES-12-60_en.htm?locale=en</w:t>
        </w:r>
      </w:hyperlink>
      <w:r>
        <w:rPr>
          <w:rFonts w:ascii="Times New Roman" w:hAnsi="Times New Roman"/>
          <w:sz w:val="16"/>
        </w:rPr>
        <w:t xml:space="preserve"> </w:t>
      </w:r>
    </w:p>
  </w:footnote>
  <w:footnote w:id="5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În 2017, Comisia va lansa o platformă pentru soluționarea provocărilor prin intermediul inovării sociale, pentru a stimula întreprinderile sociale să se alăture altor tipuri de întreprinderi, în vederea dezvoltării în colaborare a unor soluții la provocările societale. De asemenea, Comisia va lansa o cerere de analiză și de colectare a celor mai bune practici privind modul în care întreprinderile sociale pot utiliza mai bine economia digitală.</w:t>
      </w:r>
    </w:p>
  </w:footnote>
  <w:footnote w:id="5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5">
        <w:r>
          <w:rPr>
            <w:rStyle w:val="Hyperlink"/>
            <w:rFonts w:ascii="Times New Roman" w:hAnsi="Times New Roman"/>
            <w:sz w:val="16"/>
          </w:rPr>
          <w:t>http://www.un.org/sustainabledevelopment/sustainable-development-goals/</w:t>
        </w:r>
      </w:hyperlink>
    </w:p>
  </w:footnote>
  <w:footnote w:id="5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Thomson ONE în „BSG Perspectives”, </w:t>
      </w:r>
      <w:r>
        <w:rPr>
          <w:rFonts w:ascii="Times New Roman" w:hAnsi="Times New Roman"/>
          <w:i/>
          <w:sz w:val="16"/>
        </w:rPr>
        <w:t>The State of European Venture Capital</w:t>
      </w:r>
      <w:r>
        <w:rPr>
          <w:rFonts w:ascii="Times New Roman" w:hAnsi="Times New Roman"/>
          <w:sz w:val="16"/>
        </w:rPr>
        <w:t>.</w:t>
      </w:r>
    </w:p>
  </w:footnote>
  <w:footnote w:id="5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Raportul NVCA pentru datele din SUA, raportul UE pentru datele din UE.</w:t>
      </w:r>
    </w:p>
  </w:footnote>
  <w:footnote w:id="5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Studiul intitulat „Assessing the Potential for EU Investment in Venture Capital and Other Risk Capital Fund of Funds”.</w:t>
      </w:r>
    </w:p>
  </w:footnote>
  <w:footnote w:id="57">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6">
        <w:r>
          <w:rPr>
            <w:rStyle w:val="Hyperlink"/>
            <w:rFonts w:ascii="Times New Roman" w:hAnsi="Times New Roman"/>
            <w:sz w:val="16"/>
          </w:rPr>
          <w:t>http://eur-lex.europa.eu/legal-content/ro/TXT/PDF/?uri=CELEX:52016DC0581&amp;from=ro</w:t>
        </w:r>
      </w:hyperlink>
      <w:r>
        <w:rPr>
          <w:rFonts w:ascii="Times New Roman" w:hAnsi="Times New Roman"/>
          <w:sz w:val="16"/>
        </w:rPr>
        <w:t xml:space="preserve"> </w:t>
      </w:r>
    </w:p>
  </w:footnote>
  <w:footnote w:id="58">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În noiembrie 2016, a fost lansată o cerere de exprimare a interesului pentru selectarea promotorilor fondului paneuropean de fonduri.</w:t>
      </w:r>
    </w:p>
  </w:footnote>
  <w:footnote w:id="5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Directiva 2014/65/UE.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67702"/>
    <w:multiLevelType w:val="hybridMultilevel"/>
    <w:tmpl w:val="B56EC41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3E5A60"/>
    <w:multiLevelType w:val="hybridMultilevel"/>
    <w:tmpl w:val="BC08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4028DC"/>
    <w:multiLevelType w:val="hybridMultilevel"/>
    <w:tmpl w:val="5A7240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FC3518"/>
    <w:multiLevelType w:val="hybridMultilevel"/>
    <w:tmpl w:val="229AE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9011D7"/>
    <w:multiLevelType w:val="hybridMultilevel"/>
    <w:tmpl w:val="3266DF40"/>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C40A20"/>
    <w:multiLevelType w:val="hybridMultilevel"/>
    <w:tmpl w:val="A03A5124"/>
    <w:lvl w:ilvl="0" w:tplc="1032B3C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DBB3EEF"/>
    <w:multiLevelType w:val="hybridMultilevel"/>
    <w:tmpl w:val="0F4AEF94"/>
    <w:lvl w:ilvl="0" w:tplc="08090019">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nsid w:val="250B61C4"/>
    <w:multiLevelType w:val="hybridMultilevel"/>
    <w:tmpl w:val="C8E22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EB083D"/>
    <w:multiLevelType w:val="hybridMultilevel"/>
    <w:tmpl w:val="55842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1AA0724"/>
    <w:multiLevelType w:val="hybridMultilevel"/>
    <w:tmpl w:val="F93E6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833F80"/>
    <w:multiLevelType w:val="hybridMultilevel"/>
    <w:tmpl w:val="A10CAFE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69354EC"/>
    <w:multiLevelType w:val="hybridMultilevel"/>
    <w:tmpl w:val="6674EE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1894B3E"/>
    <w:multiLevelType w:val="hybridMultilevel"/>
    <w:tmpl w:val="A3B0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960B41"/>
    <w:multiLevelType w:val="hybridMultilevel"/>
    <w:tmpl w:val="DAEE86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F093677"/>
    <w:multiLevelType w:val="hybridMultilevel"/>
    <w:tmpl w:val="477E3D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FDA773A"/>
    <w:multiLevelType w:val="hybridMultilevel"/>
    <w:tmpl w:val="6F2EC3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2C01E09"/>
    <w:multiLevelType w:val="hybridMultilevel"/>
    <w:tmpl w:val="EB5E2A2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5FC3D0B"/>
    <w:multiLevelType w:val="hybridMultilevel"/>
    <w:tmpl w:val="282C8F0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00A7F44"/>
    <w:multiLevelType w:val="hybridMultilevel"/>
    <w:tmpl w:val="3266DF40"/>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2F322C7"/>
    <w:multiLevelType w:val="hybridMultilevel"/>
    <w:tmpl w:val="EDD00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EF0143"/>
    <w:multiLevelType w:val="hybridMultilevel"/>
    <w:tmpl w:val="15CEF692"/>
    <w:lvl w:ilvl="0" w:tplc="08090001">
      <w:start w:val="1"/>
      <w:numFmt w:val="bullet"/>
      <w:lvlText w:val=""/>
      <w:lvlJc w:val="left"/>
      <w:pPr>
        <w:ind w:left="786" w:hanging="360"/>
      </w:pPr>
      <w:rPr>
        <w:rFonts w:ascii="Symbol" w:hAnsi="Symbol"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nsid w:val="78D96924"/>
    <w:multiLevelType w:val="hybridMultilevel"/>
    <w:tmpl w:val="6D26C30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BD14CD3"/>
    <w:multiLevelType w:val="hybridMultilevel"/>
    <w:tmpl w:val="FB7673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EE32ED5"/>
    <w:multiLevelType w:val="hybridMultilevel"/>
    <w:tmpl w:val="59D81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FD1569B"/>
    <w:multiLevelType w:val="hybridMultilevel"/>
    <w:tmpl w:val="4D1EDB3A"/>
    <w:lvl w:ilvl="0" w:tplc="E2D48956">
      <w:start w:val="1"/>
      <w:numFmt w:val="low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num w:numId="1">
    <w:abstractNumId w:val="2"/>
  </w:num>
  <w:num w:numId="2">
    <w:abstractNumId w:val="18"/>
  </w:num>
  <w:num w:numId="3">
    <w:abstractNumId w:val="10"/>
  </w:num>
  <w:num w:numId="4">
    <w:abstractNumId w:val="8"/>
  </w:num>
  <w:num w:numId="5">
    <w:abstractNumId w:val="16"/>
  </w:num>
  <w:num w:numId="6">
    <w:abstractNumId w:val="11"/>
  </w:num>
  <w:num w:numId="7">
    <w:abstractNumId w:val="17"/>
  </w:num>
  <w:num w:numId="8">
    <w:abstractNumId w:val="6"/>
  </w:num>
  <w:num w:numId="9">
    <w:abstractNumId w:val="22"/>
  </w:num>
  <w:num w:numId="10">
    <w:abstractNumId w:val="14"/>
  </w:num>
  <w:num w:numId="11">
    <w:abstractNumId w:val="0"/>
  </w:num>
  <w:num w:numId="12">
    <w:abstractNumId w:val="5"/>
  </w:num>
  <w:num w:numId="13">
    <w:abstractNumId w:val="4"/>
  </w:num>
  <w:num w:numId="14">
    <w:abstractNumId w:val="3"/>
  </w:num>
  <w:num w:numId="15">
    <w:abstractNumId w:val="15"/>
  </w:num>
  <w:num w:numId="16">
    <w:abstractNumId w:val="9"/>
  </w:num>
  <w:num w:numId="17">
    <w:abstractNumId w:val="12"/>
  </w:num>
  <w:num w:numId="18">
    <w:abstractNumId w:val="7"/>
  </w:num>
  <w:num w:numId="19">
    <w:abstractNumId w:val="23"/>
  </w:num>
  <w:num w:numId="20">
    <w:abstractNumId w:val="21"/>
  </w:num>
  <w:num w:numId="21">
    <w:abstractNumId w:val="1"/>
  </w:num>
  <w:num w:numId="22">
    <w:abstractNumId w:val="13"/>
  </w:num>
  <w:num w:numId="23">
    <w:abstractNumId w:val="19"/>
  </w:num>
  <w:num w:numId="24">
    <w:abstractNumId w:val="24"/>
  </w:num>
  <w:num w:numId="25">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hideSpellingErrors/>
  <w:hideGrammaticalErrors/>
  <w:revisionView w:markup="0"/>
  <w:defaultTabStop w:val="720"/>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BD3BC9F396B840BA83979EA2FC8DC121"/>
    <w:docVar w:name="LW_CROSSREFERENCE" w:val="{SWD(2016) 373 final}"/>
    <w:docVar w:name="LW_DocType" w:val="NORMAL"/>
    <w:docVar w:name="LW_EMISSION" w:val="22.11.2016"/>
    <w:docVar w:name="LW_EMISSION_ISODATE" w:val="2016-11-22"/>
    <w:docVar w:name="LW_EMISSION_LOCATION" w:val="STR"/>
    <w:docVar w:name="LW_EMISSION_PREFIX" w:val="Strasbourg,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733"/>
    <w:docVar w:name="LW_REF.INTERNE" w:val="&lt;UNUSED&gt;"/>
    <w:docVar w:name="LW_SOUS.TITRE.OBJ.CP" w:val="&lt;UNUSED&gt;"/>
    <w:docVar w:name="LW_SUPERTITRE" w:val="&lt;UNUSED&gt;"/>
    <w:docVar w:name="LW_TITRE.OBJ.CP" w:val="Viitorii lideri ai Europei: ini\u539?iativa privind întreprinderile nou-înfiin\u539?ate \u537?i extinderea acestora"/>
    <w:docVar w:name="LW_TYPE.DOC.CP" w:val="COMUNICARE A COMISIEI C\u258?TRE PARLAMENTUL EUROPEAN, CONSILIU, COMITETUL ECONOMIC \u536?I SOCIAL EUROPEAN \u536?I COMITETUL REGIUNILOR"/>
    <w:docVar w:name="LW_TYPE.DOC.CP.USERTEXT" w:val="&lt;EMPTY&gt;"/>
    <w:docVar w:name="Stamp" w:val="\\dossiers.dgt.cec.eu.int\dossiers\GROW\GROW-2016-01732\GROW-2016-01732-00-00-EN-REV-00.201610261617264068681.DOCX"/>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paragraph" w:styleId="Heading2">
    <w:name w:val="heading 2"/>
    <w:basedOn w:val="H2"/>
    <w:next w:val="Normal"/>
    <w:link w:val="Heading2Char"/>
    <w:uiPriority w:val="9"/>
    <w:unhideWhenUsed/>
    <w:qFormat/>
    <w:pPr>
      <w:outlineLvl w:val="1"/>
    </w:pPr>
  </w:style>
  <w:style w:type="paragraph" w:styleId="Heading3">
    <w:name w:val="heading 3"/>
    <w:basedOn w:val="Normal"/>
    <w:next w:val="Normal"/>
    <w:link w:val="Heading3Char"/>
    <w:uiPriority w:val="9"/>
    <w:unhideWhenUsed/>
    <w:qFormat/>
    <w:pPr>
      <w:spacing w:after="120" w:line="240" w:lineRule="auto"/>
      <w:jc w:val="both"/>
      <w:outlineLvl w:val="2"/>
    </w:pPr>
    <w:rPr>
      <w:rFonts w:ascii="Times New Roman" w:hAnsi="Times New Roman" w:cs="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Nad,Odstavec_muj"/>
    <w:basedOn w:val="Normal"/>
    <w:link w:val="ListParagraphChar"/>
    <w:uiPriority w:val="34"/>
    <w:qFormat/>
    <w:pPr>
      <w:ind w:left="720"/>
      <w:contextualSpacing/>
    </w:p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
    <w:basedOn w:val="DefaultParagraphFont"/>
    <w:uiPriority w:val="99"/>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ro-RO"/>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
    <w:link w:val="ListParagraph"/>
    <w:uiPriority w:val="34"/>
    <w:locked/>
    <w:rPr>
      <w:rFonts w:eastAsiaTheme="minorEastAsia"/>
      <w:lang w:eastAsia="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ro-RO"/>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uiPriority w:val="99"/>
    <w:unhideWhenUsed/>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uiPriority w:val="99"/>
    <w:rPr>
      <w:rFonts w:eastAsiaTheme="minorEastAsia"/>
      <w:sz w:val="20"/>
      <w:szCs w:val="20"/>
      <w:lang w:eastAsia="ro-R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rFonts w:eastAsiaTheme="minorEastAsia"/>
      <w:lang w:eastAsia="ro-RO"/>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eastAsiaTheme="minorEastAsia"/>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rPr>
  </w:style>
  <w:style w:type="character" w:styleId="Hyperlink">
    <w:name w:val="Hyperlink"/>
    <w:uiPriority w:val="99"/>
    <w:unhideWhenUsed/>
    <w:rPr>
      <w:color w:val="000099"/>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ro-RO"/>
    </w:rPr>
  </w:style>
  <w:style w:type="paragraph" w:styleId="Revision">
    <w:name w:val="Revision"/>
    <w:hidden/>
    <w:uiPriority w:val="99"/>
    <w:semiHidden/>
    <w:pPr>
      <w:spacing w:after="0" w:line="240" w:lineRule="auto"/>
    </w:pPr>
    <w:rPr>
      <w:rFonts w:eastAsiaTheme="minorEastAsia"/>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Theme="minorEastAsia" w:hAnsi="Times New Roman" w:cs="Times New Roman"/>
      <w:sz w:val="24"/>
    </w:rPr>
  </w:style>
  <w:style w:type="paragraph" w:customStyle="1" w:styleId="H2">
    <w:name w:val="_H2"/>
    <w:basedOn w:val="Normal"/>
    <w:next w:val="Normal"/>
    <w:link w:val="H2Char"/>
    <w:qFormat/>
    <w:pPr>
      <w:spacing w:after="120" w:line="240" w:lineRule="auto"/>
      <w:jc w:val="both"/>
    </w:pPr>
    <w:rPr>
      <w:rFonts w:ascii="Times New Roman" w:eastAsiaTheme="minorHAnsi" w:hAnsi="Times New Roman" w:cs="Times New Roman"/>
      <w:b/>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2Char">
    <w:name w:val="_H2 Char"/>
    <w:basedOn w:val="DefaultParagraphFont"/>
    <w:link w:val="H2"/>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eastAsiaTheme="minorEastAsia" w:hAnsi="Times New Roman" w:cs="Times New Roman"/>
      <w:b/>
      <w:lang w:eastAsia="ro-RO"/>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paragraph" w:styleId="Heading2">
    <w:name w:val="heading 2"/>
    <w:basedOn w:val="H2"/>
    <w:next w:val="Normal"/>
    <w:link w:val="Heading2Char"/>
    <w:uiPriority w:val="9"/>
    <w:unhideWhenUsed/>
    <w:qFormat/>
    <w:pPr>
      <w:outlineLvl w:val="1"/>
    </w:pPr>
  </w:style>
  <w:style w:type="paragraph" w:styleId="Heading3">
    <w:name w:val="heading 3"/>
    <w:basedOn w:val="Normal"/>
    <w:next w:val="Normal"/>
    <w:link w:val="Heading3Char"/>
    <w:uiPriority w:val="9"/>
    <w:unhideWhenUsed/>
    <w:qFormat/>
    <w:pPr>
      <w:spacing w:after="120" w:line="240" w:lineRule="auto"/>
      <w:jc w:val="both"/>
      <w:outlineLvl w:val="2"/>
    </w:pPr>
    <w:rPr>
      <w:rFonts w:ascii="Times New Roman" w:hAnsi="Times New Roman" w:cs="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Nad,Odstavec_muj"/>
    <w:basedOn w:val="Normal"/>
    <w:link w:val="ListParagraphChar"/>
    <w:uiPriority w:val="34"/>
    <w:qFormat/>
    <w:pPr>
      <w:ind w:left="720"/>
      <w:contextualSpacing/>
    </w:p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
    <w:basedOn w:val="DefaultParagraphFont"/>
    <w:uiPriority w:val="99"/>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ro-RO"/>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
    <w:link w:val="ListParagraph"/>
    <w:uiPriority w:val="34"/>
    <w:locked/>
    <w:rPr>
      <w:rFonts w:eastAsiaTheme="minorEastAsia"/>
      <w:lang w:eastAsia="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ro-RO"/>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uiPriority w:val="99"/>
    <w:unhideWhenUsed/>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uiPriority w:val="99"/>
    <w:rPr>
      <w:rFonts w:eastAsiaTheme="minorEastAsia"/>
      <w:sz w:val="20"/>
      <w:szCs w:val="20"/>
      <w:lang w:eastAsia="ro-R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rFonts w:eastAsiaTheme="minorEastAsia"/>
      <w:lang w:eastAsia="ro-RO"/>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eastAsiaTheme="minorEastAsia"/>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rPr>
  </w:style>
  <w:style w:type="character" w:styleId="Hyperlink">
    <w:name w:val="Hyperlink"/>
    <w:uiPriority w:val="99"/>
    <w:unhideWhenUsed/>
    <w:rPr>
      <w:color w:val="000099"/>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ro-RO"/>
    </w:rPr>
  </w:style>
  <w:style w:type="paragraph" w:styleId="Revision">
    <w:name w:val="Revision"/>
    <w:hidden/>
    <w:uiPriority w:val="99"/>
    <w:semiHidden/>
    <w:pPr>
      <w:spacing w:after="0" w:line="240" w:lineRule="auto"/>
    </w:pPr>
    <w:rPr>
      <w:rFonts w:eastAsiaTheme="minorEastAsia"/>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Theme="minorEastAsia" w:hAnsi="Times New Roman" w:cs="Times New Roman"/>
      <w:sz w:val="24"/>
    </w:rPr>
  </w:style>
  <w:style w:type="paragraph" w:customStyle="1" w:styleId="H2">
    <w:name w:val="_H2"/>
    <w:basedOn w:val="Normal"/>
    <w:next w:val="Normal"/>
    <w:link w:val="H2Char"/>
    <w:qFormat/>
    <w:pPr>
      <w:spacing w:after="120" w:line="240" w:lineRule="auto"/>
      <w:jc w:val="both"/>
    </w:pPr>
    <w:rPr>
      <w:rFonts w:ascii="Times New Roman" w:eastAsiaTheme="minorHAnsi" w:hAnsi="Times New Roman" w:cs="Times New Roman"/>
      <w:b/>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2Char">
    <w:name w:val="_H2 Char"/>
    <w:basedOn w:val="DefaultParagraphFont"/>
    <w:link w:val="H2"/>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eastAsiaTheme="minorEastAsia" w:hAnsi="Times New Roman" w:cs="Times New Roman"/>
      <w:b/>
      <w:lang w:eastAsia="ro-RO"/>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01828">
      <w:bodyDiv w:val="1"/>
      <w:marLeft w:val="0"/>
      <w:marRight w:val="0"/>
      <w:marTop w:val="0"/>
      <w:marBottom w:val="0"/>
      <w:divBdr>
        <w:top w:val="none" w:sz="0" w:space="0" w:color="auto"/>
        <w:left w:val="none" w:sz="0" w:space="0" w:color="auto"/>
        <w:bottom w:val="none" w:sz="0" w:space="0" w:color="auto"/>
        <w:right w:val="none" w:sz="0" w:space="0" w:color="auto"/>
      </w:divBdr>
    </w:div>
    <w:div w:id="1047295340">
      <w:bodyDiv w:val="1"/>
      <w:marLeft w:val="0"/>
      <w:marRight w:val="0"/>
      <w:marTop w:val="0"/>
      <w:marBottom w:val="0"/>
      <w:divBdr>
        <w:top w:val="none" w:sz="0" w:space="0" w:color="auto"/>
        <w:left w:val="none" w:sz="0" w:space="0" w:color="auto"/>
        <w:bottom w:val="none" w:sz="0" w:space="0" w:color="auto"/>
        <w:right w:val="none" w:sz="0" w:space="0" w:color="auto"/>
      </w:divBdr>
    </w:div>
    <w:div w:id="144876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30"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taxation_customs/sites/taxation/files/com_2016_148_ro.pdf" TargetMode="External"/><Relationship Id="rId13" Type="http://schemas.openxmlformats.org/officeDocument/2006/relationships/hyperlink" Target="http://eur-lex.europa.eu/LexUriServ/LexUriServ.do?uri=OJ:L:2013:347:0238:0252:ro:PDF" TargetMode="External"/><Relationship Id="rId3" Type="http://schemas.openxmlformats.org/officeDocument/2006/relationships/hyperlink" Target="http://ec.europa.eu/transparency/regexpert/index.cfm?do=groupDetail.groupDetailDoc&amp;id=26381&amp;no=1" TargetMode="External"/><Relationship Id="rId7" Type="http://schemas.openxmlformats.org/officeDocument/2006/relationships/hyperlink" Target="http://ec.europa.eu/growth/tools-databases/newsroom/cf/itemdetail.cfm?item_id=8852&amp;lang=ro" TargetMode="External"/><Relationship Id="rId12" Type="http://schemas.openxmlformats.org/officeDocument/2006/relationships/hyperlink" Target="http://eureka.sbs.ox.ac.uk/761/1/Social_Innovation.pdf" TargetMode="External"/><Relationship Id="rId2" Type="http://schemas.openxmlformats.org/officeDocument/2006/relationships/hyperlink" Target="https://cohesiondata.ec.europa.eu/themes/3" TargetMode="External"/><Relationship Id="rId16" Type="http://schemas.openxmlformats.org/officeDocument/2006/relationships/hyperlink" Target="http://eur-lex.europa.eu/legal-content/ro/TXT/PDF/?uri=CELEX:52016DC0581&amp;from=ro" TargetMode="External"/><Relationship Id="rId1" Type="http://schemas.openxmlformats.org/officeDocument/2006/relationships/hyperlink" Target="http://www.kauffman.org/blogs/policy-dialogue/2015/august/deconstructing-job-creation-from-startups" TargetMode="External"/><Relationship Id="rId6" Type="http://schemas.openxmlformats.org/officeDocument/2006/relationships/hyperlink" Target="http://ec.europa.eu/growth/single-market/strategy/collaborative-economy_ro" TargetMode="External"/><Relationship Id="rId11" Type="http://schemas.openxmlformats.org/officeDocument/2006/relationships/hyperlink" Target="https://ec.europa.eu/research/eic/pdf//eic_call_for_ideas-overview.pdf" TargetMode="External"/><Relationship Id="rId5" Type="http://schemas.openxmlformats.org/officeDocument/2006/relationships/hyperlink" Target="http://ec.europa.eu/growth/tools-databases/newsroom/cf/itemdetail.cfm?item_id=8723&amp;lang=ro" TargetMode="External"/><Relationship Id="rId15" Type="http://schemas.openxmlformats.org/officeDocument/2006/relationships/hyperlink" Target="http://www.un.org/sustainabledevelopment/sustainable-development-goals/" TargetMode="External"/><Relationship Id="rId10" Type="http://schemas.openxmlformats.org/officeDocument/2006/relationships/hyperlink" Target="https://ec.europa.eu/digital-single-market/en/news/updated-results-ongoing-pre-commercial-procurements-pcp-projects" TargetMode="External"/><Relationship Id="rId4" Type="http://schemas.openxmlformats.org/officeDocument/2006/relationships/hyperlink" Target="http://ec.europa.eu/eurostat/statistics-explained/index.php/Entrepreneurship_-_statistical_indicators" TargetMode="External"/><Relationship Id="rId9" Type="http://schemas.openxmlformats.org/officeDocument/2006/relationships/hyperlink" Target="http://eur-lex.europa.eu/legal-content/RO/TXT/?uri=CELEX:52016DC0179" TargetMode="External"/><Relationship Id="rId14" Type="http://schemas.openxmlformats.org/officeDocument/2006/relationships/hyperlink" Target="http://europa.eu/rapid/press-release_CES-12-60_en.htm?local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6b963b55-664c-4df9-9384-48ffbb749435">Not Started</EC_Collab_Status>
    <see_x0020_also xmlns="6b963b55-664c-4df9-9384-48ffbb749435">
      <Url xsi:nil="true"/>
      <Description xsi:nil="true"/>
    </see_x0020_also>
    <_Status xmlns="http://schemas.microsoft.com/sharepoint/v3/fields">Not Started</_Status>
    <EC_Collab_Reference xmlns="6b963b55-664c-4df9-9384-48ffbb749435" xsi:nil="true"/>
    <EC_Collab_DocumentLanguage xmlns="6b963b55-664c-4df9-9384-48ffbb749435">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49252DB641C1814EA88C2BA66C078CD9" ma:contentTypeVersion="2" ma:contentTypeDescription="Create a new document in this library." ma:contentTypeScope="" ma:versionID="bd151f7aadca48ccb229207852faebc7">
  <xsd:schema xmlns:xsd="http://www.w3.org/2001/XMLSchema" xmlns:xs="http://www.w3.org/2001/XMLSchema" xmlns:p="http://schemas.microsoft.com/office/2006/metadata/properties" xmlns:ns2="http://schemas.microsoft.com/sharepoint/v3/fields" xmlns:ns3="6b963b55-664c-4df9-9384-48ffbb749435" targetNamespace="http://schemas.microsoft.com/office/2006/metadata/properties" ma:root="true" ma:fieldsID="7d2ddf95bd19223e14f3ec53b45951c6" ns2:_="" ns3:_="">
    <xsd:import namespace="http://schemas.microsoft.com/sharepoint/v3/fields"/>
    <xsd:import namespace="6b963b55-664c-4df9-9384-48ffbb749435"/>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see_x0020_als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b963b55-664c-4df9-9384-48ffbb74943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ee_x0020_also" ma:index="16" nillable="true" ma:displayName="see also" ma:format="Hyperlink" ma:internalName="see_x0020_als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44D27-8A23-4822-933B-57B2C7947D1A}">
  <ds:schemaRefs>
    <ds:schemaRef ds:uri="http://purl.org/dc/elements/1.1/"/>
    <ds:schemaRef ds:uri="http://schemas.microsoft.com/office/infopath/2007/PartnerControls"/>
    <ds:schemaRef ds:uri="http://www.w3.org/XML/1998/namespace"/>
    <ds:schemaRef ds:uri="http://schemas.microsoft.com/office/2006/metadata/properties"/>
    <ds:schemaRef ds:uri="http://schemas.openxmlformats.org/package/2006/metadata/core-properties"/>
    <ds:schemaRef ds:uri="6b963b55-664c-4df9-9384-48ffbb749435"/>
    <ds:schemaRef ds:uri="http://schemas.microsoft.com/office/2006/documentManagement/types"/>
    <ds:schemaRef ds:uri="http://schemas.microsoft.com/sharepoint/v3/fields"/>
    <ds:schemaRef ds:uri="http://purl.org/dc/dcmitype/"/>
    <ds:schemaRef ds:uri="http://purl.org/dc/terms/"/>
  </ds:schemaRefs>
</ds:datastoreItem>
</file>

<file path=customXml/itemProps2.xml><?xml version="1.0" encoding="utf-8"?>
<ds:datastoreItem xmlns:ds="http://schemas.openxmlformats.org/officeDocument/2006/customXml" ds:itemID="{C20D3388-3D88-4C81-A382-302F78F86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b963b55-664c-4df9-9384-48ffbb7494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C162E7-555A-4AAC-9A3F-17384972D818}">
  <ds:schemaRefs>
    <ds:schemaRef ds:uri="http://schemas.microsoft.com/sharepoint/v3/contenttype/forms"/>
  </ds:schemaRefs>
</ds:datastoreItem>
</file>

<file path=customXml/itemProps4.xml><?xml version="1.0" encoding="utf-8"?>
<ds:datastoreItem xmlns:ds="http://schemas.openxmlformats.org/officeDocument/2006/customXml" ds:itemID="{F396CC40-6BBA-4ACC-8993-2E0189D2C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14</Pages>
  <Words>5947</Words>
  <Characters>35984</Characters>
  <Application>Microsoft Office Word</Application>
  <DocSecurity>0</DocSecurity>
  <Lines>492</Lines>
  <Paragraphs>147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CHAPTERS: (1-) (2-) (3-) (4-)</dc:description>
  <cp:lastModifiedBy>DIGIT/A3</cp:lastModifiedBy>
  <cp:revision>25</cp:revision>
  <cp:lastPrinted>2016-11-18T15:19:00Z</cp:lastPrinted>
  <dcterms:created xsi:type="dcterms:W3CDTF">2016-11-21T12:32:00Z</dcterms:created>
  <dcterms:modified xsi:type="dcterms:W3CDTF">2016-11-30T12:42:00Z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0x010100258AA79CEB83498886A3A086811232500049252DB641C1814EA88C2BA66C078CD9</vt:lpwstr>
  </property>
  <property fmtid="{D5CDD505-2E9C-101B-9397-08002B2CF9AE}" pid="6" name="DocStatus">
    <vt:lpwstr>Green</vt:lpwstr>
  </property>
</Properties>
</file>