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E47E0C944304039BA7F18F15D96135A" style="width:450.75pt;height:33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0" w:line="240" w:lineRule="auto"/>
        <w:jc w:val="center"/>
        <w:rPr>
          <w:rFonts w:ascii="Times New Roman" w:hAnsi="Times New Roman"/>
          <w:b/>
          <w:noProof/>
          <w:u w:val="single"/>
          <w:lang w:val="fr-FR"/>
        </w:rPr>
      </w:pPr>
      <w:bookmarkStart w:id="1" w:name="_ftnref2"/>
      <w:bookmarkStart w:id="2" w:name="_GoBack"/>
      <w:bookmarkEnd w:id="1"/>
      <w:bookmarkEnd w:id="2"/>
      <w:r>
        <w:rPr>
          <w:rFonts w:ascii="Times New Roman" w:hAnsi="Times New Roman"/>
          <w:b/>
          <w:noProof/>
          <w:u w:val="single"/>
          <w:lang w:val="fr-FR"/>
        </w:rPr>
        <w:lastRenderedPageBreak/>
        <w:t>Communication sur l'état d’avancement de la mise en œuvre des actions prioritaires prévues par l’agenda européen en matière de migration</w:t>
      </w:r>
    </w:p>
    <w:p>
      <w:pPr>
        <w:spacing w:after="0" w:line="240" w:lineRule="auto"/>
        <w:jc w:val="both"/>
        <w:rPr>
          <w:rFonts w:ascii="Times New Roman" w:hAnsi="Times New Roman"/>
          <w:b/>
          <w:noProof/>
          <w:u w:val="single"/>
          <w:lang w:val="fr-FR"/>
        </w:rPr>
      </w:pPr>
    </w:p>
    <w:p>
      <w:pPr>
        <w:spacing w:after="0" w:line="240" w:lineRule="auto"/>
        <w:jc w:val="both"/>
        <w:rPr>
          <w:rFonts w:ascii="Times New Roman" w:hAnsi="Times New Roman"/>
          <w:b/>
          <w:noProof/>
          <w:u w:val="single"/>
          <w:lang w:val="fr-FR"/>
        </w:rPr>
      </w:pPr>
    </w:p>
    <w:p>
      <w:pPr>
        <w:spacing w:after="0" w:line="240" w:lineRule="auto"/>
        <w:ind w:left="709" w:hanging="709"/>
        <w:jc w:val="both"/>
        <w:rPr>
          <w:rFonts w:ascii="Times New Roman" w:hAnsi="Times New Roman"/>
          <w:noProof/>
          <w:lang w:val="fr-FR"/>
        </w:rPr>
      </w:pPr>
      <w:r>
        <w:rPr>
          <w:rFonts w:ascii="Times New Roman" w:hAnsi="Times New Roman"/>
          <w:b/>
          <w:noProof/>
          <w:lang w:val="fr-FR"/>
        </w:rPr>
        <w:t>I</w:t>
      </w:r>
      <w:r>
        <w:rPr>
          <w:noProof/>
          <w:lang w:val="fr-FR"/>
        </w:rPr>
        <w:tab/>
      </w:r>
      <w:r>
        <w:rPr>
          <w:rFonts w:ascii="Times New Roman" w:hAnsi="Times New Roman"/>
          <w:b/>
          <w:noProof/>
          <w:lang w:val="fr-FR"/>
        </w:rPr>
        <w:t>INTRODUCTION: GESTION DE LA CRISE DES RÉFUGIÉS</w:t>
      </w:r>
    </w:p>
    <w:p>
      <w:pPr>
        <w:pStyle w:val="Default"/>
        <w:rPr>
          <w:noProof/>
          <w:sz w:val="22"/>
          <w:szCs w:val="22"/>
          <w:lang w:val="fr-FR"/>
        </w:rPr>
      </w:pPr>
    </w:p>
    <w:p>
      <w:pPr>
        <w:spacing w:after="0" w:line="240" w:lineRule="auto"/>
        <w:jc w:val="both"/>
        <w:rPr>
          <w:rFonts w:ascii="Times New Roman" w:hAnsi="Times New Roman"/>
          <w:i/>
          <w:noProof/>
          <w:lang w:val="fr-FR"/>
        </w:rPr>
      </w:pPr>
      <w:r>
        <w:rPr>
          <w:rFonts w:ascii="Times New Roman" w:hAnsi="Times New Roman"/>
          <w:i/>
          <w:noProof/>
          <w:lang w:val="fr-FR"/>
        </w:rPr>
        <w:t>Le monde compte plus de 60 millions de réfugiés ou de personnes déplacées à l'intérieur de leur propre pays, ce qui constitue la crise des réfugiés la plus grave depuis la seconde guerre mondiale.</w:t>
      </w:r>
      <w:r>
        <w:rPr>
          <w:rFonts w:ascii="Times New Roman" w:hAnsi="Times New Roman"/>
          <w:noProof/>
          <w:lang w:val="fr-FR"/>
        </w:rPr>
        <w:t xml:space="preserve"> </w:t>
      </w:r>
      <w:r>
        <w:rPr>
          <w:rFonts w:ascii="Times New Roman" w:hAnsi="Times New Roman"/>
          <w:i/>
          <w:noProof/>
          <w:lang w:val="fr-FR"/>
        </w:rPr>
        <w:t>Le conflit et la crise qui frappent la Syrie et d'autres pays ont agi comme un détonateur, mais les tendances démographiques de fond, le changement climatique, la pauvreté, la mondialisation des transports et les communications sont autant d'éléments qui ont également contribué au nombre record de migrants et de réfugiés qui sont arrivés dans l'Union européenne en 2015. Une inversion de ces facteurs est peu probable dans un avenir prévisible. En 2016, un renforcement radical du régime de migration de l'UE sera donc nécessaire. Nous ne pouvons plus nous contenter de parer aux conséquences de flux migratoires non contrôlés et irréguliers, nous devons nous rendre véritablement capables de gérer ces flux, en fournissant aux personnes ayant besoin d'une protection des possibilités légales et organisées d'accéder au territoire de l'UE et en identifiant et en renvoyant rapidement et de manière effective les personnes qui n'ont aucun droit de séjourner dans l'Union européenne.</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Le second semestre de l'année 2015 a été marqué par l'entrée illégale dans l'Union européenne d'un nombre sans précédent de personnes. Au plus fort du phénomène, en octobre 2015, plus de 200 000 personnes sont arrivées en Grèce en un mois. Même si ce nombre a ensuite considérablement diminué, tombant à un peu plus de 60 000 personnes en janvier, ces chiffres restent élevés pour des mois d'hiver, en comparaison des années précédentes. L’aggravation du conflit en Syrie ces derniers jours devrait entraîner un nouvel afflux de réfugiés en Turquie. Cela signifie que la solidarité européenne continuera d'être sollicitée, conformément aux responsabilités que l'UE assume au titre de la convention de Genève de 1951 relative au statut des réfugiés et aux valeurs humanitaires auxquelles tous les États membres de l'Union européenne ont souscrit. L'UE doit aussi faire en sorte qu'il ne soit plus nécessaire aux réfugiés d'entreprendre des voyages périlleux, en leur venant en aide plus près de chez eux. Si une diminution des flux est hautement souhaitable car les autorités nationales et locales sont souvent débordées, il ne faut pas espérer que la crise des réfugiés sera réglée avant que ses causes profondes – l'instabilité, la guerre et la terreur dans le voisinage immédiat de l'Europe, notamment la poursuite de la guerre et des atrocités en Syrie – ne soient définitivement éradiquées. La seule ligne de conduite responsable est de faire face à cette réalité, de l'expliquer ouvertement et honnêtement aux citoyens et de redoubler d'efforts pour gérer plus efficacement et de manière plus satisfaisante les conséquences de cette situation dans l'Union européenne, au moyen d'une approche européenne mieux coordonnée et dans le respect des règles et des valeurs communes de l'UE.</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Ces derniers mois, une route migratoire s'est dessinée en Méditerranée orientale et à travers les Balkans occidentaux, par laquelle les migrants progressent rapidement vers le nord, passant une frontière après l'autre, en contradiction fondamentale avec les principes du régime d’asile européen commun et les règles de Schengen. Cette situation a alors conduit plusieurs États membres à recourir à la réintroduction temporaire des contrôles aux frontières intérieures, remettant ainsi en question le bon fonctionnement de l'espace Schengen de libre circulation et ses avantages pour les citoyens européens et l'économie européenne. La sécurité est aussi extrêmement préoccupante, en particulier depuis la récente vague d'attentats terroristes commis sur le sol européen, et elle a été invoquée par certains États membres pour justifier l'application de mesures temporaires de ce type. L'objectif doit être de garantir que toute personne qui arrive dans l'UE est soumise à des contrôles de sécurité approfondis.</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lastRenderedPageBreak/>
        <w:t>Au cours des six derniers mois, la Commission européenne s'est employée, de façon constante et continue, à apporter une réponse européenne rapide et coordonnée. Elle a présenté une vaste série de propositions visant à doter les États membres des outils nécessaires pour gérer les arrivées en grand nombre, et beaucoup de ces propositions ont déjà été adoptées par le Parlement européen et le Conseil. Par le triplement de notre présence en mer, la création d'un nouveau mécanisme de solidarité d'urgence pour relocaliser les demandeurs d'asile à partir des pays les plus touchés, une mobilisation sans précédent du budget de l'UE (plus de 10 000 000 000 EUR) pour affronter la crise des réfugiés et venir en aide aux pays les plus touchés, la mise en place d'un nouveau cadre de coordination et de coopération pour les pays des Balkans occidentaux, le lancement d'un nouveau partenariat avec la Turquie et une proposition ambitieuse de création d'un nouveau corps européen de garde-frontières et de garde-côtes, nous renforçons de manière significative la politique européenne en matière d'asile et de migration pour que l'Union puisse relever les nouveaux défis auxquels elle fait face.</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Les éléments constitutifs fondamentaux d'un système durable de gestion des migrations sont certes désormais en place sur le papier, mais leur mise en œuvre rapide et intégrale sur le terrain fait défaut. En décembre, la Commission européenne a fait rapport sur l'état d'exécution des décisions prises par les États membres et a constaté que la mise en œuvre était trop lente. Deux mois plus tard, des progrès ont été accomplis sur un certain nombre de points. Il n'en demeure pas moins que plusieurs délais n'ont pas été respectés et que de nombreux engagements tardent encore à être honorés. Les responsabilités politiques doivent être assumées au plus haut niveau dans tous les États membres pour que les autorités nationales et locales puissent, avec le soutien et l'assistance que l'UE a mis à disposition au cours de ces derniers mois, mettre en œuvre l'action européenne coordonnée qui a été décidée pour faire face à la crise des réfugiés rapidement et de manière efficace sur le terrain.</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Le rétablissement de la bonne gestion des frontières sur la route de la Méditerranée orientale/des Balkans occidentaux constitue aujourd'hui la priorité absolue de l'Union européenne. Lors de la prochaine réunion du Conseil européen, les dirigeants devront s'engager à faire tout ce qui est nécessaire pour rétablir le bon fonctionnement du régime de migration et imposer le contrôle des flux irréguliers et incontrôlés par la route de la Méditerranée orientale/des Balkans occidentaux avant le printemps. Cela obligera tous les États membres à prendre des décisions difficiles, à agir avec détermination et à faire preuve de responsabilité et de solidarité.</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Il est particulièrement important que tous les États membres s'engagent à mettre fin à l'approche consistant à laisser passer les personnes qui indiquent qu'elles souhaitent demander l'asile ailleurs. Les personnes arrivant dans l'Union doivent savoir que si elles ont besoin d'une protection, elles la recevront, mais que ce n'est pas à elles de décider où. Si elles n'ont pas droit à une protection, elles seront renvoyées, dans le respect intégral du principe de non-refoulement.</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La Grèce et les pays situés en amont sur la route des Balkans occidentaux auront besoin d'un soutien important pour enregistrer efficacement les personnes ayant besoin d'une protection et examiner correctement leur situation, ainsi que pour renvoyer rapidement les autres migrants vers leur pays d'origine ou vers d'autres pays tiers sûrs par lesquels ils ont transité. Les autres États membres doivent honorer les engagements qu'ils ont pris concernant le partage de la responsabilité d'accueillir les personnes ayant besoin d'une protection et de leur offrir un refuge, en accélérant la mise en œuvre des programmes de relocalisation d'urgence, en place depuis septembre 2015 déjà. De ce fait, si la Grèce doit faire le nécessaire pour rétablir l'application normale du contrôle aux frontières extérieures de l'espace Schengen et des règles de Dublin, il ne saurait être question de la laisser subir seule les conséquences de la crise des réfugiés; elle devrait continuer à recevoir une aide financière et une assistance technique des institutions et agences de l'UE ainsi que de tous les autres États membres afin d'être en mesure d'assumer les responsabilités qui incombent à un État membre de première entrée conformément aux règles de l'UE adoptées d'un commun accord.</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lastRenderedPageBreak/>
        <w:t>La présente communication dresse le bilan de la mise en œuvre des actions décidées en réaction à la crise des réfugiés et énumère les domaines clés dans lesquels de nouvelles mesures s'imposent à très brève échéance pour reprendre le contrôle de la situation. La Commission fournira, avant le Conseil européen de mars, une autre contribution sur les changements plus fondamentaux nécessaires à une politique durable en matière de migration, et notamment une réforme du système de Dublin.</w:t>
      </w:r>
    </w:p>
    <w:p>
      <w:pPr>
        <w:rPr>
          <w:rFonts w:ascii="Times New Roman" w:eastAsia="Calibri" w:hAnsi="Times New Roman"/>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tc>
          <w:tcPr>
            <w:tcW w:w="9288" w:type="dxa"/>
            <w:shd w:val="clear" w:color="auto" w:fill="A6A6A6"/>
          </w:tcPr>
          <w:p>
            <w:pPr>
              <w:spacing w:after="0" w:line="240" w:lineRule="auto"/>
              <w:rPr>
                <w:rFonts w:ascii="Times New Roman" w:eastAsia="Calibri" w:hAnsi="Times New Roman"/>
                <w:b/>
                <w:noProof/>
                <w:lang w:val="fr-FR"/>
              </w:rPr>
            </w:pPr>
            <w:r>
              <w:rPr>
                <w:rFonts w:ascii="Times New Roman" w:hAnsi="Times New Roman"/>
                <w:b/>
                <w:noProof/>
                <w:lang w:val="fr-FR"/>
              </w:rPr>
              <w:t>Pour contribuer à gérer efficacement la crise des réfugiés, les dirigeants devraient, lors de la réunion du Conseil européen de février, s'engager à:</w:t>
            </w:r>
          </w:p>
          <w:p>
            <w:pPr>
              <w:spacing w:after="0" w:line="240" w:lineRule="auto"/>
              <w:ind w:left="426"/>
              <w:rPr>
                <w:rFonts w:ascii="Times New Roman" w:eastAsia="Calibri" w:hAnsi="Times New Roman"/>
                <w:b/>
                <w:noProof/>
                <w:lang w:val="fr-FR"/>
              </w:rPr>
            </w:pPr>
          </w:p>
          <w:p>
            <w:pPr>
              <w:numPr>
                <w:ilvl w:val="0"/>
                <w:numId w:val="26"/>
              </w:numPr>
              <w:spacing w:after="0" w:line="240" w:lineRule="auto"/>
              <w:jc w:val="both"/>
              <w:rPr>
                <w:rFonts w:ascii="Times New Roman" w:eastAsia="Calibri" w:hAnsi="Times New Roman"/>
                <w:noProof/>
                <w:lang w:val="fr-FR"/>
              </w:rPr>
            </w:pPr>
            <w:r>
              <w:rPr>
                <w:rFonts w:ascii="Times New Roman" w:hAnsi="Times New Roman"/>
                <w:noProof/>
                <w:lang w:val="fr-FR"/>
              </w:rPr>
              <w:t>achever sans tarder la mise en place de centres de crise («hotspots») en Grèce et en Italie afin de garantir l'enregistrement des migrants et des réfugiés et leur prise en charge, conformément au principe selon lequel personne ne devrait entrer dans l'UE sans avoir été correctement enregistré et soumis au relevé de ses empreintes digitales; un soutien ciblé de l'UE visera à garantir le renforcement des capacités d'accueil et le bon fonctionnement des procédures d'asile et de retour;</w:t>
            </w:r>
          </w:p>
          <w:p>
            <w:pPr>
              <w:numPr>
                <w:ilvl w:val="0"/>
                <w:numId w:val="26"/>
              </w:numPr>
              <w:spacing w:after="0" w:line="240" w:lineRule="auto"/>
              <w:jc w:val="both"/>
              <w:rPr>
                <w:rFonts w:ascii="Times New Roman" w:eastAsia="Calibri" w:hAnsi="Times New Roman"/>
                <w:noProof/>
                <w:lang w:val="fr-FR"/>
              </w:rPr>
            </w:pPr>
            <w:r>
              <w:rPr>
                <w:rFonts w:ascii="Times New Roman" w:hAnsi="Times New Roman"/>
                <w:noProof/>
                <w:lang w:val="fr-FR"/>
              </w:rPr>
              <w:t>mettre fin à l'approche consistant à laisser passer tout le monde et faire instamment appliquer les règles de l'UE en matière d'asile et de gestion des frontières;</w:t>
            </w:r>
          </w:p>
          <w:p>
            <w:pPr>
              <w:numPr>
                <w:ilvl w:val="0"/>
                <w:numId w:val="26"/>
              </w:numPr>
              <w:spacing w:after="0" w:line="240" w:lineRule="auto"/>
              <w:jc w:val="both"/>
              <w:rPr>
                <w:rFonts w:ascii="Times New Roman" w:eastAsia="Calibri" w:hAnsi="Times New Roman"/>
                <w:noProof/>
                <w:lang w:val="fr-FR"/>
              </w:rPr>
            </w:pPr>
            <w:r>
              <w:rPr>
                <w:rFonts w:ascii="Times New Roman" w:hAnsi="Times New Roman"/>
                <w:noProof/>
                <w:lang w:val="fr-FR"/>
              </w:rPr>
              <w:t>accélérer sensiblement la mise en œuvre du programme de relocalisation adopté, pour soulager l'Italie et la Grèce;</w:t>
            </w:r>
          </w:p>
          <w:p>
            <w:pPr>
              <w:numPr>
                <w:ilvl w:val="0"/>
                <w:numId w:val="26"/>
              </w:numPr>
              <w:spacing w:after="0" w:line="240" w:lineRule="auto"/>
              <w:jc w:val="both"/>
              <w:rPr>
                <w:rFonts w:ascii="Times New Roman" w:eastAsia="Calibri" w:hAnsi="Times New Roman"/>
                <w:noProof/>
                <w:lang w:val="fr-FR"/>
              </w:rPr>
            </w:pPr>
            <w:r>
              <w:rPr>
                <w:rFonts w:ascii="Times New Roman" w:hAnsi="Times New Roman"/>
                <w:noProof/>
                <w:lang w:val="fr-FR"/>
              </w:rPr>
              <w:t>recourir davantage et de manière plus cohérente aux dispositions permettant le retour des demandeurs d'asile dans des pays tiers sûrs;</w:t>
            </w:r>
          </w:p>
          <w:p>
            <w:pPr>
              <w:numPr>
                <w:ilvl w:val="0"/>
                <w:numId w:val="26"/>
              </w:numPr>
              <w:spacing w:after="0" w:line="240" w:lineRule="auto"/>
              <w:jc w:val="both"/>
              <w:rPr>
                <w:rFonts w:ascii="Times New Roman" w:eastAsia="Calibri" w:hAnsi="Times New Roman"/>
                <w:noProof/>
                <w:lang w:val="fr-FR"/>
              </w:rPr>
            </w:pPr>
            <w:r>
              <w:rPr>
                <w:rFonts w:ascii="Times New Roman" w:hAnsi="Times New Roman"/>
                <w:noProof/>
                <w:lang w:val="fr-FR"/>
              </w:rPr>
              <w:t>mettre en œuvre l'approche décidée concernant une coopération et une coordination plus poussées entre les pays situés le long de la route des Balkans occidentaux;</w:t>
            </w:r>
          </w:p>
          <w:p>
            <w:pPr>
              <w:numPr>
                <w:ilvl w:val="0"/>
                <w:numId w:val="26"/>
              </w:numPr>
              <w:spacing w:after="0" w:line="240" w:lineRule="auto"/>
              <w:jc w:val="both"/>
              <w:rPr>
                <w:rFonts w:ascii="Times New Roman" w:eastAsia="Calibri" w:hAnsi="Times New Roman"/>
                <w:noProof/>
                <w:lang w:val="fr-FR"/>
              </w:rPr>
            </w:pPr>
            <w:r>
              <w:rPr>
                <w:rFonts w:ascii="Times New Roman" w:hAnsi="Times New Roman"/>
                <w:noProof/>
                <w:lang w:val="fr-FR"/>
              </w:rPr>
              <w:t>intensifier considérablement les efforts déployés sur tous les plans pour garantir des réadmissions et des retours effectifs et s'attaquer aux causes profondes des migrations, en maximisant tous les moyens à disposition, notamment les préférences commerciales et l'aide au développement, pour assurer l'engagement des pays tiers en faveur de résultats concrets;</w:t>
            </w:r>
          </w:p>
          <w:p>
            <w:pPr>
              <w:numPr>
                <w:ilvl w:val="0"/>
                <w:numId w:val="26"/>
              </w:numPr>
              <w:spacing w:after="0" w:line="240" w:lineRule="auto"/>
              <w:jc w:val="both"/>
              <w:rPr>
                <w:rFonts w:ascii="Times New Roman" w:eastAsia="Calibri" w:hAnsi="Times New Roman"/>
                <w:noProof/>
                <w:lang w:val="fr-FR"/>
              </w:rPr>
            </w:pPr>
            <w:r>
              <w:rPr>
                <w:rFonts w:ascii="Times New Roman" w:hAnsi="Times New Roman"/>
                <w:noProof/>
                <w:lang w:val="fr-FR"/>
              </w:rPr>
              <w:t>poursuivre les actions menées dans le cadre du plan d'action commun UE-Turquie pour tarir les flux en provenance de Turquie et mettre rapidement en œuvre les projets relevant de la facilité en faveur des réfugiés en Turquie;</w:t>
            </w:r>
          </w:p>
          <w:p>
            <w:pPr>
              <w:numPr>
                <w:ilvl w:val="0"/>
                <w:numId w:val="26"/>
              </w:numPr>
              <w:spacing w:after="0" w:line="240" w:lineRule="auto"/>
              <w:jc w:val="both"/>
              <w:rPr>
                <w:rFonts w:ascii="Times New Roman" w:eastAsia="Calibri" w:hAnsi="Times New Roman"/>
                <w:noProof/>
                <w:lang w:val="fr-FR"/>
              </w:rPr>
            </w:pPr>
            <w:r>
              <w:rPr>
                <w:rFonts w:ascii="Times New Roman" w:hAnsi="Times New Roman"/>
                <w:noProof/>
                <w:lang w:val="fr-FR"/>
              </w:rPr>
              <w:t>renforcer les contrôles aux frontières extérieures en adoptant la proposition relative au corps européen de garde-frontières et de garde-côtes, au plus tard en juin, et en rendant ce corps opérationnel pendant l'été;</w:t>
            </w:r>
          </w:p>
          <w:p>
            <w:pPr>
              <w:numPr>
                <w:ilvl w:val="0"/>
                <w:numId w:val="26"/>
              </w:numPr>
              <w:spacing w:after="0" w:line="240" w:lineRule="auto"/>
              <w:jc w:val="both"/>
              <w:rPr>
                <w:rFonts w:ascii="Times New Roman" w:eastAsia="Calibri" w:hAnsi="Times New Roman"/>
                <w:noProof/>
                <w:lang w:val="fr-FR"/>
              </w:rPr>
            </w:pPr>
            <w:r>
              <w:rPr>
                <w:rFonts w:ascii="Times New Roman" w:hAnsi="Times New Roman"/>
                <w:noProof/>
                <w:lang w:val="fr-FR"/>
              </w:rPr>
              <w:t>prendre en charge les besoins fondamentaux des migrants et des réfugiés les plus vulnérables, notamment des enfants;</w:t>
            </w:r>
          </w:p>
          <w:p>
            <w:pPr>
              <w:numPr>
                <w:ilvl w:val="0"/>
                <w:numId w:val="26"/>
              </w:numPr>
              <w:spacing w:after="0" w:line="240" w:lineRule="auto"/>
              <w:jc w:val="both"/>
              <w:rPr>
                <w:rFonts w:ascii="Times New Roman" w:eastAsia="Calibri" w:hAnsi="Times New Roman"/>
                <w:noProof/>
                <w:lang w:val="fr-FR"/>
              </w:rPr>
            </w:pPr>
            <w:r>
              <w:rPr>
                <w:rFonts w:ascii="Times New Roman" w:hAnsi="Times New Roman"/>
                <w:noProof/>
                <w:lang w:val="fr-FR"/>
              </w:rPr>
              <w:t>renforcer la capacité de l'UE à apporter une aide humanitaire aux pays tiers et mettre en place les capacités nécessaires pour fournir une aide humanitaire au sein de l'UE, afin de soutenir les pays confrontés à un grand nombre de réfugiés et de migrants;</w:t>
            </w:r>
          </w:p>
          <w:p>
            <w:pPr>
              <w:numPr>
                <w:ilvl w:val="0"/>
                <w:numId w:val="26"/>
              </w:numPr>
              <w:spacing w:after="0" w:line="240" w:lineRule="auto"/>
              <w:jc w:val="both"/>
              <w:rPr>
                <w:rFonts w:ascii="Times New Roman" w:eastAsia="Calibri" w:hAnsi="Times New Roman"/>
                <w:noProof/>
                <w:lang w:val="fr-FR"/>
              </w:rPr>
            </w:pPr>
            <w:r>
              <w:rPr>
                <w:rFonts w:ascii="Times New Roman" w:hAnsi="Times New Roman"/>
                <w:noProof/>
                <w:lang w:val="fr-FR"/>
              </w:rPr>
              <w:t>accroître le soutien de l'UE aux réfugiés syriens, notamment en ouvrant des filières d'accès légales, au moyen de la réinstallation et de l'approbation du programme d'admission humanitaire volontaire en association avec la Turquie, comme la Commission l'a recommandé le 15 décembre 2015.</w:t>
            </w:r>
          </w:p>
          <w:p>
            <w:pPr>
              <w:spacing w:after="0" w:line="240" w:lineRule="auto"/>
              <w:jc w:val="both"/>
              <w:rPr>
                <w:rFonts w:ascii="Times New Roman" w:eastAsia="Calibri" w:hAnsi="Times New Roman"/>
                <w:noProof/>
                <w:lang w:val="fr-FR"/>
              </w:rPr>
            </w:pPr>
          </w:p>
          <w:p>
            <w:pPr>
              <w:spacing w:after="0" w:line="240" w:lineRule="auto"/>
              <w:rPr>
                <w:rFonts w:ascii="Times New Roman" w:eastAsia="Calibri" w:hAnsi="Times New Roman"/>
                <w:noProof/>
                <w:lang w:val="fr-FR"/>
              </w:rPr>
            </w:pPr>
          </w:p>
        </w:tc>
      </w:tr>
    </w:tbl>
    <w:p>
      <w:pPr>
        <w:rPr>
          <w:rFonts w:ascii="Times New Roman" w:eastAsia="Calibri" w:hAnsi="Times New Roman"/>
          <w:noProof/>
          <w:lang w:val="fr-FR"/>
        </w:rPr>
      </w:pPr>
    </w:p>
    <w:p>
      <w:pPr>
        <w:spacing w:after="0" w:line="240" w:lineRule="auto"/>
        <w:jc w:val="both"/>
        <w:rPr>
          <w:rFonts w:ascii="Times New Roman" w:hAnsi="Times New Roman"/>
          <w:b/>
          <w:noProof/>
          <w:u w:val="single"/>
          <w:lang w:val="fr-FR"/>
        </w:rPr>
      </w:pPr>
      <w:r>
        <w:rPr>
          <w:rFonts w:ascii="Times New Roman" w:hAnsi="Times New Roman"/>
          <w:b/>
          <w:noProof/>
          <w:lang w:val="fr-FR"/>
        </w:rPr>
        <w:t>II</w:t>
      </w:r>
      <w:r>
        <w:rPr>
          <w:noProof/>
          <w:lang w:val="fr-FR"/>
        </w:rPr>
        <w:tab/>
      </w:r>
      <w:r>
        <w:rPr>
          <w:rFonts w:ascii="Times New Roman" w:hAnsi="Times New Roman"/>
          <w:b/>
          <w:noProof/>
          <w:lang w:val="fr-FR"/>
        </w:rPr>
        <w:t>CE QUI A DÉJÀ ÉTÉ FAIT</w:t>
      </w:r>
    </w:p>
    <w:p>
      <w:pPr>
        <w:spacing w:after="0" w:line="240" w:lineRule="auto"/>
        <w:jc w:val="both"/>
        <w:rPr>
          <w:rFonts w:ascii="Times New Roman" w:hAnsi="Times New Roman"/>
          <w:b/>
          <w:noProof/>
          <w:lang w:val="fr-FR"/>
        </w:rPr>
      </w:pPr>
    </w:p>
    <w:p>
      <w:pPr>
        <w:spacing w:after="0" w:line="240" w:lineRule="auto"/>
        <w:jc w:val="both"/>
        <w:rPr>
          <w:rFonts w:ascii="Times New Roman" w:hAnsi="Times New Roman"/>
          <w:b/>
          <w:noProof/>
          <w:lang w:val="fr-FR"/>
        </w:rPr>
      </w:pPr>
      <w:r>
        <w:rPr>
          <w:rFonts w:ascii="Times New Roman" w:hAnsi="Times New Roman"/>
          <w:b/>
          <w:noProof/>
          <w:lang w:val="fr-FR"/>
        </w:rPr>
        <w:t>II.1</w:t>
      </w:r>
      <w:r>
        <w:rPr>
          <w:noProof/>
          <w:lang w:val="fr-FR"/>
        </w:rPr>
        <w:tab/>
      </w:r>
      <w:r>
        <w:rPr>
          <w:rFonts w:ascii="Times New Roman" w:hAnsi="Times New Roman"/>
          <w:b/>
          <w:noProof/>
          <w:lang w:val="fr-FR"/>
        </w:rPr>
        <w:t>Mesures opérationnelles</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b/>
          <w:i/>
          <w:noProof/>
          <w:lang w:val="fr-FR"/>
        </w:rPr>
      </w:pPr>
      <w:r>
        <w:rPr>
          <w:rFonts w:ascii="Times New Roman" w:hAnsi="Times New Roman"/>
          <w:b/>
          <w:i/>
          <w:noProof/>
          <w:lang w:val="fr-FR"/>
        </w:rPr>
        <w:lastRenderedPageBreak/>
        <w:t>Gérer les flux entrants de migrants et de réfugiés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Le sauvetage en mer a été la première priorité de l'Union européenne. Au cours de l'année 2015, l’opération conjointe </w:t>
      </w:r>
      <w:r>
        <w:rPr>
          <w:rFonts w:ascii="Times New Roman" w:hAnsi="Times New Roman"/>
          <w:b/>
          <w:noProof/>
          <w:lang w:val="fr-FR"/>
        </w:rPr>
        <w:t xml:space="preserve">Triton </w:t>
      </w:r>
      <w:r>
        <w:rPr>
          <w:rFonts w:ascii="Times New Roman" w:hAnsi="Times New Roman"/>
          <w:noProof/>
          <w:lang w:val="fr-FR"/>
        </w:rPr>
        <w:t xml:space="preserve">et l'opération conjointe </w:t>
      </w:r>
      <w:r>
        <w:rPr>
          <w:rFonts w:ascii="Times New Roman" w:hAnsi="Times New Roman"/>
          <w:b/>
          <w:noProof/>
          <w:lang w:val="fr-FR"/>
        </w:rPr>
        <w:t>Poséidon</w:t>
      </w:r>
      <w:r>
        <w:rPr>
          <w:rFonts w:ascii="Times New Roman" w:hAnsi="Times New Roman"/>
          <w:noProof/>
          <w:lang w:val="fr-FR"/>
        </w:rPr>
        <w:t>, coordonnées par Frontex, ont permis de sauver plus de 250 000 personnes</w:t>
      </w:r>
      <w:r>
        <w:rPr>
          <w:rStyle w:val="FootnoteReference"/>
          <w:rFonts w:ascii="Times New Roman" w:hAnsi="Times New Roman"/>
          <w:noProof/>
        </w:rPr>
        <w:footnoteReference w:id="1"/>
      </w:r>
      <w:r>
        <w:rPr>
          <w:rFonts w:ascii="Times New Roman" w:hAnsi="Times New Roman"/>
          <w:noProof/>
          <w:lang w:val="fr-FR"/>
        </w:rPr>
        <w:t>. Ces interventions, conjuguées au déploiement d'équipes d'intervention rapide aux frontières de Frontex en mer Égée, ont contribué à repérer plus d'un million d'immigrants en situation irrégulière et à arrêter plus de 900 passeurs présumés.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L'action de l'UE vise aussi directement le trafic de migrants. Dans la partie sud de la Méditerranée centrale, l'EU NAVFOR MED opération SOPHIA est entrée avec succès dans une phase permettant de procéder à l'arraisonnement, à la fouille, à la saisie et au déroutement, dans les eaux internationales, des navires et des embarcations soupçonnés d'être utilisés pour la traite d'êtres humains ou le trafic de migrants. À ce jour, cette opération a permis de secourir plus de 9 000 personnes et elle est prête à étendre ses activités aux eaux territoriales libyennes, si l'évolution de la situation institutionnelle et politique en Libye le permet.</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color w:val="000000"/>
          <w:lang w:val="fr-FR"/>
        </w:rPr>
        <w:t>Les agences de l'UE, Europol, Frontex et Eurojust, ont accru leur capacité à lutter contre le trafic de migrants, par un renforcement de la coordination, des ressources supplémentaires et une présence permanente dans les États membres sous pression. Cela inclut la collecte de renseignements sur place, dans les centres de crise, pour aider les autorités nationales à recueillir des informations et à lancer des enquêtes. En 2015, 10 735 nouveaux suspects liés au trafic de migrants ont été introduits dans la base de données d'Europol, qui dispose actuellement de renseignements sur plus de 38 600 suspects. Europol lancera sous peu, le 22 février, le centre européen chargé de lutter contre le trafic de migrants, une plateforme européenne d'informations sur le trafic de migrants</w:t>
      </w:r>
      <w:r>
        <w:rPr>
          <w:rStyle w:val="FootnoteReference"/>
          <w:rFonts w:ascii="Times New Roman" w:hAnsi="Times New Roman"/>
          <w:noProof/>
        </w:rPr>
        <w:footnoteReference w:id="2"/>
      </w:r>
      <w:r>
        <w:rPr>
          <w:noProof/>
          <w:lang w:val="fr-FR"/>
        </w:rPr>
        <w:t>.</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sz w:val="24"/>
          <w:szCs w:val="24"/>
          <w:lang w:val="fr-FR"/>
        </w:rPr>
      </w:pPr>
      <w:r>
        <w:rPr>
          <w:rFonts w:ascii="Times New Roman" w:hAnsi="Times New Roman"/>
          <w:noProof/>
          <w:lang w:val="fr-FR"/>
        </w:rPr>
        <w:t xml:space="preserve">S'appuyant sur un soutien solide et ciblé de l'UE, la Grèce et l'Italie ont commencé à mettre en place (et, dans certains cas, ont terminé de le faire) des </w:t>
      </w:r>
      <w:r>
        <w:rPr>
          <w:rFonts w:ascii="Times New Roman" w:hAnsi="Times New Roman"/>
          <w:b/>
          <w:noProof/>
          <w:lang w:val="fr-FR"/>
        </w:rPr>
        <w:t>centres de crise</w:t>
      </w:r>
      <w:r>
        <w:rPr>
          <w:rStyle w:val="FootnoteReference"/>
          <w:rFonts w:ascii="Times New Roman" w:hAnsi="Times New Roman"/>
          <w:noProof/>
        </w:rPr>
        <w:footnoteReference w:id="3"/>
      </w:r>
      <w:r>
        <w:rPr>
          <w:rFonts w:ascii="Times New Roman" w:hAnsi="Times New Roman"/>
          <w:noProof/>
          <w:lang w:val="fr-FR"/>
        </w:rPr>
        <w:t xml:space="preserve"> assurant le filtrage, l'identification et le relevé des empreintes digitales des ressortissants de pays tiers arrivant illégalement à la frontière extérieure de l'UE. L'enregistrement est une première étape cruciale dans le contrôle et la gestion des flux. Les centres de crise sont conçus pour permettre à des équipes intégrées d'agents frontaliers de travailler dans des installations prévues à cet effet, 24 heures sur 24 et 7 jours sur 7. Toute personne arrivant à une frontière extérieure devrait être enregistrée et ses empreintes digitales devraient être relevées et ses papiers d'identité vérifiés à l'aide de bases de données de sécurité nationales et internationales. Les ressortissants de pays tiers arrivant illégalement devraient alors être orientés vers un des trois systèmes suivants: le système d'asile national, le système de relocalisation européen ou le système de retour. </w:t>
      </w:r>
      <w:r>
        <w:rPr>
          <w:rFonts w:ascii="Times New Roman" w:hAnsi="Times New Roman"/>
          <w:b/>
          <w:noProof/>
          <w:lang w:val="fr-FR"/>
        </w:rPr>
        <w:t>La part des migrants dont les empreintes digitales ont été versées dans la base de données Eurodac est passée, entre septembre 2015 et janvier 2016, de 8 % à 78 % en Grèce et de 36 % à 87 % en Italie</w:t>
      </w:r>
      <w:r>
        <w:rPr>
          <w:rStyle w:val="FootnoteReference"/>
          <w:rFonts w:ascii="Times New Roman" w:hAnsi="Times New Roman"/>
          <w:noProof/>
        </w:rPr>
        <w:footnoteReference w:id="4"/>
      </w:r>
      <w:r>
        <w:rPr>
          <w:rFonts w:ascii="Times New Roman" w:hAnsi="Times New Roman"/>
          <w:noProof/>
          <w:lang w:val="fr-FR"/>
        </w:rPr>
        <w:t xml:space="preserve">. Ces chiffres devraient encore s'améliorer à mesure que les centres de crise deviennent pleinement opérationnels. La Commission dispose, dans ces deux États membres, d'une </w:t>
      </w:r>
      <w:r>
        <w:rPr>
          <w:rFonts w:ascii="Times New Roman" w:hAnsi="Times New Roman"/>
          <w:noProof/>
          <w:lang w:val="fr-FR"/>
        </w:rPr>
        <w:lastRenderedPageBreak/>
        <w:t>présence permanente qui a pour mission exclusive d'épauler les autorités nationales. Seuls 518 agents Frontex et 21 experts de l'EASO sont actuellement déployés dans les centres de crise, ce qui est loin de couvrir les besoins. L'appel lancé aux États membres concernant les équipes d'intervention rapide a eu plus de succès</w:t>
      </w:r>
      <w:r>
        <w:rPr>
          <w:rStyle w:val="FootnoteReference"/>
          <w:noProof/>
        </w:rPr>
        <w:footnoteReference w:id="5"/>
      </w:r>
      <w:r>
        <w:rPr>
          <w:rFonts w:ascii="Times New Roman" w:hAnsi="Times New Roman"/>
          <w:noProof/>
          <w:lang w:val="fr-FR"/>
        </w:rPr>
        <w:t>.</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La Commission a mobilisé le budget de l'UE de manière inédite pour consacrer plus de 10 000 000 0000 EUR à la crise des réfugiés. À titre d'exemple, un renforcement de l'aide financière d'urgence a permis de débloquer 174 000 000 EUR en 2015; ce montant a rapidement été mis à disposition et a été entièrement dépensé avant la fin de l'année. En 2016, 161 000 000 EUR ont été mis à disposition de la même manière. Environ 146 000 000 EUR ont été octroyés à la Grèce au titre de l'aide financière d'urgence.</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Un autre élément important dans le soutien apporté par l'UE a été la </w:t>
      </w:r>
      <w:r>
        <w:rPr>
          <w:rFonts w:ascii="Times New Roman" w:hAnsi="Times New Roman"/>
          <w:b/>
          <w:noProof/>
          <w:lang w:val="fr-FR"/>
        </w:rPr>
        <w:t>relocalisation</w:t>
      </w:r>
      <w:r>
        <w:rPr>
          <w:rFonts w:ascii="Times New Roman" w:hAnsi="Times New Roman"/>
          <w:noProof/>
          <w:lang w:val="fr-FR"/>
        </w:rPr>
        <w:t>. La réglementation et les structures sont en place pour permettre la relocalisation d'urgence vers d'autres États membres de 160 000 personnes ayant manifestement besoin d'une protection internationale</w:t>
      </w:r>
      <w:r>
        <w:rPr>
          <w:rStyle w:val="FootnoteReference"/>
          <w:rFonts w:ascii="Times New Roman" w:hAnsi="Times New Roman"/>
          <w:noProof/>
        </w:rPr>
        <w:footnoteReference w:id="6"/>
      </w:r>
      <w:r>
        <w:rPr>
          <w:rFonts w:ascii="Times New Roman" w:hAnsi="Times New Roman"/>
          <w:noProof/>
          <w:lang w:val="fr-FR"/>
        </w:rPr>
        <w:t>. 640 000 000 EUR ont été prélevés sur le budget de l'UE pour faciliter la relocalisation</w:t>
      </w:r>
      <w:r>
        <w:rPr>
          <w:rStyle w:val="FootnoteReference"/>
          <w:rFonts w:ascii="Times New Roman" w:hAnsi="Times New Roman"/>
          <w:noProof/>
        </w:rPr>
        <w:footnoteReference w:id="7"/>
      </w:r>
      <w:r>
        <w:rPr>
          <w:rFonts w:ascii="Times New Roman" w:hAnsi="Times New Roman"/>
          <w:noProof/>
          <w:lang w:val="fr-FR"/>
        </w:rPr>
        <w:t>. Toutefois, le taux de mise en œuvre est largement inférieur à ce qui est nécessaire (voir la section consacrée à la relocalisation et l'annexe 4).</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En réaction à la forte pression migratoire et en particulier aux difficultés rencontrées par la Suède, la Commission a proposé, en décembre, que les obligations de relocalisation de cette dernière soient temporairement suspendues. Elle a maintenant aussi proposé une suspension similaire des obligations de relocalisation incombant à l'Autriche.</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En décembre, la Commission a approuvé un programme de 80 000 000 EUR visant à aider à construire des </w:t>
      </w:r>
      <w:r>
        <w:rPr>
          <w:rFonts w:ascii="Times New Roman" w:hAnsi="Times New Roman"/>
          <w:b/>
          <w:noProof/>
          <w:lang w:val="fr-FR"/>
        </w:rPr>
        <w:t>capacités d'accueil</w:t>
      </w:r>
      <w:r>
        <w:rPr>
          <w:rFonts w:ascii="Times New Roman" w:hAnsi="Times New Roman"/>
          <w:noProof/>
          <w:lang w:val="fr-FR"/>
        </w:rPr>
        <w:t xml:space="preserve"> pour héberger les migrants et les réfugiés en Grèce, avec pour objectif de créer 50 000 places supplémentaires, notamment un réseau de 20 000 places destinées aux demandeurs d'asile et gérées par le Haut-Commissariat des Nations unies pour les réfugiés (HCR) à l'aide d'un système de bons de logement, ainsi que pour soutenir la création de 7 000 places dans les zones de crise («hotspot areas»). 14 950 places ont été mises à disposition dans le cadre du système de bons.</w:t>
      </w:r>
    </w:p>
    <w:p>
      <w:pPr>
        <w:widowControl w:val="0"/>
        <w:tabs>
          <w:tab w:val="left" w:pos="720"/>
        </w:tabs>
        <w:spacing w:after="0" w:line="240" w:lineRule="auto"/>
        <w:jc w:val="both"/>
        <w:rPr>
          <w:rFonts w:ascii="Times New Roman" w:hAnsi="Times New Roman"/>
          <w:noProof/>
          <w:lang w:val="fr-FR"/>
        </w:rPr>
      </w:pPr>
    </w:p>
    <w:p>
      <w:pPr>
        <w:widowControl w:val="0"/>
        <w:tabs>
          <w:tab w:val="left" w:pos="720"/>
        </w:tabs>
        <w:spacing w:after="0" w:line="240" w:lineRule="auto"/>
        <w:jc w:val="both"/>
        <w:rPr>
          <w:rFonts w:ascii="Times New Roman" w:hAnsi="Times New Roman"/>
          <w:noProof/>
          <w:lang w:val="fr-FR"/>
        </w:rPr>
      </w:pPr>
      <w:r>
        <w:rPr>
          <w:rFonts w:ascii="Times New Roman" w:hAnsi="Times New Roman"/>
          <w:noProof/>
          <w:lang w:val="fr-FR"/>
        </w:rPr>
        <w:t xml:space="preserve">La Commission a créé une task force consacrée à la stratégie d'information des migrants, chargée de définir et de diffuser les </w:t>
      </w:r>
      <w:r>
        <w:rPr>
          <w:rFonts w:ascii="Times New Roman" w:hAnsi="Times New Roman"/>
          <w:b/>
          <w:noProof/>
          <w:lang w:val="fr-FR"/>
        </w:rPr>
        <w:t xml:space="preserve">informations </w:t>
      </w:r>
      <w:r>
        <w:rPr>
          <w:rFonts w:ascii="Times New Roman" w:hAnsi="Times New Roman"/>
          <w:noProof/>
          <w:lang w:val="fr-FR"/>
        </w:rPr>
        <w:t>utiles aux demandeurs d'asile concernant leurs droits et leurs obligations. Il est primordial que les personnes sachent qu'elles ont le droit de demander l'asile, mais pas celui de choisir dans quel État membre, et qu'elles soient correctement informées des incidences du programme de relocalisation. Le premier dossier d’information sur le droit d'asile et la relocalisation est disponible en 14 langues</w:t>
      </w:r>
      <w:r>
        <w:rPr>
          <w:rStyle w:val="FootnoteReference"/>
          <w:rFonts w:ascii="Times New Roman" w:hAnsi="Times New Roman"/>
          <w:noProof/>
        </w:rPr>
        <w:footnoteReference w:id="8"/>
      </w:r>
      <w:r>
        <w:rPr>
          <w:rFonts w:ascii="Times New Roman" w:hAnsi="Times New Roman"/>
          <w:noProof/>
          <w:lang w:val="fr-FR"/>
        </w:rPr>
        <w:t xml:space="preserve"> et est actuellement utilisé par l'EASO dans les centres de crise.</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i/>
          <w:noProof/>
          <w:lang w:val="fr-FR"/>
        </w:rPr>
        <w:lastRenderedPageBreak/>
        <w:t>Solidarité et responsabilité</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Le</w:t>
      </w:r>
      <w:r>
        <w:rPr>
          <w:noProof/>
          <w:lang w:val="fr-FR"/>
        </w:rPr>
        <w:t xml:space="preserve"> </w:t>
      </w:r>
      <w:r>
        <w:rPr>
          <w:rFonts w:ascii="Times New Roman" w:hAnsi="Times New Roman"/>
          <w:b/>
          <w:noProof/>
          <w:lang w:val="fr-FR"/>
        </w:rPr>
        <w:t>mécanisme de protection civile de l'UE</w:t>
      </w:r>
      <w:r>
        <w:rPr>
          <w:rFonts w:ascii="Times New Roman" w:hAnsi="Times New Roman"/>
          <w:noProof/>
          <w:lang w:val="fr-FR"/>
        </w:rPr>
        <w:t xml:space="preserve"> (MPCU) a été utilisé pour soutenir cinq pays, quatre demandes étant encore actives, de la part de la Serbie, de la Slovénie, de la Croatie et de la Grèce. Au total, 15 pays ont proposé leur aide, fournissant des articles tels que des tentes, des articles de couchage, des équipements de protection individuelle, des appareils de chauffage, des générateurs et des dispositifs d'éclairage. La Commission européenne soutient financièrement le transport de l'aide offerte par les États participants et facilite la coordination globale du transport et de la logistique. La Commission a augmenté récemment son financement et couvre désormais 85 % des coûts de transport de cette aide, mais certaines demandes d'aide d'États membres restent en souffrance, comme décrit à l'annexe 9. </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Des réunions hebdomadaires ont eu lieu sous les auspices de la Commission afin d'assurer le suivi de la mise en œuvre du plan en 17 points adopté lors de la réunion des dirigeants sur les flux de réfugiés le long de la route des</w:t>
      </w:r>
      <w:r>
        <w:rPr>
          <w:noProof/>
          <w:lang w:val="fr-FR"/>
        </w:rPr>
        <w:t xml:space="preserve"> </w:t>
      </w:r>
      <w:r>
        <w:rPr>
          <w:rFonts w:ascii="Times New Roman" w:hAnsi="Times New Roman"/>
          <w:b/>
          <w:noProof/>
          <w:lang w:val="fr-FR"/>
        </w:rPr>
        <w:t>Balkans occidentaux</w:t>
      </w:r>
      <w:r>
        <w:rPr>
          <w:noProof/>
          <w:lang w:val="fr-FR"/>
        </w:rPr>
        <w:t xml:space="preserve">, </w:t>
      </w:r>
      <w:r>
        <w:rPr>
          <w:rFonts w:ascii="Times New Roman" w:hAnsi="Times New Roman"/>
          <w:noProof/>
          <w:lang w:val="fr-FR"/>
        </w:rPr>
        <w:t>organisée par le président Juncker</w:t>
      </w:r>
      <w:r>
        <w:rPr>
          <w:noProof/>
          <w:lang w:val="fr-FR"/>
        </w:rPr>
        <w:t>.</w:t>
      </w:r>
      <w:r>
        <w:rPr>
          <w:rFonts w:ascii="Times New Roman" w:hAnsi="Times New Roman"/>
          <w:noProof/>
          <w:lang w:val="fr-FR"/>
        </w:rPr>
        <w:t xml:space="preserve"> Alors que la communication avait quasiment cessé, cette coordination a été déterminante pour atténuer le risque qu’un pays ne prenne des mesures inattendues ayant des répercussions sur un autre. Elle a été appuyée par une aide directe. La Commission a octroyé 10 000 000 EUR à la Serbie et à l'ancienne République yougoslave de Macédoine afin d'accroître les capacités opérationnelles de gestion des migrations et d'apporter ainsi un changement concret</w:t>
      </w:r>
      <w:r>
        <w:rPr>
          <w:rStyle w:val="FootnoteReference"/>
          <w:rFonts w:ascii="Times New Roman" w:hAnsi="Times New Roman"/>
          <w:noProof/>
        </w:rPr>
        <w:footnoteReference w:id="9"/>
      </w:r>
      <w:r>
        <w:rPr>
          <w:rFonts w:ascii="Times New Roman" w:hAnsi="Times New Roman"/>
          <w:noProof/>
          <w:lang w:val="fr-FR"/>
        </w:rPr>
        <w:t>. Ce soutien vient s'ajouter à une aide humanitaire de 22 000 000 EUR.</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b/>
          <w:i/>
          <w:noProof/>
          <w:lang w:val="fr-FR"/>
        </w:rPr>
      </w:pPr>
      <w:r>
        <w:rPr>
          <w:rFonts w:ascii="Times New Roman" w:hAnsi="Times New Roman"/>
          <w:b/>
          <w:i/>
          <w:noProof/>
          <w:lang w:val="fr-FR"/>
        </w:rPr>
        <w:t>II.2</w:t>
      </w:r>
      <w:r>
        <w:rPr>
          <w:rFonts w:ascii="Times New Roman" w:hAnsi="Times New Roman"/>
          <w:b/>
          <w:i/>
          <w:noProof/>
          <w:lang w:val="fr-FR"/>
        </w:rPr>
        <w:tab/>
        <w:t xml:space="preserve">Dimension externe </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Les dimensions externe et interne des migrations sont très étroitement liées. L'action de l'UE s'est concentrée sur la nécessité de s'attaquer aux causes profondes de l'intensification des flux migratoires, tant aux causes à l'origine de ces flux qu'à celles qui les favorisent, et de faire en sorte que les réfugiés ne doivent plus effectuer un voyage périlleux vers l'Europe en leur offrant une aide plus près de chez eux. Elle a également porté sur un renforcement de la coopération en matière de gestion des migrations avec les pays tiers d'origine et de transit, qui constitue un volet essentiel de leur partenariat bilatéral avec l'UE et ses États membres.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Les </w:t>
      </w:r>
      <w:r>
        <w:rPr>
          <w:rFonts w:ascii="Times New Roman" w:hAnsi="Times New Roman"/>
          <w:b/>
          <w:noProof/>
          <w:lang w:val="fr-FR"/>
        </w:rPr>
        <w:t>efforts diplomatiques</w:t>
      </w:r>
      <w:r>
        <w:rPr>
          <w:rFonts w:ascii="Times New Roman" w:hAnsi="Times New Roman"/>
          <w:noProof/>
          <w:lang w:val="fr-FR"/>
        </w:rPr>
        <w:t xml:space="preserve"> déployés pour régler les crises telles que la situation en Syrie et en Libye et combattre la menace que représente Daech se concentrent sur les causes profondes des flux migratoires et visent à créer un environnement stable propice au retour des réfugiés. Ces efforts doivent être portés à l'échelle mondiale. Dans le cas de la Libye, l'UE fournit un soutien politique, financier et logistique aux efforts consentis par les Nations unies pour mettre un terme à la crise politique et sécuritaire. Des progrès significatifs ont été accomplis ces derniers mois, avec la signature de l'accord politique libyen en décembre dernier. Cependant, ces avancées sont fragiles et doivent être rapidement consolidées, le gouvernement d'entente nationale devant jouir d'une autorité suffisante pour pouvoir faire face aux menaces et aux difficultés que connaît la Libye. Il convient de donner suite à l'accord signé en décembre en donnant au gouvernement d'entente nationale les moyens de s'attaquer aux menaces et difficultés rencontrées dans le pays: l'UE a préparé un plan d'aide de 100 000 000 EUR pour soutenir le futur gouvernement. En ce qui concerne la Syrie, l'UE, en plus d'être le principal donateur d'aide humanitaire et d'aide au développement, a joué, et continue à jouer, un rôle clé dans la mise en place et le travail du Groupe international d'appui pour la Syrie, y compris les efforts ayant permis l'adoption à l'unanimité de la résolution du Conseil de sécurité des Nations unies fixant la feuille de route relative au dialogue et au processus politique inter-syriens. À l'heure où les combats s'intensifient dans le nord du pays, la diplomatie doit redoubler d'efforts.</w:t>
      </w:r>
    </w:p>
    <w:p>
      <w:pPr>
        <w:spacing w:after="0" w:line="240" w:lineRule="auto"/>
        <w:jc w:val="both"/>
        <w:rPr>
          <w:rFonts w:ascii="Times New Roman" w:hAnsi="Times New Roman"/>
          <w:noProof/>
          <w:lang w:val="fr-FR"/>
        </w:rPr>
      </w:pPr>
      <w:r>
        <w:rPr>
          <w:rFonts w:ascii="Times New Roman" w:hAnsi="Times New Roman"/>
          <w:noProof/>
          <w:lang w:val="fr-FR"/>
        </w:rPr>
        <w:t xml:space="preserve">    </w:t>
      </w:r>
    </w:p>
    <w:p>
      <w:pPr>
        <w:spacing w:after="0" w:line="240" w:lineRule="auto"/>
        <w:jc w:val="both"/>
        <w:rPr>
          <w:rFonts w:ascii="Times New Roman" w:hAnsi="Times New Roman"/>
          <w:noProof/>
          <w:lang w:val="fr-FR"/>
        </w:rPr>
      </w:pPr>
      <w:r>
        <w:rPr>
          <w:rFonts w:ascii="Times New Roman" w:hAnsi="Times New Roman"/>
          <w:noProof/>
          <w:lang w:val="fr-FR"/>
        </w:rPr>
        <w:lastRenderedPageBreak/>
        <w:t>L'UE a répondu sous plusieurs formes à la crise syrienne et à ses effets dévastateurs. Pour ce qui est de</w:t>
      </w:r>
      <w:r>
        <w:rPr>
          <w:noProof/>
          <w:lang w:val="fr-FR"/>
        </w:rPr>
        <w:t xml:space="preserve"> </w:t>
      </w:r>
      <w:r>
        <w:rPr>
          <w:rFonts w:ascii="Times New Roman" w:hAnsi="Times New Roman"/>
          <w:b/>
          <w:noProof/>
          <w:lang w:val="fr-FR"/>
        </w:rPr>
        <w:t>l'aide humanitaire en faveur de la Syrie</w:t>
      </w:r>
      <w:r>
        <w:rPr>
          <w:rFonts w:ascii="Times New Roman" w:hAnsi="Times New Roman"/>
          <w:noProof/>
          <w:lang w:val="fr-FR"/>
        </w:rPr>
        <w:t xml:space="preserve"> et des pays d'accueil voisins, la contribution du budget de l'UE a dépassé 400 000 000 EUR en 2015 - dans le cadre d'un engagement global de l'Union de plus de 5 000 000 000 EUR dans les domaines de l'aide humanitaire, de l'aide au développement et de l'aide à la stabilisation. Cette contribution comprend un soutien direct aux Syriens toujours en Syrie, ainsi qu'aux pays enregistrant les taux de réfugiés syriens par habitant les plus élevés. Plus de 160 000 000 EUR ont été affectés à des opérations permettant de sauver des vies dans le pays même, dans des secteurs tels que la santé, la protection, l'eau, les services d'assainissement, l'alimentation et l'hébergement: 97 000 000 EUR en faveur des réfugiés au Liban, 58 000 000 EUR en Jordanie et 35 000 000 EUR en Turquie.</w:t>
      </w:r>
      <w:r>
        <w:rPr>
          <w:rFonts w:ascii="Times New Roman" w:hAnsi="Times New Roman"/>
          <w:b/>
          <w:noProof/>
          <w:lang w:val="fr-FR"/>
        </w:rPr>
        <w:t xml:space="preserve"> </w:t>
      </w:r>
      <w:r>
        <w:rPr>
          <w:rFonts w:ascii="Times New Roman" w:hAnsi="Times New Roman"/>
          <w:noProof/>
          <w:lang w:val="fr-FR"/>
        </w:rPr>
        <w:t xml:space="preserve">Le </w:t>
      </w:r>
      <w:r>
        <w:rPr>
          <w:rFonts w:ascii="Times New Roman" w:hAnsi="Times New Roman"/>
          <w:b/>
          <w:noProof/>
          <w:lang w:val="fr-FR"/>
        </w:rPr>
        <w:t>Fonds fiduciaire régional de l'UE en réaction à la crise syrienne</w:t>
      </w:r>
      <w:r>
        <w:rPr>
          <w:rFonts w:ascii="Times New Roman" w:hAnsi="Times New Roman"/>
          <w:noProof/>
          <w:lang w:val="fr-FR"/>
        </w:rPr>
        <w:t xml:space="preserve"> offre un moyen très souple et efficace de mettre en commun et de déployer l'aide fournie par l'UE et ses États membres. À ce jour, il a attiré des contributions pour un montant total de 654 000 000 EUR, même si les contributions nationales n'ont pas encore atteint l'objectif consistant à égaler la contribution du budget de l'UE</w:t>
      </w:r>
      <w:r>
        <w:rPr>
          <w:rFonts w:ascii="Times New Roman" w:hAnsi="Times New Roman"/>
          <w:noProof/>
          <w:vertAlign w:val="superscript"/>
        </w:rPr>
        <w:footnoteReference w:id="10"/>
      </w:r>
      <w:r>
        <w:rPr>
          <w:rFonts w:ascii="Times New Roman" w:hAnsi="Times New Roman"/>
          <w:noProof/>
          <w:lang w:val="fr-FR"/>
        </w:rPr>
        <w:t xml:space="preserve">. Le Fonds soutient jusqu'à 1,5 million de réfugiés syriens et les communautés d'accueil mises à rude épreuve au Liban, en Turquie, en Jordanie et en Iraq, en offrant une éducation de base et une protection aux enfants, un meilleur accès aux soins de santé, une infrastructure de distribution d'eau et de traitement des eaux usées de meilleure qualité, ainsi qu'en contribuant aux perspectives économiques et à l'inclusion sociale. Comme annoncé lors de la </w:t>
      </w:r>
      <w:r>
        <w:rPr>
          <w:rFonts w:ascii="Times New Roman" w:hAnsi="Times New Roman"/>
          <w:b/>
          <w:noProof/>
          <w:lang w:val="fr-FR"/>
        </w:rPr>
        <w:t>conférence qui s'est tenue la semaine dernière à Londres sur le thème du soutien à la Syrie et à la région</w:t>
      </w:r>
      <w:r>
        <w:rPr>
          <w:rFonts w:ascii="Times New Roman" w:hAnsi="Times New Roman"/>
          <w:noProof/>
          <w:lang w:val="fr-FR"/>
        </w:rPr>
        <w:t>, la contribution de l'UE à la réaction à la crise syrienne atteindra 1 115 000 000 EUR en 2016. La Commission prend des mesures actuellement pour garantir que la contribution de l'UE sera maintenue au même niveau en 2017. Lors de la conférence, la Commission a aussi assumé un rôle de premier plan dans la réaction internationale, proposant l'élaboration de «pactes» pour la Jordanie et le Liban. Il s’agit de vastes ensembles comprenant un éventail complet de mesures dans tous les domaines de compétences de l’Union, y compris des préférences commerciales.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Le</w:t>
      </w:r>
      <w:r>
        <w:rPr>
          <w:noProof/>
          <w:lang w:val="fr-FR"/>
        </w:rPr>
        <w:t xml:space="preserve"> </w:t>
      </w:r>
      <w:r>
        <w:rPr>
          <w:rFonts w:ascii="Times New Roman" w:hAnsi="Times New Roman"/>
          <w:b/>
          <w:noProof/>
          <w:lang w:val="fr-FR"/>
        </w:rPr>
        <w:t>sommet de La Valette sur la migration</w:t>
      </w:r>
      <w:r>
        <w:rPr>
          <w:rFonts w:ascii="Times New Roman" w:hAnsi="Times New Roman"/>
          <w:noProof/>
          <w:lang w:val="fr-FR"/>
        </w:rPr>
        <w:t xml:space="preserve">, qui s'est tenu en novembre 2015, a réuni les chefs d'État ou de gouvernement européens et africains afin de renforcer la coopération en matière de migration entre les pays d'origine, de transit et de destination. Il a souligné la nécessité d'intensifier les efforts visant à réduire la migration irrégulière vers l'Europe et d'intégrer la migration dans la coopération au développement, et a adopté des mesures concrètes à mettre en œuvre d'ici la fin de 2016. L'UE a mis en place un </w:t>
      </w:r>
      <w:r>
        <w:rPr>
          <w:rFonts w:ascii="Times New Roman" w:hAnsi="Times New Roman"/>
          <w:b/>
          <w:noProof/>
          <w:lang w:val="fr-FR"/>
        </w:rPr>
        <w:t>Fonds fiduciaire d’urgence pour l’Afrique</w:t>
      </w:r>
      <w:r>
        <w:rPr>
          <w:rFonts w:ascii="Times New Roman" w:hAnsi="Times New Roman"/>
          <w:noProof/>
          <w:lang w:val="fr-FR"/>
        </w:rPr>
        <w:t>, qui favorise la stabilité, apporte une réponse aux causes profondes de la migration irrégulière et du phénomène des personnes déplacées et renforce la coopération en matière de migration avec les pays d'origine et de transit. Si les financements atteignent un niveau proche de 1 900 000 000 EUR, l'objectif de voir les financements nationaux égaler le financement de l'UE est également loin d'être atteint dans ce cas-ci, les contributions nationales s'élevant à moins de 82 000 000 EUR</w:t>
      </w:r>
      <w:r>
        <w:rPr>
          <w:rStyle w:val="FootnoteReference"/>
          <w:rFonts w:ascii="Times New Roman" w:hAnsi="Times New Roman"/>
          <w:noProof/>
        </w:rPr>
        <w:footnoteReference w:id="11"/>
      </w:r>
      <w:r>
        <w:rPr>
          <w:rFonts w:ascii="Times New Roman" w:hAnsi="Times New Roman"/>
          <w:noProof/>
          <w:lang w:val="fr-FR"/>
        </w:rPr>
        <w:t>. Des projets ont déjà été adoptés pour un montant total de plus de 350 000 000 EUR et ont notamment pour finalité la création d'emplois, une meilleure gestion des migrations et une sécurité renforcée</w:t>
      </w:r>
      <w:r>
        <w:rPr>
          <w:rStyle w:val="FootnoteReference"/>
          <w:rFonts w:ascii="Times New Roman" w:hAnsi="Times New Roman"/>
          <w:noProof/>
        </w:rPr>
        <w:footnoteReference w:id="12"/>
      </w:r>
      <w:r>
        <w:rPr>
          <w:rFonts w:ascii="Times New Roman" w:hAnsi="Times New Roman"/>
          <w:noProof/>
          <w:lang w:val="fr-FR"/>
        </w:rPr>
        <w:t xml:space="preserve">.  En outre, l'UE a maintenu son aide en faveur des </w:t>
      </w:r>
      <w:r>
        <w:rPr>
          <w:rFonts w:ascii="Times New Roman" w:hAnsi="Times New Roman"/>
          <w:noProof/>
          <w:lang w:val="fr-FR"/>
        </w:rPr>
        <w:lastRenderedPageBreak/>
        <w:t>réfugiés et des personnes déplacées à l'intérieur de la Libye. Sur le plan diplomatique, la haute-représentante/vice-présidente et la Commission ont également commencé à intégrer la migration et la sécurité dans les priorités politiques bilatérales fixées avec les pays africains.</w:t>
      </w:r>
    </w:p>
    <w:p>
      <w:pPr>
        <w:spacing w:after="0" w:line="240" w:lineRule="auto"/>
        <w:jc w:val="both"/>
        <w:rPr>
          <w:rFonts w:ascii="Times New Roman" w:hAnsi="Times New Roman"/>
          <w:noProof/>
          <w:lang w:val="fr-FR"/>
        </w:rPr>
      </w:pPr>
      <w:r>
        <w:rPr>
          <w:rFonts w:ascii="Times New Roman" w:hAnsi="Times New Roman"/>
          <w:noProof/>
          <w:lang w:val="fr-FR"/>
        </w:rPr>
        <w:t xml:space="preserve"> </w:t>
      </w:r>
    </w:p>
    <w:p>
      <w:pPr>
        <w:pStyle w:val="Heading3"/>
        <w:spacing w:before="0" w:after="0" w:line="240" w:lineRule="auto"/>
        <w:jc w:val="both"/>
        <w:rPr>
          <w:rFonts w:ascii="Times New Roman" w:hAnsi="Times New Roman"/>
          <w:b w:val="0"/>
          <w:bCs w:val="0"/>
          <w:noProof/>
          <w:sz w:val="22"/>
          <w:szCs w:val="22"/>
          <w:lang w:val="fr-FR"/>
        </w:rPr>
      </w:pPr>
      <w:r>
        <w:rPr>
          <w:rFonts w:ascii="Times New Roman" w:hAnsi="Times New Roman"/>
          <w:b w:val="0"/>
          <w:noProof/>
          <w:sz w:val="22"/>
          <w:lang w:val="fr-FR"/>
        </w:rPr>
        <w:t>Le</w:t>
      </w:r>
      <w:r>
        <w:rPr>
          <w:noProof/>
          <w:lang w:val="fr-FR"/>
        </w:rPr>
        <w:t xml:space="preserve"> </w:t>
      </w:r>
      <w:r>
        <w:rPr>
          <w:rFonts w:ascii="Times New Roman" w:hAnsi="Times New Roman"/>
          <w:noProof/>
          <w:sz w:val="22"/>
          <w:lang w:val="fr-FR"/>
        </w:rPr>
        <w:t>plan d'action commun UE-Turquie</w:t>
      </w:r>
      <w:r>
        <w:rPr>
          <w:rStyle w:val="FootnoteReference"/>
          <w:rFonts w:ascii="Times New Roman" w:hAnsi="Times New Roman"/>
          <w:b w:val="0"/>
          <w:bCs w:val="0"/>
          <w:noProof/>
          <w:sz w:val="22"/>
        </w:rPr>
        <w:footnoteReference w:id="13"/>
      </w:r>
      <w:r>
        <w:rPr>
          <w:rFonts w:ascii="Times New Roman" w:hAnsi="Times New Roman"/>
          <w:b w:val="0"/>
          <w:noProof/>
          <w:sz w:val="22"/>
          <w:lang w:val="fr-FR"/>
        </w:rPr>
        <w:t xml:space="preserve"> constitue une avancée importante dans le cadre de la coopération visant à soutenir les Syriens bénéficiant d'une protection temporaire en Turquie et de la gestion des migrations face à la crise engendrée par la situation en Syrie (voir plus bas la section relative à la coopération avec la Turquie). L'UE et ses États membres intensifieront leur coopération avec la Turquie et renforceront substantiellement leur engagement politique et financier. La</w:t>
      </w:r>
      <w:r>
        <w:rPr>
          <w:rFonts w:ascii="Times New Roman" w:hAnsi="Times New Roman"/>
          <w:noProof/>
          <w:sz w:val="22"/>
          <w:lang w:val="fr-FR"/>
        </w:rPr>
        <w:t xml:space="preserve"> facilité en faveur des réfugiés en Turquie</w:t>
      </w:r>
      <w:r>
        <w:rPr>
          <w:rFonts w:ascii="Times New Roman" w:hAnsi="Times New Roman"/>
          <w:b w:val="0"/>
          <w:noProof/>
          <w:sz w:val="22"/>
          <w:lang w:val="fr-FR"/>
        </w:rPr>
        <w:t xml:space="preserve">, qui a été mise en place par la Commission le 24 novembre 2015 et dont le financement a été approuvé par les États membres le 3 février 2016, est une contribution essentielle de l'UE qui témoigne d'un esprit de responsabilité partagée. Cette facilité regroupe des ressources du budget de l'UE et des budgets des États membres afin d'alimenter dès maintenant un plan d'aide global et coordonné en faveur de deux millions de réfugiés syriens en Turquie. Elle sera dotée d'un montant de </w:t>
      </w:r>
      <w:r>
        <w:rPr>
          <w:rFonts w:ascii="Times New Roman" w:hAnsi="Times New Roman"/>
          <w:noProof/>
          <w:sz w:val="22"/>
          <w:lang w:val="fr-FR"/>
        </w:rPr>
        <w:t>3 000 000 000 EUR</w:t>
      </w:r>
      <w:r>
        <w:rPr>
          <w:rFonts w:ascii="Times New Roman" w:hAnsi="Times New Roman"/>
          <w:b w:val="0"/>
          <w:noProof/>
          <w:sz w:val="22"/>
          <w:lang w:val="fr-FR"/>
        </w:rPr>
        <w:t xml:space="preserve"> pour 2016 et 2017</w:t>
      </w:r>
      <w:r>
        <w:rPr>
          <w:noProof/>
          <w:lang w:val="fr-FR"/>
        </w:rPr>
        <w:t>.</w:t>
      </w:r>
      <w:r>
        <w:rPr>
          <w:rFonts w:ascii="Times New Roman" w:hAnsi="Times New Roman"/>
          <w:b w:val="0"/>
          <w:noProof/>
          <w:sz w:val="22"/>
          <w:lang w:val="fr-FR"/>
        </w:rPr>
        <w:t xml:space="preserve"> </w:t>
      </w:r>
    </w:p>
    <w:p>
      <w:pPr>
        <w:pStyle w:val="ListParagraph1"/>
        <w:spacing w:after="0" w:line="240" w:lineRule="auto"/>
        <w:ind w:left="0"/>
        <w:jc w:val="both"/>
        <w:rPr>
          <w:rFonts w:ascii="Times New Roman" w:hAnsi="Times New Roman"/>
          <w:noProof/>
          <w:lang w:val="fr-FR"/>
        </w:rPr>
      </w:pPr>
    </w:p>
    <w:p>
      <w:pPr>
        <w:spacing w:after="0" w:line="240" w:lineRule="auto"/>
        <w:jc w:val="both"/>
        <w:rPr>
          <w:rFonts w:ascii="Times New Roman" w:hAnsi="Times New Roman"/>
          <w:noProof/>
          <w:lang w:val="fr-FR"/>
        </w:rPr>
      </w:pPr>
    </w:p>
    <w:p>
      <w:pPr>
        <w:spacing w:after="0" w:line="240" w:lineRule="auto"/>
        <w:jc w:val="both"/>
        <w:rPr>
          <w:rFonts w:ascii="Times New Roman" w:hAnsi="Times New Roman"/>
          <w:b/>
          <w:noProof/>
          <w:u w:val="single"/>
          <w:lang w:val="fr-FR"/>
        </w:rPr>
      </w:pPr>
      <w:r>
        <w:rPr>
          <w:rFonts w:ascii="Times New Roman" w:hAnsi="Times New Roman"/>
          <w:b/>
          <w:noProof/>
          <w:lang w:val="fr-FR"/>
        </w:rPr>
        <w:t xml:space="preserve">III </w:t>
      </w:r>
      <w:r>
        <w:rPr>
          <w:rFonts w:ascii="Times New Roman" w:hAnsi="Times New Roman"/>
          <w:b/>
          <w:noProof/>
          <w:lang w:val="fr-FR"/>
        </w:rPr>
        <w:tab/>
        <w:t>ACTIONS PRIORITAIRES DES SEMAINES ET MOIS À VENIR</w:t>
      </w:r>
    </w:p>
    <w:p>
      <w:pPr>
        <w:spacing w:after="0" w:line="240" w:lineRule="auto"/>
        <w:jc w:val="both"/>
        <w:rPr>
          <w:rFonts w:ascii="Times New Roman" w:hAnsi="Times New Roman"/>
          <w:b/>
          <w:noProof/>
          <w:u w:val="single"/>
          <w:lang w:val="fr-FR"/>
        </w:rPr>
      </w:pPr>
    </w:p>
    <w:p>
      <w:pPr>
        <w:spacing w:line="240" w:lineRule="auto"/>
        <w:jc w:val="both"/>
        <w:rPr>
          <w:rFonts w:ascii="Times New Roman" w:hAnsi="Times New Roman"/>
          <w:noProof/>
          <w:lang w:val="fr-FR"/>
        </w:rPr>
      </w:pPr>
      <w:r>
        <w:rPr>
          <w:rFonts w:ascii="Times New Roman" w:hAnsi="Times New Roman"/>
          <w:noProof/>
          <w:lang w:val="fr-FR"/>
        </w:rPr>
        <w:t>Les intenses pressions générées par les flux de réfugiés et de migrants constituent un défi immense pour la politique de gestion des flux migratoires de l'UE. Les procédures de gestion des frontières et d'asile aux points de première entrée sur le territoire de l'UE n'ont pas permis de faire face à cette situation. Un flux de réfugiés et de migrants s'est formé, en contradiction manifeste avec les règles fondamentales du système d'asile de l'UE. Les réfugiés ont eux-mêmes cherché à rejoindre une destination souhaitée, alors qu'en vertu des règles de l'UE, ils sont tenus d'introduire une demande de protection dans le premier pays d'entrée dans l'UE. Plutôt que d'assumer la responsabilité qui leur incombe de traiter les demandes d'asile, les pays situés le long de la route ont commencé à se considérer uniquement comme des pays de transit. Cela a eu pour conséquence que les règles n'ont plus été appliquées et que les trois principaux États membres de destination ont également été confrontés à des pressions disproportionnées et insoutenables. De plus, il a été beaucoup plus difficile dans ce contexte de donner de l'élan au processus de relocalisation. Pour rétablir l'ordre dans ces circonstances, une action européenne rapide et coordonnée s'impose pour pallier les manquements immédiats et réduire l'ampleur des flux migratoires proprement dits.</w:t>
      </w:r>
    </w:p>
    <w:p>
      <w:pPr>
        <w:spacing w:after="0" w:line="240" w:lineRule="auto"/>
        <w:jc w:val="both"/>
        <w:rPr>
          <w:rFonts w:ascii="Times New Roman" w:hAnsi="Times New Roman"/>
          <w:b/>
          <w:i/>
          <w:noProof/>
          <w:lang w:val="fr-FR"/>
        </w:rPr>
      </w:pPr>
      <w:r>
        <w:rPr>
          <w:rFonts w:ascii="Times New Roman" w:hAnsi="Times New Roman"/>
          <w:b/>
          <w:i/>
          <w:noProof/>
          <w:lang w:val="fr-FR"/>
        </w:rPr>
        <w:t>III.1</w:t>
      </w:r>
      <w:r>
        <w:rPr>
          <w:rFonts w:ascii="Times New Roman" w:hAnsi="Times New Roman"/>
          <w:b/>
          <w:i/>
          <w:noProof/>
          <w:lang w:val="fr-FR"/>
        </w:rPr>
        <w:tab/>
        <w:t xml:space="preserve">Stabiliser la situation dans les États membres soumis aux plus fortes pressions </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De toute évidence, une action s'avère nécessaire pour remédier aux très fortes pressions auxquelles sont confrontés les États membres accueillant la majorité des réfugiés et des migrants lors de leur première arrivée dans l'UE, et une telle action exige un soutien de l'ensemble des États membres, plus particulièrement pour venir en aide à la Grèce et à l'Italie. </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sz w:val="24"/>
          <w:szCs w:val="24"/>
          <w:lang w:val="fr-FR"/>
        </w:rPr>
      </w:pPr>
      <w:r>
        <w:rPr>
          <w:rFonts w:ascii="Times New Roman" w:hAnsi="Times New Roman"/>
          <w:noProof/>
          <w:lang w:val="fr-FR"/>
        </w:rPr>
        <w:t>L'approche des centres et zones de crise («</w:t>
      </w:r>
      <w:r>
        <w:rPr>
          <w:rFonts w:ascii="Times New Roman" w:hAnsi="Times New Roman"/>
          <w:b/>
          <w:noProof/>
          <w:lang w:val="fr-FR"/>
        </w:rPr>
        <w:t>hotspot</w:t>
      </w:r>
      <w:r>
        <w:rPr>
          <w:rFonts w:ascii="Times New Roman" w:hAnsi="Times New Roman"/>
          <w:noProof/>
          <w:lang w:val="fr-FR"/>
        </w:rPr>
        <w:t xml:space="preserve"> approach») permet d'agir en priorité aux endroits soumis aux pressions les plus extrêmes. Les centres de crise permettent d'apporter un certain ordre et </w:t>
      </w:r>
      <w:r>
        <w:rPr>
          <w:rFonts w:ascii="Times New Roman" w:hAnsi="Times New Roman"/>
          <w:noProof/>
          <w:lang w:val="fr-FR"/>
        </w:rPr>
        <w:lastRenderedPageBreak/>
        <w:t>de disposer de procédures face à un flux d'arrivées sans précédent. Pourtant, six mois après leur lancement en septembre dernier, les progrès ont été beaucoup plus lents que ce qu'exigerait l'ampleur du défi. Aujourd'hui, seuls trois centres de crise</w:t>
      </w:r>
      <w:r>
        <w:rPr>
          <w:rStyle w:val="FootnoteReference"/>
          <w:rFonts w:ascii="Times New Roman" w:hAnsi="Times New Roman"/>
          <w:noProof/>
        </w:rPr>
        <w:footnoteReference w:id="14"/>
      </w:r>
      <w:r>
        <w:rPr>
          <w:rFonts w:ascii="Times New Roman" w:hAnsi="Times New Roman"/>
          <w:noProof/>
          <w:lang w:val="fr-FR"/>
        </w:rPr>
        <w:t xml:space="preserve"> sont pleinement opérationnels. Il est essentiel que tous le soient à présent. La mise en place de tous les centres de crise doit être achevée d'urgence, sans quoi les pressions risquent de se déplacer simplement vers le point d'entrée le plus faible. Il faudra mettre à profit les prochains jours pour accélérer le processus et faire en sorte que les centres de crise soient pleinement et immédiatement opérationnels. Il s'agit de remédier, avec l'appui des fonctionnaires nationaux et de l'UE présents sur le terrain, aux manquements en termes d'infrastructure, de personnel et de coordination entre les centres de crise et le reste du système de migration. Les règles relatives à l'enregistrement et à l'identification des arrivants, au relevé de leurs empreintes digitales et aux contrôles de sécurité les concernant doivent être appliquées de manière effective et systématique. Il est crucial que les États membres mettent leurs compétences à disposition dans le contexte des appels à experts lancés par Frontex et l'EASO</w:t>
      </w:r>
      <w:r>
        <w:rPr>
          <w:rStyle w:val="FootnoteReference"/>
          <w:rFonts w:ascii="Times New Roman" w:hAnsi="Times New Roman"/>
          <w:noProof/>
          <w:color w:val="1F497D"/>
        </w:rPr>
        <w:footnoteReference w:id="15"/>
      </w:r>
      <w:r>
        <w:rPr>
          <w:rFonts w:ascii="Times New Roman" w:hAnsi="Times New Roman"/>
          <w:noProof/>
          <w:lang w:val="fr-FR"/>
        </w:rPr>
        <w:t>.</w:t>
      </w:r>
      <w:r>
        <w:rPr>
          <w:rFonts w:ascii="Times New Roman" w:hAnsi="Times New Roman"/>
          <w:noProof/>
          <w:sz w:val="24"/>
          <w:lang w:val="fr-FR"/>
        </w:rPr>
        <w:t xml:space="preserve"> </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Dans le cas de la </w:t>
      </w:r>
      <w:r>
        <w:rPr>
          <w:rFonts w:ascii="Times New Roman" w:hAnsi="Times New Roman"/>
          <w:b/>
          <w:noProof/>
          <w:lang w:val="fr-FR"/>
        </w:rPr>
        <w:t>Grèce</w:t>
      </w:r>
      <w:r>
        <w:rPr>
          <w:rFonts w:ascii="Times New Roman" w:hAnsi="Times New Roman"/>
          <w:noProof/>
          <w:lang w:val="fr-FR"/>
        </w:rPr>
        <w:t>, il convient d'accélérer les travaux et de remédier aux lacunes avec une détermination nouvelle. Le déploiement des centres de crise est lent: il a fallu les mettre en place à partir de rien, dans un contexte de manque d'infrastructure, de personnel et de coordination. Actuellement, un seul centre de crise peut être considéré comme pleinement opérationnel, mais d'autres ne sont pas loin de l'être</w:t>
      </w:r>
      <w:r>
        <w:rPr>
          <w:rFonts w:ascii="Times New Roman" w:hAnsi="Times New Roman"/>
          <w:noProof/>
          <w:vertAlign w:val="superscript"/>
        </w:rPr>
        <w:footnoteReference w:id="16"/>
      </w:r>
      <w:r>
        <w:rPr>
          <w:rFonts w:ascii="Times New Roman" w:hAnsi="Times New Roman"/>
          <w:noProof/>
          <w:lang w:val="fr-FR"/>
        </w:rPr>
        <w:t xml:space="preserve">. À l'issue d'un intense dialogue avec la Commission, le gouvernement grec s'est engagé récemment à recourir à l'armée pour faire en sorte que les centres de crise soient pleinement opérationnels avant le Conseil européen de février. Il faut à cette fin achever les travaux de construction, fournir les services essentiels et déployer le personnel requis. Il convient d'augmenter les capacités d'accueil, tant pour répondre aux besoins humanitaires que pour améliorer la gestion des flux d'arrivants - à l'aide des fonds de l'UE déjà disponibles pour contribuer à atteindre rapidement l'objectif de 50 000 places fixé lors de la réunion des dirigeants des Balkans occidentaux. Il convient d'appliquer des procédures normalisées à toutes les étapes du processus et d'achever le déploiement des appareils Eurodac servant au relevé des empreintes digitales. En outre, il ne peut y avoir de discontinuité dans l'aide de l'UE: les agences doivent être présentes sur toutes les îles. </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En</w:t>
      </w:r>
      <w:r>
        <w:rPr>
          <w:noProof/>
          <w:lang w:val="fr-FR"/>
        </w:rPr>
        <w:t xml:space="preserve"> </w:t>
      </w:r>
      <w:r>
        <w:rPr>
          <w:rFonts w:ascii="Times New Roman" w:hAnsi="Times New Roman"/>
          <w:b/>
          <w:noProof/>
          <w:lang w:val="fr-FR"/>
        </w:rPr>
        <w:t>Italie</w:t>
      </w:r>
      <w:r>
        <w:rPr>
          <w:rFonts w:ascii="Times New Roman" w:hAnsi="Times New Roman"/>
          <w:noProof/>
          <w:lang w:val="fr-FR"/>
        </w:rPr>
        <w:t>, le nombre d'arrivées a diminué en raison de l'hiver, mais il convient de se préparer à une probable augmentation soudaine lorsque les conditions météorologiques seront meilleures</w:t>
      </w:r>
      <w:r>
        <w:rPr>
          <w:rFonts w:ascii="Times New Roman" w:hAnsi="Times New Roman"/>
          <w:noProof/>
          <w:vertAlign w:val="superscript"/>
        </w:rPr>
        <w:footnoteReference w:id="17"/>
      </w:r>
      <w:r>
        <w:rPr>
          <w:rFonts w:ascii="Times New Roman" w:hAnsi="Times New Roman"/>
          <w:noProof/>
          <w:lang w:val="fr-FR"/>
        </w:rPr>
        <w:t>. Seuls deux centres de crise</w:t>
      </w:r>
      <w:r>
        <w:rPr>
          <w:rFonts w:ascii="Times New Roman" w:hAnsi="Times New Roman"/>
          <w:noProof/>
          <w:vertAlign w:val="superscript"/>
        </w:rPr>
        <w:footnoteReference w:id="18"/>
      </w:r>
      <w:r>
        <w:rPr>
          <w:rFonts w:ascii="Times New Roman" w:hAnsi="Times New Roman"/>
          <w:noProof/>
          <w:lang w:val="fr-FR"/>
        </w:rPr>
        <w:t xml:space="preserve"> sont pleinement opérationnels. La rénovation et l'ouverture de deux autres centres de crise sont à présent en bonne voie. La lenteur des progrès réalisés pour les deux derniers centres de crise s'explique par le fait que l'un des sites est actuellement utilisé comme centre de relocalisation et qu'il existe des problèmes administratifs avec les autorités portuaires sur l'autre site - le cas échéant, il faudra envisager d'autres sites s'il n'y a pas d'autre moyen de disposer d'une capacité suffisante dans les prochaines semaines. Des mesures supplémentaires doivent également être prises pour combler les lacunes et améliorer l'efficacité, notamment par une meilleure assistance médicale, une coordination accrue du débarquement des migrants secourus en mer et un plein accès aux bases de données pour les besoins des contrôles de sécurité.  La Commission est prête à constituer une équipe de crise («hotspot team») mobile et innovante (composée d'agents de Frontex et de l'EASO) dans l'est de la Sicile, afin d'aider à identifier les migrants ne pouvant être débarqués dans les ports désignés comme centres de crise, à relever leurs empreintes digitales et à les informer, afin de contribuer à combler les lacunes constatées dans l'enregistrement des migrants et le relevé de leurs empreintes digitales en dehors des centres de crise. Il est important d'établir une liaison avec le continent pour </w:t>
      </w:r>
      <w:r>
        <w:rPr>
          <w:rFonts w:ascii="Times New Roman" w:hAnsi="Times New Roman"/>
          <w:noProof/>
          <w:lang w:val="fr-FR"/>
        </w:rPr>
        <w:lastRenderedPageBreak/>
        <w:t>veiller à ce que les migrants dont il a été déterminé qu'ils devaient faire l'objet d'un retour ou d'une procédure d'asile ultérieure demeurent dans le système.</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Des</w:t>
      </w:r>
      <w:r>
        <w:rPr>
          <w:noProof/>
          <w:lang w:val="fr-FR"/>
        </w:rPr>
        <w:t xml:space="preserve"> </w:t>
      </w:r>
      <w:r>
        <w:rPr>
          <w:rFonts w:ascii="Times New Roman" w:hAnsi="Times New Roman"/>
          <w:b/>
          <w:noProof/>
          <w:lang w:val="fr-FR"/>
        </w:rPr>
        <w:t>mesures de sécurité renforcées</w:t>
      </w:r>
      <w:r>
        <w:rPr>
          <w:rFonts w:ascii="Times New Roman" w:hAnsi="Times New Roman"/>
          <w:noProof/>
          <w:lang w:val="fr-FR"/>
        </w:rPr>
        <w:t xml:space="preserve"> sont l'un des aspects essentiels des centres de crise tant en Italie qu'en Grèce. Des problèmes ont été constatés au niveau de la cohérence des documents délivrés, et ces problèmes semblent plus aigus aux points de tension tels que les transferts des centres de crise vers le continent.  En Grèce, il est essentiel d'introduire des éléments de sécurité dans les documents délivrés lors de l'enregistrement pour éviter que ceux-ci puissent être échangés ou falsifiés. Les contrôles dans les bases de données de sécurité et de vérification de documents européennes et d'Interpol, et en particulier dans le système d'information Schengen, doivent devenir systématiques, et il convient de rendre les bases de données européennes accessibles aux agents invités de Frontex. Non seulement les vérifications systématiques dans les bases de données de sécurité sont requises par le droit de l'UE, mais elles sont d'autant plus essentielles eu égard à la menace terroriste tangible. Tant la Grèce que l'Italie ont été confrontées au problème des migrants refusant de se soumettre au relevé de leurs empreintes digitales. Il conviendra de modifier en priorité les législations nationales et de prendre toutes les mesures opérationnelles afin de garantir le relevé des empreintes digitales de tous les migrants, y compris en recourant en dernier ressort à un usage proportionné de la coercition, et de prévenir tous les mouvements secondaires des migrants qui n'ont pas été identifiés et enregistrés.  Des progrès ont certes été accomplis, mais il convient d'accélérer le processus de sorte que les procédures d'identification et d'enregistrement couvrent l'ensemble des entrées d'ici le Conseil européen de mars. Dans le même temps, les enquêtes et poursuites visant les criminels ayant recours à la falsification de documents de voyage et d'identité pour les besoins du trafic de migrants doivent être renforcées.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L'une des principales finalités de l'approche des centres et zones de crise est d'aider à identifier, grâce à un processus d'identification et de filtrage des demandes, les personnes qui ont besoin d'une protection internationale et celles qui n'en ont pas besoin. L'UE et ses agences doivent se tenir prêtes à fournir toute assistance à la mise en œuvre de ce processus. À cet égard, les liens avec le système de</w:t>
      </w:r>
      <w:r>
        <w:rPr>
          <w:noProof/>
          <w:lang w:val="fr-FR"/>
        </w:rPr>
        <w:t xml:space="preserve"> </w:t>
      </w:r>
      <w:r>
        <w:rPr>
          <w:rFonts w:ascii="Times New Roman" w:hAnsi="Times New Roman"/>
          <w:b/>
          <w:noProof/>
          <w:lang w:val="fr-FR"/>
        </w:rPr>
        <w:t xml:space="preserve">retour </w:t>
      </w:r>
      <w:r>
        <w:rPr>
          <w:rFonts w:ascii="Times New Roman" w:hAnsi="Times New Roman"/>
          <w:noProof/>
          <w:lang w:val="fr-FR"/>
        </w:rPr>
        <w:t>sont particulièrement importants. Le 1</w:t>
      </w:r>
      <w:r>
        <w:rPr>
          <w:rFonts w:ascii="Times New Roman" w:hAnsi="Times New Roman"/>
          <w:noProof/>
          <w:vertAlign w:val="superscript"/>
          <w:lang w:val="fr-FR"/>
        </w:rPr>
        <w:t>er</w:t>
      </w:r>
      <w:r>
        <w:rPr>
          <w:rFonts w:ascii="Times New Roman" w:hAnsi="Times New Roman"/>
          <w:noProof/>
          <w:lang w:val="fr-FR"/>
        </w:rPr>
        <w:t xml:space="preserve"> février, Frontex a lancé un nouveau programme d'aide en matière de retour, axé en particulier sur la Grèce, l'Italie et la Bulgarie et prévoyant un soutien large et souple. La </w:t>
      </w:r>
      <w:r>
        <w:rPr>
          <w:rFonts w:ascii="Times New Roman" w:hAnsi="Times New Roman"/>
          <w:b/>
          <w:noProof/>
          <w:lang w:val="fr-FR"/>
        </w:rPr>
        <w:t xml:space="preserve">Grèce </w:t>
      </w:r>
      <w:r>
        <w:rPr>
          <w:rFonts w:ascii="Times New Roman" w:hAnsi="Times New Roman"/>
          <w:noProof/>
          <w:lang w:val="fr-FR"/>
        </w:rPr>
        <w:t>a enregistré quelques succès dans ce domaine par le passé: récemment (en 2013), elle a obtenu un résultat supérieur à la moyenne de l'UE, avec un taux de retour de 59 %. Le pays doit à présent s'attacher à accélérer les procédures. Il doit rendre des décisions de retour rapidement pour les migrants entrant illégalement sur son territoire, si ceux-ci n'introduisent pas de demande d'asile ou ne remplissent pas les conditions pour se voir accorder l'asile. La Grèce doit recourir à des procédures accélérées, le cas échéant, pour renvoyer les migrants et veiller à ce que tous restent sous le contrôle des autorités au cours de la procédure. Dans ce contexte, il convient également de prendre des mesures pour éviter que des migrants en situation irrégulière ne prennent la fuite avant leur retour, y compris des mesures de rétention.</w:t>
      </w:r>
    </w:p>
    <w:p>
      <w:pPr>
        <w:spacing w:after="0" w:line="240" w:lineRule="auto"/>
        <w:jc w:val="both"/>
        <w:rPr>
          <w:rFonts w:ascii="Times New Roman" w:hAnsi="Times New Roman"/>
          <w:noProof/>
          <w:lang w:val="fr-FR"/>
        </w:rPr>
      </w:pPr>
    </w:p>
    <w:p>
      <w:pPr>
        <w:spacing w:after="0" w:line="240" w:lineRule="auto"/>
        <w:jc w:val="both"/>
        <w:rPr>
          <w:i/>
          <w:noProof/>
          <w:color w:val="1F497D"/>
          <w:lang w:val="fr-FR"/>
        </w:rPr>
      </w:pPr>
      <w:r>
        <w:rPr>
          <w:rFonts w:ascii="Times New Roman" w:hAnsi="Times New Roman"/>
          <w:noProof/>
          <w:lang w:val="fr-FR"/>
        </w:rPr>
        <w:t>L'</w:t>
      </w:r>
      <w:r>
        <w:rPr>
          <w:rFonts w:ascii="Times New Roman" w:hAnsi="Times New Roman"/>
          <w:b/>
          <w:noProof/>
          <w:lang w:val="fr-FR"/>
        </w:rPr>
        <w:t>Italie</w:t>
      </w:r>
      <w:r>
        <w:rPr>
          <w:rFonts w:ascii="Times New Roman" w:hAnsi="Times New Roman"/>
          <w:noProof/>
          <w:lang w:val="fr-FR"/>
        </w:rPr>
        <w:t xml:space="preserve"> a également rencontré des difficultés pour rendre les retours effectifs. Le pays a progressé dans la mise en place d'un nouveau programme d'assistance au retour volontaire, qui devrait être opérationnel rapidement, prend des mesures en matière de réadmission et applique avec succès des procédures accélérées pour l'adoption de décisions de retour et la réadmission de migrants en situation irrégulière dans certains pays africains. Les cas de migrants en situation irrégulière prenant la fuite avant la fin de la procédure continuent néanmoins de poser problème. Il convient de prévoir d'urgence des capacités de rétention limitées et une durée maximale de 90 jours pour les rétentions administratives en cas de retour. L'UE et ses agences continueront à fournir une assistance aux autorités italiennes dans ces domaines.</w:t>
      </w:r>
    </w:p>
    <w:p>
      <w:pPr>
        <w:spacing w:after="0" w:line="240" w:lineRule="auto"/>
        <w:jc w:val="both"/>
        <w:rPr>
          <w:rFonts w:ascii="Times New Roman" w:hAnsi="Times New Roman"/>
          <w:i/>
          <w:noProof/>
          <w:lang w:val="fr-FR"/>
        </w:rPr>
      </w:pPr>
      <w:r>
        <w:rPr>
          <w:rFonts w:ascii="Times New Roman" w:hAnsi="Times New Roman"/>
          <w:i/>
          <w:noProof/>
          <w:lang w:val="fr-FR"/>
        </w:rPr>
        <w:t xml:space="preserve"> </w:t>
      </w:r>
    </w:p>
    <w:p>
      <w:pPr>
        <w:spacing w:after="0" w:line="240" w:lineRule="auto"/>
        <w:jc w:val="both"/>
        <w:rPr>
          <w:rFonts w:ascii="Times New Roman" w:hAnsi="Times New Roman"/>
          <w:i/>
          <w:noProof/>
          <w:lang w:val="fr-FR"/>
        </w:rPr>
      </w:pPr>
      <w:r>
        <w:rPr>
          <w:rFonts w:ascii="Times New Roman" w:hAnsi="Times New Roman"/>
          <w:i/>
          <w:noProof/>
          <w:lang w:val="fr-FR"/>
        </w:rPr>
        <w:t>Rétablir les transferts vers la Grèce au titre du système de Dublin</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lastRenderedPageBreak/>
        <w:t>Pour que le régime d'asile européen commun fonctionne, il faut être réellement en mesure de renvoyer les demandeurs d'asile dans le pays de première entrée dans l'UE (les «transferts au titre de Dublin»), comme le prévoient les règles de l'Union convenues d'un commun accord. En octobre dernier, la Commission a rappelé que depuis 2010-2011, les États membres n'avaient pas pu procéder à des transferts vers la Grèce au titre de Dublin</w:t>
      </w:r>
      <w:r>
        <w:rPr>
          <w:rStyle w:val="FootnoteReference"/>
          <w:rFonts w:ascii="Times New Roman" w:hAnsi="Times New Roman"/>
          <w:noProof/>
        </w:rPr>
        <w:footnoteReference w:id="19"/>
      </w:r>
      <w:r>
        <w:rPr>
          <w:rFonts w:ascii="Times New Roman" w:hAnsi="Times New Roman"/>
          <w:noProof/>
          <w:lang w:val="fr-FR"/>
        </w:rPr>
        <w:t>. La Cour européenne des droits de l'homme et la Cour de justice de l'Union européenne ont relevé des défaillances systémiques, notamment en ce qui concerne le plein accès au système d'asile, l'offre de capacités d'accueil et la qualité de celles-ci. La décision de reprendre les transferts incombe aux autorités des États membres, sous le contrôle de leurs juridictions et de la Cour de justice. Bien que des progrès aient été accomplis, des manquements subsistent dans les domaines des capacités et des conditions d'accueil, de l'accès à la procédure d'asile, des recours et de l'aide juridique. En conséquence, la Commission adopte aujourd'hui une recommandation énumérant les mesures concrètes requises pour réintégrer la Grèce dans le système de Dublin</w:t>
      </w:r>
      <w:r>
        <w:rPr>
          <w:rStyle w:val="FootnoteReference"/>
          <w:rFonts w:ascii="Times New Roman" w:hAnsi="Times New Roman"/>
          <w:noProof/>
        </w:rPr>
        <w:footnoteReference w:id="20"/>
      </w:r>
      <w:r>
        <w:rPr>
          <w:rFonts w:ascii="Times New Roman" w:hAnsi="Times New Roman"/>
          <w:noProof/>
          <w:lang w:val="fr-FR"/>
        </w:rPr>
        <w:t>. Les rapports</w:t>
      </w:r>
      <w:r>
        <w:t xml:space="preserve"> de la Grèce sur les progrès accomplis dans la mise en œuvre des mesures recommandées, ainsi que d'autres</w:t>
      </w:r>
      <w:r>
        <w:rPr>
          <w:rFonts w:ascii="Times New Roman" w:hAnsi="Times New Roman"/>
          <w:noProof/>
          <w:lang w:val="fr-FR"/>
        </w:rPr>
        <w:t xml:space="preserve"> contributions telles que le rapport du Comité des ministres du Conseil de l’Europe relatif à l'exécution des arrêts et celui du HCR</w:t>
      </w:r>
      <w:r>
        <w:t>, permettront d'y voir plus clair quant à la question de savoir si les conditions sont réunies pour les États membres</w:t>
      </w:r>
      <w:r>
        <w:rPr>
          <w:rFonts w:ascii="Times New Roman" w:hAnsi="Times New Roman"/>
          <w:noProof/>
          <w:lang w:val="fr-FR"/>
        </w:rPr>
        <w:t xml:space="preserve"> puissent reprendre les transferts vers la Grèce au titre du règlement de Dublin, sachant qu'il faudra adapter le volume de transferts et les catégories de personnes à transférer aux progrès concrets accomplis.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tc>
          <w:tcPr>
            <w:tcW w:w="9288" w:type="dxa"/>
          </w:tcPr>
          <w:p>
            <w:pPr>
              <w:rPr>
                <w:rFonts w:ascii="Times New Roman" w:hAnsi="Times New Roman"/>
                <w:noProof/>
              </w:rPr>
            </w:pPr>
            <w:r>
              <w:rPr>
                <w:rFonts w:ascii="Times New Roman" w:hAnsi="Times New Roman"/>
                <w:b/>
                <w:i/>
                <w:noProof/>
              </w:rPr>
              <w:t>Prochaines étapes importantes</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La </w:t>
            </w:r>
            <w:r>
              <w:rPr>
                <w:rFonts w:ascii="Times New Roman" w:hAnsi="Times New Roman"/>
                <w:b/>
                <w:i/>
                <w:noProof/>
                <w:lang w:val="fr-FR"/>
              </w:rPr>
              <w:t>Grèce et l'Italie</w:t>
            </w:r>
            <w:r>
              <w:rPr>
                <w:rFonts w:ascii="Times New Roman" w:hAnsi="Times New Roman"/>
                <w:noProof/>
                <w:lang w:val="fr-FR"/>
              </w:rPr>
              <w:t xml:space="preserve"> doivent mettre en place, avec le soutien sans faille de l'UE, des centres de crise pleinement opérationnels sur l'ensemble des sites, et ce dans les plus brefs délais.</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Les </w:t>
            </w:r>
            <w:r>
              <w:rPr>
                <w:rFonts w:ascii="Times New Roman" w:hAnsi="Times New Roman"/>
                <w:b/>
                <w:i/>
                <w:noProof/>
                <w:lang w:val="fr-FR"/>
              </w:rPr>
              <w:t>autres États membres</w:t>
            </w:r>
            <w:r>
              <w:rPr>
                <w:rFonts w:ascii="Times New Roman" w:hAnsi="Times New Roman"/>
                <w:noProof/>
                <w:lang w:val="fr-FR"/>
              </w:rPr>
              <w:t xml:space="preserve"> doivent répondre d'urgence aux besoins en experts de Frontex et de l'EASO qui ne sont pas satisfaits. </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La </w:t>
            </w:r>
            <w:r>
              <w:rPr>
                <w:rFonts w:ascii="Times New Roman" w:hAnsi="Times New Roman"/>
                <w:b/>
                <w:i/>
                <w:noProof/>
                <w:lang w:val="fr-FR"/>
              </w:rPr>
              <w:t>Grèce et l'Italie</w:t>
            </w:r>
            <w:r>
              <w:rPr>
                <w:rFonts w:ascii="Times New Roman" w:hAnsi="Times New Roman"/>
                <w:noProof/>
                <w:lang w:val="fr-FR"/>
              </w:rPr>
              <w:t xml:space="preserve"> doivent intensifier leurs efforts afin de rétablir des retours effectifs et d'empêcher que des migrants en situation irrégulière ne puissent s'enfuir avant leur retour.</w:t>
            </w:r>
            <w:r>
              <w:rPr>
                <w:rFonts w:ascii="Times New Roman" w:hAnsi="Times New Roman"/>
                <w:b/>
                <w:i/>
                <w:noProof/>
                <w:lang w:val="fr-FR"/>
              </w:rPr>
              <w:t xml:space="preserve"> </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La </w:t>
            </w:r>
            <w:r>
              <w:rPr>
                <w:rFonts w:ascii="Times New Roman" w:hAnsi="Times New Roman"/>
                <w:b/>
                <w:i/>
                <w:noProof/>
                <w:lang w:val="fr-FR"/>
              </w:rPr>
              <w:t>Grèce</w:t>
            </w:r>
            <w:r>
              <w:rPr>
                <w:rFonts w:ascii="Times New Roman" w:hAnsi="Times New Roman"/>
                <w:noProof/>
                <w:lang w:val="fr-FR"/>
              </w:rPr>
              <w:t xml:space="preserve"> devrait prendre les mesures énoncées dans la recommandation de la Commission adoptée aujourd'hui pour permettre une reprise au cas par cas des transferts au titre de Dublin sur la base des progrès accomplis. </w:t>
            </w:r>
          </w:p>
          <w:p>
            <w:pPr>
              <w:pStyle w:val="ListParagraph1"/>
              <w:spacing w:after="0" w:line="240" w:lineRule="auto"/>
              <w:ind w:left="426"/>
              <w:jc w:val="both"/>
              <w:rPr>
                <w:rFonts w:ascii="Times New Roman" w:hAnsi="Times New Roman"/>
                <w:noProof/>
                <w:lang w:val="fr-FR"/>
              </w:rPr>
            </w:pPr>
          </w:p>
        </w:tc>
      </w:tr>
    </w:tbl>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b/>
          <w:i/>
          <w:noProof/>
          <w:lang w:val="fr-FR"/>
        </w:rPr>
        <w:t>III.2</w:t>
      </w:r>
      <w:r>
        <w:rPr>
          <w:noProof/>
          <w:lang w:val="fr-FR"/>
        </w:rPr>
        <w:tab/>
      </w:r>
      <w:r>
        <w:rPr>
          <w:rFonts w:ascii="Times New Roman" w:hAnsi="Times New Roman"/>
          <w:b/>
          <w:i/>
          <w:noProof/>
          <w:lang w:val="fr-FR"/>
        </w:rPr>
        <w:t>Mise en œuvre de la relocalisation</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Les deux décisions de </w:t>
      </w:r>
      <w:r>
        <w:rPr>
          <w:rFonts w:ascii="Times New Roman" w:hAnsi="Times New Roman"/>
          <w:b/>
          <w:noProof/>
          <w:lang w:val="fr-FR"/>
        </w:rPr>
        <w:t>relocalisation</w:t>
      </w:r>
      <w:r>
        <w:rPr>
          <w:rFonts w:ascii="Times New Roman" w:hAnsi="Times New Roman"/>
          <w:noProof/>
          <w:lang w:val="fr-FR"/>
        </w:rPr>
        <w:t xml:space="preserve"> juridiquement contraignantes adoptées par le Conseil témoignent de la nécessité de fournir une aide d’urgence à la Grèce et à l’Italie dans une situation d’urgence. La relocalisation constitue un outil essentiel pour soulager les États membres soumis aux plus fortes pressions et pour rétablir l’ordre en matière de gestion des migrations. Elle requiert toutefois une coopération effective entre les pays qui procèdent à la relocalisation et les États membres d’accueil. En premier lieu, la détermination de la Grèce et de l’Italie à procéder à un enregistrement et à un filtrage systématiques et approfondis est essentielle. Ces deux États membres mettent en place des systèmes permettant d’identifier, d’orienter, d’enregistrer et de transférer les candidats à la relocalisation, ainsi que de réaliser des contrôles médicaux et de sécurité avant leur départ.</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b/>
          <w:noProof/>
          <w:lang w:val="fr-FR"/>
        </w:rPr>
      </w:pPr>
      <w:r>
        <w:rPr>
          <w:rFonts w:ascii="Times New Roman" w:hAnsi="Times New Roman"/>
          <w:noProof/>
          <w:lang w:val="fr-FR"/>
        </w:rPr>
        <w:t xml:space="preserve">Les demandeurs d’asile devraient comprendre que la relocalisation apporte une plus grande sécurité que le fait de se soustraire au régime d’asile local et qu’ils ne pourront pas voyager illégalement à destination de l’État membre de leur choix. Dans le cas de la Grèce, un </w:t>
      </w:r>
      <w:r>
        <w:rPr>
          <w:rFonts w:ascii="Times New Roman" w:hAnsi="Times New Roman"/>
          <w:b/>
          <w:noProof/>
          <w:lang w:val="fr-FR"/>
        </w:rPr>
        <w:t>meilleur contrôle (avec l’appui et l’assistance de l’UE) de la frontière entre le pays et l’ancienne République yougoslave de Macédoine</w:t>
      </w:r>
      <w:r>
        <w:rPr>
          <w:rFonts w:ascii="Times New Roman" w:hAnsi="Times New Roman"/>
          <w:noProof/>
          <w:lang w:val="fr-FR"/>
        </w:rPr>
        <w:t xml:space="preserve"> est requis pour veiller en particulier à ce que les personnes qui entrent illégalement sur le territoire de l’UE soient enregistrées, ainsi que pour identifier et renvoyer rapidement et de manière effective celles qui n’ont pas le droit de séjourner dans l’Union européenne.</w:t>
      </w:r>
      <w:r>
        <w:rPr>
          <w:rFonts w:ascii="Times New Roman" w:hAnsi="Times New Roman"/>
          <w:b/>
          <w:noProof/>
          <w:lang w:val="fr-FR"/>
        </w:rPr>
        <w:t xml:space="preserve"> </w:t>
      </w:r>
      <w:r>
        <w:rPr>
          <w:rFonts w:ascii="Times New Roman" w:hAnsi="Times New Roman"/>
          <w:noProof/>
          <w:lang w:val="fr-FR"/>
        </w:rPr>
        <w:t>Il est également indispensable que les mouvements secondaires vers d’autres États membres soient sanctionnés et que les personnes concernées soient renvoyées vers l’État membre de relocalisation.</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Le facteur majeur reste toutefois la volonté politique des États membres de faire fonctionner la relocalisation</w:t>
      </w:r>
      <w:r>
        <w:rPr>
          <w:rStyle w:val="FootnoteReference"/>
          <w:rFonts w:ascii="Times New Roman" w:hAnsi="Times New Roman"/>
          <w:noProof/>
        </w:rPr>
        <w:footnoteReference w:id="21"/>
      </w:r>
      <w:r>
        <w:rPr>
          <w:rFonts w:ascii="Times New Roman" w:hAnsi="Times New Roman"/>
          <w:noProof/>
          <w:lang w:val="fr-FR"/>
        </w:rPr>
        <w:t>. Alors que le nombre de candidats dont il a été établi qu’ils peuvent bénéficier de la relocalisation n’a cessé de croître, les États membres n’ont à ce jour effectivement mis à disposition qu’un peu plus de 2 000 places et seuls douze États membres ont accueilli des personnes relocalisées. À la date du 8 février, seules 218 personnes avaient fait l’objet d’une relocalisation depuis la Grèce et 279 depuis l’Italie</w:t>
      </w:r>
      <w:r>
        <w:rPr>
          <w:rStyle w:val="FootnoteReference"/>
          <w:rFonts w:ascii="Times New Roman" w:hAnsi="Times New Roman"/>
          <w:noProof/>
        </w:rPr>
        <w:footnoteReference w:id="22"/>
      </w:r>
      <w:r>
        <w:rPr>
          <w:rFonts w:ascii="Times New Roman" w:hAnsi="Times New Roman"/>
          <w:noProof/>
          <w:lang w:val="fr-FR"/>
        </w:rPr>
        <w:t>. Cinq États membres n’ont pas encore proposé de places pour accueillir des candidats à la relocalisation</w:t>
      </w:r>
      <w:r>
        <w:rPr>
          <w:rStyle w:val="FootnoteReference"/>
          <w:rFonts w:ascii="Times New Roman" w:hAnsi="Times New Roman"/>
          <w:noProof/>
        </w:rPr>
        <w:footnoteReference w:id="23"/>
      </w:r>
      <w:r>
        <w:rPr>
          <w:rFonts w:ascii="Times New Roman" w:hAnsi="Times New Roman"/>
          <w:noProof/>
          <w:lang w:val="fr-FR"/>
        </w:rPr>
        <w:t>. La lenteur des relocalisations a été attribuée à différents facteurs, notamment à un manque de points de contact spécialement désignés (pour réaliser des contrôles sanitaires et de sécurité, seul motif pouvant être invoqué par un État membre de relocalisation pour refuser d’accepter un candidat à la relocalisation) et à des capacités d’accueil insuffisantes pour les personnes arrivant dans l’État membre d’accueil. Les retards et l’imposition de critères rédhibitoires dans la mention et la proposition de places disponibles par les États membres de relocalisation doivent cesser.</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C’est la raison pour laquelle la Commission a écrit ce jour à l’ensemble des États membres pour leur rappeler les obligations qui leur incombent en vertu des deux décisions et pour les </w:t>
      </w:r>
      <w:r>
        <w:rPr>
          <w:rFonts w:ascii="Times New Roman" w:hAnsi="Times New Roman"/>
          <w:b/>
          <w:noProof/>
          <w:lang w:val="fr-FR"/>
        </w:rPr>
        <w:t>inciter à accélérer le rythme de mise en œuvre compte tenu de l’objectif clairement défini, à savoir fournir une aide d’urgence</w:t>
      </w:r>
      <w:r>
        <w:rPr>
          <w:rFonts w:ascii="Times New Roman" w:hAnsi="Times New Roman"/>
          <w:noProof/>
          <w:lang w:val="fr-FR"/>
        </w:rPr>
        <w:t>. Alors que les contrôles aux frontières le long de la route des Balkans occidentaux se durcissent, les pressions que ces décisions visaient à atténuer risquent d’augmenter et la nécessité de se montrer solidaires devient encore plus impérative.</w:t>
      </w:r>
    </w:p>
    <w:p>
      <w:pPr>
        <w:spacing w:after="0" w:line="240" w:lineRule="auto"/>
        <w:jc w:val="both"/>
        <w:rPr>
          <w:rFonts w:ascii="Times New Roman" w:hAnsi="Times New Roman"/>
          <w:noProof/>
          <w:lang w:val="fr-FR"/>
        </w:rPr>
      </w:pPr>
      <w:r>
        <w:rPr>
          <w:rFonts w:ascii="Times New Roman" w:hAnsi="Times New Roman"/>
          <w:noProof/>
          <w:lang w:val="fr-FR"/>
        </w:rPr>
        <w:t xml:space="preserve"> </w:t>
      </w:r>
    </w:p>
    <w:p>
      <w:pPr>
        <w:spacing w:after="0" w:line="240" w:lineRule="auto"/>
        <w:jc w:val="both"/>
        <w:rPr>
          <w:rFonts w:ascii="Times New Roman" w:hAnsi="Times New Roman"/>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tc>
          <w:tcPr>
            <w:tcW w:w="9288" w:type="dxa"/>
          </w:tcPr>
          <w:p>
            <w:pPr>
              <w:spacing w:after="0" w:line="240" w:lineRule="auto"/>
              <w:jc w:val="both"/>
              <w:rPr>
                <w:rFonts w:ascii="Times New Roman" w:hAnsi="Times New Roman"/>
                <w:b/>
                <w:i/>
                <w:noProof/>
              </w:rPr>
            </w:pPr>
            <w:r>
              <w:rPr>
                <w:rFonts w:ascii="Times New Roman" w:hAnsi="Times New Roman"/>
                <w:b/>
                <w:i/>
                <w:noProof/>
              </w:rPr>
              <w:t>Prochaines étapes importantes:</w:t>
            </w:r>
          </w:p>
          <w:p>
            <w:pPr>
              <w:spacing w:after="0" w:line="240" w:lineRule="auto"/>
              <w:jc w:val="both"/>
              <w:rPr>
                <w:rFonts w:ascii="Times New Roman" w:hAnsi="Times New Roman"/>
                <w:b/>
                <w:i/>
                <w:noProof/>
              </w:rPr>
            </w:pP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Les </w:t>
            </w:r>
            <w:r>
              <w:rPr>
                <w:rFonts w:ascii="Times New Roman" w:hAnsi="Times New Roman"/>
                <w:b/>
                <w:i/>
                <w:noProof/>
                <w:lang w:val="fr-FR"/>
              </w:rPr>
              <w:t>États membres</w:t>
            </w:r>
            <w:r>
              <w:rPr>
                <w:rFonts w:ascii="Times New Roman" w:hAnsi="Times New Roman"/>
                <w:noProof/>
                <w:lang w:val="fr-FR"/>
              </w:rPr>
              <w:t xml:space="preserve"> devraient honorer leurs engagements en accélérant la mise en œuvre des décisions de relocalisation.</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b/>
                <w:i/>
                <w:noProof/>
                <w:lang w:val="fr-FR"/>
              </w:rPr>
              <w:t>Les États membres et les agences de l’UE</w:t>
            </w:r>
            <w:r>
              <w:rPr>
                <w:rFonts w:ascii="Times New Roman" w:hAnsi="Times New Roman"/>
                <w:b/>
                <w:noProof/>
                <w:lang w:val="fr-FR"/>
              </w:rPr>
              <w:t xml:space="preserve"> </w:t>
            </w:r>
            <w:r>
              <w:rPr>
                <w:rFonts w:ascii="Times New Roman" w:hAnsi="Times New Roman"/>
                <w:b/>
                <w:i/>
                <w:noProof/>
                <w:lang w:val="fr-FR"/>
              </w:rPr>
              <w:t>(Frontex, EASO)</w:t>
            </w:r>
            <w:r>
              <w:rPr>
                <w:rFonts w:ascii="Times New Roman" w:hAnsi="Times New Roman"/>
                <w:b/>
                <w:noProof/>
                <w:lang w:val="fr-FR"/>
              </w:rPr>
              <w:t xml:space="preserve"> </w:t>
            </w:r>
            <w:r>
              <w:rPr>
                <w:rFonts w:ascii="Times New Roman" w:hAnsi="Times New Roman"/>
                <w:noProof/>
                <w:lang w:val="fr-FR"/>
              </w:rPr>
              <w:t xml:space="preserve">devraient aider la </w:t>
            </w:r>
            <w:r>
              <w:rPr>
                <w:rFonts w:ascii="Times New Roman" w:hAnsi="Times New Roman"/>
                <w:b/>
                <w:i/>
                <w:noProof/>
                <w:lang w:val="fr-FR"/>
              </w:rPr>
              <w:t>Grèce</w:t>
            </w:r>
            <w:r>
              <w:rPr>
                <w:rFonts w:ascii="Times New Roman" w:hAnsi="Times New Roman"/>
                <w:b/>
                <w:noProof/>
                <w:lang w:val="fr-FR"/>
              </w:rPr>
              <w:t xml:space="preserve"> </w:t>
            </w:r>
            <w:r>
              <w:rPr>
                <w:rFonts w:ascii="Times New Roman" w:hAnsi="Times New Roman"/>
                <w:noProof/>
                <w:lang w:val="fr-FR"/>
              </w:rPr>
              <w:t>à mieux contrôler sa frontière avec l’ancienne République yougoslave de Macédoine pour veiller en particulier à ce que les personnes qui entrent illégalement sur le territoire de l’UE soient enregistrées, ainsi que pour identifier et renvoyer rapidement et de manière effective celles qui n’ont pas le droit de séjourner dans l’Union européenne.</w:t>
            </w:r>
          </w:p>
          <w:p>
            <w:pPr>
              <w:spacing w:after="0" w:line="240" w:lineRule="auto"/>
              <w:jc w:val="both"/>
              <w:rPr>
                <w:rFonts w:ascii="Times New Roman" w:hAnsi="Times New Roman"/>
                <w:noProof/>
                <w:lang w:val="fr-FR"/>
              </w:rPr>
            </w:pPr>
          </w:p>
        </w:tc>
      </w:tr>
    </w:tbl>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b/>
          <w:i/>
          <w:noProof/>
          <w:lang w:val="fr-FR"/>
        </w:rPr>
      </w:pPr>
      <w:r>
        <w:rPr>
          <w:rFonts w:ascii="Times New Roman" w:hAnsi="Times New Roman"/>
          <w:b/>
          <w:i/>
          <w:noProof/>
          <w:lang w:val="fr-FR"/>
        </w:rPr>
        <w:lastRenderedPageBreak/>
        <w:t>III.3</w:t>
      </w:r>
      <w:r>
        <w:rPr>
          <w:rFonts w:ascii="Times New Roman" w:hAnsi="Times New Roman"/>
          <w:b/>
          <w:i/>
          <w:noProof/>
          <w:lang w:val="fr-FR"/>
        </w:rPr>
        <w:tab/>
        <w:t>Des frontières sûres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La gestion des frontières extérieures de l’UE est assortie de responsabilités. Les personnes qui franchissent clandestinement la frontière devraient avoir la possibilité de demander une protection internationale: dans ce cas, l’État membre de première entrée doit leur accorder l’accès aux procédures d’asile nationales, conformément au droit international et européen. Si elles ne demandent pas l’asile, l’État membre de première entrée peut et devrait leur refuser l’entrée. Cette responsabilité en matière de contrôle des frontières est le pendant des obligations des migrants à la frontière – la base du principe «</w:t>
      </w:r>
      <w:r>
        <w:rPr>
          <w:rFonts w:ascii="Times New Roman" w:hAnsi="Times New Roman"/>
          <w:b/>
          <w:noProof/>
          <w:lang w:val="fr-FR"/>
        </w:rPr>
        <w:t>pas d’enregistrement, pas de droits</w:t>
      </w:r>
      <w:r>
        <w:rPr>
          <w:rFonts w:ascii="Times New Roman" w:hAnsi="Times New Roman"/>
          <w:noProof/>
          <w:lang w:val="fr-FR"/>
        </w:rPr>
        <w:t>». Les ressortissants de pays tiers doivent remplir les conditions d’entrée énoncées dans le code frontières Schengen, et notamment être munis d’un document de voyage en cours de validité</w:t>
      </w:r>
      <w:r>
        <w:rPr>
          <w:rFonts w:ascii="Times New Roman" w:hAnsi="Times New Roman"/>
          <w:noProof/>
          <w:vertAlign w:val="superscript"/>
        </w:rPr>
        <w:footnoteReference w:id="24"/>
      </w:r>
      <w:r>
        <w:rPr>
          <w:rFonts w:ascii="Times New Roman" w:hAnsi="Times New Roman"/>
          <w:noProof/>
          <w:lang w:val="fr-FR"/>
        </w:rPr>
        <w:t xml:space="preserve">. Les États membres doivent prendre des mesures appropriées pour que les personnes qui se sont vu accorder l’accès à leur territoire en tant que demandeurs d’asile ne puissent pas prendre la fuite jusqu’à ce qu’une évaluation soit effectuée et qu’une décision au sujet de leur demande d’asile soit prise. Il devrait être clair que le souhait de transiter par un État membre pour demander l’asile dans un autre État membre n’est pas une raison acceptable pour accorder l’entrée. Le droit d’accès à une procédure d’asile équitable – reconnu par le droit international des réfugiés et respecté par les États membres de l’UE ainsi que par les pays des Balkans occidentaux – ne peut servir de prétexte au demandeur d’asile pour tenter de choisir le pays dans lequel il présentera une demande d’asile. </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Il s’agit néanmoins d’une des tendances qui ont caractérisé les contrôles aux frontières le long de la route des </w:t>
      </w:r>
      <w:r>
        <w:rPr>
          <w:rFonts w:ascii="Times New Roman" w:hAnsi="Times New Roman"/>
          <w:b/>
          <w:noProof/>
          <w:lang w:val="fr-FR"/>
        </w:rPr>
        <w:t>Balkans occidentaux</w:t>
      </w:r>
      <w:r>
        <w:rPr>
          <w:rFonts w:ascii="Times New Roman" w:hAnsi="Times New Roman"/>
          <w:noProof/>
          <w:lang w:val="fr-FR"/>
        </w:rPr>
        <w:t xml:space="preserve"> ces derniers mois. Plusieurs pays, y compris des États membres, soumis à une forte pression migratoire, se sont considérés comme de simples pays de transit; ils ont mis en place des capacités d’accueil à petite échelle et à très court terme et ont, dans certains cas, transporté les migrants d’une frontière à l’autre. La coopération entre les pays de la route des Balkans occidentaux demeure insuffisante. Il y a eu plusieurs exemples de décisions prises de manière unilatérale par un pays, qui ont déclenché un effet domino sur la frontière de tous les pays situés en amont. Le résultat obtenu est une politique de fait de refus d’entrée fondé sur la nationalité ou le pays d’enregistrement envisagé des demandes d’asile. De telles politiques ne sont pas une solution structurelle au problème auquel l’Union européenne est confrontée. Pour cette raison, la Commission a insisté sur l’importance de l’enregistrement des migrants, de la résilience des frontières et du renforcement des capacités d’accueil. </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La première étape vers une normalisation de la situation est d’accepter la nécessité de coordonner ces mesures, afin d’éviter les transferts de responsabilité, les tensions entre pays voisins et le blocage d’un grand nombre de migrants sur la route. Des mesures en matière d’alerte rapide et de transparence devraient être prises à cet égard. La deuxième étape doit toutefois consister à </w:t>
      </w:r>
      <w:r>
        <w:rPr>
          <w:rFonts w:ascii="Times New Roman" w:hAnsi="Times New Roman"/>
          <w:b/>
          <w:noProof/>
          <w:lang w:val="fr-FR"/>
        </w:rPr>
        <w:t>rétablir l’ordre dans le système, en n’accordant l’entrée qu’aux personnes qui demandent l’asile dans le cadre du régime d’asile national de l’État membre responsable en vertu des règles de Dublin</w:t>
      </w:r>
      <w:r>
        <w:rPr>
          <w:rFonts w:ascii="Times New Roman" w:hAnsi="Times New Roman"/>
          <w:noProof/>
          <w:lang w:val="fr-FR"/>
        </w:rPr>
        <w:t>. Le fait de savoir que des réfugiés et des migrants sont déjà passés par un État membre a manifestement affaibli la volonté des États membres d’assumer ces responsabilités; le rétablissement de cette norme doit cependant être l’objectif poursuivi.</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La tendance plus récente le long de la route des Balkans occidentaux est toutefois claire: un durcissement progressif des contrôles aux frontières, qui pourrait aboutir à la fermeture de ces dernières si le flux de migrants ne diminue pas. Il est donc nécessaire d’accélérer le respect des engagements pris lors du sommet des dirigeants des Balkans occidentaux et de veiller à ce que les </w:t>
      </w:r>
      <w:r>
        <w:rPr>
          <w:rFonts w:ascii="Times New Roman" w:hAnsi="Times New Roman"/>
          <w:noProof/>
          <w:lang w:val="fr-FR"/>
        </w:rPr>
        <w:lastRenderedPageBreak/>
        <w:t>décisions prises dans les pays soient pleinement coordonnées et, le cas échéant, s’inscrivent dans le cadre du droit de l’Union.</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Dans ce contexte, la </w:t>
      </w:r>
      <w:r>
        <w:rPr>
          <w:rFonts w:ascii="Times New Roman" w:hAnsi="Times New Roman"/>
          <w:b/>
          <w:noProof/>
          <w:lang w:val="fr-FR"/>
        </w:rPr>
        <w:t>Grèce</w:t>
      </w:r>
      <w:r>
        <w:rPr>
          <w:rFonts w:ascii="Times New Roman" w:hAnsi="Times New Roman"/>
          <w:noProof/>
          <w:lang w:val="fr-FR"/>
        </w:rPr>
        <w:t xml:space="preserve"> devrait, avec le soutien renforcé de Frontex, exercer un contrôle total sur sa frontière avec l’ancienne République yougoslave de Macédoine. Un premier pas a été fait à la demande de la Grèce, par un déploiement limité de Frontex. Ce déploiement devrait être renforcé et exploité au maximum, notamment en élargissant l’éventail des tâches pouvant être assumées par les agents détachés. Bien qu’il ne soit pas possible de déployer une opération conjointe coordonnée par Frontex directement sur le territoire de l’ancienne République yougoslave de Macédoine, d’autres moyens d’assistance de Frontex sont en cours de préparation. Toute action complémentaire du côté nord de cette frontière devrait être prise dans un cadre propre à l’UE.</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La capacité de l’Union à maintenir un espace sans contrôle aux frontières intérieures dépend de la sécurité des frontières extérieures. Le système Schengen laisse une grande latitude aux États membres pour réagir à l’évolution de la situation. Les règles prévoient une réponse à des situations spécifiques au moyen de la </w:t>
      </w:r>
      <w:r>
        <w:rPr>
          <w:rFonts w:ascii="Times New Roman" w:hAnsi="Times New Roman"/>
          <w:b/>
          <w:noProof/>
          <w:lang w:val="fr-FR"/>
        </w:rPr>
        <w:t>réintroduction temporaire des contrôles</w:t>
      </w:r>
      <w:r>
        <w:rPr>
          <w:rFonts w:ascii="Times New Roman" w:hAnsi="Times New Roman"/>
          <w:noProof/>
          <w:lang w:val="fr-FR"/>
        </w:rPr>
        <w:t xml:space="preserve"> sur tous les tronçons ou sur certains tronçons spécifiques </w:t>
      </w:r>
      <w:r>
        <w:rPr>
          <w:rFonts w:ascii="Times New Roman" w:hAnsi="Times New Roman"/>
          <w:b/>
          <w:noProof/>
          <w:lang w:val="fr-FR"/>
        </w:rPr>
        <w:t>des frontières</w:t>
      </w:r>
      <w:r>
        <w:rPr>
          <w:rFonts w:ascii="Times New Roman" w:hAnsi="Times New Roman"/>
          <w:noProof/>
          <w:lang w:val="fr-FR"/>
        </w:rPr>
        <w:t xml:space="preserve"> intérieures d’un État membre pour des raisons de menace grave pour la sécurité intérieure ou l’ordre public. L’augmentation constante du nombre des arrivées de migrants et de réfugiés a abouti à ce que les États membres prennent des mesures exceptionnelles de dernier recours, comme l’érection de clôtures et la réintroduction temporaire des contrôles aux frontières intérieures</w:t>
      </w:r>
      <w:r>
        <w:rPr>
          <w:rFonts w:ascii="Times New Roman" w:hAnsi="Times New Roman"/>
          <w:noProof/>
          <w:vertAlign w:val="superscript"/>
        </w:rPr>
        <w:footnoteReference w:id="25"/>
      </w:r>
      <w:r>
        <w:rPr>
          <w:rFonts w:ascii="Times New Roman" w:hAnsi="Times New Roman"/>
          <w:noProof/>
          <w:lang w:val="fr-FR"/>
        </w:rPr>
        <w:t>. Le code frontières Schengen fixe une durée maximale pour la réintroduction de contrôles aux frontières, conformément à leur caractère exceptionnel, et leur prolongation n’est possible que dans des conditions strictement définies. Les contrôles aux frontières devraient être levés après un total de huit mois, à moins que le Conseil ne recommande leur prolongation au cas où des manquements graves liés aux contrôles aux frontières extérieures, recensés dans le cadre d’un rapport d’évaluation Schengen, persistent et n’ont pas été corrigés, et lorsque le fonctionnement global de l’espace Schengen est mis en péril, en cas de menace grave pour l’ordre public ou la sécurité intérieure.</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Dans le cadre de l’évaluation de routine de la gestion des frontières extérieures, une inspection inopinée au titre de l’évaluation de Schengen a eu lieu aux frontières extérieures de la </w:t>
      </w:r>
      <w:r>
        <w:rPr>
          <w:rFonts w:ascii="Times New Roman" w:hAnsi="Times New Roman"/>
          <w:b/>
          <w:noProof/>
          <w:lang w:val="fr-FR"/>
        </w:rPr>
        <w:t>Grèce</w:t>
      </w:r>
      <w:r>
        <w:rPr>
          <w:rFonts w:ascii="Times New Roman" w:hAnsi="Times New Roman"/>
          <w:noProof/>
          <w:lang w:val="fr-FR"/>
        </w:rPr>
        <w:t xml:space="preserve"> en novembre 2015. Deux équipes composées d’experts des États membres et de la Commission ont évalué la frontière maritime de la Grèce (deux îles de la mer Égée) et sa frontière terrestre avec la Turquie. Après que les autorités grecques ont eu la possibilité de formuler des observations sur les faits figurant dans le rapport, celui-ci a reçu l’avis favorable des États membres au sein du comité d’évaluation de Schengen. Le 2 février, la Commission a conclu que les manquements constatés constituaient de graves dysfonctionnements. Le Conseil est en train de formuler des recommandations pour y remédier. La Commission est disposée à prendre les mesures d’application appropriées dès que le Conseil aura statué sur ce point.</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 xml:space="preserve">Les coûts du rétablissement des contrôles aux frontières intérieures </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La stabilisation du système Schengen au moyen du recours à ses mécanismes de sauvegarde est essentielle pour garantir la suppression ultérieure de tous les contrôles aux frontières intérieures. À défaut, non seulement les citoyens seraient privés des avantages considérables apportés par la liberté de circulation, mais des coûts économiques majeurs pourraient également être supportés par les </w:t>
      </w:r>
      <w:r>
        <w:rPr>
          <w:rFonts w:ascii="Times New Roman" w:hAnsi="Times New Roman"/>
          <w:noProof/>
          <w:lang w:val="fr-FR"/>
        </w:rPr>
        <w:lastRenderedPageBreak/>
        <w:t>citoyens et les entreprises, ce qui porterait atteinte au marché unique</w:t>
      </w:r>
      <w:r>
        <w:rPr>
          <w:rStyle w:val="FootnoteReference"/>
          <w:rFonts w:ascii="Times New Roman" w:hAnsi="Times New Roman"/>
          <w:noProof/>
        </w:rPr>
        <w:footnoteReference w:id="26"/>
      </w:r>
      <w:r>
        <w:rPr>
          <w:rFonts w:ascii="Times New Roman" w:hAnsi="Times New Roman"/>
          <w:noProof/>
          <w:lang w:val="fr-FR"/>
        </w:rPr>
        <w:t>. Si les contrôles aux frontières sont réintroduits de manière plus systématique et durable, les coûts directs pourraient être considérables, en particulier pour les travailleurs frontaliers, les transporteurs routiers de marchandises et l’administration publique dans l’UE. La libre circulation des marchandises au sein de l’UE représente actuellement plus de 2 800 000 000 000 EUR en valeur et 1 700 millions de tonnes en volume. Selon les estimations, la réintroduction des contrôles aux frontières intérieures sur une base systématique et à long terme pourrait coûter entre 5 000 000 000 EUR et 18 000 000 000 EUR en ce qui concerne les seuls coûts directs totaux</w:t>
      </w:r>
      <w:r>
        <w:rPr>
          <w:rStyle w:val="FootnoteReference"/>
          <w:rFonts w:ascii="Times New Roman" w:hAnsi="Times New Roman"/>
          <w:noProof/>
        </w:rPr>
        <w:footnoteReference w:id="27"/>
      </w:r>
      <w:r>
        <w:rPr>
          <w:rFonts w:ascii="Times New Roman" w:hAnsi="Times New Roman"/>
          <w:noProof/>
          <w:lang w:val="fr-FR"/>
        </w:rPr>
        <w:t>. Les répercussions iraient bien au-delà du secteur des transports: le volume et les coûts du commerce de biens en seraient affectés, de même que l’efficience du secteur européen de la logistique, avec une augmentation probable des prix. La réintroduction des contrôles entraînerait également de nouvelles contraintes sur le marché du travail – 1 % des travailleurs vivant dans les pays de l’espace Schengen travaillent de l’autre côté de la frontière et seraient touchés par le rétablissement des contrôles</w:t>
      </w:r>
      <w:r>
        <w:rPr>
          <w:rStyle w:val="FootnoteReference"/>
          <w:rFonts w:ascii="Times New Roman" w:hAnsi="Times New Roman"/>
          <w:noProof/>
        </w:rPr>
        <w:footnoteReference w:id="28"/>
      </w:r>
      <w:r>
        <w:rPr>
          <w:rFonts w:ascii="Times New Roman" w:hAnsi="Times New Roman"/>
          <w:noProof/>
          <w:lang w:val="fr-FR"/>
        </w:rPr>
        <w:t>.</w:t>
      </w:r>
    </w:p>
    <w:p>
      <w:pPr>
        <w:spacing w:after="0" w:line="240" w:lineRule="auto"/>
        <w:jc w:val="both"/>
        <w:rPr>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Si les contrôles aux frontières s’accompagnent d’une fragmentation de la politique commune de l’Union en matière de visas,</w:t>
      </w:r>
      <w:r>
        <w:rPr>
          <w:noProof/>
          <w:lang w:val="fr-FR"/>
        </w:rPr>
        <w:t xml:space="preserve"> </w:t>
      </w:r>
      <w:r>
        <w:rPr>
          <w:rFonts w:ascii="Times New Roman" w:hAnsi="Times New Roman"/>
          <w:noProof/>
          <w:lang w:val="fr-FR"/>
        </w:rPr>
        <w:t>les simulations indiquent une incidence potentielle considérable sur le secteur du tourisme (entre 10 000 000 000 et 20 000 000 000 EUR, soit de 0,07 % à 0,14 % du PIB de l’UE).</w:t>
      </w:r>
      <w:r>
        <w:rPr>
          <w:noProof/>
          <w:lang w:val="fr-FR"/>
        </w:rPr>
        <w:t xml:space="preserve"> </w:t>
      </w:r>
      <w:r>
        <w:rPr>
          <w:rFonts w:ascii="Times New Roman" w:hAnsi="Times New Roman"/>
          <w:noProof/>
          <w:lang w:val="fr-FR"/>
        </w:rPr>
        <w:t>Si un processus mettant en péril le niveau d’intégration économique, notamment le bon fonctionnement de l’Union économique et monétaire, est amorcé, les coûts indirects à moyen terme pourraient être considérablement plus élevés que les estimations directes, car l’incidence sur les échanges, les investissements et la mobilité intracommunautaires serait sans précédent.</w:t>
      </w:r>
      <w:r>
        <w:rPr>
          <w:noProof/>
          <w:lang w:val="fr-FR"/>
        </w:rPr>
        <w:t xml:space="preserve"> </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i/>
          <w:noProof/>
          <w:lang w:val="fr-FR"/>
        </w:rPr>
        <w:t>Une solution durable aux frontières extérieures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En décembre 2015, la Commission a adopté un paquet «Frontières», visant à mieux gérer les migrations et à lutter contre les menaces pour la sécurité dans l’UE, tout en préservant le principe de libre circulation au sein de l’espace Schengen. La proposition de la Commission du 15 décembre 2015 relative au </w:t>
      </w:r>
      <w:r>
        <w:rPr>
          <w:rFonts w:ascii="Times New Roman" w:hAnsi="Times New Roman"/>
          <w:b/>
          <w:noProof/>
          <w:lang w:val="fr-FR"/>
        </w:rPr>
        <w:t>corps européen de garde-frontières et de garde-côtes</w:t>
      </w:r>
      <w:r>
        <w:rPr>
          <w:rFonts w:ascii="Times New Roman" w:hAnsi="Times New Roman"/>
          <w:noProof/>
          <w:lang w:val="fr-FR"/>
        </w:rPr>
        <w:t xml:space="preserve"> est un axe essentiel de ce train de mesures</w:t>
      </w:r>
      <w:r>
        <w:rPr>
          <w:rStyle w:val="FootnoteReference"/>
          <w:rFonts w:ascii="Times New Roman" w:hAnsi="Times New Roman"/>
          <w:b/>
          <w:noProof/>
        </w:rPr>
        <w:footnoteReference w:id="29"/>
      </w:r>
      <w:r>
        <w:rPr>
          <w:rFonts w:ascii="Times New Roman" w:hAnsi="Times New Roman"/>
          <w:noProof/>
          <w:lang w:val="fr-FR"/>
        </w:rPr>
        <w:t>. Cette proposition vise à mettre en place un système commun permettant d’améliorer l’efficacité des contrôles aux frontières extérieures de manière significative, de cerner les lacunes beaucoup plus rapidement et de définir des mesures opérationnelles claires pour y faire face</w:t>
      </w:r>
      <w:r>
        <w:rPr>
          <w:rFonts w:ascii="Times New Roman" w:hAnsi="Times New Roman"/>
          <w:noProof/>
          <w:vertAlign w:val="superscript"/>
        </w:rPr>
        <w:footnoteReference w:id="30"/>
      </w:r>
      <w:r>
        <w:rPr>
          <w:rFonts w:ascii="Times New Roman" w:hAnsi="Times New Roman"/>
          <w:noProof/>
          <w:lang w:val="fr-FR"/>
        </w:rPr>
        <w:t xml:space="preserve">. Frontex devrait devenir dans les meilleurs délais une agence européenne de garde-frontières et de garde-côtes, chargée de nouvelles missions et responsabilités et dotée de ressources propres, ce qui lui permettra d’intervenir aux frontières extérieures sur le plan opérationnel en cas de besoin d’intervention urgente. </w:t>
      </w:r>
      <w:r>
        <w:rPr>
          <w:rFonts w:ascii="Times New Roman" w:hAnsi="Times New Roman"/>
          <w:noProof/>
          <w:lang w:val="fr-FR"/>
        </w:rPr>
        <w:lastRenderedPageBreak/>
        <w:t xml:space="preserve">Le personnel de Frontex sera doublé et l’agence pourra également faire appel à une réserve d’au moins 1 500 experts nationaux pouvant être déployés dans un délai de trois jours. Cela permettrait de remédier au problème rencontré actuellement par Frontex, à savoir le fait que les États membres ne donnent pas suite à ses demandes en matière d’agents frontaliers nationaux. La proposition répond à un besoin urgent et les frontières de l’UE resteront vulnérables jusqu’à ce qu’elle soit mise en œuvre. Le Conseil européen, dans ses conclusions de décembre 2015, a demandé au Conseil de parvenir à un accord d’ici le mois de juin. </w:t>
      </w:r>
      <w:r>
        <w:rPr>
          <w:rFonts w:ascii="Times New Roman" w:hAnsi="Times New Roman"/>
          <w:b/>
          <w:noProof/>
          <w:lang w:val="fr-FR"/>
        </w:rPr>
        <w:t>La Commission appuie les appels lancés par les dirigeants qui souhaitent accélérer la mise en place du nouveau corps européen de gardes-frontières et de gardes-côtes et rendre celui-ci opérationnel au cours de l’été.</w:t>
      </w:r>
      <w:r>
        <w:rPr>
          <w:rFonts w:ascii="Times New Roman" w:hAnsi="Times New Roman"/>
          <w:noProof/>
          <w:lang w:val="fr-FR"/>
        </w:rPr>
        <w:t xml:space="preserve"> </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La Commission a également présenté une proposition de modification ciblée du code frontières Schengen afin de procéder à des </w:t>
      </w:r>
      <w:r>
        <w:rPr>
          <w:rFonts w:ascii="Times New Roman" w:hAnsi="Times New Roman"/>
          <w:b/>
          <w:noProof/>
          <w:lang w:val="fr-FR"/>
        </w:rPr>
        <w:t>vérifications systématiques</w:t>
      </w:r>
      <w:r>
        <w:rPr>
          <w:rFonts w:ascii="Times New Roman" w:hAnsi="Times New Roman"/>
          <w:noProof/>
          <w:lang w:val="fr-FR"/>
        </w:rPr>
        <w:t xml:space="preserve"> obligatoires pour les ressortissants de l’UE aux frontières extérieures au moyen des bases de données pertinentes</w:t>
      </w:r>
      <w:r>
        <w:rPr>
          <w:rStyle w:val="FootnoteReference"/>
          <w:rFonts w:ascii="Times New Roman" w:hAnsi="Times New Roman"/>
          <w:noProof/>
        </w:rPr>
        <w:footnoteReference w:id="31"/>
      </w:r>
      <w:r>
        <w:rPr>
          <w:rFonts w:ascii="Times New Roman" w:hAnsi="Times New Roman"/>
          <w:noProof/>
          <w:lang w:val="fr-FR"/>
        </w:rPr>
        <w:t>. Il s’agirait d’une contribution importante à la sécurité, tout particulièrement dans le contexte du phénomène des combattants terroristes étrangers. Des contrôles systématiques des ressortissants de pays tiers au moyen des bases de données pertinentes resteront obligatoires à l’entrée et à la sortie.</w:t>
      </w:r>
    </w:p>
    <w:p>
      <w:pPr>
        <w:spacing w:after="0" w:line="240" w:lineRule="auto"/>
        <w:jc w:val="both"/>
        <w:rPr>
          <w:rFonts w:ascii="Times New Roman" w:hAnsi="Times New Roman"/>
          <w:b/>
          <w: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tc>
          <w:tcPr>
            <w:tcW w:w="9288" w:type="dxa"/>
          </w:tcPr>
          <w:p>
            <w:pPr>
              <w:spacing w:after="0" w:line="240" w:lineRule="auto"/>
              <w:jc w:val="both"/>
              <w:rPr>
                <w:rFonts w:ascii="Times New Roman" w:hAnsi="Times New Roman"/>
                <w:b/>
                <w:i/>
                <w:noProof/>
              </w:rPr>
            </w:pPr>
            <w:r>
              <w:rPr>
                <w:rFonts w:ascii="Times New Roman" w:hAnsi="Times New Roman"/>
                <w:b/>
                <w:i/>
                <w:noProof/>
              </w:rPr>
              <w:t>Prochaines étapes importantes:</w:t>
            </w:r>
          </w:p>
          <w:p>
            <w:pPr>
              <w:spacing w:after="0" w:line="240" w:lineRule="auto"/>
              <w:jc w:val="both"/>
              <w:rPr>
                <w:rFonts w:ascii="Times New Roman" w:hAnsi="Times New Roman"/>
                <w:b/>
                <w:i/>
                <w:noProof/>
              </w:rPr>
            </w:pP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Le </w:t>
            </w:r>
            <w:r>
              <w:rPr>
                <w:rFonts w:ascii="Times New Roman" w:hAnsi="Times New Roman"/>
                <w:b/>
                <w:i/>
                <w:noProof/>
                <w:lang w:val="fr-FR"/>
              </w:rPr>
              <w:t>Parlement européen et le Conseil</w:t>
            </w:r>
            <w:r>
              <w:rPr>
                <w:rFonts w:ascii="Times New Roman" w:hAnsi="Times New Roman"/>
                <w:noProof/>
                <w:lang w:val="fr-FR"/>
              </w:rPr>
              <w:t xml:space="preserve"> devraient se mettre d’accord, </w:t>
            </w:r>
            <w:r>
              <w:rPr>
                <w:rFonts w:ascii="Times New Roman" w:hAnsi="Times New Roman"/>
                <w:b/>
                <w:noProof/>
                <w:lang w:val="fr-FR"/>
              </w:rPr>
              <w:t>au plus tard d’ici le mois de juin, si ce n’est plus tôt</w:t>
            </w:r>
            <w:r>
              <w:rPr>
                <w:rFonts w:ascii="Times New Roman" w:hAnsi="Times New Roman"/>
                <w:noProof/>
                <w:lang w:val="fr-FR"/>
              </w:rPr>
              <w:t>, sur la mise en place du corps européen de gardes-frontières et de gardes-côtes, afin qu’il puisse être opérationnel au cours de l’été</w:t>
            </w:r>
            <w:r>
              <w:rPr>
                <w:noProof/>
                <w:lang w:val="fr-FR"/>
              </w:rPr>
              <w:t>.</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Tous les </w:t>
            </w:r>
            <w:r>
              <w:rPr>
                <w:rFonts w:ascii="Times New Roman" w:hAnsi="Times New Roman"/>
                <w:b/>
                <w:noProof/>
                <w:lang w:val="fr-FR"/>
              </w:rPr>
              <w:t>pays des Balkans occidentaux</w:t>
            </w:r>
            <w:r>
              <w:rPr>
                <w:rFonts w:ascii="Times New Roman" w:hAnsi="Times New Roman"/>
                <w:noProof/>
                <w:lang w:val="fr-FR"/>
              </w:rPr>
              <w:t xml:space="preserve"> devraient passer de l’alerte rapide en cas de changements apportés aux règles et procédures aux frontières à la restauration de la pleine application du droit de l’Union et du droit international.</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b/>
                <w:i/>
                <w:noProof/>
                <w:lang w:val="fr-FR"/>
              </w:rPr>
              <w:t xml:space="preserve">La Grèce </w:t>
            </w:r>
            <w:r>
              <w:rPr>
                <w:rFonts w:ascii="Times New Roman" w:hAnsi="Times New Roman"/>
                <w:noProof/>
                <w:lang w:val="fr-FR"/>
              </w:rPr>
              <w:t xml:space="preserve">devrait remédier rapidement aux graves dysfonctionnements relevés dans le cadre des procédures de sauvegarde de Schengen, et notamment exercer un contrôle total sur sa frontière avec l’ancienne République yougoslave de Macédoine.  </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Toute </w:t>
            </w:r>
            <w:r>
              <w:rPr>
                <w:rFonts w:ascii="Times New Roman" w:hAnsi="Times New Roman"/>
                <w:b/>
                <w:i/>
                <w:noProof/>
                <w:lang w:val="fr-FR"/>
              </w:rPr>
              <w:t>aide complémentaire</w:t>
            </w:r>
            <w:r>
              <w:rPr>
                <w:rFonts w:ascii="Times New Roman" w:hAnsi="Times New Roman"/>
                <w:noProof/>
                <w:lang w:val="fr-FR"/>
              </w:rPr>
              <w:t xml:space="preserve"> à l’ancienne République yougoslave de Macédoine devrait être fournie dans un cadre propre à l’UE.</w:t>
            </w:r>
          </w:p>
          <w:p>
            <w:pPr>
              <w:pStyle w:val="ListParagraph1"/>
              <w:spacing w:after="0" w:line="240" w:lineRule="auto"/>
              <w:ind w:left="426"/>
              <w:jc w:val="both"/>
              <w:rPr>
                <w:rFonts w:ascii="Times New Roman" w:hAnsi="Times New Roman"/>
                <w:noProof/>
                <w:lang w:val="fr-FR"/>
              </w:rPr>
            </w:pPr>
          </w:p>
        </w:tc>
      </w:tr>
    </w:tbl>
    <w:p>
      <w:pPr>
        <w:spacing w:after="0" w:line="240" w:lineRule="auto"/>
        <w:jc w:val="both"/>
        <w:rPr>
          <w:rFonts w:ascii="Times New Roman" w:hAnsi="Times New Roman"/>
          <w:b/>
          <w:i/>
          <w:noProof/>
          <w:lang w:val="fr-FR"/>
        </w:rPr>
      </w:pPr>
    </w:p>
    <w:p>
      <w:pPr>
        <w:spacing w:after="0" w:line="240" w:lineRule="auto"/>
        <w:jc w:val="both"/>
        <w:rPr>
          <w:rFonts w:ascii="Times New Roman" w:hAnsi="Times New Roman"/>
          <w:b/>
          <w:i/>
          <w:noProof/>
          <w:lang w:val="fr-FR"/>
        </w:rPr>
      </w:pPr>
    </w:p>
    <w:p>
      <w:pPr>
        <w:spacing w:after="0" w:line="240" w:lineRule="auto"/>
        <w:jc w:val="both"/>
        <w:rPr>
          <w:rFonts w:ascii="Times New Roman" w:hAnsi="Times New Roman"/>
          <w:b/>
          <w:i/>
          <w:noProof/>
          <w:lang w:val="fr-FR"/>
        </w:rPr>
      </w:pPr>
      <w:r>
        <w:rPr>
          <w:rFonts w:ascii="Times New Roman" w:hAnsi="Times New Roman"/>
          <w:b/>
          <w:i/>
          <w:noProof/>
          <w:lang w:val="fr-FR"/>
        </w:rPr>
        <w:t>III.4</w:t>
      </w:r>
      <w:r>
        <w:rPr>
          <w:rFonts w:ascii="Times New Roman" w:hAnsi="Times New Roman"/>
          <w:b/>
          <w:i/>
          <w:noProof/>
          <w:lang w:val="fr-FR"/>
        </w:rPr>
        <w:tab/>
        <w:t>Répondre aux besoins élémentaires des migrants et des réfugiés</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L’impératif humanitaire et les droits fondamentaux sont des principes directeurs de l’approche de l’UE à l’égard des réfugiés et des migrants. Ce sont les moteurs de bon nombre d’actions spécifiques en cours: opérations de recherche et de sauvetage dans la Méditerranée et dans la mer Égée, collaboration avec les pays confrontés à un afflux massif de réfugiés pour améliorer certains aspects tels que les capacités d’accueil, et mesures visant à aider les États membres à venir en aide aux personnes en détresse et à soutenir l’intégration. </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Deux aspects essentiels doivent être respectés dans la manière dont l’UE et ses États membres traitent les migrants et les réfugiés. Le premier aspect concerne l’accès au régime d’asile et la possibilité de demander une protection internationale. Cette procédure doit être rapide et efficace et permettre d’examiner chaque cas individuellement, en prévoyant notamment des procédures de recours </w:t>
      </w:r>
      <w:r>
        <w:rPr>
          <w:rFonts w:ascii="Times New Roman" w:hAnsi="Times New Roman"/>
          <w:noProof/>
          <w:lang w:val="fr-FR"/>
        </w:rPr>
        <w:lastRenderedPageBreak/>
        <w:t>adéquates. Le droit de non-refoulement</w:t>
      </w:r>
      <w:r>
        <w:rPr>
          <w:rStyle w:val="FootnoteReference"/>
          <w:rFonts w:ascii="Times New Roman" w:hAnsi="Times New Roman"/>
          <w:noProof/>
        </w:rPr>
        <w:footnoteReference w:id="32"/>
      </w:r>
      <w:r>
        <w:rPr>
          <w:rFonts w:ascii="Times New Roman" w:hAnsi="Times New Roman"/>
          <w:noProof/>
          <w:lang w:val="fr-FR"/>
        </w:rPr>
        <w:t xml:space="preserve"> doit toujours être protégé. Le deuxième aspect concerne les conditions dans lesquelles tous les migrants et tous les réfugiés devraient être traités. Les normes de base doivent respecter les droits de l’homme et la dignité de tous.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L’agenda européen en matière de migration a mis particulièrement l’accent sur la nécessité de protéger les </w:t>
      </w:r>
      <w:r>
        <w:rPr>
          <w:rFonts w:ascii="Times New Roman" w:hAnsi="Times New Roman"/>
          <w:b/>
          <w:noProof/>
          <w:lang w:val="fr-FR"/>
        </w:rPr>
        <w:t>enfants</w:t>
      </w:r>
      <w:r>
        <w:rPr>
          <w:rFonts w:ascii="Times New Roman" w:hAnsi="Times New Roman"/>
          <w:noProof/>
          <w:lang w:val="fr-FR"/>
        </w:rPr>
        <w:t xml:space="preserve"> et d’assurer le suivi du plan d’action pour les mineurs non accompagnés (2010-2014)</w:t>
      </w:r>
      <w:r>
        <w:rPr>
          <w:rStyle w:val="FootnoteReference"/>
          <w:rFonts w:ascii="Times New Roman" w:hAnsi="Times New Roman"/>
          <w:noProof/>
        </w:rPr>
        <w:footnoteReference w:id="33"/>
      </w:r>
      <w:r>
        <w:rPr>
          <w:rFonts w:ascii="Times New Roman" w:hAnsi="Times New Roman"/>
          <w:noProof/>
          <w:lang w:val="fr-FR"/>
        </w:rPr>
        <w:t>. Les travaux sont actuellement en cours pour appliquer une approche globale en matière de protection des enfants tout au long de la chaîne migratoire. La priorité accordée aux personnes vulnérables, et tout particulièrement aux mineurs non accompagnés, est également prise en compte dans le processus de relocalisation. La protection de l’enfant et les mesures de sauvegarde en faveur des enfants devraient être pleinement intégrées dans les centres de crise. Un état des lieux des travaux en cours et à court terme figure à l’annexe 6.</w:t>
      </w:r>
    </w:p>
    <w:p>
      <w:pPr>
        <w:spacing w:after="0" w:line="240" w:lineRule="auto"/>
        <w:jc w:val="both"/>
        <w:rPr>
          <w:rFonts w:ascii="Times New Roman" w:hAnsi="Times New Roman"/>
          <w:noProof/>
          <w:lang w:val="fr-FR"/>
        </w:rPr>
      </w:pPr>
      <w:r>
        <w:rPr>
          <w:rFonts w:ascii="Times New Roman" w:hAnsi="Times New Roman"/>
          <w:noProof/>
          <w:lang w:val="fr-FR"/>
        </w:rPr>
        <w:t xml:space="preserve">  </w:t>
      </w:r>
    </w:p>
    <w:p>
      <w:pPr>
        <w:spacing w:after="0" w:line="240" w:lineRule="auto"/>
        <w:jc w:val="both"/>
        <w:rPr>
          <w:rFonts w:ascii="Times New Roman" w:hAnsi="Times New Roman"/>
          <w:noProof/>
          <w:lang w:val="fr-FR"/>
        </w:rPr>
      </w:pPr>
      <w:r>
        <w:rPr>
          <w:rFonts w:ascii="Times New Roman" w:hAnsi="Times New Roman"/>
          <w:noProof/>
          <w:lang w:val="fr-FR"/>
        </w:rPr>
        <w:t xml:space="preserve">De nombreux éléments indiquent aussi que la crise migratoire a été exploitée par des réseaux criminels se livrant à la </w:t>
      </w:r>
      <w:r>
        <w:rPr>
          <w:rFonts w:ascii="Times New Roman" w:hAnsi="Times New Roman"/>
          <w:b/>
          <w:noProof/>
          <w:lang w:val="fr-FR"/>
        </w:rPr>
        <w:t>traite des êtres humains</w:t>
      </w:r>
      <w:r>
        <w:rPr>
          <w:rFonts w:ascii="Times New Roman" w:hAnsi="Times New Roman"/>
          <w:noProof/>
          <w:lang w:val="fr-FR"/>
        </w:rPr>
        <w:t xml:space="preserve"> pour cibler les personnes les plus vulnérables, notamment les femmes et les enfants. Il ressort des recherches menées que des structures d’accueil dans certains États membres ont été prises pour cible; dans certains cas, jusqu’à 60 % des enfants non accompagnés ont disparu et courent un risque sérieux de tomber entre les griffes de réseaux de trafiquants. Europol indique qu’il existe une forte corrélation entre les passeurs se livrant au trafic de migrants par-delà les frontières et les gangs responsables de leur exploitation dans le commerce du sexe ou le travail forcé. Il est donc essentiel que, dès le premier stade de la procédure dans les centres de crise, les victimes réelles ou potentielles de la traite des êtres humains soient identifiées et informées de leurs droits et que la coopération nécessaire avec les autorités policières et judiciaires ait lieu afin que les trafiquants soient identifiés et poursuivis.   </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Alors que les contrôles aux frontières se durcissent, ce qui est la tendance actuelle le long de la route des Balkans occidentaux, l’UE devrait se préparer à renforcer son aide humanitaire tout au long de la route à brève échéance. Pour cela, elle doit renforcer ses capacités pour fournir une aide humanitaire à l’extérieur de ses frontières et mettre en place les capacités nécessaires à l’intérieur de l’UE, afin de venir en aide aux pays confrontés à l’arrivée d’un grand nombre de réfugiés et de migrants.</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b/>
          <w: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tc>
          <w:tcPr>
            <w:tcW w:w="9288" w:type="dxa"/>
          </w:tcPr>
          <w:p>
            <w:pPr>
              <w:spacing w:after="0" w:line="240" w:lineRule="auto"/>
              <w:jc w:val="both"/>
              <w:rPr>
                <w:rFonts w:ascii="Times New Roman" w:hAnsi="Times New Roman"/>
                <w:b/>
                <w:i/>
                <w:noProof/>
              </w:rPr>
            </w:pPr>
            <w:r>
              <w:rPr>
                <w:rFonts w:ascii="Times New Roman" w:hAnsi="Times New Roman"/>
                <w:b/>
                <w:i/>
                <w:noProof/>
              </w:rPr>
              <w:t>Prochaines étapes importantes:</w:t>
            </w:r>
          </w:p>
          <w:p>
            <w:pPr>
              <w:spacing w:after="0" w:line="240" w:lineRule="auto"/>
              <w:jc w:val="both"/>
              <w:rPr>
                <w:rFonts w:ascii="Times New Roman" w:hAnsi="Times New Roman"/>
                <w:b/>
                <w:i/>
                <w:noProof/>
              </w:rPr>
            </w:pP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Les États membres devraient accorder une attention particulière aux besoins des </w:t>
            </w:r>
            <w:r>
              <w:rPr>
                <w:rFonts w:ascii="Times New Roman" w:hAnsi="Times New Roman"/>
                <w:b/>
                <w:noProof/>
                <w:lang w:val="fr-FR"/>
              </w:rPr>
              <w:t>mineurs non accompagnés</w:t>
            </w:r>
            <w:r>
              <w:rPr>
                <w:rFonts w:ascii="Times New Roman" w:hAnsi="Times New Roman"/>
                <w:noProof/>
                <w:lang w:val="fr-FR"/>
              </w:rPr>
              <w:t xml:space="preserve"> lors de la mise en œuvre de l’approche des centres et zones de crise et de la relocalisation.</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Il convient de renforcer la capacité de l’UE à fournir une aide humanitaire aux pays tiers, ainsi que de mettre en place les </w:t>
            </w:r>
            <w:r>
              <w:rPr>
                <w:rFonts w:ascii="Times New Roman" w:hAnsi="Times New Roman"/>
                <w:b/>
                <w:i/>
                <w:noProof/>
                <w:lang w:val="fr-FR"/>
              </w:rPr>
              <w:t>capacités nécessaires pour fournir une aide humanitaire à l’intérieur de l’UE</w:t>
            </w:r>
            <w:r>
              <w:rPr>
                <w:rFonts w:ascii="Times New Roman" w:hAnsi="Times New Roman"/>
                <w:noProof/>
                <w:lang w:val="fr-FR"/>
              </w:rPr>
              <w:t>, afin d’aider les pays confrontés à l’arrivée d’un grand nombre de réfugiés et de migrants.</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Les fonds accordés par la Commission seront axés sur le renforcement des mesures de protection des </w:t>
            </w:r>
            <w:r>
              <w:rPr>
                <w:rFonts w:ascii="Times New Roman" w:hAnsi="Times New Roman"/>
                <w:b/>
                <w:noProof/>
                <w:lang w:val="fr-FR"/>
              </w:rPr>
              <w:t>enfants</w:t>
            </w:r>
            <w:r>
              <w:rPr>
                <w:rFonts w:ascii="Times New Roman" w:hAnsi="Times New Roman"/>
                <w:noProof/>
                <w:lang w:val="fr-FR"/>
              </w:rPr>
              <w:t xml:space="preserve"> migrants, y compris des programmes d’éducation et de protection pour les enfants à l’intérieur et à l’extérieur de l’UE.</w:t>
            </w:r>
          </w:p>
          <w:p>
            <w:pPr>
              <w:pStyle w:val="ListParagraph1"/>
              <w:spacing w:after="0" w:line="240" w:lineRule="auto"/>
              <w:ind w:left="0"/>
              <w:jc w:val="both"/>
              <w:rPr>
                <w:rFonts w:ascii="Times New Roman" w:hAnsi="Times New Roman"/>
                <w:noProof/>
                <w:lang w:val="fr-FR"/>
              </w:rPr>
            </w:pPr>
            <w:r>
              <w:rPr>
                <w:rFonts w:ascii="Times New Roman" w:hAnsi="Times New Roman"/>
                <w:noProof/>
                <w:lang w:val="fr-FR"/>
              </w:rPr>
              <w:t xml:space="preserve"> </w:t>
            </w:r>
          </w:p>
        </w:tc>
      </w:tr>
    </w:tbl>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b/>
          <w:i/>
          <w:noProof/>
          <w:lang w:val="fr-FR"/>
        </w:rPr>
      </w:pPr>
      <w:r>
        <w:rPr>
          <w:rFonts w:ascii="Times New Roman" w:hAnsi="Times New Roman"/>
          <w:b/>
          <w:i/>
          <w:noProof/>
          <w:lang w:val="fr-FR"/>
        </w:rPr>
        <w:lastRenderedPageBreak/>
        <w:t>III.5</w:t>
      </w:r>
      <w:r>
        <w:rPr>
          <w:rFonts w:ascii="Times New Roman" w:hAnsi="Times New Roman"/>
          <w:b/>
          <w:i/>
          <w:noProof/>
          <w:lang w:val="fr-FR"/>
        </w:rPr>
        <w:tab/>
        <w:t>Rendre le retour et la réadmission opérationnels</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Le </w:t>
      </w:r>
      <w:r>
        <w:rPr>
          <w:rFonts w:ascii="Times New Roman" w:hAnsi="Times New Roman"/>
          <w:b/>
          <w:noProof/>
          <w:lang w:val="fr-FR"/>
        </w:rPr>
        <w:t>retour</w:t>
      </w:r>
      <w:r>
        <w:rPr>
          <w:rFonts w:ascii="Times New Roman" w:hAnsi="Times New Roman"/>
          <w:noProof/>
          <w:lang w:val="fr-FR"/>
        </w:rPr>
        <w:t xml:space="preserve"> rapide et systématique </w:t>
      </w:r>
      <w:r>
        <w:rPr>
          <w:rFonts w:ascii="Times New Roman" w:hAnsi="Times New Roman"/>
          <w:b/>
          <w:noProof/>
          <w:lang w:val="fr-FR"/>
        </w:rPr>
        <w:t>des migrants en situation irrégulière</w:t>
      </w:r>
      <w:r>
        <w:rPr>
          <w:rFonts w:ascii="Times New Roman" w:hAnsi="Times New Roman"/>
          <w:noProof/>
          <w:lang w:val="fr-FR"/>
        </w:rPr>
        <w:t xml:space="preserve"> est une composante indispensable d’une gestion efficace des migrations et exerce un effet dissuasif très important sur la migration irrégulière. L’UE est fermement déterminée à protéger les personnes qui fuient la violence et les conflits. Toutefois, les migrants qui n’ont pas besoin de protection doivent être renvoyés de manière effective dans leur pays d’origine ou dans un pays de transit, dans le plein respect des droits de l’homme et de la dignité de la personne. Un système de retour efficace est également crucial pour que les ressources puissent être axées sur l’accueil des personnes ayant besoin d’une protection. Une action doit être menée à cet égard tant au sein de l’UE qu’avec les pays tiers. Les systèmes nationaux de retour sont toutefois confrontés à de nombreux problèmes pratiques: absence de documents de voyage, capacités de rétention insuffisantes dans les États membres, longueur et inefficacité des procédures nationales ne pouvant que faciliter la fuite, pays d’origine entravant la réadmission. Les taux de retour effectif sont faibles pour 2014: ils atteignent 16 % dans certains cas pour les pays africains et le taux moyen de l’UE (40 %) est lui-même beaucoup trop bas.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Améliorer le système de retour</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Compte tenu du nombre croissant de migrants observé en 2015 et attendu pour 2016, les capacités de l’UE en matière de retour doivent être renforcées et améliorées. Un système de retour efficace est essentiel à la viabilité des politiques européennes en matière de migration: si l’Europe veut accueillir les personnes ayant besoin d’une protection, elle doit renvoyer sans délai toutes celles qui ne sont pas légalement autorisées à y séjourner. À ce jour, les États membres ne sont pas totalement parvenus à mettre en place des systèmes nationaux permettant de répondre à cette problématique et la crédibilité du système de retour collectif de l’UE en a pâti. Le plan d’action de l’UE en matière de retour</w:t>
      </w:r>
      <w:r>
        <w:rPr>
          <w:rStyle w:val="FootnoteReference"/>
          <w:rFonts w:ascii="Times New Roman" w:hAnsi="Times New Roman"/>
          <w:noProof/>
        </w:rPr>
        <w:footnoteReference w:id="34"/>
      </w:r>
      <w:r>
        <w:rPr>
          <w:rFonts w:ascii="Times New Roman" w:hAnsi="Times New Roman"/>
          <w:noProof/>
          <w:lang w:val="fr-FR"/>
        </w:rPr>
        <w:t xml:space="preserve"> ouvre la voie à la mise sur pied d’un solide système de retour national et européen.</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Une action doit être menée à cet égard tant au sein de l’UE qu’avec les pays tiers. À l’intérieur de l’UE, les États membres doivent appliquer intégralement et correctement la directive sur le retour et collaborer avec la Commission pour recenser les obstacles d’ordre juridique et pratique qui entravent les retours effectifs et y remédier – de l’adoption de décisions de retour à la prise de mesures visant à garantir que les personnes devant être renvoyées ne prennent pas la fuite, tout en protégeant les droits de l’homme fondamentaux et les besoins de protection pour tous. En décembre, la Commission a présenté une proposition relative à un </w:t>
      </w:r>
      <w:r>
        <w:rPr>
          <w:rFonts w:ascii="Times New Roman" w:hAnsi="Times New Roman"/>
          <w:b/>
          <w:noProof/>
          <w:lang w:val="fr-FR"/>
        </w:rPr>
        <w:t>nouveau document de voyage européen destiné au retour</w:t>
      </w:r>
      <w:r>
        <w:rPr>
          <w:rStyle w:val="FootnoteReference"/>
          <w:rFonts w:ascii="Times New Roman" w:hAnsi="Times New Roman"/>
          <w:b/>
          <w:noProof/>
        </w:rPr>
        <w:footnoteReference w:id="35"/>
      </w:r>
      <w:r>
        <w:rPr>
          <w:rFonts w:ascii="Times New Roman" w:hAnsi="Times New Roman"/>
          <w:noProof/>
          <w:lang w:val="fr-FR"/>
        </w:rPr>
        <w:t xml:space="preserve">. Le retour volontaire reste l’option privilégiée (parce qu’il est plus digne et présente un meilleur rapport coût-efficacité) et bénéficie d’un financement au moyen du budget de l’UE; les programmes conjoints et l’échange de bonnes pratiques sont également privilégiés. Toutefois, les migrants n’acceptent bien souvent le retour volontaire qu’en cas de perspective sérieuse et crédible d’être renvoyés contre leur gré. Les États membres doivent donc veiller à ce que cette perspective soit réelle. </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eastAsia="en-GB"/>
        </w:rPr>
      </w:pPr>
      <w:r>
        <w:rPr>
          <w:rFonts w:ascii="Times New Roman" w:hAnsi="Times New Roman"/>
          <w:noProof/>
          <w:lang w:val="fr-FR"/>
        </w:rPr>
        <w:t xml:space="preserve">L’approche de la Commission bénéficie d’un soutien pratique et financier. Elle consiste à mettre en place un </w:t>
      </w:r>
      <w:r>
        <w:rPr>
          <w:rFonts w:ascii="Times New Roman" w:hAnsi="Times New Roman"/>
          <w:b/>
          <w:noProof/>
          <w:lang w:val="fr-FR"/>
        </w:rPr>
        <w:t>système de gestion intégrée des retours</w:t>
      </w:r>
      <w:r>
        <w:rPr>
          <w:rFonts w:ascii="Times New Roman" w:hAnsi="Times New Roman"/>
          <w:noProof/>
          <w:lang w:val="fr-FR"/>
        </w:rPr>
        <w:t>, réunissant tous les États membres et les réseaux de l’UE chargés du retour et de la réintégration. Frontex a coordonné 66 vols de retour communs et un total de 3 565 migrants ont été renvoyés au cours de ces opérations conjointes en 2015</w:t>
      </w:r>
      <w:r>
        <w:rPr>
          <w:rStyle w:val="FootnoteReference"/>
          <w:rFonts w:ascii="Times New Roman" w:hAnsi="Times New Roman"/>
          <w:noProof/>
        </w:rPr>
        <w:footnoteReference w:id="36"/>
      </w:r>
      <w:r>
        <w:rPr>
          <w:rFonts w:ascii="Times New Roman" w:hAnsi="Times New Roman"/>
          <w:noProof/>
          <w:lang w:val="fr-FR"/>
        </w:rPr>
        <w:t xml:space="preserve">. Le budget accordé à Frontex pour les opérations de retour a été augmenté de manière significative pour 2016 — </w:t>
      </w:r>
      <w:r>
        <w:rPr>
          <w:rFonts w:ascii="Times New Roman" w:hAnsi="Times New Roman"/>
          <w:noProof/>
          <w:lang w:val="fr-FR"/>
        </w:rPr>
        <w:lastRenderedPageBreak/>
        <w:t>un budget de 65 000 000 EUR sera alloué aux opérations conjointes de retour, contre environ 10 000 000 EUR auparavant. Le résultat sera visible dans les semaines à venir lors d’actions spécifiques visant à soutenir le retour de migrants en situation irrégulière se trouvant en Grèce et en Italie.</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Coopération avec les pays tiers en matière de retour et de réadmission</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noProof/>
          <w:lang w:val="fr-FR"/>
        </w:rPr>
      </w:pPr>
      <w:r>
        <w:rPr>
          <w:rFonts w:ascii="Times New Roman" w:hAnsi="Times New Roman"/>
          <w:b/>
          <w:noProof/>
          <w:lang w:val="fr-FR"/>
        </w:rPr>
        <w:t>Le retour des migrants qui sont en situation irrégulière et n’ont pas besoin d’une protection internationale</w:t>
      </w:r>
      <w:r>
        <w:rPr>
          <w:rFonts w:ascii="Times New Roman" w:hAnsi="Times New Roman"/>
          <w:noProof/>
          <w:lang w:val="fr-FR"/>
        </w:rPr>
        <w:t xml:space="preserve"> est une composante essentielle de la politique migratoire de l’UE.</w:t>
      </w:r>
      <w:r>
        <w:rPr>
          <w:rFonts w:ascii="Times New Roman" w:hAnsi="Times New Roman"/>
          <w:b/>
          <w:noProof/>
          <w:lang w:val="fr-FR"/>
        </w:rPr>
        <w:t xml:space="preserve"> </w:t>
      </w:r>
      <w:r>
        <w:rPr>
          <w:rFonts w:ascii="Times New Roman" w:hAnsi="Times New Roman"/>
          <w:noProof/>
          <w:lang w:val="fr-FR"/>
        </w:rPr>
        <w:t>Les pays tiers ont l’obligation de réadmettre leurs ressortissants. Cependant, compte tenu des difficultés persistantes liées à la mise en œuvre de cette obligation et de l’évolution de la situation en matière de migration irrégulière en 2015, le retour et la réadmission figurent aujourd’hui au premier rang des priorités de l’UE dans le cadre de ses relations avec les pays tiers d’origine et/ou de transit</w:t>
      </w:r>
      <w:r>
        <w:rPr>
          <w:rFonts w:ascii="Times New Roman" w:hAnsi="Times New Roman"/>
          <w:noProof/>
          <w:vertAlign w:val="superscript"/>
        </w:rPr>
        <w:footnoteReference w:id="37"/>
      </w:r>
      <w:r>
        <w:rPr>
          <w:rFonts w:ascii="Times New Roman" w:hAnsi="Times New Roman"/>
          <w:noProof/>
          <w:lang w:val="fr-FR"/>
        </w:rPr>
        <w:t>. La Commission et les États membres examinent actuellement les mesures incitatives, tant positives que négatives, qui peuvent être utilisées pour garantir l’application effective des accords de réadmission existants ou pour en conclure de nouveaux. Cette démarche répond à la demande du Conseil européen, qui a appelé, en octobre 2015, à définir des</w:t>
      </w:r>
      <w:r>
        <w:rPr>
          <w:rFonts w:ascii="Times New Roman" w:hAnsi="Times New Roman"/>
          <w:b/>
          <w:noProof/>
          <w:lang w:val="fr-FR"/>
        </w:rPr>
        <w:t xml:space="preserve"> ensembles de mesures complets et personnalisés</w:t>
      </w:r>
      <w:r>
        <w:rPr>
          <w:rFonts w:ascii="Times New Roman" w:hAnsi="Times New Roman"/>
          <w:noProof/>
          <w:lang w:val="fr-FR"/>
        </w:rPr>
        <w:t xml:space="preserve"> dans le but d’insister, auprès des partenaires, sur l’importance que revêt la coopération en matière de réadmission pour les relations dans leur ensemble. Ces ensembles de mesures incitatives et de moyens de pression, comprenant l’octroi de préférences commerciales, devraient être appliqués de manière coordonnée par l’UE et ses États membres. Ils sont en cours d’élaboration; l’objectif est de rendre compte des premiers résultats lors du Conseil européen de mars.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Une attention particulière est accordée à l’amélioration de la coopération en matière de retour et de réadmission avec certains partenaires. L’accent est placé sur les pays tiers qui présentent un faible taux de retour et avec lesquels les négociations en vue de la conclusion d’un accord de réadmission ne progressent pas, comme l’</w:t>
      </w:r>
      <w:r>
        <w:rPr>
          <w:rFonts w:ascii="Times New Roman" w:hAnsi="Times New Roman"/>
          <w:b/>
          <w:noProof/>
          <w:lang w:val="fr-FR"/>
        </w:rPr>
        <w:t>Algérie</w:t>
      </w:r>
      <w:r>
        <w:rPr>
          <w:rFonts w:ascii="Times New Roman" w:hAnsi="Times New Roman"/>
          <w:noProof/>
          <w:lang w:val="fr-FR"/>
        </w:rPr>
        <w:t xml:space="preserve"> ou le </w:t>
      </w:r>
      <w:r>
        <w:rPr>
          <w:rFonts w:ascii="Times New Roman" w:hAnsi="Times New Roman"/>
          <w:b/>
          <w:noProof/>
          <w:lang w:val="fr-FR"/>
        </w:rPr>
        <w:t>Maroc</w:t>
      </w:r>
      <w:r>
        <w:rPr>
          <w:rFonts w:ascii="Times New Roman" w:hAnsi="Times New Roman"/>
          <w:noProof/>
          <w:lang w:val="fr-FR"/>
        </w:rPr>
        <w:t xml:space="preserve">, et sur ceux dans lesquels l’accord de réadmission déjà conclu n’est pas correctement mis en œuvre, comme le </w:t>
      </w:r>
      <w:r>
        <w:rPr>
          <w:rFonts w:ascii="Times New Roman" w:hAnsi="Times New Roman"/>
          <w:b/>
          <w:noProof/>
          <w:lang w:val="fr-FR"/>
        </w:rPr>
        <w:t>Pakistan</w:t>
      </w:r>
      <w:r>
        <w:rPr>
          <w:rFonts w:ascii="Times New Roman" w:hAnsi="Times New Roman"/>
          <w:noProof/>
          <w:lang w:val="fr-FR"/>
        </w:rPr>
        <w:t>. Dans le cas du Pakistan, en dépit de contacts à haut niveau et des efforts déployés par l’UE au cours de l’année 2015, la mise en œuvre de l’accord de réadmission existant s’est heurtée à des obstacles successifs. En outre, une attention particulière est accordée aux pays en provenance desquels les entrées irrégulières ont connu une hausse sensible, comme l’</w:t>
      </w:r>
      <w:r>
        <w:rPr>
          <w:rFonts w:ascii="Times New Roman" w:hAnsi="Times New Roman"/>
          <w:b/>
          <w:noProof/>
          <w:lang w:val="fr-FR"/>
        </w:rPr>
        <w:t>Afghanistan</w:t>
      </w:r>
      <w:r>
        <w:rPr>
          <w:rFonts w:ascii="Times New Roman" w:hAnsi="Times New Roman"/>
          <w:noProof/>
          <w:lang w:val="fr-FR"/>
        </w:rPr>
        <w:t xml:space="preserve"> et le </w:t>
      </w:r>
      <w:r>
        <w:rPr>
          <w:rFonts w:ascii="Times New Roman" w:hAnsi="Times New Roman"/>
          <w:b/>
          <w:noProof/>
          <w:lang w:val="fr-FR"/>
        </w:rPr>
        <w:t>Bangladesh</w:t>
      </w:r>
      <w:r>
        <w:rPr>
          <w:rFonts w:ascii="Times New Roman" w:hAnsi="Times New Roman"/>
          <w:noProof/>
          <w:lang w:val="fr-FR"/>
        </w:rPr>
        <w:t>: plus de 200 000 Afghans sont entrés dans l’UE par la Grèce en 2015, tandis que le nombre de Bangladais entrés de manière irrégulière a triplé entre 2014 et 2015.</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Sur le continent africain, à la suite du plan d’action de La Valette, la Commission travaille en étroite collaboration avec les </w:t>
      </w:r>
      <w:r>
        <w:rPr>
          <w:rFonts w:ascii="Times New Roman" w:hAnsi="Times New Roman"/>
          <w:b/>
          <w:noProof/>
          <w:lang w:val="fr-FR"/>
        </w:rPr>
        <w:t>pays d’Afrique subsaharienne</w:t>
      </w:r>
      <w:r>
        <w:rPr>
          <w:rFonts w:ascii="Times New Roman" w:hAnsi="Times New Roman"/>
          <w:noProof/>
          <w:lang w:val="fr-FR"/>
        </w:rPr>
        <w:t xml:space="preserve"> pour permettre à ces pays d’origine de s’acquitter de l’obligation légale de réadmettre leurs ressortissants qui leur incombe conformément à l’accord de Cotonou. Les taux de retour effectif sont faibles à l’heure actuelle: ils atteignent 16 % dans certains cas, ce qui est nettement inférieur à la moyenne de l’UE (40 %), elle-même beaucoup trop basse. Les mesures visant à améliorer cette situation tendent à définir des moyens pratiques d’aider les pays concernés à respecter leurs engagements en matière de réadmission.</w:t>
      </w:r>
    </w:p>
    <w:p>
      <w:pPr>
        <w:spacing w:after="0" w:line="240" w:lineRule="auto"/>
        <w:rPr>
          <w:rFonts w:ascii="Times New Roman" w:hAnsi="Times New Roman"/>
          <w:noProof/>
          <w:lang w:val="fr-FR"/>
        </w:rPr>
      </w:pPr>
    </w:p>
    <w:p>
      <w:pPr>
        <w:spacing w:after="0" w:line="240" w:lineRule="auto"/>
        <w:jc w:val="both"/>
        <w:rPr>
          <w:rFonts w:ascii="Times New Roman" w:hAnsi="Times New Roman"/>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Pays tiers sûrs</w:t>
      </w:r>
    </w:p>
    <w:p>
      <w:pPr>
        <w:spacing w:after="0" w:line="240" w:lineRule="auto"/>
        <w:jc w:val="both"/>
        <w:rPr>
          <w:rFonts w:ascii="Times New Roman" w:hAnsi="Times New Roman"/>
          <w:noProof/>
          <w:lang w:val="fr-FR"/>
        </w:rPr>
      </w:pPr>
    </w:p>
    <w:p>
      <w:pPr>
        <w:spacing w:line="240" w:lineRule="auto"/>
        <w:jc w:val="both"/>
        <w:rPr>
          <w:rFonts w:ascii="Times New Roman" w:hAnsi="Times New Roman"/>
          <w:noProof/>
          <w:lang w:val="fr-FR"/>
        </w:rPr>
      </w:pPr>
      <w:r>
        <w:rPr>
          <w:rFonts w:ascii="Times New Roman" w:hAnsi="Times New Roman"/>
          <w:noProof/>
          <w:lang w:val="fr-FR"/>
        </w:rPr>
        <w:lastRenderedPageBreak/>
        <w:t>La directive relative aux procédures d’asile donne aux États membres la possibilité de ne pas examiner une demande d’asile au fond lorsqu’en raison d’un lien suffisant avec un «pays tiers sûr», le demandeur peut plutôt chercher à obtenir une protection dans ce pays. Si les conditions sont réunies, cette disposition permet aux États membres de clôturer la procédure d’asile et de renvoyer le demandeur d’asile dans le pays tiers sûr en question. Cependant, à l’heure actuelle, les États membres n’ont pas tous inscrit cette possibilité dans leur législation nationale et certains l’ont assortie de conditions restrictives</w:t>
      </w:r>
      <w:r>
        <w:rPr>
          <w:rStyle w:val="FootnoteReference"/>
          <w:rFonts w:ascii="Times New Roman" w:hAnsi="Times New Roman"/>
          <w:noProof/>
        </w:rPr>
        <w:footnoteReference w:id="38"/>
      </w:r>
      <w:r>
        <w:rPr>
          <w:rFonts w:ascii="Times New Roman" w:hAnsi="Times New Roman"/>
          <w:noProof/>
          <w:lang w:val="fr-FR"/>
        </w:rPr>
        <w:t xml:space="preserve">. </w:t>
      </w:r>
      <w:r>
        <w:rPr>
          <w:rFonts w:ascii="Times New Roman" w:hAnsi="Times New Roman"/>
          <w:b/>
          <w:noProof/>
          <w:lang w:val="fr-FR"/>
        </w:rPr>
        <w:t>Tous les États membres sont donc encouragés à inscrire le concept de pays tiers sûr dans leur législation nationale et à appliquer la disposition concernée lorsque les conditions sont réunies.</w:t>
      </w:r>
    </w:p>
    <w:p>
      <w:pPr>
        <w:spacing w:line="240" w:lineRule="auto"/>
        <w:jc w:val="both"/>
        <w:rPr>
          <w:rFonts w:ascii="Times New Roman" w:hAnsi="Times New Roman"/>
          <w:noProof/>
          <w:lang w:val="fr-FR"/>
        </w:rPr>
      </w:pPr>
      <w:r>
        <w:rPr>
          <w:rFonts w:ascii="Times New Roman" w:hAnsi="Times New Roman"/>
          <w:noProof/>
          <w:lang w:val="fr-FR"/>
        </w:rPr>
        <w:t xml:space="preserve">Dans ce contexte, </w:t>
      </w:r>
      <w:r>
        <w:rPr>
          <w:rFonts w:ascii="Times New Roman" w:hAnsi="Times New Roman"/>
          <w:b/>
          <w:noProof/>
          <w:lang w:val="fr-FR"/>
        </w:rPr>
        <w:t>la Commission souligne que, pour qu’un pays soit considéré comme un pays tiers sûr au sens de la directive relative aux procédures d’asile</w:t>
      </w:r>
      <w:r>
        <w:rPr>
          <w:rStyle w:val="FootnoteReference"/>
          <w:rFonts w:ascii="Times New Roman" w:hAnsi="Times New Roman"/>
          <w:b/>
          <w:noProof/>
        </w:rPr>
        <w:footnoteReference w:id="39"/>
      </w:r>
      <w:r>
        <w:rPr>
          <w:rFonts w:ascii="Times New Roman" w:hAnsi="Times New Roman"/>
          <w:b/>
          <w:noProof/>
          <w:lang w:val="fr-FR"/>
        </w:rPr>
        <w:t>, il doit y être possible de bénéficier d’une protection conformément à la convention de Genève, mais il ne faut pas nécessairement que le pays ait ratifié cette convention sans aucune limitation géographique</w:t>
      </w:r>
      <w:r>
        <w:rPr>
          <w:rFonts w:ascii="Times New Roman" w:hAnsi="Times New Roman"/>
          <w:noProof/>
          <w:lang w:val="fr-FR"/>
        </w:rPr>
        <w:t>. En outre, pour ce qui est de la question de savoir s’il existe un lien avec le pays tiers concerné et s’il est dès lors raisonnable que le demandeur se rende dans ce pays, il est également possible de tenir compte du fait que le demandeur a transité par ce pays tiers ou que ce dernier est géographiquement proche du pays d’origine du demandeur.</w:t>
      </w:r>
    </w:p>
    <w:p>
      <w:pPr>
        <w:spacing w:after="0" w:line="240" w:lineRule="auto"/>
        <w:jc w:val="both"/>
        <w:rPr>
          <w:rFonts w:ascii="Times New Roman" w:hAnsi="Times New Roman"/>
          <w:b/>
          <w: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tc>
          <w:tcPr>
            <w:tcW w:w="9288" w:type="dxa"/>
          </w:tcPr>
          <w:p>
            <w:pPr>
              <w:spacing w:after="0" w:line="240" w:lineRule="auto"/>
              <w:jc w:val="both"/>
              <w:rPr>
                <w:rFonts w:ascii="Times New Roman" w:hAnsi="Times New Roman"/>
                <w:b/>
                <w:i/>
                <w:noProof/>
              </w:rPr>
            </w:pPr>
            <w:r>
              <w:rPr>
                <w:rFonts w:ascii="Times New Roman" w:hAnsi="Times New Roman"/>
                <w:b/>
                <w:i/>
                <w:noProof/>
              </w:rPr>
              <w:t>Prochaines étapes importantes:</w:t>
            </w:r>
          </w:p>
          <w:p>
            <w:pPr>
              <w:spacing w:after="0" w:line="240" w:lineRule="auto"/>
              <w:jc w:val="both"/>
              <w:rPr>
                <w:rFonts w:ascii="Times New Roman" w:hAnsi="Times New Roman"/>
                <w:b/>
                <w:i/>
                <w:noProof/>
              </w:rPr>
            </w:pPr>
          </w:p>
          <w:p>
            <w:pPr>
              <w:numPr>
                <w:ilvl w:val="0"/>
                <w:numId w:val="23"/>
              </w:numPr>
              <w:spacing w:after="0" w:line="240" w:lineRule="auto"/>
              <w:ind w:left="426"/>
              <w:contextualSpacing/>
              <w:jc w:val="both"/>
              <w:rPr>
                <w:rFonts w:ascii="Times New Roman" w:hAnsi="Times New Roman"/>
                <w:noProof/>
                <w:lang w:val="fr-FR"/>
              </w:rPr>
            </w:pPr>
            <w:r>
              <w:rPr>
                <w:rFonts w:ascii="Times New Roman" w:hAnsi="Times New Roman"/>
                <w:noProof/>
                <w:lang w:val="fr-FR"/>
              </w:rPr>
              <w:t xml:space="preserve">En collaboration avec la Commission, les États membres devraient remédier au plus vite </w:t>
            </w:r>
            <w:r>
              <w:rPr>
                <w:rFonts w:ascii="Times New Roman" w:hAnsi="Times New Roman"/>
                <w:b/>
                <w:i/>
                <w:noProof/>
                <w:lang w:val="fr-FR"/>
              </w:rPr>
              <w:t>aux obstacles et aux goulets d’étranglement administratifs</w:t>
            </w:r>
            <w:r>
              <w:rPr>
                <w:rFonts w:ascii="Times New Roman" w:hAnsi="Times New Roman"/>
                <w:noProof/>
                <w:lang w:val="fr-FR"/>
              </w:rPr>
              <w:t>, de sorte que les procédures de retour soient exécutées de manière systématique et avec célérité.</w:t>
            </w:r>
          </w:p>
          <w:p>
            <w:pPr>
              <w:numPr>
                <w:ilvl w:val="0"/>
                <w:numId w:val="23"/>
              </w:numPr>
              <w:spacing w:after="0" w:line="240" w:lineRule="auto"/>
              <w:ind w:left="426"/>
              <w:contextualSpacing/>
              <w:jc w:val="both"/>
              <w:rPr>
                <w:rFonts w:ascii="Times New Roman" w:hAnsi="Times New Roman"/>
                <w:noProof/>
                <w:lang w:val="fr-FR"/>
              </w:rPr>
            </w:pPr>
            <w:r>
              <w:rPr>
                <w:rFonts w:ascii="Times New Roman" w:hAnsi="Times New Roman"/>
                <w:noProof/>
                <w:lang w:val="fr-FR"/>
              </w:rPr>
              <w:t xml:space="preserve">Avec la pleine participation des États membres dans le cadre de leurs propres relations bilatérales, il y a lieu d’intensifier le dialogue avec les pays prioritaires afin de mettre en place des </w:t>
            </w:r>
            <w:r>
              <w:rPr>
                <w:rFonts w:ascii="Times New Roman" w:hAnsi="Times New Roman"/>
                <w:b/>
                <w:i/>
                <w:noProof/>
                <w:lang w:val="fr-FR"/>
              </w:rPr>
              <w:t>ensembles de mesures incitatives et de moyens de pression pour améliorer les taux de réadmission</w:t>
            </w:r>
            <w:r>
              <w:rPr>
                <w:rFonts w:ascii="Times New Roman" w:hAnsi="Times New Roman"/>
                <w:noProof/>
                <w:lang w:val="fr-FR"/>
              </w:rPr>
              <w:t>.</w:t>
            </w:r>
          </w:p>
          <w:p>
            <w:pPr>
              <w:numPr>
                <w:ilvl w:val="0"/>
                <w:numId w:val="32"/>
              </w:numPr>
              <w:spacing w:after="0" w:line="240" w:lineRule="auto"/>
              <w:ind w:left="426"/>
              <w:contextualSpacing/>
              <w:jc w:val="both"/>
              <w:rPr>
                <w:rFonts w:ascii="Times New Roman" w:hAnsi="Times New Roman"/>
                <w:noProof/>
                <w:lang w:val="fr-FR"/>
              </w:rPr>
            </w:pPr>
            <w:r>
              <w:rPr>
                <w:rFonts w:ascii="Times New Roman" w:hAnsi="Times New Roman"/>
                <w:noProof/>
                <w:lang w:val="fr-FR"/>
              </w:rPr>
              <w:t xml:space="preserve">Tous les États membres devraient inscrire le concept de </w:t>
            </w:r>
            <w:r>
              <w:rPr>
                <w:rFonts w:ascii="Times New Roman" w:hAnsi="Times New Roman"/>
                <w:b/>
                <w:i/>
                <w:noProof/>
                <w:lang w:val="fr-FR"/>
              </w:rPr>
              <w:t>pays tiers sûr</w:t>
            </w:r>
            <w:r>
              <w:rPr>
                <w:rFonts w:ascii="Times New Roman" w:hAnsi="Times New Roman"/>
                <w:noProof/>
                <w:lang w:val="fr-FR"/>
              </w:rPr>
              <w:t xml:space="preserve"> dans leur législation nationale et appliquer la disposition concernée lorsque les conditions sont réunies.</w:t>
            </w:r>
          </w:p>
          <w:p>
            <w:pPr>
              <w:spacing w:after="0" w:line="240" w:lineRule="auto"/>
              <w:jc w:val="both"/>
              <w:rPr>
                <w:rFonts w:ascii="Times New Roman" w:hAnsi="Times New Roman"/>
                <w:noProof/>
                <w:lang w:val="fr-FR"/>
              </w:rPr>
            </w:pPr>
          </w:p>
        </w:tc>
      </w:tr>
    </w:tbl>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p>
    <w:p>
      <w:pPr>
        <w:spacing w:after="0" w:line="240" w:lineRule="auto"/>
        <w:jc w:val="both"/>
        <w:rPr>
          <w:rFonts w:ascii="Times New Roman" w:hAnsi="Times New Roman"/>
          <w:b/>
          <w:i/>
          <w:noProof/>
          <w:lang w:val="fr-FR"/>
        </w:rPr>
      </w:pPr>
      <w:r>
        <w:rPr>
          <w:rFonts w:ascii="Times New Roman" w:hAnsi="Times New Roman"/>
          <w:b/>
          <w:i/>
          <w:noProof/>
          <w:lang w:val="fr-FR"/>
        </w:rPr>
        <w:t>III.6</w:t>
      </w:r>
      <w:r>
        <w:rPr>
          <w:rFonts w:ascii="Times New Roman" w:hAnsi="Times New Roman"/>
          <w:b/>
          <w:i/>
          <w:noProof/>
          <w:lang w:val="fr-FR"/>
        </w:rPr>
        <w:tab/>
        <w:t>Mettre en œuvre le plan d’action commun UE-Turquie</w:t>
      </w:r>
    </w:p>
    <w:p>
      <w:pPr>
        <w:spacing w:after="0" w:line="240" w:lineRule="auto"/>
        <w:jc w:val="both"/>
        <w:rPr>
          <w:rFonts w:ascii="Times New Roman" w:hAnsi="Times New Roman"/>
          <w:i/>
          <w:noProof/>
          <w:lang w:val="fr-FR"/>
        </w:rPr>
      </w:pPr>
    </w:p>
    <w:p>
      <w:pPr>
        <w:pStyle w:val="ListParagraph1"/>
        <w:spacing w:after="0" w:line="240" w:lineRule="auto"/>
        <w:ind w:left="0"/>
        <w:jc w:val="both"/>
        <w:rPr>
          <w:rFonts w:ascii="Times New Roman" w:hAnsi="Times New Roman"/>
          <w:noProof/>
          <w:lang w:val="fr-FR"/>
        </w:rPr>
      </w:pPr>
      <w:r>
        <w:rPr>
          <w:rFonts w:ascii="Times New Roman" w:hAnsi="Times New Roman"/>
          <w:noProof/>
          <w:lang w:val="fr-FR"/>
        </w:rPr>
        <w:t xml:space="preserve">La mise en œuvre du </w:t>
      </w:r>
      <w:r>
        <w:rPr>
          <w:rFonts w:ascii="Times New Roman" w:hAnsi="Times New Roman"/>
          <w:b/>
          <w:noProof/>
          <w:lang w:val="fr-FR"/>
        </w:rPr>
        <w:t>plan d’action commun UE-Turquie</w:t>
      </w:r>
      <w:r>
        <w:rPr>
          <w:rFonts w:ascii="Times New Roman" w:hAnsi="Times New Roman"/>
          <w:noProof/>
          <w:lang w:val="fr-FR"/>
        </w:rPr>
        <w:t xml:space="preserve"> sera essentielle pour endiguer l’afflux de migrants en situation irrégulière dans les semaines et les mois à venir, compte tenu du fait que les volumes d’arrivées irrégulières sont restés exceptionnellement élevés pendant l’hiver en dépit des conditions climatiques. Juste après l’activation du plan d’action commun, la Turquie a pris des mesures importantes en vue de sa mise en œuvre. Grâce aux mesures destinées à ouvrir le marché du travail turc aux Syriens bénéficiant d’une protection temporaire, les réfugiés devraient pouvoir trouver un emploi légal beaucoup plus facilement. D’autres initiatives en cours visent à lever les obstacles à la coopération avec l’UE pour lutter contre le trafic de migrants et la migration irrégulière, ainsi qu’à recourir à l’information pour décourager les réfugiés d’entreprendre un voyage dangereux vers l’Europe. La Turquie a signalé une augmentation du nombre de migrants en situation irrégulière et de trafiquants détenus – elle a arrêté 3 700 trafiquants en 2015 –, mais la coopération en matière policière et judiciaire doit être renforcée.</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lastRenderedPageBreak/>
        <w:t xml:space="preserve">Des contacts intensifs ont eu lieu avec les autorités turques pour faire en sorte que le financement de projets relevant des actions concrètes prévues dans le cadre de la </w:t>
      </w:r>
      <w:r>
        <w:rPr>
          <w:rFonts w:ascii="Times New Roman" w:hAnsi="Times New Roman"/>
          <w:b/>
          <w:noProof/>
          <w:lang w:val="fr-FR"/>
        </w:rPr>
        <w:t>facilité en faveur des réfugiés en Turquie</w:t>
      </w:r>
      <w:r>
        <w:rPr>
          <w:rFonts w:ascii="Times New Roman" w:hAnsi="Times New Roman"/>
          <w:noProof/>
          <w:lang w:val="fr-FR"/>
        </w:rPr>
        <w:t>, dotée d’une enveloppe de 3 000 000 000 EUR, débute au plus vite. Fin 2015, en coopération avec les autorités turques, la Commission a lancé une évaluation des besoins pour les Syriens bénéficiant d’une protection temporaire en Turquie. Un premier aperçu de l’évaluation des besoins est attendu pour la mi-février, le but étant de définir les projets à financer au moyen de la facilité. Les domaines prioritaires sont l’aide humanitaire aux réfugiés, l’aide socio-économique, l’intégration sur le marché du travail, les soins de santé, l’inclusion sociale, les infrastructures municipales et la gestion des flux de réfugiés</w:t>
      </w:r>
      <w:r>
        <w:rPr>
          <w:rStyle w:val="FootnoteReference"/>
          <w:rFonts w:ascii="Times New Roman" w:hAnsi="Times New Roman"/>
          <w:noProof/>
        </w:rPr>
        <w:footnoteReference w:id="40"/>
      </w:r>
      <w:r>
        <w:rPr>
          <w:rFonts w:ascii="Times New Roman" w:hAnsi="Times New Roman"/>
          <w:noProof/>
          <w:lang w:val="fr-FR"/>
        </w:rPr>
        <w:t>.</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Il sera également important de réaliser des progrès en matière de </w:t>
      </w:r>
      <w:r>
        <w:rPr>
          <w:rFonts w:ascii="Times New Roman" w:hAnsi="Times New Roman"/>
          <w:b/>
          <w:noProof/>
          <w:lang w:val="fr-FR"/>
        </w:rPr>
        <w:t>réadmission</w:t>
      </w:r>
      <w:r>
        <w:rPr>
          <w:rFonts w:ascii="Times New Roman" w:hAnsi="Times New Roman"/>
          <w:noProof/>
          <w:lang w:val="fr-FR"/>
        </w:rPr>
        <w:t>. La mise en œuvre effective de l’accord de réadmission UE-Turquie</w:t>
      </w:r>
      <w:r>
        <w:rPr>
          <w:rStyle w:val="FootnoteReference"/>
          <w:rFonts w:ascii="Times New Roman" w:hAnsi="Times New Roman"/>
          <w:noProof/>
        </w:rPr>
        <w:footnoteReference w:id="41"/>
      </w:r>
      <w:r>
        <w:rPr>
          <w:rFonts w:ascii="Times New Roman" w:hAnsi="Times New Roman"/>
          <w:noProof/>
          <w:lang w:val="fr-FR"/>
        </w:rPr>
        <w:t>, du point de vue de la réadmission par la Turquie à la fois de ses propres ressortissants et, à partir du 1</w:t>
      </w:r>
      <w:r>
        <w:rPr>
          <w:rFonts w:ascii="Times New Roman" w:hAnsi="Times New Roman"/>
          <w:noProof/>
          <w:vertAlign w:val="superscript"/>
          <w:lang w:val="fr-FR"/>
        </w:rPr>
        <w:t>er</w:t>
      </w:r>
      <w:r>
        <w:rPr>
          <w:rFonts w:ascii="Times New Roman" w:hAnsi="Times New Roman"/>
          <w:noProof/>
          <w:lang w:val="fr-FR"/>
        </w:rPr>
        <w:t xml:space="preserve"> juin 2016</w:t>
      </w:r>
      <w:r>
        <w:rPr>
          <w:rStyle w:val="FootnoteReference"/>
          <w:rFonts w:ascii="Times New Roman" w:hAnsi="Times New Roman"/>
          <w:noProof/>
        </w:rPr>
        <w:footnoteReference w:id="42"/>
      </w:r>
      <w:r>
        <w:rPr>
          <w:rFonts w:ascii="Times New Roman" w:hAnsi="Times New Roman"/>
          <w:noProof/>
          <w:lang w:val="fr-FR"/>
        </w:rPr>
        <w:t>, des ressortissants d’autres pays ayant transité par la Turquie avant d’arriver sur le territoire de l’UE, serait essentielle. Parallèlement, des efforts intenses sont déployés pour que l’</w:t>
      </w:r>
      <w:r>
        <w:rPr>
          <w:rFonts w:ascii="Times New Roman" w:hAnsi="Times New Roman"/>
          <w:b/>
          <w:noProof/>
          <w:lang w:val="fr-FR"/>
        </w:rPr>
        <w:t>accord bilatéral entre la Turquie et la Grèce concernant la réadmission</w:t>
      </w:r>
      <w:r>
        <w:rPr>
          <w:rFonts w:ascii="Times New Roman" w:hAnsi="Times New Roman"/>
          <w:noProof/>
          <w:lang w:val="fr-FR"/>
        </w:rPr>
        <w:t xml:space="preserve"> des ressortissants d’autres pays produise davantage d’effets, mais, jusqu’à présent, sa mise en œuvre est clairement insuffisante. La Commission examine actuellement les mesures d’appui supplémentaires qu’elle pourrait prendre et elle est prête à collaborer étroitement tant avec les autorités grecques qu’avec les autorités turques afin d’accroître les retours vers la Turquie conformément à l’accord bilatéral existant, dans l’attente de la pleine entrée en vigueur de l’accord entre l’UE et la Turquie.</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b/>
          <w: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tc>
          <w:tcPr>
            <w:tcW w:w="9288" w:type="dxa"/>
          </w:tcPr>
          <w:p>
            <w:pPr>
              <w:spacing w:after="0" w:line="240" w:lineRule="auto"/>
              <w:jc w:val="both"/>
              <w:rPr>
                <w:rFonts w:ascii="Times New Roman" w:hAnsi="Times New Roman"/>
                <w:b/>
                <w:i/>
                <w:noProof/>
              </w:rPr>
            </w:pPr>
            <w:r>
              <w:rPr>
                <w:rFonts w:ascii="Times New Roman" w:hAnsi="Times New Roman"/>
                <w:b/>
                <w:i/>
                <w:noProof/>
              </w:rPr>
              <w:t>Prochaines étapes importantes:</w:t>
            </w:r>
          </w:p>
          <w:p>
            <w:pPr>
              <w:spacing w:after="0" w:line="240" w:lineRule="auto"/>
              <w:jc w:val="both"/>
              <w:rPr>
                <w:rFonts w:ascii="Times New Roman" w:hAnsi="Times New Roman"/>
                <w:b/>
                <w:i/>
                <w:noProof/>
              </w:rPr>
            </w:pP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La Commission et les États membres devraient lancer de toute urgence les premières actions dans le cadre de la </w:t>
            </w:r>
            <w:r>
              <w:rPr>
                <w:rFonts w:ascii="Times New Roman" w:hAnsi="Times New Roman"/>
                <w:b/>
                <w:i/>
                <w:noProof/>
                <w:lang w:val="fr-FR"/>
              </w:rPr>
              <w:t>facilité en faveur des réfugiés en Turquie</w:t>
            </w:r>
            <w:r>
              <w:rPr>
                <w:rFonts w:ascii="Times New Roman" w:hAnsi="Times New Roman"/>
                <w:noProof/>
                <w:lang w:val="fr-FR"/>
              </w:rPr>
              <w:t>.</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Les mesures prises par la Turquie et par l’UE doivent déboucher sur des </w:t>
            </w:r>
            <w:r>
              <w:rPr>
                <w:rFonts w:ascii="Times New Roman" w:hAnsi="Times New Roman"/>
                <w:b/>
                <w:i/>
                <w:noProof/>
                <w:lang w:val="fr-FR"/>
              </w:rPr>
              <w:t>résultats</w:t>
            </w:r>
            <w:r>
              <w:rPr>
                <w:rFonts w:ascii="Times New Roman" w:hAnsi="Times New Roman"/>
                <w:noProof/>
                <w:lang w:val="fr-FR"/>
              </w:rPr>
              <w:t xml:space="preserve"> réels et rapides pour ce qui est d’</w:t>
            </w:r>
            <w:r>
              <w:rPr>
                <w:rFonts w:ascii="Times New Roman" w:hAnsi="Times New Roman"/>
                <w:b/>
                <w:i/>
                <w:noProof/>
                <w:lang w:val="fr-FR"/>
              </w:rPr>
              <w:t>endiguer l’afflux de migrants en situation irrégulière</w:t>
            </w:r>
            <w:r>
              <w:rPr>
                <w:rFonts w:ascii="Times New Roman" w:hAnsi="Times New Roman"/>
                <w:noProof/>
                <w:lang w:val="fr-FR"/>
              </w:rPr>
              <w:t xml:space="preserve"> et de procéder à leur retour effectif.</w:t>
            </w:r>
          </w:p>
          <w:p>
            <w:pPr>
              <w:spacing w:after="0" w:line="240" w:lineRule="auto"/>
              <w:jc w:val="both"/>
              <w:rPr>
                <w:rFonts w:ascii="Times New Roman" w:hAnsi="Times New Roman"/>
                <w:noProof/>
                <w:lang w:val="fr-FR"/>
              </w:rPr>
            </w:pPr>
          </w:p>
        </w:tc>
      </w:tr>
    </w:tbl>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p>
    <w:p>
      <w:pPr>
        <w:spacing w:after="0" w:line="240" w:lineRule="auto"/>
        <w:jc w:val="both"/>
        <w:rPr>
          <w:rFonts w:ascii="Times New Roman" w:hAnsi="Times New Roman"/>
          <w:b/>
          <w:i/>
          <w:noProof/>
          <w:lang w:val="fr-FR"/>
        </w:rPr>
      </w:pPr>
      <w:r>
        <w:rPr>
          <w:rFonts w:ascii="Times New Roman" w:hAnsi="Times New Roman"/>
          <w:b/>
          <w:i/>
          <w:noProof/>
          <w:lang w:val="fr-FR"/>
        </w:rPr>
        <w:t>III.7</w:t>
      </w:r>
      <w:r>
        <w:rPr>
          <w:rFonts w:ascii="Times New Roman" w:hAnsi="Times New Roman"/>
          <w:b/>
          <w:i/>
          <w:noProof/>
          <w:lang w:val="fr-FR"/>
        </w:rPr>
        <w:tab/>
        <w:t>Soutenir les réfugiés en dehors de l’UE</w:t>
      </w:r>
      <w:r>
        <w:rPr>
          <w:rFonts w:ascii="Times New Roman" w:hAnsi="Times New Roman"/>
          <w:b/>
          <w:i/>
          <w:noProof/>
          <w:lang w:val="fr-FR"/>
        </w:rPr>
        <w:tab/>
      </w:r>
      <w:r>
        <w:rPr>
          <w:rFonts w:ascii="Times New Roman" w:hAnsi="Times New Roman"/>
          <w:b/>
          <w:i/>
          <w:noProof/>
          <w:lang w:val="fr-FR"/>
        </w:rPr>
        <w:tab/>
      </w:r>
      <w:r>
        <w:rPr>
          <w:rFonts w:ascii="Times New Roman" w:hAnsi="Times New Roman"/>
          <w:b/>
          <w:i/>
          <w:noProof/>
          <w:lang w:val="fr-FR"/>
        </w:rPr>
        <w:tab/>
      </w:r>
    </w:p>
    <w:p>
      <w:pPr>
        <w:spacing w:after="0" w:line="240" w:lineRule="auto"/>
        <w:ind w:left="720"/>
        <w:jc w:val="both"/>
        <w:rPr>
          <w:rFonts w:ascii="Times New Roman" w:hAnsi="Times New Roman"/>
          <w:b/>
          <w:i/>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La situation des Syriens est extrêmement grave: ils sont 13,5 millions à avoir besoin d’une aide humanitaire, dont six millions d’enfants. En 2016, la Commission maintiendra l’aide humanitaire à son niveau élevé de 2015, pour répondre aux besoins les plus urgents des réfugiés dans la région touchée par la </w:t>
      </w:r>
      <w:r>
        <w:rPr>
          <w:rFonts w:ascii="Times New Roman" w:hAnsi="Times New Roman"/>
          <w:b/>
          <w:noProof/>
          <w:lang w:val="fr-FR"/>
        </w:rPr>
        <w:t>crise syrienne</w:t>
      </w:r>
      <w:r>
        <w:rPr>
          <w:rFonts w:ascii="Times New Roman" w:hAnsi="Times New Roman"/>
          <w:noProof/>
          <w:lang w:val="fr-FR"/>
        </w:rPr>
        <w:t xml:space="preserve">. À l’intérieur de la Syrie, malgré l’intensification du conflit et l’aggravation de la situation humanitaire, assorties de nouvelles vagues de déplacements, l’UE veillera à ce qu’une aide – qu’il s’agisse de nourriture, d’eau, d’hébergement ou d’éducation – soit fournie aux personnes qui en ont besoin, et en particulier aux plus vulnérables d’entre elles. Un montant de 350 000 000 EUR provenant du Fonds fiduciaire pour la Syrie sera consacré à l’aide d’urgence à 1,5 million de réfugiés et à leurs communautés d’accueil mises à rude épreuve au Liban, en Turquie, en Jordanie et en Iraq, le but étant de contribuer à répondre à leurs besoins fondamentaux dans les domaines de l’éducation, des soins de santé et de l’hygiène, par exemple. À présent, la Commission va concrétiser rapidement les engagements pris et étudier toutes les possibilités d’action pour la suite. Par </w:t>
      </w:r>
      <w:r>
        <w:rPr>
          <w:rFonts w:ascii="Times New Roman" w:hAnsi="Times New Roman"/>
          <w:noProof/>
          <w:lang w:val="fr-FR"/>
        </w:rPr>
        <w:lastRenderedPageBreak/>
        <w:t>exemple, la Commission met actuellement au point des moyens innovants d’utiliser les préférences commerciales pour soutenir les réfugiés en Jordanie. Les États membres doivent également traduire leurs engagements dans les faits au plus vite afin de contribuer à une réelle amélioration sur le terrain.</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La communauté internationale doit continuer à intensifier son action collective pour aider les réfugiés syriens. L’UE doit saisir l’occasion qui s’offre à elle de souligner la nécessité d’un </w:t>
      </w:r>
      <w:r>
        <w:rPr>
          <w:rFonts w:ascii="Times New Roman" w:hAnsi="Times New Roman"/>
          <w:b/>
          <w:noProof/>
          <w:lang w:val="fr-FR"/>
        </w:rPr>
        <w:t>effort mondial</w:t>
      </w:r>
      <w:r>
        <w:rPr>
          <w:rFonts w:ascii="Times New Roman" w:hAnsi="Times New Roman"/>
          <w:noProof/>
          <w:lang w:val="fr-FR"/>
        </w:rPr>
        <w:t xml:space="preserve"> dans toute une série d’enceintes internationales. À cet effet, elle doit préparer minutieusement la réunion à haut niveau sur le partage au plan mondial des responsabilités par des voies d’admission des réfugiés syriens, organisée le 30 mars à Genève par le HCR, le sommet humanitaire des Nations unies, qui se tiendra à Istanbul en mai 2016, et le sommet sur la réponse aux vastes mouvements de réfugiés et de migrants, que l’Assemblée générale des Nations unies accueillera en septembre 2016. Ces manifestations permettront de nouveau à l’UE et à la communauté internationale de témoigner leur soutien à plus long terme à la Syrie et aux pays voisins.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S’attaquer aux causes profondes des déplacements dans d’autres régions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L’UE soutient également les réfugiés et leurs pays d’accueil dans d’autres régions du monde confrontées à des situations de déplacements forcés. À la mi-2015, l’Afrique subsaharienne comptait 4,1 millions de réfugiés et jusqu’à 11,4 millions de personnes déplacées à l’intérieur de leur propre pays. Le Soudan et l’Éthiopie abritent plus d’un million de réfugiés de pays voisins, en sus de près de 3,5 millions de personnes déplacées à l’intérieur du pays. Une pression supplémentaire provient de l’accroissement rapide du nombre de jeunes en Afrique</w:t>
      </w:r>
      <w:r>
        <w:rPr>
          <w:rFonts w:ascii="Times New Roman" w:hAnsi="Times New Roman"/>
          <w:noProof/>
          <w:vertAlign w:val="superscript"/>
        </w:rPr>
        <w:footnoteReference w:id="43"/>
      </w:r>
      <w:r>
        <w:rPr>
          <w:rFonts w:ascii="Times New Roman" w:hAnsi="Times New Roman"/>
          <w:noProof/>
          <w:lang w:val="fr-FR"/>
        </w:rPr>
        <w:t>.</w:t>
      </w:r>
    </w:p>
    <w:p>
      <w:pPr>
        <w:spacing w:after="0" w:line="240" w:lineRule="auto"/>
        <w:jc w:val="both"/>
        <w:rPr>
          <w:rFonts w:ascii="Times New Roman" w:hAnsi="Times New Roman"/>
          <w:noProof/>
          <w:lang w:val="fr-FR"/>
        </w:rPr>
      </w:pPr>
    </w:p>
    <w:p>
      <w:pPr>
        <w:spacing w:after="360" w:line="240" w:lineRule="auto"/>
        <w:jc w:val="both"/>
        <w:rPr>
          <w:rFonts w:ascii="Times New Roman" w:hAnsi="Times New Roman"/>
          <w:b/>
          <w:noProof/>
          <w:lang w:val="fr-FR"/>
        </w:rPr>
      </w:pPr>
      <w:r>
        <w:rPr>
          <w:rFonts w:ascii="Times New Roman" w:hAnsi="Times New Roman"/>
          <w:noProof/>
          <w:lang w:val="fr-FR"/>
        </w:rPr>
        <w:t xml:space="preserve">La situation nécessite un engagement déterminé et durable de l’Union et des autres acteurs mondiaux dans les pays concernés. Des ressources financières peuvent être mises à disposition rapidement, en particulier par l’intermédiaire du </w:t>
      </w:r>
      <w:r>
        <w:rPr>
          <w:rFonts w:ascii="Times New Roman" w:hAnsi="Times New Roman"/>
          <w:b/>
          <w:noProof/>
          <w:lang w:val="fr-FR"/>
        </w:rPr>
        <w:t>Fonds fiduciaire d’urgence pour l’Afrique</w:t>
      </w:r>
      <w:r>
        <w:rPr>
          <w:rFonts w:ascii="Times New Roman" w:hAnsi="Times New Roman"/>
          <w:noProof/>
          <w:lang w:val="fr-FR"/>
        </w:rPr>
        <w:t>. Afin d’aider les pays couverts par le Fonds fiduciaire à accueillir les réfugiés de la région, il convient de lancer des projets visant à donner à ces derniers accès à l’éducation, aux services sociaux et au marché du travail, ainsi qu’à aider les pays concernés à gérer leurs frontières.</w:t>
      </w:r>
    </w:p>
    <w:p>
      <w:pPr>
        <w:spacing w:after="0" w:line="240" w:lineRule="auto"/>
        <w:jc w:val="both"/>
        <w:rPr>
          <w:rFonts w:ascii="Times New Roman" w:hAnsi="Times New Roman"/>
          <w:i/>
          <w:noProof/>
          <w:lang w:val="fr-FR"/>
        </w:rPr>
      </w:pPr>
      <w:r>
        <w:rPr>
          <w:rFonts w:ascii="Times New Roman" w:hAnsi="Times New Roman"/>
          <w:i/>
          <w:noProof/>
          <w:lang w:val="fr-FR"/>
        </w:rPr>
        <w:t>Mettre des filières légales en place</w:t>
      </w:r>
    </w:p>
    <w:p>
      <w:pPr>
        <w:spacing w:after="0" w:line="240" w:lineRule="auto"/>
        <w:jc w:val="both"/>
        <w:rPr>
          <w:rFonts w:ascii="Times New Roman" w:hAnsi="Times New Roman"/>
          <w:b/>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Les </w:t>
      </w:r>
      <w:r>
        <w:rPr>
          <w:rFonts w:ascii="Times New Roman" w:hAnsi="Times New Roman"/>
          <w:b/>
          <w:noProof/>
          <w:lang w:val="fr-FR"/>
        </w:rPr>
        <w:t>programmes de réinstallation ou d’admission humanitaire</w:t>
      </w:r>
      <w:r>
        <w:rPr>
          <w:rFonts w:ascii="Times New Roman" w:hAnsi="Times New Roman"/>
          <w:noProof/>
          <w:lang w:val="fr-FR"/>
        </w:rPr>
        <w:t xml:space="preserve"> constituent un autre moyen d’aider les réfugiés de manière ordonnée. Ils offrent des voies légales permettant d’accorder une protection à ceux qui en ont besoin, sans qu’ils doivent entreprendre les dangereux voyages qui ont causé tant de tragédies humaines. La réinstallation est une approche mondiale et les partenaires du HCR dans le monde entier sont en mesure de soutenir l’action globale visant à aider les personnes qui ont besoin d’une protection internationale.</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À la suite de la recommandation de la Commission de juin 2015</w:t>
      </w:r>
      <w:r>
        <w:rPr>
          <w:rStyle w:val="FootnoteReference"/>
          <w:rFonts w:ascii="Times New Roman" w:hAnsi="Times New Roman"/>
          <w:noProof/>
        </w:rPr>
        <w:footnoteReference w:id="44"/>
      </w:r>
      <w:r>
        <w:rPr>
          <w:rFonts w:ascii="Times New Roman" w:hAnsi="Times New Roman"/>
          <w:noProof/>
          <w:lang w:val="fr-FR"/>
        </w:rPr>
        <w:t xml:space="preserve">, un </w:t>
      </w:r>
      <w:r>
        <w:rPr>
          <w:rFonts w:ascii="Times New Roman" w:hAnsi="Times New Roman"/>
          <w:b/>
          <w:noProof/>
          <w:lang w:val="fr-FR"/>
        </w:rPr>
        <w:t>programme de réinstallation concernant 22 504 personnes</w:t>
      </w:r>
      <w:r>
        <w:rPr>
          <w:rFonts w:ascii="Times New Roman" w:hAnsi="Times New Roman"/>
          <w:noProof/>
          <w:lang w:val="fr-FR"/>
        </w:rPr>
        <w:t xml:space="preserve"> a été approuvé, le but étant d’aider les personnes déplacées provenant de pays extérieurs à l’UE et ayant manifestement besoin d’une protection internationale. Il est prévu que la réinstallation effective dans le cadre du programme approuvé fasse suite à une demande du HCR et porte sur une période de deux ans. Selon les informations transmises par les États participant </w:t>
      </w:r>
      <w:r>
        <w:rPr>
          <w:rFonts w:ascii="Times New Roman" w:hAnsi="Times New Roman"/>
          <w:noProof/>
          <w:lang w:val="fr-FR"/>
        </w:rPr>
        <w:lastRenderedPageBreak/>
        <w:t xml:space="preserve">au programme, </w:t>
      </w:r>
      <w:r>
        <w:rPr>
          <w:rFonts w:ascii="Times New Roman" w:hAnsi="Times New Roman"/>
          <w:b/>
          <w:noProof/>
          <w:lang w:val="fr-FR"/>
        </w:rPr>
        <w:t>3 358 personnes avaient été réinstallées fin 2015</w:t>
      </w:r>
      <w:r>
        <w:rPr>
          <w:rFonts w:ascii="Times New Roman" w:hAnsi="Times New Roman"/>
          <w:b/>
          <w:noProof/>
          <w:vertAlign w:val="superscript"/>
        </w:rPr>
        <w:footnoteReference w:id="45"/>
      </w:r>
      <w:r>
        <w:rPr>
          <w:rFonts w:ascii="Times New Roman" w:hAnsi="Times New Roman"/>
          <w:noProof/>
          <w:lang w:val="fr-FR"/>
        </w:rPr>
        <w:t>. Il convient que les engagements pris soient honorés en temps utile. D’ici avril, en s’appuyant sur l’expérience pratique acquise à ce jour, la Commission proposera une initiative de réinstallation horizontale, de manière à garantir une approche collective de la réinstallation et de l’ancrer en tant qu’outil fondamental régissant la manière dont l’UE aide les pays accueillant un grand nombre de réfugiés et fournit une protection à ces derniers sans qu’ils doivent s’en remettre à des trafiquants et se livrer à des parcours clandestins dangereux.</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Le </w:t>
      </w:r>
      <w:r>
        <w:rPr>
          <w:rFonts w:ascii="Times New Roman" w:hAnsi="Times New Roman"/>
          <w:b/>
          <w:noProof/>
          <w:lang w:val="fr-FR"/>
        </w:rPr>
        <w:t>programme d’admission humanitaire volontaire en association avec la Turquie</w:t>
      </w:r>
      <w:r>
        <w:rPr>
          <w:rStyle w:val="FootnoteReference"/>
          <w:rFonts w:ascii="Times New Roman" w:hAnsi="Times New Roman"/>
          <w:b/>
          <w:noProof/>
        </w:rPr>
        <w:footnoteReference w:id="46"/>
      </w:r>
      <w:r>
        <w:rPr>
          <w:rFonts w:ascii="Times New Roman" w:hAnsi="Times New Roman"/>
          <w:noProof/>
          <w:lang w:val="fr-FR"/>
        </w:rPr>
        <w:t xml:space="preserve"> doit être mis en place rapidement pour ouvrir une voie légale permettant aux États membres d’offrir une protection internationale aux personnes déplacées en raison du conflit en Syrie, et les États membres devraient accélérer les travaux relatifs à la recommandation de la Commission. L’activation du mécanisme est subordonnée à la réduction du nombre de personnes franchissant illégalement la frontière en provenance de Turquie et est susceptible d’être adaptée en fonction de la taille de la population de réfugiés dans ce pays. Un accord et une mise en œuvre rapides contribueraient grandement à l’efficacité des relations avec la Turquie en matière de migrations et compléteraient la réalisation des mesures prévues dans le plan d’action commun UE-Turquie.</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b/>
          <w: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tc>
          <w:tcPr>
            <w:tcW w:w="9288" w:type="dxa"/>
          </w:tcPr>
          <w:p>
            <w:pPr>
              <w:spacing w:after="0" w:line="240" w:lineRule="auto"/>
              <w:jc w:val="both"/>
              <w:rPr>
                <w:rFonts w:ascii="Times New Roman" w:hAnsi="Times New Roman"/>
                <w:b/>
                <w:i/>
                <w:noProof/>
              </w:rPr>
            </w:pPr>
            <w:r>
              <w:rPr>
                <w:rFonts w:ascii="Times New Roman" w:hAnsi="Times New Roman"/>
                <w:b/>
                <w:i/>
                <w:noProof/>
              </w:rPr>
              <w:t>Prochaines étapes importantes:</w:t>
            </w:r>
          </w:p>
          <w:p>
            <w:pPr>
              <w:spacing w:after="0" w:line="240" w:lineRule="auto"/>
              <w:jc w:val="both"/>
              <w:rPr>
                <w:rFonts w:ascii="Times New Roman" w:hAnsi="Times New Roman"/>
                <w:b/>
                <w:i/>
                <w:noProof/>
              </w:rPr>
            </w:pPr>
          </w:p>
          <w:p>
            <w:pPr>
              <w:pStyle w:val="ListParagraph1"/>
              <w:numPr>
                <w:ilvl w:val="0"/>
                <w:numId w:val="30"/>
              </w:numPr>
              <w:spacing w:after="0" w:line="240" w:lineRule="auto"/>
              <w:ind w:left="426"/>
              <w:jc w:val="both"/>
              <w:rPr>
                <w:rFonts w:ascii="Times New Roman" w:hAnsi="Times New Roman"/>
                <w:noProof/>
                <w:lang w:val="fr-FR"/>
              </w:rPr>
            </w:pPr>
            <w:r>
              <w:rPr>
                <w:rFonts w:ascii="Times New Roman" w:hAnsi="Times New Roman"/>
                <w:noProof/>
                <w:lang w:val="fr-FR"/>
              </w:rPr>
              <w:t xml:space="preserve">L’UE doit donner suite rapidement aux engagements pris lors de la </w:t>
            </w:r>
            <w:r>
              <w:rPr>
                <w:rFonts w:ascii="Times New Roman" w:hAnsi="Times New Roman"/>
                <w:b/>
                <w:i/>
                <w:noProof/>
                <w:lang w:val="fr-FR"/>
              </w:rPr>
              <w:t>conférence de Londres</w:t>
            </w:r>
            <w:r>
              <w:rPr>
                <w:rFonts w:ascii="Times New Roman" w:hAnsi="Times New Roman"/>
                <w:b/>
                <w:noProof/>
                <w:lang w:val="fr-FR"/>
              </w:rPr>
              <w:t>.</w:t>
            </w:r>
          </w:p>
          <w:p>
            <w:pPr>
              <w:pStyle w:val="ListParagraph1"/>
              <w:numPr>
                <w:ilvl w:val="0"/>
                <w:numId w:val="30"/>
              </w:numPr>
              <w:spacing w:after="0" w:line="240" w:lineRule="auto"/>
              <w:ind w:left="426"/>
              <w:jc w:val="both"/>
              <w:rPr>
                <w:rFonts w:ascii="Times New Roman" w:hAnsi="Times New Roman"/>
                <w:noProof/>
                <w:lang w:val="fr-FR"/>
              </w:rPr>
            </w:pPr>
            <w:r>
              <w:rPr>
                <w:rFonts w:ascii="Times New Roman" w:hAnsi="Times New Roman"/>
                <w:noProof/>
                <w:lang w:val="fr-FR"/>
              </w:rPr>
              <w:t xml:space="preserve">L’UE et ses États membres doivent accroître leur engagement à s’attaquer aux causes profondes des déplacements, en améliorant la coopération en matière d’aide et </w:t>
            </w:r>
            <w:r>
              <w:rPr>
                <w:rFonts w:ascii="Times New Roman" w:hAnsi="Times New Roman"/>
                <w:b/>
                <w:i/>
                <w:noProof/>
                <w:lang w:val="fr-FR"/>
              </w:rPr>
              <w:t>en atteignant l’objectif fixé concernant l’aide publique au développement (APD), à savoir 0,7 %</w:t>
            </w:r>
            <w:r>
              <w:rPr>
                <w:rFonts w:ascii="Times New Roman" w:hAnsi="Times New Roman"/>
                <w:noProof/>
                <w:lang w:val="fr-FR"/>
              </w:rPr>
              <w:t>.</w:t>
            </w:r>
          </w:p>
          <w:p>
            <w:pPr>
              <w:pStyle w:val="ListParagraph1"/>
              <w:numPr>
                <w:ilvl w:val="0"/>
                <w:numId w:val="30"/>
              </w:numPr>
              <w:spacing w:after="0" w:line="240" w:lineRule="auto"/>
              <w:ind w:left="426"/>
              <w:jc w:val="both"/>
              <w:rPr>
                <w:rFonts w:ascii="Times New Roman" w:hAnsi="Times New Roman"/>
                <w:noProof/>
                <w:lang w:val="fr-FR"/>
              </w:rPr>
            </w:pPr>
            <w:r>
              <w:rPr>
                <w:rFonts w:ascii="Times New Roman" w:hAnsi="Times New Roman"/>
                <w:noProof/>
                <w:lang w:val="fr-FR"/>
              </w:rPr>
              <w:t>Les engagements nationaux en faveur du Fonds fiduciaire d’urgence pour l’Afrique et du Fonds fiduciaire pour la Syrie devraient augmenter pour égaler la contribution de l’UE.</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Les États membres devraient accélérer la </w:t>
            </w:r>
            <w:r>
              <w:rPr>
                <w:rFonts w:ascii="Times New Roman" w:hAnsi="Times New Roman"/>
                <w:b/>
                <w:i/>
                <w:noProof/>
                <w:lang w:val="fr-FR"/>
              </w:rPr>
              <w:t>réinstallation</w:t>
            </w:r>
            <w:r>
              <w:rPr>
                <w:rFonts w:ascii="Times New Roman" w:hAnsi="Times New Roman"/>
                <w:noProof/>
                <w:lang w:val="fr-FR"/>
              </w:rPr>
              <w:t xml:space="preserve"> convenue en 2015 et approuver rapidement le </w:t>
            </w:r>
            <w:r>
              <w:rPr>
                <w:rFonts w:ascii="Times New Roman" w:hAnsi="Times New Roman"/>
                <w:b/>
                <w:i/>
                <w:noProof/>
                <w:lang w:val="fr-FR"/>
              </w:rPr>
              <w:t>programme d’admission humanitaire volontaire en association avec la Turquie</w:t>
            </w:r>
            <w:r>
              <w:rPr>
                <w:rFonts w:ascii="Times New Roman" w:hAnsi="Times New Roman"/>
                <w:noProof/>
                <w:lang w:val="fr-FR"/>
              </w:rPr>
              <w:t xml:space="preserve"> recommandé par la Commission le 15 décembre 2015.</w:t>
            </w:r>
          </w:p>
          <w:p>
            <w:pPr>
              <w:pStyle w:val="ListParagraph1"/>
              <w:numPr>
                <w:ilvl w:val="0"/>
                <w:numId w:val="23"/>
              </w:numPr>
              <w:spacing w:after="0" w:line="240" w:lineRule="auto"/>
              <w:ind w:left="426"/>
              <w:jc w:val="both"/>
              <w:rPr>
                <w:rFonts w:ascii="Times New Roman" w:hAnsi="Times New Roman"/>
                <w:noProof/>
                <w:lang w:val="fr-FR"/>
              </w:rPr>
            </w:pPr>
            <w:r>
              <w:rPr>
                <w:rFonts w:ascii="Times New Roman" w:hAnsi="Times New Roman"/>
                <w:noProof/>
                <w:lang w:val="fr-FR"/>
              </w:rPr>
              <w:t xml:space="preserve">D’ici avril, la Commission proposera une </w:t>
            </w:r>
            <w:r>
              <w:rPr>
                <w:rFonts w:ascii="Times New Roman" w:hAnsi="Times New Roman"/>
                <w:b/>
                <w:i/>
                <w:noProof/>
                <w:lang w:val="fr-FR"/>
              </w:rPr>
              <w:t>initiative de réinstallation</w:t>
            </w:r>
            <w:r>
              <w:rPr>
                <w:rFonts w:ascii="Times New Roman" w:hAnsi="Times New Roman"/>
                <w:noProof/>
                <w:lang w:val="fr-FR"/>
              </w:rPr>
              <w:t xml:space="preserve"> à l’échelle de l’UE afin d’intensifier sensiblement les efforts de réinstallation.</w:t>
            </w:r>
          </w:p>
          <w:p>
            <w:pPr>
              <w:spacing w:after="0" w:line="240" w:lineRule="auto"/>
              <w:jc w:val="both"/>
              <w:rPr>
                <w:rFonts w:ascii="Times New Roman" w:hAnsi="Times New Roman"/>
                <w:noProof/>
                <w:lang w:val="fr-FR"/>
              </w:rPr>
            </w:pPr>
          </w:p>
        </w:tc>
      </w:tr>
    </w:tbl>
    <w:p>
      <w:pPr>
        <w:spacing w:after="0" w:line="240" w:lineRule="auto"/>
        <w:jc w:val="both"/>
        <w:rPr>
          <w:rFonts w:ascii="Times New Roman" w:hAnsi="Times New Roman"/>
          <w:noProof/>
          <w:lang w:val="fr-FR"/>
        </w:rPr>
      </w:pPr>
    </w:p>
    <w:p>
      <w:pPr>
        <w:pStyle w:val="ListParagraph1"/>
        <w:spacing w:after="0" w:line="240" w:lineRule="auto"/>
        <w:ind w:left="1440"/>
        <w:jc w:val="both"/>
        <w:rPr>
          <w:rFonts w:ascii="Times New Roman" w:hAnsi="Times New Roman"/>
          <w:noProof/>
          <w:lang w:val="fr-FR"/>
        </w:rPr>
      </w:pPr>
    </w:p>
    <w:p>
      <w:pPr>
        <w:spacing w:after="0" w:line="240" w:lineRule="auto"/>
        <w:jc w:val="both"/>
        <w:rPr>
          <w:rFonts w:ascii="Times New Roman" w:hAnsi="Times New Roman"/>
          <w:b/>
          <w:noProof/>
          <w:u w:val="single"/>
          <w:lang w:val="fr-FR"/>
        </w:rPr>
      </w:pPr>
      <w:r>
        <w:rPr>
          <w:rFonts w:ascii="Times New Roman" w:hAnsi="Times New Roman"/>
          <w:b/>
          <w:noProof/>
          <w:lang w:val="fr-FR"/>
        </w:rPr>
        <w:t>IV</w:t>
      </w:r>
      <w:r>
        <w:rPr>
          <w:rFonts w:ascii="Times New Roman" w:hAnsi="Times New Roman"/>
          <w:b/>
          <w:noProof/>
          <w:lang w:val="fr-FR"/>
        </w:rPr>
        <w:tab/>
        <w:t>MISE EN ŒUVRE DU DROIT DE L’UE/INFRACTIONS</w:t>
      </w:r>
    </w:p>
    <w:p>
      <w:pPr>
        <w:spacing w:after="0" w:line="240" w:lineRule="auto"/>
        <w:jc w:val="both"/>
        <w:rPr>
          <w:rFonts w:ascii="Times New Roman" w:hAnsi="Times New Roman"/>
          <w:b/>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En septembre 2015, la Commission a lancé une initiative visant à ouvrir ou à poursuivre une série de procédures concernant la </w:t>
      </w:r>
      <w:r>
        <w:rPr>
          <w:rFonts w:ascii="Times New Roman" w:hAnsi="Times New Roman"/>
          <w:b/>
          <w:noProof/>
          <w:lang w:val="fr-FR"/>
        </w:rPr>
        <w:t>mise en œuvre intégrale et correcte de la législation</w:t>
      </w:r>
      <w:r>
        <w:rPr>
          <w:rFonts w:ascii="Times New Roman" w:hAnsi="Times New Roman"/>
          <w:noProof/>
          <w:lang w:val="fr-FR"/>
        </w:rPr>
        <w:t xml:space="preserve"> relative aux procédures d’asile, aux conditions d’accueil, au règlement de Dublin, au règlement Eurodac sur les empreintes digitales et au retour. Dans le domaine de l’asile, la Commission a adopté en 2015 un total de 58 décisions (lettres de mise en demeure et avis motivés) relatives à la transposition et au respect de l’acquis de l’UE en matière d’asile depuis le 23 septembre 2015.</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Depuis les mesures prises en septembre, plusieurs États membres ont communiqué à la Commission la législation nationale considérée comme la transposition intégrale des directives concernées. Les </w:t>
      </w:r>
      <w:r>
        <w:rPr>
          <w:rFonts w:ascii="Times New Roman" w:hAnsi="Times New Roman"/>
          <w:noProof/>
          <w:lang w:val="fr-FR"/>
        </w:rPr>
        <w:lastRenderedPageBreak/>
        <w:t>services de la Commission évaluent actuellement l’exhaustivité des mesures notifiées</w:t>
      </w:r>
      <w:r>
        <w:rPr>
          <w:rStyle w:val="FootnoteReference"/>
          <w:rFonts w:ascii="Times New Roman" w:hAnsi="Times New Roman"/>
          <w:noProof/>
        </w:rPr>
        <w:footnoteReference w:id="47"/>
      </w:r>
      <w:r>
        <w:rPr>
          <w:rFonts w:ascii="Times New Roman" w:hAnsi="Times New Roman"/>
          <w:noProof/>
          <w:lang w:val="fr-FR"/>
        </w:rPr>
        <w:t>. En l’absence de notification complète, la Commission a décidé aujourd’hui d’adresser des avis motivés dans neuf cas.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En ce qui concerne la directive sur le retour, la Commission a envoyé des lettres administratives à dix États membres, leur demandant des éclaircissements sur l’adoption de décisions de retour et sur les mesures prises pour en garantir l’exécution effective. La Commission a reçu leurs observations et collabore étroitement avec eux afin de recenser les obstacles et les goulets d’étranglement qui entravent actuellement les retours et de définir les mesures à prendre pour y remédier, de manière à augmenter le taux de retour et à assurer le plein respect des obligations.</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r>
        <w:rPr>
          <w:rFonts w:ascii="Times New Roman" w:hAnsi="Times New Roman"/>
          <w:noProof/>
          <w:lang w:val="fr-FR"/>
        </w:rPr>
        <w:t xml:space="preserve">Les </w:t>
      </w:r>
      <w:r>
        <w:rPr>
          <w:rFonts w:ascii="Times New Roman" w:hAnsi="Times New Roman"/>
          <w:b/>
          <w:noProof/>
          <w:lang w:val="fr-FR"/>
        </w:rPr>
        <w:t>travaux de la Commission touchant à la mise en œuvre de la législation et aux infractions</w:t>
      </w:r>
      <w:r>
        <w:rPr>
          <w:rFonts w:ascii="Times New Roman" w:hAnsi="Times New Roman"/>
          <w:noProof/>
          <w:lang w:val="fr-FR"/>
        </w:rPr>
        <w:t xml:space="preserve"> montrent que l’un des points faibles du système de gestion des migrations de l’UE, et du régime d’asile européen commun en particulier, réside dans une transposition incomplète et dans une mise en œuvre incohérente. La Commission s’emploie activement à aider les États membres à assurer la conformité totale de leur législation. Elle continuera à exercer pleinement les pouvoirs que lui confèrent les traités pour donner suite aux procédures relatives à des infractions potentielles ou avérées, afin de garantir le respect intégral des règles de l’UE arrêtées d’un commun accord.</w:t>
      </w:r>
    </w:p>
    <w:p>
      <w:pPr>
        <w:spacing w:after="0" w:line="240" w:lineRule="auto"/>
        <w:jc w:val="both"/>
        <w:rPr>
          <w:rFonts w:ascii="Times New Roman" w:hAnsi="Times New Roman"/>
          <w:noProof/>
          <w:lang w:val="fr-FR"/>
        </w:rPr>
      </w:pPr>
    </w:p>
    <w:p>
      <w:pPr>
        <w:spacing w:after="0" w:line="240" w:lineRule="auto"/>
        <w:jc w:val="both"/>
        <w:rPr>
          <w:rFonts w:ascii="Times New Roman" w:hAnsi="Times New Roman"/>
          <w:noProof/>
          <w:lang w:val="fr-FR"/>
        </w:rPr>
      </w:pPr>
    </w:p>
    <w:p>
      <w:pPr>
        <w:spacing w:after="0" w:line="240" w:lineRule="auto"/>
        <w:jc w:val="both"/>
        <w:rPr>
          <w:rFonts w:ascii="Times New Roman" w:hAnsi="Times New Roman"/>
          <w:b/>
          <w:noProof/>
          <w:lang w:val="fr-FR"/>
        </w:rPr>
      </w:pPr>
      <w:r>
        <w:rPr>
          <w:rFonts w:ascii="Times New Roman" w:hAnsi="Times New Roman"/>
          <w:b/>
          <w:noProof/>
          <w:lang w:val="fr-FR"/>
        </w:rPr>
        <w:t>V</w:t>
      </w:r>
      <w:r>
        <w:rPr>
          <w:rFonts w:ascii="Times New Roman" w:hAnsi="Times New Roman"/>
          <w:b/>
          <w:noProof/>
          <w:lang w:val="fr-FR"/>
        </w:rPr>
        <w:tab/>
        <w:t>CONCLUSION</w:t>
      </w:r>
    </w:p>
    <w:p>
      <w:pPr>
        <w:spacing w:after="0" w:line="240" w:lineRule="auto"/>
        <w:jc w:val="both"/>
        <w:rPr>
          <w:rFonts w:ascii="Times New Roman" w:hAnsi="Times New Roman"/>
          <w:b/>
          <w:noProof/>
          <w:u w:val="single"/>
          <w:lang w:val="fr-FR"/>
        </w:rPr>
      </w:pPr>
    </w:p>
    <w:p>
      <w:pPr>
        <w:spacing w:after="0" w:line="240" w:lineRule="auto"/>
        <w:jc w:val="both"/>
        <w:rPr>
          <w:rFonts w:ascii="Times New Roman" w:hAnsi="Times New Roman"/>
          <w:i/>
          <w:noProof/>
          <w:lang w:val="fr-FR"/>
        </w:rPr>
      </w:pPr>
      <w:r>
        <w:rPr>
          <w:rFonts w:ascii="Times New Roman" w:hAnsi="Times New Roman"/>
          <w:i/>
          <w:noProof/>
          <w:lang w:val="fr-FR"/>
        </w:rPr>
        <w:t>À l’approche du Conseil européen de février, il est urgent de faire tout ce qui est nécessaire pour remettre de l’ordre dans le système de migration et imposer le contrôle des flux irréguliers empruntant la route de la Méditerranée orientale/des Balkans occidentaux. Le Conseil européen devrait s’engager à prendre les mesures nécessaires, et les institutions, les agences et tous les États membres de l’UE devraient les mettre en œuvre avec détermination.</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Une bonne gestion des frontières suppose que tous les nouveaux arrivants soient effectivement enregistrés et dirigés vers les procédures d’asile nationales, les procédures de relocalisation ou les procédures de retour, conformément aux règles de Dublin de l’UE. La pleine application de la législation de l’UE en matière d’asile et de gestion des frontières et la mise en œuvre des décisions collectives prises au cours de l’année écoulée garantiraient un partage équitable des responsabilités entre les États membres de l’UE, qui seraient ainsi chacun en mesure de faire face à la situation.</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L’élimination des incitations à la migration irrégulière passe aussi par l’amélioration des conditions de vie dans les pays d’origine, la coopération avec les principaux pays de transit tels que la Turquie, la mise en place de filières de migration légales et fiables et le retour et la réadmission effectifs, systématiques et rapides des personnes qui n’ont pas le droit de rester.</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r>
        <w:rPr>
          <w:rFonts w:ascii="Times New Roman" w:hAnsi="Times New Roman"/>
          <w:i/>
          <w:noProof/>
          <w:lang w:val="fr-FR"/>
        </w:rPr>
        <w:t>L’Union européenne a l’obligation juridique et morale, et il relève de sa responsabilité historique, d’offrir une protection à ceux qui en ont besoin. Collectivement, l’Europe est capable – et a le devoir – de gérer la crise des réfugiés. À cette fin, l’ensemble des pays, des institutions et des agences de l’UE doivent déployer des efforts concertés sur plusieurs fronts pour mettre en œuvre ce qui a été convenu. La Commission continuera de consacrer toute son énergie à aider et à soutenir les États membres dans l’exercice de leurs responsabilités.</w:t>
      </w: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i/>
          <w:noProof/>
          <w:lang w:val="fr-FR"/>
        </w:rPr>
      </w:pPr>
    </w:p>
    <w:p>
      <w:pPr>
        <w:spacing w:after="0" w:line="240" w:lineRule="auto"/>
        <w:jc w:val="both"/>
        <w:rPr>
          <w:rFonts w:ascii="Times New Roman" w:hAnsi="Times New Roman"/>
          <w:b/>
          <w:noProof/>
          <w:u w:val="single"/>
        </w:rPr>
      </w:pPr>
      <w:r>
        <w:rPr>
          <w:rFonts w:ascii="Times New Roman" w:hAnsi="Times New Roman"/>
          <w:b/>
          <w:noProof/>
          <w:u w:val="single"/>
        </w:rPr>
        <w:t>Annexes</w:t>
      </w:r>
    </w:p>
    <w:p>
      <w:pPr>
        <w:pStyle w:val="ListParagraph1"/>
        <w:numPr>
          <w:ilvl w:val="0"/>
          <w:numId w:val="2"/>
        </w:numPr>
        <w:spacing w:after="0" w:line="240" w:lineRule="auto"/>
        <w:rPr>
          <w:rFonts w:ascii="Times New Roman" w:hAnsi="Times New Roman"/>
          <w:b/>
          <w:i/>
          <w:noProof/>
          <w:lang w:val="fr-FR"/>
        </w:rPr>
      </w:pPr>
      <w:r>
        <w:rPr>
          <w:rFonts w:ascii="Times New Roman" w:hAnsi="Times New Roman"/>
          <w:noProof/>
          <w:lang w:val="fr-FR"/>
        </w:rPr>
        <w:lastRenderedPageBreak/>
        <w:t>Annexe 1: Plan d’action commun UE-Turquie – Rapport de mise en œuvre</w:t>
      </w:r>
      <w:r>
        <w:rPr>
          <w:rFonts w:ascii="Times New Roman" w:hAnsi="Times New Roman"/>
          <w:noProof/>
          <w:lang w:val="fr-FR"/>
        </w:rPr>
        <w:tab/>
      </w:r>
      <w:r>
        <w:rPr>
          <w:rFonts w:ascii="Times New Roman" w:hAnsi="Times New Roman"/>
          <w:noProof/>
          <w:lang w:val="fr-FR"/>
        </w:rPr>
        <w:tab/>
      </w:r>
    </w:p>
    <w:p>
      <w:pPr>
        <w:pStyle w:val="ListParagraph1"/>
        <w:numPr>
          <w:ilvl w:val="0"/>
          <w:numId w:val="2"/>
        </w:numPr>
        <w:spacing w:after="0" w:line="240" w:lineRule="auto"/>
        <w:rPr>
          <w:rFonts w:ascii="Times New Roman" w:hAnsi="Times New Roman"/>
          <w:noProof/>
          <w:lang w:val="fr-FR"/>
        </w:rPr>
      </w:pPr>
      <w:r>
        <w:rPr>
          <w:rFonts w:ascii="Times New Roman" w:hAnsi="Times New Roman"/>
          <w:noProof/>
          <w:lang w:val="fr-FR"/>
        </w:rPr>
        <w:t>Annexe 2: Grèce – État des lieux</w:t>
      </w:r>
      <w:r>
        <w:rPr>
          <w:rFonts w:ascii="Times New Roman" w:hAnsi="Times New Roman"/>
          <w:noProof/>
          <w:lang w:val="fr-FR"/>
        </w:rPr>
        <w:tab/>
      </w:r>
      <w:r>
        <w:rPr>
          <w:rFonts w:ascii="Times New Roman" w:hAnsi="Times New Roman"/>
          <w:noProof/>
          <w:lang w:val="fr-FR"/>
        </w:rPr>
        <w:tab/>
      </w:r>
      <w:r>
        <w:rPr>
          <w:rFonts w:ascii="Times New Roman" w:hAnsi="Times New Roman"/>
          <w:noProof/>
          <w:lang w:val="fr-FR"/>
        </w:rPr>
        <w:tab/>
      </w:r>
    </w:p>
    <w:p>
      <w:pPr>
        <w:pStyle w:val="ListParagraph1"/>
        <w:numPr>
          <w:ilvl w:val="0"/>
          <w:numId w:val="2"/>
        </w:numPr>
        <w:spacing w:after="0" w:line="240" w:lineRule="auto"/>
        <w:rPr>
          <w:rFonts w:ascii="Times New Roman" w:hAnsi="Times New Roman"/>
          <w:b/>
          <w:i/>
          <w:noProof/>
          <w:lang w:val="fr-FR"/>
        </w:rPr>
      </w:pPr>
      <w:r>
        <w:rPr>
          <w:rFonts w:ascii="Times New Roman" w:hAnsi="Times New Roman"/>
          <w:noProof/>
          <w:lang w:val="fr-FR"/>
        </w:rPr>
        <w:t>Annexe 3: Italie – État des lieux</w:t>
      </w:r>
      <w:r>
        <w:rPr>
          <w:rFonts w:ascii="Times New Roman" w:hAnsi="Times New Roman"/>
          <w:noProof/>
          <w:lang w:val="fr-FR"/>
        </w:rPr>
        <w:tab/>
      </w:r>
      <w:r>
        <w:rPr>
          <w:rFonts w:ascii="Times New Roman" w:hAnsi="Times New Roman"/>
          <w:noProof/>
          <w:lang w:val="fr-FR"/>
        </w:rPr>
        <w:tab/>
      </w:r>
      <w:r>
        <w:rPr>
          <w:rFonts w:ascii="Times New Roman" w:hAnsi="Times New Roman"/>
          <w:noProof/>
          <w:lang w:val="fr-FR"/>
        </w:rPr>
        <w:tab/>
      </w:r>
    </w:p>
    <w:p>
      <w:pPr>
        <w:pStyle w:val="ListParagraph1"/>
        <w:numPr>
          <w:ilvl w:val="0"/>
          <w:numId w:val="2"/>
        </w:numPr>
        <w:spacing w:after="0" w:line="240" w:lineRule="auto"/>
        <w:rPr>
          <w:rFonts w:ascii="Times New Roman" w:hAnsi="Times New Roman"/>
          <w:noProof/>
          <w:lang w:val="fr-FR"/>
        </w:rPr>
      </w:pPr>
      <w:r>
        <w:rPr>
          <w:rFonts w:ascii="Times New Roman" w:hAnsi="Times New Roman"/>
          <w:noProof/>
          <w:lang w:val="fr-FR"/>
        </w:rPr>
        <w:t>Annexe 4: Relocalisation – Tableau d’état des lieux</w:t>
      </w:r>
      <w:r>
        <w:rPr>
          <w:rFonts w:ascii="Times New Roman" w:hAnsi="Times New Roman"/>
          <w:noProof/>
          <w:lang w:val="fr-FR"/>
        </w:rPr>
        <w:tab/>
      </w:r>
      <w:r>
        <w:rPr>
          <w:rFonts w:ascii="Times New Roman" w:hAnsi="Times New Roman"/>
          <w:noProof/>
          <w:lang w:val="fr-FR"/>
        </w:rPr>
        <w:tab/>
      </w:r>
      <w:r>
        <w:rPr>
          <w:rFonts w:ascii="Times New Roman" w:hAnsi="Times New Roman"/>
          <w:noProof/>
          <w:lang w:val="fr-FR"/>
        </w:rPr>
        <w:tab/>
      </w:r>
      <w:r>
        <w:rPr>
          <w:rFonts w:ascii="Times New Roman" w:hAnsi="Times New Roman"/>
          <w:noProof/>
          <w:lang w:val="fr-FR"/>
        </w:rPr>
        <w:tab/>
      </w:r>
    </w:p>
    <w:p>
      <w:pPr>
        <w:pStyle w:val="ListParagraph1"/>
        <w:numPr>
          <w:ilvl w:val="0"/>
          <w:numId w:val="2"/>
        </w:numPr>
        <w:spacing w:after="0" w:line="240" w:lineRule="auto"/>
        <w:rPr>
          <w:rFonts w:ascii="Times New Roman" w:hAnsi="Times New Roman"/>
          <w:noProof/>
          <w:lang w:val="fr-FR"/>
        </w:rPr>
      </w:pPr>
      <w:r>
        <w:rPr>
          <w:rFonts w:ascii="Times New Roman" w:hAnsi="Times New Roman"/>
          <w:noProof/>
          <w:lang w:val="fr-FR"/>
        </w:rPr>
        <w:t>Annexe 5: Suivi donné au sommet sur la route des Balkans occidentaux – État des lieux</w:t>
      </w:r>
      <w:r>
        <w:rPr>
          <w:rFonts w:ascii="Times New Roman" w:hAnsi="Times New Roman"/>
          <w:noProof/>
          <w:lang w:val="fr-FR"/>
        </w:rPr>
        <w:tab/>
      </w:r>
    </w:p>
    <w:p>
      <w:pPr>
        <w:pStyle w:val="ListParagraph1"/>
        <w:numPr>
          <w:ilvl w:val="0"/>
          <w:numId w:val="2"/>
        </w:numPr>
        <w:spacing w:after="0" w:line="240" w:lineRule="auto"/>
        <w:rPr>
          <w:rFonts w:ascii="Times New Roman" w:hAnsi="Times New Roman"/>
          <w:noProof/>
          <w:lang w:val="fr-FR"/>
        </w:rPr>
      </w:pPr>
      <w:r>
        <w:rPr>
          <w:rFonts w:ascii="Times New Roman" w:hAnsi="Times New Roman"/>
          <w:noProof/>
          <w:lang w:val="fr-FR"/>
        </w:rPr>
        <w:t>Annexe 6: Actions en cours contribuant à la protection des enfants migrants</w:t>
      </w:r>
    </w:p>
    <w:p>
      <w:pPr>
        <w:pStyle w:val="ListParagraph1"/>
        <w:numPr>
          <w:ilvl w:val="0"/>
          <w:numId w:val="2"/>
        </w:numPr>
        <w:spacing w:after="0" w:line="240" w:lineRule="auto"/>
        <w:rPr>
          <w:rFonts w:ascii="Times New Roman" w:hAnsi="Times New Roman"/>
          <w:noProof/>
          <w:lang w:val="fr-FR"/>
        </w:rPr>
      </w:pPr>
      <w:r>
        <w:rPr>
          <w:rFonts w:ascii="Times New Roman" w:hAnsi="Times New Roman"/>
          <w:noProof/>
          <w:lang w:val="fr-FR"/>
        </w:rPr>
        <w:t>Annexe 7: Promesses financières des États membres aux fonds fiduciaires – Tableau d’état des lieux</w:t>
      </w:r>
      <w:r>
        <w:rPr>
          <w:rFonts w:ascii="Times New Roman" w:hAnsi="Times New Roman"/>
          <w:noProof/>
          <w:lang w:val="fr-FR"/>
        </w:rPr>
        <w:tab/>
      </w:r>
      <w:r>
        <w:rPr>
          <w:rFonts w:ascii="Times New Roman" w:hAnsi="Times New Roman"/>
          <w:noProof/>
          <w:lang w:val="fr-FR"/>
        </w:rPr>
        <w:tab/>
      </w:r>
    </w:p>
    <w:p>
      <w:pPr>
        <w:pStyle w:val="ListParagraph1"/>
        <w:numPr>
          <w:ilvl w:val="0"/>
          <w:numId w:val="2"/>
        </w:numPr>
        <w:spacing w:after="0" w:line="240" w:lineRule="auto"/>
        <w:rPr>
          <w:rFonts w:ascii="Times New Roman" w:hAnsi="Times New Roman"/>
          <w:noProof/>
          <w:lang w:val="fr-FR"/>
        </w:rPr>
      </w:pPr>
      <w:r>
        <w:rPr>
          <w:rFonts w:ascii="Times New Roman" w:hAnsi="Times New Roman"/>
          <w:noProof/>
          <w:lang w:val="fr-FR"/>
        </w:rPr>
        <w:t>Annexe 8: Mise en œuvre du droit de l’UE – État des lieux</w:t>
      </w:r>
    </w:p>
    <w:p>
      <w:pPr>
        <w:pStyle w:val="ListParagraph1"/>
        <w:numPr>
          <w:ilvl w:val="0"/>
          <w:numId w:val="2"/>
        </w:numPr>
        <w:spacing w:after="0" w:line="240" w:lineRule="auto"/>
        <w:rPr>
          <w:rFonts w:ascii="Times New Roman" w:hAnsi="Times New Roman"/>
          <w:noProof/>
          <w:lang w:val="fr-FR"/>
        </w:rPr>
      </w:pPr>
      <w:r>
        <w:rPr>
          <w:rFonts w:ascii="Times New Roman" w:hAnsi="Times New Roman"/>
          <w:noProof/>
          <w:lang w:val="fr-FR"/>
        </w:rPr>
        <w:t>Annexe 9: Soutien accepté des États membres au mécanisme de protection civile en faveur de la Serbie, de la Slovénie, de la Croatie et de la Grèce</w:t>
      </w:r>
    </w:p>
    <w:p>
      <w:pPr>
        <w:pStyle w:val="ListParagraph1"/>
        <w:spacing w:after="0" w:line="240" w:lineRule="auto"/>
        <w:rPr>
          <w:rFonts w:ascii="Times New Roman" w:hAnsi="Times New Roman"/>
          <w:noProof/>
          <w:lang w:val="fr-FR"/>
        </w:rPr>
      </w:pPr>
    </w:p>
    <w:p>
      <w:pPr>
        <w:spacing w:after="0" w:line="240" w:lineRule="auto"/>
        <w:jc w:val="both"/>
        <w:rPr>
          <w:rFonts w:ascii="Times New Roman" w:hAnsi="Times New Roman"/>
          <w:noProof/>
          <w:lang w:val="fr-FR"/>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p>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26</w:t>
    </w:r>
    <w:r>
      <w:rPr>
        <w:rFonts w:ascii="Times New Roman" w:hAnsi="Times New Roman"/>
        <w:noProof/>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tabs>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Les moyens d'action de l'opération Triton en Méditerranée centrale ont été triplés en mai et 155 000 personnes ont été secourues entre le 1er janvier 2015 et le 31 janvier 2016. L'action menée en Méditerranée orientale a été intensifiée en décembre 2015, grâce à l'opération conjointe Poséidon, et plus de 107 000 personnes ont été secourues au cours de la même période. </w:t>
      </w:r>
    </w:p>
  </w:footnote>
  <w:footnote w:id="2">
    <w:p>
      <w:pPr>
        <w:pStyle w:val="FootnoteText"/>
        <w:tabs>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Ce centre, doté d'un effectif d'une trentaine de personnes, sera une plateforme d'information, mais il approfondira aussi la coopération entre les organes essentiels que sont les cellules de renseignement financier, l'unité chargée du signalement des contenus sur Internet et les points de contact nationaux des États membres.</w:t>
      </w:r>
    </w:p>
  </w:footnote>
  <w:footnote w:id="3">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lang w:val="fr-FR"/>
        </w:rPr>
        <w:tab/>
      </w:r>
      <w:r>
        <w:rPr>
          <w:rFonts w:ascii="Times New Roman" w:hAnsi="Times New Roman"/>
          <w:lang w:val="fr-FR"/>
        </w:rPr>
        <w:t>Communications de la Commission au Parlement européen et au Conseil: rapports d’avancement sur la mise en place des centres de crise en Grèce et en Italie [COM(2015) 678 final et COM(2015) 679 final du 15 décembre 2015]. Voir annexes 2 et 3.</w:t>
      </w:r>
    </w:p>
  </w:footnote>
  <w:footnote w:id="4">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lang w:val="fr-FR"/>
        </w:rPr>
        <w:tab/>
      </w:r>
      <w:r>
        <w:rPr>
          <w:rFonts w:ascii="Times New Roman" w:hAnsi="Times New Roman"/>
          <w:lang w:val="fr-FR"/>
        </w:rPr>
        <w:t>L'Italie et la Grèce faisaient partie des quatre États membres (les autres étant Chypre et la Croatie) contre lesquels la Commission avait ouvert une procédure d'infraction concernant le règlement Eurodac.</w:t>
      </w:r>
    </w:p>
  </w:footnote>
  <w:footnote w:id="5">
    <w:p>
      <w:pPr>
        <w:pStyle w:val="FootnoteText"/>
        <w:tabs>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L'appel en cours lancé par Frontex a permis d'obtenir 83 % des moyens demandés. L'EASO a demandé 374 experts et 201 lui ont été promis.</w:t>
      </w:r>
      <w:r>
        <w:rPr>
          <w:rFonts w:ascii="Times New Roman" w:hAnsi="Times New Roman"/>
          <w:color w:val="000000"/>
          <w:lang w:val="fr-FR"/>
        </w:rPr>
        <w:t> </w:t>
      </w:r>
    </w:p>
  </w:footnote>
  <w:footnote w:id="6">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lang w:val="fr-FR"/>
        </w:rPr>
        <w:tab/>
      </w:r>
      <w:r>
        <w:rPr>
          <w:rFonts w:ascii="Times New Roman" w:hAnsi="Times New Roman"/>
          <w:lang w:val="fr-FR"/>
        </w:rPr>
        <w:t>Lors du Forum sur la réinstallation et la relocalisation avec les États membres, organisé par la Commission en septembre, les différentes mesures destinées à mettre en œuvre la relocalisation dans la pratique ont été arrêtées.</w:t>
      </w:r>
    </w:p>
  </w:footnote>
  <w:footnote w:id="7">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lang w:val="fr-FR"/>
        </w:rPr>
        <w:tab/>
      </w:r>
      <w:r>
        <w:rPr>
          <w:rFonts w:ascii="Times New Roman" w:hAnsi="Times New Roman"/>
          <w:lang w:val="fr-FR"/>
        </w:rPr>
        <w:t>Notamment une subvention de 20 000 000 EUR accordée en décembre pour soutenir la mise en œuvre en Grèce, ainsi que l'octroi aux États membres d'un montant forfaitaire de 6 000 EUR par personne relocalisée et de 500 EUR au titre de la participation aux coûts de transfert. Ce montant sera versé aux États membres lors de la prochaine mise à disposition de fonds dans le cadre des programmes nationaux au titre du Fonds «Asile, migration et intégration» et du Fonds pour la sécurité intérieure (FSI).</w:t>
      </w:r>
    </w:p>
  </w:footnote>
  <w:footnote w:id="8">
    <w:p>
      <w:pPr>
        <w:pStyle w:val="FootnoteText"/>
        <w:tabs>
          <w:tab w:val="left" w:pos="142"/>
          <w:tab w:val="left" w:pos="284"/>
        </w:tabs>
        <w:ind w:left="284" w:hanging="284"/>
        <w:jc w:val="both"/>
        <w:rPr>
          <w:rFonts w:ascii="Times New Roman" w:hAnsi="Times New Roman"/>
          <w:lang w:val="fr-FR" w:eastAsia="en-GB"/>
        </w:rPr>
      </w:pPr>
      <w:r>
        <w:rPr>
          <w:rStyle w:val="FootnoteReference"/>
          <w:rFonts w:ascii="Times New Roman" w:hAnsi="Times New Roman"/>
        </w:rPr>
        <w:footnoteRef/>
      </w:r>
      <w:r>
        <w:rPr>
          <w:rFonts w:ascii="Times New Roman" w:hAnsi="Times New Roman"/>
          <w:lang w:val="fr-FR"/>
        </w:rPr>
        <w:t xml:space="preserve"> </w:t>
      </w:r>
      <w:r>
        <w:rPr>
          <w:lang w:val="fr-FR"/>
        </w:rPr>
        <w:tab/>
      </w:r>
      <w:r>
        <w:rPr>
          <w:lang w:val="fr-FR"/>
        </w:rPr>
        <w:tab/>
      </w:r>
      <w:r>
        <w:rPr>
          <w:rFonts w:ascii="Times New Roman" w:hAnsi="Times New Roman"/>
          <w:lang w:val="fr-FR"/>
        </w:rPr>
        <w:t>Anglais, français, espagnol, italien, portugais, arabe, farsi, arménien, pachto, russe, somali, albanais, tigrigna et ourdou.</w:t>
      </w:r>
    </w:p>
  </w:footnote>
  <w:footnote w:id="9">
    <w:p>
      <w:pPr>
        <w:pStyle w:val="FootnoteText"/>
        <w:tabs>
          <w:tab w:val="left" w:pos="142"/>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r>
      <w:r>
        <w:rPr>
          <w:rFonts w:ascii="Times New Roman" w:hAnsi="Times New Roman"/>
          <w:lang w:val="fr-FR"/>
        </w:rPr>
        <w:tab/>
        <w:t>Ainsi qu'un programme régional supplémentaire d'un montant de 8 000 000 EUR.</w:t>
      </w:r>
    </w:p>
  </w:footnote>
  <w:footnote w:id="10">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 xml:space="preserve">Voir l'annexe 7. Jusqu'à présent, 654 000 000 EUR ont été engagés en faveur du Fonds fiduciaire pour la Syrie: 594 000 000 EUR proviennent du budget de l'UE, mais seulement 60 500 000 EUR de 19 États membres. </w:t>
      </w:r>
    </w:p>
  </w:footnote>
  <w:footnote w:id="11">
    <w:p>
      <w:pPr>
        <w:pStyle w:val="FootnoteText"/>
        <w:tabs>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Voir l'annexe 7.</w:t>
      </w:r>
    </w:p>
  </w:footnote>
  <w:footnote w:id="12">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Cela concerne par exemple: au Mali, trois projets d'un montant total de 43 500 000 EUR, destinés à soutenir les pouvoirs locaux et les populations vulnérables dans le nord du Mali et à créer des emplois dans les autres régions du pays; au Niger, deux projets d'un montant total de 32 000 000 EUR, à mettre en œuvre dans la région d'Agadez afin d'aider les autorités à gérer les flux migratoires et à promouvoir des alternatives durables à la migration irrégulière; au Sénégal, un projet d'un montant de 8 000 000 EUR, destiné à aider les populations les plus vulnérables du pays en améliorant les conditions de vie et la résilience des communautés locales; dans le cadre du processus de Khartoum, un projet d'un montant de 40 000 000 EUR, visant à mieux gérer la migration grâce à un renforcement des capacités et à la fourniture d'équipements de base, à la mise au point de politiques et de législations dans le domaine du trafic de migrants et à une sensibilisation des populations aux dangers de la migration irrégulière; en Éthiopie, un projet d'un montant de 20 000 000 EUR, destiné à améliorer les conditions de vie des migrants et des personnes soumises à un retour grâce à la formation professionnelle, au microfinancement et à la création d'emplois, en vue d'instaurer des conditions propices au retour et à la réintégration des réfugiés éthiopiens; en Somalie, un projet d'un montant de 50 000 000 EUR, destiné à soutenir la gestion du retour volontaire des réfugiés somaliens dans les régions stables de Somalie, en instaurant un environnement favorable à leur retour et à leur réintégration.</w:t>
      </w:r>
    </w:p>
  </w:footnote>
  <w:footnote w:id="13">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Le plan d'action commun a été activé lors du sommet entre les chefs d'État ou de gouvernement de l'UE et leurs homologues turcs, qui s'est tenu le 29 novembre 2015. Voir l'annexe 1.</w:t>
      </w:r>
    </w:p>
  </w:footnote>
  <w:footnote w:id="14">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 xml:space="preserve">Deux en Italie et un en Grèce. </w:t>
      </w:r>
    </w:p>
  </w:footnote>
  <w:footnote w:id="15">
    <w:p>
      <w:pPr>
        <w:pStyle w:val="FootnoteText"/>
        <w:tabs>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Cet appui doit également être maintenu lorsque le mandat des experts arrive à expiration: le risque de coup d'arrêt dans les avancées obtenues est bien réel si les experts sont renvoyés chez eux sans être remplacés.</w:t>
      </w:r>
    </w:p>
  </w:footnote>
  <w:footnote w:id="16">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Voir l'annexe 2.</w:t>
      </w:r>
    </w:p>
  </w:footnote>
  <w:footnote w:id="17">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Voir l'annexe 3.</w:t>
      </w:r>
    </w:p>
  </w:footnote>
  <w:footnote w:id="18">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Lampedusa (depuis octobre 2015) et Pozzallo (depuis le 19 janvier 2016).</w:t>
      </w:r>
    </w:p>
  </w:footnote>
  <w:footnote w:id="19">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Communication de la Commission au Parlement européen, au Conseil européen et au Conseil - Gestion de la crise des réfugiés: état d’avancement de la mise en œuvre des actions prioritaires prévues par l’agenda européen en matière de migration, COM(2015) 510 final du 14 octobre 2015.</w:t>
      </w:r>
    </w:p>
  </w:footnote>
  <w:footnote w:id="20">
    <w:p>
      <w:pPr>
        <w:pStyle w:val="FootnoteText"/>
        <w:tabs>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 xml:space="preserve">Recommandation de la Commission adressée à la République hellénique sur les mesures urgentes à prendre en Grèce dans la perspective de la reprise des transferts prévus par le règlement (UE) n° 604/2013 [C(2016) 871 du 10 février 2016]. </w:t>
      </w:r>
    </w:p>
  </w:footnote>
  <w:footnote w:id="21">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Lors du Forum sur la réinstallation et la relocalisation avec les États membres, organisé par la Commission en septembre, les différentes mesures destinées à mettre en œuvre la relocalisation dans la pratique ont été arrêtées.</w:t>
      </w:r>
    </w:p>
  </w:footnote>
  <w:footnote w:id="22">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Parmi les 40 000 places prévues par le premier programme de relocalisation, 8 000 restent de plus encore à attribuer à un État membre.</w:t>
      </w:r>
    </w:p>
  </w:footnote>
  <w:footnote w:id="23">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Chiffres à la date du 8 février 2016. Voir l'annexe 4 pour plus de précisions.</w:t>
      </w:r>
    </w:p>
  </w:footnote>
  <w:footnote w:id="24">
    <w:p>
      <w:pPr>
        <w:tabs>
          <w:tab w:val="left" w:pos="142"/>
          <w:tab w:val="left" w:pos="284"/>
        </w:tabs>
        <w:spacing w:after="0" w:line="240" w:lineRule="auto"/>
        <w:ind w:left="284" w:hanging="284"/>
        <w:jc w:val="both"/>
        <w:rPr>
          <w:rFonts w:ascii="Times New Roman" w:hAnsi="Times New Roman"/>
          <w:sz w:val="20"/>
          <w:szCs w:val="20"/>
          <w:lang w:val="fr-FR"/>
        </w:rPr>
      </w:pPr>
      <w:r>
        <w:rPr>
          <w:rStyle w:val="FootnoteReference"/>
          <w:rFonts w:ascii="Times New Roman" w:hAnsi="Times New Roman"/>
          <w:sz w:val="20"/>
        </w:rPr>
        <w:footnoteRef/>
      </w:r>
      <w:r>
        <w:rPr>
          <w:rFonts w:ascii="Times New Roman" w:hAnsi="Times New Roman"/>
          <w:sz w:val="20"/>
          <w:lang w:val="fr-FR"/>
        </w:rPr>
        <w:t xml:space="preserve"> </w:t>
      </w:r>
      <w:r>
        <w:rPr>
          <w:rFonts w:ascii="Times New Roman" w:hAnsi="Times New Roman"/>
          <w:sz w:val="20"/>
          <w:lang w:val="fr-FR"/>
        </w:rPr>
        <w:tab/>
        <w:t>Ces mesures s’appliquent tant aux frontières extérieures qu'aux frontières intérieures où les contrôles aux frontières ont été rétablis. Un État membre peut également autoriser l’entrée sur son territoire même si les conditions d’entrée ne sont pas remplies, pour des raisons humanitaires; il doit alors en informer les autres États membres.</w:t>
      </w:r>
    </w:p>
  </w:footnote>
  <w:footnote w:id="25">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La réintroduction des contrôles aux frontières intérieures en Hongrie et en Slovénie a pris fin. La France et Malte ont également effectué des contrôles aux frontières intérieures, pour des raisons non liées à la crise migratoire.</w:t>
      </w:r>
    </w:p>
  </w:footnote>
  <w:footnote w:id="26">
    <w:p>
      <w:pPr>
        <w:pStyle w:val="FootnoteText"/>
        <w:tabs>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 xml:space="preserve">Selon France Stratégie, les échanges entre pays de l'espace Schengen pourraient être réduits d’au moins 10 % par la réintroduction permanente des contrôles aux frontières intérieures. </w:t>
      </w:r>
    </w:p>
  </w:footnote>
  <w:footnote w:id="27">
    <w:p>
      <w:pPr>
        <w:pStyle w:val="FootnoteText"/>
        <w:tabs>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Selon l'hypothèse la plus probable, cette réintroduction entraînerait des coûts supplémentaires à hauteur de 7 100 000 000 EUR et l'incidence sur les transporteurs routiers engendrerait des coûts représentant 3 400 000 000 EUR supplémentaires par an (en cas de retard moyen d'une heure à la frontière) et plus de 6 700 000 000 EUR par an (en cas de retard moyen de deux heures); au moins 57 millions d'opérations de transport routier international seraient concernées. Pour les passagers, le transport terrestre serait le plus touché par un temps de voyage supplémentaire, les retards et les encombrements (2 600 000 000 EUR par an), tandis que les procédures de contrôle des documents supplémentaires représenteraient un coût de quelque 1 100 000 000 EUR par an pour les budgets des États membres.</w:t>
      </w:r>
    </w:p>
  </w:footnote>
  <w:footnote w:id="28">
    <w:p>
      <w:pPr>
        <w:tabs>
          <w:tab w:val="left" w:pos="284"/>
        </w:tabs>
        <w:spacing w:after="0" w:line="240" w:lineRule="auto"/>
        <w:ind w:left="284" w:hanging="284"/>
        <w:jc w:val="both"/>
        <w:rPr>
          <w:rFonts w:ascii="Times New Roman" w:hAnsi="Times New Roman"/>
          <w:lang w:val="fr-FR"/>
        </w:rPr>
      </w:pPr>
      <w:r>
        <w:rPr>
          <w:rStyle w:val="FootnoteReference"/>
          <w:rFonts w:ascii="Times New Roman" w:hAnsi="Times New Roman"/>
          <w:sz w:val="20"/>
        </w:rPr>
        <w:footnoteRef/>
      </w:r>
      <w:r>
        <w:rPr>
          <w:rFonts w:ascii="Times New Roman" w:hAnsi="Times New Roman"/>
          <w:sz w:val="20"/>
          <w:lang w:val="fr-FR"/>
        </w:rPr>
        <w:t xml:space="preserve"> </w:t>
      </w:r>
      <w:r>
        <w:rPr>
          <w:rFonts w:ascii="Times New Roman" w:hAnsi="Times New Roman"/>
          <w:sz w:val="20"/>
          <w:lang w:val="fr-FR"/>
        </w:rPr>
        <w:tab/>
        <w:t>La part de travailleurs frontaliers est particulièrement élevée en Slovaquie (5,7 %), en Estonie (3,5 %), en Hongrie (2,4 %) et en Belgique (2,3 %).</w:t>
      </w:r>
    </w:p>
  </w:footnote>
  <w:footnote w:id="29">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Proposition de règlement du Parlement européen et du Conseil relatif au corps européen de garde-frontières et de garde-côtes et abrogeant le règlement (CE) nº 2007/2004, le règlement (CE) nº 863/2007 et la décision 2005/267/CE du Conseil [COM(2015) 671 final du 15.12.2015].</w:t>
      </w:r>
    </w:p>
  </w:footnote>
  <w:footnote w:id="30">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 xml:space="preserve">La proposition sera également complétée par une proposition relative aux frontières intelligentes, visant à améliorer l’efficience, l’efficacité et la sécurité des frontières extérieures de l’Union en utilisant des technologies destinées à soutenir la gestion de Schengen. </w:t>
      </w:r>
    </w:p>
  </w:footnote>
  <w:footnote w:id="31">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Proposition de règlement du Parlement européen et du Conseil modifiant le règlement (CE) n° 562/2006 en ce qui concerne le renforcement des vérifications dans les bases de données pertinentes aux frontières extérieures [COM(2015) 670 final du 15.12.2015].</w:t>
      </w:r>
    </w:p>
  </w:footnote>
  <w:footnote w:id="32">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 xml:space="preserve">Ce principe, consacré par le droit de l'Union et le droit international, interdit l’expulsion ou le renvoi d’un réfugié aux frontières des territoires où sa vie ou sa liberté serait menacée en raison de sa race, de sa religion, de sa nationalité, de son appartenance à un certain groupe social ou de ses opinions politiques. </w:t>
      </w:r>
    </w:p>
  </w:footnote>
  <w:footnote w:id="33">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Plan d’action pour les mineurs non accompagnés (2010-2014), COM(2010) 213 final du 6.5.2010.</w:t>
      </w:r>
    </w:p>
  </w:footnote>
  <w:footnote w:id="34">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Communication de la Commission au Parlement européen et au Conseil: plan d’action de l’UE en matière de retour [COM(2015) 453 final du 9.9.2015].</w:t>
      </w:r>
    </w:p>
  </w:footnote>
  <w:footnote w:id="35">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Proposition de règlement du Parlement européen et du Conseil relatif à un document de voyage européen destiné au retour de ressortissants de pays tiers en séjour irrégulier [COM(2015) 668 final du 15.12.2015].</w:t>
      </w:r>
    </w:p>
  </w:footnote>
  <w:footnote w:id="36">
    <w:p>
      <w:pPr>
        <w:pStyle w:val="FootnoteText"/>
        <w:tabs>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Les opérations nationales de retour qui n'ont pas été effectuées avec l’aide de Frontex ne sont pas prises en compte.</w:t>
      </w:r>
    </w:p>
  </w:footnote>
  <w:footnote w:id="37">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À cet égard, une attention particulière sera accordée aux principaux pays d’origine et de transit des migrants en situation irrégulière arrivant dans l’UE, tels que l’Afghanistan, l’Algérie, le Bangladesh, la Côte d’Ivoire, l’Éthiopie, le Ghana, le Mali, le Maroc, le Niger, le Nigeria, le Pakistan, le Sénégal, la Somalie, le Soudan et la Tunisie.</w:t>
      </w:r>
    </w:p>
  </w:footnote>
  <w:footnote w:id="38">
    <w:p>
      <w:pPr>
        <w:pStyle w:val="FootnoteText"/>
        <w:tabs>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Lors d’une conférence de presse donnée le 5 février 2016, le ministre grec de l’intérieur, M. Kouroumplis, a déclaré que la Grèce considérait la Turquie comme un «pays tiers de passage sûr».</w:t>
      </w:r>
    </w:p>
  </w:footnote>
  <w:footnote w:id="39">
    <w:p>
      <w:pPr>
        <w:pStyle w:val="FootnoteText"/>
        <w:tabs>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Article 38, paragraphe 1, point e), de la directive 2013/32/UE relative aux procédures d’asile.</w:t>
      </w:r>
    </w:p>
  </w:footnote>
  <w:footnote w:id="40">
    <w:p>
      <w:pPr>
        <w:pStyle w:val="FootnoteText"/>
        <w:tabs>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Une liste des domaines prioritaires figure à l’appendice de l’annexe 1.</w:t>
      </w:r>
    </w:p>
  </w:footnote>
  <w:footnote w:id="41">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Élément important de la feuille de route sur la libéralisation du régime des visas avec la Turquie.</w:t>
      </w:r>
    </w:p>
  </w:footnote>
  <w:footnote w:id="42">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Conformément au plan d’action commun, la Commission a présenté des mesures visant à avancer la date d’application de cette disposition du 1</w:t>
      </w:r>
      <w:r>
        <w:rPr>
          <w:rFonts w:ascii="Times New Roman" w:hAnsi="Times New Roman"/>
          <w:vertAlign w:val="superscript"/>
          <w:lang w:val="fr-FR"/>
        </w:rPr>
        <w:t>er</w:t>
      </w:r>
      <w:r>
        <w:rPr>
          <w:rFonts w:ascii="Times New Roman" w:hAnsi="Times New Roman"/>
          <w:lang w:val="fr-FR"/>
        </w:rPr>
        <w:t xml:space="preserve"> octobre 2017 au 1</w:t>
      </w:r>
      <w:r>
        <w:rPr>
          <w:rFonts w:ascii="Times New Roman" w:hAnsi="Times New Roman"/>
          <w:vertAlign w:val="superscript"/>
          <w:lang w:val="fr-FR"/>
        </w:rPr>
        <w:t>er</w:t>
      </w:r>
      <w:r>
        <w:rPr>
          <w:rFonts w:ascii="Times New Roman" w:hAnsi="Times New Roman"/>
          <w:lang w:val="fr-FR"/>
        </w:rPr>
        <w:t xml:space="preserve"> juin 2016.</w:t>
      </w:r>
    </w:p>
  </w:footnote>
  <w:footnote w:id="43">
    <w:p>
      <w:pPr>
        <w:pStyle w:val="PlainText"/>
        <w:tabs>
          <w:tab w:val="left" w:pos="284"/>
        </w:tabs>
        <w:spacing w:after="0" w:line="240" w:lineRule="auto"/>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Selon les estimations, la population africaine, constituée pour 60 % de personnes âgées de 24 ans et moins, devrait augmenter de presque 500 millions de personnes d’ici à 2030 – source: Nations unies, département des affaires économiques et sociales, division de la population (2015).</w:t>
      </w:r>
    </w:p>
  </w:footnote>
  <w:footnote w:id="44">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Recommandation de la Commission du 8.6.2015 concernant un programme européen de réinstallation, C(2015) 3560 final.</w:t>
      </w:r>
    </w:p>
  </w:footnote>
  <w:footnote w:id="45">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Belgique (123), République tchèque (16), Irlande (163), Italie (96), Pays-Bas (220), Royaume-Uni (1 000), Liechtenstein (20), Suisse (387).</w:t>
      </w:r>
    </w:p>
  </w:footnote>
  <w:footnote w:id="46">
    <w:p>
      <w:pPr>
        <w:pStyle w:val="FootnoteText"/>
        <w:tabs>
          <w:tab w:val="left" w:pos="142"/>
          <w:tab w:val="left" w:pos="284"/>
        </w:tabs>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lang w:val="fr-FR"/>
        </w:rPr>
        <w:tab/>
        <w:t>Recommandation de la Commission du 15.12.2015 relative à l’établissement d’un programme d’admission humanitaire volontaire en association avec la Turquie, C(2015) 9490.</w:t>
      </w:r>
    </w:p>
  </w:footnote>
  <w:footnote w:id="47">
    <w:p>
      <w:pPr>
        <w:pStyle w:val="FootnoteText"/>
        <w:tabs>
          <w:tab w:val="left" w:pos="142"/>
          <w:tab w:val="left" w:pos="284"/>
        </w:tabs>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Voir l’annexe 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B32C2"/>
    <w:multiLevelType w:val="hybridMultilevel"/>
    <w:tmpl w:val="FE887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7C752E"/>
    <w:multiLevelType w:val="hybridMultilevel"/>
    <w:tmpl w:val="BFD4A8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0B29C9"/>
    <w:multiLevelType w:val="hybridMultilevel"/>
    <w:tmpl w:val="4A96C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6A6E4E"/>
    <w:multiLevelType w:val="hybridMultilevel"/>
    <w:tmpl w:val="FE9E98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D982B74"/>
    <w:multiLevelType w:val="hybridMultilevel"/>
    <w:tmpl w:val="876A4C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F4B56A7"/>
    <w:multiLevelType w:val="hybridMultilevel"/>
    <w:tmpl w:val="8D3CD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5B6A35"/>
    <w:multiLevelType w:val="hybridMultilevel"/>
    <w:tmpl w:val="7A7443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6697DA4"/>
    <w:multiLevelType w:val="hybridMultilevel"/>
    <w:tmpl w:val="98F8F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BF15D2"/>
    <w:multiLevelType w:val="hybridMultilevel"/>
    <w:tmpl w:val="C0368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7191B09"/>
    <w:multiLevelType w:val="hybridMultilevel"/>
    <w:tmpl w:val="DC96F4B6"/>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A330C2"/>
    <w:multiLevelType w:val="hybridMultilevel"/>
    <w:tmpl w:val="78DE4384"/>
    <w:lvl w:ilvl="0" w:tplc="08090003">
      <w:start w:val="1"/>
      <w:numFmt w:val="bullet"/>
      <w:lvlText w:val="o"/>
      <w:lvlJc w:val="left"/>
      <w:pPr>
        <w:ind w:left="1437" w:hanging="360"/>
      </w:pPr>
      <w:rPr>
        <w:rFonts w:ascii="Courier New" w:hAnsi="Courier New" w:hint="default"/>
      </w:rPr>
    </w:lvl>
    <w:lvl w:ilvl="1" w:tplc="08090003" w:tentative="1">
      <w:start w:val="1"/>
      <w:numFmt w:val="bullet"/>
      <w:lvlText w:val="o"/>
      <w:lvlJc w:val="left"/>
      <w:pPr>
        <w:ind w:left="2157" w:hanging="360"/>
      </w:pPr>
      <w:rPr>
        <w:rFonts w:ascii="Courier New" w:hAnsi="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11">
    <w:nsid w:val="33911060"/>
    <w:multiLevelType w:val="hybridMultilevel"/>
    <w:tmpl w:val="DADA8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1023407"/>
    <w:multiLevelType w:val="hybridMultilevel"/>
    <w:tmpl w:val="6EFC32A8"/>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41813F68"/>
    <w:multiLevelType w:val="hybridMultilevel"/>
    <w:tmpl w:val="15CA24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4">
    <w:nsid w:val="46027359"/>
    <w:multiLevelType w:val="hybridMultilevel"/>
    <w:tmpl w:val="FE4E7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B8B6838"/>
    <w:multiLevelType w:val="hybridMultilevel"/>
    <w:tmpl w:val="22F67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C0052FC"/>
    <w:multiLevelType w:val="hybridMultilevel"/>
    <w:tmpl w:val="CA0A7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F54064C"/>
    <w:multiLevelType w:val="hybridMultilevel"/>
    <w:tmpl w:val="7B26D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FB8136E"/>
    <w:multiLevelType w:val="hybridMultilevel"/>
    <w:tmpl w:val="14FEA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55F73CE"/>
    <w:multiLevelType w:val="hybridMultilevel"/>
    <w:tmpl w:val="098A2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6E7352B"/>
    <w:multiLevelType w:val="hybridMultilevel"/>
    <w:tmpl w:val="0D2A5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F713D94"/>
    <w:multiLevelType w:val="hybridMultilevel"/>
    <w:tmpl w:val="2536E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14C6BC9"/>
    <w:multiLevelType w:val="hybridMultilevel"/>
    <w:tmpl w:val="B9CE9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6CF5B75"/>
    <w:multiLevelType w:val="hybridMultilevel"/>
    <w:tmpl w:val="4B40572A"/>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96A6202"/>
    <w:multiLevelType w:val="hybridMultilevel"/>
    <w:tmpl w:val="2EACCE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6AB03B2C"/>
    <w:multiLevelType w:val="hybridMultilevel"/>
    <w:tmpl w:val="6DB2A6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7B17622E"/>
    <w:multiLevelType w:val="hybridMultilevel"/>
    <w:tmpl w:val="71CE4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BA415DC"/>
    <w:multiLevelType w:val="hybridMultilevel"/>
    <w:tmpl w:val="A3BCE8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7E0D0D1E"/>
    <w:multiLevelType w:val="hybridMultilevel"/>
    <w:tmpl w:val="B1FC9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9"/>
  </w:num>
  <w:num w:numId="3">
    <w:abstractNumId w:val="1"/>
  </w:num>
  <w:num w:numId="4">
    <w:abstractNumId w:val="27"/>
  </w:num>
  <w:num w:numId="5">
    <w:abstractNumId w:val="20"/>
  </w:num>
  <w:num w:numId="6">
    <w:abstractNumId w:val="13"/>
  </w:num>
  <w:num w:numId="7">
    <w:abstractNumId w:val="18"/>
  </w:num>
  <w:num w:numId="8">
    <w:abstractNumId w:val="16"/>
  </w:num>
  <w:num w:numId="9">
    <w:abstractNumId w:val="15"/>
  </w:num>
  <w:num w:numId="10">
    <w:abstractNumId w:val="0"/>
  </w:num>
  <w:num w:numId="11">
    <w:abstractNumId w:val="24"/>
  </w:num>
  <w:num w:numId="12">
    <w:abstractNumId w:val="11"/>
  </w:num>
  <w:num w:numId="13">
    <w:abstractNumId w:val="25"/>
  </w:num>
  <w:num w:numId="14">
    <w:abstractNumId w:val="3"/>
  </w:num>
  <w:num w:numId="15">
    <w:abstractNumId w:val="4"/>
  </w:num>
  <w:num w:numId="16">
    <w:abstractNumId w:val="10"/>
  </w:num>
  <w:num w:numId="17">
    <w:abstractNumId w:val="9"/>
  </w:num>
  <w:num w:numId="18">
    <w:abstractNumId w:val="23"/>
  </w:num>
  <w:num w:numId="19">
    <w:abstractNumId w:val="21"/>
  </w:num>
  <w:num w:numId="20">
    <w:abstractNumId w:val="28"/>
  </w:num>
  <w:num w:numId="21">
    <w:abstractNumId w:val="28"/>
  </w:num>
  <w:num w:numId="22">
    <w:abstractNumId w:val="17"/>
  </w:num>
  <w:num w:numId="23">
    <w:abstractNumId w:val="7"/>
  </w:num>
  <w:num w:numId="24">
    <w:abstractNumId w:val="2"/>
  </w:num>
  <w:num w:numId="25">
    <w:abstractNumId w:val="22"/>
  </w:num>
  <w:num w:numId="26">
    <w:abstractNumId w:val="5"/>
  </w:num>
  <w:num w:numId="27">
    <w:abstractNumId w:val="8"/>
  </w:num>
  <w:num w:numId="28">
    <w:abstractNumId w:val="7"/>
  </w:num>
  <w:num w:numId="29">
    <w:abstractNumId w:val="26"/>
  </w:num>
  <w:num w:numId="30">
    <w:abstractNumId w:val="14"/>
  </w:num>
  <w:num w:numId="31">
    <w:abstractNumId w:val="12"/>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hideSpellingErrors/>
  <w:hideGrammaticalErrors/>
  <w:revisionView w:markup="0"/>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BE47E0C944304039BA7F18F15D96135A"/>
    <w:docVar w:name="LW_CROSSREFERENCE" w:val="&lt;UNUSED&gt;"/>
    <w:docVar w:name="LW_DocType" w:val="NORMAL"/>
    <w:docVar w:name="LW_EMISSION" w:val="10.2.2016"/>
    <w:docVar w:name="LW_EMISSION_ISODATE" w:val="2016-02-10"/>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85"/>
    <w:docVar w:name="LW_REF.INTERNE" w:val="&lt;UNUSED&gt;"/>
    <w:docVar w:name="LW_SOUS.TITRE.OBJ.CP" w:val="&lt;UNUSED&gt;"/>
    <w:docVar w:name="LW_SUPERTITRE" w:val="&lt;UNUSED&gt;"/>
    <w:docVar w:name="LW_TITRE.OBJ.CP" w:val="sur_x000b_l'état d'avancement de la mise en \u339?uvre des actions prioritaires prévues par l\u8217?agenda européen en matière de migration"/>
    <w:docVar w:name="LW_TYPE.DOC.CP" w:val="COMMUNICATION DE LA COMMISSION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rPr>
  </w:style>
  <w:style w:type="paragraph" w:styleId="Heading3">
    <w:name w:val="heading 3"/>
    <w:basedOn w:val="Normal"/>
    <w:next w:val="Normal"/>
    <w:link w:val="Heading3Char"/>
    <w:uiPriority w:val="9"/>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aliases w:val="Dot pt,F5 List Paragraph,List Paragraph11,No Spacing1,List Paragraph Char Char Char,Indicator Text,Colorful List - Accent 11,Numbered Para 1,Bullet 1,Bullet Points,MAIN CONTENT,List Paragraph111,List Paragraph12,List Paragraph2"/>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character" w:styleId="CommentReference">
    <w:name w:val="annotation reference"/>
    <w:uiPriority w:val="99"/>
    <w:semiHidden/>
    <w:unhideWhenUsed/>
    <w:rPr>
      <w:rFonts w:cs="Times New Roman"/>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cs="Times New Roman"/>
      <w:b/>
      <w:bCs/>
      <w:sz w:val="20"/>
      <w:szCs w:val="20"/>
    </w:rPr>
  </w:style>
  <w:style w:type="paragraph" w:styleId="Revision">
    <w:name w:val="Revision"/>
    <w:hidden/>
    <w:uiPriority w:val="99"/>
    <w:semiHidden/>
    <w:rPr>
      <w:sz w:val="22"/>
      <w:szCs w:val="22"/>
      <w:lang w:val="en-GB"/>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link w:val="FootnoteText"/>
    <w:uiPriority w:val="99"/>
    <w:locked/>
    <w:rPr>
      <w:rFonts w:cs="Times New Roman"/>
      <w:sz w:val="20"/>
      <w:szCs w:val="20"/>
    </w:rPr>
  </w:style>
  <w:style w:type="character" w:styleId="FootnoteReference">
    <w:name w:val="footnote reference"/>
    <w:uiPriority w:val="99"/>
    <w:unhideWhenUsed/>
    <w:rPr>
      <w:rFonts w:cs="Times New Roman"/>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1"/>
    <w:uiPriority w:val="34"/>
    <w:qFormat/>
    <w:locked/>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pPr>
    <w:rPr>
      <w:rFonts w:ascii="Times New Roman" w:hAnsi="Times New Roman"/>
      <w:color w:val="000000"/>
      <w:sz w:val="24"/>
      <w:szCs w:val="24"/>
      <w:lang w:val="en-GB"/>
    </w:rPr>
  </w:style>
  <w:style w:type="character" w:styleId="Hyperlink">
    <w:name w:val="Hyperlink"/>
    <w:uiPriority w:val="99"/>
    <w:unhideWhenUsed/>
    <w:rPr>
      <w:rFonts w:cs="Times New Roman"/>
      <w:color w:val="0000FF"/>
      <w:u w:val="single"/>
    </w:rPr>
  </w:style>
  <w:style w:type="character" w:customStyle="1" w:styleId="Marker">
    <w:name w:val="Marker"/>
    <w:rPr>
      <w:color w:val="0000FF"/>
      <w:shd w:val="clear" w:color="auto" w:fill="auto"/>
    </w:rPr>
  </w:style>
  <w:style w:type="table" w:customStyle="1" w:styleId="TableGrid1">
    <w:name w:val="Table Grid1"/>
    <w:basedOn w:val="TableNormal"/>
    <w:next w:val="TableGrid"/>
    <w:uiPriority w:val="59"/>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en-US"/>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en-US"/>
    </w:rPr>
  </w:style>
  <w:style w:type="paragraph" w:customStyle="1" w:styleId="Pagedecouverture">
    <w:name w:val="Page de couverture"/>
    <w:basedOn w:val="Normal"/>
    <w:next w:val="Normal"/>
    <w:pPr>
      <w:spacing w:after="0" w:line="240" w:lineRule="auto"/>
      <w:jc w:val="both"/>
    </w:pPr>
    <w:rPr>
      <w:rFonts w:ascii="Times New Roman" w:eastAsia="Calibr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lang w:val="en-US"/>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lang w:val="en-US"/>
    </w:rPr>
  </w:style>
  <w:style w:type="character" w:customStyle="1" w:styleId="HeaderCoverPageChar">
    <w:name w:val="Header Cover Page Char"/>
    <w:link w:val="HeaderCoverPage"/>
    <w:rPr>
      <w:rFonts w:ascii="Times New Roman" w:hAnsi="Times New Roman"/>
      <w:sz w:val="24"/>
      <w:szCs w:val="22"/>
    </w:rPr>
  </w:style>
  <w:style w:type="character" w:customStyle="1" w:styleId="Heading3Char">
    <w:name w:val="Heading 3 Char"/>
    <w:link w:val="Heading3"/>
    <w:uiPriority w:val="9"/>
    <w:rPr>
      <w:rFonts w:ascii="Cambria" w:eastAsia="Times New Roman" w:hAnsi="Cambria" w:cs="Times New Roman"/>
      <w:b/>
      <w:bCs/>
      <w:sz w:val="26"/>
      <w:szCs w:val="26"/>
      <w:lang w:eastAsia="en-US"/>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en-US"/>
    </w:rPr>
  </w:style>
  <w:style w:type="character" w:styleId="EndnoteReference">
    <w:name w:val="endnote reference"/>
    <w:uiPriority w:val="99"/>
    <w:semiHidden/>
    <w:unhideWhenUsed/>
    <w:rPr>
      <w:vertAlign w:val="superscript"/>
    </w:rPr>
  </w:style>
  <w:style w:type="paragraph" w:styleId="PlainText">
    <w:name w:val="Plain Text"/>
    <w:basedOn w:val="Normal"/>
    <w:link w:val="PlainTextChar"/>
    <w:uiPriority w:val="99"/>
    <w:semiHidden/>
    <w:unhideWhenUsed/>
    <w:rPr>
      <w:rFonts w:ascii="Courier New" w:hAnsi="Courier New" w:cs="Courier New"/>
      <w:sz w:val="20"/>
      <w:szCs w:val="20"/>
    </w:rPr>
  </w:style>
  <w:style w:type="character" w:customStyle="1" w:styleId="PlainTextChar">
    <w:name w:val="Plain Text Char"/>
    <w:link w:val="PlainText"/>
    <w:uiPriority w:val="99"/>
    <w:semiHidden/>
    <w:rPr>
      <w:rFonts w:ascii="Courier New" w:hAnsi="Courier New" w:cs="Courier New"/>
      <w:lang w:eastAsia="en-US"/>
    </w:rPr>
  </w:style>
  <w:style w:type="paragraph" w:styleId="ListParagraph">
    <w:name w:val="List Paragraph"/>
    <w:basedOn w:val="Normal"/>
    <w:uiPriority w:val="34"/>
    <w:qFormat/>
    <w:pPr>
      <w:spacing w:after="0" w:line="240" w:lineRule="auto"/>
      <w:ind w:left="720"/>
      <w:contextualSpacing/>
    </w:pPr>
    <w:rPr>
      <w:rFonts w:eastAsia="Calibri"/>
    </w:rPr>
  </w:style>
  <w:style w:type="character" w:customStyle="1" w:styleId="Heading4Char">
    <w:name w:val="Heading 4 Char"/>
    <w:link w:val="Heading4"/>
    <w:uiPriority w:val="9"/>
    <w:semiHidden/>
    <w:rPr>
      <w:rFonts w:ascii="Calibri" w:eastAsia="Times New Roman" w:hAnsi="Calibri" w:cs="Times New Roman"/>
      <w:b/>
      <w:bCs/>
      <w:sz w:val="28"/>
      <w:szCs w:val="28"/>
      <w:lang w:eastAsia="en-US"/>
    </w:rPr>
  </w:style>
  <w:style w:type="paragraph" w:customStyle="1" w:styleId="Typedudocument">
    <w:name w:val="Type du document"/>
    <w:basedOn w:val="Normal"/>
    <w:next w:val="Normal"/>
    <w:pPr>
      <w:spacing w:before="360" w:after="0" w:line="240" w:lineRule="auto"/>
      <w:jc w:val="center"/>
    </w:pPr>
    <w:rPr>
      <w:rFonts w:ascii="Times New Roman" w:eastAsia="Calibri" w:hAnsi="Times New Roman"/>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3190">
      <w:bodyDiv w:val="1"/>
      <w:marLeft w:val="0"/>
      <w:marRight w:val="0"/>
      <w:marTop w:val="0"/>
      <w:marBottom w:val="0"/>
      <w:divBdr>
        <w:top w:val="none" w:sz="0" w:space="0" w:color="auto"/>
        <w:left w:val="none" w:sz="0" w:space="0" w:color="auto"/>
        <w:bottom w:val="none" w:sz="0" w:space="0" w:color="auto"/>
        <w:right w:val="none" w:sz="0" w:space="0" w:color="auto"/>
      </w:divBdr>
    </w:div>
    <w:div w:id="144929752">
      <w:bodyDiv w:val="1"/>
      <w:marLeft w:val="0"/>
      <w:marRight w:val="0"/>
      <w:marTop w:val="0"/>
      <w:marBottom w:val="0"/>
      <w:divBdr>
        <w:top w:val="none" w:sz="0" w:space="0" w:color="auto"/>
        <w:left w:val="none" w:sz="0" w:space="0" w:color="auto"/>
        <w:bottom w:val="none" w:sz="0" w:space="0" w:color="auto"/>
        <w:right w:val="none" w:sz="0" w:space="0" w:color="auto"/>
      </w:divBdr>
    </w:div>
    <w:div w:id="178929016">
      <w:bodyDiv w:val="1"/>
      <w:marLeft w:val="0"/>
      <w:marRight w:val="0"/>
      <w:marTop w:val="0"/>
      <w:marBottom w:val="0"/>
      <w:divBdr>
        <w:top w:val="none" w:sz="0" w:space="0" w:color="auto"/>
        <w:left w:val="none" w:sz="0" w:space="0" w:color="auto"/>
        <w:bottom w:val="none" w:sz="0" w:space="0" w:color="auto"/>
        <w:right w:val="none" w:sz="0" w:space="0" w:color="auto"/>
      </w:divBdr>
    </w:div>
    <w:div w:id="236482845">
      <w:bodyDiv w:val="1"/>
      <w:marLeft w:val="0"/>
      <w:marRight w:val="0"/>
      <w:marTop w:val="0"/>
      <w:marBottom w:val="0"/>
      <w:divBdr>
        <w:top w:val="none" w:sz="0" w:space="0" w:color="auto"/>
        <w:left w:val="none" w:sz="0" w:space="0" w:color="auto"/>
        <w:bottom w:val="none" w:sz="0" w:space="0" w:color="auto"/>
        <w:right w:val="none" w:sz="0" w:space="0" w:color="auto"/>
      </w:divBdr>
    </w:div>
    <w:div w:id="461196008">
      <w:bodyDiv w:val="1"/>
      <w:marLeft w:val="0"/>
      <w:marRight w:val="0"/>
      <w:marTop w:val="0"/>
      <w:marBottom w:val="0"/>
      <w:divBdr>
        <w:top w:val="none" w:sz="0" w:space="0" w:color="auto"/>
        <w:left w:val="none" w:sz="0" w:space="0" w:color="auto"/>
        <w:bottom w:val="none" w:sz="0" w:space="0" w:color="auto"/>
        <w:right w:val="none" w:sz="0" w:space="0" w:color="auto"/>
      </w:divBdr>
    </w:div>
    <w:div w:id="470751514">
      <w:bodyDiv w:val="1"/>
      <w:marLeft w:val="0"/>
      <w:marRight w:val="0"/>
      <w:marTop w:val="0"/>
      <w:marBottom w:val="0"/>
      <w:divBdr>
        <w:top w:val="none" w:sz="0" w:space="0" w:color="auto"/>
        <w:left w:val="none" w:sz="0" w:space="0" w:color="auto"/>
        <w:bottom w:val="none" w:sz="0" w:space="0" w:color="auto"/>
        <w:right w:val="none" w:sz="0" w:space="0" w:color="auto"/>
      </w:divBdr>
    </w:div>
    <w:div w:id="851072220">
      <w:bodyDiv w:val="1"/>
      <w:marLeft w:val="0"/>
      <w:marRight w:val="0"/>
      <w:marTop w:val="0"/>
      <w:marBottom w:val="0"/>
      <w:divBdr>
        <w:top w:val="none" w:sz="0" w:space="0" w:color="auto"/>
        <w:left w:val="none" w:sz="0" w:space="0" w:color="auto"/>
        <w:bottom w:val="none" w:sz="0" w:space="0" w:color="auto"/>
        <w:right w:val="none" w:sz="0" w:space="0" w:color="auto"/>
      </w:divBdr>
    </w:div>
    <w:div w:id="1013998950">
      <w:marLeft w:val="0"/>
      <w:marRight w:val="0"/>
      <w:marTop w:val="0"/>
      <w:marBottom w:val="0"/>
      <w:divBdr>
        <w:top w:val="none" w:sz="0" w:space="0" w:color="auto"/>
        <w:left w:val="none" w:sz="0" w:space="0" w:color="auto"/>
        <w:bottom w:val="none" w:sz="0" w:space="0" w:color="auto"/>
        <w:right w:val="none" w:sz="0" w:space="0" w:color="auto"/>
      </w:divBdr>
    </w:div>
    <w:div w:id="1013998951">
      <w:marLeft w:val="0"/>
      <w:marRight w:val="0"/>
      <w:marTop w:val="0"/>
      <w:marBottom w:val="0"/>
      <w:divBdr>
        <w:top w:val="none" w:sz="0" w:space="0" w:color="auto"/>
        <w:left w:val="none" w:sz="0" w:space="0" w:color="auto"/>
        <w:bottom w:val="none" w:sz="0" w:space="0" w:color="auto"/>
        <w:right w:val="none" w:sz="0" w:space="0" w:color="auto"/>
      </w:divBdr>
    </w:div>
    <w:div w:id="1013998952">
      <w:marLeft w:val="0"/>
      <w:marRight w:val="0"/>
      <w:marTop w:val="0"/>
      <w:marBottom w:val="0"/>
      <w:divBdr>
        <w:top w:val="none" w:sz="0" w:space="0" w:color="auto"/>
        <w:left w:val="none" w:sz="0" w:space="0" w:color="auto"/>
        <w:bottom w:val="none" w:sz="0" w:space="0" w:color="auto"/>
        <w:right w:val="none" w:sz="0" w:space="0" w:color="auto"/>
      </w:divBdr>
    </w:div>
    <w:div w:id="1013998953">
      <w:marLeft w:val="0"/>
      <w:marRight w:val="0"/>
      <w:marTop w:val="0"/>
      <w:marBottom w:val="0"/>
      <w:divBdr>
        <w:top w:val="none" w:sz="0" w:space="0" w:color="auto"/>
        <w:left w:val="none" w:sz="0" w:space="0" w:color="auto"/>
        <w:bottom w:val="none" w:sz="0" w:space="0" w:color="auto"/>
        <w:right w:val="none" w:sz="0" w:space="0" w:color="auto"/>
      </w:divBdr>
    </w:div>
    <w:div w:id="1013998954">
      <w:marLeft w:val="0"/>
      <w:marRight w:val="0"/>
      <w:marTop w:val="0"/>
      <w:marBottom w:val="0"/>
      <w:divBdr>
        <w:top w:val="none" w:sz="0" w:space="0" w:color="auto"/>
        <w:left w:val="none" w:sz="0" w:space="0" w:color="auto"/>
        <w:bottom w:val="none" w:sz="0" w:space="0" w:color="auto"/>
        <w:right w:val="none" w:sz="0" w:space="0" w:color="auto"/>
      </w:divBdr>
    </w:div>
    <w:div w:id="1013998955">
      <w:marLeft w:val="0"/>
      <w:marRight w:val="0"/>
      <w:marTop w:val="0"/>
      <w:marBottom w:val="0"/>
      <w:divBdr>
        <w:top w:val="none" w:sz="0" w:space="0" w:color="auto"/>
        <w:left w:val="none" w:sz="0" w:space="0" w:color="auto"/>
        <w:bottom w:val="none" w:sz="0" w:space="0" w:color="auto"/>
        <w:right w:val="none" w:sz="0" w:space="0" w:color="auto"/>
      </w:divBdr>
    </w:div>
    <w:div w:id="1013998956">
      <w:marLeft w:val="0"/>
      <w:marRight w:val="0"/>
      <w:marTop w:val="0"/>
      <w:marBottom w:val="0"/>
      <w:divBdr>
        <w:top w:val="none" w:sz="0" w:space="0" w:color="auto"/>
        <w:left w:val="none" w:sz="0" w:space="0" w:color="auto"/>
        <w:bottom w:val="none" w:sz="0" w:space="0" w:color="auto"/>
        <w:right w:val="none" w:sz="0" w:space="0" w:color="auto"/>
      </w:divBdr>
    </w:div>
    <w:div w:id="1013998957">
      <w:marLeft w:val="0"/>
      <w:marRight w:val="0"/>
      <w:marTop w:val="0"/>
      <w:marBottom w:val="0"/>
      <w:divBdr>
        <w:top w:val="none" w:sz="0" w:space="0" w:color="auto"/>
        <w:left w:val="none" w:sz="0" w:space="0" w:color="auto"/>
        <w:bottom w:val="none" w:sz="0" w:space="0" w:color="auto"/>
        <w:right w:val="none" w:sz="0" w:space="0" w:color="auto"/>
      </w:divBdr>
    </w:div>
    <w:div w:id="1013998958">
      <w:marLeft w:val="0"/>
      <w:marRight w:val="0"/>
      <w:marTop w:val="0"/>
      <w:marBottom w:val="0"/>
      <w:divBdr>
        <w:top w:val="none" w:sz="0" w:space="0" w:color="auto"/>
        <w:left w:val="none" w:sz="0" w:space="0" w:color="auto"/>
        <w:bottom w:val="none" w:sz="0" w:space="0" w:color="auto"/>
        <w:right w:val="none" w:sz="0" w:space="0" w:color="auto"/>
      </w:divBdr>
    </w:div>
    <w:div w:id="1013998959">
      <w:marLeft w:val="0"/>
      <w:marRight w:val="0"/>
      <w:marTop w:val="0"/>
      <w:marBottom w:val="0"/>
      <w:divBdr>
        <w:top w:val="none" w:sz="0" w:space="0" w:color="auto"/>
        <w:left w:val="none" w:sz="0" w:space="0" w:color="auto"/>
        <w:bottom w:val="none" w:sz="0" w:space="0" w:color="auto"/>
        <w:right w:val="none" w:sz="0" w:space="0" w:color="auto"/>
      </w:divBdr>
    </w:div>
    <w:div w:id="1013998960">
      <w:marLeft w:val="0"/>
      <w:marRight w:val="0"/>
      <w:marTop w:val="0"/>
      <w:marBottom w:val="0"/>
      <w:divBdr>
        <w:top w:val="none" w:sz="0" w:space="0" w:color="auto"/>
        <w:left w:val="none" w:sz="0" w:space="0" w:color="auto"/>
        <w:bottom w:val="none" w:sz="0" w:space="0" w:color="auto"/>
        <w:right w:val="none" w:sz="0" w:space="0" w:color="auto"/>
      </w:divBdr>
    </w:div>
    <w:div w:id="1013998961">
      <w:marLeft w:val="0"/>
      <w:marRight w:val="0"/>
      <w:marTop w:val="0"/>
      <w:marBottom w:val="0"/>
      <w:divBdr>
        <w:top w:val="none" w:sz="0" w:space="0" w:color="auto"/>
        <w:left w:val="none" w:sz="0" w:space="0" w:color="auto"/>
        <w:bottom w:val="none" w:sz="0" w:space="0" w:color="auto"/>
        <w:right w:val="none" w:sz="0" w:space="0" w:color="auto"/>
      </w:divBdr>
    </w:div>
    <w:div w:id="1013998962">
      <w:marLeft w:val="0"/>
      <w:marRight w:val="0"/>
      <w:marTop w:val="0"/>
      <w:marBottom w:val="0"/>
      <w:divBdr>
        <w:top w:val="none" w:sz="0" w:space="0" w:color="auto"/>
        <w:left w:val="none" w:sz="0" w:space="0" w:color="auto"/>
        <w:bottom w:val="none" w:sz="0" w:space="0" w:color="auto"/>
        <w:right w:val="none" w:sz="0" w:space="0" w:color="auto"/>
      </w:divBdr>
    </w:div>
    <w:div w:id="1013998963">
      <w:marLeft w:val="0"/>
      <w:marRight w:val="0"/>
      <w:marTop w:val="0"/>
      <w:marBottom w:val="0"/>
      <w:divBdr>
        <w:top w:val="none" w:sz="0" w:space="0" w:color="auto"/>
        <w:left w:val="none" w:sz="0" w:space="0" w:color="auto"/>
        <w:bottom w:val="none" w:sz="0" w:space="0" w:color="auto"/>
        <w:right w:val="none" w:sz="0" w:space="0" w:color="auto"/>
      </w:divBdr>
    </w:div>
    <w:div w:id="1124540771">
      <w:bodyDiv w:val="1"/>
      <w:marLeft w:val="0"/>
      <w:marRight w:val="0"/>
      <w:marTop w:val="0"/>
      <w:marBottom w:val="0"/>
      <w:divBdr>
        <w:top w:val="none" w:sz="0" w:space="0" w:color="auto"/>
        <w:left w:val="none" w:sz="0" w:space="0" w:color="auto"/>
        <w:bottom w:val="none" w:sz="0" w:space="0" w:color="auto"/>
        <w:right w:val="none" w:sz="0" w:space="0" w:color="auto"/>
      </w:divBdr>
    </w:div>
    <w:div w:id="1318262365">
      <w:bodyDiv w:val="1"/>
      <w:marLeft w:val="0"/>
      <w:marRight w:val="0"/>
      <w:marTop w:val="0"/>
      <w:marBottom w:val="0"/>
      <w:divBdr>
        <w:top w:val="none" w:sz="0" w:space="0" w:color="auto"/>
        <w:left w:val="none" w:sz="0" w:space="0" w:color="auto"/>
        <w:bottom w:val="none" w:sz="0" w:space="0" w:color="auto"/>
        <w:right w:val="none" w:sz="0" w:space="0" w:color="auto"/>
      </w:divBdr>
    </w:div>
    <w:div w:id="1403135998">
      <w:bodyDiv w:val="1"/>
      <w:marLeft w:val="0"/>
      <w:marRight w:val="0"/>
      <w:marTop w:val="0"/>
      <w:marBottom w:val="0"/>
      <w:divBdr>
        <w:top w:val="none" w:sz="0" w:space="0" w:color="auto"/>
        <w:left w:val="none" w:sz="0" w:space="0" w:color="auto"/>
        <w:bottom w:val="none" w:sz="0" w:space="0" w:color="auto"/>
        <w:right w:val="none" w:sz="0" w:space="0" w:color="auto"/>
      </w:divBdr>
    </w:div>
    <w:div w:id="1794640845">
      <w:bodyDiv w:val="1"/>
      <w:marLeft w:val="0"/>
      <w:marRight w:val="0"/>
      <w:marTop w:val="0"/>
      <w:marBottom w:val="0"/>
      <w:divBdr>
        <w:top w:val="none" w:sz="0" w:space="0" w:color="auto"/>
        <w:left w:val="none" w:sz="0" w:space="0" w:color="auto"/>
        <w:bottom w:val="none" w:sz="0" w:space="0" w:color="auto"/>
        <w:right w:val="none" w:sz="0" w:space="0" w:color="auto"/>
      </w:divBdr>
    </w:div>
    <w:div w:id="1796025134">
      <w:bodyDiv w:val="1"/>
      <w:marLeft w:val="0"/>
      <w:marRight w:val="0"/>
      <w:marTop w:val="0"/>
      <w:marBottom w:val="0"/>
      <w:divBdr>
        <w:top w:val="none" w:sz="0" w:space="0" w:color="auto"/>
        <w:left w:val="none" w:sz="0" w:space="0" w:color="auto"/>
        <w:bottom w:val="none" w:sz="0" w:space="0" w:color="auto"/>
        <w:right w:val="none" w:sz="0" w:space="0" w:color="auto"/>
      </w:divBdr>
    </w:div>
    <w:div w:id="207843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239D3-B40F-4796-A34E-49DE006AD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26</Pages>
  <Words>13772</Words>
  <Characters>73961</Characters>
  <Application>Microsoft Office Word</Application>
  <DocSecurity>0</DocSecurity>
  <Lines>1120</Lines>
  <Paragraphs>187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State of Play Communication on the Implementation of the Priority Actions under the European Agenda on Migration</vt:lpstr>
      <vt:lpstr>State of Play Communication on the Implementation of the Priority Actions under the European Agenda on Migration</vt:lpstr>
    </vt:vector>
  </TitlesOfParts>
  <Manager/>
  <Company/>
  <LinksUpToDate>false</LinksUpToDate>
  <CharactersWithSpaces>87546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Play Communication on the Implementation of the Priority Actions under the European Agenda on Migration</dc:title>
  <dc:subject/>
  <dc:creator/>
  <cp:keywords/>
  <cp:lastModifiedBy>DIGIT/A3</cp:lastModifiedBy>
  <cp:revision>20</cp:revision>
  <cp:lastPrinted>2016-02-11T10:24:00Z</cp:lastPrinted>
  <dcterms:created xsi:type="dcterms:W3CDTF">2016-02-11T11:14:00Z</dcterms:created>
  <dcterms:modified xsi:type="dcterms:W3CDTF">2016-02-17T11:25:00Z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