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BE7" w:rsidRDefault="00F94E0A" w:rsidP="00F94E0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C80B7D043E94ABBA805E11952A10486" style="width:450.75pt;height:334.5pt">
            <v:imagedata r:id="rId12" o:title=""/>
          </v:shape>
        </w:pict>
      </w:r>
    </w:p>
    <w:bookmarkEnd w:id="0"/>
    <w:p w:rsidR="00CA5BE7" w:rsidRDefault="00CA5BE7">
      <w:pPr>
        <w:pStyle w:val="Pagedecouverture"/>
        <w:rPr>
          <w:noProof/>
        </w:rPr>
        <w:sectPr w:rsidR="00CA5BE7" w:rsidSect="00F94E0A">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rsidR="00CA5BE7" w:rsidRDefault="00F94E0A">
      <w:pPr>
        <w:pStyle w:val="Corps"/>
        <w:spacing w:after="0" w:line="240" w:lineRule="auto"/>
        <w:jc w:val="both"/>
        <w:rPr>
          <w:rFonts w:ascii="Times New Roman" w:hAnsi="Times New Roman" w:cs="Times New Roman"/>
          <w:noProof/>
          <w:sz w:val="24"/>
          <w:szCs w:val="24"/>
          <w:lang w:val="en-GB"/>
        </w:rPr>
      </w:pPr>
      <w:bookmarkStart w:id="1" w:name="_GoBack"/>
      <w:bookmarkEnd w:id="1"/>
      <w:r>
        <w:rPr>
          <w:rFonts w:ascii="Times New Roman" w:hAnsi="Times New Roman" w:cs="Times New Roman"/>
          <w:noProof/>
          <w:sz w:val="24"/>
          <w:szCs w:val="24"/>
          <w:lang w:val="en-GB"/>
        </w:rPr>
        <w:lastRenderedPageBreak/>
        <w:t xml:space="preserve">On 9 September 2015, the Commission adopted </w:t>
      </w:r>
      <w:r>
        <w:rPr>
          <w:rFonts w:ascii="Times New Roman" w:hAnsi="Times New Roman"/>
          <w:noProof/>
          <w:sz w:val="24"/>
          <w:lang w:val="en-GB"/>
        </w:rPr>
        <w:t>the EU Action Plan on return</w:t>
      </w:r>
      <w:r>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 xml:space="preserve">, which included 36 </w:t>
      </w:r>
      <w:r>
        <w:rPr>
          <w:rFonts w:ascii="Times New Roman" w:hAnsi="Times New Roman" w:cs="Times New Roman"/>
          <w:noProof/>
          <w:sz w:val="24"/>
          <w:szCs w:val="24"/>
          <w:lang w:val="en-GB"/>
        </w:rPr>
        <w:t>concrete actions to improve the efficiency of the European Union's return system. Most of these actions are ongoing or have been implemented as presented in the Annex to this Communication. Despite this, the overall impact on the return track record across</w:t>
      </w:r>
      <w:r>
        <w:rPr>
          <w:rFonts w:ascii="Times New Roman" w:hAnsi="Times New Roman" w:cs="Times New Roman"/>
          <w:noProof/>
          <w:sz w:val="24"/>
          <w:szCs w:val="24"/>
          <w:lang w:val="en-GB"/>
        </w:rPr>
        <w:t xml:space="preserve"> the European Union remained limited, showing that more resolute action is needed to bring measurable results in returning irregular migrants.</w:t>
      </w:r>
    </w:p>
    <w:p w:rsidR="00CA5BE7" w:rsidRDefault="00CA5BE7">
      <w:pPr>
        <w:pStyle w:val="Corps"/>
        <w:spacing w:after="0" w:line="240" w:lineRule="auto"/>
        <w:jc w:val="both"/>
        <w:rPr>
          <w:rFonts w:ascii="Times New Roman" w:hAnsi="Times New Roman" w:cs="Times New Roman"/>
          <w:noProof/>
          <w:sz w:val="24"/>
          <w:szCs w:val="24"/>
          <w:lang w:val="en-GB"/>
        </w:rPr>
      </w:pPr>
    </w:p>
    <w:p w:rsidR="00CA5BE7" w:rsidRDefault="00F94E0A">
      <w:pPr>
        <w:pStyle w:val="Corps"/>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Since the adoption of the Action Plan, the challenges that the European Union's return policy needs to respond t</w:t>
      </w:r>
      <w:r>
        <w:rPr>
          <w:rFonts w:ascii="Times New Roman" w:hAnsi="Times New Roman" w:cs="Times New Roman"/>
          <w:noProof/>
          <w:sz w:val="24"/>
          <w:szCs w:val="24"/>
          <w:lang w:val="en-GB"/>
        </w:rPr>
        <w:t xml:space="preserve">o have increased even more and brought this aspect of the EU comprehensive migration policy to the forefront. </w:t>
      </w:r>
      <w:r>
        <w:rPr>
          <w:rFonts w:ascii="Times New Roman" w:hAnsi="Times New Roman"/>
          <w:noProof/>
          <w:sz w:val="24"/>
          <w:lang w:val="en-GB"/>
        </w:rPr>
        <w:t xml:space="preserve">In 2015, the number of irregular </w:t>
      </w:r>
      <w:r>
        <w:rPr>
          <w:rFonts w:ascii="Times New Roman" w:hAnsi="Times New Roman" w:cs="Times New Roman"/>
          <w:noProof/>
          <w:sz w:val="24"/>
          <w:szCs w:val="24"/>
          <w:lang w:val="en-GB"/>
        </w:rPr>
        <w:t xml:space="preserve">migrants ordered to leave the </w:t>
      </w:r>
      <w:r>
        <w:rPr>
          <w:rFonts w:ascii="Times New Roman" w:hAnsi="Times New Roman"/>
          <w:noProof/>
          <w:sz w:val="24"/>
          <w:lang w:val="en-GB"/>
        </w:rPr>
        <w:t>European Union</w:t>
      </w:r>
      <w:r>
        <w:rPr>
          <w:rFonts w:ascii="Times New Roman" w:hAnsi="Times New Roman" w:cs="Times New Roman"/>
          <w:noProof/>
          <w:sz w:val="24"/>
          <w:szCs w:val="24"/>
          <w:lang w:val="en-GB"/>
        </w:rPr>
        <w:t xml:space="preserve"> amounted to 533,395, compared to 470,080 in 2014. With around 2.6 mi</w:t>
      </w:r>
      <w:r>
        <w:rPr>
          <w:rFonts w:ascii="Times New Roman" w:hAnsi="Times New Roman" w:cs="Times New Roman"/>
          <w:noProof/>
          <w:sz w:val="24"/>
          <w:szCs w:val="24"/>
          <w:lang w:val="en-GB"/>
        </w:rPr>
        <w:t>llion asylum applications in 2015/2016 alone, and considering that the first instance recognition rate stands at 57% in the first three quarters of 2016, Member States may have more than 1 million people to return once their asylum applications have been p</w:t>
      </w:r>
      <w:r>
        <w:rPr>
          <w:rFonts w:ascii="Times New Roman" w:hAnsi="Times New Roman" w:cs="Times New Roman"/>
          <w:noProof/>
          <w:sz w:val="24"/>
          <w:szCs w:val="24"/>
          <w:lang w:val="en-GB"/>
        </w:rPr>
        <w:t>rocessed. At the same time, return rates at European Union level have not improved. While the total return rate</w:t>
      </w:r>
      <w:r>
        <w:rPr>
          <w:rStyle w:val="FootnoteReference"/>
          <w:rFonts w:ascii="Times New Roman" w:hAnsi="Times New Roman" w:cs="Times New Roman"/>
          <w:noProof/>
          <w:sz w:val="24"/>
          <w:szCs w:val="24"/>
          <w:lang w:val="en-GB"/>
        </w:rPr>
        <w:footnoteReference w:id="3"/>
      </w:r>
      <w:r>
        <w:rPr>
          <w:rFonts w:ascii="Times New Roman" w:hAnsi="Times New Roman" w:cs="Times New Roman"/>
          <w:noProof/>
          <w:sz w:val="24"/>
          <w:szCs w:val="24"/>
          <w:lang w:val="en-GB"/>
        </w:rPr>
        <w:t xml:space="preserve"> from 2014 to 2015 increased from 41.8% to 42.5%, the rate of </w:t>
      </w:r>
      <w:r>
        <w:rPr>
          <w:rFonts w:ascii="Times New Roman" w:hAnsi="Times New Roman"/>
          <w:noProof/>
          <w:sz w:val="24"/>
          <w:lang w:val="en-GB"/>
        </w:rPr>
        <w:t>effective returns to third countries dropped</w:t>
      </w:r>
      <w:r>
        <w:rPr>
          <w:rFonts w:ascii="Times New Roman" w:hAnsi="Times New Roman" w:cs="Times New Roman"/>
          <w:noProof/>
          <w:sz w:val="24"/>
          <w:szCs w:val="24"/>
          <w:lang w:val="en-GB"/>
        </w:rPr>
        <w:t xml:space="preserve"> from 36.6% to 36.4%. Moreover, if ret</w:t>
      </w:r>
      <w:r>
        <w:rPr>
          <w:rFonts w:ascii="Times New Roman" w:hAnsi="Times New Roman" w:cs="Times New Roman"/>
          <w:noProof/>
          <w:sz w:val="24"/>
          <w:szCs w:val="24"/>
          <w:lang w:val="en-GB"/>
        </w:rPr>
        <w:t>urn to Western Balkans is disregarded, the European Union return rate drops further to 27%.</w:t>
      </w:r>
    </w:p>
    <w:p w:rsidR="00CA5BE7" w:rsidRDefault="00CA5BE7">
      <w:pPr>
        <w:pStyle w:val="Corps"/>
        <w:spacing w:after="0" w:line="240" w:lineRule="auto"/>
        <w:jc w:val="both"/>
        <w:rPr>
          <w:rFonts w:ascii="Times New Roman" w:hAnsi="Times New Roman" w:cs="Times New Roman"/>
          <w:noProof/>
          <w:sz w:val="24"/>
          <w:szCs w:val="24"/>
          <w:lang w:val="en-GB"/>
        </w:rPr>
      </w:pPr>
    </w:p>
    <w:p w:rsidR="00CA5BE7" w:rsidRDefault="00F94E0A">
      <w:pPr>
        <w:spacing w:after="120"/>
        <w:jc w:val="both"/>
        <w:rPr>
          <w:rFonts w:eastAsia="ヒラギノ角ゴ Pro W3"/>
          <w:noProof/>
          <w:color w:val="000000"/>
        </w:rPr>
      </w:pPr>
      <w:r>
        <w:rPr>
          <w:noProof/>
        </w:rPr>
        <w:t>The key challenges of our return policy have always been both internal to the European Union and the Member States, as well as external. The Commission, together w</w:t>
      </w:r>
      <w:r>
        <w:rPr>
          <w:noProof/>
        </w:rPr>
        <w:t>ith the European External Action Service and the Member States have tackled the external aspects through specific cooperation frameworks with third-countries. To this end, a Migration Partnership Framework</w:t>
      </w:r>
      <w:r>
        <w:rPr>
          <w:rStyle w:val="FootnoteReference"/>
          <w:noProof/>
        </w:rPr>
        <w:footnoteReference w:id="4"/>
      </w:r>
      <w:r>
        <w:rPr>
          <w:noProof/>
        </w:rPr>
        <w:t xml:space="preserve"> was launched in June 2016 and a third progress re</w:t>
      </w:r>
      <w:r>
        <w:rPr>
          <w:noProof/>
        </w:rPr>
        <w:t>port on this Framework is being adopted today</w:t>
      </w:r>
      <w:r>
        <w:rPr>
          <w:rStyle w:val="FootnoteReference"/>
          <w:noProof/>
        </w:rPr>
        <w:footnoteReference w:id="5"/>
      </w:r>
      <w:r>
        <w:rPr>
          <w:noProof/>
        </w:rPr>
        <w:t>.</w:t>
      </w:r>
    </w:p>
    <w:p w:rsidR="00CA5BE7" w:rsidRDefault="00F94E0A">
      <w:pPr>
        <w:pStyle w:val="Corps"/>
        <w:spacing w:after="0" w:line="240" w:lineRule="auto"/>
        <w:jc w:val="both"/>
        <w:rPr>
          <w:rFonts w:ascii="Times New Roman" w:hAnsi="Times New Roman" w:cs="Times New Roman"/>
          <w:noProof/>
          <w:sz w:val="24"/>
          <w:szCs w:val="24"/>
          <w:lang w:val="en-GB"/>
        </w:rPr>
      </w:pPr>
      <w:r>
        <w:rPr>
          <w:rFonts w:ascii="Times New Roman" w:eastAsia="Times New Roman" w:hAnsi="Times New Roman" w:cs="Times New Roman"/>
          <w:noProof/>
          <w:color w:val="auto"/>
          <w:sz w:val="24"/>
          <w:szCs w:val="24"/>
          <w:bdr w:val="none" w:sz="0" w:space="0" w:color="auto"/>
          <w:lang w:val="en-GB"/>
        </w:rPr>
        <w:t>An effective return policy starts within the European Union. In</w:t>
      </w:r>
      <w:r>
        <w:rPr>
          <w:rFonts w:ascii="Times New Roman" w:hAnsi="Times New Roman" w:cs="Times New Roman"/>
          <w:noProof/>
          <w:sz w:val="24"/>
          <w:szCs w:val="24"/>
          <w:lang w:val="en-GB"/>
        </w:rPr>
        <w:t xml:space="preserve"> the European Council Conclusions of 20-21 October 2016</w:t>
      </w:r>
      <w:r>
        <w:rPr>
          <w:rStyle w:val="FootnoteReference"/>
          <w:rFonts w:ascii="Times New Roman" w:hAnsi="Times New Roman" w:cs="Times New Roman"/>
          <w:noProof/>
          <w:sz w:val="24"/>
          <w:szCs w:val="24"/>
          <w:lang w:val="en-GB"/>
        </w:rPr>
        <w:footnoteReference w:id="6"/>
      </w:r>
      <w:r>
        <w:rPr>
          <w:rFonts w:ascii="Times New Roman" w:hAnsi="Times New Roman" w:cs="Times New Roman"/>
          <w:noProof/>
          <w:sz w:val="24"/>
          <w:szCs w:val="24"/>
          <w:lang w:val="en-GB"/>
        </w:rPr>
        <w:t xml:space="preserve">, Member States called for reinforcing national administrative processes for returns. </w:t>
      </w:r>
      <w:r>
        <w:rPr>
          <w:rFonts w:ascii="Times New Roman" w:hAnsi="Times New Roman" w:cs="Times New Roman"/>
          <w:noProof/>
          <w:sz w:val="24"/>
          <w:szCs w:val="24"/>
          <w:lang w:val="en-GB"/>
        </w:rPr>
        <w:t>Moreover, the Malta Declaration of Heads of State or Government</w:t>
      </w:r>
      <w:r>
        <w:rPr>
          <w:rStyle w:val="FootnoteReference"/>
          <w:noProof/>
        </w:rPr>
        <w:footnoteReference w:id="7"/>
      </w:r>
      <w:r>
        <w:rPr>
          <w:rFonts w:ascii="Times New Roman" w:hAnsi="Times New Roman" w:cs="Times New Roman"/>
          <w:noProof/>
          <w:sz w:val="24"/>
          <w:szCs w:val="24"/>
        </w:rPr>
        <w:t xml:space="preserve"> of 3 February 2017 highlighted the need</w:t>
      </w:r>
      <w:r>
        <w:rPr>
          <w:rFonts w:ascii="Times New Roman" w:hAnsi="Times New Roman" w:cs="Times New Roman"/>
          <w:noProof/>
          <w:sz w:val="24"/>
          <w:szCs w:val="24"/>
          <w:lang w:val="en-GB"/>
        </w:rPr>
        <w:t xml:space="preserve"> to start a critical review of European Union return policy with an objective </w:t>
      </w:r>
      <w:r>
        <w:rPr>
          <w:rFonts w:ascii="Times New Roman" w:hAnsi="Times New Roman"/>
          <w:noProof/>
          <w:sz w:val="24"/>
          <w:lang w:val="en-GB"/>
        </w:rPr>
        <w:t>analysis of how the legal, operational, financial and practical tools avai</w:t>
      </w:r>
      <w:r>
        <w:rPr>
          <w:rFonts w:ascii="Times New Roman" w:hAnsi="Times New Roman"/>
          <w:noProof/>
          <w:sz w:val="24"/>
          <w:lang w:val="en-GB"/>
        </w:rPr>
        <w:t>lable</w:t>
      </w:r>
      <w:r>
        <w:rPr>
          <w:rFonts w:ascii="Times New Roman" w:hAnsi="Times New Roman" w:cs="Times New Roman"/>
          <w:noProof/>
          <w:sz w:val="24"/>
          <w:szCs w:val="24"/>
          <w:lang w:val="en-GB"/>
        </w:rPr>
        <w:t xml:space="preserve"> at Union and national level are applied. It is therefore necessary to look with pragmatism at the application of the Return Directive</w:t>
      </w:r>
      <w:r>
        <w:rPr>
          <w:rStyle w:val="FootnoteReference"/>
          <w:rFonts w:ascii="Times New Roman" w:hAnsi="Times New Roman" w:cs="Times New Roman"/>
          <w:noProof/>
          <w:sz w:val="24"/>
          <w:szCs w:val="24"/>
          <w:lang w:val="en-GB"/>
        </w:rPr>
        <w:footnoteReference w:id="8"/>
      </w:r>
      <w:r>
        <w:rPr>
          <w:rFonts w:ascii="Times New Roman" w:hAnsi="Times New Roman" w:cs="Times New Roman"/>
          <w:noProof/>
          <w:sz w:val="24"/>
          <w:szCs w:val="24"/>
          <w:lang w:val="en-GB"/>
        </w:rPr>
        <w:t xml:space="preserve"> and address what does not work, including by encouraging Member States to make the necessary improvements in their </w:t>
      </w:r>
      <w:r>
        <w:rPr>
          <w:rFonts w:ascii="Times New Roman" w:hAnsi="Times New Roman" w:cs="Times New Roman"/>
          <w:noProof/>
          <w:sz w:val="24"/>
          <w:szCs w:val="24"/>
          <w:lang w:val="en-GB"/>
        </w:rPr>
        <w:t>national return systems to ensure better coordination and a multidisciplinary approach. In addition, we must maximise the use of European Union financial or operational instruments, to create a collaborative space for exchanging information and for improvi</w:t>
      </w:r>
      <w:r>
        <w:rPr>
          <w:rFonts w:ascii="Times New Roman" w:hAnsi="Times New Roman" w:cs="Times New Roman"/>
          <w:noProof/>
          <w:sz w:val="24"/>
          <w:szCs w:val="24"/>
          <w:lang w:val="en-GB"/>
        </w:rPr>
        <w:t xml:space="preserve">ng cooperation and coordination among Member States' and EU competent </w:t>
      </w:r>
      <w:r>
        <w:rPr>
          <w:rFonts w:ascii="Times New Roman" w:hAnsi="Times New Roman"/>
          <w:noProof/>
          <w:sz w:val="24"/>
          <w:lang w:val="en-GB"/>
        </w:rPr>
        <w:t>bodies</w:t>
      </w:r>
      <w:r>
        <w:rPr>
          <w:rFonts w:ascii="Times New Roman" w:hAnsi="Times New Roman" w:cs="Times New Roman"/>
          <w:noProof/>
          <w:sz w:val="24"/>
          <w:szCs w:val="24"/>
          <w:lang w:val="en-GB"/>
        </w:rPr>
        <w:t xml:space="preserve">. Added to that, </w:t>
      </w:r>
      <w:r>
        <w:rPr>
          <w:rFonts w:ascii="Times New Roman" w:hAnsi="Times New Roman"/>
          <w:noProof/>
          <w:sz w:val="24"/>
          <w:lang w:val="en-GB"/>
        </w:rPr>
        <w:t xml:space="preserve">the new </w:t>
      </w:r>
      <w:r>
        <w:rPr>
          <w:rFonts w:ascii="Times New Roman" w:hAnsi="Times New Roman"/>
          <w:noProof/>
          <w:sz w:val="24"/>
          <w:lang w:val="en-GB"/>
        </w:rPr>
        <w:lastRenderedPageBreak/>
        <w:t xml:space="preserve">mandate of the </w:t>
      </w:r>
      <w:r>
        <w:rPr>
          <w:rFonts w:ascii="Times New Roman" w:hAnsi="Times New Roman" w:cs="Times New Roman"/>
          <w:noProof/>
          <w:sz w:val="24"/>
          <w:szCs w:val="24"/>
          <w:lang w:val="en-GB"/>
        </w:rPr>
        <w:t>European Border and Coast Guard (EBCG) Agency was significantly strengthened in order to provide better support to the Member States in cond</w:t>
      </w:r>
      <w:r>
        <w:rPr>
          <w:rFonts w:ascii="Times New Roman" w:hAnsi="Times New Roman" w:cs="Times New Roman"/>
          <w:noProof/>
          <w:sz w:val="24"/>
          <w:szCs w:val="24"/>
          <w:lang w:val="en-GB"/>
        </w:rPr>
        <w:t>ucting return activities whether jointly or nationally. The progress in the operationalisation of the new mandate is being monitored in the second European Border and Coast Guard Report adopted today.</w:t>
      </w:r>
      <w:r>
        <w:rPr>
          <w:rStyle w:val="FootnoteReference"/>
          <w:rFonts w:ascii="Times New Roman" w:hAnsi="Times New Roman" w:cs="Times New Roman"/>
          <w:noProof/>
          <w:sz w:val="24"/>
          <w:szCs w:val="24"/>
          <w:lang w:val="en-GB"/>
        </w:rPr>
        <w:footnoteReference w:id="9"/>
      </w:r>
    </w:p>
    <w:p w:rsidR="00CA5BE7" w:rsidRDefault="00CA5BE7">
      <w:pPr>
        <w:pStyle w:val="Corps"/>
        <w:spacing w:after="0" w:line="240" w:lineRule="auto"/>
        <w:jc w:val="both"/>
        <w:rPr>
          <w:rFonts w:ascii="Times New Roman" w:hAnsi="Times New Roman" w:cs="Times New Roman"/>
          <w:noProof/>
          <w:sz w:val="24"/>
          <w:szCs w:val="24"/>
          <w:lang w:val="en-GB"/>
        </w:rPr>
      </w:pPr>
    </w:p>
    <w:p w:rsidR="00CA5BE7" w:rsidRDefault="00F94E0A">
      <w:pPr>
        <w:pStyle w:val="Corps"/>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Renewed Action Plan on Return with additional fo</w:t>
      </w:r>
      <w:r>
        <w:rPr>
          <w:rFonts w:ascii="Times New Roman" w:hAnsi="Times New Roman" w:cs="Times New Roman"/>
          <w:noProof/>
          <w:sz w:val="24"/>
          <w:szCs w:val="24"/>
          <w:lang w:val="en-GB"/>
        </w:rPr>
        <w:t xml:space="preserve">cussed actions to be implemented in parallel to the ongoing actions launched under the existing Action Plan is addressed to Member States, European Union Institutions and Agencies to substantially improve return rates. This also gives a renewed commitment </w:t>
      </w:r>
      <w:r>
        <w:rPr>
          <w:rFonts w:ascii="Times New Roman" w:hAnsi="Times New Roman" w:cs="Times New Roman"/>
          <w:noProof/>
          <w:sz w:val="24"/>
          <w:szCs w:val="24"/>
          <w:lang w:val="en-GB"/>
        </w:rPr>
        <w:t xml:space="preserve">to finalise the implementation of the 2015 Action Plan and will ensure measurable results in terms of preventing irregular migration and returning irregular migrants. To this end, </w:t>
      </w:r>
      <w:r>
        <w:rPr>
          <w:rFonts w:ascii="Times New Roman" w:hAnsi="Times New Roman" w:cs="Times New Roman"/>
          <w:noProof/>
          <w:sz w:val="24"/>
          <w:szCs w:val="24"/>
          <w:lang w:val="en-GB" w:eastAsia="en-US"/>
        </w:rPr>
        <w:t>t</w:t>
      </w:r>
      <w:r>
        <w:rPr>
          <w:rFonts w:ascii="Times New Roman" w:hAnsi="Times New Roman" w:cs="Times New Roman"/>
          <w:noProof/>
          <w:sz w:val="24"/>
          <w:szCs w:val="24"/>
          <w:lang w:eastAsia="en-US"/>
        </w:rPr>
        <w:t>he Commission is also adopting a</w:t>
      </w:r>
      <w:r>
        <w:rPr>
          <w:rFonts w:ascii="Times New Roman" w:hAnsi="Times New Roman" w:cs="Times New Roman"/>
          <w:b/>
          <w:noProof/>
          <w:sz w:val="24"/>
          <w:szCs w:val="24"/>
          <w:lang w:eastAsia="en-US"/>
        </w:rPr>
        <w:t xml:space="preserve"> </w:t>
      </w:r>
      <w:r>
        <w:rPr>
          <w:rFonts w:ascii="Times New Roman" w:hAnsi="Times New Roman" w:cs="Times New Roman"/>
          <w:noProof/>
          <w:sz w:val="24"/>
          <w:szCs w:val="24"/>
          <w:lang w:eastAsia="en-US"/>
        </w:rPr>
        <w:t>Recommendation on making returns more effe</w:t>
      </w:r>
      <w:r>
        <w:rPr>
          <w:rFonts w:ascii="Times New Roman" w:hAnsi="Times New Roman" w:cs="Times New Roman"/>
          <w:noProof/>
          <w:sz w:val="24"/>
          <w:szCs w:val="24"/>
          <w:lang w:eastAsia="en-US"/>
        </w:rPr>
        <w:t>ctive when implementing the Return Directive.</w:t>
      </w:r>
      <w:r>
        <w:rPr>
          <w:rStyle w:val="FootnoteReference"/>
          <w:rFonts w:ascii="Times New Roman" w:hAnsi="Times New Roman" w:cs="Times New Roman"/>
          <w:noProof/>
          <w:sz w:val="24"/>
          <w:szCs w:val="24"/>
          <w:lang w:eastAsia="en-US"/>
        </w:rPr>
        <w:footnoteReference w:id="10"/>
      </w:r>
    </w:p>
    <w:p w:rsidR="00CA5BE7" w:rsidRDefault="00F94E0A">
      <w:pPr>
        <w:pStyle w:val="Heading1"/>
        <w:jc w:val="both"/>
        <w:rPr>
          <w:rFonts w:ascii="Times New Roman" w:eastAsia="Calibri" w:hAnsi="Times New Roman"/>
          <w:noProof/>
          <w:color w:val="000000" w:themeColor="text1"/>
        </w:rPr>
      </w:pPr>
      <w:r>
        <w:rPr>
          <w:rFonts w:ascii="Times New Roman" w:eastAsia="Calibri" w:hAnsi="Times New Roman"/>
          <w:noProof/>
          <w:color w:val="000000" w:themeColor="text1"/>
        </w:rPr>
        <w:t>I - The EU return system: making national administrative systems and return procedures more effective</w:t>
      </w:r>
    </w:p>
    <w:p w:rsidR="00CA5BE7" w:rsidRDefault="00CA5BE7">
      <w:pPr>
        <w:jc w:val="both"/>
        <w:rPr>
          <w:rFonts w:eastAsia="Calibri"/>
          <w:b/>
          <w:noProof/>
        </w:rPr>
      </w:pPr>
    </w:p>
    <w:p w:rsidR="00CA5BE7" w:rsidRDefault="00F94E0A">
      <w:pPr>
        <w:spacing w:after="120"/>
        <w:jc w:val="both"/>
        <w:rPr>
          <w:b/>
          <w:noProof/>
        </w:rPr>
      </w:pPr>
      <w:r>
        <w:rPr>
          <w:b/>
          <w:noProof/>
        </w:rPr>
        <w:t>I.1 The Return Directive</w:t>
      </w:r>
    </w:p>
    <w:p w:rsidR="00CA5BE7" w:rsidRDefault="00F94E0A">
      <w:pPr>
        <w:jc w:val="both"/>
        <w:rPr>
          <w:noProof/>
        </w:rPr>
      </w:pPr>
      <w:r>
        <w:rPr>
          <w:noProof/>
        </w:rPr>
        <w:t xml:space="preserve">The main piece of legislation that regulates the return of irregular migrants is the </w:t>
      </w:r>
      <w:r>
        <w:rPr>
          <w:b/>
          <w:noProof/>
        </w:rPr>
        <w:t>Directive 2008/115/EC</w:t>
      </w:r>
      <w:r>
        <w:rPr>
          <w:noProof/>
        </w:rPr>
        <w:t xml:space="preserve"> </w:t>
      </w:r>
      <w:r>
        <w:rPr>
          <w:b/>
          <w:noProof/>
        </w:rPr>
        <w:t>("Return Directive")</w:t>
      </w:r>
      <w:r>
        <w:rPr>
          <w:noProof/>
        </w:rPr>
        <w:t>. This Directive</w:t>
      </w:r>
      <w:r>
        <w:rPr>
          <w:b/>
          <w:noProof/>
        </w:rPr>
        <w:t xml:space="preserve"> </w:t>
      </w:r>
      <w:r>
        <w:rPr>
          <w:noProof/>
        </w:rPr>
        <w:t>sets the common standards and procedures for the effective return of irregular migrants while respecting their f</w:t>
      </w:r>
      <w:r>
        <w:rPr>
          <w:noProof/>
        </w:rPr>
        <w:t xml:space="preserve">undamental rights and the principle of </w:t>
      </w:r>
      <w:r>
        <w:rPr>
          <w:i/>
          <w:noProof/>
        </w:rPr>
        <w:t>non-refoulement</w:t>
      </w:r>
      <w:r>
        <w:rPr>
          <w:noProof/>
        </w:rPr>
        <w:t>. At the same, the Directive leaves necessary room of manoeuvre to Member States on how to reach this objective.</w:t>
      </w:r>
    </w:p>
    <w:p w:rsidR="00CA5BE7" w:rsidRDefault="00F94E0A">
      <w:pPr>
        <w:tabs>
          <w:tab w:val="left" w:pos="6507"/>
        </w:tabs>
        <w:jc w:val="both"/>
        <w:rPr>
          <w:noProof/>
        </w:rPr>
      </w:pPr>
      <w:r>
        <w:rPr>
          <w:noProof/>
        </w:rPr>
        <w:tab/>
      </w:r>
    </w:p>
    <w:p w:rsidR="00CA5BE7" w:rsidRDefault="00F94E0A">
      <w:pPr>
        <w:jc w:val="both"/>
        <w:rPr>
          <w:rFonts w:eastAsia="Calibri"/>
          <w:noProof/>
        </w:rPr>
      </w:pPr>
      <w:r>
        <w:rPr>
          <w:rFonts w:eastAsia="Calibri"/>
          <w:noProof/>
        </w:rPr>
        <w:t>A thorough overview of the main challenges that Member States face in carrying out retu</w:t>
      </w:r>
      <w:r>
        <w:rPr>
          <w:rFonts w:eastAsia="Calibri"/>
          <w:noProof/>
        </w:rPr>
        <w:t>rns has been provided through the Schengen Evaluation Mechanism</w:t>
      </w:r>
      <w:r>
        <w:rPr>
          <w:rStyle w:val="FootnoteReference"/>
          <w:rFonts w:eastAsia="Calibri"/>
          <w:noProof/>
        </w:rPr>
        <w:footnoteReference w:id="11"/>
      </w:r>
      <w:r>
        <w:rPr>
          <w:rFonts w:eastAsia="Calibri"/>
          <w:noProof/>
        </w:rPr>
        <w:t xml:space="preserve"> and the information collected by the European Migration Network. This demonstrates the need for Member States to use to the full extent the flexibility provided for in the Return Directive to</w:t>
      </w:r>
      <w:r>
        <w:rPr>
          <w:rFonts w:eastAsia="Calibri"/>
          <w:noProof/>
        </w:rPr>
        <w:t xml:space="preserve"> enhance their capacity to return the increasing number of irregular migrants present in the European Union.</w:t>
      </w:r>
    </w:p>
    <w:p w:rsidR="00CA5BE7" w:rsidRDefault="00F94E0A">
      <w:pPr>
        <w:jc w:val="both"/>
        <w:rPr>
          <w:rFonts w:eastAsia="Calibri"/>
          <w:noProof/>
        </w:rPr>
      </w:pPr>
      <w:r>
        <w:rPr>
          <w:rFonts w:eastAsia="Calibri"/>
          <w:noProof/>
        </w:rPr>
        <w:t>Moreover, with the support of the Commission, Member States should identify and exchange good practices to disincentivise irregular stay by third-c</w:t>
      </w:r>
      <w:r>
        <w:rPr>
          <w:rFonts w:eastAsia="Calibri"/>
          <w:noProof/>
        </w:rPr>
        <w:t xml:space="preserve">ountry nationals on their territory.  </w:t>
      </w:r>
    </w:p>
    <w:p w:rsidR="00CA5BE7" w:rsidRDefault="00CA5BE7">
      <w:pPr>
        <w:jc w:val="both"/>
        <w:rPr>
          <w:rFonts w:eastAsia="Calibri"/>
          <w:noProof/>
        </w:rPr>
      </w:pPr>
    </w:p>
    <w:p w:rsidR="00CA5BE7" w:rsidRDefault="00F94E0A">
      <w:pPr>
        <w:jc w:val="both"/>
        <w:rPr>
          <w:rFonts w:eastAsia="Calibri"/>
          <w:noProof/>
        </w:rPr>
      </w:pPr>
      <w:r>
        <w:rPr>
          <w:rFonts w:eastAsia="Calibri"/>
          <w:noProof/>
        </w:rPr>
        <w:t xml:space="preserve">These measures must be implemented in full compliance with primary law, including the </w:t>
      </w:r>
      <w:r>
        <w:rPr>
          <w:rFonts w:eastAsia="Calibri"/>
          <w:b/>
          <w:noProof/>
        </w:rPr>
        <w:t xml:space="preserve">EU </w:t>
      </w:r>
      <w:r>
        <w:rPr>
          <w:rFonts w:eastAsia="Calibri"/>
          <w:noProof/>
        </w:rPr>
        <w:t>Charter of Fundamental Rights of the European Union and with the EU acquis on migration. To this end, the Return Directive alre</w:t>
      </w:r>
      <w:r>
        <w:rPr>
          <w:rFonts w:eastAsia="Calibri"/>
          <w:noProof/>
        </w:rPr>
        <w:t>ady contains a robust set of norms, including the possibility of effective remedy to challenge a return decision, respect for family unity and the best interests of the child and the special needs of vulnerable persons.</w:t>
      </w:r>
    </w:p>
    <w:p w:rsidR="00CA5BE7" w:rsidRDefault="00CA5BE7">
      <w:pPr>
        <w:jc w:val="both"/>
        <w:rPr>
          <w:noProof/>
          <w:lang w:eastAsia="en-US"/>
        </w:rPr>
      </w:pPr>
    </w:p>
    <w:p w:rsidR="00CA5BE7" w:rsidRDefault="00F94E0A">
      <w:pPr>
        <w:jc w:val="both"/>
        <w:rPr>
          <w:noProof/>
          <w:lang w:eastAsia="en-US"/>
        </w:rPr>
      </w:pPr>
      <w:r>
        <w:rPr>
          <w:noProof/>
          <w:lang w:eastAsia="en-US"/>
        </w:rPr>
        <w:t>The Commission will continue to mon</w:t>
      </w:r>
      <w:r>
        <w:rPr>
          <w:noProof/>
          <w:lang w:eastAsia="en-US"/>
        </w:rPr>
        <w:t xml:space="preserve">itor the application of and the compliance with the Return Directive, to address the specific deficiencies of the national systems. In order to </w:t>
      </w:r>
      <w:r>
        <w:rPr>
          <w:noProof/>
          <w:lang w:eastAsia="en-US"/>
        </w:rPr>
        <w:lastRenderedPageBreak/>
        <w:t>provide guidance on how the provisions of the Directive can be used for more effective returns, the Commission i</w:t>
      </w:r>
      <w:r>
        <w:rPr>
          <w:noProof/>
          <w:lang w:eastAsia="en-US"/>
        </w:rPr>
        <w:t xml:space="preserve">s adopting today a </w:t>
      </w:r>
      <w:r>
        <w:rPr>
          <w:b/>
          <w:noProof/>
          <w:lang w:eastAsia="en-US"/>
        </w:rPr>
        <w:t>Recommendation</w:t>
      </w:r>
      <w:r>
        <w:rPr>
          <w:noProof/>
          <w:lang w:eastAsia="en-US"/>
        </w:rPr>
        <w:t xml:space="preserve"> </w:t>
      </w:r>
      <w:r>
        <w:rPr>
          <w:b/>
          <w:noProof/>
          <w:lang w:eastAsia="en-US"/>
        </w:rPr>
        <w:t>on making returns more effective when implementing the Return Directive.</w:t>
      </w:r>
      <w:r>
        <w:rPr>
          <w:rStyle w:val="FootnoteReference"/>
          <w:noProof/>
          <w:lang w:eastAsia="en-US"/>
        </w:rPr>
        <w:footnoteReference w:id="12"/>
      </w:r>
      <w:r>
        <w:rPr>
          <w:b/>
          <w:noProof/>
          <w:lang w:eastAsia="en-US"/>
        </w:rPr>
        <w:t xml:space="preserve"> </w:t>
      </w:r>
      <w:r>
        <w:rPr>
          <w:noProof/>
        </w:rPr>
        <w:t>Member States should take immediate actions in line with this Recommendation. In addition, the</w:t>
      </w:r>
      <w:r>
        <w:rPr>
          <w:noProof/>
          <w:lang w:eastAsia="en-US"/>
        </w:rPr>
        <w:t xml:space="preserve"> Return Handbook</w:t>
      </w:r>
      <w:r>
        <w:rPr>
          <w:rStyle w:val="FootnoteReference"/>
          <w:noProof/>
          <w:lang w:eastAsia="en-US"/>
        </w:rPr>
        <w:footnoteReference w:id="13"/>
      </w:r>
      <w:r>
        <w:rPr>
          <w:noProof/>
          <w:lang w:eastAsia="en-US"/>
        </w:rPr>
        <w:t>, which provides guidance on the inte</w:t>
      </w:r>
      <w:r>
        <w:rPr>
          <w:noProof/>
          <w:lang w:eastAsia="en-US"/>
        </w:rPr>
        <w:t>rpretation and practical application of the provisions of the Return Directive, needs to be further updated including to ensure consistency</w:t>
      </w:r>
      <w:r>
        <w:rPr>
          <w:noProof/>
        </w:rPr>
        <w:t xml:space="preserve"> with this Recommendation.</w:t>
      </w:r>
    </w:p>
    <w:p w:rsidR="00CA5BE7" w:rsidRDefault="00CA5BE7">
      <w:pPr>
        <w:jc w:val="both"/>
        <w:rPr>
          <w:noProof/>
          <w:lang w:eastAsia="en-US"/>
        </w:rPr>
      </w:pPr>
    </w:p>
    <w:p w:rsidR="00CA5BE7" w:rsidRDefault="00F94E0A">
      <w:pPr>
        <w:jc w:val="both"/>
        <w:rPr>
          <w:noProof/>
          <w:lang w:eastAsia="en-US"/>
        </w:rPr>
      </w:pPr>
      <w:r>
        <w:rPr>
          <w:noProof/>
          <w:lang w:eastAsia="en-US"/>
        </w:rPr>
        <w:t>Based on the experience with the implementation of this Recommendation and depending on t</w:t>
      </w:r>
      <w:r>
        <w:rPr>
          <w:noProof/>
          <w:lang w:eastAsia="en-US"/>
        </w:rPr>
        <w:t>he need to take further actions to substantially increase the return rates, the Commission stands ready to launch a revision of the Return Directive.</w:t>
      </w:r>
    </w:p>
    <w:p w:rsidR="00CA5BE7" w:rsidRDefault="00CA5BE7">
      <w:pPr>
        <w:jc w:val="both"/>
        <w:rPr>
          <w:noProof/>
          <w:lang w:eastAsia="en-US"/>
        </w:rPr>
      </w:pPr>
    </w:p>
    <w:p w:rsidR="00CA5BE7" w:rsidRDefault="00F94E0A">
      <w:pPr>
        <w:jc w:val="both"/>
        <w:rPr>
          <w:b/>
          <w:noProof/>
          <w:lang w:eastAsia="en-US"/>
        </w:rPr>
      </w:pPr>
      <w:r>
        <w:rPr>
          <w:b/>
          <w:noProof/>
          <w:lang w:eastAsia="en-US"/>
        </w:rPr>
        <w:t>The Way Forward</w:t>
      </w:r>
    </w:p>
    <w:p w:rsidR="00CA5BE7" w:rsidRDefault="00CA5BE7">
      <w:pPr>
        <w:jc w:val="both"/>
        <w:rPr>
          <w:rFonts w:eastAsia="Calibri"/>
          <w:b/>
          <w:noProof/>
        </w:rPr>
      </w:pPr>
    </w:p>
    <w:p w:rsidR="00CA5BE7" w:rsidRDefault="00F94E0A">
      <w:pPr>
        <w:jc w:val="both"/>
        <w:rPr>
          <w:noProof/>
          <w:lang w:eastAsia="en-US"/>
        </w:rPr>
      </w:pPr>
      <w:r>
        <w:rPr>
          <w:rFonts w:eastAsia="Calibri"/>
          <w:noProof/>
        </w:rPr>
        <mc:AlternateContent>
          <mc:Choice Requires="wps">
            <w:drawing>
              <wp:anchor distT="0" distB="0" distL="114300" distR="114300" simplePos="0" relativeHeight="251658240" behindDoc="0" locked="0" layoutInCell="1" allowOverlap="1" wp14:anchorId="71C113E9" wp14:editId="1725CCE8">
                <wp:simplePos x="0" y="0"/>
                <wp:positionH relativeFrom="column">
                  <wp:posOffset>-1298</wp:posOffset>
                </wp:positionH>
                <wp:positionV relativeFrom="paragraph">
                  <wp:posOffset>2015</wp:posOffset>
                </wp:positionV>
                <wp:extent cx="5720080" cy="1765190"/>
                <wp:effectExtent l="0" t="0" r="13970" b="260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765190"/>
                        </a:xfrm>
                        <a:prstGeom prst="rect">
                          <a:avLst/>
                        </a:prstGeom>
                        <a:solidFill>
                          <a:srgbClr val="FFFFFF"/>
                        </a:solidFill>
                        <a:ln w="9525">
                          <a:solidFill>
                            <a:srgbClr val="000000"/>
                          </a:solidFill>
                          <a:miter lim="800000"/>
                          <a:headEnd/>
                          <a:tailEnd/>
                        </a:ln>
                      </wps:spPr>
                      <wps:txbx>
                        <w:txbxContent>
                          <w:p w:rsidR="00CA5BE7" w:rsidRDefault="00F94E0A">
                            <w:pPr>
                              <w:jc w:val="both"/>
                              <w:rPr>
                                <w:rFonts w:eastAsia="Calibri"/>
                              </w:rPr>
                            </w:pPr>
                            <w:r>
                              <w:rPr>
                                <w:rFonts w:eastAsia="Calibri"/>
                              </w:rPr>
                              <w:t>- Member States should take immediate actions in line with the Commission's Recommend</w:t>
                            </w:r>
                            <w:r>
                              <w:rPr>
                                <w:rFonts w:eastAsia="Calibri"/>
                              </w:rPr>
                              <w:t>ation.</w:t>
                            </w:r>
                          </w:p>
                          <w:p w:rsidR="00CA5BE7" w:rsidRDefault="00F94E0A">
                            <w:pPr>
                              <w:jc w:val="both"/>
                            </w:pPr>
                            <w:r>
                              <w:rPr>
                                <w:rFonts w:eastAsia="Calibri"/>
                              </w:rPr>
                              <w:t xml:space="preserve">- The </w:t>
                            </w:r>
                            <w:r>
                              <w:t>Commission will update the Return Handbook also taking into account the Recommendation by Mid-2017.</w:t>
                            </w:r>
                          </w:p>
                          <w:p w:rsidR="00CA5BE7" w:rsidRDefault="00F94E0A">
                            <w:pPr>
                              <w:jc w:val="both"/>
                              <w:rPr>
                                <w:rFonts w:eastAsia="Calibri"/>
                              </w:rPr>
                            </w:pPr>
                            <w:r>
                              <w:t xml:space="preserve">-  The </w:t>
                            </w:r>
                            <w:r>
                              <w:rPr>
                                <w:rFonts w:eastAsia="Calibri"/>
                              </w:rPr>
                              <w:t xml:space="preserve">Commission together with Member States will continue monitoring the application of and the compliance with the Return Directive notably </w:t>
                            </w:r>
                            <w:r>
                              <w:rPr>
                                <w:rFonts w:eastAsia="Calibri"/>
                              </w:rPr>
                              <w:t>through the Schengen evaluation on return.</w:t>
                            </w:r>
                          </w:p>
                          <w:p w:rsidR="00CA5BE7" w:rsidRDefault="00F94E0A">
                            <w:pPr>
                              <w:jc w:val="both"/>
                            </w:pPr>
                            <w:r>
                              <w:rPr>
                                <w:rFonts w:eastAsia="Calibri"/>
                              </w:rPr>
                              <w:t>- Supported by the Commission, Member States should identify good practices on disincentives against irregular stay by third-country nationals in 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pt;margin-top:.15pt;width:450.4pt;height:1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">
                <v:textbox>
                  <w:txbxContent>
                    <w:p w:rsidR="00CA5BE7" w:rsidRDefault="00F94E0A">
                      <w:pPr>
                        <w:jc w:val="both"/>
                        <w:rPr>
                          <w:rFonts w:eastAsia="Calibri"/>
                        </w:rPr>
                      </w:pPr>
                      <w:r>
                        <w:rPr>
                          <w:rFonts w:eastAsia="Calibri"/>
                        </w:rPr>
                        <w:t>- Member States should take immediate actions in line with the Commission's Recommend</w:t>
                      </w:r>
                      <w:r>
                        <w:rPr>
                          <w:rFonts w:eastAsia="Calibri"/>
                        </w:rPr>
                        <w:t>ation.</w:t>
                      </w:r>
                    </w:p>
                    <w:p w:rsidR="00CA5BE7" w:rsidRDefault="00F94E0A">
                      <w:pPr>
                        <w:jc w:val="both"/>
                      </w:pPr>
                      <w:r>
                        <w:rPr>
                          <w:rFonts w:eastAsia="Calibri"/>
                        </w:rPr>
                        <w:t xml:space="preserve">- The </w:t>
                      </w:r>
                      <w:r>
                        <w:t>Commission will update the Return Handbook also taking into account the Recommendation by Mid-2017.</w:t>
                      </w:r>
                    </w:p>
                    <w:p w:rsidR="00CA5BE7" w:rsidRDefault="00F94E0A">
                      <w:pPr>
                        <w:jc w:val="both"/>
                        <w:rPr>
                          <w:rFonts w:eastAsia="Calibri"/>
                        </w:rPr>
                      </w:pPr>
                      <w:r>
                        <w:t xml:space="preserve">-  The </w:t>
                      </w:r>
                      <w:r>
                        <w:rPr>
                          <w:rFonts w:eastAsia="Calibri"/>
                        </w:rPr>
                        <w:t xml:space="preserve">Commission together with Member States will continue monitoring the application of and the compliance with the Return Directive notably </w:t>
                      </w:r>
                      <w:r>
                        <w:rPr>
                          <w:rFonts w:eastAsia="Calibri"/>
                        </w:rPr>
                        <w:t>through the Schengen evaluation on return.</w:t>
                      </w:r>
                    </w:p>
                    <w:p w:rsidR="00CA5BE7" w:rsidRDefault="00F94E0A">
                      <w:pPr>
                        <w:jc w:val="both"/>
                      </w:pPr>
                      <w:r>
                        <w:rPr>
                          <w:rFonts w:eastAsia="Calibri"/>
                        </w:rPr>
                        <w:t>- Supported by the Commission, Member States should identify good practices on disincentives against irregular stay by third-country nationals in 2017.</w:t>
                      </w:r>
                    </w:p>
                  </w:txbxContent>
                </v:textbox>
              </v:shape>
            </w:pict>
          </mc:Fallback>
        </mc:AlternateContent>
      </w:r>
    </w:p>
    <w:p w:rsidR="00CA5BE7" w:rsidRDefault="00CA5BE7">
      <w:pPr>
        <w:jc w:val="both"/>
        <w:rPr>
          <w:noProof/>
          <w:lang w:eastAsia="en-US"/>
        </w:rPr>
      </w:pPr>
    </w:p>
    <w:p w:rsidR="00CA5BE7" w:rsidRDefault="00CA5BE7">
      <w:pPr>
        <w:jc w:val="both"/>
        <w:rPr>
          <w:noProof/>
          <w:lang w:eastAsia="en-US"/>
        </w:rPr>
      </w:pPr>
    </w:p>
    <w:p w:rsidR="00CA5BE7" w:rsidRDefault="00CA5BE7">
      <w:pPr>
        <w:jc w:val="both"/>
        <w:rPr>
          <w:noProof/>
          <w:lang w:eastAsia="en-US"/>
        </w:rPr>
      </w:pPr>
    </w:p>
    <w:p w:rsidR="00CA5BE7" w:rsidRDefault="00CA5BE7">
      <w:pPr>
        <w:jc w:val="both"/>
        <w:rPr>
          <w:noProof/>
          <w:lang w:eastAsia="en-US"/>
        </w:rPr>
      </w:pPr>
    </w:p>
    <w:p w:rsidR="00CA5BE7" w:rsidRDefault="00CA5BE7">
      <w:pPr>
        <w:jc w:val="both"/>
        <w:rPr>
          <w:noProof/>
          <w:lang w:eastAsia="en-US"/>
        </w:rPr>
      </w:pPr>
    </w:p>
    <w:p w:rsidR="00CA5BE7" w:rsidRDefault="00CA5BE7">
      <w:pPr>
        <w:jc w:val="both"/>
        <w:rPr>
          <w:noProof/>
          <w:lang w:eastAsia="en-US"/>
        </w:rPr>
      </w:pPr>
    </w:p>
    <w:p w:rsidR="00CA5BE7" w:rsidRDefault="00CA5BE7">
      <w:pPr>
        <w:jc w:val="both"/>
        <w:rPr>
          <w:noProof/>
          <w:lang w:eastAsia="en-US"/>
        </w:rPr>
      </w:pPr>
    </w:p>
    <w:p w:rsidR="00CA5BE7" w:rsidRDefault="00CA5BE7">
      <w:pPr>
        <w:jc w:val="both"/>
        <w:rPr>
          <w:rFonts w:eastAsia="Calibri"/>
          <w:b/>
          <w:noProof/>
          <w:u w:val="single"/>
        </w:rPr>
      </w:pPr>
    </w:p>
    <w:p w:rsidR="00CA5BE7" w:rsidRDefault="00CA5BE7">
      <w:pPr>
        <w:jc w:val="both"/>
        <w:rPr>
          <w:rFonts w:eastAsia="Calibri"/>
          <w:b/>
          <w:noProof/>
          <w:u w:val="single"/>
        </w:rPr>
      </w:pPr>
    </w:p>
    <w:p w:rsidR="00CA5BE7" w:rsidRDefault="00CA5BE7">
      <w:pPr>
        <w:jc w:val="both"/>
        <w:rPr>
          <w:rFonts w:eastAsia="Calibri"/>
          <w:b/>
          <w:noProof/>
          <w:u w:val="single"/>
        </w:rPr>
      </w:pPr>
    </w:p>
    <w:p w:rsidR="00CA5BE7" w:rsidRDefault="00F94E0A">
      <w:pPr>
        <w:jc w:val="both"/>
        <w:rPr>
          <w:rFonts w:eastAsia="Calibri"/>
          <w:b/>
          <w:noProof/>
          <w:u w:val="single"/>
        </w:rPr>
      </w:pPr>
      <w:r>
        <w:rPr>
          <w:rFonts w:eastAsia="Calibri"/>
          <w:b/>
          <w:noProof/>
          <w:u w:val="single"/>
        </w:rPr>
        <w:t>I. 2- Addressing abuses of the asylum procedures</w:t>
      </w:r>
    </w:p>
    <w:p w:rsidR="00CA5BE7" w:rsidRDefault="00CA5BE7">
      <w:pPr>
        <w:jc w:val="both"/>
        <w:rPr>
          <w:rFonts w:eastAsia="Calibri"/>
          <w:noProof/>
        </w:rPr>
      </w:pPr>
    </w:p>
    <w:p w:rsidR="00CA5BE7" w:rsidRDefault="00F94E0A">
      <w:pPr>
        <w:jc w:val="both"/>
        <w:rPr>
          <w:rFonts w:eastAsia="Calibri"/>
          <w:noProof/>
        </w:rPr>
      </w:pPr>
      <w:r>
        <w:rPr>
          <w:rFonts w:eastAsia="Calibri"/>
          <w:noProof/>
        </w:rPr>
        <w:t>Rejected asylum seekers represent an important share of the irregular migrants present in the European Union. While many people arriving to the European Union flee from war, violence and persecution, others use asylum claims as a mean of prolonging their p</w:t>
      </w:r>
      <w:r>
        <w:rPr>
          <w:rFonts w:eastAsia="Calibri"/>
          <w:noProof/>
        </w:rPr>
        <w:t>resence in Europe and preventing return. Often, clearly unfounded asylum applications are filed during the last stages of the return procedures, including days or hours before departure – only for the purpose of delaying or preventing the return. This puts</w:t>
      </w:r>
      <w:r>
        <w:rPr>
          <w:rFonts w:eastAsia="Calibri"/>
          <w:noProof/>
        </w:rPr>
        <w:t xml:space="preserve"> a heavy burden on the asylum systems of the Member States.</w:t>
      </w:r>
    </w:p>
    <w:p w:rsidR="00CA5BE7" w:rsidRDefault="00CA5BE7">
      <w:pPr>
        <w:jc w:val="both"/>
        <w:rPr>
          <w:rFonts w:eastAsia="Calibri"/>
          <w:noProof/>
        </w:rPr>
      </w:pPr>
    </w:p>
    <w:p w:rsidR="00CA5BE7" w:rsidRDefault="00F94E0A">
      <w:pPr>
        <w:jc w:val="both"/>
        <w:rPr>
          <w:rFonts w:eastAsia="Calibri"/>
          <w:noProof/>
        </w:rPr>
      </w:pPr>
      <w:r>
        <w:rPr>
          <w:rFonts w:eastAsia="Calibri"/>
          <w:noProof/>
        </w:rPr>
        <w:t>The case of Nigerian nationals is a telling example: more than 37,000 entered the European Union irregularly in 2016 – the first nationality arriving via the Central Mediterranean route – and mor</w:t>
      </w:r>
      <w:r>
        <w:rPr>
          <w:rFonts w:eastAsia="Calibri"/>
          <w:noProof/>
        </w:rPr>
        <w:t>e than 47,000 asylum applications of Nigerian nationals were registered in 2016. For the first three quarters of 2016, the recognition rate of asylum applications lodged by Nigerian nationals stood at 8%, indicating that more than 40,000 of the application</w:t>
      </w:r>
      <w:r>
        <w:rPr>
          <w:rFonts w:eastAsia="Calibri"/>
          <w:noProof/>
        </w:rPr>
        <w:t>s lodged in 2016 are, in principle, likely to be rejected.</w:t>
      </w:r>
    </w:p>
    <w:p w:rsidR="00CA5BE7" w:rsidRDefault="00CA5BE7">
      <w:pPr>
        <w:jc w:val="both"/>
        <w:rPr>
          <w:rFonts w:eastAsia="Calibri"/>
          <w:noProof/>
        </w:rPr>
      </w:pPr>
    </w:p>
    <w:p w:rsidR="00CA5BE7" w:rsidRDefault="00F94E0A">
      <w:pPr>
        <w:jc w:val="both"/>
        <w:rPr>
          <w:rFonts w:eastAsia="Calibri"/>
          <w:noProof/>
        </w:rPr>
      </w:pPr>
      <w:r>
        <w:rPr>
          <w:rFonts w:eastAsia="Calibri"/>
          <w:noProof/>
        </w:rPr>
        <w:t xml:space="preserve">To prevent such situations, </w:t>
      </w:r>
      <w:r>
        <w:rPr>
          <w:rFonts w:eastAsia="Calibri"/>
          <w:b/>
          <w:noProof/>
        </w:rPr>
        <w:t>Member States should immediately use all the possibilities provided by the existing asylum legislation in order to address the abuses of the asylum system</w:t>
      </w:r>
      <w:r>
        <w:rPr>
          <w:rFonts w:eastAsia="Calibri"/>
          <w:noProof/>
        </w:rPr>
        <w:t xml:space="preserve"> by irregular </w:t>
      </w:r>
      <w:r>
        <w:rPr>
          <w:rFonts w:eastAsia="Calibri"/>
          <w:noProof/>
        </w:rPr>
        <w:t xml:space="preserve">migrants who manifestly are not in need of international protection. They should in particular use the provisions on accelerated asylum procedures, on the treatment of </w:t>
      </w:r>
      <w:r>
        <w:rPr>
          <w:rFonts w:eastAsia="Calibri"/>
          <w:noProof/>
        </w:rPr>
        <w:lastRenderedPageBreak/>
        <w:t xml:space="preserve">subsequent applications, on the non-automatic suspensive effect of appeals, notably for </w:t>
      </w:r>
      <w:r>
        <w:rPr>
          <w:rFonts w:eastAsia="Calibri"/>
          <w:noProof/>
        </w:rPr>
        <w:t>those migrants coming from countries that are considered safe or with a low recognition rate.</w:t>
      </w:r>
    </w:p>
    <w:p w:rsidR="00CA5BE7" w:rsidRDefault="00CA5BE7">
      <w:pPr>
        <w:jc w:val="both"/>
        <w:rPr>
          <w:rFonts w:eastAsia="Calibri"/>
          <w:noProof/>
        </w:rPr>
      </w:pPr>
    </w:p>
    <w:p w:rsidR="00CA5BE7" w:rsidRDefault="00F94E0A">
      <w:pPr>
        <w:jc w:val="both"/>
        <w:rPr>
          <w:rFonts w:eastAsia="Calibri"/>
          <w:noProof/>
          <w:color w:val="000000"/>
        </w:rPr>
      </w:pPr>
      <w:r>
        <w:rPr>
          <w:rFonts w:eastAsia="Calibri"/>
          <w:noProof/>
        </w:rPr>
        <w:t>It is crucial that asylum and return procedures flawlessly work together.</w:t>
      </w:r>
      <w:r>
        <w:rPr>
          <w:rFonts w:eastAsia="Calibri"/>
          <w:noProof/>
          <w:color w:val="000000"/>
        </w:rPr>
        <w:t xml:space="preserve"> A rapid and effective decision making process is in the interest of both the </w:t>
      </w:r>
      <w:r>
        <w:rPr>
          <w:rFonts w:eastAsia="Calibri"/>
          <w:i/>
          <w:noProof/>
          <w:color w:val="000000"/>
        </w:rPr>
        <w:t>bona fide</w:t>
      </w:r>
      <w:r>
        <w:rPr>
          <w:rFonts w:eastAsia="Calibri"/>
          <w:noProof/>
          <w:color w:val="000000"/>
        </w:rPr>
        <w:t xml:space="preserve"> </w:t>
      </w:r>
      <w:r>
        <w:rPr>
          <w:rFonts w:eastAsia="Calibri"/>
          <w:noProof/>
          <w:color w:val="000000"/>
        </w:rPr>
        <w:t>applicants and the Member States. Therefore, a f</w:t>
      </w:r>
      <w:r>
        <w:rPr>
          <w:rFonts w:eastAsia="Calibri"/>
          <w:noProof/>
        </w:rPr>
        <w:t>ormal link between the two processes</w:t>
      </w:r>
      <w:r>
        <w:rPr>
          <w:rFonts w:eastAsia="Calibri"/>
          <w:noProof/>
          <w:color w:val="000000"/>
        </w:rPr>
        <w:t xml:space="preserve"> and better communication and exchange of information between asylum and return authorities are essential.</w:t>
      </w:r>
    </w:p>
    <w:p w:rsidR="00CA5BE7" w:rsidRDefault="00CA5BE7">
      <w:pPr>
        <w:jc w:val="both"/>
        <w:rPr>
          <w:rFonts w:eastAsia="Calibri"/>
          <w:noProof/>
          <w:color w:val="000000"/>
        </w:rPr>
      </w:pPr>
    </w:p>
    <w:p w:rsidR="00CA5BE7" w:rsidRDefault="00F94E0A">
      <w:pPr>
        <w:jc w:val="both"/>
        <w:rPr>
          <w:rFonts w:eastAsia="Calibri"/>
          <w:noProof/>
          <w:color w:val="000000"/>
        </w:rPr>
      </w:pPr>
      <w:r>
        <w:rPr>
          <w:rFonts w:eastAsia="Calibri"/>
          <w:noProof/>
        </w:rPr>
        <w:t>In the longer term, the reform of the Common European Asylum Sys</w:t>
      </w:r>
      <w:r>
        <w:rPr>
          <w:rFonts w:eastAsia="Calibri"/>
          <w:noProof/>
        </w:rPr>
        <w:t>tem, tabled by the Commission in 2016, will also offer new opportunities to ensure streamlined and efficient links between asylum and return procedures. In particular, the proposal for an Asylum Procedure Regulation</w:t>
      </w:r>
      <w:r>
        <w:rPr>
          <w:rStyle w:val="FootnoteReference"/>
          <w:rFonts w:eastAsia="Calibri"/>
          <w:noProof/>
        </w:rPr>
        <w:footnoteReference w:id="14"/>
      </w:r>
      <w:r>
        <w:rPr>
          <w:rFonts w:eastAsia="Calibri"/>
          <w:noProof/>
        </w:rPr>
        <w:t>, provides for the setting up of swifter</w:t>
      </w:r>
      <w:r>
        <w:rPr>
          <w:rFonts w:eastAsia="Calibri"/>
          <w:noProof/>
        </w:rPr>
        <w:t xml:space="preserve"> </w:t>
      </w:r>
      <w:r>
        <w:rPr>
          <w:rFonts w:eastAsia="Calibri"/>
          <w:noProof/>
          <w:color w:val="000000"/>
        </w:rPr>
        <w:t>procedures to respond to manifestly unfounded asylum applications and subsequent applications with no tangible prospect of success, as well as for migrants coming from safe third countries and safe countries of origin, reducing the risk that return operat</w:t>
      </w:r>
      <w:r>
        <w:rPr>
          <w:rFonts w:eastAsia="Calibri"/>
          <w:noProof/>
          <w:color w:val="000000"/>
        </w:rPr>
        <w:t>ions are unduly cancelled or postponed.</w:t>
      </w:r>
    </w:p>
    <w:p w:rsidR="00CA5BE7" w:rsidRDefault="00CA5BE7">
      <w:pPr>
        <w:jc w:val="both"/>
        <w:rPr>
          <w:rFonts w:eastAsia="Calibri"/>
          <w:noProof/>
          <w:color w:val="000000"/>
        </w:rPr>
      </w:pPr>
    </w:p>
    <w:p w:rsidR="00CA5BE7" w:rsidRDefault="00F94E0A">
      <w:pPr>
        <w:jc w:val="both"/>
        <w:rPr>
          <w:rFonts w:eastAsia="Calibri"/>
          <w:b/>
          <w:noProof/>
        </w:rPr>
      </w:pPr>
      <w:r>
        <w:rPr>
          <w:rFonts w:eastAsia="Calibri"/>
          <w:b/>
          <w:noProof/>
          <w:color w:val="000000"/>
        </w:rPr>
        <w:t>The Way Forward</w:t>
      </w:r>
    </w:p>
    <w:p w:rsidR="00CA5BE7" w:rsidRDefault="00CA5BE7">
      <w:pPr>
        <w:jc w:val="both"/>
        <w:rPr>
          <w:rFonts w:eastAsia="Calibri"/>
          <w:noProof/>
        </w:rPr>
      </w:pPr>
    </w:p>
    <w:p w:rsidR="00CA5BE7" w:rsidRDefault="00F94E0A">
      <w:pPr>
        <w:jc w:val="both"/>
        <w:rPr>
          <w:rFonts w:eastAsia="Calibri"/>
          <w:noProof/>
        </w:rPr>
      </w:pPr>
      <w:r>
        <w:rPr>
          <w:rFonts w:eastAsia="Calibri"/>
          <w:noProof/>
        </w:rPr>
        <mc:AlternateContent>
          <mc:Choice Requires="wps">
            <w:drawing>
              <wp:inline distT="0" distB="0" distL="0" distR="0" wp14:anchorId="20328C1E" wp14:editId="4E361857">
                <wp:extent cx="5720080" cy="1677725"/>
                <wp:effectExtent l="0" t="0" r="13970" b="1778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677725"/>
                        </a:xfrm>
                        <a:prstGeom prst="rect">
                          <a:avLst/>
                        </a:prstGeom>
                        <a:solidFill>
                          <a:srgbClr val="FFFFFF"/>
                        </a:solidFill>
                        <a:ln w="9525">
                          <a:solidFill>
                            <a:srgbClr val="000000"/>
                          </a:solidFill>
                          <a:miter lim="800000"/>
                          <a:headEnd/>
                          <a:tailEnd/>
                        </a:ln>
                      </wps:spPr>
                      <wps:txbx>
                        <w:txbxContent>
                          <w:p w:rsidR="00CA5BE7" w:rsidRDefault="00F94E0A">
                            <w:pPr>
                              <w:jc w:val="both"/>
                              <w:rPr>
                                <w:rFonts w:eastAsia="Calibri"/>
                              </w:rPr>
                            </w:pPr>
                            <w:r>
                              <w:rPr>
                                <w:rFonts w:eastAsia="Calibri"/>
                              </w:rPr>
                              <w:t>- Member States should streamline asylum procedures in line with existing European Union legislation in force to reduce the abuses of the asylum system for preventing return.</w:t>
                            </w:r>
                          </w:p>
                          <w:p w:rsidR="00CA5BE7" w:rsidRDefault="00F94E0A">
                            <w:pPr>
                              <w:jc w:val="both"/>
                              <w:rPr>
                                <w:rFonts w:eastAsia="Calibri"/>
                              </w:rPr>
                            </w:pPr>
                            <w:r>
                              <w:rPr>
                                <w:rFonts w:eastAsia="Calibri"/>
                              </w:rPr>
                              <w:t>- Member States shou</w:t>
                            </w:r>
                            <w:r>
                              <w:rPr>
                                <w:rFonts w:eastAsia="Calibri"/>
                              </w:rPr>
                              <w:t>ld use accelerated asylum procedures and inadmissibility procedures in line with European Union legislation to deal with clearly unfounded asylum claims, including subsequent applications; Member States should not grant automatic suspensive effect in the c</w:t>
                            </w:r>
                            <w:r>
                              <w:rPr>
                                <w:rFonts w:eastAsia="Calibri"/>
                              </w:rPr>
                              <w:t>ase of appeals under those grounds.</w:t>
                            </w:r>
                          </w:p>
                          <w:p w:rsidR="00CA5BE7" w:rsidRDefault="00F94E0A">
                            <w:pPr>
                              <w:jc w:val="both"/>
                              <w:rPr>
                                <w:rFonts w:eastAsia="Calibri"/>
                              </w:rPr>
                            </w:pPr>
                            <w:r>
                              <w:rPr>
                                <w:rFonts w:eastAsia="Calibri"/>
                              </w:rPr>
                              <w:t>- Member States should take the necessary administrative measures to better link the asylum and return procedures and improve coordination between the responsible authorities.</w:t>
                            </w:r>
                          </w:p>
                        </w:txbxContent>
                      </wps:txbx>
                      <wps:bodyPr rot="0" vert="horz" wrap="square" lIns="91440" tIns="45720" rIns="91440" bIns="45720" anchor="t" anchorCtr="0">
                        <a:noAutofit/>
                      </wps:bodyPr>
                    </wps:wsp>
                  </a:graphicData>
                </a:graphic>
              </wp:inline>
            </w:drawing>
          </mc:Choice>
          <mc:Fallback>
            <w:pict>
              <v:shape id="Text Box 2" o:spid="_x0000_s1027" type="#_x0000_t202" style="width:450.4pt;height:13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">
                <v:textbox>
                  <w:txbxContent>
                    <w:p w:rsidR="00CA5BE7" w:rsidRDefault="00F94E0A">
                      <w:pPr>
                        <w:jc w:val="both"/>
                        <w:rPr>
                          <w:rFonts w:eastAsia="Calibri"/>
                        </w:rPr>
                      </w:pPr>
                      <w:r>
                        <w:rPr>
                          <w:rFonts w:eastAsia="Calibri"/>
                        </w:rPr>
                        <w:t>- Member States should streamline asylum procedures in line with existing European Union legislation in force to reduce the abuses of the asylum system for preventing return.</w:t>
                      </w:r>
                    </w:p>
                    <w:p w:rsidR="00CA5BE7" w:rsidRDefault="00F94E0A">
                      <w:pPr>
                        <w:jc w:val="both"/>
                        <w:rPr>
                          <w:rFonts w:eastAsia="Calibri"/>
                        </w:rPr>
                      </w:pPr>
                      <w:r>
                        <w:rPr>
                          <w:rFonts w:eastAsia="Calibri"/>
                        </w:rPr>
                        <w:t>- Member States shou</w:t>
                      </w:r>
                      <w:r>
                        <w:rPr>
                          <w:rFonts w:eastAsia="Calibri"/>
                        </w:rPr>
                        <w:t>ld use accelerated asylum procedures and inadmissibility procedures in line with European Union legislation to deal with clearly unfounded asylum claims, including subsequent applications; Member States should not grant automatic suspensive effect in the c</w:t>
                      </w:r>
                      <w:r>
                        <w:rPr>
                          <w:rFonts w:eastAsia="Calibri"/>
                        </w:rPr>
                        <w:t>ase of appeals under those grounds.</w:t>
                      </w:r>
                    </w:p>
                    <w:p w:rsidR="00CA5BE7" w:rsidRDefault="00F94E0A">
                      <w:pPr>
                        <w:jc w:val="both"/>
                        <w:rPr>
                          <w:rFonts w:eastAsia="Calibri"/>
                        </w:rPr>
                      </w:pPr>
                      <w:r>
                        <w:rPr>
                          <w:rFonts w:eastAsia="Calibri"/>
                        </w:rPr>
                        <w:t>- Member States should take the necessary administrative measures to better link the asylum and return procedures and improve coordination between the responsible authorities.</w:t>
                      </w:r>
                    </w:p>
                  </w:txbxContent>
                </v:textbox>
                <w10:anchorlock/>
              </v:shape>
            </w:pict>
          </mc:Fallback>
        </mc:AlternateContent>
      </w:r>
    </w:p>
    <w:p w:rsidR="00CA5BE7" w:rsidRDefault="00CA5BE7">
      <w:pPr>
        <w:jc w:val="both"/>
        <w:rPr>
          <w:rFonts w:eastAsia="Calibri"/>
          <w:noProof/>
        </w:rPr>
      </w:pPr>
    </w:p>
    <w:p w:rsidR="00CA5BE7" w:rsidRDefault="00F94E0A">
      <w:pPr>
        <w:jc w:val="both"/>
        <w:rPr>
          <w:rFonts w:eastAsia="Calibri"/>
          <w:b/>
          <w:noProof/>
          <w:u w:val="single"/>
        </w:rPr>
      </w:pPr>
      <w:r>
        <w:rPr>
          <w:rFonts w:eastAsia="Calibri"/>
          <w:b/>
          <w:noProof/>
          <w:u w:val="single"/>
        </w:rPr>
        <w:t xml:space="preserve">I.3- Enhanced sharing of information to </w:t>
      </w:r>
      <w:r>
        <w:rPr>
          <w:rFonts w:eastAsia="Calibri"/>
          <w:b/>
          <w:noProof/>
          <w:u w:val="single"/>
        </w:rPr>
        <w:t>enforce returns</w:t>
      </w:r>
    </w:p>
    <w:p w:rsidR="00CA5BE7" w:rsidRDefault="00CA5BE7">
      <w:pPr>
        <w:jc w:val="both"/>
        <w:rPr>
          <w:rFonts w:eastAsia="Calibri"/>
          <w:b/>
          <w:i/>
          <w:noProof/>
        </w:rPr>
      </w:pPr>
    </w:p>
    <w:p w:rsidR="00CA5BE7" w:rsidRDefault="00F94E0A">
      <w:pPr>
        <w:jc w:val="both"/>
        <w:rPr>
          <w:rFonts w:eastAsia="Calibri"/>
          <w:noProof/>
        </w:rPr>
      </w:pPr>
      <w:r>
        <w:rPr>
          <w:rFonts w:eastAsia="Calibri"/>
          <w:noProof/>
        </w:rPr>
        <w:t xml:space="preserve">The apprehension, identification and monitoring of irregular migrants are preconditions for effective return. It requires systematic exchange of information within Member States (their Return Authorities and other Government Authorities </w:t>
      </w:r>
      <w:r>
        <w:rPr>
          <w:rFonts w:eastAsia="Calibri"/>
          <w:noProof/>
        </w:rPr>
        <w:t>including Health, Education and Social Services) but also among Member States as well as with EU authorities. The availability of timely information can help Member States better target and plan their return activities. However, much of the needed informat</w:t>
      </w:r>
      <w:r>
        <w:rPr>
          <w:rFonts w:eastAsia="Calibri"/>
          <w:noProof/>
        </w:rPr>
        <w:t>ion is still lacking. No reliable statistics are available on overstayers in the absence of an Entry/Exit System and only limited information is available on the successful enforcement of return decisions.</w:t>
      </w:r>
    </w:p>
    <w:p w:rsidR="00CA5BE7" w:rsidRDefault="00CA5BE7">
      <w:pPr>
        <w:jc w:val="both"/>
        <w:rPr>
          <w:rFonts w:eastAsia="Calibri"/>
          <w:noProof/>
        </w:rPr>
      </w:pPr>
    </w:p>
    <w:p w:rsidR="00CA5BE7" w:rsidRDefault="00F94E0A">
      <w:pPr>
        <w:jc w:val="both"/>
        <w:rPr>
          <w:noProof/>
        </w:rPr>
      </w:pPr>
      <w:r>
        <w:rPr>
          <w:rFonts w:eastAsia="Calibri"/>
          <w:noProof/>
        </w:rPr>
        <w:t xml:space="preserve">Member States should therefore </w:t>
      </w:r>
      <w:r>
        <w:rPr>
          <w:noProof/>
        </w:rPr>
        <w:t>collect comprehens</w:t>
      </w:r>
      <w:r>
        <w:rPr>
          <w:noProof/>
        </w:rPr>
        <w:t xml:space="preserve">ive real time information at national level to maintain a clear and accurate overview on the irregular migration situation using the </w:t>
      </w:r>
      <w:r>
        <w:rPr>
          <w:noProof/>
          <w:lang w:eastAsia="en-US"/>
        </w:rPr>
        <w:t>Integrated Return Management Application (IRMA</w:t>
      </w:r>
      <w:r>
        <w:rPr>
          <w:noProof/>
        </w:rPr>
        <w:t>). Member States also have the obligation to enter all invalidated documents,</w:t>
      </w:r>
      <w:r>
        <w:rPr>
          <w:noProof/>
        </w:rPr>
        <w:t xml:space="preserve"> such as residence permits, in the SIS for seizure. The Commission urges Member States to ensure that this obligation is complied with systematically.</w:t>
      </w:r>
    </w:p>
    <w:p w:rsidR="00CA5BE7" w:rsidRDefault="00CA5BE7">
      <w:pPr>
        <w:jc w:val="both"/>
        <w:rPr>
          <w:rFonts w:eastAsia="Calibri"/>
          <w:noProof/>
        </w:rPr>
      </w:pPr>
    </w:p>
    <w:p w:rsidR="00CA5BE7" w:rsidRDefault="00F94E0A">
      <w:pPr>
        <w:jc w:val="both"/>
        <w:rPr>
          <w:rFonts w:eastAsia="Calibri"/>
          <w:noProof/>
        </w:rPr>
      </w:pPr>
      <w:r>
        <w:rPr>
          <w:rFonts w:eastAsia="Calibri"/>
          <w:noProof/>
        </w:rPr>
        <w:lastRenderedPageBreak/>
        <w:t>To support Member States, the Commission is already working to create an enabling environment for the im</w:t>
      </w:r>
      <w:r>
        <w:rPr>
          <w:rFonts w:eastAsia="Calibri"/>
          <w:noProof/>
        </w:rPr>
        <w:t>plementation of returns across the European Union, through systematic exchange of information. In the course of 2016, the Commission has made several proposals to further develop existing information systems (</w:t>
      </w:r>
      <w:r>
        <w:rPr>
          <w:rFonts w:eastAsia="Calibri"/>
          <w:b/>
          <w:noProof/>
        </w:rPr>
        <w:t>Schengen Information System</w:t>
      </w:r>
      <w:r>
        <w:rPr>
          <w:rStyle w:val="FootnoteReference"/>
          <w:rFonts w:eastAsia="Calibri"/>
          <w:b/>
          <w:noProof/>
        </w:rPr>
        <w:footnoteReference w:id="15"/>
      </w:r>
      <w:r>
        <w:rPr>
          <w:rFonts w:eastAsia="Calibri"/>
          <w:noProof/>
        </w:rPr>
        <w:t xml:space="preserve">, </w:t>
      </w:r>
      <w:r>
        <w:rPr>
          <w:rFonts w:eastAsia="Calibri"/>
          <w:b/>
          <w:noProof/>
        </w:rPr>
        <w:t>Eurodac</w:t>
      </w:r>
      <w:r>
        <w:rPr>
          <w:rStyle w:val="FootnoteReference"/>
          <w:rFonts w:eastAsia="Calibri"/>
          <w:b/>
          <w:noProof/>
        </w:rPr>
        <w:footnoteReference w:id="16"/>
      </w:r>
      <w:r>
        <w:rPr>
          <w:rFonts w:eastAsia="Calibri"/>
          <w:noProof/>
        </w:rPr>
        <w:t>) or to s</w:t>
      </w:r>
      <w:r>
        <w:rPr>
          <w:rFonts w:eastAsia="Calibri"/>
          <w:noProof/>
        </w:rPr>
        <w:t>et up new systems (</w:t>
      </w:r>
      <w:r>
        <w:rPr>
          <w:rFonts w:eastAsia="Calibri"/>
          <w:b/>
          <w:noProof/>
        </w:rPr>
        <w:t>Entry Exit System</w:t>
      </w:r>
      <w:r>
        <w:rPr>
          <w:rStyle w:val="FootnoteReference"/>
          <w:rFonts w:eastAsia="Calibri"/>
          <w:b/>
          <w:noProof/>
        </w:rPr>
        <w:footnoteReference w:id="17"/>
      </w:r>
      <w:r>
        <w:rPr>
          <w:rFonts w:eastAsia="Calibri"/>
          <w:b/>
          <w:noProof/>
        </w:rPr>
        <w:t>, European Travel Information and Authorisation System</w:t>
      </w:r>
      <w:r>
        <w:rPr>
          <w:rStyle w:val="FootnoteReference"/>
          <w:rFonts w:eastAsia="Calibri"/>
          <w:b/>
          <w:noProof/>
        </w:rPr>
        <w:footnoteReference w:id="18"/>
      </w:r>
      <w:r>
        <w:rPr>
          <w:rFonts w:eastAsia="Calibri"/>
          <w:noProof/>
        </w:rPr>
        <w:t>) that will contribute to address some of the current information gaps.</w:t>
      </w:r>
    </w:p>
    <w:p w:rsidR="00CA5BE7" w:rsidRDefault="00CA5BE7">
      <w:pPr>
        <w:jc w:val="both"/>
        <w:rPr>
          <w:rFonts w:eastAsia="Calibri"/>
          <w:noProof/>
        </w:rPr>
      </w:pPr>
    </w:p>
    <w:p w:rsidR="00CA5BE7" w:rsidRDefault="00F94E0A">
      <w:pPr>
        <w:jc w:val="both"/>
        <w:rPr>
          <w:noProof/>
        </w:rPr>
      </w:pPr>
      <w:r>
        <w:rPr>
          <w:noProof/>
        </w:rPr>
        <w:t xml:space="preserve">In the context of the </w:t>
      </w:r>
      <w:r>
        <w:rPr>
          <w:b/>
          <w:noProof/>
        </w:rPr>
        <w:t>Visa Information System (VIS)</w:t>
      </w:r>
      <w:r>
        <w:rPr>
          <w:noProof/>
        </w:rPr>
        <w:t xml:space="preserve"> evaluation, Member States have signalle</w:t>
      </w:r>
      <w:r>
        <w:rPr>
          <w:noProof/>
        </w:rPr>
        <w:t xml:space="preserve">d using this system for identification of irregular migrants to an increasing extent. However, the Visa Information System data alone are usually not recognised by third-countries as evidence of nationality or further investigations are required. The fact </w:t>
      </w:r>
      <w:r>
        <w:rPr>
          <w:noProof/>
        </w:rPr>
        <w:t xml:space="preserve">that passport copies are not stored in this system makes it time consuming or even impossible to acquire a copy from the embassy that issued a Schengen visa. The Commission will therefore </w:t>
      </w:r>
      <w:r>
        <w:rPr>
          <w:b/>
          <w:noProof/>
        </w:rPr>
        <w:t>launch a feasibility study</w:t>
      </w:r>
      <w:r>
        <w:rPr>
          <w:noProof/>
        </w:rPr>
        <w:t xml:space="preserve"> on the storage in the Visa Information Sy</w:t>
      </w:r>
      <w:r>
        <w:rPr>
          <w:noProof/>
        </w:rPr>
        <w:t>stem of a copy of visa applicants' travel documents including a copy of their passport.</w:t>
      </w:r>
    </w:p>
    <w:p w:rsidR="00CA5BE7" w:rsidRDefault="00CA5BE7">
      <w:pPr>
        <w:jc w:val="both"/>
        <w:rPr>
          <w:noProof/>
        </w:rPr>
      </w:pPr>
    </w:p>
    <w:p w:rsidR="00CA5BE7" w:rsidRDefault="00F94E0A">
      <w:pPr>
        <w:jc w:val="both"/>
        <w:rPr>
          <w:noProof/>
          <w:lang w:val="en-US" w:eastAsia="nl-NL"/>
        </w:rPr>
      </w:pPr>
      <w:r>
        <w:rPr>
          <w:noProof/>
          <w:lang w:eastAsia="nl-NL"/>
        </w:rPr>
        <w:t>Moreover, t</w:t>
      </w:r>
      <w:r>
        <w:rPr>
          <w:noProof/>
          <w:lang w:val="en-US" w:eastAsia="nl-NL"/>
        </w:rPr>
        <w:t xml:space="preserve">he Commission has launched a study to examine </w:t>
      </w:r>
      <w:r>
        <w:rPr>
          <w:b/>
          <w:noProof/>
          <w:lang w:val="en-US" w:eastAsia="nl-NL"/>
        </w:rPr>
        <w:t>the technical feasibility of a repository of EU Residence Permits</w:t>
      </w:r>
      <w:r>
        <w:rPr>
          <w:noProof/>
          <w:lang w:val="en-US" w:eastAsia="nl-NL"/>
        </w:rPr>
        <w:t xml:space="preserve"> also with a view to facilitate application o</w:t>
      </w:r>
      <w:r>
        <w:rPr>
          <w:noProof/>
          <w:lang w:val="en-US" w:eastAsia="nl-NL"/>
        </w:rPr>
        <w:t>f the situation where a migrant entitled to stay on the territory of only one Member State moves illegally to another Member State.</w:t>
      </w:r>
      <w:r>
        <w:rPr>
          <w:rStyle w:val="FootnoteReference"/>
          <w:noProof/>
          <w:lang w:val="en-US" w:eastAsia="nl-NL"/>
        </w:rPr>
        <w:footnoteReference w:id="19"/>
      </w:r>
    </w:p>
    <w:p w:rsidR="00CA5BE7" w:rsidRDefault="00CA5BE7">
      <w:pPr>
        <w:jc w:val="both"/>
        <w:rPr>
          <w:noProof/>
        </w:rPr>
      </w:pPr>
    </w:p>
    <w:p w:rsidR="00CA5BE7" w:rsidRDefault="00F94E0A">
      <w:pPr>
        <w:jc w:val="both"/>
        <w:rPr>
          <w:rFonts w:eastAsia="Calibri"/>
          <w:noProof/>
        </w:rPr>
      </w:pPr>
      <w:r>
        <w:rPr>
          <w:rFonts w:eastAsia="Calibri"/>
          <w:noProof/>
        </w:rPr>
        <w:t xml:space="preserve">In parallel, the Commission has set up a High Level Expert Group (HLEG) on Information Systems and Interoperability to </w:t>
      </w:r>
      <w:r>
        <w:rPr>
          <w:rFonts w:eastAsia="Calibri"/>
          <w:noProof/>
        </w:rPr>
        <w:t>ensure the effective use of these tools. Immigration authorities should benefit from this work and be able to retrieve information on irregular migrants available in all EU systems in one single search</w:t>
      </w:r>
      <w:r>
        <w:rPr>
          <w:rStyle w:val="FootnoteReference"/>
          <w:rFonts w:eastAsia="Calibri"/>
          <w:noProof/>
        </w:rPr>
        <w:footnoteReference w:id="20"/>
      </w:r>
      <w:r>
        <w:rPr>
          <w:rFonts w:eastAsia="Calibri"/>
          <w:noProof/>
        </w:rPr>
        <w:t>.</w:t>
      </w:r>
    </w:p>
    <w:p w:rsidR="00CA5BE7" w:rsidRDefault="00CA5BE7">
      <w:pPr>
        <w:jc w:val="both"/>
        <w:rPr>
          <w:rFonts w:eastAsia="Calibri"/>
          <w:noProof/>
        </w:rPr>
      </w:pPr>
    </w:p>
    <w:p w:rsidR="00CA5BE7" w:rsidRDefault="00F94E0A">
      <w:pPr>
        <w:jc w:val="both"/>
        <w:rPr>
          <w:noProof/>
        </w:rPr>
      </w:pPr>
      <w:r>
        <w:rPr>
          <w:noProof/>
          <w:lang w:eastAsia="en-US"/>
        </w:rPr>
        <w:t xml:space="preserve">Making better use of </w:t>
      </w:r>
      <w:r>
        <w:rPr>
          <w:b/>
          <w:noProof/>
          <w:lang w:eastAsia="en-US"/>
        </w:rPr>
        <w:t>information on criminal convic</w:t>
      </w:r>
      <w:r>
        <w:rPr>
          <w:b/>
          <w:noProof/>
          <w:lang w:eastAsia="en-US"/>
        </w:rPr>
        <w:t>tions</w:t>
      </w:r>
      <w:r>
        <w:rPr>
          <w:noProof/>
          <w:lang w:eastAsia="en-US"/>
        </w:rPr>
        <w:t xml:space="preserve"> in relation to decisions of ending legal stay thus facilitating return of third-country nationals and stateless persons with a criminal record, is a growing concern for Member States. The Commission will present in June a revised legislative proposal</w:t>
      </w:r>
      <w:r>
        <w:rPr>
          <w:noProof/>
          <w:lang w:eastAsia="en-US"/>
        </w:rPr>
        <w:t xml:space="preserve"> to create a centralised database of identity information of convicted third-country nationals to identify the convicting Member State(s) and thus increase the effectiveness of the existing </w:t>
      </w:r>
      <w:r>
        <w:rPr>
          <w:b/>
          <w:noProof/>
          <w:lang w:eastAsia="en-US"/>
        </w:rPr>
        <w:t>European Criminal Records System (ECRIS)</w:t>
      </w:r>
      <w:r>
        <w:rPr>
          <w:noProof/>
          <w:lang w:eastAsia="en-US"/>
        </w:rPr>
        <w:t>.</w:t>
      </w:r>
    </w:p>
    <w:p w:rsidR="00CA5BE7" w:rsidRDefault="00CA5BE7">
      <w:pPr>
        <w:jc w:val="both"/>
        <w:rPr>
          <w:noProof/>
        </w:rPr>
      </w:pPr>
    </w:p>
    <w:p w:rsidR="00CA5BE7" w:rsidRDefault="00F94E0A">
      <w:pPr>
        <w:jc w:val="both"/>
        <w:rPr>
          <w:noProof/>
        </w:rPr>
      </w:pPr>
      <w:r>
        <w:rPr>
          <w:noProof/>
        </w:rPr>
        <w:t>Member States should al</w:t>
      </w:r>
      <w:r>
        <w:rPr>
          <w:noProof/>
        </w:rPr>
        <w:t>ready take into account convictions for serious criminal offences in the European Union when taking return decisions to assess the individual situation of the irregular migrants concerning for instance the voluntary return period, the need for detention an</w:t>
      </w:r>
      <w:r>
        <w:rPr>
          <w:noProof/>
        </w:rPr>
        <w:t>d the length of the entry ban.</w:t>
      </w:r>
    </w:p>
    <w:p w:rsidR="00CA5BE7" w:rsidRDefault="00CA5BE7">
      <w:pPr>
        <w:jc w:val="both"/>
        <w:rPr>
          <w:noProof/>
        </w:rPr>
      </w:pPr>
    </w:p>
    <w:p w:rsidR="00CA5BE7" w:rsidRDefault="00CA5BE7">
      <w:pPr>
        <w:jc w:val="both"/>
        <w:rPr>
          <w:b/>
          <w:noProof/>
        </w:rPr>
      </w:pPr>
    </w:p>
    <w:p w:rsidR="00CA5BE7" w:rsidRDefault="00CA5BE7">
      <w:pPr>
        <w:jc w:val="both"/>
        <w:rPr>
          <w:b/>
          <w:noProof/>
        </w:rPr>
      </w:pPr>
    </w:p>
    <w:p w:rsidR="00CA5BE7" w:rsidRDefault="00CA5BE7">
      <w:pPr>
        <w:jc w:val="both"/>
        <w:rPr>
          <w:b/>
          <w:noProof/>
        </w:rPr>
      </w:pPr>
    </w:p>
    <w:p w:rsidR="00CA5BE7" w:rsidRDefault="00CA5BE7">
      <w:pPr>
        <w:jc w:val="both"/>
        <w:rPr>
          <w:b/>
          <w:noProof/>
        </w:rPr>
      </w:pPr>
    </w:p>
    <w:p w:rsidR="00CA5BE7" w:rsidRDefault="00F94E0A">
      <w:pPr>
        <w:jc w:val="both"/>
        <w:rPr>
          <w:b/>
          <w:noProof/>
        </w:rPr>
      </w:pPr>
      <w:r>
        <w:rPr>
          <w:b/>
          <w:noProof/>
        </w:rPr>
        <w:t>The Way Forward</w:t>
      </w:r>
    </w:p>
    <w:p w:rsidR="00CA5BE7" w:rsidRDefault="00CA5BE7">
      <w:pPr>
        <w:jc w:val="both"/>
        <w:rPr>
          <w:rFonts w:eastAsia="Calibri"/>
          <w:b/>
          <w:i/>
          <w:noProof/>
        </w:rPr>
      </w:pPr>
    </w:p>
    <w:p w:rsidR="00CA5BE7" w:rsidRDefault="00F94E0A">
      <w:pPr>
        <w:jc w:val="both"/>
        <w:rPr>
          <w:rFonts w:eastAsia="Calibri"/>
          <w:b/>
          <w:i/>
          <w:noProof/>
        </w:rPr>
      </w:pPr>
      <w:r>
        <w:rPr>
          <w:rFonts w:eastAsia="Calibri"/>
          <w:noProof/>
        </w:rPr>
        <mc:AlternateContent>
          <mc:Choice Requires="wps">
            <w:drawing>
              <wp:inline distT="0" distB="0" distL="0" distR="0" wp14:anchorId="0C50995A" wp14:editId="0B17B9B6">
                <wp:extent cx="5796915" cy="1765189"/>
                <wp:effectExtent l="0" t="0" r="13335" b="2603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1765189"/>
                        </a:xfrm>
                        <a:prstGeom prst="rect">
                          <a:avLst/>
                        </a:prstGeom>
                        <a:solidFill>
                          <a:srgbClr val="FFFFFF"/>
                        </a:solidFill>
                        <a:ln w="9525">
                          <a:solidFill>
                            <a:srgbClr val="000000"/>
                          </a:solidFill>
                          <a:miter lim="800000"/>
                          <a:headEnd/>
                          <a:tailEnd/>
                        </a:ln>
                      </wps:spPr>
                      <wps:txbx>
                        <w:txbxContent>
                          <w:p w:rsidR="00CA5BE7" w:rsidRDefault="00F94E0A">
                            <w:pPr>
                              <w:jc w:val="both"/>
                              <w:rPr>
                                <w:lang w:eastAsia="nl-NL"/>
                              </w:rPr>
                            </w:pPr>
                            <w:r>
                              <w:t>- The Commission will launch an impact assessment study on the feasibility and implications of storing a copy of visa applicants' travel document in the Visa Information System to facilitate the ident</w:t>
                            </w:r>
                            <w:r>
                              <w:t>ification of irregular migrants.</w:t>
                            </w:r>
                          </w:p>
                          <w:p w:rsidR="00CA5BE7" w:rsidRDefault="00F94E0A">
                            <w:pPr>
                              <w:jc w:val="both"/>
                              <w:rPr>
                                <w:rFonts w:eastAsiaTheme="minorEastAsia" w:cstheme="minorBidi"/>
                                <w:lang w:eastAsia="nl-NL"/>
                              </w:rPr>
                            </w:pPr>
                            <w:r>
                              <w:rPr>
                                <w:lang w:eastAsia="nl-NL"/>
                              </w:rPr>
                              <w:t>- The Commission will examine the technical feasibility of a repository of EU Residence Permits by September 2017.</w:t>
                            </w:r>
                          </w:p>
                          <w:p w:rsidR="00CA5BE7" w:rsidRDefault="00F94E0A">
                            <w:pPr>
                              <w:jc w:val="both"/>
                              <w:rPr>
                                <w:rFonts w:eastAsiaTheme="minorEastAsia"/>
                              </w:rPr>
                            </w:pPr>
                            <w:r>
                              <w:t>- Member States shall immediately enter all withdrawn, expired and invalidated residence permits into SIS.</w:t>
                            </w:r>
                          </w:p>
                          <w:p w:rsidR="00CA5BE7" w:rsidRDefault="00F94E0A">
                            <w:pPr>
                              <w:jc w:val="both"/>
                            </w:pPr>
                            <w:r>
                              <w:t>-</w:t>
                            </w:r>
                            <w:r>
                              <w:t xml:space="preserve"> Member States should take into account previous convictions for serious criminal offences in the European Union when taking return decisions.</w:t>
                            </w:r>
                          </w:p>
                        </w:txbxContent>
                      </wps:txbx>
                      <wps:bodyPr rot="0" vert="horz" wrap="square" lIns="91440" tIns="45720" rIns="91440" bIns="45720" anchor="t" anchorCtr="0">
                        <a:noAutofit/>
                      </wps:bodyPr>
                    </wps:wsp>
                  </a:graphicData>
                </a:graphic>
              </wp:inline>
            </w:drawing>
          </mc:Choice>
          <mc:Fallback>
            <w:pict>
              <v:shape id="Text Box 10" o:spid="_x0000_s1028" type="#_x0000_t202" style="width:456.45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">
                <v:textbox>
                  <w:txbxContent>
                    <w:p w:rsidR="00CA5BE7" w:rsidRDefault="00F94E0A">
                      <w:pPr>
                        <w:jc w:val="both"/>
                        <w:rPr>
                          <w:lang w:eastAsia="nl-NL"/>
                        </w:rPr>
                      </w:pPr>
                      <w:r>
                        <w:t>- The Commission will launch an impact assessment study on the feasibility and implications of storing a copy of visa applicants' travel document in the Visa Information System to facilitate the ident</w:t>
                      </w:r>
                      <w:r>
                        <w:t>ification of irregular migrants.</w:t>
                      </w:r>
                    </w:p>
                    <w:p w:rsidR="00CA5BE7" w:rsidRDefault="00F94E0A">
                      <w:pPr>
                        <w:jc w:val="both"/>
                        <w:rPr>
                          <w:rFonts w:eastAsiaTheme="minorEastAsia" w:cstheme="minorBidi"/>
                          <w:lang w:eastAsia="nl-NL"/>
                        </w:rPr>
                      </w:pPr>
                      <w:r>
                        <w:rPr>
                          <w:lang w:eastAsia="nl-NL"/>
                        </w:rPr>
                        <w:t>- The Commission will examine the technical feasibility of a repository of EU Residence Permits by September 2017.</w:t>
                      </w:r>
                    </w:p>
                    <w:p w:rsidR="00CA5BE7" w:rsidRDefault="00F94E0A">
                      <w:pPr>
                        <w:jc w:val="both"/>
                        <w:rPr>
                          <w:rFonts w:eastAsiaTheme="minorEastAsia"/>
                        </w:rPr>
                      </w:pPr>
                      <w:r>
                        <w:t>- Member States shall immediately enter all withdrawn, expired and invalidated residence permits into SIS.</w:t>
                      </w:r>
                    </w:p>
                    <w:p w:rsidR="00CA5BE7" w:rsidRDefault="00F94E0A">
                      <w:pPr>
                        <w:jc w:val="both"/>
                      </w:pPr>
                      <w:r>
                        <w:t>-</w:t>
                      </w:r>
                      <w:r>
                        <w:t xml:space="preserve"> Member States should take into account previous convictions for serious criminal offences in the European Union when taking return decisions.</w:t>
                      </w:r>
                    </w:p>
                  </w:txbxContent>
                </v:textbox>
                <w10:anchorlock/>
              </v:shape>
            </w:pict>
          </mc:Fallback>
        </mc:AlternateContent>
      </w:r>
    </w:p>
    <w:p w:rsidR="00CA5BE7" w:rsidRDefault="00CA5BE7">
      <w:pPr>
        <w:jc w:val="both"/>
        <w:rPr>
          <w:rFonts w:eastAsia="Calibri"/>
          <w:b/>
          <w:noProof/>
          <w:u w:val="single"/>
        </w:rPr>
      </w:pPr>
    </w:p>
    <w:p w:rsidR="00CA5BE7" w:rsidRDefault="00F94E0A">
      <w:pPr>
        <w:jc w:val="both"/>
        <w:rPr>
          <w:rFonts w:eastAsia="Calibri"/>
          <w:b/>
          <w:noProof/>
          <w:u w:val="single"/>
        </w:rPr>
      </w:pPr>
      <w:r>
        <w:rPr>
          <w:rFonts w:eastAsia="Calibri"/>
          <w:b/>
          <w:noProof/>
          <w:u w:val="single"/>
        </w:rPr>
        <w:t>I.4- Enhancing return and supporting reintegration</w:t>
      </w:r>
    </w:p>
    <w:p w:rsidR="00CA5BE7" w:rsidRDefault="00CA5BE7">
      <w:pPr>
        <w:jc w:val="both"/>
        <w:rPr>
          <w:rFonts w:eastAsia="Calibri"/>
          <w:noProof/>
        </w:rPr>
      </w:pPr>
    </w:p>
    <w:p w:rsidR="00CA5BE7" w:rsidRDefault="00F94E0A">
      <w:pPr>
        <w:jc w:val="both"/>
        <w:rPr>
          <w:noProof/>
          <w:lang w:eastAsia="en-US"/>
        </w:rPr>
      </w:pPr>
      <w:r>
        <w:rPr>
          <w:noProof/>
          <w:lang w:eastAsia="en-US"/>
        </w:rPr>
        <w:t xml:space="preserve">The Return Directive makes clear that </w:t>
      </w:r>
      <w:r>
        <w:rPr>
          <w:b/>
          <w:noProof/>
          <w:lang w:eastAsia="en-US"/>
        </w:rPr>
        <w:t>voluntary return is p</w:t>
      </w:r>
      <w:r>
        <w:rPr>
          <w:b/>
          <w:noProof/>
          <w:lang w:eastAsia="en-US"/>
        </w:rPr>
        <w:t>referred at EU level over forced return</w:t>
      </w:r>
      <w:r>
        <w:rPr>
          <w:noProof/>
          <w:lang w:eastAsia="en-US"/>
        </w:rPr>
        <w:t xml:space="preserve"> if it does not undermine the purpose of the return procedure. Incentives to encourage return are generally provided within the framework of Assisted Voluntary Return and Reintegration packages.</w:t>
      </w:r>
    </w:p>
    <w:p w:rsidR="00CA5BE7" w:rsidRDefault="00CA5BE7">
      <w:pPr>
        <w:jc w:val="both"/>
        <w:rPr>
          <w:noProof/>
          <w:lang w:eastAsia="en-US"/>
        </w:rPr>
      </w:pPr>
    </w:p>
    <w:p w:rsidR="00CA5BE7" w:rsidRDefault="00F94E0A">
      <w:pPr>
        <w:jc w:val="both"/>
        <w:rPr>
          <w:noProof/>
          <w:lang w:eastAsia="en-US"/>
        </w:rPr>
      </w:pPr>
      <w:r>
        <w:rPr>
          <w:b/>
          <w:noProof/>
          <w:lang w:eastAsia="en-US"/>
        </w:rPr>
        <w:t>Improving further the</w:t>
      </w:r>
      <w:r>
        <w:rPr>
          <w:b/>
          <w:noProof/>
          <w:lang w:eastAsia="en-US"/>
        </w:rPr>
        <w:t xml:space="preserve"> process of disseminating information on voluntary return</w:t>
      </w:r>
      <w:r>
        <w:rPr>
          <w:noProof/>
          <w:lang w:eastAsia="en-US"/>
        </w:rPr>
        <w:t xml:space="preserve"> to irregular migrants is essential in order to ensure that they have access to accurate information even where they are more likely to rely primarily on informal sources of information from within t</w:t>
      </w:r>
      <w:r>
        <w:rPr>
          <w:noProof/>
          <w:lang w:eastAsia="en-US"/>
        </w:rPr>
        <w:t>heir community but also when the former is unwilling to return and/or is mistrustful of migration authorities.</w:t>
      </w:r>
    </w:p>
    <w:p w:rsidR="00CA5BE7" w:rsidRDefault="00CA5BE7">
      <w:pPr>
        <w:jc w:val="both"/>
        <w:rPr>
          <w:noProof/>
          <w:lang w:eastAsia="en-US"/>
        </w:rPr>
      </w:pPr>
    </w:p>
    <w:p w:rsidR="00CA5BE7" w:rsidRDefault="00F94E0A">
      <w:pPr>
        <w:jc w:val="both"/>
        <w:rPr>
          <w:rFonts w:cstheme="minorBidi"/>
          <w:noProof/>
        </w:rPr>
      </w:pPr>
      <w:r>
        <w:rPr>
          <w:noProof/>
          <w:lang w:eastAsia="en-US"/>
        </w:rPr>
        <w:t xml:space="preserve">Countries of origin increasingly face situations where their irregular migrants arriving from different Member States have been given different </w:t>
      </w:r>
      <w:r>
        <w:rPr>
          <w:noProof/>
          <w:lang w:eastAsia="en-US"/>
        </w:rPr>
        <w:t>levels of reintegration packages (cash or in kind contributions). This may lead to countries of origin favouring only those returns coming from Member States offering higher reintegration packages or even to assisted-voluntary return shopping with the Euro</w:t>
      </w:r>
      <w:r>
        <w:rPr>
          <w:noProof/>
          <w:lang w:eastAsia="en-US"/>
        </w:rPr>
        <w:t>pean Union by irregular migrants.</w:t>
      </w:r>
      <w:r>
        <w:rPr>
          <w:rFonts w:cstheme="minorBidi"/>
          <w:noProof/>
        </w:rPr>
        <w:t xml:space="preserve"> It is therefore essential for the sake of improving return rates that </w:t>
      </w:r>
      <w:r>
        <w:rPr>
          <w:b/>
          <w:noProof/>
        </w:rPr>
        <w:t>reintegration packages, and in general practices on incentivising return, are consistent among all Member States</w:t>
      </w:r>
      <w:r>
        <w:rPr>
          <w:rFonts w:cstheme="minorBidi"/>
          <w:noProof/>
        </w:rPr>
        <w:t>. In this endeavour, the Commission will</w:t>
      </w:r>
      <w:r>
        <w:rPr>
          <w:rFonts w:cstheme="minorBidi"/>
          <w:noProof/>
        </w:rPr>
        <w:t xml:space="preserve"> support Member States through the European Migration Network's Return Experts Group.</w:t>
      </w:r>
    </w:p>
    <w:p w:rsidR="00CA5BE7" w:rsidRDefault="00CA5BE7">
      <w:pPr>
        <w:jc w:val="both"/>
        <w:rPr>
          <w:rFonts w:cstheme="minorBidi"/>
          <w:noProof/>
        </w:rPr>
      </w:pPr>
    </w:p>
    <w:p w:rsidR="00CA5BE7" w:rsidRDefault="00F94E0A">
      <w:pPr>
        <w:jc w:val="both"/>
        <w:rPr>
          <w:noProof/>
          <w:lang w:eastAsia="en-US"/>
        </w:rPr>
      </w:pPr>
      <w:r>
        <w:rPr>
          <w:noProof/>
          <w:lang w:eastAsia="en-US"/>
        </w:rPr>
        <w:t xml:space="preserve">Irregular migrants are more likely to accept voluntary return packages if they know that the only other alternative is </w:t>
      </w:r>
      <w:r>
        <w:rPr>
          <w:b/>
          <w:noProof/>
          <w:lang w:eastAsia="en-US"/>
        </w:rPr>
        <w:t xml:space="preserve">forced return as staying irregularly would not be </w:t>
      </w:r>
      <w:r>
        <w:rPr>
          <w:b/>
          <w:noProof/>
          <w:lang w:eastAsia="en-US"/>
        </w:rPr>
        <w:t>an option any longer</w:t>
      </w:r>
      <w:r>
        <w:rPr>
          <w:noProof/>
          <w:lang w:eastAsia="en-US"/>
        </w:rPr>
        <w:t xml:space="preserve">. </w:t>
      </w:r>
    </w:p>
    <w:p w:rsidR="00CA5BE7" w:rsidRDefault="00CA5BE7">
      <w:pPr>
        <w:jc w:val="both"/>
        <w:rPr>
          <w:noProof/>
          <w:lang w:eastAsia="en-US"/>
        </w:rPr>
      </w:pPr>
    </w:p>
    <w:p w:rsidR="00CA5BE7" w:rsidRDefault="00F94E0A">
      <w:pPr>
        <w:jc w:val="both"/>
        <w:rPr>
          <w:noProof/>
          <w:lang w:eastAsia="en-US"/>
        </w:rPr>
      </w:pPr>
      <w:r>
        <w:rPr>
          <w:noProof/>
          <w:lang w:eastAsia="en-US"/>
        </w:rPr>
        <w:t xml:space="preserve">The effectiveness of Assisted Voluntary Return and Reintegration programmes as well as their accompanying reintegration measures requires common standards. All Member States should applied the non-binding </w:t>
      </w:r>
      <w:r>
        <w:rPr>
          <w:b/>
          <w:noProof/>
          <w:lang w:eastAsia="en-US"/>
        </w:rPr>
        <w:t>Guidelines on the use of As</w:t>
      </w:r>
      <w:r>
        <w:rPr>
          <w:b/>
          <w:noProof/>
          <w:lang w:eastAsia="en-US"/>
        </w:rPr>
        <w:t>sisted Voluntary Return and Reintegration programmes</w:t>
      </w:r>
      <w:r>
        <w:rPr>
          <w:noProof/>
          <w:lang w:eastAsia="en-US"/>
        </w:rPr>
        <w:t xml:space="preserve"> endorsed by the  Council on 9 June 2016 with the aim to increase cooperation and coordination between Member States.</w:t>
      </w:r>
    </w:p>
    <w:p w:rsidR="00CA5BE7" w:rsidRDefault="00CA5BE7">
      <w:pPr>
        <w:jc w:val="both"/>
        <w:rPr>
          <w:noProof/>
          <w:lang w:eastAsia="en-US"/>
        </w:rPr>
      </w:pPr>
    </w:p>
    <w:p w:rsidR="00CA5BE7" w:rsidRDefault="00F94E0A">
      <w:pPr>
        <w:jc w:val="both"/>
        <w:rPr>
          <w:noProof/>
          <w:lang w:eastAsia="en-US"/>
        </w:rPr>
      </w:pPr>
      <w:r>
        <w:rPr>
          <w:noProof/>
          <w:lang w:eastAsia="en-US"/>
        </w:rPr>
        <w:t>The capacity and expertise on Member State level to develop and manage return related</w:t>
      </w:r>
      <w:r>
        <w:rPr>
          <w:noProof/>
          <w:lang w:eastAsia="en-US"/>
        </w:rPr>
        <w:t xml:space="preserve"> projects and programmes needs strengthening. Therefore actions with </w:t>
      </w:r>
      <w:r>
        <w:rPr>
          <w:b/>
          <w:noProof/>
          <w:lang w:eastAsia="en-US"/>
        </w:rPr>
        <w:t xml:space="preserve">Member States working together </w:t>
      </w:r>
      <w:r>
        <w:rPr>
          <w:rFonts w:eastAsia="Calibri"/>
          <w:b/>
          <w:noProof/>
          <w:lang w:eastAsia="en-US"/>
        </w:rPr>
        <w:t>will be encouraged for the benefit of the European Union as a whole</w:t>
      </w:r>
      <w:r>
        <w:rPr>
          <w:rFonts w:eastAsia="Calibri"/>
          <w:noProof/>
          <w:lang w:eastAsia="en-US"/>
        </w:rPr>
        <w:t xml:space="preserve">. </w:t>
      </w:r>
      <w:r>
        <w:rPr>
          <w:rFonts w:eastAsia="Calibri"/>
          <w:noProof/>
          <w:lang w:eastAsia="en-US"/>
        </w:rPr>
        <w:lastRenderedPageBreak/>
        <w:t xml:space="preserve">These projects will </w:t>
      </w:r>
      <w:r>
        <w:rPr>
          <w:noProof/>
          <w:lang w:eastAsia="en-US"/>
        </w:rPr>
        <w:t>carry out return-related activities including return actions for al</w:t>
      </w:r>
      <w:r>
        <w:rPr>
          <w:noProof/>
          <w:lang w:eastAsia="en-US"/>
        </w:rPr>
        <w:t>l types of pre-return related assistance, capacity building and reintegration to scale up efficiency of returns. They will be connected with existing initiatives under the Integrated Return</w:t>
      </w:r>
    </w:p>
    <w:p w:rsidR="00CA5BE7" w:rsidRDefault="00F94E0A">
      <w:pPr>
        <w:jc w:val="both"/>
        <w:rPr>
          <w:noProof/>
          <w:lang w:eastAsia="en-US"/>
        </w:rPr>
      </w:pPr>
      <w:r>
        <w:rPr>
          <w:noProof/>
          <w:lang w:eastAsia="en-US"/>
        </w:rPr>
        <w:t>Management Approach and operate through the Integrated Return Mana</w:t>
      </w:r>
      <w:r>
        <w:rPr>
          <w:noProof/>
          <w:lang w:eastAsia="en-US"/>
        </w:rPr>
        <w:t>gement Application platform.</w:t>
      </w:r>
    </w:p>
    <w:p w:rsidR="00CA5BE7" w:rsidRDefault="00CA5BE7">
      <w:pPr>
        <w:jc w:val="both"/>
        <w:rPr>
          <w:noProof/>
          <w:lang w:eastAsia="en-US"/>
        </w:rPr>
      </w:pPr>
    </w:p>
    <w:p w:rsidR="00CA5BE7" w:rsidRDefault="00F94E0A">
      <w:pPr>
        <w:jc w:val="both"/>
        <w:rPr>
          <w:rFonts w:eastAsia="Calibri"/>
          <w:b/>
          <w:i/>
          <w:noProof/>
        </w:rPr>
      </w:pPr>
      <w:r>
        <w:rPr>
          <w:rFonts w:eastAsia="Calibri"/>
          <w:b/>
          <w:i/>
          <w:noProof/>
        </w:rPr>
        <w:t>The Way Forward</w:t>
      </w:r>
    </w:p>
    <w:p w:rsidR="00CA5BE7" w:rsidRDefault="00CA5BE7">
      <w:pPr>
        <w:jc w:val="both"/>
        <w:rPr>
          <w:rFonts w:eastAsia="Calibri"/>
          <w:b/>
          <w:i/>
          <w:noProof/>
        </w:rPr>
      </w:pPr>
    </w:p>
    <w:p w:rsidR="00CA5BE7" w:rsidRDefault="00F94E0A">
      <w:pPr>
        <w:jc w:val="both"/>
        <w:rPr>
          <w:b/>
          <w:noProof/>
          <w:u w:val="single"/>
          <w:lang w:eastAsia="en-US"/>
        </w:rPr>
      </w:pPr>
      <w:r>
        <w:rPr>
          <w:rFonts w:eastAsia="Calibri"/>
          <w:noProof/>
        </w:rPr>
        <mc:AlternateContent>
          <mc:Choice Requires="wps">
            <w:drawing>
              <wp:inline distT="0" distB="0" distL="0" distR="0" wp14:anchorId="283C2E72" wp14:editId="27CE8F27">
                <wp:extent cx="5796915" cy="866692"/>
                <wp:effectExtent l="0" t="0" r="13335" b="1016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866692"/>
                        </a:xfrm>
                        <a:prstGeom prst="rect">
                          <a:avLst/>
                        </a:prstGeom>
                        <a:solidFill>
                          <a:srgbClr val="FFFFFF"/>
                        </a:solidFill>
                        <a:ln w="9525">
                          <a:solidFill>
                            <a:srgbClr val="000000"/>
                          </a:solidFill>
                          <a:miter lim="800000"/>
                          <a:headEnd/>
                          <a:tailEnd/>
                        </a:ln>
                      </wps:spPr>
                      <wps:txbx>
                        <w:txbxContent>
                          <w:p w:rsidR="00CA5BE7" w:rsidRDefault="00F94E0A">
                            <w:r>
                              <w:rPr>
                                <w:rFonts w:eastAsia="Calibri"/>
                              </w:rPr>
                              <w:t xml:space="preserve">- </w:t>
                            </w:r>
                            <w:r>
                              <w:t>Supported by the Commission, Member States should ensure a coherent approach to reintegration assistance and general practices to incentivise return.</w:t>
                            </w:r>
                          </w:p>
                          <w:p w:rsidR="00CA5BE7" w:rsidRDefault="00F94E0A">
                            <w:r>
                              <w:t xml:space="preserve">- </w:t>
                            </w:r>
                            <w:r>
                              <w:rPr>
                                <w:lang w:eastAsia="en-US"/>
                              </w:rPr>
                              <w:t>Member States should actively participate in joint p</w:t>
                            </w:r>
                            <w:r>
                              <w:rPr>
                                <w:lang w:eastAsia="en-US"/>
                              </w:rPr>
                              <w:t>rogrammes for all types of pre-return related assistance.</w:t>
                            </w:r>
                          </w:p>
                        </w:txbxContent>
                      </wps:txbx>
                      <wps:bodyPr rot="0" vert="horz" wrap="square" lIns="91440" tIns="45720" rIns="91440" bIns="45720" anchor="t" anchorCtr="0">
                        <a:noAutofit/>
                      </wps:bodyPr>
                    </wps:wsp>
                  </a:graphicData>
                </a:graphic>
              </wp:inline>
            </w:drawing>
          </mc:Choice>
          <mc:Fallback>
            <w:pict>
              <v:shape id="Text Box 4" o:spid="_x0000_s1029" type="#_x0000_t202" style="width:456.4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">
                <v:textbox>
                  <w:txbxContent>
                    <w:p w:rsidR="00CA5BE7" w:rsidRDefault="00F94E0A">
                      <w:r>
                        <w:rPr>
                          <w:rFonts w:eastAsia="Calibri"/>
                        </w:rPr>
                        <w:t xml:space="preserve">- </w:t>
                      </w:r>
                      <w:r>
                        <w:t>Supported by the Commission, Member States should ensure a coherent approach to reintegration assistance and general practices to incentivise return.</w:t>
                      </w:r>
                    </w:p>
                    <w:p w:rsidR="00CA5BE7" w:rsidRDefault="00F94E0A">
                      <w:r>
                        <w:t xml:space="preserve">- </w:t>
                      </w:r>
                      <w:r>
                        <w:rPr>
                          <w:lang w:eastAsia="en-US"/>
                        </w:rPr>
                        <w:t>Member States should actively participate in joint p</w:t>
                      </w:r>
                      <w:r>
                        <w:rPr>
                          <w:lang w:eastAsia="en-US"/>
                        </w:rPr>
                        <w:t>rogrammes for all types of pre-return related assistance.</w:t>
                      </w:r>
                    </w:p>
                  </w:txbxContent>
                </v:textbox>
                <w10:anchorlock/>
              </v:shape>
            </w:pict>
          </mc:Fallback>
        </mc:AlternateContent>
      </w:r>
    </w:p>
    <w:p w:rsidR="00CA5BE7" w:rsidRDefault="00CA5BE7">
      <w:pPr>
        <w:jc w:val="both"/>
        <w:rPr>
          <w:b/>
          <w:noProof/>
          <w:u w:val="single"/>
          <w:lang w:eastAsia="en-US"/>
        </w:rPr>
      </w:pPr>
    </w:p>
    <w:p w:rsidR="00CA5BE7" w:rsidRDefault="00F94E0A">
      <w:pPr>
        <w:jc w:val="both"/>
        <w:rPr>
          <w:b/>
          <w:noProof/>
          <w:u w:val="single"/>
          <w:lang w:eastAsia="en-US"/>
        </w:rPr>
      </w:pPr>
      <w:r>
        <w:rPr>
          <w:b/>
          <w:noProof/>
          <w:u w:val="single"/>
          <w:lang w:eastAsia="en-US"/>
        </w:rPr>
        <w:t>I.5- Working together</w:t>
      </w:r>
    </w:p>
    <w:p w:rsidR="00CA5BE7" w:rsidRDefault="00CA5BE7">
      <w:pPr>
        <w:spacing w:after="240"/>
        <w:contextualSpacing/>
        <w:jc w:val="both"/>
        <w:rPr>
          <w:b/>
          <w:noProof/>
          <w:lang w:eastAsia="en-US"/>
        </w:rPr>
      </w:pPr>
    </w:p>
    <w:p w:rsidR="00CA5BE7" w:rsidRDefault="00F94E0A">
      <w:pPr>
        <w:jc w:val="both"/>
        <w:rPr>
          <w:rFonts w:eastAsia="Calibri"/>
          <w:b/>
          <w:i/>
          <w:noProof/>
        </w:rPr>
      </w:pPr>
      <w:r>
        <w:rPr>
          <w:rFonts w:eastAsia="Calibri"/>
          <w:b/>
          <w:i/>
          <w:noProof/>
        </w:rPr>
        <w:t xml:space="preserve">A better Return Cooperation </w:t>
      </w:r>
    </w:p>
    <w:p w:rsidR="00CA5BE7" w:rsidRDefault="00CA5BE7">
      <w:pPr>
        <w:jc w:val="both"/>
        <w:rPr>
          <w:rFonts w:eastAsia="Calibri"/>
          <w:noProof/>
        </w:rPr>
      </w:pPr>
    </w:p>
    <w:p w:rsidR="00CA5BE7" w:rsidRDefault="00F94E0A">
      <w:pPr>
        <w:jc w:val="both"/>
        <w:rPr>
          <w:rFonts w:eastAsia="Calibri"/>
          <w:noProof/>
        </w:rPr>
      </w:pPr>
      <w:r>
        <w:rPr>
          <w:rFonts w:eastAsia="Calibri"/>
          <w:noProof/>
        </w:rPr>
        <w:t xml:space="preserve">There is a need for Member States to improve and strengthen their return capacity to ensure a </w:t>
      </w:r>
      <w:r>
        <w:rPr>
          <w:rFonts w:eastAsia="Calibri"/>
          <w:b/>
          <w:noProof/>
        </w:rPr>
        <w:t xml:space="preserve">more integrated and coordinated approach and management of returns </w:t>
      </w:r>
      <w:r>
        <w:rPr>
          <w:rFonts w:eastAsia="Calibri"/>
          <w:noProof/>
        </w:rPr>
        <w:t xml:space="preserve">as recommended in the Recommendation. This should lead to a better information sharing, multi-disciplinary approach and streamlining of all return related matters. </w:t>
      </w:r>
      <w:r>
        <w:rPr>
          <w:noProof/>
        </w:rPr>
        <w:t xml:space="preserve">Member States may use their Asylum, Migration and Integration Fund national programmes for supporting these reinforced capacities </w:t>
      </w:r>
      <w:r>
        <w:rPr>
          <w:rFonts w:eastAsia="Calibri"/>
          <w:noProof/>
        </w:rPr>
        <w:t>to ensure better planning, coordination and follow-up between respective law enforcement and immigration authorities, coordina</w:t>
      </w:r>
      <w:r>
        <w:rPr>
          <w:rFonts w:eastAsia="Calibri"/>
          <w:noProof/>
        </w:rPr>
        <w:t>ted actions with judicial authorities, detention authorities, guardianship systems, medical and social services to ensure availability of swift and adequate responses where multi-disciplinary intervention is required.</w:t>
      </w:r>
    </w:p>
    <w:p w:rsidR="00CA5BE7" w:rsidRDefault="00CA5BE7">
      <w:pPr>
        <w:jc w:val="both"/>
        <w:rPr>
          <w:rFonts w:eastAsia="Calibri"/>
          <w:noProof/>
        </w:rPr>
      </w:pPr>
    </w:p>
    <w:p w:rsidR="00CA5BE7" w:rsidRDefault="00F94E0A">
      <w:pPr>
        <w:jc w:val="both"/>
        <w:rPr>
          <w:rFonts w:eastAsia="Calibri"/>
          <w:noProof/>
        </w:rPr>
      </w:pPr>
      <w:r>
        <w:rPr>
          <w:rFonts w:eastAsia="Calibri"/>
          <w:noProof/>
        </w:rPr>
        <w:t>The Commission on its side, will ensu</w:t>
      </w:r>
      <w:r>
        <w:rPr>
          <w:rFonts w:eastAsia="Calibri"/>
          <w:noProof/>
        </w:rPr>
        <w:t xml:space="preserve">re improved coordination and follow-up with the national counterparts at European Union level under the Integrated Return Management Approach which use as a platform the European Migration Network's Return Expert Group (EMN-REG) and the </w:t>
      </w:r>
      <w:r>
        <w:rPr>
          <w:noProof/>
        </w:rPr>
        <w:t>European Border and</w:t>
      </w:r>
      <w:r>
        <w:rPr>
          <w:noProof/>
        </w:rPr>
        <w:t xml:space="preserve"> Coast Guard Agency</w:t>
      </w:r>
      <w:r>
        <w:rPr>
          <w:rFonts w:eastAsia="Calibri"/>
          <w:noProof/>
        </w:rPr>
        <w:t xml:space="preserve"> Direct Contact Point Meetings</w:t>
      </w:r>
    </w:p>
    <w:p w:rsidR="00CA5BE7" w:rsidRDefault="00CA5BE7">
      <w:pPr>
        <w:jc w:val="both"/>
        <w:rPr>
          <w:rFonts w:eastAsia="Calibri"/>
          <w:noProof/>
        </w:rPr>
      </w:pPr>
    </w:p>
    <w:p w:rsidR="00CA5BE7" w:rsidRDefault="00F94E0A">
      <w:pPr>
        <w:jc w:val="both"/>
        <w:rPr>
          <w:noProof/>
          <w:lang w:val="en-US" w:eastAsia="nl-NL"/>
        </w:rPr>
      </w:pPr>
      <w:r>
        <w:rPr>
          <w:noProof/>
        </w:rPr>
        <w:t xml:space="preserve">The 2015 Return Action Plan identified the creation of a </w:t>
      </w:r>
      <w:r>
        <w:rPr>
          <w:b/>
          <w:noProof/>
        </w:rPr>
        <w:t>Network of Member States contact points on withdrawal of residence permits</w:t>
      </w:r>
      <w:r>
        <w:rPr>
          <w:noProof/>
        </w:rPr>
        <w:t xml:space="preserve"> </w:t>
      </w:r>
      <w:r>
        <w:rPr>
          <w:noProof/>
          <w:lang w:val="en-US"/>
        </w:rPr>
        <w:t>to</w:t>
      </w:r>
      <w:r>
        <w:rPr>
          <w:noProof/>
        </w:rPr>
        <w:t xml:space="preserve"> be put in place by the Commission which has not yet been achieved. </w:t>
      </w:r>
      <w:r>
        <w:rPr>
          <w:noProof/>
          <w:lang w:val="en-US" w:eastAsia="nl-NL"/>
        </w:rPr>
        <w:t>Mem</w:t>
      </w:r>
      <w:r>
        <w:rPr>
          <w:noProof/>
          <w:lang w:val="en-US" w:eastAsia="nl-NL"/>
        </w:rPr>
        <w:t>ber States have already the possibility now to enter all withdrawn, expired and invalid residence permits into SIS allowing the officers on the ground to verify the status of the holder of a residence permit.</w:t>
      </w:r>
    </w:p>
    <w:p w:rsidR="00CA5BE7" w:rsidRDefault="00CA5BE7">
      <w:pPr>
        <w:jc w:val="both"/>
        <w:rPr>
          <w:noProof/>
          <w:lang w:val="en-US" w:eastAsia="nl-NL"/>
        </w:rPr>
      </w:pPr>
    </w:p>
    <w:p w:rsidR="00CA5BE7" w:rsidRDefault="00F94E0A">
      <w:pPr>
        <w:jc w:val="both"/>
        <w:rPr>
          <w:b/>
          <w:i/>
          <w:noProof/>
          <w:lang w:val="en-US" w:eastAsia="nl-NL"/>
        </w:rPr>
      </w:pPr>
      <w:r>
        <w:rPr>
          <w:b/>
          <w:i/>
          <w:noProof/>
          <w:lang w:val="en-US" w:eastAsia="nl-NL"/>
        </w:rPr>
        <w:t>The Way Forward</w:t>
      </w:r>
    </w:p>
    <w:p w:rsidR="00CA5BE7" w:rsidRDefault="00CA5BE7">
      <w:pPr>
        <w:jc w:val="both"/>
        <w:rPr>
          <w:b/>
          <w:i/>
          <w:noProof/>
          <w:lang w:val="en-US" w:eastAsia="nl-NL"/>
        </w:rPr>
      </w:pPr>
    </w:p>
    <w:p w:rsidR="00CA5BE7" w:rsidRDefault="00F94E0A">
      <w:pPr>
        <w:jc w:val="both"/>
        <w:rPr>
          <w:rFonts w:eastAsia="Calibri"/>
          <w:noProof/>
        </w:rPr>
      </w:pPr>
      <w:r>
        <w:rPr>
          <w:rFonts w:eastAsia="Calibri"/>
          <w:noProof/>
        </w:rPr>
        <mc:AlternateContent>
          <mc:Choice Requires="wps">
            <w:drawing>
              <wp:inline distT="0" distB="0" distL="0" distR="0" wp14:anchorId="3A568670" wp14:editId="2470442A">
                <wp:extent cx="5720080" cy="818984"/>
                <wp:effectExtent l="0" t="0" r="13970" b="196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818984"/>
                        </a:xfrm>
                        <a:prstGeom prst="rect">
                          <a:avLst/>
                        </a:prstGeom>
                        <a:solidFill>
                          <a:srgbClr val="FFFFFF"/>
                        </a:solidFill>
                        <a:ln w="9525">
                          <a:solidFill>
                            <a:srgbClr val="000000"/>
                          </a:solidFill>
                          <a:miter lim="800000"/>
                          <a:headEnd/>
                          <a:tailEnd/>
                        </a:ln>
                      </wps:spPr>
                      <wps:txbx>
                        <w:txbxContent>
                          <w:p w:rsidR="00CA5BE7" w:rsidRDefault="00F94E0A">
                            <w:pPr>
                              <w:jc w:val="both"/>
                              <w:rPr>
                                <w:rFonts w:eastAsia="Calibri"/>
                              </w:rPr>
                            </w:pPr>
                            <w:r>
                              <w:rPr>
                                <w:rFonts w:eastAsia="Calibri"/>
                              </w:rPr>
                              <w:t>- The Commission and the M</w:t>
                            </w:r>
                            <w:r>
                              <w:rPr>
                                <w:rFonts w:eastAsia="Calibri"/>
                              </w:rPr>
                              <w:t>ember States should further enhance coordination under the Integrated Return Management approach.</w:t>
                            </w:r>
                          </w:p>
                          <w:p w:rsidR="00CA5BE7" w:rsidRDefault="00F94E0A">
                            <w:pPr>
                              <w:jc w:val="both"/>
                              <w:rPr>
                                <w:lang w:eastAsia="nl-NL"/>
                              </w:rPr>
                            </w:pPr>
                            <w:r>
                              <w:rPr>
                                <w:rFonts w:eastAsia="Calibri"/>
                              </w:rPr>
                              <w:t xml:space="preserve">- </w:t>
                            </w:r>
                            <w:r>
                              <w:t>The Commission will create a Network of Member States contact points on withdrawal of residence permits in 2017.</w:t>
                            </w:r>
                          </w:p>
                        </w:txbxContent>
                      </wps:txbx>
                      <wps:bodyPr rot="0" vert="horz" wrap="square" lIns="91440" tIns="45720" rIns="91440" bIns="45720" anchor="t" anchorCtr="0">
                        <a:noAutofit/>
                      </wps:bodyPr>
                    </wps:wsp>
                  </a:graphicData>
                </a:graphic>
              </wp:inline>
            </w:drawing>
          </mc:Choice>
          <mc:Fallback>
            <w:pict>
              <v:shape id="Text Box 5" o:spid="_x0000_s1030" type="#_x0000_t202" style="width:450.4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">
                <v:textbox>
                  <w:txbxContent>
                    <w:p w:rsidR="00CA5BE7" w:rsidRDefault="00F94E0A">
                      <w:pPr>
                        <w:jc w:val="both"/>
                        <w:rPr>
                          <w:rFonts w:eastAsia="Calibri"/>
                        </w:rPr>
                      </w:pPr>
                      <w:r>
                        <w:rPr>
                          <w:rFonts w:eastAsia="Calibri"/>
                        </w:rPr>
                        <w:t>- The Commission and the M</w:t>
                      </w:r>
                      <w:r>
                        <w:rPr>
                          <w:rFonts w:eastAsia="Calibri"/>
                        </w:rPr>
                        <w:t>ember States should further enhance coordination under the Integrated Return Management approach.</w:t>
                      </w:r>
                    </w:p>
                    <w:p w:rsidR="00CA5BE7" w:rsidRDefault="00F94E0A">
                      <w:pPr>
                        <w:jc w:val="both"/>
                        <w:rPr>
                          <w:lang w:eastAsia="nl-NL"/>
                        </w:rPr>
                      </w:pPr>
                      <w:r>
                        <w:rPr>
                          <w:rFonts w:eastAsia="Calibri"/>
                        </w:rPr>
                        <w:t xml:space="preserve">- </w:t>
                      </w:r>
                      <w:r>
                        <w:t>The Commission will create a Network of Member States contact points on withdrawal of residence permits in 2017.</w:t>
                      </w:r>
                    </w:p>
                  </w:txbxContent>
                </v:textbox>
                <w10:anchorlock/>
              </v:shape>
            </w:pict>
          </mc:Fallback>
        </mc:AlternateContent>
      </w:r>
    </w:p>
    <w:p w:rsidR="00CA5BE7" w:rsidRDefault="00CA5BE7">
      <w:pPr>
        <w:spacing w:after="240"/>
        <w:contextualSpacing/>
        <w:jc w:val="both"/>
        <w:rPr>
          <w:rFonts w:eastAsia="Calibri"/>
          <w:b/>
          <w:noProof/>
        </w:rPr>
      </w:pPr>
    </w:p>
    <w:p w:rsidR="00CA5BE7" w:rsidRDefault="00CA5BE7">
      <w:pPr>
        <w:spacing w:after="240"/>
        <w:contextualSpacing/>
        <w:jc w:val="both"/>
        <w:rPr>
          <w:rFonts w:eastAsia="Calibri"/>
          <w:b/>
          <w:i/>
          <w:noProof/>
        </w:rPr>
      </w:pPr>
    </w:p>
    <w:p w:rsidR="00CA5BE7" w:rsidRDefault="00CA5BE7">
      <w:pPr>
        <w:spacing w:after="240"/>
        <w:contextualSpacing/>
        <w:jc w:val="both"/>
        <w:rPr>
          <w:rFonts w:eastAsia="Calibri"/>
          <w:b/>
          <w:i/>
          <w:noProof/>
        </w:rPr>
      </w:pPr>
    </w:p>
    <w:p w:rsidR="00CA5BE7" w:rsidRDefault="00CA5BE7">
      <w:pPr>
        <w:spacing w:after="240"/>
        <w:contextualSpacing/>
        <w:jc w:val="both"/>
        <w:rPr>
          <w:rFonts w:eastAsia="Calibri"/>
          <w:b/>
          <w:i/>
          <w:noProof/>
        </w:rPr>
      </w:pPr>
    </w:p>
    <w:p w:rsidR="00CA5BE7" w:rsidRDefault="00F94E0A">
      <w:pPr>
        <w:spacing w:after="240"/>
        <w:contextualSpacing/>
        <w:jc w:val="both"/>
        <w:rPr>
          <w:rFonts w:eastAsia="Calibri"/>
          <w:b/>
          <w:i/>
          <w:noProof/>
        </w:rPr>
      </w:pPr>
      <w:r>
        <w:rPr>
          <w:rFonts w:eastAsia="Calibri"/>
          <w:b/>
          <w:i/>
          <w:noProof/>
        </w:rPr>
        <w:t xml:space="preserve">The </w:t>
      </w:r>
      <w:r>
        <w:rPr>
          <w:b/>
          <w:i/>
          <w:noProof/>
          <w:lang w:eastAsia="en-US"/>
        </w:rPr>
        <w:t>Integrated Return Management Appli</w:t>
      </w:r>
      <w:r>
        <w:rPr>
          <w:b/>
          <w:i/>
          <w:noProof/>
          <w:lang w:eastAsia="en-US"/>
        </w:rPr>
        <w:t>cation (IRMA)</w:t>
      </w:r>
    </w:p>
    <w:p w:rsidR="00CA5BE7" w:rsidRDefault="00CA5BE7">
      <w:pPr>
        <w:spacing w:after="240"/>
        <w:contextualSpacing/>
        <w:jc w:val="both"/>
        <w:rPr>
          <w:noProof/>
          <w:lang w:eastAsia="en-US"/>
        </w:rPr>
      </w:pPr>
    </w:p>
    <w:p w:rsidR="00CA5BE7" w:rsidRDefault="00F94E0A">
      <w:pPr>
        <w:spacing w:after="240"/>
        <w:contextualSpacing/>
        <w:jc w:val="both"/>
        <w:rPr>
          <w:noProof/>
          <w:lang w:eastAsia="en-US"/>
        </w:rPr>
      </w:pPr>
      <w:r>
        <w:rPr>
          <w:rFonts w:eastAsia="Calibri"/>
          <w:noProof/>
        </w:rPr>
        <w:t xml:space="preserve">The </w:t>
      </w:r>
      <w:r>
        <w:rPr>
          <w:noProof/>
          <w:lang w:eastAsia="en-US"/>
        </w:rPr>
        <w:t xml:space="preserve">Integrated Return Management Application is a </w:t>
      </w:r>
      <w:r>
        <w:rPr>
          <w:b/>
          <w:noProof/>
          <w:lang w:eastAsia="en-US"/>
        </w:rPr>
        <w:t xml:space="preserve">restricted information exchange system for Member States' experts </w:t>
      </w:r>
      <w:r>
        <w:rPr>
          <w:noProof/>
          <w:lang w:eastAsia="en-US"/>
        </w:rPr>
        <w:t>that already facilitate the planning, organisation and implementation of return and readmissions activities by Member States with the objective of further increasing return rates. It also offers information on best practices and guidelines per third countr</w:t>
      </w:r>
      <w:r>
        <w:rPr>
          <w:noProof/>
          <w:lang w:eastAsia="en-US"/>
        </w:rPr>
        <w:t xml:space="preserve">y, legislation, return programmes, data on return operations and statistics. </w:t>
      </w:r>
    </w:p>
    <w:p w:rsidR="00CA5BE7" w:rsidRDefault="00CA5BE7">
      <w:pPr>
        <w:spacing w:after="240"/>
        <w:contextualSpacing/>
        <w:jc w:val="both"/>
        <w:rPr>
          <w:noProof/>
          <w:lang w:eastAsia="en-US"/>
        </w:rPr>
      </w:pPr>
    </w:p>
    <w:p w:rsidR="00CA5BE7" w:rsidRDefault="00F94E0A">
      <w:pPr>
        <w:spacing w:after="240"/>
        <w:contextualSpacing/>
        <w:jc w:val="both"/>
        <w:rPr>
          <w:noProof/>
          <w:lang w:eastAsia="en-US"/>
        </w:rPr>
      </w:pPr>
      <w:r>
        <w:rPr>
          <w:noProof/>
          <w:lang w:eastAsia="en-US"/>
        </w:rPr>
        <w:t>The system has been rolled out in all Member States, as well as Norway and Switzerland. The information it provides also allows the European Border and Coast Guard Agency to ass</w:t>
      </w:r>
      <w:r>
        <w:rPr>
          <w:noProof/>
          <w:lang w:eastAsia="en-US"/>
        </w:rPr>
        <w:t>ume a more pro-active role in planning Joint Return Operations and to better plan Return Operations.</w:t>
      </w:r>
    </w:p>
    <w:p w:rsidR="00CA5BE7" w:rsidRDefault="00CA5BE7">
      <w:pPr>
        <w:spacing w:after="240"/>
        <w:contextualSpacing/>
        <w:jc w:val="both"/>
        <w:rPr>
          <w:noProof/>
          <w:lang w:eastAsia="en-US"/>
        </w:rPr>
      </w:pPr>
    </w:p>
    <w:p w:rsidR="00CA5BE7" w:rsidRDefault="00F94E0A">
      <w:pPr>
        <w:spacing w:after="240"/>
        <w:contextualSpacing/>
        <w:jc w:val="both"/>
        <w:rPr>
          <w:noProof/>
          <w:lang w:eastAsia="en-US"/>
        </w:rPr>
      </w:pPr>
      <w:r>
        <w:rPr>
          <w:noProof/>
          <w:lang w:eastAsia="en-US"/>
        </w:rPr>
        <w:t xml:space="preserve">Further development of </w:t>
      </w:r>
      <w:r>
        <w:rPr>
          <w:rFonts w:eastAsia="Calibri"/>
          <w:noProof/>
        </w:rPr>
        <w:t xml:space="preserve">the </w:t>
      </w:r>
      <w:r>
        <w:rPr>
          <w:noProof/>
          <w:lang w:eastAsia="en-US"/>
        </w:rPr>
        <w:t>Integrated Return Management Application are already planned t</w:t>
      </w:r>
      <w:r>
        <w:rPr>
          <w:b/>
          <w:noProof/>
          <w:lang w:eastAsia="en-US"/>
        </w:rPr>
        <w:t>o improve collection of data on return operations and readmission</w:t>
      </w:r>
      <w:r>
        <w:rPr>
          <w:b/>
          <w:noProof/>
          <w:lang w:eastAsia="en-US"/>
        </w:rPr>
        <w:t xml:space="preserve">. </w:t>
      </w:r>
      <w:r>
        <w:rPr>
          <w:noProof/>
          <w:lang w:eastAsia="en-US"/>
        </w:rPr>
        <w:t xml:space="preserve">The Commission is developing dedicated IT-tools within </w:t>
      </w:r>
      <w:r>
        <w:rPr>
          <w:rFonts w:eastAsia="Calibri"/>
          <w:noProof/>
        </w:rPr>
        <w:t xml:space="preserve">the </w:t>
      </w:r>
      <w:r>
        <w:rPr>
          <w:noProof/>
          <w:lang w:eastAsia="en-US"/>
        </w:rPr>
        <w:t>Integrated Return Management Application so that this information is made available to Member States and the European Border and Coast Guard Agency through one channel. This will enable the strea</w:t>
      </w:r>
      <w:r>
        <w:rPr>
          <w:noProof/>
          <w:lang w:eastAsia="en-US"/>
        </w:rPr>
        <w:t>mlining of data collection with regards to EASO and EUROSTAT and thus limits the administrative burden of multiple requests for data. The frequency of data collection will be monthly. The Commission and the Member States will have access to these data on a</w:t>
      </w:r>
      <w:r>
        <w:rPr>
          <w:noProof/>
          <w:lang w:eastAsia="en-US"/>
        </w:rPr>
        <w:t xml:space="preserve"> restricted basis. This process will be further facilitated once the revised Schengen Information System will be in force. Information in real time on issuance of and compliance with return decisions will be made available to </w:t>
      </w:r>
      <w:r>
        <w:rPr>
          <w:rFonts w:eastAsia="Calibri"/>
          <w:noProof/>
        </w:rPr>
        <w:t xml:space="preserve">the </w:t>
      </w:r>
      <w:r>
        <w:rPr>
          <w:noProof/>
          <w:lang w:eastAsia="en-US"/>
        </w:rPr>
        <w:t>Integrated Return Manageme</w:t>
      </w:r>
      <w:r>
        <w:rPr>
          <w:noProof/>
          <w:lang w:eastAsia="en-US"/>
        </w:rPr>
        <w:t xml:space="preserve">nt Application. </w:t>
      </w:r>
    </w:p>
    <w:p w:rsidR="00CA5BE7" w:rsidRDefault="00CA5BE7">
      <w:pPr>
        <w:spacing w:after="240"/>
        <w:contextualSpacing/>
        <w:jc w:val="both"/>
        <w:rPr>
          <w:noProof/>
          <w:lang w:eastAsia="en-US"/>
        </w:rPr>
      </w:pPr>
    </w:p>
    <w:p w:rsidR="00CA5BE7" w:rsidRDefault="00F94E0A">
      <w:pPr>
        <w:spacing w:after="240"/>
        <w:contextualSpacing/>
        <w:jc w:val="both"/>
        <w:rPr>
          <w:noProof/>
          <w:lang w:eastAsia="en-US"/>
        </w:rPr>
      </w:pPr>
      <w:r>
        <w:rPr>
          <w:noProof/>
        </w:rPr>
        <w:t>In addition</w:t>
      </w:r>
      <w:r>
        <w:rPr>
          <w:noProof/>
          <w:lang w:eastAsia="en-US"/>
        </w:rPr>
        <w:t xml:space="preserve">, a stand-alone IT system to handle </w:t>
      </w:r>
      <w:r>
        <w:rPr>
          <w:noProof/>
        </w:rPr>
        <w:t>return cases at national level</w:t>
      </w:r>
      <w:r>
        <w:rPr>
          <w:noProof/>
          <w:lang w:eastAsia="en-US"/>
        </w:rPr>
        <w:t xml:space="preserve"> needs to be developed for Member States where not yet available.</w:t>
      </w:r>
      <w:r>
        <w:rPr>
          <w:noProof/>
        </w:rPr>
        <w:t xml:space="preserve"> This will </w:t>
      </w:r>
      <w:r>
        <w:rPr>
          <w:noProof/>
          <w:lang w:eastAsia="en-US"/>
        </w:rPr>
        <w:t>allow for a more efficient standardised management and overview of returnees accordin</w:t>
      </w:r>
      <w:r>
        <w:rPr>
          <w:noProof/>
          <w:lang w:eastAsia="en-US"/>
        </w:rPr>
        <w:t>g to national decisions making procedures</w:t>
      </w:r>
      <w:r>
        <w:rPr>
          <w:noProof/>
        </w:rPr>
        <w:t>.</w:t>
      </w:r>
    </w:p>
    <w:p w:rsidR="00CA5BE7" w:rsidRDefault="00CA5BE7">
      <w:pPr>
        <w:spacing w:after="240"/>
        <w:contextualSpacing/>
        <w:jc w:val="both"/>
        <w:rPr>
          <w:noProof/>
          <w:lang w:eastAsia="en-US"/>
        </w:rPr>
      </w:pPr>
    </w:p>
    <w:p w:rsidR="00CA5BE7" w:rsidRDefault="00F94E0A">
      <w:pPr>
        <w:spacing w:after="240"/>
        <w:contextualSpacing/>
        <w:jc w:val="both"/>
        <w:rPr>
          <w:noProof/>
        </w:rPr>
      </w:pPr>
      <w:r>
        <w:rPr>
          <w:noProof/>
          <w:lang w:eastAsia="en-US"/>
        </w:rPr>
        <w:t>To facilitate the cooperation with third-countries, individual data about a returnee such as identification data and supporting documentary evidence are needed. Such data needs to be securely communicated to third-country governments in order to confirm th</w:t>
      </w:r>
      <w:r>
        <w:rPr>
          <w:noProof/>
          <w:lang w:eastAsia="en-US"/>
        </w:rPr>
        <w:t xml:space="preserve">e returnee's nationality and to obtain the necessary travel documents. To do so efficiently, </w:t>
      </w:r>
      <w:r>
        <w:rPr>
          <w:noProof/>
        </w:rPr>
        <w:t xml:space="preserve">a </w:t>
      </w:r>
      <w:r>
        <w:rPr>
          <w:b/>
          <w:noProof/>
        </w:rPr>
        <w:t>single readmission case management IT-interface</w:t>
      </w:r>
      <w:r>
        <w:rPr>
          <w:noProof/>
        </w:rPr>
        <w:t xml:space="preserve"> for the Integrated Return Management Application platform is needed without giving access to it for third countri</w:t>
      </w:r>
      <w:r>
        <w:rPr>
          <w:noProof/>
        </w:rPr>
        <w:t xml:space="preserve">es and vice versa. </w:t>
      </w:r>
    </w:p>
    <w:p w:rsidR="00CA5BE7" w:rsidRDefault="00CA5BE7">
      <w:pPr>
        <w:spacing w:after="240"/>
        <w:contextualSpacing/>
        <w:jc w:val="both"/>
        <w:rPr>
          <w:noProof/>
        </w:rPr>
      </w:pPr>
    </w:p>
    <w:p w:rsidR="00CA5BE7" w:rsidRDefault="00F94E0A">
      <w:pPr>
        <w:spacing w:after="240"/>
        <w:contextualSpacing/>
        <w:jc w:val="both"/>
        <w:rPr>
          <w:noProof/>
          <w:lang w:eastAsia="en-US"/>
        </w:rPr>
      </w:pPr>
      <w:r>
        <w:rPr>
          <w:noProof/>
        </w:rPr>
        <w:t xml:space="preserve">For these developments, funding is provided by the Commission under the European Migration Network's 2017-2018 Multiannual Work Programme. </w:t>
      </w:r>
    </w:p>
    <w:p w:rsidR="00CA5BE7" w:rsidRDefault="00CA5BE7">
      <w:pPr>
        <w:spacing w:after="240"/>
        <w:contextualSpacing/>
        <w:jc w:val="both"/>
        <w:rPr>
          <w:noProof/>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CA5BE7">
      <w:pPr>
        <w:spacing w:after="240"/>
        <w:contextualSpacing/>
        <w:jc w:val="both"/>
        <w:rPr>
          <w:b/>
          <w:i/>
          <w:noProof/>
          <w:lang w:eastAsia="en-US"/>
        </w:rPr>
      </w:pPr>
    </w:p>
    <w:p w:rsidR="00CA5BE7" w:rsidRDefault="00F94E0A">
      <w:pPr>
        <w:spacing w:after="240"/>
        <w:contextualSpacing/>
        <w:jc w:val="both"/>
        <w:rPr>
          <w:b/>
          <w:i/>
          <w:noProof/>
          <w:lang w:eastAsia="en-US"/>
        </w:rPr>
      </w:pPr>
      <w:r>
        <w:rPr>
          <w:b/>
          <w:i/>
          <w:noProof/>
          <w:lang w:eastAsia="en-US"/>
        </w:rPr>
        <w:t>The Way Forward</w:t>
      </w:r>
    </w:p>
    <w:p w:rsidR="00CA5BE7" w:rsidRDefault="00CA5BE7">
      <w:pPr>
        <w:spacing w:after="240"/>
        <w:contextualSpacing/>
        <w:jc w:val="both"/>
        <w:rPr>
          <w:b/>
          <w:i/>
          <w:noProof/>
          <w:lang w:eastAsia="en-US"/>
        </w:rPr>
      </w:pPr>
    </w:p>
    <w:p w:rsidR="00CA5BE7" w:rsidRDefault="00F94E0A">
      <w:pPr>
        <w:jc w:val="both"/>
        <w:rPr>
          <w:rFonts w:eastAsia="Calibri"/>
          <w:noProof/>
        </w:rPr>
      </w:pPr>
      <w:r>
        <w:rPr>
          <w:rFonts w:eastAsia="Calibri"/>
          <w:noProof/>
        </w:rPr>
        <mc:AlternateContent>
          <mc:Choice Requires="wps">
            <w:drawing>
              <wp:inline distT="0" distB="0" distL="0" distR="0" wp14:anchorId="01F3D20F" wp14:editId="01CE31EA">
                <wp:extent cx="5720080" cy="1868557"/>
                <wp:effectExtent l="0" t="0" r="13970" b="1778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868557"/>
                        </a:xfrm>
                        <a:prstGeom prst="rect">
                          <a:avLst/>
                        </a:prstGeom>
                        <a:solidFill>
                          <a:srgbClr val="FFFFFF"/>
                        </a:solidFill>
                        <a:ln w="9525">
                          <a:solidFill>
                            <a:srgbClr val="000000"/>
                          </a:solidFill>
                          <a:miter lim="800000"/>
                          <a:headEnd/>
                          <a:tailEnd/>
                        </a:ln>
                      </wps:spPr>
                      <wps:txbx>
                        <w:txbxContent>
                          <w:p w:rsidR="00CA5BE7" w:rsidRDefault="00F94E0A">
                            <w:pPr>
                              <w:jc w:val="both"/>
                              <w:rPr>
                                <w:lang w:eastAsia="en-US"/>
                              </w:rPr>
                            </w:pPr>
                            <w:r>
                              <w:rPr>
                                <w:lang w:eastAsia="en-US"/>
                              </w:rPr>
                              <w:t>- Member States should provide requested return data in the Inte</w:t>
                            </w:r>
                            <w:r>
                              <w:rPr>
                                <w:lang w:eastAsia="en-US"/>
                              </w:rPr>
                              <w:t>grated Return Management Application on a monthly basis.</w:t>
                            </w:r>
                          </w:p>
                          <w:p w:rsidR="00CA5BE7" w:rsidRDefault="00F94E0A">
                            <w:r>
                              <w:rPr>
                                <w:lang w:eastAsia="en-US"/>
                              </w:rPr>
                              <w:t xml:space="preserve">- </w:t>
                            </w:r>
                            <w:r>
                              <w:t>The Commission will make available a stand-alone IT system to handle return cases at national level and its corresponding common Integrated Return Management Application interface.</w:t>
                            </w:r>
                          </w:p>
                          <w:p w:rsidR="00CA5BE7" w:rsidRDefault="00F94E0A">
                            <w:r>
                              <w:t>- The Commission</w:t>
                            </w:r>
                            <w:r>
                              <w:t xml:space="preserve"> will develop a single IT-interface for readmission case management for the Integrated Return Management Application platform.</w:t>
                            </w:r>
                          </w:p>
                          <w:p w:rsidR="00CA5BE7" w:rsidRDefault="00F94E0A">
                            <w:pPr>
                              <w:jc w:val="both"/>
                              <w:rPr>
                                <w:lang w:val="en-US"/>
                              </w:rPr>
                            </w:pPr>
                            <w:r>
                              <w:t xml:space="preserve">- </w:t>
                            </w:r>
                            <w:r>
                              <w:rPr>
                                <w:rFonts w:eastAsia="Calibri"/>
                              </w:rPr>
                              <w:t>The Commission will support the further development under the Integrated Return Management Application IT architecture of the r</w:t>
                            </w:r>
                            <w:r>
                              <w:rPr>
                                <w:rFonts w:eastAsia="Calibri"/>
                              </w:rPr>
                              <w:t>eturn coordination capacities of the Member States.</w:t>
                            </w:r>
                          </w:p>
                        </w:txbxContent>
                      </wps:txbx>
                      <wps:bodyPr rot="0" vert="horz" wrap="square" lIns="91440" tIns="45720" rIns="91440" bIns="45720" anchor="t" anchorCtr="0">
                        <a:noAutofit/>
                      </wps:bodyPr>
                    </wps:wsp>
                  </a:graphicData>
                </a:graphic>
              </wp:inline>
            </w:drawing>
          </mc:Choice>
          <mc:Fallback>
            <w:pict>
              <v:shape id="Text Box 6" o:spid="_x0000_s1031" type="#_x0000_t202" style="width:450.4pt;height:14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">
                <v:textbox>
                  <w:txbxContent>
                    <w:p w:rsidR="00CA5BE7" w:rsidRDefault="00F94E0A">
                      <w:pPr>
                        <w:jc w:val="both"/>
                        <w:rPr>
                          <w:lang w:eastAsia="en-US"/>
                        </w:rPr>
                      </w:pPr>
                      <w:r>
                        <w:rPr>
                          <w:lang w:eastAsia="en-US"/>
                        </w:rPr>
                        <w:t>- Member States should provide requested return data in the Inte</w:t>
                      </w:r>
                      <w:r>
                        <w:rPr>
                          <w:lang w:eastAsia="en-US"/>
                        </w:rPr>
                        <w:t>grated Return Management Application on a monthly basis.</w:t>
                      </w:r>
                    </w:p>
                    <w:p w:rsidR="00CA5BE7" w:rsidRDefault="00F94E0A">
                      <w:r>
                        <w:rPr>
                          <w:lang w:eastAsia="en-US"/>
                        </w:rPr>
                        <w:t xml:space="preserve">- </w:t>
                      </w:r>
                      <w:r>
                        <w:t>The Commission will make available a stand-alone IT system to handle return cases at national level and its corresponding common Integrated Return Management Application interface.</w:t>
                      </w:r>
                    </w:p>
                    <w:p w:rsidR="00CA5BE7" w:rsidRDefault="00F94E0A">
                      <w:r>
                        <w:t>- The Commission</w:t>
                      </w:r>
                      <w:r>
                        <w:t xml:space="preserve"> will develop a single IT-interface for readmission case management for the Integrated Return Management Application platform.</w:t>
                      </w:r>
                    </w:p>
                    <w:p w:rsidR="00CA5BE7" w:rsidRDefault="00F94E0A">
                      <w:pPr>
                        <w:jc w:val="both"/>
                        <w:rPr>
                          <w:lang w:val="en-US"/>
                        </w:rPr>
                      </w:pPr>
                      <w:r>
                        <w:t xml:space="preserve">- </w:t>
                      </w:r>
                      <w:r>
                        <w:rPr>
                          <w:rFonts w:eastAsia="Calibri"/>
                        </w:rPr>
                        <w:t>The Commission will support the further development under the Integrated Return Management Application IT architecture of the r</w:t>
                      </w:r>
                      <w:r>
                        <w:rPr>
                          <w:rFonts w:eastAsia="Calibri"/>
                        </w:rPr>
                        <w:t>eturn coordination capacities of the Member States.</w:t>
                      </w:r>
                    </w:p>
                  </w:txbxContent>
                </v:textbox>
                <w10:anchorlock/>
              </v:shape>
            </w:pict>
          </mc:Fallback>
        </mc:AlternateContent>
      </w:r>
    </w:p>
    <w:p w:rsidR="00CA5BE7" w:rsidRDefault="00CA5BE7">
      <w:pPr>
        <w:jc w:val="both"/>
        <w:rPr>
          <w:rFonts w:eastAsia="Calibri"/>
          <w:noProof/>
        </w:rPr>
      </w:pPr>
    </w:p>
    <w:p w:rsidR="00CA5BE7" w:rsidRDefault="00CA5BE7">
      <w:pPr>
        <w:jc w:val="both"/>
        <w:rPr>
          <w:rFonts w:eastAsia="Calibri"/>
          <w:b/>
          <w:i/>
          <w:noProof/>
        </w:rPr>
      </w:pPr>
    </w:p>
    <w:p w:rsidR="00CA5BE7" w:rsidRDefault="00F94E0A">
      <w:pPr>
        <w:jc w:val="both"/>
        <w:rPr>
          <w:rFonts w:eastAsia="Calibri"/>
          <w:b/>
          <w:i/>
          <w:noProof/>
        </w:rPr>
      </w:pPr>
      <w:r>
        <w:rPr>
          <w:rFonts w:eastAsia="Calibri"/>
          <w:b/>
          <w:i/>
          <w:noProof/>
        </w:rPr>
        <w:t>European Border and Coast Guard Agency</w:t>
      </w:r>
    </w:p>
    <w:p w:rsidR="00CA5BE7" w:rsidRDefault="00CA5BE7">
      <w:pPr>
        <w:spacing w:after="240"/>
        <w:jc w:val="both"/>
        <w:rPr>
          <w:noProof/>
          <w:color w:val="000000"/>
          <w:sz w:val="23"/>
          <w:szCs w:val="23"/>
        </w:rPr>
      </w:pPr>
    </w:p>
    <w:p w:rsidR="00CA5BE7" w:rsidRDefault="00F94E0A">
      <w:pPr>
        <w:spacing w:after="240"/>
        <w:jc w:val="both"/>
        <w:rPr>
          <w:noProof/>
          <w:sz w:val="23"/>
          <w:szCs w:val="23"/>
        </w:rPr>
      </w:pPr>
      <w:r>
        <w:rPr>
          <w:noProof/>
          <w:color w:val="000000"/>
          <w:sz w:val="23"/>
          <w:szCs w:val="23"/>
        </w:rPr>
        <w:t>The European Border and Coast Guard Agency is an integral part of the European Union's efforts to create an operational framework that makes the European Union's</w:t>
      </w:r>
      <w:r>
        <w:rPr>
          <w:noProof/>
          <w:color w:val="000000"/>
          <w:sz w:val="23"/>
          <w:szCs w:val="23"/>
        </w:rPr>
        <w:t xml:space="preserve"> return system more effective. The new European Border and Coast Guard Agency Regulation made return of irregular migrants a priority area of work for the Agency, enabling it to scale up considerably the support it provides to the Member States</w:t>
      </w:r>
      <w:r>
        <w:rPr>
          <w:noProof/>
          <w:color w:val="FF0000"/>
          <w:sz w:val="23"/>
          <w:szCs w:val="23"/>
        </w:rPr>
        <w:t xml:space="preserve"> </w:t>
      </w:r>
      <w:r>
        <w:rPr>
          <w:noProof/>
          <w:sz w:val="23"/>
          <w:szCs w:val="23"/>
        </w:rPr>
        <w:t>and to deve</w:t>
      </w:r>
      <w:r>
        <w:rPr>
          <w:noProof/>
          <w:sz w:val="23"/>
          <w:szCs w:val="23"/>
        </w:rPr>
        <w:t>lop new activities in the field of return.</w:t>
      </w:r>
      <w:r>
        <w:rPr>
          <w:noProof/>
          <w:color w:val="000000"/>
          <w:sz w:val="23"/>
          <w:szCs w:val="23"/>
        </w:rPr>
        <w:t xml:space="preserve"> </w:t>
      </w:r>
      <w:r>
        <w:rPr>
          <w:noProof/>
        </w:rPr>
        <w:t>The Agency's progress in the implementation of the new mandate and of the actions identified in this Renewed Action Plan will be monitored in the Commission reports on the operationalisation of the European Border</w:t>
      </w:r>
      <w:r>
        <w:rPr>
          <w:noProof/>
        </w:rPr>
        <w:t xml:space="preserve"> and Coast Guard Agency.</w:t>
      </w:r>
    </w:p>
    <w:p w:rsidR="00CA5BE7" w:rsidRDefault="00F94E0A">
      <w:pPr>
        <w:spacing w:after="240"/>
        <w:jc w:val="both"/>
        <w:rPr>
          <w:noProof/>
          <w:lang w:eastAsia="en-US"/>
        </w:rPr>
      </w:pPr>
      <w:r>
        <w:rPr>
          <w:noProof/>
          <w:color w:val="000000"/>
        </w:rPr>
        <w:t>The wider mandate of the Agency allows it to provide across the board assistance on return. This covers voluntary departure as well as forced return empowering the Agency to organise return operations (from one or more Member State</w:t>
      </w:r>
      <w:r>
        <w:rPr>
          <w:noProof/>
          <w:color w:val="000000"/>
        </w:rPr>
        <w:t>s) as well as work with third countries in improving their capacities to cooperate with Member States during return operations.</w:t>
      </w:r>
      <w:r>
        <w:rPr>
          <w:noProof/>
          <w:lang w:eastAsia="en-US"/>
        </w:rPr>
        <w:t xml:space="preserve"> The Agency must make full use of this mandate by developing new ways of supporting Member States, already this year. </w:t>
      </w:r>
    </w:p>
    <w:p w:rsidR="00CA5BE7" w:rsidRDefault="00F94E0A">
      <w:pPr>
        <w:spacing w:after="240"/>
        <w:jc w:val="both"/>
        <w:rPr>
          <w:noProof/>
          <w:lang w:eastAsia="en-US"/>
        </w:rPr>
      </w:pPr>
      <w:r>
        <w:rPr>
          <w:noProof/>
          <w:lang w:eastAsia="en-US"/>
        </w:rPr>
        <w:t>The role o</w:t>
      </w:r>
      <w:r>
        <w:rPr>
          <w:noProof/>
          <w:lang w:eastAsia="en-US"/>
        </w:rPr>
        <w:t>f the Agency in return activities at European level starts with the</w:t>
      </w:r>
      <w:r>
        <w:rPr>
          <w:noProof/>
        </w:rPr>
        <w:t xml:space="preserve"> so-called 'pre-return' activities, which must continue to be scaled-up, particularly in </w:t>
      </w:r>
      <w:r>
        <w:rPr>
          <w:noProof/>
          <w:lang w:eastAsia="en-US"/>
        </w:rPr>
        <w:t>supporting identification of irregular migrants and the delivery of travel documents for their retur</w:t>
      </w:r>
      <w:r>
        <w:rPr>
          <w:noProof/>
          <w:lang w:eastAsia="en-US"/>
        </w:rPr>
        <w:t>n by third countries. Identification missions from key third countries should be further organised where participating authorities issue travel documents during or immediately after such missions. The Agency should also identify and further develop other t</w:t>
      </w:r>
      <w:r>
        <w:rPr>
          <w:noProof/>
          <w:lang w:eastAsia="en-US"/>
        </w:rPr>
        <w:t xml:space="preserve">ools that can allow swift identification and re-documentation of irregular migrants by third countries. </w:t>
      </w:r>
    </w:p>
    <w:p w:rsidR="00CA5BE7" w:rsidRDefault="00F94E0A">
      <w:pPr>
        <w:spacing w:after="240"/>
        <w:jc w:val="both"/>
        <w:rPr>
          <w:noProof/>
          <w:lang w:eastAsia="en-US"/>
        </w:rPr>
      </w:pPr>
      <w:r>
        <w:rPr>
          <w:noProof/>
          <w:lang w:eastAsia="en-US"/>
        </w:rPr>
        <w:t>There is currently limited information about the main operational risks and challenges that Member States are facing in the area of return, and how the</w:t>
      </w:r>
      <w:r>
        <w:rPr>
          <w:noProof/>
          <w:lang w:eastAsia="en-US"/>
        </w:rPr>
        <w:t xml:space="preserve"> Agency could be ready to support national authorities to address them. </w:t>
      </w:r>
      <w:r>
        <w:rPr>
          <w:noProof/>
        </w:rPr>
        <w:t>Once the European Border and Coast Guard Agency will finalise the mapping of the capacities and needs of the Member States, it should design specific, tailor-made intervention plans</w:t>
      </w:r>
      <w:r>
        <w:rPr>
          <w:noProof/>
          <w:lang w:eastAsia="en-US"/>
        </w:rPr>
        <w:t>. T</w:t>
      </w:r>
      <w:r>
        <w:rPr>
          <w:noProof/>
          <w:lang w:eastAsia="en-US"/>
        </w:rPr>
        <w:t>his will give a clear indication as to what expertise is needed by each Member State and how the Agency can assist and launch pilot projects.</w:t>
      </w:r>
    </w:p>
    <w:p w:rsidR="00CA5BE7" w:rsidRDefault="00F94E0A">
      <w:pPr>
        <w:spacing w:after="240"/>
        <w:jc w:val="both"/>
        <w:rPr>
          <w:noProof/>
          <w:lang w:eastAsia="en-US"/>
        </w:rPr>
      </w:pPr>
      <w:r>
        <w:rPr>
          <w:noProof/>
          <w:lang w:eastAsia="en-US"/>
        </w:rPr>
        <w:t xml:space="preserve">More extensive use should also be made of "collecting return operations", through which third country authorities </w:t>
      </w:r>
      <w:r>
        <w:rPr>
          <w:noProof/>
          <w:lang w:eastAsia="en-US"/>
        </w:rPr>
        <w:t xml:space="preserve">execute the returns of their own nationals from the European Union in accordance with the provisions of the </w:t>
      </w:r>
      <w:r>
        <w:rPr>
          <w:noProof/>
          <w:color w:val="000000"/>
        </w:rPr>
        <w:t xml:space="preserve">European Border and Coast Guard Agency </w:t>
      </w:r>
      <w:r>
        <w:rPr>
          <w:noProof/>
          <w:lang w:eastAsia="en-US"/>
        </w:rPr>
        <w:t>Regulation. These operations have the potential to boost further Europe's return capacity in a cost efficient</w:t>
      </w:r>
      <w:r>
        <w:rPr>
          <w:noProof/>
          <w:lang w:eastAsia="en-US"/>
        </w:rPr>
        <w:t xml:space="preserve"> manner, hence the Agency should invest more in supporting third countries' capacity to participate in such operations, including through dedicated training. </w:t>
      </w:r>
      <w:r>
        <w:rPr>
          <w:noProof/>
        </w:rPr>
        <w:t xml:space="preserve">The modalities of coordinated joint return operations should be conducted in line with the "Guide </w:t>
      </w:r>
      <w:r>
        <w:rPr>
          <w:noProof/>
        </w:rPr>
        <w:t>for Joint return Operations by Air coordinated by Frontex" of 12 May 2016.</w:t>
      </w:r>
    </w:p>
    <w:p w:rsidR="00CA5BE7" w:rsidRDefault="00F94E0A">
      <w:pPr>
        <w:spacing w:after="240"/>
        <w:jc w:val="both"/>
        <w:rPr>
          <w:noProof/>
        </w:rPr>
      </w:pPr>
      <w:r>
        <w:rPr>
          <w:noProof/>
          <w:lang w:eastAsia="en-US"/>
        </w:rPr>
        <w:t xml:space="preserve">Last but not least, there is an urgent need for the Agency to put in place a mechanism for assisting the Member States in carrying out returns by commercial flights </w:t>
      </w:r>
      <w:r>
        <w:rPr>
          <w:noProof/>
        </w:rPr>
        <w:t>to finance volun</w:t>
      </w:r>
      <w:r>
        <w:rPr>
          <w:noProof/>
        </w:rPr>
        <w:t>tary as well as forced returns of the Member States organised through this means. In addition, the Agency should negotiate framework agreements with airline companies, that could be used when needed by the national return authorities, setting the general c</w:t>
      </w:r>
      <w:r>
        <w:rPr>
          <w:noProof/>
        </w:rPr>
        <w:t xml:space="preserve">onditions for the use of commercial flights (e.g. how many returnees on board, how many escorts) and to ensure that a number of seats can be rapidly made available on board of flights to key return destinations. </w:t>
      </w:r>
    </w:p>
    <w:p w:rsidR="00CA5BE7" w:rsidRDefault="00F94E0A">
      <w:pPr>
        <w:spacing w:after="240"/>
        <w:jc w:val="both"/>
        <w:rPr>
          <w:noProof/>
        </w:rPr>
      </w:pPr>
      <w:r>
        <w:rPr>
          <w:noProof/>
        </w:rPr>
        <w:t xml:space="preserve">To face the additional workload that these </w:t>
      </w:r>
      <w:r>
        <w:rPr>
          <w:noProof/>
        </w:rPr>
        <w:t>activities entail, and to fully meet the expectations linked to its new mandate, the Agency should take immediate measures to ensure that the available staff positions are filled and that the budget allocated for return activities is fully used.</w:t>
      </w:r>
    </w:p>
    <w:p w:rsidR="00CA5BE7" w:rsidRDefault="00F94E0A">
      <w:pPr>
        <w:jc w:val="both"/>
        <w:rPr>
          <w:b/>
          <w:i/>
          <w:noProof/>
        </w:rPr>
      </w:pPr>
      <w:r>
        <w:rPr>
          <w:b/>
          <w:i/>
          <w:noProof/>
        </w:rPr>
        <w:t>The Way Fo</w:t>
      </w:r>
      <w:r>
        <w:rPr>
          <w:b/>
          <w:i/>
          <w:noProof/>
        </w:rPr>
        <w:t>rward</w:t>
      </w:r>
    </w:p>
    <w:p w:rsidR="00CA5BE7" w:rsidRDefault="00CA5BE7">
      <w:pPr>
        <w:jc w:val="both"/>
        <w:rPr>
          <w:b/>
          <w:i/>
          <w:noProof/>
        </w:rPr>
      </w:pPr>
    </w:p>
    <w:p w:rsidR="00CA5BE7" w:rsidRDefault="00F94E0A">
      <w:pPr>
        <w:spacing w:after="240"/>
        <w:jc w:val="both"/>
        <w:rPr>
          <w:b/>
          <w:noProof/>
        </w:rPr>
      </w:pPr>
      <w:r>
        <w:rPr>
          <w:rFonts w:eastAsia="Calibri"/>
          <w:noProof/>
        </w:rPr>
        <mc:AlternateContent>
          <mc:Choice Requires="wps">
            <w:drawing>
              <wp:inline distT="0" distB="0" distL="0" distR="0" wp14:anchorId="5E5D94C8" wp14:editId="4721A507">
                <wp:extent cx="5720080" cy="1526650"/>
                <wp:effectExtent l="0" t="0" r="13970" b="1651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526650"/>
                        </a:xfrm>
                        <a:prstGeom prst="rect">
                          <a:avLst/>
                        </a:prstGeom>
                        <a:solidFill>
                          <a:srgbClr val="FFFFFF"/>
                        </a:solidFill>
                        <a:ln w="9525">
                          <a:solidFill>
                            <a:srgbClr val="000000"/>
                          </a:solidFill>
                          <a:miter lim="800000"/>
                          <a:headEnd/>
                          <a:tailEnd/>
                        </a:ln>
                      </wps:spPr>
                      <wps:txbx>
                        <w:txbxContent>
                          <w:p w:rsidR="00CA5BE7" w:rsidRDefault="00F94E0A">
                            <w:pPr>
                              <w:jc w:val="both"/>
                            </w:pPr>
                            <w:r>
                              <w:t>The European Border and Coast Guard Agency should in 2017:</w:t>
                            </w:r>
                          </w:p>
                          <w:p w:rsidR="00CA5BE7" w:rsidRDefault="00F94E0A">
                            <w:pPr>
                              <w:jc w:val="both"/>
                            </w:pPr>
                            <w:r>
                              <w:t>- increase its return support unit staff by June.</w:t>
                            </w:r>
                          </w:p>
                          <w:p w:rsidR="00CA5BE7" w:rsidRDefault="00F94E0A">
                            <w:pPr>
                              <w:jc w:val="both"/>
                            </w:pPr>
                            <w:r>
                              <w:t>- put in place a commercial flight mechanism by June.</w:t>
                            </w:r>
                          </w:p>
                          <w:p w:rsidR="00CA5BE7" w:rsidRDefault="00F94E0A">
                            <w:pPr>
                              <w:jc w:val="both"/>
                            </w:pPr>
                            <w:r>
                              <w:t>- step up pre-return assistance by organising identification missions by June.</w:t>
                            </w:r>
                          </w:p>
                          <w:p w:rsidR="00CA5BE7" w:rsidRDefault="00F94E0A">
                            <w:r>
                              <w:t>- fi</w:t>
                            </w:r>
                            <w:r>
                              <w:t>nalise the mapping of Member States' capacities and return needs by June.</w:t>
                            </w:r>
                          </w:p>
                          <w:p w:rsidR="00CA5BE7" w:rsidRDefault="00F94E0A">
                            <w:r>
                              <w:t xml:space="preserve">- step up the training of third country authorities taking part to collecting return operations by October. </w:t>
                            </w:r>
                          </w:p>
                          <w:p w:rsidR="00CA5BE7" w:rsidRDefault="00F94E0A">
                            <w:r>
                              <w:t>- fully use the financial allocations by the end of the year.</w:t>
                            </w:r>
                          </w:p>
                        </w:txbxContent>
                      </wps:txbx>
                      <wps:bodyPr rot="0" vert="horz" wrap="square" lIns="91440" tIns="45720" rIns="91440" bIns="45720" anchor="t" anchorCtr="0">
                        <a:noAutofit/>
                      </wps:bodyPr>
                    </wps:wsp>
                  </a:graphicData>
                </a:graphic>
              </wp:inline>
            </w:drawing>
          </mc:Choice>
          <mc:Fallback>
            <w:pict>
              <v:shape id="Text Box 8" o:spid="_x0000_s1032" type="#_x0000_t202" style="width:450.4pt;height:1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">
                <v:textbox>
                  <w:txbxContent>
                    <w:p w:rsidR="00CA5BE7" w:rsidRDefault="00F94E0A">
                      <w:pPr>
                        <w:jc w:val="both"/>
                      </w:pPr>
                      <w:r>
                        <w:t>The European Border and Coast Guard Agency should in 2017:</w:t>
                      </w:r>
                    </w:p>
                    <w:p w:rsidR="00CA5BE7" w:rsidRDefault="00F94E0A">
                      <w:pPr>
                        <w:jc w:val="both"/>
                      </w:pPr>
                      <w:r>
                        <w:t>- increase its return support unit staff by June.</w:t>
                      </w:r>
                    </w:p>
                    <w:p w:rsidR="00CA5BE7" w:rsidRDefault="00F94E0A">
                      <w:pPr>
                        <w:jc w:val="both"/>
                      </w:pPr>
                      <w:r>
                        <w:t>- put in place a commercial flight mechanism by June.</w:t>
                      </w:r>
                    </w:p>
                    <w:p w:rsidR="00CA5BE7" w:rsidRDefault="00F94E0A">
                      <w:pPr>
                        <w:jc w:val="both"/>
                      </w:pPr>
                      <w:r>
                        <w:t>- step up pre-return assistance by organising identification missions by June.</w:t>
                      </w:r>
                    </w:p>
                    <w:p w:rsidR="00CA5BE7" w:rsidRDefault="00F94E0A">
                      <w:r>
                        <w:t>- fi</w:t>
                      </w:r>
                      <w:r>
                        <w:t>nalise the mapping of Member States' capacities and return needs by June.</w:t>
                      </w:r>
                    </w:p>
                    <w:p w:rsidR="00CA5BE7" w:rsidRDefault="00F94E0A">
                      <w:r>
                        <w:t xml:space="preserve">- step up the training of third country authorities taking part to collecting return operations by October. </w:t>
                      </w:r>
                    </w:p>
                    <w:p w:rsidR="00CA5BE7" w:rsidRDefault="00F94E0A">
                      <w:r>
                        <w:t>- fully use the financial allocations by the end of the year.</w:t>
                      </w:r>
                    </w:p>
                  </w:txbxContent>
                </v:textbox>
                <w10:anchorlock/>
              </v:shape>
            </w:pict>
          </mc:Fallback>
        </mc:AlternateContent>
      </w:r>
    </w:p>
    <w:p w:rsidR="00CA5BE7" w:rsidRDefault="00F94E0A">
      <w:pPr>
        <w:spacing w:after="240"/>
        <w:jc w:val="both"/>
        <w:rPr>
          <w:noProof/>
          <w:lang w:eastAsia="en-US"/>
        </w:rPr>
      </w:pPr>
      <w:r>
        <w:rPr>
          <w:b/>
          <w:noProof/>
          <w:u w:val="single"/>
          <w:lang w:eastAsia="en-US"/>
        </w:rPr>
        <w:t xml:space="preserve">I.6- </w:t>
      </w:r>
      <w:r>
        <w:rPr>
          <w:b/>
          <w:noProof/>
          <w:u w:val="single"/>
          <w:lang w:eastAsia="en-US"/>
        </w:rPr>
        <w:t>European Union funding for return and readmission</w:t>
      </w:r>
    </w:p>
    <w:p w:rsidR="00CA5BE7" w:rsidRDefault="00F94E0A">
      <w:pPr>
        <w:spacing w:after="240"/>
        <w:contextualSpacing/>
        <w:jc w:val="both"/>
        <w:rPr>
          <w:noProof/>
          <w:lang w:eastAsia="en-US"/>
        </w:rPr>
      </w:pPr>
      <w:r>
        <w:rPr>
          <w:noProof/>
          <w:lang w:eastAsia="en-US"/>
        </w:rPr>
        <w:t xml:space="preserve">The Commission provides </w:t>
      </w:r>
      <w:r>
        <w:rPr>
          <w:noProof/>
        </w:rPr>
        <w:t xml:space="preserve">substantial financial </w:t>
      </w:r>
      <w:r>
        <w:rPr>
          <w:noProof/>
          <w:lang w:eastAsia="en-US"/>
        </w:rPr>
        <w:t xml:space="preserve">assistance to </w:t>
      </w:r>
      <w:r>
        <w:rPr>
          <w:noProof/>
        </w:rPr>
        <w:t xml:space="preserve">support </w:t>
      </w:r>
      <w:r>
        <w:rPr>
          <w:noProof/>
          <w:lang w:eastAsia="en-US"/>
        </w:rPr>
        <w:t xml:space="preserve">Member States </w:t>
      </w:r>
      <w:r>
        <w:rPr>
          <w:noProof/>
        </w:rPr>
        <w:t xml:space="preserve">in carrying out effective returns </w:t>
      </w:r>
      <w:r>
        <w:rPr>
          <w:noProof/>
          <w:lang w:eastAsia="en-US"/>
        </w:rPr>
        <w:t>in line with the Return Directive</w:t>
      </w:r>
      <w:r>
        <w:rPr>
          <w:noProof/>
        </w:rPr>
        <w:t>, as well as to support practical cooperation and sharing</w:t>
      </w:r>
      <w:r>
        <w:rPr>
          <w:noProof/>
        </w:rPr>
        <w:t xml:space="preserve"> of best practices</w:t>
      </w:r>
      <w:r>
        <w:rPr>
          <w:noProof/>
          <w:lang w:eastAsia="en-US"/>
        </w:rPr>
        <w:t xml:space="preserve"> in the field of return and readmission. The principal EU funding instrument supporting the Member States in this regard is the </w:t>
      </w:r>
      <w:r>
        <w:rPr>
          <w:noProof/>
        </w:rPr>
        <w:t>Asylum, Migration and Integration Fund (AMIF).</w:t>
      </w:r>
    </w:p>
    <w:p w:rsidR="00CA5BE7" w:rsidRDefault="00CA5BE7">
      <w:pPr>
        <w:spacing w:after="240"/>
        <w:contextualSpacing/>
        <w:jc w:val="both"/>
        <w:rPr>
          <w:noProof/>
          <w:lang w:eastAsia="en-US"/>
        </w:rPr>
      </w:pPr>
    </w:p>
    <w:p w:rsidR="00CA5BE7" w:rsidRDefault="00F94E0A">
      <w:pPr>
        <w:spacing w:after="240"/>
        <w:contextualSpacing/>
        <w:jc w:val="both"/>
        <w:rPr>
          <w:noProof/>
          <w:lang w:eastAsia="en-US"/>
        </w:rPr>
      </w:pPr>
      <w:r>
        <w:rPr>
          <w:noProof/>
        </w:rPr>
        <w:t>Approximately EUR 806 million has been allocated by Member Sta</w:t>
      </w:r>
      <w:r>
        <w:rPr>
          <w:noProof/>
        </w:rPr>
        <w:t xml:space="preserve">tes to return and reintegration related activities through their Asylum, Migration and Integration Fund national programmes for the 2014-2020 period. This includes support for Member States' national return efforts and for specific </w:t>
      </w:r>
      <w:r>
        <w:rPr>
          <w:noProof/>
          <w:lang w:eastAsia="en-US"/>
        </w:rPr>
        <w:t>joint European return an</w:t>
      </w:r>
      <w:r>
        <w:rPr>
          <w:noProof/>
          <w:lang w:eastAsia="en-US"/>
        </w:rPr>
        <w:t xml:space="preserve">d integration initiatives (in particular </w:t>
      </w:r>
      <w:r>
        <w:rPr>
          <w:noProof/>
        </w:rPr>
        <w:t>the European Reintegration Network (ERIN)</w:t>
      </w:r>
      <w:r>
        <w:rPr>
          <w:noProof/>
          <w:lang w:eastAsia="en-US"/>
        </w:rPr>
        <w:t xml:space="preserve">, </w:t>
      </w:r>
      <w:r>
        <w:rPr>
          <w:noProof/>
        </w:rPr>
        <w:t>the European Integrated Return Management Initiative (</w:t>
      </w:r>
      <w:r>
        <w:rPr>
          <w:noProof/>
          <w:lang w:eastAsia="en-US"/>
        </w:rPr>
        <w:t>EURINT), and the European Return Liaison Officers Network (EURLO).</w:t>
      </w:r>
    </w:p>
    <w:p w:rsidR="00CA5BE7" w:rsidRDefault="00CA5BE7">
      <w:pPr>
        <w:spacing w:after="240"/>
        <w:contextualSpacing/>
        <w:jc w:val="both"/>
        <w:rPr>
          <w:noProof/>
          <w:lang w:eastAsia="en-US"/>
        </w:rPr>
      </w:pPr>
    </w:p>
    <w:p w:rsidR="00CA5BE7" w:rsidRDefault="00F94E0A">
      <w:pPr>
        <w:spacing w:after="240"/>
        <w:contextualSpacing/>
        <w:jc w:val="both"/>
        <w:rPr>
          <w:noProof/>
        </w:rPr>
      </w:pPr>
      <w:r>
        <w:rPr>
          <w:noProof/>
        </w:rPr>
        <w:t>On top of this, a total of EUR 6.2 million in emer</w:t>
      </w:r>
      <w:r>
        <w:rPr>
          <w:noProof/>
        </w:rPr>
        <w:t xml:space="preserve">gency assistance was awarded since 2014 to address urgent needs related to return, such as assisted voluntary return. Other return and readmission related actions have been supported under the Asylum, Migration and Integration Fund Union Actions including </w:t>
      </w:r>
      <w:r>
        <w:rPr>
          <w:noProof/>
        </w:rPr>
        <w:t>the Readmission Capacity Building Facility with the 2015-2016 Asylum, Migration and Integration Fund contribution of EUR 12 million.</w:t>
      </w:r>
    </w:p>
    <w:p w:rsidR="00CA5BE7" w:rsidRDefault="00CA5BE7">
      <w:pPr>
        <w:spacing w:after="240"/>
        <w:contextualSpacing/>
        <w:jc w:val="both"/>
        <w:rPr>
          <w:noProof/>
        </w:rPr>
      </w:pPr>
    </w:p>
    <w:p w:rsidR="00CA5BE7" w:rsidRDefault="00F94E0A">
      <w:pPr>
        <w:jc w:val="both"/>
        <w:rPr>
          <w:rFonts w:eastAsia="Calibri"/>
          <w:b/>
          <w:i/>
          <w:noProof/>
          <w:u w:val="single"/>
        </w:rPr>
      </w:pPr>
      <w:r>
        <w:rPr>
          <w:rFonts w:eastAsia="Calibri"/>
          <w:b/>
          <w:i/>
          <w:noProof/>
          <w:u w:val="single"/>
        </w:rPr>
        <w:t>The Way Forward</w:t>
      </w:r>
    </w:p>
    <w:p w:rsidR="00CA5BE7" w:rsidRDefault="00CA5BE7">
      <w:pPr>
        <w:jc w:val="both"/>
        <w:rPr>
          <w:rFonts w:eastAsia="Calibri"/>
          <w:b/>
          <w:i/>
          <w:noProof/>
          <w:u w:val="single"/>
        </w:rPr>
      </w:pPr>
    </w:p>
    <w:p w:rsidR="00CA5BE7" w:rsidRDefault="00F94E0A">
      <w:pPr>
        <w:jc w:val="both"/>
        <w:rPr>
          <w:rFonts w:eastAsia="Calibri"/>
          <w:b/>
          <w:i/>
          <w:noProof/>
          <w:u w:val="single"/>
        </w:rPr>
      </w:pPr>
      <w:r>
        <w:rPr>
          <w:rFonts w:eastAsia="Calibri"/>
          <w:noProof/>
        </w:rPr>
        <mc:AlternateContent>
          <mc:Choice Requires="wps">
            <w:drawing>
              <wp:inline distT="0" distB="0" distL="0" distR="0" wp14:anchorId="70C4D0B6" wp14:editId="4987C7C8">
                <wp:extent cx="5720080" cy="1359673"/>
                <wp:effectExtent l="0" t="0" r="13970" b="1206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1359673"/>
                        </a:xfrm>
                        <a:prstGeom prst="rect">
                          <a:avLst/>
                        </a:prstGeom>
                        <a:solidFill>
                          <a:srgbClr val="FFFFFF"/>
                        </a:solidFill>
                        <a:ln w="9525">
                          <a:solidFill>
                            <a:srgbClr val="000000"/>
                          </a:solidFill>
                          <a:miter lim="800000"/>
                          <a:headEnd/>
                          <a:tailEnd/>
                        </a:ln>
                      </wps:spPr>
                      <wps:txbx>
                        <w:txbxContent>
                          <w:p w:rsidR="00CA5BE7" w:rsidRDefault="00F94E0A">
                            <w:pPr>
                              <w:jc w:val="both"/>
                            </w:pPr>
                            <w:r>
                              <w:t>In 2017 the Commission will make available an additional:</w:t>
                            </w:r>
                          </w:p>
                          <w:p w:rsidR="00CA5BE7" w:rsidRDefault="00F94E0A">
                            <w:pPr>
                              <w:jc w:val="both"/>
                            </w:pPr>
                            <w:r>
                              <w:t xml:space="preserve">- EUR 200 million to Member States' via </w:t>
                            </w:r>
                            <w:r>
                              <w:t>their Asylum, Migration and Integration Fund national programmes for return related actions. This will further increase Member States operational capacity on pre-return related assistance, capacity building, reintegration etc. to scale up returns.</w:t>
                            </w:r>
                          </w:p>
                          <w:p w:rsidR="00CA5BE7" w:rsidRDefault="00F94E0A">
                            <w:r>
                              <w:t>- budget</w:t>
                            </w:r>
                            <w:r>
                              <w:t xml:space="preserve"> increase to reinforce the cooperation between the EU and its partner countries in the field of readmission under the Readmission Capacity Building Facility. </w:t>
                            </w:r>
                          </w:p>
                        </w:txbxContent>
                      </wps:txbx>
                      <wps:bodyPr rot="0" vert="horz" wrap="square" lIns="91440" tIns="45720" rIns="91440" bIns="45720" anchor="t" anchorCtr="0">
                        <a:noAutofit/>
                      </wps:bodyPr>
                    </wps:wsp>
                  </a:graphicData>
                </a:graphic>
              </wp:inline>
            </w:drawing>
          </mc:Choice>
          <mc:Fallback>
            <w:pict>
              <v:shape id="Text Box 9" o:spid="_x0000_s1033" type="#_x0000_t202" style="width:450.4pt;height:10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">
                <v:textbox>
                  <w:txbxContent>
                    <w:p w:rsidR="00CA5BE7" w:rsidRDefault="00F94E0A">
                      <w:pPr>
                        <w:jc w:val="both"/>
                      </w:pPr>
                      <w:r>
                        <w:t>In 2017 the Commission will make available an additional:</w:t>
                      </w:r>
                    </w:p>
                    <w:p w:rsidR="00CA5BE7" w:rsidRDefault="00F94E0A">
                      <w:pPr>
                        <w:jc w:val="both"/>
                      </w:pPr>
                      <w:r>
                        <w:t xml:space="preserve">- EUR 200 million to Member States' via </w:t>
                      </w:r>
                      <w:r>
                        <w:t>their Asylum, Migration and Integration Fund national programmes for return related actions. This will further increase Member States operational capacity on pre-return related assistance, capacity building, reintegration etc. to scale up returns.</w:t>
                      </w:r>
                    </w:p>
                    <w:p w:rsidR="00CA5BE7" w:rsidRDefault="00F94E0A">
                      <w:r>
                        <w:t>- budget</w:t>
                      </w:r>
                      <w:r>
                        <w:t xml:space="preserve"> increase to reinforce the cooperation between the EU and its partner countries in the field of readmission under the Readmission Capacity Building Facility. </w:t>
                      </w:r>
                    </w:p>
                  </w:txbxContent>
                </v:textbox>
                <w10:anchorlock/>
              </v:shape>
            </w:pict>
          </mc:Fallback>
        </mc:AlternateContent>
      </w:r>
    </w:p>
    <w:p w:rsidR="00CA5BE7" w:rsidRDefault="00F94E0A">
      <w:pPr>
        <w:pStyle w:val="Heading1"/>
        <w:rPr>
          <w:rFonts w:ascii="Times New Roman" w:hAnsi="Times New Roman"/>
          <w:noProof/>
          <w:color w:val="000000" w:themeColor="text1"/>
        </w:rPr>
      </w:pPr>
      <w:r>
        <w:rPr>
          <w:rFonts w:ascii="Times New Roman" w:hAnsi="Times New Roman"/>
          <w:noProof/>
          <w:color w:val="000000" w:themeColor="text1"/>
        </w:rPr>
        <w:t>II - Overcoming the challenges of readmission</w:t>
      </w:r>
    </w:p>
    <w:p w:rsidR="00CA5BE7" w:rsidRDefault="00CA5BE7">
      <w:pPr>
        <w:jc w:val="both"/>
        <w:rPr>
          <w:b/>
          <w:noProof/>
          <w:sz w:val="28"/>
        </w:rPr>
      </w:pPr>
    </w:p>
    <w:p w:rsidR="00CA5BE7" w:rsidRDefault="00F94E0A">
      <w:pPr>
        <w:jc w:val="both"/>
        <w:rPr>
          <w:noProof/>
        </w:rPr>
      </w:pPr>
      <w:r>
        <w:rPr>
          <w:rFonts w:eastAsia="Calibri"/>
          <w:noProof/>
        </w:rPr>
        <w:t>As announced in the 2015 Action Plan on Return, t</w:t>
      </w:r>
      <w:r>
        <w:rPr>
          <w:rFonts w:eastAsia="Calibri"/>
          <w:noProof/>
        </w:rPr>
        <w:t>he European Union has significantly increased its engagement with the main countries of origin, both in Africa and Asia</w:t>
      </w:r>
      <w:r>
        <w:rPr>
          <w:noProof/>
        </w:rPr>
        <w:t>. While some countries of origin cooperate on the readmission of their nationals, in line with their obligation under international law</w:t>
      </w:r>
      <w:r>
        <w:rPr>
          <w:rFonts w:cstheme="minorBidi"/>
          <w:noProof/>
        </w:rPr>
        <w:t xml:space="preserve"> (</w:t>
      </w:r>
      <w:r>
        <w:rPr>
          <w:rFonts w:cstheme="minorBidi"/>
          <w:noProof/>
        </w:rPr>
        <w:t xml:space="preserve">and for ACP countries also under the Article 13 of Cotonou Agreement) many other countries do not cooperate in a satisfactory manner. Member States notably report difficulties to obtain emergency </w:t>
      </w:r>
      <w:r>
        <w:rPr>
          <w:noProof/>
        </w:rPr>
        <w:t>travel documents from third countries or to alternatively us</w:t>
      </w:r>
      <w:r>
        <w:rPr>
          <w:noProof/>
        </w:rPr>
        <w:t xml:space="preserve">e the European travel document, even in cases where identity and nationality is well established. </w:t>
      </w:r>
    </w:p>
    <w:p w:rsidR="00CA5BE7" w:rsidRDefault="00CA5BE7">
      <w:pPr>
        <w:jc w:val="both"/>
        <w:rPr>
          <w:noProof/>
        </w:rPr>
      </w:pPr>
    </w:p>
    <w:p w:rsidR="00CA5BE7" w:rsidRDefault="00F94E0A">
      <w:pPr>
        <w:jc w:val="both"/>
        <w:rPr>
          <w:noProof/>
        </w:rPr>
      </w:pPr>
      <w:r>
        <w:rPr>
          <w:noProof/>
        </w:rPr>
        <w:t xml:space="preserve">Through regular Joint Readmission Committee meetings, and dedicated projects, </w:t>
      </w:r>
      <w:r>
        <w:rPr>
          <w:rFonts w:cstheme="minorBidi"/>
          <w:noProof/>
        </w:rPr>
        <w:t xml:space="preserve">intensive work on the </w:t>
      </w:r>
      <w:r>
        <w:rPr>
          <w:rFonts w:cstheme="minorBidi"/>
          <w:b/>
          <w:noProof/>
        </w:rPr>
        <w:t xml:space="preserve">implementation of the existing </w:t>
      </w:r>
      <w:r>
        <w:rPr>
          <w:b/>
          <w:noProof/>
        </w:rPr>
        <w:t>17 Readmission Agreements</w:t>
      </w:r>
      <w:r>
        <w:rPr>
          <w:noProof/>
        </w:rPr>
        <w:t>, helped remove some of the obstacles to readmission while improving practices as well as communication between relevant authorities. However, with some of these countries the provisions of the agreements are still not fully observed in practice.</w:t>
      </w:r>
    </w:p>
    <w:p w:rsidR="00CA5BE7" w:rsidRDefault="00CA5BE7">
      <w:pPr>
        <w:jc w:val="both"/>
        <w:rPr>
          <w:rFonts w:cstheme="minorBidi"/>
          <w:noProof/>
        </w:rPr>
      </w:pPr>
    </w:p>
    <w:p w:rsidR="00CA5BE7" w:rsidRDefault="00F94E0A">
      <w:pPr>
        <w:jc w:val="both"/>
        <w:rPr>
          <w:noProof/>
        </w:rPr>
      </w:pPr>
      <w:r>
        <w:rPr>
          <w:noProof/>
        </w:rPr>
        <w:t>The Comm</w:t>
      </w:r>
      <w:r>
        <w:rPr>
          <w:noProof/>
        </w:rPr>
        <w:t xml:space="preserve">ission made progress on the </w:t>
      </w:r>
      <w:r>
        <w:rPr>
          <w:b/>
          <w:noProof/>
        </w:rPr>
        <w:t>negotiations of</w:t>
      </w:r>
      <w:r>
        <w:rPr>
          <w:noProof/>
        </w:rPr>
        <w:t xml:space="preserve"> </w:t>
      </w:r>
      <w:r>
        <w:rPr>
          <w:b/>
          <w:noProof/>
        </w:rPr>
        <w:t>new readmission agreements</w:t>
      </w:r>
      <w:r>
        <w:rPr>
          <w:noProof/>
        </w:rPr>
        <w:t xml:space="preserve">. Negotiations with Belarus are now almost finalised while new ones were launched with Nigeria, Tunisia and Jordan in parallel with negotiations on visa facilitation. On the other hand, </w:t>
      </w:r>
      <w:r>
        <w:rPr>
          <w:noProof/>
        </w:rPr>
        <w:t xml:space="preserve">negotiations with Morocco, which started in 2003 are stalled and have not been opened with Algeria despite the negotiating mandate dating back to 2002. </w:t>
      </w:r>
    </w:p>
    <w:p w:rsidR="00CA5BE7" w:rsidRDefault="00CA5BE7">
      <w:pPr>
        <w:jc w:val="both"/>
        <w:rPr>
          <w:noProof/>
        </w:rPr>
      </w:pPr>
    </w:p>
    <w:p w:rsidR="00CA5BE7" w:rsidRDefault="00F94E0A">
      <w:pPr>
        <w:jc w:val="both"/>
        <w:rPr>
          <w:rFonts w:cstheme="minorBidi"/>
          <w:noProof/>
        </w:rPr>
      </w:pPr>
      <w:r>
        <w:rPr>
          <w:noProof/>
        </w:rPr>
        <w:t xml:space="preserve">With countries with which a formal readmission agreement could not be pursued, the Commission focused </w:t>
      </w:r>
      <w:r>
        <w:rPr>
          <w:noProof/>
        </w:rPr>
        <w:t xml:space="preserve">on </w:t>
      </w:r>
      <w:r>
        <w:rPr>
          <w:b/>
          <w:noProof/>
        </w:rPr>
        <w:t>improving practical cooperation</w:t>
      </w:r>
      <w:r>
        <w:rPr>
          <w:noProof/>
        </w:rPr>
        <w:t xml:space="preserve"> through operational tools and instruments such as standard operational procedures. </w:t>
      </w:r>
    </w:p>
    <w:p w:rsidR="00CA5BE7" w:rsidRDefault="00CA5BE7">
      <w:pPr>
        <w:jc w:val="both"/>
        <w:rPr>
          <w:noProof/>
        </w:rPr>
      </w:pPr>
    </w:p>
    <w:p w:rsidR="00CA5BE7" w:rsidRDefault="00F94E0A">
      <w:pPr>
        <w:jc w:val="both"/>
        <w:rPr>
          <w:noProof/>
        </w:rPr>
      </w:pPr>
      <w:r>
        <w:rPr>
          <w:noProof/>
        </w:rPr>
        <w:t xml:space="preserve">Following a series </w:t>
      </w:r>
      <w:r>
        <w:rPr>
          <w:b/>
          <w:noProof/>
        </w:rPr>
        <w:t>of high level dialogues</w:t>
      </w:r>
      <w:r>
        <w:rPr>
          <w:noProof/>
        </w:rPr>
        <w:t xml:space="preserve">, </w:t>
      </w:r>
      <w:r>
        <w:rPr>
          <w:rFonts w:cstheme="minorBidi"/>
          <w:noProof/>
        </w:rPr>
        <w:t>cooperation on</w:t>
      </w:r>
      <w:r>
        <w:rPr>
          <w:noProof/>
        </w:rPr>
        <w:t xml:space="preserve"> readmission obligations is now an integral part of the European Union's renew</w:t>
      </w:r>
      <w:r>
        <w:rPr>
          <w:noProof/>
        </w:rPr>
        <w:t xml:space="preserve">ed political dialogue with third countries. The Action Plan also announced that the European Union assistance and policies should be used as incentives to stimulate the partner country's willingness to cooperate and thus </w:t>
      </w:r>
      <w:r>
        <w:rPr>
          <w:b/>
          <w:noProof/>
        </w:rPr>
        <w:t>increase the European Union's lever</w:t>
      </w:r>
      <w:r>
        <w:rPr>
          <w:b/>
          <w:noProof/>
        </w:rPr>
        <w:t>age on readmission</w:t>
      </w:r>
      <w:r>
        <w:rPr>
          <w:noProof/>
        </w:rPr>
        <w:t>. This was translated into the Partnership Framework approach proposed in June 2016</w:t>
      </w:r>
      <w:r>
        <w:rPr>
          <w:rStyle w:val="FootnoteReference"/>
          <w:noProof/>
        </w:rPr>
        <w:footnoteReference w:id="21"/>
      </w:r>
      <w:r>
        <w:rPr>
          <w:noProof/>
        </w:rPr>
        <w:t>, which aims at achieving joint management of migration with countries of origin and transit, with an initial focus on Ethiopia, Senegal, Mali, Nigeria an</w:t>
      </w:r>
      <w:r>
        <w:rPr>
          <w:noProof/>
        </w:rPr>
        <w:t>d Niger.</w:t>
      </w:r>
    </w:p>
    <w:p w:rsidR="00CA5BE7" w:rsidRDefault="00CA5BE7">
      <w:pPr>
        <w:jc w:val="both"/>
        <w:rPr>
          <w:noProof/>
        </w:rPr>
      </w:pPr>
    </w:p>
    <w:p w:rsidR="00CA5BE7" w:rsidRDefault="00F94E0A">
      <w:pPr>
        <w:tabs>
          <w:tab w:val="left" w:pos="284"/>
        </w:tabs>
        <w:spacing w:after="120"/>
        <w:jc w:val="both"/>
        <w:rPr>
          <w:noProof/>
        </w:rPr>
      </w:pPr>
      <w:r>
        <w:rPr>
          <w:noProof/>
        </w:rPr>
        <w:t xml:space="preserve">The implementation and results of the </w:t>
      </w:r>
      <w:r>
        <w:rPr>
          <w:b/>
          <w:noProof/>
        </w:rPr>
        <w:t>Partnership Framework</w:t>
      </w:r>
      <w:r>
        <w:rPr>
          <w:noProof/>
        </w:rPr>
        <w:t xml:space="preserve"> are further detailed in the three dedicated reports in October and December 2016 and 1</w:t>
      </w:r>
      <w:r>
        <w:rPr>
          <w:noProof/>
          <w:vertAlign w:val="superscript"/>
        </w:rPr>
        <w:t>st</w:t>
      </w:r>
      <w:r>
        <w:rPr>
          <w:noProof/>
        </w:rPr>
        <w:t xml:space="preserve"> March 2017</w:t>
      </w:r>
      <w:r>
        <w:rPr>
          <w:rStyle w:val="FootnoteReference"/>
          <w:noProof/>
        </w:rPr>
        <w:footnoteReference w:id="22"/>
      </w:r>
      <w:r>
        <w:rPr>
          <w:noProof/>
        </w:rPr>
        <w:t>. Engaging with third countries through the Partnership Framework, using all available</w:t>
      </w:r>
      <w:r>
        <w:rPr>
          <w:noProof/>
        </w:rPr>
        <w:t xml:space="preserve"> policies and tools</w:t>
      </w:r>
      <w:r>
        <w:rPr>
          <w:rStyle w:val="FootnoteReference"/>
          <w:noProof/>
        </w:rPr>
        <w:footnoteReference w:id="23"/>
      </w:r>
      <w:r>
        <w:rPr>
          <w:noProof/>
        </w:rPr>
        <w:t xml:space="preserve"> will foster better cooperation with a view to identifying, re-documenting and readmitting their nationals. Overall, tailor-made approaches should be used to identify all the interest, incentives and leverages at stake with a partner co</w:t>
      </w:r>
      <w:r>
        <w:rPr>
          <w:noProof/>
        </w:rPr>
        <w:t>untry in order to achieve targets and commitments and to offer specific support measures by the EU and interested Member States to the partner country concerned – such as effective reintegration of returnees -  so as to ensure a better management of migrat</w:t>
      </w:r>
      <w:r>
        <w:rPr>
          <w:noProof/>
        </w:rPr>
        <w:t>ion, and in that context to further improve cooperation on return and readmission.</w:t>
      </w:r>
      <w:r>
        <w:rPr>
          <w:noProof/>
          <w:color w:val="FF0000"/>
        </w:rPr>
        <w:t xml:space="preserve"> </w:t>
      </w:r>
      <w:r>
        <w:rPr>
          <w:noProof/>
        </w:rPr>
        <w:t>The EU and Member States will need to employ their collective leverage in a coordinated and effective manner to achieve this result.</w:t>
      </w:r>
    </w:p>
    <w:p w:rsidR="00CA5BE7" w:rsidRDefault="00CA5BE7">
      <w:pPr>
        <w:jc w:val="both"/>
        <w:rPr>
          <w:rFonts w:cstheme="minorBidi"/>
          <w:noProof/>
        </w:rPr>
      </w:pPr>
    </w:p>
    <w:p w:rsidR="00CA5BE7" w:rsidRDefault="00F94E0A">
      <w:pPr>
        <w:autoSpaceDE w:val="0"/>
        <w:autoSpaceDN w:val="0"/>
        <w:adjustRightInd w:val="0"/>
        <w:jc w:val="both"/>
        <w:rPr>
          <w:b/>
          <w:i/>
          <w:noProof/>
        </w:rPr>
      </w:pPr>
      <w:r>
        <w:rPr>
          <w:b/>
          <w:i/>
          <w:noProof/>
        </w:rPr>
        <w:t>The Way Forward</w:t>
      </w:r>
    </w:p>
    <w:p w:rsidR="00CA5BE7" w:rsidRDefault="00CA5BE7">
      <w:pPr>
        <w:autoSpaceDE w:val="0"/>
        <w:autoSpaceDN w:val="0"/>
        <w:adjustRightInd w:val="0"/>
        <w:jc w:val="both"/>
        <w:rPr>
          <w:rFonts w:cstheme="minorBidi"/>
          <w:b/>
          <w:i/>
          <w:noProof/>
        </w:rPr>
      </w:pPr>
    </w:p>
    <w:p w:rsidR="00CA5BE7" w:rsidRDefault="00F94E0A">
      <w:pPr>
        <w:autoSpaceDE w:val="0"/>
        <w:autoSpaceDN w:val="0"/>
        <w:adjustRightInd w:val="0"/>
        <w:jc w:val="both"/>
        <w:rPr>
          <w:noProof/>
          <w:u w:val="single"/>
        </w:rPr>
      </w:pPr>
      <w:r>
        <w:rPr>
          <w:noProof/>
        </w:rPr>
        <mc:AlternateContent>
          <mc:Choice Requires="wps">
            <w:drawing>
              <wp:inline distT="0" distB="0" distL="0" distR="0" wp14:anchorId="7908329F" wp14:editId="4A8AFE57">
                <wp:extent cx="5720080" cy="2417197"/>
                <wp:effectExtent l="0" t="0" r="13970" b="2159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2417197"/>
                        </a:xfrm>
                        <a:prstGeom prst="rect">
                          <a:avLst/>
                        </a:prstGeom>
                        <a:solidFill>
                          <a:srgbClr val="FFFFFF"/>
                        </a:solidFill>
                        <a:ln w="9525">
                          <a:solidFill>
                            <a:srgbClr val="000000"/>
                          </a:solidFill>
                          <a:miter lim="800000"/>
                          <a:headEnd/>
                          <a:tailEnd/>
                        </a:ln>
                      </wps:spPr>
                      <wps:txbx>
                        <w:txbxContent>
                          <w:p w:rsidR="00CA5BE7" w:rsidRDefault="00F94E0A">
                            <w:pPr>
                              <w:jc w:val="both"/>
                              <w:rPr>
                                <w:lang w:eastAsia="en-US"/>
                              </w:rPr>
                            </w:pPr>
                            <w:r>
                              <w:rPr>
                                <w:lang w:eastAsia="en-US"/>
                              </w:rPr>
                              <w:t xml:space="preserve">The Commission </w:t>
                            </w:r>
                            <w:r>
                              <w:rPr>
                                <w:lang w:eastAsia="en-US"/>
                              </w:rPr>
                              <w:t>will:</w:t>
                            </w:r>
                          </w:p>
                          <w:p w:rsidR="00CA5BE7" w:rsidRDefault="00F94E0A">
                            <w:pPr>
                              <w:jc w:val="both"/>
                            </w:pPr>
                            <w:r>
                              <w:t>- monitor and address ongoing issues in the implementation of the Readmission Agreements.</w:t>
                            </w:r>
                          </w:p>
                          <w:p w:rsidR="00CA5BE7" w:rsidRDefault="00F94E0A">
                            <w:r>
                              <w:t>- work to swiftly conclude negotiations of the Readmission Agreements with Nigeria, Tunisia and Jordan while striving to engage with Morocco and Algeria.</w:t>
                            </w:r>
                          </w:p>
                          <w:p w:rsidR="00CA5BE7" w:rsidRDefault="00F94E0A">
                            <w:pPr>
                              <w:jc w:val="both"/>
                            </w:pPr>
                            <w:r>
                              <w:t>- toge</w:t>
                            </w:r>
                            <w:r>
                              <w:t>ther with Member States, step up the efforts to improve practical cooperation, by agreeing with third countries readmission procedures, communication channels and workflows, while ensuring compliance with the EU Charter of Fundamental Rights.</w:t>
                            </w:r>
                          </w:p>
                          <w:p w:rsidR="00CA5BE7" w:rsidRDefault="00CA5BE7">
                            <w:pPr>
                              <w:jc w:val="both"/>
                            </w:pPr>
                          </w:p>
                          <w:p w:rsidR="00CA5BE7" w:rsidRDefault="00F94E0A">
                            <w:pPr>
                              <w:jc w:val="both"/>
                              <w:rPr>
                                <w:rFonts w:eastAsiaTheme="minorEastAsia"/>
                                <w:lang w:val="en-US" w:eastAsia="en-US"/>
                              </w:rPr>
                            </w:pPr>
                            <w:r>
                              <w:rPr>
                                <w:lang w:eastAsia="en-US"/>
                              </w:rPr>
                              <w:t>The European</w:t>
                            </w:r>
                            <w:r>
                              <w:rPr>
                                <w:lang w:eastAsia="en-US"/>
                              </w:rPr>
                              <w:t xml:space="preserve"> Union and its Member States will,</w:t>
                            </w:r>
                            <w:r>
                              <w:rPr>
                                <w:rFonts w:eastAsiaTheme="minorEastAsia"/>
                                <w:lang w:eastAsia="en-US"/>
                              </w:rPr>
                              <w:t xml:space="preserve"> </w:t>
                            </w:r>
                            <w:r>
                              <w:rPr>
                                <w:rFonts w:eastAsiaTheme="minorEastAsia"/>
                                <w:lang w:val="en-US" w:eastAsia="en-US"/>
                              </w:rPr>
                              <w:t xml:space="preserve">within the Partnership Framework, employ their collective leverage in a coordinated and effective manner to agree with third countries tailor-made approaches to jointly manage migration and </w:t>
                            </w:r>
                            <w:r>
                              <w:t xml:space="preserve">further improve cooperation on </w:t>
                            </w:r>
                            <w:r>
                              <w:t>return and readmission.</w:t>
                            </w:r>
                          </w:p>
                        </w:txbxContent>
                      </wps:txbx>
                      <wps:bodyPr rot="0" vert="horz" wrap="square" lIns="91440" tIns="45720" rIns="91440" bIns="45720" anchor="t" anchorCtr="0" upright="1">
                        <a:noAutofit/>
                      </wps:bodyPr>
                    </wps:wsp>
                  </a:graphicData>
                </a:graphic>
              </wp:inline>
            </w:drawing>
          </mc:Choice>
          <mc:Fallback>
            <w:pict>
              <v:shape id="Text Box 1" o:spid="_x0000_s1034" type="#_x0000_t202" style="width:450.4pt;height:19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">
                <v:textbox>
                  <w:txbxContent>
                    <w:p w:rsidR="00CA5BE7" w:rsidRDefault="00F94E0A">
                      <w:pPr>
                        <w:jc w:val="both"/>
                        <w:rPr>
                          <w:lang w:eastAsia="en-US"/>
                        </w:rPr>
                      </w:pPr>
                      <w:r>
                        <w:rPr>
                          <w:lang w:eastAsia="en-US"/>
                        </w:rPr>
                        <w:t xml:space="preserve">The Commission </w:t>
                      </w:r>
                      <w:r>
                        <w:rPr>
                          <w:lang w:eastAsia="en-US"/>
                        </w:rPr>
                        <w:t>will:</w:t>
                      </w:r>
                    </w:p>
                    <w:p w:rsidR="00CA5BE7" w:rsidRDefault="00F94E0A">
                      <w:pPr>
                        <w:jc w:val="both"/>
                      </w:pPr>
                      <w:r>
                        <w:t>- monitor and address ongoing issues in the implementation of the Readmission Agreements.</w:t>
                      </w:r>
                    </w:p>
                    <w:p w:rsidR="00CA5BE7" w:rsidRDefault="00F94E0A">
                      <w:r>
                        <w:t>- work to swiftly conclude negotiations of the Readmission Agreements with Nigeria, Tunisia and Jordan while striving to engage with Morocco and Algeria.</w:t>
                      </w:r>
                    </w:p>
                    <w:p w:rsidR="00CA5BE7" w:rsidRDefault="00F94E0A">
                      <w:pPr>
                        <w:jc w:val="both"/>
                      </w:pPr>
                      <w:r>
                        <w:t>- toge</w:t>
                      </w:r>
                      <w:r>
                        <w:t>ther with Member States, step up the efforts to improve practical cooperation, by agreeing with third countries readmission procedures, communication channels and workflows, while ensuring compliance with the EU Charter of Fundamental Rights.</w:t>
                      </w:r>
                    </w:p>
                    <w:p w:rsidR="00CA5BE7" w:rsidRDefault="00CA5BE7">
                      <w:pPr>
                        <w:jc w:val="both"/>
                      </w:pPr>
                    </w:p>
                    <w:p w:rsidR="00CA5BE7" w:rsidRDefault="00F94E0A">
                      <w:pPr>
                        <w:jc w:val="both"/>
                        <w:rPr>
                          <w:rFonts w:eastAsiaTheme="minorEastAsia"/>
                          <w:lang w:val="en-US" w:eastAsia="en-US"/>
                        </w:rPr>
                      </w:pPr>
                      <w:r>
                        <w:rPr>
                          <w:lang w:eastAsia="en-US"/>
                        </w:rPr>
                        <w:t>The European</w:t>
                      </w:r>
                      <w:r>
                        <w:rPr>
                          <w:lang w:eastAsia="en-US"/>
                        </w:rPr>
                        <w:t xml:space="preserve"> Union and its Member States will,</w:t>
                      </w:r>
                      <w:r>
                        <w:rPr>
                          <w:rFonts w:eastAsiaTheme="minorEastAsia"/>
                          <w:lang w:eastAsia="en-US"/>
                        </w:rPr>
                        <w:t xml:space="preserve"> </w:t>
                      </w:r>
                      <w:r>
                        <w:rPr>
                          <w:rFonts w:eastAsiaTheme="minorEastAsia"/>
                          <w:lang w:val="en-US" w:eastAsia="en-US"/>
                        </w:rPr>
                        <w:t xml:space="preserve">within the Partnership Framework, employ their collective leverage in a coordinated and effective manner to agree with third countries tailor-made approaches to jointly manage migration and </w:t>
                      </w:r>
                      <w:r>
                        <w:t xml:space="preserve">further improve cooperation on </w:t>
                      </w:r>
                      <w:r>
                        <w:t>return and readmission.</w:t>
                      </w:r>
                    </w:p>
                  </w:txbxContent>
                </v:textbox>
                <w10:anchorlock/>
              </v:shape>
            </w:pict>
          </mc:Fallback>
        </mc:AlternateContent>
      </w:r>
    </w:p>
    <w:p w:rsidR="00CA5BE7" w:rsidRDefault="00CA5BE7">
      <w:pPr>
        <w:autoSpaceDE w:val="0"/>
        <w:autoSpaceDN w:val="0"/>
        <w:adjustRightInd w:val="0"/>
        <w:jc w:val="both"/>
        <w:rPr>
          <w:noProof/>
          <w:u w:val="single"/>
        </w:rPr>
      </w:pPr>
    </w:p>
    <w:p w:rsidR="00CA5BE7" w:rsidRDefault="00F94E0A">
      <w:pPr>
        <w:pStyle w:val="Heading1"/>
        <w:spacing w:before="0"/>
        <w:rPr>
          <w:rFonts w:ascii="Times New Roman" w:hAnsi="Times New Roman"/>
          <w:noProof/>
          <w:color w:val="000000" w:themeColor="text1"/>
          <w:lang w:eastAsia="en-US"/>
        </w:rPr>
      </w:pPr>
      <w:r>
        <w:rPr>
          <w:rFonts w:ascii="Times New Roman" w:hAnsi="Times New Roman" w:cs="Times New Roman"/>
          <w:noProof/>
          <w:color w:val="000000" w:themeColor="text1"/>
          <w:lang w:eastAsia="en-US"/>
        </w:rPr>
        <w:t>III</w:t>
      </w:r>
      <w:r>
        <w:rPr>
          <w:rFonts w:ascii="Times New Roman" w:hAnsi="Times New Roman"/>
          <w:noProof/>
          <w:color w:val="000000" w:themeColor="text1"/>
          <w:lang w:eastAsia="en-US"/>
        </w:rPr>
        <w:t xml:space="preserve"> – Conclusion</w:t>
      </w:r>
    </w:p>
    <w:p w:rsidR="00CA5BE7" w:rsidRDefault="00CA5BE7">
      <w:pPr>
        <w:jc w:val="both"/>
        <w:rPr>
          <w:noProof/>
          <w:lang w:eastAsia="en-US"/>
        </w:rPr>
      </w:pPr>
    </w:p>
    <w:p w:rsidR="00CA5BE7" w:rsidRDefault="00F94E0A">
      <w:pPr>
        <w:jc w:val="both"/>
        <w:rPr>
          <w:rFonts w:eastAsia="Calibri"/>
          <w:noProof/>
        </w:rPr>
      </w:pPr>
      <w:r>
        <w:rPr>
          <w:rFonts w:eastAsia="Calibri"/>
          <w:noProof/>
          <w:lang w:eastAsia="en-US"/>
        </w:rPr>
        <w:t xml:space="preserve">Together with the Recommendation on making returns more effective when implementing the Return Directive, this </w:t>
      </w:r>
      <w:r>
        <w:rPr>
          <w:rFonts w:eastAsia="Calibri"/>
          <w:noProof/>
        </w:rPr>
        <w:t>renewed Action Plan provides a number of focused actions</w:t>
      </w:r>
      <w:r>
        <w:rPr>
          <w:noProof/>
          <w:lang w:eastAsia="en-US"/>
        </w:rPr>
        <w:t xml:space="preserve"> to enable Member States and the European Uni</w:t>
      </w:r>
      <w:r>
        <w:rPr>
          <w:noProof/>
          <w:lang w:eastAsia="en-US"/>
        </w:rPr>
        <w:t xml:space="preserve">on </w:t>
      </w:r>
      <w:r>
        <w:rPr>
          <w:b/>
          <w:noProof/>
          <w:lang w:eastAsia="en-US"/>
        </w:rPr>
        <w:t xml:space="preserve">to substantially improve return rates. </w:t>
      </w:r>
      <w:r>
        <w:rPr>
          <w:noProof/>
          <w:lang w:eastAsia="en-US"/>
        </w:rPr>
        <w:t>This will at the same time send a clear message to those migrants that will not have a right to stay in the European Union that they should not undertake the perilous journey to arrive in Europe illegally. This wil</w:t>
      </w:r>
      <w:r>
        <w:rPr>
          <w:noProof/>
          <w:lang w:eastAsia="en-US"/>
        </w:rPr>
        <w:t>l also help disrupting the business model of migrant smuggling.</w:t>
      </w:r>
    </w:p>
    <w:p w:rsidR="00CA5BE7" w:rsidRDefault="00CA5BE7">
      <w:pPr>
        <w:jc w:val="both"/>
        <w:rPr>
          <w:rFonts w:eastAsia="Calibri"/>
          <w:noProof/>
        </w:rPr>
      </w:pPr>
    </w:p>
    <w:p w:rsidR="00CA5BE7" w:rsidRDefault="00F94E0A">
      <w:pPr>
        <w:jc w:val="both"/>
        <w:rPr>
          <w:rFonts w:eastAsia="Calibri"/>
          <w:noProof/>
        </w:rPr>
      </w:pPr>
      <w:r>
        <w:rPr>
          <w:noProof/>
          <w:lang w:eastAsia="en-US"/>
        </w:rPr>
        <w:t xml:space="preserve">Competent national authorities in the Member States need to apply the standards and procedures set out in the Return Directive in a more effective and direct way when carrying out returns in </w:t>
      </w:r>
      <w:r>
        <w:rPr>
          <w:noProof/>
          <w:lang w:eastAsia="en-US"/>
        </w:rPr>
        <w:t xml:space="preserve">full respect of fundamental rights and safeguards for a dignified return in line with the Recommendation. </w:t>
      </w:r>
    </w:p>
    <w:p w:rsidR="00CA5BE7" w:rsidRDefault="00CA5BE7">
      <w:pPr>
        <w:jc w:val="both"/>
        <w:rPr>
          <w:noProof/>
          <w:lang w:eastAsia="en-US"/>
        </w:rPr>
      </w:pPr>
    </w:p>
    <w:p w:rsidR="00CA5BE7" w:rsidRDefault="00F94E0A">
      <w:pPr>
        <w:jc w:val="both"/>
        <w:rPr>
          <w:noProof/>
          <w:lang w:eastAsia="en-US"/>
        </w:rPr>
      </w:pPr>
      <w:r>
        <w:rPr>
          <w:noProof/>
          <w:lang w:eastAsia="en-US"/>
        </w:rPr>
        <w:t xml:space="preserve">The Commission, for its part and with the support of relevant European Union Agencies, will put in place the </w:t>
      </w:r>
      <w:r>
        <w:rPr>
          <w:b/>
          <w:noProof/>
          <w:lang w:eastAsia="en-US"/>
        </w:rPr>
        <w:t>operational support measures identified</w:t>
      </w:r>
      <w:r>
        <w:rPr>
          <w:b/>
          <w:noProof/>
          <w:lang w:eastAsia="en-US"/>
        </w:rPr>
        <w:t xml:space="preserve"> in this renewed Action Plan </w:t>
      </w:r>
      <w:r>
        <w:rPr>
          <w:noProof/>
          <w:lang w:eastAsia="en-US"/>
        </w:rPr>
        <w:t>to strengthen and assist Member States further in their implementation of the European Union return system.</w:t>
      </w:r>
    </w:p>
    <w:p w:rsidR="00CA5BE7" w:rsidRDefault="00CA5BE7">
      <w:pPr>
        <w:jc w:val="both"/>
        <w:rPr>
          <w:noProof/>
          <w:lang w:eastAsia="en-US"/>
        </w:rPr>
      </w:pPr>
    </w:p>
    <w:p w:rsidR="00CA5BE7" w:rsidRDefault="00F94E0A">
      <w:pPr>
        <w:jc w:val="both"/>
        <w:rPr>
          <w:noProof/>
          <w:lang w:eastAsia="en-US"/>
        </w:rPr>
      </w:pPr>
      <w:r>
        <w:rPr>
          <w:noProof/>
          <w:lang w:eastAsia="en-US"/>
        </w:rPr>
        <w:t>Moreover the Commission together with EEAS will intensify efforts to conclude readmission agreements and improve coope</w:t>
      </w:r>
      <w:r>
        <w:rPr>
          <w:noProof/>
          <w:lang w:eastAsia="en-US"/>
        </w:rPr>
        <w:t xml:space="preserve">ration with third countries on readmission, </w:t>
      </w:r>
      <w:r>
        <w:rPr>
          <w:rFonts w:eastAsiaTheme="minorEastAsia"/>
          <w:noProof/>
          <w:lang w:val="en-US" w:eastAsia="en-US"/>
        </w:rPr>
        <w:t>collectively employing leverage in a coordinated and effective manner within the context of the Partnership framework on migration</w:t>
      </w:r>
      <w:r>
        <w:rPr>
          <w:noProof/>
          <w:lang w:eastAsia="en-US"/>
        </w:rPr>
        <w:t>.</w:t>
      </w:r>
    </w:p>
    <w:p w:rsidR="00CA5BE7" w:rsidRDefault="00CA5BE7">
      <w:pPr>
        <w:jc w:val="both"/>
        <w:rPr>
          <w:noProof/>
          <w:lang w:eastAsia="en-US"/>
        </w:rPr>
      </w:pPr>
    </w:p>
    <w:p w:rsidR="00CA5BE7" w:rsidRDefault="00F94E0A">
      <w:pPr>
        <w:jc w:val="both"/>
        <w:rPr>
          <w:rFonts w:eastAsia="Calibri"/>
          <w:noProof/>
        </w:rPr>
      </w:pPr>
      <w:r>
        <w:rPr>
          <w:noProof/>
          <w:lang w:eastAsia="en-US"/>
        </w:rPr>
        <w:t>The Commission will assess progress and report on the implementation of the Rec</w:t>
      </w:r>
      <w:r>
        <w:rPr>
          <w:noProof/>
          <w:lang w:eastAsia="en-US"/>
        </w:rPr>
        <w:t>ommendation and of the renewed Action Plan by December 2017.</w:t>
      </w:r>
    </w:p>
    <w:sectPr w:rsidR="00CA5BE7">
      <w:headerReference w:type="even" r:id="rId19"/>
      <w:headerReference w:type="default" r:id="rId20"/>
      <w:footerReference w:type="even" r:id="rId21"/>
      <w:footerReference w:type="default" r:id="rId22"/>
      <w:headerReference w:type="first" r:id="rId23"/>
      <w:footerReference w:type="first" r:id="rId24"/>
      <w:pgSz w:w="11900" w:h="16840" w:code="9"/>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BE7" w:rsidRDefault="00F94E0A">
      <w:r>
        <w:separator/>
      </w:r>
    </w:p>
  </w:endnote>
  <w:endnote w:type="continuationSeparator" w:id="0">
    <w:p w:rsidR="00CA5BE7" w:rsidRDefault="00F94E0A">
      <w:r>
        <w:continuationSeparator/>
      </w:r>
    </w:p>
  </w:endnote>
  <w:endnote w:type="continuationNotice" w:id="1">
    <w:p w:rsidR="00CA5BE7" w:rsidRDefault="00CA5B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ヒラギノ角ゴ Pro W3">
    <w:altName w:val="MS Mincho"/>
    <w:charset w:val="80"/>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E0A" w:rsidRPr="00F94E0A" w:rsidRDefault="00F94E0A" w:rsidP="00F94E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E0A" w:rsidRPr="00F94E0A" w:rsidRDefault="00F94E0A" w:rsidP="00F94E0A">
    <w:pPr>
      <w:pStyle w:val="FooterCoverPage"/>
      <w:rPr>
        <w:rFonts w:ascii="Arial" w:hAnsi="Arial" w:cs="Arial"/>
        <w:b/>
        <w:sz w:val="48"/>
      </w:rPr>
    </w:pPr>
    <w:r w:rsidRPr="00F94E0A">
      <w:rPr>
        <w:rFonts w:ascii="Arial" w:hAnsi="Arial" w:cs="Arial"/>
        <w:b/>
        <w:sz w:val="48"/>
      </w:rPr>
      <w:t>EN</w:t>
    </w:r>
    <w:r w:rsidRPr="00F94E0A">
      <w:rPr>
        <w:rFonts w:ascii="Arial" w:hAnsi="Arial" w:cs="Arial"/>
        <w:b/>
        <w:sz w:val="48"/>
      </w:rPr>
      <w:tab/>
    </w:r>
    <w:r w:rsidRPr="00F94E0A">
      <w:rPr>
        <w:rFonts w:ascii="Arial" w:hAnsi="Arial" w:cs="Arial"/>
        <w:b/>
        <w:sz w:val="48"/>
      </w:rPr>
      <w:tab/>
    </w:r>
    <w:fldSimple w:instr=" DOCVARIABLE &quot;LW_Confidence&quot; \* MERGEFORMAT ">
      <w:r>
        <w:t xml:space="preserve"> </w:t>
      </w:r>
    </w:fldSimple>
    <w:r w:rsidRPr="00F94E0A">
      <w:tab/>
    </w:r>
    <w:r w:rsidRPr="00F94E0A">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E0A" w:rsidRPr="00F94E0A" w:rsidRDefault="00F94E0A" w:rsidP="00F94E0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E7" w:rsidRDefault="00CA5BE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69631"/>
      <w:docPartObj>
        <w:docPartGallery w:val="Page Numbers (Bottom of Page)"/>
        <w:docPartUnique/>
      </w:docPartObj>
    </w:sdtPr>
    <w:sdtEndPr>
      <w:rPr>
        <w:noProof/>
        <w:sz w:val="22"/>
        <w:szCs w:val="22"/>
      </w:rPr>
    </w:sdtEndPr>
    <w:sdtContent>
      <w:p w:rsidR="00CA5BE7" w:rsidRDefault="00F94E0A">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6</w:t>
        </w:r>
        <w:r>
          <w:rPr>
            <w:noProof/>
            <w:sz w:val="22"/>
            <w:szCs w:val="22"/>
          </w:rPr>
          <w:fldChar w:fldCharType="end"/>
        </w:r>
      </w:p>
    </w:sdtContent>
  </w:sdt>
  <w:p w:rsidR="00CA5BE7" w:rsidRDefault="00CA5BE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E7" w:rsidRDefault="00CA5B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BE7" w:rsidRDefault="00F94E0A">
      <w:r>
        <w:separator/>
      </w:r>
    </w:p>
  </w:footnote>
  <w:footnote w:type="continuationSeparator" w:id="0">
    <w:p w:rsidR="00CA5BE7" w:rsidRDefault="00F94E0A">
      <w:r>
        <w:continuationSeparator/>
      </w:r>
    </w:p>
  </w:footnote>
  <w:footnote w:type="continuationNotice" w:id="1">
    <w:p w:rsidR="00CA5BE7" w:rsidRDefault="00CA5BE7"/>
  </w:footnote>
  <w:footnote w:id="2">
    <w:p w:rsidR="00CA5BE7" w:rsidRDefault="00F94E0A">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COM(2015) 453 final.</w:t>
      </w:r>
    </w:p>
  </w:footnote>
  <w:footnote w:id="3">
    <w:p w:rsidR="00CA5BE7" w:rsidRDefault="00F94E0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It includes return to third countries as well as passing back of irregular migrants from a Member State to another, on the basis of bilateral readmission agreements according to Article 6(3) of the Return Directive.</w:t>
      </w:r>
    </w:p>
  </w:footnote>
  <w:footnote w:id="4">
    <w:p w:rsidR="00CA5BE7" w:rsidRDefault="00F94E0A">
      <w:pPr>
        <w:pStyle w:val="FootnoteText"/>
        <w:rPr>
          <w:lang w:val="en-GB"/>
        </w:rPr>
      </w:pPr>
      <w:r>
        <w:rPr>
          <w:rStyle w:val="FootnoteReference"/>
        </w:rPr>
        <w:footnoteRef/>
      </w:r>
      <w:r>
        <w:t xml:space="preserve"> </w:t>
      </w:r>
      <w:r>
        <w:rPr>
          <w:rFonts w:ascii="Times New Roman" w:hAnsi="Times New Roman"/>
        </w:rPr>
        <w:t>Communication on establishing a new P</w:t>
      </w:r>
      <w:r>
        <w:rPr>
          <w:rFonts w:ascii="Times New Roman" w:hAnsi="Times New Roman"/>
        </w:rPr>
        <w:t>artnership Framework with third countries under the European Agenda on Migration, COM(2016) 385 final of 7.6.2016.</w:t>
      </w:r>
    </w:p>
  </w:footnote>
  <w:footnote w:id="5">
    <w:p w:rsidR="00CA5BE7" w:rsidRDefault="00F94E0A">
      <w:pPr>
        <w:pStyle w:val="FootnoteText"/>
        <w:rPr>
          <w:lang w:val="en-GB"/>
        </w:rPr>
      </w:pPr>
      <w:r>
        <w:rPr>
          <w:rStyle w:val="FootnoteReference"/>
        </w:rPr>
        <w:footnoteRef/>
      </w:r>
      <w:r>
        <w:t xml:space="preserve"> </w:t>
      </w:r>
      <w:r>
        <w:rPr>
          <w:rFonts w:ascii="Times New Roman" w:hAnsi="Times New Roman" w:cs="Times New Roman"/>
        </w:rPr>
        <w:t>Communication from the Commission to the European Parliament, the European Council and the Council - Third Progress Report: First Deliverab</w:t>
      </w:r>
      <w:r>
        <w:rPr>
          <w:rFonts w:ascii="Times New Roman" w:hAnsi="Times New Roman" w:cs="Times New Roman"/>
        </w:rPr>
        <w:t>les on the Partnership Framework with third countries under the European Agenda on Migration, COM(2017) 205 final of 1.3.2017</w:t>
      </w:r>
    </w:p>
  </w:footnote>
  <w:footnote w:id="6">
    <w:p w:rsidR="00CA5BE7" w:rsidRDefault="00F94E0A">
      <w:pPr>
        <w:pStyle w:val="FootnoteText"/>
      </w:pPr>
      <w:r>
        <w:rPr>
          <w:rStyle w:val="FootnoteReference"/>
        </w:rPr>
        <w:footnoteRef/>
      </w:r>
      <w:r>
        <w:t xml:space="preserve"> EUCO 31/16</w:t>
      </w:r>
    </w:p>
  </w:footnote>
  <w:footnote w:id="7">
    <w:p w:rsidR="00CA5BE7" w:rsidRDefault="00F94E0A">
      <w:pPr>
        <w:pStyle w:val="FootnoteText"/>
      </w:pPr>
      <w:r>
        <w:rPr>
          <w:rStyle w:val="FootnoteReference"/>
        </w:rPr>
        <w:footnoteRef/>
      </w:r>
      <w:r>
        <w:t xml:space="preserve"> Press Release 43/17 03/02/2017</w:t>
      </w:r>
    </w:p>
  </w:footnote>
  <w:footnote w:id="8">
    <w:p w:rsidR="00CA5BE7" w:rsidRDefault="00F94E0A">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Directive 2008/115/EC of the European Parliament and of the Council of 16 December</w:t>
      </w:r>
      <w:r>
        <w:rPr>
          <w:rFonts w:ascii="Times New Roman" w:hAnsi="Times New Roman" w:cs="Times New Roman"/>
        </w:rPr>
        <w:t xml:space="preserve"> 2008 on common standards and procedures in Member States for returning illegally staying third-country nationals, OJ L 348, 24.12.2008, p. 98.</w:t>
      </w:r>
    </w:p>
  </w:footnote>
  <w:footnote w:id="9">
    <w:p w:rsidR="00CA5BE7" w:rsidRDefault="00F94E0A">
      <w:pPr>
        <w:pStyle w:val="FootnoteText"/>
        <w:rPr>
          <w:rFonts w:ascii="Times New Roman" w:hAnsi="Times New Roman"/>
          <w:color w:val="FF0000"/>
          <w:lang w:val="en-GB"/>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FF0000"/>
          <w:lang w:val="en-GB"/>
        </w:rPr>
        <w:t xml:space="preserve"> </w:t>
      </w:r>
      <w:r>
        <w:rPr>
          <w:rFonts w:ascii="Times New Roman" w:hAnsi="Times New Roman"/>
          <w:lang w:val="en-GB"/>
        </w:rPr>
        <w:t>Second report from the Commission to the European Parliament, the European Council and the Council on the ope</w:t>
      </w:r>
      <w:r>
        <w:rPr>
          <w:rFonts w:ascii="Times New Roman" w:hAnsi="Times New Roman"/>
          <w:lang w:val="en-GB"/>
        </w:rPr>
        <w:t xml:space="preserve">rationalisation of the European Border and Coast Guard, COM 2017 201 (final) of 1.3.2017 </w:t>
      </w:r>
    </w:p>
  </w:footnote>
  <w:footnote w:id="10">
    <w:p w:rsidR="00CA5BE7" w:rsidRDefault="00F94E0A">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Commission Recommendation of 1.3.2017 on making returns more effective when implementing the Directive 2008/115/EC of the European Parliament and of the Council, C(</w:t>
      </w:r>
      <w:r>
        <w:rPr>
          <w:rFonts w:ascii="Times New Roman" w:hAnsi="Times New Roman" w:cs="Times New Roman"/>
          <w:lang w:val="en-GB"/>
        </w:rPr>
        <w:t>2017) 1600..</w:t>
      </w:r>
    </w:p>
  </w:footnote>
  <w:footnote w:id="11">
    <w:p w:rsidR="00CA5BE7" w:rsidRDefault="00F94E0A">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Council Regulation (EU) No 1053/2013 of 7 October 2013 establishing an evaluation and monitoring mechanism to verify the application of the Schengen acquis and repealing the Decision of the Executive Committee of 16 September 1998 setting up</w:t>
      </w:r>
      <w:r>
        <w:rPr>
          <w:rFonts w:ascii="Times New Roman" w:hAnsi="Times New Roman" w:cs="Times New Roman"/>
        </w:rPr>
        <w:t xml:space="preserve"> a Standing Committee on the evaluation and implementation of Schengen, OJ L 295, 6.11.2013, p. 27.</w:t>
      </w:r>
    </w:p>
  </w:footnote>
  <w:footnote w:id="12">
    <w:p w:rsidR="00CA5BE7" w:rsidRDefault="00F94E0A">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 xml:space="preserve">Commission Recommendation of 1.3.2017 on making returns more effective when implementing the Directive 2008/115/EC of the European Parliament and of the </w:t>
      </w:r>
      <w:r>
        <w:rPr>
          <w:rFonts w:ascii="Times New Roman" w:hAnsi="Times New Roman" w:cs="Times New Roman"/>
          <w:lang w:val="en-GB"/>
        </w:rPr>
        <w:t>Council, C(2017) 1600.</w:t>
      </w:r>
    </w:p>
  </w:footnote>
  <w:footnote w:id="13">
    <w:p w:rsidR="00CA5BE7" w:rsidRDefault="00F94E0A">
      <w:pPr>
        <w:autoSpaceDE w:val="0"/>
        <w:autoSpaceDN w:val="0"/>
        <w:adjustRightInd w:val="0"/>
        <w:rPr>
          <w:sz w:val="20"/>
        </w:rPr>
      </w:pPr>
      <w:r>
        <w:rPr>
          <w:rStyle w:val="FootnoteReference"/>
          <w:sz w:val="20"/>
          <w:szCs w:val="20"/>
        </w:rPr>
        <w:footnoteRef/>
      </w:r>
      <w:r>
        <w:rPr>
          <w:sz w:val="20"/>
        </w:rPr>
        <w:t xml:space="preserve"> C(2015) 6250 final.</w:t>
      </w:r>
    </w:p>
  </w:footnote>
  <w:footnote w:id="14">
    <w:p w:rsidR="00CA5BE7" w:rsidRDefault="00F94E0A">
      <w:pPr>
        <w:pStyle w:val="FootnoteText"/>
        <w:rPr>
          <w:lang w:val="en-GB"/>
        </w:rPr>
      </w:pPr>
      <w:r>
        <w:rPr>
          <w:rStyle w:val="FootnoteReference"/>
        </w:rPr>
        <w:footnoteRef/>
      </w:r>
      <w:r>
        <w:rPr>
          <w:lang w:val="en-GB"/>
        </w:rPr>
        <w:t xml:space="preserve"> </w:t>
      </w:r>
      <w:r>
        <w:rPr>
          <w:rFonts w:ascii="Times New Roman" w:hAnsi="Times New Roman" w:cs="Times New Roman"/>
          <w:lang w:val="en-GB"/>
        </w:rPr>
        <w:t>Proposal for a Regulation of the European Parliament and of the Council establishing a common procedure for international protection in the Union and repealing Directive 2013/32/EU, COM(2016) 467 final.</w:t>
      </w:r>
    </w:p>
  </w:footnote>
  <w:footnote w:id="15">
    <w:p w:rsidR="00CA5BE7" w:rsidRDefault="00F94E0A">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w:t>
      </w:r>
      <w:r>
        <w:rPr>
          <w:rFonts w:ascii="Times New Roman" w:hAnsi="Times New Roman" w:cs="Times New Roman"/>
          <w:lang w:val="pt-PT"/>
        </w:rPr>
        <w:t>2016) 881, 882 and 883 final.</w:t>
      </w:r>
    </w:p>
  </w:footnote>
  <w:footnote w:id="16">
    <w:p w:rsidR="00CA5BE7" w:rsidRDefault="00F94E0A">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 272 final.</w:t>
      </w:r>
    </w:p>
  </w:footnote>
  <w:footnote w:id="17">
    <w:p w:rsidR="00CA5BE7" w:rsidRDefault="00F94E0A">
      <w:pPr>
        <w:pStyle w:val="FootnoteText"/>
        <w:rPr>
          <w:rFonts w:ascii="Times New Roman" w:hAnsi="Times New Roman"/>
          <w:lang w:val="en-GB"/>
        </w:rPr>
      </w:pPr>
      <w:r>
        <w:rPr>
          <w:rStyle w:val="FootnoteReference"/>
          <w:rFonts w:ascii="Times New Roman" w:hAnsi="Times New Roman" w:cs="Times New Roman"/>
        </w:rPr>
        <w:footnoteRef/>
      </w:r>
      <w:r>
        <w:rPr>
          <w:rFonts w:ascii="Times New Roman" w:hAnsi="Times New Roman"/>
          <w:lang w:val="en-GB"/>
        </w:rPr>
        <w:t xml:space="preserve"> COM(2016) 194 final.</w:t>
      </w:r>
    </w:p>
  </w:footnote>
  <w:footnote w:id="18">
    <w:p w:rsidR="00CA5BE7" w:rsidRDefault="00F94E0A">
      <w:pPr>
        <w:pStyle w:val="FootnoteText"/>
        <w:rPr>
          <w:rFonts w:ascii="Times New Roman" w:hAnsi="Times New Roman"/>
          <w:lang w:val="en-GB"/>
        </w:rPr>
      </w:pPr>
      <w:r>
        <w:rPr>
          <w:rStyle w:val="FootnoteReference"/>
          <w:rFonts w:ascii="Times New Roman" w:hAnsi="Times New Roman" w:cs="Times New Roman"/>
        </w:rPr>
        <w:footnoteRef/>
      </w:r>
      <w:r>
        <w:rPr>
          <w:rFonts w:ascii="Times New Roman" w:hAnsi="Times New Roman"/>
          <w:lang w:val="en-GB"/>
        </w:rPr>
        <w:t xml:space="preserve"> COM(2016) 731 final.</w:t>
      </w:r>
    </w:p>
  </w:footnote>
  <w:footnote w:id="19">
    <w:p w:rsidR="00CA5BE7" w:rsidRDefault="00F94E0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Article 6(2) of the </w:t>
      </w:r>
      <w:r>
        <w:rPr>
          <w:rFonts w:ascii="Times New Roman" w:hAnsi="Times New Roman" w:cs="Times New Roman"/>
        </w:rPr>
        <w:t>Return Directive</w:t>
      </w:r>
    </w:p>
  </w:footnote>
  <w:footnote w:id="20">
    <w:p w:rsidR="00CA5BE7" w:rsidRDefault="00F94E0A">
      <w:pPr>
        <w:pStyle w:val="FootnoteText"/>
      </w:pPr>
      <w:r>
        <w:rPr>
          <w:rStyle w:val="FootnoteReference"/>
        </w:rPr>
        <w:footnoteRef/>
      </w:r>
      <w:r>
        <w:t xml:space="preserve"> </w:t>
      </w:r>
      <w:r>
        <w:rPr>
          <w:rFonts w:ascii="Times New Roman" w:hAnsi="Times New Roman" w:cs="Times New Roman"/>
        </w:rPr>
        <w:t xml:space="preserve">Communication from the Commission to the European Parliament, the European Council and the Council - Fifth progress </w:t>
      </w:r>
      <w:r>
        <w:rPr>
          <w:rFonts w:ascii="Times New Roman" w:hAnsi="Times New Roman" w:cs="Times New Roman"/>
        </w:rPr>
        <w:t>report towards an effective and genuine Security Union, COM(2017) 203 final</w:t>
      </w:r>
    </w:p>
  </w:footnote>
  <w:footnote w:id="21">
    <w:p w:rsidR="00CA5BE7" w:rsidRDefault="00F94E0A">
      <w:pPr>
        <w:pStyle w:val="FootnoteText"/>
        <w:rPr>
          <w:lang w:val="en-GB"/>
        </w:rPr>
      </w:pPr>
      <w:r>
        <w:rPr>
          <w:rStyle w:val="FootnoteReference"/>
        </w:rPr>
        <w:footnoteRef/>
      </w:r>
      <w:r>
        <w:t xml:space="preserve"> </w:t>
      </w:r>
      <w:r>
        <w:rPr>
          <w:rFonts w:ascii="Times New Roman" w:hAnsi="Times New Roman" w:cs="Times New Roman"/>
        </w:rPr>
        <w:t>Communication on establishing a new Partnership Framework with third countries under the European Agenda on Migration, COM(2016) 385 final of 7.6.2016.</w:t>
      </w:r>
    </w:p>
  </w:footnote>
  <w:footnote w:id="22">
    <w:p w:rsidR="00CA5BE7" w:rsidRDefault="00F94E0A">
      <w:pPr>
        <w:pStyle w:val="FootnoteText"/>
        <w:rPr>
          <w:lang w:val="en-GB"/>
        </w:rPr>
      </w:pPr>
      <w:r>
        <w:rPr>
          <w:rStyle w:val="FootnoteReference"/>
        </w:rPr>
        <w:footnoteRef/>
      </w:r>
      <w:r>
        <w:t xml:space="preserve"> </w:t>
      </w:r>
      <w:r>
        <w:rPr>
          <w:rFonts w:ascii="Times New Roman" w:hAnsi="Times New Roman" w:cs="Times New Roman"/>
          <w:lang w:val="en-GB"/>
        </w:rPr>
        <w:t>COM(2016) 700 final of 1</w:t>
      </w:r>
      <w:r>
        <w:rPr>
          <w:rFonts w:ascii="Times New Roman" w:hAnsi="Times New Roman" w:cs="Times New Roman"/>
          <w:lang w:val="en-GB"/>
        </w:rPr>
        <w:t>8.10.2016 and  960 final of 14.12.2016.</w:t>
      </w:r>
    </w:p>
  </w:footnote>
  <w:footnote w:id="23">
    <w:p w:rsidR="00CA5BE7" w:rsidRDefault="00F94E0A">
      <w:pPr>
        <w:pStyle w:val="FootnoteText"/>
        <w:rPr>
          <w:lang w:val="en-GB"/>
        </w:rPr>
      </w:pPr>
      <w:r>
        <w:rPr>
          <w:rStyle w:val="FootnoteReference"/>
        </w:rPr>
        <w:footnoteRef/>
      </w:r>
      <w:r>
        <w:t xml:space="preserve"> </w:t>
      </w:r>
      <w:r>
        <w:rPr>
          <w:rFonts w:ascii="Times New Roman" w:hAnsi="Times New Roman" w:cs="Times New Roman"/>
        </w:rPr>
        <w:t>No conditionality can be attached to needs-based humanitarian aid in line with the humanitarian principles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E0A" w:rsidRPr="00F94E0A" w:rsidRDefault="00F94E0A" w:rsidP="00F94E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E0A" w:rsidRPr="00F94E0A" w:rsidRDefault="00F94E0A" w:rsidP="00F94E0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E0A" w:rsidRPr="00F94E0A" w:rsidRDefault="00F94E0A" w:rsidP="00F94E0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E7" w:rsidRDefault="00CA5BE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E7" w:rsidRDefault="00CA5BE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E7" w:rsidRDefault="00CA5B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3353"/>
    <w:multiLevelType w:val="hybridMultilevel"/>
    <w:tmpl w:val="5206288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nsid w:val="04D21010"/>
    <w:multiLevelType w:val="hybridMultilevel"/>
    <w:tmpl w:val="BD2A6B6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6762A7"/>
    <w:multiLevelType w:val="hybridMultilevel"/>
    <w:tmpl w:val="C67297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8C34B06"/>
    <w:multiLevelType w:val="hybridMultilevel"/>
    <w:tmpl w:val="587E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B81383"/>
    <w:multiLevelType w:val="hybridMultilevel"/>
    <w:tmpl w:val="7A0C7D7E"/>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752C70"/>
    <w:multiLevelType w:val="hybridMultilevel"/>
    <w:tmpl w:val="1E02B3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nsid w:val="106D592E"/>
    <w:multiLevelType w:val="hybridMultilevel"/>
    <w:tmpl w:val="0CE29E46"/>
    <w:lvl w:ilvl="0" w:tplc="FE129F2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380029"/>
    <w:multiLevelType w:val="hybridMultilevel"/>
    <w:tmpl w:val="97FE5CA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B21DC2"/>
    <w:multiLevelType w:val="hybridMultilevel"/>
    <w:tmpl w:val="B93E2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657490"/>
    <w:multiLevelType w:val="hybridMultilevel"/>
    <w:tmpl w:val="F9968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270886"/>
    <w:multiLevelType w:val="hybridMultilevel"/>
    <w:tmpl w:val="56BCCCCE"/>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0A12B5"/>
    <w:multiLevelType w:val="hybridMultilevel"/>
    <w:tmpl w:val="C3B816B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0158DF"/>
    <w:multiLevelType w:val="hybridMultilevel"/>
    <w:tmpl w:val="37EC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18339F"/>
    <w:multiLevelType w:val="hybridMultilevel"/>
    <w:tmpl w:val="23D29CF2"/>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A72466"/>
    <w:multiLevelType w:val="hybridMultilevel"/>
    <w:tmpl w:val="2820A556"/>
    <w:lvl w:ilvl="0" w:tplc="2F6A6712">
      <w:start w:val="1"/>
      <w:numFmt w:val="bullet"/>
      <w:lvlText w:val=""/>
      <w:lvlJc w:val="left"/>
      <w:pPr>
        <w:ind w:left="960" w:hanging="360"/>
      </w:pPr>
      <w:rPr>
        <w:rFonts w:ascii="Symbol" w:hAnsi="Symbol" w:hint="default"/>
        <w:color w:val="auto"/>
        <w:sz w:val="24"/>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5">
    <w:nsid w:val="2F8365C2"/>
    <w:multiLevelType w:val="hybridMultilevel"/>
    <w:tmpl w:val="FDBA9412"/>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AC25AC"/>
    <w:multiLevelType w:val="hybridMultilevel"/>
    <w:tmpl w:val="07E6531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84212A"/>
    <w:multiLevelType w:val="hybridMultilevel"/>
    <w:tmpl w:val="14C4EB5C"/>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09589C"/>
    <w:multiLevelType w:val="hybridMultilevel"/>
    <w:tmpl w:val="2E2EE3C8"/>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E2222B"/>
    <w:multiLevelType w:val="hybridMultilevel"/>
    <w:tmpl w:val="E770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4109497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417D1F56"/>
    <w:multiLevelType w:val="hybridMultilevel"/>
    <w:tmpl w:val="A40C11A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001957"/>
    <w:multiLevelType w:val="hybridMultilevel"/>
    <w:tmpl w:val="BCF817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3CF1A79"/>
    <w:multiLevelType w:val="hybridMultilevel"/>
    <w:tmpl w:val="9E605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730112"/>
    <w:multiLevelType w:val="hybridMultilevel"/>
    <w:tmpl w:val="68807BB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E560C7F"/>
    <w:multiLevelType w:val="hybridMultilevel"/>
    <w:tmpl w:val="4976B12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313494"/>
    <w:multiLevelType w:val="hybridMultilevel"/>
    <w:tmpl w:val="C0C601B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E67E36"/>
    <w:multiLevelType w:val="hybridMultilevel"/>
    <w:tmpl w:val="78725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E53BC2"/>
    <w:multiLevelType w:val="hybridMultilevel"/>
    <w:tmpl w:val="67661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nsid w:val="553773BD"/>
    <w:multiLevelType w:val="hybridMultilevel"/>
    <w:tmpl w:val="62F267DC"/>
    <w:lvl w:ilvl="0" w:tplc="BA64233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2C49EE"/>
    <w:multiLevelType w:val="hybridMultilevel"/>
    <w:tmpl w:val="ABF8CF0C"/>
    <w:lvl w:ilvl="0" w:tplc="639E06B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AA7199"/>
    <w:multiLevelType w:val="hybridMultilevel"/>
    <w:tmpl w:val="A7060BD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8466C0"/>
    <w:multiLevelType w:val="hybridMultilevel"/>
    <w:tmpl w:val="5CAEED9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1694029"/>
    <w:multiLevelType w:val="hybridMultilevel"/>
    <w:tmpl w:val="DF009C94"/>
    <w:lvl w:ilvl="0" w:tplc="B67E72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4265F5F"/>
    <w:multiLevelType w:val="hybridMultilevel"/>
    <w:tmpl w:val="23166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84F6A54"/>
    <w:multiLevelType w:val="hybridMultilevel"/>
    <w:tmpl w:val="E96A1068"/>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7905C6"/>
    <w:multiLevelType w:val="hybridMultilevel"/>
    <w:tmpl w:val="60089160"/>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0B3A56"/>
    <w:multiLevelType w:val="hybridMultilevel"/>
    <w:tmpl w:val="835A7BAA"/>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C1F2681"/>
    <w:multiLevelType w:val="hybridMultilevel"/>
    <w:tmpl w:val="D5A806A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F734F88"/>
    <w:multiLevelType w:val="hybridMultilevel"/>
    <w:tmpl w:val="9BFEDCE4"/>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6C1EA4"/>
    <w:multiLevelType w:val="hybridMultilevel"/>
    <w:tmpl w:val="B874B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3F4219A"/>
    <w:multiLevelType w:val="hybridMultilevel"/>
    <w:tmpl w:val="87DEBA26"/>
    <w:lvl w:ilvl="0" w:tplc="2F6A6712">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2F3F0F"/>
    <w:multiLevelType w:val="hybridMultilevel"/>
    <w:tmpl w:val="DEA04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5">
    <w:nsid w:val="7EAB4667"/>
    <w:multiLevelType w:val="hybridMultilevel"/>
    <w:tmpl w:val="54C0BAB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27"/>
  </w:num>
  <w:num w:numId="3">
    <w:abstractNumId w:val="20"/>
  </w:num>
  <w:num w:numId="4">
    <w:abstractNumId w:val="2"/>
  </w:num>
  <w:num w:numId="5">
    <w:abstractNumId w:val="39"/>
  </w:num>
  <w:num w:numId="6">
    <w:abstractNumId w:val="3"/>
  </w:num>
  <w:num w:numId="7">
    <w:abstractNumId w:val="1"/>
  </w:num>
  <w:num w:numId="8">
    <w:abstractNumId w:val="21"/>
  </w:num>
  <w:num w:numId="9">
    <w:abstractNumId w:val="15"/>
  </w:num>
  <w:num w:numId="10">
    <w:abstractNumId w:val="23"/>
  </w:num>
  <w:num w:numId="11">
    <w:abstractNumId w:val="34"/>
  </w:num>
  <w:num w:numId="12">
    <w:abstractNumId w:val="4"/>
  </w:num>
  <w:num w:numId="13">
    <w:abstractNumId w:val="29"/>
  </w:num>
  <w:num w:numId="14">
    <w:abstractNumId w:val="35"/>
  </w:num>
  <w:num w:numId="15">
    <w:abstractNumId w:val="41"/>
  </w:num>
  <w:num w:numId="16">
    <w:abstractNumId w:val="43"/>
  </w:num>
  <w:num w:numId="17">
    <w:abstractNumId w:val="19"/>
  </w:num>
  <w:num w:numId="18">
    <w:abstractNumId w:val="38"/>
  </w:num>
  <w:num w:numId="19">
    <w:abstractNumId w:val="6"/>
  </w:num>
  <w:num w:numId="20">
    <w:abstractNumId w:val="44"/>
    <w:lvlOverride w:ilvl="0">
      <w:startOverride w:val="1"/>
    </w:lvlOverride>
  </w:num>
  <w:num w:numId="21">
    <w:abstractNumId w:val="44"/>
    <w:lvlOverride w:ilvl="0">
      <w:lvl w:ilvl="0">
        <w:start w:val="1"/>
        <w:numFmt w:val="decimal"/>
        <w:lvlRestart w:val="0"/>
        <w:pStyle w:val="Considrant"/>
        <w:lvlText w:val="(%1)"/>
        <w:lvlJc w:val="left"/>
        <w:pPr>
          <w:tabs>
            <w:tab w:val="num" w:pos="709"/>
          </w:tabs>
          <w:ind w:left="709" w:hanging="709"/>
        </w:pPr>
        <w:rPr>
          <w:rFonts w:cs="Times New Roman"/>
        </w:rPr>
      </w:lvl>
    </w:lvlOverride>
  </w:num>
  <w:num w:numId="22">
    <w:abstractNumId w:val="42"/>
  </w:num>
  <w:num w:numId="23">
    <w:abstractNumId w:val="22"/>
  </w:num>
  <w:num w:numId="24">
    <w:abstractNumId w:val="32"/>
  </w:num>
  <w:num w:numId="25">
    <w:abstractNumId w:val="26"/>
  </w:num>
  <w:num w:numId="26">
    <w:abstractNumId w:val="9"/>
  </w:num>
  <w:num w:numId="27">
    <w:abstractNumId w:val="45"/>
  </w:num>
  <w:num w:numId="28">
    <w:abstractNumId w:val="11"/>
  </w:num>
  <w:num w:numId="29">
    <w:abstractNumId w:val="30"/>
  </w:num>
  <w:num w:numId="30">
    <w:abstractNumId w:val="36"/>
  </w:num>
  <w:num w:numId="31">
    <w:abstractNumId w:val="31"/>
  </w:num>
  <w:num w:numId="32">
    <w:abstractNumId w:val="16"/>
  </w:num>
  <w:num w:numId="33">
    <w:abstractNumId w:val="17"/>
  </w:num>
  <w:num w:numId="34">
    <w:abstractNumId w:val="40"/>
  </w:num>
  <w:num w:numId="35">
    <w:abstractNumId w:val="7"/>
  </w:num>
  <w:num w:numId="36">
    <w:abstractNumId w:val="18"/>
  </w:num>
  <w:num w:numId="37">
    <w:abstractNumId w:val="37"/>
  </w:num>
  <w:num w:numId="38">
    <w:abstractNumId w:val="14"/>
  </w:num>
  <w:num w:numId="39">
    <w:abstractNumId w:val="5"/>
  </w:num>
  <w:num w:numId="40">
    <w:abstractNumId w:val="0"/>
  </w:num>
  <w:num w:numId="41">
    <w:abstractNumId w:val="28"/>
  </w:num>
  <w:num w:numId="42">
    <w:abstractNumId w:val="24"/>
  </w:num>
  <w:num w:numId="43">
    <w:abstractNumId w:val="25"/>
  </w:num>
  <w:num w:numId="44">
    <w:abstractNumId w:val="10"/>
  </w:num>
  <w:num w:numId="45">
    <w:abstractNumId w:val="13"/>
  </w:num>
  <w:num w:numId="46">
    <w:abstractNumId w:val="8"/>
  </w:num>
  <w:num w:numId="47">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C80B7D043E94ABBA805E11952A10486"/>
    <w:docVar w:name="LW_CROSSREFERENCE" w:val="&lt;UNUSED&gt;"/>
    <w:docVar w:name="LW_DocType" w:val="NORMAL"/>
    <w:docVar w:name="LW_EMISSION" w:val="2.3.2017"/>
    <w:docVar w:name="LW_EMISSION_ISODATE" w:val="2017-03-02"/>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00"/>
    <w:docVar w:name="LW_REF.INTERNE" w:val="&lt;UNUSED&gt;"/>
    <w:docVar w:name="LW_SOUS.TITRE.OBJ" w:val="- A RENEWED ACTION PLAN"/>
    <w:docVar w:name="LW_SOUS.TITRE.OBJ.CP" w:val="&lt;UNUSED&gt;"/>
    <w:docVar w:name="LW_SUPERTITRE" w:val="&lt;UNUSED&gt;"/>
    <w:docVar w:name="LW_TITRE.OBJ.CP" w:val="ON A MORE EFFECTIVE RETURN POLICY IN THE EUROPEAN UNION_x000b_- A RENEWED ACTION PLAN_x000b_"/>
    <w:docVar w:name="LW_TYPE.DOC.CP" w:val="COMMUNICATION FROM THE COMMISSION TO THE EUROPEAN PARLIAMENT AND THE COUNCIL"/>
    <w:docVar w:name="LW_TYPE.DOC.CP.USERTEXT" w:val="&lt;EMPTY&gt;"/>
  </w:docVars>
  <w:rsids>
    <w:rsidRoot w:val="00CA5BE7"/>
    <w:rsid w:val="00CA5BE7"/>
    <w:rsid w:val="00F94E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asciiTheme="minorHAnsi" w:eastAsiaTheme="minorEastAsia" w:hAnsiTheme="minorHAnsi" w:cstheme="minorBidi"/>
      <w:lang w:val="en-US" w:eastAsia="en-US"/>
    </w:rPr>
  </w:style>
  <w:style w:type="paragraph" w:styleId="BalloonText">
    <w:name w:val="Balloon Text"/>
    <w:basedOn w:val="Normal"/>
    <w:link w:val="BalloonTextChar"/>
    <w:uiPriority w:val="99"/>
    <w:unhideWhenUsed/>
    <w:rPr>
      <w:rFonts w:ascii="Tahoma" w:eastAsiaTheme="minorEastAsia" w:hAnsi="Tahoma" w:cs="Tahoma"/>
      <w:sz w:val="16"/>
      <w:szCs w:val="16"/>
      <w:lang w:val="en-US" w:eastAsia="en-US"/>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en-US"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en-US" w:eastAsia="en-US"/>
    </w:rPr>
  </w:style>
  <w:style w:type="paragraph" w:styleId="Revision">
    <w:name w:val="Revision"/>
    <w:hidden/>
    <w:uiPriority w:val="99"/>
    <w:semiHidden/>
    <w:rPr>
      <w:rFonts w:asciiTheme="minorHAnsi" w:eastAsiaTheme="minorEastAsia" w:hAnsiTheme="minorHAnsi" w:cstheme="minorBidi"/>
      <w:sz w:val="24"/>
      <w:szCs w:val="24"/>
      <w:lang w:val="en-US" w:eastAsia="en-US"/>
    </w:rPr>
  </w:style>
  <w:style w:type="paragraph" w:customStyle="1" w:styleId="Default">
    <w:name w:val="Default"/>
    <w:pPr>
      <w:autoSpaceDE w:val="0"/>
      <w:autoSpaceDN w:val="0"/>
      <w:adjustRightInd w:val="0"/>
    </w:pPr>
    <w:rPr>
      <w:rFonts w:ascii="Calibri" w:eastAsiaTheme="minorEastAsia" w:hAnsi="Calibri" w:cs="Calibri"/>
      <w:color w:val="000000"/>
      <w:sz w:val="24"/>
      <w:szCs w:val="24"/>
      <w:lang w:eastAsia="en-U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Pr>
      <w:rFonts w:asciiTheme="minorHAnsi" w:eastAsiaTheme="minorEastAsia" w:hAnsiTheme="minorHAnsi" w:cstheme="minorBidi"/>
      <w:sz w:val="20"/>
      <w:szCs w:val="20"/>
      <w:lang w:val="en-US"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rPr>
      <w:rFonts w:asciiTheme="minorHAnsi" w:eastAsiaTheme="minorEastAsia" w:hAnsiTheme="minorHAnsi" w:cstheme="minorBidi"/>
      <w:lang w:val="en-US" w:eastAsia="en-US"/>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lang w:eastAsia="en-US"/>
    </w:rPr>
  </w:style>
  <w:style w:type="character" w:customStyle="1" w:styleId="BriefingtextChar">
    <w:name w:val="Briefing text Char"/>
    <w:link w:val="Briefingtext"/>
    <w:rPr>
      <w:rFonts w:ascii="Arial" w:hAnsi="Arial" w:cs="Arial"/>
      <w:sz w:val="22"/>
      <w:szCs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 w:type="paragraph" w:styleId="ListBullet">
    <w:name w:val="List Bullet"/>
    <w:basedOn w:val="Normal"/>
    <w:pPr>
      <w:numPr>
        <w:numId w:val="13"/>
      </w:numPr>
      <w:spacing w:after="240"/>
      <w:jc w:val="both"/>
    </w:pPr>
    <w:rPr>
      <w:szCs w:val="20"/>
      <w:lang w:eastAsia="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EastAsia" w:hAnsiTheme="minorHAnsi" w:cstheme="minorBidi"/>
      <w:sz w:val="24"/>
      <w:szCs w:val="24"/>
      <w:lang w:val="en-US" w:eastAsia="en-US"/>
    </w:rPr>
  </w:style>
  <w:style w:type="character" w:styleId="Strong">
    <w:name w:val="Strong"/>
    <w:basedOn w:val="DefaultParagraphFont"/>
    <w:uiPriority w:val="22"/>
    <w:qFormat/>
    <w:rPr>
      <w:b/>
      <w:bCs/>
    </w:rPr>
  </w:style>
  <w:style w:type="paragraph" w:customStyle="1" w:styleId="Considrant">
    <w:name w:val="Considérant"/>
    <w:basedOn w:val="Normal"/>
    <w:pPr>
      <w:numPr>
        <w:numId w:val="20"/>
      </w:numPr>
      <w:spacing w:before="120" w:after="120"/>
      <w:jc w:val="both"/>
    </w:pPr>
    <w:rPr>
      <w:rFonts w:eastAsia="Calibri"/>
      <w:szCs w:val="22"/>
    </w:rPr>
  </w:style>
  <w:style w:type="paragraph" w:customStyle="1" w:styleId="p1">
    <w:name w:val="p1"/>
    <w:basedOn w:val="Normal"/>
    <w:rPr>
      <w:rFonts w:ascii=".SF UI Text" w:hAnsi=".SF UI Text"/>
      <w:color w:val="454545"/>
      <w:sz w:val="26"/>
      <w:szCs w:val="26"/>
    </w:rPr>
  </w:style>
  <w:style w:type="character" w:customStyle="1" w:styleId="s1">
    <w:name w:val="s1"/>
    <w:basedOn w:val="DefaultParagraphFont"/>
    <w:rPr>
      <w:rFonts w:ascii=".SFUIText-Regular" w:hAnsi=".SFUIText-Regular" w:cs="Times New Roman"/>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styleId="PlainText">
    <w:name w:val="Plain Text"/>
    <w:basedOn w:val="Normal"/>
    <w:link w:val="PlainTextChar"/>
    <w:uiPriority w:val="99"/>
    <w:unhideWhenUsed/>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Pr>
      <w:rFonts w:ascii="Calibri" w:eastAsiaTheme="minorHAns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Plain Text"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asciiTheme="minorHAnsi" w:eastAsiaTheme="minorEastAsia" w:hAnsiTheme="minorHAnsi" w:cstheme="minorBidi"/>
      <w:lang w:val="en-US" w:eastAsia="en-US"/>
    </w:rPr>
  </w:style>
  <w:style w:type="paragraph" w:styleId="BalloonText">
    <w:name w:val="Balloon Text"/>
    <w:basedOn w:val="Normal"/>
    <w:link w:val="BalloonTextChar"/>
    <w:uiPriority w:val="99"/>
    <w:unhideWhenUsed/>
    <w:rPr>
      <w:rFonts w:ascii="Tahoma" w:eastAsiaTheme="minorEastAsia" w:hAnsi="Tahoma" w:cs="Tahoma"/>
      <w:sz w:val="16"/>
      <w:szCs w:val="16"/>
      <w:lang w:val="en-US" w:eastAsia="en-US"/>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en-US"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en-US" w:eastAsia="en-US"/>
    </w:rPr>
  </w:style>
  <w:style w:type="paragraph" w:styleId="Revision">
    <w:name w:val="Revision"/>
    <w:hidden/>
    <w:uiPriority w:val="99"/>
    <w:semiHidden/>
    <w:rPr>
      <w:rFonts w:asciiTheme="minorHAnsi" w:eastAsiaTheme="minorEastAsia" w:hAnsiTheme="minorHAnsi" w:cstheme="minorBidi"/>
      <w:sz w:val="24"/>
      <w:szCs w:val="24"/>
      <w:lang w:val="en-US" w:eastAsia="en-US"/>
    </w:rPr>
  </w:style>
  <w:style w:type="paragraph" w:customStyle="1" w:styleId="Default">
    <w:name w:val="Default"/>
    <w:pPr>
      <w:autoSpaceDE w:val="0"/>
      <w:autoSpaceDN w:val="0"/>
      <w:adjustRightInd w:val="0"/>
    </w:pPr>
    <w:rPr>
      <w:rFonts w:ascii="Calibri" w:eastAsiaTheme="minorEastAsia" w:hAnsi="Calibri" w:cs="Calibri"/>
      <w:color w:val="000000"/>
      <w:sz w:val="24"/>
      <w:szCs w:val="24"/>
      <w:lang w:eastAsia="en-U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Pr>
      <w:rFonts w:asciiTheme="minorHAnsi" w:eastAsiaTheme="minorEastAsia" w:hAnsiTheme="minorHAnsi" w:cstheme="minorBidi"/>
      <w:sz w:val="20"/>
      <w:szCs w:val="20"/>
      <w:lang w:val="en-US"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rPr>
      <w:rFonts w:asciiTheme="minorHAnsi" w:eastAsiaTheme="minorEastAsia" w:hAnsiTheme="minorHAnsi" w:cstheme="minorBidi"/>
      <w:lang w:val="en-US" w:eastAsia="en-US"/>
    </w:rPr>
  </w:style>
  <w:style w:type="character" w:styleId="FootnoteReference">
    <w:name w:val="footnote reference"/>
    <w:aliases w:val="Footnote Reference Superscript,Footnote symbol,BVI fnr,Footnote reference number,note TESI,Appel note de bas de p,Nota,SUPERS,Footnote number,EN Footnote Reference,-E Fußnotenzeichen,number Char Char,number,Ref,styl,styli,R, BVI fnr"/>
    <w:basedOn w:val="DefaultParagraphFont"/>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lang w:eastAsia="en-US"/>
    </w:rPr>
  </w:style>
  <w:style w:type="character" w:customStyle="1" w:styleId="BriefingtextChar">
    <w:name w:val="Briefing text Char"/>
    <w:link w:val="Briefingtext"/>
    <w:rPr>
      <w:rFonts w:ascii="Arial" w:hAnsi="Arial" w:cs="Arial"/>
      <w:sz w:val="22"/>
      <w:szCs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 w:type="paragraph" w:styleId="ListBullet">
    <w:name w:val="List Bullet"/>
    <w:basedOn w:val="Normal"/>
    <w:pPr>
      <w:numPr>
        <w:numId w:val="13"/>
      </w:numPr>
      <w:spacing w:after="240"/>
      <w:jc w:val="both"/>
    </w:pPr>
    <w:rPr>
      <w:szCs w:val="20"/>
      <w:lang w:eastAsia="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EastAsia" w:hAnsiTheme="minorHAnsi" w:cstheme="minorBidi"/>
      <w:sz w:val="24"/>
      <w:szCs w:val="24"/>
      <w:lang w:val="en-US" w:eastAsia="en-US"/>
    </w:rPr>
  </w:style>
  <w:style w:type="character" w:styleId="Strong">
    <w:name w:val="Strong"/>
    <w:basedOn w:val="DefaultParagraphFont"/>
    <w:uiPriority w:val="22"/>
    <w:qFormat/>
    <w:rPr>
      <w:b/>
      <w:bCs/>
    </w:rPr>
  </w:style>
  <w:style w:type="paragraph" w:customStyle="1" w:styleId="Considrant">
    <w:name w:val="Considérant"/>
    <w:basedOn w:val="Normal"/>
    <w:pPr>
      <w:numPr>
        <w:numId w:val="20"/>
      </w:numPr>
      <w:spacing w:before="120" w:after="120"/>
      <w:jc w:val="both"/>
    </w:pPr>
    <w:rPr>
      <w:rFonts w:eastAsia="Calibri"/>
      <w:szCs w:val="22"/>
    </w:rPr>
  </w:style>
  <w:style w:type="paragraph" w:customStyle="1" w:styleId="p1">
    <w:name w:val="p1"/>
    <w:basedOn w:val="Normal"/>
    <w:rPr>
      <w:rFonts w:ascii=".SF UI Text" w:hAnsi=".SF UI Text"/>
      <w:color w:val="454545"/>
      <w:sz w:val="26"/>
      <w:szCs w:val="26"/>
    </w:rPr>
  </w:style>
  <w:style w:type="character" w:customStyle="1" w:styleId="s1">
    <w:name w:val="s1"/>
    <w:basedOn w:val="DefaultParagraphFont"/>
    <w:rPr>
      <w:rFonts w:ascii=".SFUIText-Regular" w:hAnsi=".SFUIText-Regular" w:cs="Times New Roman"/>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styleId="PlainText">
    <w:name w:val="Plain Text"/>
    <w:basedOn w:val="Normal"/>
    <w:link w:val="PlainTextChar"/>
    <w:uiPriority w:val="99"/>
    <w:unhideWhenUsed/>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33834">
      <w:bodyDiv w:val="1"/>
      <w:marLeft w:val="0"/>
      <w:marRight w:val="0"/>
      <w:marTop w:val="0"/>
      <w:marBottom w:val="0"/>
      <w:divBdr>
        <w:top w:val="none" w:sz="0" w:space="0" w:color="auto"/>
        <w:left w:val="none" w:sz="0" w:space="0" w:color="auto"/>
        <w:bottom w:val="none" w:sz="0" w:space="0" w:color="auto"/>
        <w:right w:val="none" w:sz="0" w:space="0" w:color="auto"/>
      </w:divBdr>
    </w:div>
    <w:div w:id="338434814">
      <w:bodyDiv w:val="1"/>
      <w:marLeft w:val="0"/>
      <w:marRight w:val="0"/>
      <w:marTop w:val="0"/>
      <w:marBottom w:val="0"/>
      <w:divBdr>
        <w:top w:val="none" w:sz="0" w:space="0" w:color="auto"/>
        <w:left w:val="none" w:sz="0" w:space="0" w:color="auto"/>
        <w:bottom w:val="none" w:sz="0" w:space="0" w:color="auto"/>
        <w:right w:val="none" w:sz="0" w:space="0" w:color="auto"/>
      </w:divBdr>
    </w:div>
    <w:div w:id="476070745">
      <w:bodyDiv w:val="1"/>
      <w:marLeft w:val="0"/>
      <w:marRight w:val="0"/>
      <w:marTop w:val="0"/>
      <w:marBottom w:val="0"/>
      <w:divBdr>
        <w:top w:val="none" w:sz="0" w:space="0" w:color="auto"/>
        <w:left w:val="none" w:sz="0" w:space="0" w:color="auto"/>
        <w:bottom w:val="none" w:sz="0" w:space="0" w:color="auto"/>
        <w:right w:val="none" w:sz="0" w:space="0" w:color="auto"/>
      </w:divBdr>
      <w:divsChild>
        <w:div w:id="1218397293">
          <w:marLeft w:val="0"/>
          <w:marRight w:val="0"/>
          <w:marTop w:val="0"/>
          <w:marBottom w:val="0"/>
          <w:divBdr>
            <w:top w:val="none" w:sz="0" w:space="0" w:color="auto"/>
            <w:left w:val="none" w:sz="0" w:space="0" w:color="auto"/>
            <w:bottom w:val="none" w:sz="0" w:space="0" w:color="auto"/>
            <w:right w:val="none" w:sz="0" w:space="0" w:color="auto"/>
          </w:divBdr>
        </w:div>
      </w:divsChild>
    </w:div>
    <w:div w:id="669453540">
      <w:bodyDiv w:val="1"/>
      <w:marLeft w:val="0"/>
      <w:marRight w:val="0"/>
      <w:marTop w:val="0"/>
      <w:marBottom w:val="0"/>
      <w:divBdr>
        <w:top w:val="none" w:sz="0" w:space="0" w:color="auto"/>
        <w:left w:val="none" w:sz="0" w:space="0" w:color="auto"/>
        <w:bottom w:val="none" w:sz="0" w:space="0" w:color="auto"/>
        <w:right w:val="none" w:sz="0" w:space="0" w:color="auto"/>
      </w:divBdr>
    </w:div>
    <w:div w:id="686954077">
      <w:bodyDiv w:val="1"/>
      <w:marLeft w:val="0"/>
      <w:marRight w:val="0"/>
      <w:marTop w:val="0"/>
      <w:marBottom w:val="0"/>
      <w:divBdr>
        <w:top w:val="none" w:sz="0" w:space="0" w:color="auto"/>
        <w:left w:val="none" w:sz="0" w:space="0" w:color="auto"/>
        <w:bottom w:val="none" w:sz="0" w:space="0" w:color="auto"/>
        <w:right w:val="none" w:sz="0" w:space="0" w:color="auto"/>
      </w:divBdr>
    </w:div>
    <w:div w:id="881598736">
      <w:bodyDiv w:val="1"/>
      <w:marLeft w:val="0"/>
      <w:marRight w:val="0"/>
      <w:marTop w:val="0"/>
      <w:marBottom w:val="0"/>
      <w:divBdr>
        <w:top w:val="none" w:sz="0" w:space="0" w:color="auto"/>
        <w:left w:val="none" w:sz="0" w:space="0" w:color="auto"/>
        <w:bottom w:val="none" w:sz="0" w:space="0" w:color="auto"/>
        <w:right w:val="none" w:sz="0" w:space="0" w:color="auto"/>
      </w:divBdr>
    </w:div>
    <w:div w:id="1351445027">
      <w:bodyDiv w:val="1"/>
      <w:marLeft w:val="0"/>
      <w:marRight w:val="0"/>
      <w:marTop w:val="0"/>
      <w:marBottom w:val="0"/>
      <w:divBdr>
        <w:top w:val="none" w:sz="0" w:space="0" w:color="auto"/>
        <w:left w:val="none" w:sz="0" w:space="0" w:color="auto"/>
        <w:bottom w:val="none" w:sz="0" w:space="0" w:color="auto"/>
        <w:right w:val="none" w:sz="0" w:space="0" w:color="auto"/>
      </w:divBdr>
      <w:divsChild>
        <w:div w:id="419956969">
          <w:marLeft w:val="0"/>
          <w:marRight w:val="0"/>
          <w:marTop w:val="0"/>
          <w:marBottom w:val="0"/>
          <w:divBdr>
            <w:top w:val="none" w:sz="0" w:space="0" w:color="auto"/>
            <w:left w:val="none" w:sz="0" w:space="0" w:color="auto"/>
            <w:bottom w:val="none" w:sz="0" w:space="0" w:color="auto"/>
            <w:right w:val="none" w:sz="0" w:space="0" w:color="auto"/>
          </w:divBdr>
        </w:div>
      </w:divsChild>
    </w:div>
    <w:div w:id="1517692224">
      <w:bodyDiv w:val="1"/>
      <w:marLeft w:val="0"/>
      <w:marRight w:val="0"/>
      <w:marTop w:val="0"/>
      <w:marBottom w:val="0"/>
      <w:divBdr>
        <w:top w:val="none" w:sz="0" w:space="0" w:color="auto"/>
        <w:left w:val="none" w:sz="0" w:space="0" w:color="auto"/>
        <w:bottom w:val="none" w:sz="0" w:space="0" w:color="auto"/>
        <w:right w:val="none" w:sz="0" w:space="0" w:color="auto"/>
      </w:divBdr>
    </w:div>
    <w:div w:id="1701972064">
      <w:bodyDiv w:val="1"/>
      <w:marLeft w:val="0"/>
      <w:marRight w:val="0"/>
      <w:marTop w:val="0"/>
      <w:marBottom w:val="0"/>
      <w:divBdr>
        <w:top w:val="none" w:sz="0" w:space="0" w:color="auto"/>
        <w:left w:val="none" w:sz="0" w:space="0" w:color="auto"/>
        <w:bottom w:val="none" w:sz="0" w:space="0" w:color="auto"/>
        <w:right w:val="none" w:sz="0" w:space="0" w:color="auto"/>
      </w:divBdr>
    </w:div>
    <w:div w:id="1863542964">
      <w:bodyDiv w:val="1"/>
      <w:marLeft w:val="0"/>
      <w:marRight w:val="0"/>
      <w:marTop w:val="0"/>
      <w:marBottom w:val="0"/>
      <w:divBdr>
        <w:top w:val="none" w:sz="0" w:space="0" w:color="auto"/>
        <w:left w:val="none" w:sz="0" w:space="0" w:color="auto"/>
        <w:bottom w:val="none" w:sz="0" w:space="0" w:color="auto"/>
        <w:right w:val="none" w:sz="0" w:space="0" w:color="auto"/>
      </w:divBdr>
    </w:div>
    <w:div w:id="1875386517">
      <w:bodyDiv w:val="1"/>
      <w:marLeft w:val="0"/>
      <w:marRight w:val="0"/>
      <w:marTop w:val="0"/>
      <w:marBottom w:val="0"/>
      <w:divBdr>
        <w:top w:val="none" w:sz="0" w:space="0" w:color="auto"/>
        <w:left w:val="none" w:sz="0" w:space="0" w:color="auto"/>
        <w:bottom w:val="none" w:sz="0" w:space="0" w:color="auto"/>
        <w:right w:val="none" w:sz="0" w:space="0" w:color="auto"/>
      </w:divBdr>
    </w:div>
    <w:div w:id="1923566617">
      <w:bodyDiv w:val="1"/>
      <w:marLeft w:val="0"/>
      <w:marRight w:val="0"/>
      <w:marTop w:val="0"/>
      <w:marBottom w:val="0"/>
      <w:divBdr>
        <w:top w:val="none" w:sz="0" w:space="0" w:color="auto"/>
        <w:left w:val="none" w:sz="0" w:space="0" w:color="auto"/>
        <w:bottom w:val="none" w:sz="0" w:space="0" w:color="auto"/>
        <w:right w:val="none" w:sz="0" w:space="0" w:color="auto"/>
      </w:divBdr>
    </w:div>
    <w:div w:id="1996641736">
      <w:bodyDiv w:val="1"/>
      <w:marLeft w:val="0"/>
      <w:marRight w:val="0"/>
      <w:marTop w:val="0"/>
      <w:marBottom w:val="0"/>
      <w:divBdr>
        <w:top w:val="none" w:sz="0" w:space="0" w:color="auto"/>
        <w:left w:val="none" w:sz="0" w:space="0" w:color="auto"/>
        <w:bottom w:val="none" w:sz="0" w:space="0" w:color="auto"/>
        <w:right w:val="none" w:sz="0" w:space="0" w:color="auto"/>
      </w:divBdr>
    </w:div>
    <w:div w:id="2077700936">
      <w:bodyDiv w:val="1"/>
      <w:marLeft w:val="0"/>
      <w:marRight w:val="0"/>
      <w:marTop w:val="0"/>
      <w:marBottom w:val="0"/>
      <w:divBdr>
        <w:top w:val="none" w:sz="0" w:space="0" w:color="auto"/>
        <w:left w:val="none" w:sz="0" w:space="0" w:color="auto"/>
        <w:bottom w:val="none" w:sz="0" w:space="0" w:color="auto"/>
        <w:right w:val="none" w:sz="0" w:space="0" w:color="auto"/>
      </w:divBdr>
    </w:div>
    <w:div w:id="2078240737">
      <w:bodyDiv w:val="1"/>
      <w:marLeft w:val="0"/>
      <w:marRight w:val="0"/>
      <w:marTop w:val="0"/>
      <w:marBottom w:val="0"/>
      <w:divBdr>
        <w:top w:val="none" w:sz="0" w:space="0" w:color="auto"/>
        <w:left w:val="none" w:sz="0" w:space="0" w:color="auto"/>
        <w:bottom w:val="none" w:sz="0" w:space="0" w:color="auto"/>
        <w:right w:val="none" w:sz="0" w:space="0" w:color="auto"/>
      </w:divBdr>
    </w:div>
    <w:div w:id="208433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5644576c-da12-4f9b-b23d-48d3efd457ca">EN</EC_Collab_DocumentLanguage>
    <EC_Collab_Reference xmlns="5644576c-da12-4f9b-b23d-48d3efd457ca" xsi:nil="true"/>
    <EC_Collab_Status xmlns="5644576c-da12-4f9b-b23d-48d3efd457ca">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45621343CB9465449D2CCFC6EB955107" ma:contentTypeVersion="0" ma:contentTypeDescription="Create a new document in this library." ma:contentTypeScope="" ma:versionID="b5248ecf3f15e49de8ba30c411594f61">
  <xsd:schema xmlns:xsd="http://www.w3.org/2001/XMLSchema" xmlns:xs="http://www.w3.org/2001/XMLSchema" xmlns:p="http://schemas.microsoft.com/office/2006/metadata/properties" xmlns:ns2="http://schemas.microsoft.com/sharepoint/v3/fields" xmlns:ns3="5644576c-da12-4f9b-b23d-48d3efd457ca" targetNamespace="http://schemas.microsoft.com/office/2006/metadata/properties" ma:root="true" ma:fieldsID="8ac6c23ca1de7bb5c9add9058ac05ddf" ns2:_="" ns3:_="">
    <xsd:import namespace="http://schemas.microsoft.com/sharepoint/v3/fields"/>
    <xsd:import namespace="5644576c-da12-4f9b-b23d-48d3efd457c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644576c-da12-4f9b-b23d-48d3efd457c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D2340-5E9D-439E-9527-726EE8E56E01}">
  <ds:schemaRefs>
    <ds:schemaRef ds:uri="http://www.w3.org/XML/1998/namespace"/>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dcmitype/"/>
    <ds:schemaRef ds:uri="5644576c-da12-4f9b-b23d-48d3efd457ca"/>
    <ds:schemaRef ds:uri="http://schemas.microsoft.com/sharepoint/v3/fields"/>
    <ds:schemaRef ds:uri="http://purl.org/dc/terms/"/>
  </ds:schemaRefs>
</ds:datastoreItem>
</file>

<file path=customXml/itemProps2.xml><?xml version="1.0" encoding="utf-8"?>
<ds:datastoreItem xmlns:ds="http://schemas.openxmlformats.org/officeDocument/2006/customXml" ds:itemID="{5A67699F-6E5F-429F-96CB-1A734BE91B67}">
  <ds:schemaRefs>
    <ds:schemaRef ds:uri="http://schemas.microsoft.com/sharepoint/v3/contenttype/forms"/>
  </ds:schemaRefs>
</ds:datastoreItem>
</file>

<file path=customXml/itemProps3.xml><?xml version="1.0" encoding="utf-8"?>
<ds:datastoreItem xmlns:ds="http://schemas.openxmlformats.org/officeDocument/2006/customXml" ds:itemID="{F9852562-18AB-4196-ACDF-E040A64D3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644576c-da12-4f9b-b23d-48d3efd4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43365-59A2-4E78-9FD4-27E77B15C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4610</Words>
  <Characters>25980</Characters>
  <Application>Microsoft Office Word</Application>
  <DocSecurity>0</DocSecurity>
  <Lines>495</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JANSEN Colette (SG)</cp:lastModifiedBy>
  <cp:revision>17</cp:revision>
  <cp:lastPrinted>2017-02-27T09:39:00Z</cp:lastPrinted>
  <dcterms:created xsi:type="dcterms:W3CDTF">2017-03-01T08:02:00Z</dcterms:created>
  <dcterms:modified xsi:type="dcterms:W3CDTF">2017-03-01T14:23:00Z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0x010100258AA79CEB83498886A3A086811232500045621343CB9465449D2CCFC6EB955107</vt:lpwstr>
  </property>
  <property fmtid="{D5CDD505-2E9C-101B-9397-08002B2CF9AE}" pid="6" name="DocStatus">
    <vt:lpwstr>Green</vt:lpwstr>
  </property>
</Properties>
</file>