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331" w:rsidRDefault="00557629" w:rsidP="0055762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348FAFFE787453BAFE659303BD1D07E" style="width:450.6pt;height:352.55pt">
            <v:imagedata r:id="rId9" o:title=""/>
          </v:shape>
        </w:pict>
      </w:r>
    </w:p>
    <w:p w:rsidR="00170331" w:rsidRDefault="00170331">
      <w:pPr>
        <w:rPr>
          <w:noProof/>
        </w:rPr>
        <w:sectPr w:rsidR="00170331" w:rsidSect="00557629">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170331" w:rsidRDefault="00557629">
      <w:pPr>
        <w:pStyle w:val="Exposdesmotifstitre"/>
        <w:rPr>
          <w:noProof/>
        </w:rPr>
      </w:pPr>
      <w:r>
        <w:rPr>
          <w:noProof/>
        </w:rPr>
        <w:lastRenderedPageBreak/>
        <w:t>EXPUNERE DE MOTIVE</w:t>
      </w:r>
    </w:p>
    <w:p w:rsidR="00170331" w:rsidRDefault="00557629">
      <w:pPr>
        <w:widowControl w:val="0"/>
        <w:shd w:val="clear" w:color="auto" w:fill="FFFFFF"/>
        <w:autoSpaceDE w:val="0"/>
        <w:autoSpaceDN w:val="0"/>
        <w:adjustRightInd w:val="0"/>
        <w:spacing w:before="230" w:after="0" w:line="269" w:lineRule="exact"/>
        <w:ind w:right="86"/>
        <w:rPr>
          <w:b/>
          <w:noProof/>
        </w:rPr>
      </w:pPr>
      <w:r>
        <w:rPr>
          <w:b/>
          <w:noProof/>
        </w:rPr>
        <w:t>1.</w:t>
      </w:r>
      <w:r>
        <w:rPr>
          <w:noProof/>
        </w:rPr>
        <w:tab/>
      </w:r>
      <w:r>
        <w:rPr>
          <w:b/>
          <w:noProof/>
        </w:rPr>
        <w:t>CONTEXTUL PROPUNERII</w:t>
      </w:r>
    </w:p>
    <w:p w:rsidR="00170331" w:rsidRDefault="00557629">
      <w:pPr>
        <w:pStyle w:val="ManualHeading2"/>
        <w:rPr>
          <w:rFonts w:eastAsia="Arial Unicode MS"/>
          <w:noProof/>
        </w:rPr>
      </w:pPr>
      <w:r>
        <w:rPr>
          <w:noProof/>
          <w:color w:val="000000"/>
          <w:u w:color="000000"/>
          <w:bdr w:val="nil"/>
        </w:rPr>
        <w:t>•</w:t>
      </w:r>
      <w:r>
        <w:rPr>
          <w:noProof/>
        </w:rPr>
        <w:tab/>
        <w:t>Temeiurile și obiectivele propunerii</w:t>
      </w:r>
    </w:p>
    <w:p w:rsidR="00170331" w:rsidRDefault="00557629">
      <w:pPr>
        <w:pBdr>
          <w:top w:val="nil"/>
          <w:left w:val="nil"/>
          <w:bottom w:val="nil"/>
          <w:right w:val="nil"/>
          <w:between w:val="nil"/>
          <w:bar w:val="nil"/>
        </w:pBdr>
        <w:spacing w:before="0" w:after="240"/>
        <w:rPr>
          <w:noProof/>
        </w:rPr>
      </w:pPr>
      <w:r>
        <w:rPr>
          <w:noProof/>
        </w:rPr>
        <w:t>În temeiul articolului 50 din Tratatul privind Uniunea Europeană, orice stat membru poate hotărî, în conformitate cu normele sale constituționale, să se retragă din Uniune și, în cazul în care decide să se retragă, notifică intenția sa Consiliului European</w:t>
      </w:r>
      <w:r>
        <w:rPr>
          <w:noProof/>
        </w:rPr>
        <w:t xml:space="preserve">. </w:t>
      </w:r>
    </w:p>
    <w:p w:rsidR="00170331" w:rsidRDefault="00557629">
      <w:pPr>
        <w:pBdr>
          <w:top w:val="nil"/>
          <w:left w:val="nil"/>
          <w:bottom w:val="nil"/>
          <w:right w:val="nil"/>
          <w:between w:val="nil"/>
          <w:bar w:val="nil"/>
        </w:pBdr>
        <w:spacing w:before="0" w:after="240"/>
        <w:rPr>
          <w:noProof/>
        </w:rPr>
      </w:pPr>
      <w:r>
        <w:rPr>
          <w:noProof/>
        </w:rPr>
        <w:t xml:space="preserve">La data de 29 martie 2017, Regatul Unit a notificat Consiliului European intenția sa de a se retrage din Uniune și din Comunitatea Europeană a Energiei Atomice. </w:t>
      </w:r>
    </w:p>
    <w:p w:rsidR="00170331" w:rsidRDefault="00557629">
      <w:pPr>
        <w:pBdr>
          <w:top w:val="nil"/>
          <w:left w:val="nil"/>
          <w:bottom w:val="nil"/>
          <w:right w:val="nil"/>
          <w:between w:val="nil"/>
          <w:bar w:val="nil"/>
        </w:pBdr>
        <w:spacing w:before="0" w:after="240"/>
        <w:rPr>
          <w:noProof/>
        </w:rPr>
      </w:pPr>
      <w:r>
        <w:rPr>
          <w:noProof/>
        </w:rPr>
        <w:t>Articolul 50 din Tratatul privind Uniunea Europeană prevede că în baza orientărilor Consili</w:t>
      </w:r>
      <w:r>
        <w:rPr>
          <w:noProof/>
        </w:rPr>
        <w:t>ului European, Uniunea negociază și încheie cu statul care dorește să se retragă un acord în care se stabilesc condițiile de retragere, ținând seama de cadrul viitoarelor sale relații cu Uniunea.</w:t>
      </w:r>
    </w:p>
    <w:p w:rsidR="00170331" w:rsidRDefault="00557629">
      <w:pPr>
        <w:pBdr>
          <w:top w:val="nil"/>
          <w:left w:val="nil"/>
          <w:bottom w:val="nil"/>
          <w:right w:val="nil"/>
          <w:between w:val="nil"/>
          <w:bar w:val="nil"/>
        </w:pBdr>
        <w:spacing w:before="0" w:after="240"/>
        <w:rPr>
          <w:rFonts w:eastAsia="Arial Unicode MS"/>
          <w:noProof/>
        </w:rPr>
      </w:pPr>
      <w:r>
        <w:rPr>
          <w:noProof/>
        </w:rPr>
        <w:t>Se reamintește faptul că data intrării în vigoare a acordulu</w:t>
      </w:r>
      <w:r>
        <w:rPr>
          <w:noProof/>
        </w:rPr>
        <w:t>i de retragere ar trebui să fie cel mai târziu 30 martie 2019, cu excepția cazului în care Consiliul European, în acord cu Regatul Unit, hotărăște în unanimitate să proroge acest termen, în conformitate cu articolul 50 alineatul (3) din Tratatul privind Un</w:t>
      </w:r>
      <w:r>
        <w:rPr>
          <w:noProof/>
        </w:rPr>
        <w:t>iunea Europeană. În cazul în care nu se ajunge la un acord, la 30 martie 2019, ora 00:00 (ora Bruxelles-ului), toate tratatele Uniunii și Tratatul de instituire a Comunității Europene a Energiei Atomice încetează să se aplice Regatului Unit. Regatul Unit v</w:t>
      </w:r>
      <w:r>
        <w:rPr>
          <w:noProof/>
        </w:rPr>
        <w:t>a deveni o țară terță de la data retragerii. La aceeași dată, tratatele încetează să se aplice, de asemenea, țărilor și teritoriilor de peste mări care au relații speciale cu Regatul Unit</w:t>
      </w:r>
      <w:r>
        <w:rPr>
          <w:rStyle w:val="FootnoteReference"/>
          <w:noProof/>
        </w:rPr>
        <w:footnoteReference w:id="2"/>
      </w:r>
      <w:r>
        <w:rPr>
          <w:noProof/>
        </w:rPr>
        <w:t xml:space="preserve"> și teritoriilor europene ale căror relații externe se află sub inci</w:t>
      </w:r>
      <w:r>
        <w:rPr>
          <w:noProof/>
        </w:rPr>
        <w:t>dența responsabilității Regatului Unit, cărora li se aplică dispozițiile tratatelor în temeiul articolului 355 din Tratatul privind funcționarea Uniunii Europene.</w:t>
      </w:r>
    </w:p>
    <w:p w:rsidR="00170331" w:rsidRDefault="00557629">
      <w:pPr>
        <w:pBdr>
          <w:top w:val="nil"/>
          <w:left w:val="nil"/>
          <w:bottom w:val="nil"/>
          <w:right w:val="nil"/>
          <w:between w:val="nil"/>
          <w:bar w:val="nil"/>
        </w:pBdr>
        <w:spacing w:before="0" w:after="240"/>
        <w:rPr>
          <w:noProof/>
        </w:rPr>
      </w:pPr>
      <w:r>
        <w:rPr>
          <w:noProof/>
        </w:rPr>
        <w:t>Consiliul European a adoptat orientări la data de 29 aprilie 2017. Prin prisma acestor orientări, în prezenta recomandare se propune autorizarea Comisiei de către Consiliu pentru a deschide negocieri în vederea încheierii unui acord cu Regatul Unit de stab</w:t>
      </w:r>
      <w:r>
        <w:rPr>
          <w:noProof/>
        </w:rPr>
        <w:t xml:space="preserve">ilire a condițiilor de retragere a acestui stat din Uniunea Europeană și din Comunitatea Europeană a Energiei Atomice, desemnarea Comisiei drept negociator din partea Uniunii Europene și adresarea de directive de negociere Comisiei. </w:t>
      </w:r>
    </w:p>
    <w:p w:rsidR="00170331" w:rsidRDefault="00557629">
      <w:pPr>
        <w:pBdr>
          <w:top w:val="nil"/>
          <w:left w:val="nil"/>
          <w:bottom w:val="nil"/>
          <w:right w:val="nil"/>
          <w:between w:val="nil"/>
          <w:bar w:val="nil"/>
        </w:pBdr>
        <w:spacing w:before="0" w:after="240"/>
        <w:rPr>
          <w:noProof/>
        </w:rPr>
      </w:pPr>
      <w:r>
        <w:rPr>
          <w:noProof/>
        </w:rPr>
        <w:t>Negocierile vo</w:t>
      </w:r>
      <w:bookmarkStart w:id="0" w:name="_GoBack"/>
      <w:bookmarkEnd w:id="0"/>
      <w:r>
        <w:rPr>
          <w:noProof/>
        </w:rPr>
        <w:t>r fi pur</w:t>
      </w:r>
      <w:r>
        <w:rPr>
          <w:noProof/>
        </w:rPr>
        <w:t>tate în lumina orientărilor Consiliului European, în conformitate cu directivele de negociere, ținându-se seama și de Rezoluția Parlamentului European din 5 aprilie 2017. Va exista o abordare etapizată a negocierilor, după cum se prevede în orientările Con</w:t>
      </w:r>
      <w:r>
        <w:rPr>
          <w:noProof/>
        </w:rPr>
        <w:t>siliului European. Directivele de negociere recomandate din anexă se referă la prima etapă a negocierilor, în care se va acorda prioritare aspectelor care, în acest stadiu, au fost identificate ca fiind strict necesare pentru a se asigura o retragere ordon</w:t>
      </w:r>
      <w:r>
        <w:rPr>
          <w:noProof/>
        </w:rPr>
        <w:t xml:space="preserve">ată. </w:t>
      </w:r>
      <w:r>
        <w:rPr>
          <w:rFonts w:asciiTheme="majorBidi" w:hAnsiTheme="majorBidi" w:cstheme="majorBidi"/>
          <w:noProof/>
        </w:rPr>
        <w:t>Directivele de negociere pot fi modificate și completate, după caz, pe întreaga durată a negocierilor, în special pentru a reflecta orientările Consiliului European, pe măsură ce negocierile evoluează și pentru a acoperi etapele ulterioare ale acestui</w:t>
      </w:r>
      <w:r>
        <w:rPr>
          <w:rFonts w:asciiTheme="majorBidi" w:hAnsiTheme="majorBidi" w:cstheme="majorBidi"/>
          <w:noProof/>
        </w:rPr>
        <w:t xml:space="preserve"> proces. </w:t>
      </w:r>
    </w:p>
    <w:p w:rsidR="00170331" w:rsidRDefault="00557629">
      <w:pPr>
        <w:pBdr>
          <w:top w:val="nil"/>
          <w:left w:val="nil"/>
          <w:bottom w:val="nil"/>
          <w:right w:val="nil"/>
          <w:between w:val="nil"/>
          <w:bar w:val="nil"/>
        </w:pBdr>
        <w:spacing w:before="0" w:after="240"/>
        <w:rPr>
          <w:noProof/>
        </w:rPr>
      </w:pPr>
      <w:r>
        <w:rPr>
          <w:noProof/>
        </w:rPr>
        <w:t xml:space="preserve">Acordul privind viitorul relațiilor dintre Uniune și Regatul Unit poate fi finalizat și încheiat numai după ce Regatul Unit va deveni o țară terță. Cu toate acestea, articolul 50 din Tratatul </w:t>
      </w:r>
      <w:r>
        <w:rPr>
          <w:noProof/>
        </w:rPr>
        <w:lastRenderedPageBreak/>
        <w:t>privind Uniunea Europeană impune obligația ca, în acor</w:t>
      </w:r>
      <w:r>
        <w:rPr>
          <w:noProof/>
        </w:rPr>
        <w:t>dul care va stabili condițiile de retragere, să se țină seama de cadrul relațiilor viitoare cu Uniunea. În acest scop, de îndată ce Consiliul European hotărăște că s-au înregistrat progrese suficiente pentru a se trece la etapa următoare a negocierilor, ar</w:t>
      </w:r>
      <w:r>
        <w:rPr>
          <w:noProof/>
        </w:rPr>
        <w:t xml:space="preserve"> trebui identificată o înțelegere de ansamblu cu Regatul Unit privind cadrul relațiilor viitoare în cursul celei de a doua etape a negocierilor în temeiul articolului 50.</w:t>
      </w:r>
    </w:p>
    <w:p w:rsidR="00170331" w:rsidRDefault="00557629">
      <w:pPr>
        <w:pBdr>
          <w:top w:val="nil"/>
          <w:left w:val="nil"/>
          <w:bottom w:val="nil"/>
          <w:right w:val="nil"/>
          <w:between w:val="nil"/>
          <w:bar w:val="nil"/>
        </w:pBdr>
        <w:spacing w:before="0" w:after="240"/>
        <w:rPr>
          <w:rFonts w:eastAsia="Arial Unicode MS"/>
          <w:noProof/>
        </w:rPr>
      </w:pPr>
      <w:r>
        <w:rPr>
          <w:noProof/>
        </w:rPr>
        <w:t xml:space="preserve">Stabilirea unor dispoziții tranzitorii în temeiul acordului de retragere, inclusiv a </w:t>
      </w:r>
      <w:r>
        <w:rPr>
          <w:noProof/>
        </w:rPr>
        <w:t xml:space="preserve">unor punți către un cadru previzibil pentru relațiile viitoare, prin prisma progreselor realizate, depinde de identificarea unei înțelegeri în legătură cu cadrul relațiilor viitoare dintre Uniune și Regatul Unit care vor fi stabilite în cea de a doua fază </w:t>
      </w:r>
      <w:r>
        <w:rPr>
          <w:noProof/>
        </w:rPr>
        <w:t>a negocierilor. Prin urmare, chestiunile care ar putea fi incluse în astfel de dispoziții tranzitorii nu fac obiectul prezentelor directive de negociere recomandate și vor fi identificate într-o etapă ulterioară. Această abordare va permite o alocare efici</w:t>
      </w:r>
      <w:r>
        <w:rPr>
          <w:noProof/>
        </w:rPr>
        <w:t>entă a timpului limitat prevăzut la articolul 50 din Tratatul privind Uniunea Europeană pentru încheierea acordului.</w:t>
      </w:r>
    </w:p>
    <w:p w:rsidR="00170331" w:rsidRDefault="00557629">
      <w:pPr>
        <w:pBdr>
          <w:top w:val="nil"/>
          <w:left w:val="nil"/>
          <w:bottom w:val="nil"/>
          <w:right w:val="nil"/>
          <w:between w:val="nil"/>
          <w:bar w:val="nil"/>
        </w:pBdr>
        <w:spacing w:before="0" w:after="240"/>
        <w:rPr>
          <w:noProof/>
        </w:rPr>
      </w:pPr>
      <w:r>
        <w:rPr>
          <w:noProof/>
        </w:rPr>
        <w:t>În conformitate cu orientările Consiliului European, următoarele principii de bază se vor aplica în egală măsură negocierilor privind o ret</w:t>
      </w:r>
      <w:r>
        <w:rPr>
          <w:noProof/>
        </w:rPr>
        <w:t>ragere ordonată, oricăror discuții preliminare și pregătitoare privind cadrul unei viitoare relații și oricăror forme de înțelegeri tranzitorii:</w:t>
      </w:r>
    </w:p>
    <w:p w:rsidR="00170331" w:rsidRDefault="00557629">
      <w:pPr>
        <w:pStyle w:val="Tiret0"/>
        <w:numPr>
          <w:ilvl w:val="0"/>
          <w:numId w:val="10"/>
        </w:numPr>
        <w:rPr>
          <w:noProof/>
        </w:rPr>
      </w:pPr>
      <w:r>
        <w:rPr>
          <w:noProof/>
        </w:rPr>
        <w:t>acordul va trebui să se bazeze pe un echilibru între drepturi și obligații și să asigure condiții echitabile;</w:t>
      </w:r>
    </w:p>
    <w:p w:rsidR="00170331" w:rsidRDefault="00557629">
      <w:pPr>
        <w:pStyle w:val="Tiret0"/>
        <w:numPr>
          <w:ilvl w:val="0"/>
          <w:numId w:val="10"/>
        </w:numPr>
        <w:rPr>
          <w:noProof/>
        </w:rPr>
      </w:pPr>
      <w:r>
        <w:rPr>
          <w:noProof/>
        </w:rPr>
        <w:t>p</w:t>
      </w:r>
      <w:r>
        <w:rPr>
          <w:noProof/>
        </w:rPr>
        <w:t>ăstrarea integrității pieței unice exclude participarea bazată pe o abordare sectorială;</w:t>
      </w:r>
    </w:p>
    <w:p w:rsidR="00170331" w:rsidRDefault="00557629">
      <w:pPr>
        <w:pStyle w:val="Tiret0"/>
        <w:numPr>
          <w:ilvl w:val="0"/>
          <w:numId w:val="10"/>
        </w:numPr>
        <w:rPr>
          <w:noProof/>
        </w:rPr>
      </w:pPr>
      <w:r>
        <w:rPr>
          <w:noProof/>
        </w:rPr>
        <w:t xml:space="preserve">un stat care nu este membru al Uniunii, care nu are aceleași obligații ca un membru, nu poate avea aceleași drepturi și nu se poate bucura de aceleași beneficii ca un </w:t>
      </w:r>
      <w:r>
        <w:rPr>
          <w:noProof/>
        </w:rPr>
        <w:t>membru;</w:t>
      </w:r>
    </w:p>
    <w:p w:rsidR="00170331" w:rsidRDefault="00557629">
      <w:pPr>
        <w:pStyle w:val="Tiret0"/>
        <w:numPr>
          <w:ilvl w:val="0"/>
          <w:numId w:val="10"/>
        </w:numPr>
        <w:rPr>
          <w:noProof/>
        </w:rPr>
      </w:pPr>
      <w:r>
        <w:rPr>
          <w:noProof/>
        </w:rPr>
        <w:t>participarea la piața unică presupune acceptarea tuturor celor patru libertăți;</w:t>
      </w:r>
    </w:p>
    <w:p w:rsidR="00170331" w:rsidRDefault="00557629">
      <w:pPr>
        <w:pStyle w:val="Tiret0"/>
        <w:rPr>
          <w:noProof/>
        </w:rPr>
      </w:pPr>
      <w:r>
        <w:rPr>
          <w:noProof/>
        </w:rPr>
        <w:t>negocierile cu Regatul Unit se vor desfășura sub forma unui pachet unic. În conformitate cu principiul conform căruia nimic nu este stabilit până când nu se convine asu</w:t>
      </w:r>
      <w:r>
        <w:rPr>
          <w:noProof/>
        </w:rPr>
        <w:t>pra tuturor aspectelor, nu pot exista înțelegeri separate asupra unor chestiuni individuale. Uniunea va aborda negocierile de pe o poziție unită, exclusiv prin canalele prevăzute în orientările Consiliului European și în directivele de negociere; nu vor ex</w:t>
      </w:r>
      <w:r>
        <w:rPr>
          <w:noProof/>
        </w:rPr>
        <w:t>ista negocieri separate între statele membre, la nivel individual, și Regatul Unit privind aspecte legate de retragere;</w:t>
      </w:r>
    </w:p>
    <w:p w:rsidR="00170331" w:rsidRDefault="00557629">
      <w:pPr>
        <w:pStyle w:val="Tiret0"/>
        <w:rPr>
          <w:noProof/>
        </w:rPr>
      </w:pPr>
      <w:r>
        <w:rPr>
          <w:noProof/>
        </w:rPr>
        <w:t>acordul va trebui să respecte autonomia Uniunii în ceea ce privește procesul său decizional, precum și rolul Curții de Justiție a Uniuni</w:t>
      </w:r>
      <w:r>
        <w:rPr>
          <w:noProof/>
        </w:rPr>
        <w:t xml:space="preserve">i Europene. </w:t>
      </w:r>
    </w:p>
    <w:p w:rsidR="00170331" w:rsidRDefault="00557629">
      <w:pPr>
        <w:pStyle w:val="ManualHeading2"/>
        <w:rPr>
          <w:rFonts w:eastAsia="Arial Unicode MS"/>
          <w:noProof/>
        </w:rPr>
      </w:pPr>
      <w:r>
        <w:rPr>
          <w:noProof/>
          <w:color w:val="000000"/>
          <w:u w:color="000000"/>
          <w:bdr w:val="nil"/>
        </w:rPr>
        <w:t>•</w:t>
      </w:r>
      <w:r>
        <w:rPr>
          <w:noProof/>
        </w:rPr>
        <w:tab/>
        <w:t>Coerența cu alte domenii de politică ale Uniunii</w:t>
      </w:r>
    </w:p>
    <w:p w:rsidR="00170331" w:rsidRDefault="00557629">
      <w:pPr>
        <w:pBdr>
          <w:top w:val="nil"/>
          <w:left w:val="nil"/>
          <w:bottom w:val="nil"/>
          <w:right w:val="nil"/>
          <w:between w:val="nil"/>
          <w:bar w:val="nil"/>
        </w:pBdr>
        <w:spacing w:before="0" w:after="240"/>
        <w:rPr>
          <w:noProof/>
        </w:rPr>
      </w:pPr>
      <w:r>
        <w:rPr>
          <w:noProof/>
        </w:rPr>
        <w:t>Negocierile care se vor derula și acordul care se va încheia în temeiul articolului 50 din Tratatul privind Uniunea Europeană vor respecta pe deplin dispozițiile tratatelor și vor menține integritatea și autonomia ordinii juridice a Uniunii. Acestea vor pr</w:t>
      </w:r>
      <w:r>
        <w:rPr>
          <w:noProof/>
        </w:rPr>
        <w:t xml:space="preserve">omova valorile, obiectivele și interesele Uniunii și vor asigura coerența, eficacitatea și continuitatea politicilor și a acțiunilor sale. </w:t>
      </w:r>
    </w:p>
    <w:p w:rsidR="00170331" w:rsidRDefault="00557629">
      <w:pPr>
        <w:pStyle w:val="ManualHeading2"/>
        <w:rPr>
          <w:rFonts w:eastAsia="Arial Unicode MS"/>
          <w:noProof/>
          <w:u w:color="000000"/>
          <w:bdr w:val="nil"/>
        </w:rPr>
      </w:pPr>
      <w:r>
        <w:rPr>
          <w:noProof/>
          <w:color w:val="000000"/>
          <w:u w:color="000000"/>
          <w:bdr w:val="nil"/>
        </w:rPr>
        <w:t>•</w:t>
      </w:r>
      <w:r>
        <w:rPr>
          <w:noProof/>
        </w:rPr>
        <w:tab/>
        <w:t>Drepturile fundamentale</w:t>
      </w:r>
    </w:p>
    <w:p w:rsidR="00170331" w:rsidRDefault="00557629">
      <w:pPr>
        <w:pBdr>
          <w:top w:val="nil"/>
          <w:left w:val="nil"/>
          <w:bottom w:val="nil"/>
          <w:right w:val="nil"/>
          <w:between w:val="nil"/>
          <w:bar w:val="nil"/>
        </w:pBdr>
        <w:spacing w:before="0" w:after="240"/>
        <w:rPr>
          <w:noProof/>
        </w:rPr>
      </w:pPr>
      <w:r>
        <w:rPr>
          <w:noProof/>
        </w:rPr>
        <w:t xml:space="preserve">În conformitate cu articolul 6 din Tratatul privind Uniunea Europeană, Uniunea recunoaște </w:t>
      </w:r>
      <w:r>
        <w:rPr>
          <w:noProof/>
        </w:rPr>
        <w:t>drepturile, libertățile și principiile prevăzute în Carta drepturilor fundamentale a Uniunii Europene, care are aceeași valoare juridică cu cea a tratatelor. Mai mult, drepturile fundamentale, astfel cum sunt garantate prin Convenția europeană pentru apăra</w:t>
      </w:r>
      <w:r>
        <w:rPr>
          <w:noProof/>
        </w:rPr>
        <w:t xml:space="preserve">rea drepturilor </w:t>
      </w:r>
      <w:r>
        <w:rPr>
          <w:noProof/>
        </w:rPr>
        <w:lastRenderedPageBreak/>
        <w:t>omului și a libertăților fundamentale și astfel cum rezultă din tradițiile constituționale comune statelor membre, constituie principii generale ale dreptului Uniunii.</w:t>
      </w:r>
    </w:p>
    <w:p w:rsidR="00170331" w:rsidRDefault="00557629">
      <w:pPr>
        <w:pBdr>
          <w:top w:val="nil"/>
          <w:left w:val="nil"/>
          <w:bottom w:val="nil"/>
          <w:right w:val="nil"/>
          <w:between w:val="nil"/>
          <w:bar w:val="nil"/>
        </w:pBdr>
        <w:spacing w:before="0" w:after="240"/>
        <w:rPr>
          <w:rFonts w:eastAsia="Arial Unicode MS"/>
          <w:noProof/>
        </w:rPr>
      </w:pPr>
      <w:r>
        <w:rPr>
          <w:noProof/>
        </w:rPr>
        <w:t>Aceste drepturi, libertăți și principii vor continua să fie menținute și</w:t>
      </w:r>
      <w:r>
        <w:rPr>
          <w:noProof/>
        </w:rPr>
        <w:t xml:space="preserve"> protejate pe deplin în Uniune, atât în procesul de negociere cu Regatul Unit, în temeiul articolului 50 din Tratatul privind Uniunea Europeană, cât și după retragerea Regatului Unit din Uniunea Europeană.</w:t>
      </w:r>
    </w:p>
    <w:p w:rsidR="00170331" w:rsidRDefault="00557629">
      <w:pPr>
        <w:pStyle w:val="ManualHeading1"/>
        <w:rPr>
          <w:noProof/>
        </w:rPr>
      </w:pPr>
      <w:r>
        <w:rPr>
          <w:noProof/>
        </w:rPr>
        <w:t>2.</w:t>
      </w:r>
      <w:r>
        <w:rPr>
          <w:noProof/>
        </w:rPr>
        <w:tab/>
        <w:t>TEMEIUL JURIDIC, SUBSIDIARITATEA ȘI PROPORȚIONA</w:t>
      </w:r>
      <w:r>
        <w:rPr>
          <w:noProof/>
        </w:rPr>
        <w:t>LITATEA</w:t>
      </w:r>
    </w:p>
    <w:p w:rsidR="00170331" w:rsidRDefault="00557629">
      <w:pPr>
        <w:pStyle w:val="ManualHeading2"/>
        <w:rPr>
          <w:rFonts w:eastAsia="Arial Unicode MS"/>
          <w:noProof/>
          <w:u w:color="000000"/>
          <w:bdr w:val="nil"/>
        </w:rPr>
      </w:pPr>
      <w:r>
        <w:rPr>
          <w:noProof/>
        </w:rPr>
        <w:t>•</w:t>
      </w:r>
      <w:r>
        <w:rPr>
          <w:noProof/>
        </w:rPr>
        <w:tab/>
        <w:t>Temei juridic</w:t>
      </w:r>
    </w:p>
    <w:p w:rsidR="00170331" w:rsidRDefault="00557629">
      <w:pPr>
        <w:pBdr>
          <w:top w:val="nil"/>
          <w:left w:val="nil"/>
          <w:bottom w:val="nil"/>
          <w:right w:val="nil"/>
          <w:between w:val="nil"/>
          <w:bar w:val="nil"/>
        </w:pBdr>
        <w:spacing w:before="0" w:after="240"/>
        <w:rPr>
          <w:noProof/>
        </w:rPr>
      </w:pPr>
      <w:r>
        <w:rPr>
          <w:noProof/>
        </w:rPr>
        <w:t>Regatul Unit a notificat intenția sa de a se retrage din Uniunea Europeană. În consecință, articolul 50 din Tratatul privind Uniunea Europeană constituie temeiul juridic pentru negocierea și încheierea unui acord de retragere. Se re</w:t>
      </w:r>
      <w:r>
        <w:rPr>
          <w:noProof/>
        </w:rPr>
        <w:t>amintește faptul că, în conformitate cu articolul 106a din Tratatul de instituire a Comunității Europene a Energiei Atomice, articolul 50 din Tratatul privind Uniunea Europeană se aplică și Comunității Europene a Energiei Atomice.</w:t>
      </w:r>
    </w:p>
    <w:p w:rsidR="00170331" w:rsidRDefault="00557629">
      <w:pPr>
        <w:pBdr>
          <w:top w:val="nil"/>
          <w:left w:val="nil"/>
          <w:bottom w:val="nil"/>
          <w:right w:val="nil"/>
          <w:between w:val="nil"/>
          <w:bar w:val="nil"/>
        </w:pBdr>
        <w:spacing w:before="0" w:after="240"/>
        <w:rPr>
          <w:noProof/>
        </w:rPr>
      </w:pPr>
      <w:r>
        <w:rPr>
          <w:noProof/>
        </w:rPr>
        <w:t>În conformitate cu artico</w:t>
      </w:r>
      <w:r>
        <w:rPr>
          <w:noProof/>
        </w:rPr>
        <w:t>lul 218 alineatul (3) din Tratatul privind funcționarea Uniunii Europene, la care se face trimitere în articolul 50 din Tratatul privind Uniunea Europeană, Comisia prezintă recomandări Consiliului, care adoptă o decizie de autorizare a deschiderii negocier</w:t>
      </w:r>
      <w:r>
        <w:rPr>
          <w:noProof/>
        </w:rPr>
        <w:t>ilor și desemnează negociatorul Uniunii.</w:t>
      </w:r>
    </w:p>
    <w:p w:rsidR="00170331" w:rsidRDefault="00557629">
      <w:pPr>
        <w:pStyle w:val="ManualHeading2"/>
        <w:rPr>
          <w:rFonts w:eastAsia="Arial Unicode MS"/>
          <w:noProof/>
          <w:u w:color="000000"/>
          <w:bdr w:val="nil"/>
        </w:rPr>
      </w:pPr>
      <w:r>
        <w:rPr>
          <w:noProof/>
        </w:rPr>
        <w:t>•</w:t>
      </w:r>
      <w:r>
        <w:rPr>
          <w:noProof/>
        </w:rPr>
        <w:tab/>
        <w:t>Proporționalitate</w:t>
      </w:r>
    </w:p>
    <w:p w:rsidR="00170331" w:rsidRDefault="00557629">
      <w:pPr>
        <w:pBdr>
          <w:top w:val="nil"/>
          <w:left w:val="nil"/>
          <w:bottom w:val="nil"/>
          <w:right w:val="nil"/>
          <w:between w:val="nil"/>
          <w:bar w:val="nil"/>
        </w:pBdr>
        <w:spacing w:before="0" w:after="240"/>
        <w:rPr>
          <w:noProof/>
        </w:rPr>
      </w:pPr>
      <w:r>
        <w:rPr>
          <w:noProof/>
        </w:rPr>
        <w:t>Prezenta recomandare propune Consiliului să autorizeze deschiderea negocierilor și să desemneze negociatorul, astfel cum se prevede la articolul 50 din Tratatul privind Uniunea Europeană, coroborat cu articolul 218 alineatul (3) din Tratatul privind funcți</w:t>
      </w:r>
      <w:r>
        <w:rPr>
          <w:noProof/>
        </w:rPr>
        <w:t>onarea Uniunii Europene. Obiectivul negocierilor care se vor derula în temeiul articolului 50 din Tratatul privind Uniunea Europeană va fi de a asigura retragerea ordonată a Regatului Unit din Uniune. Întrucât un acord privind o viitoare relație între Uniu</w:t>
      </w:r>
      <w:r>
        <w:rPr>
          <w:noProof/>
        </w:rPr>
        <w:t>ne și Regatul Unit nu poate fi încheiat decât atunci când Regatul Unit devine o țară terță, negocierile nu vor aborda aspecte privind cadrul viitoarelor relații dintre Uniune și Regatul Unit, cu excepția faptului că se va ține seama de acest cadru pe parcu</w:t>
      </w:r>
      <w:r>
        <w:rPr>
          <w:noProof/>
        </w:rPr>
        <w:t xml:space="preserve">rsul negocierilor. </w:t>
      </w:r>
    </w:p>
    <w:p w:rsidR="00170331" w:rsidRDefault="00557629">
      <w:pPr>
        <w:pStyle w:val="ManualHeading2"/>
        <w:rPr>
          <w:rFonts w:eastAsia="Arial Unicode MS"/>
          <w:noProof/>
          <w:u w:color="000000"/>
          <w:bdr w:val="nil"/>
        </w:rPr>
      </w:pPr>
      <w:r>
        <w:rPr>
          <w:noProof/>
        </w:rPr>
        <w:t>•</w:t>
      </w:r>
      <w:r>
        <w:rPr>
          <w:noProof/>
        </w:rPr>
        <w:tab/>
        <w:t>Alegerea instrumentului</w:t>
      </w:r>
    </w:p>
    <w:p w:rsidR="00170331" w:rsidRDefault="00557629">
      <w:pPr>
        <w:pBdr>
          <w:top w:val="nil"/>
          <w:left w:val="nil"/>
          <w:bottom w:val="nil"/>
          <w:right w:val="nil"/>
          <w:between w:val="nil"/>
          <w:bar w:val="nil"/>
        </w:pBdr>
        <w:spacing w:before="0" w:after="240"/>
        <w:rPr>
          <w:noProof/>
        </w:rPr>
      </w:pPr>
      <w:r>
        <w:rPr>
          <w:noProof/>
        </w:rPr>
        <w:t xml:space="preserve">În conformitate cu articolul 50 din Tratatul privind Uniunea Europeană, trebuie negociat un acord cu Regatul Unit de stabilire a condițiilor privind retragerea acestui stat din Uniunea Europeană. Articolul 218 </w:t>
      </w:r>
      <w:r>
        <w:rPr>
          <w:noProof/>
        </w:rPr>
        <w:t>alineatul (3) din Tratatul privind funcționarea Uniunii Europene prevede faptul că este de competența Comisiei să prezinte recomandări Consiliului, care adoptă o decizie de autorizare a începerii negocierilor și desemnează negociatorul Uniunii. O decizie a</w:t>
      </w:r>
      <w:r>
        <w:rPr>
          <w:noProof/>
        </w:rPr>
        <w:t xml:space="preserve"> Consiliului este instrumentul adecvat pentru autorizarea Comisiei de către Consiliu în această privință.</w:t>
      </w:r>
    </w:p>
    <w:p w:rsidR="00170331" w:rsidRDefault="00557629">
      <w:pPr>
        <w:pStyle w:val="ManualHeading1"/>
        <w:rPr>
          <w:noProof/>
        </w:rPr>
      </w:pPr>
      <w:r>
        <w:rPr>
          <w:noProof/>
        </w:rPr>
        <w:t>3.</w:t>
      </w:r>
      <w:r>
        <w:rPr>
          <w:noProof/>
        </w:rPr>
        <w:tab/>
        <w:t>IMPLICAȚIILE BUGETARE</w:t>
      </w:r>
    </w:p>
    <w:p w:rsidR="00170331" w:rsidRDefault="00557629">
      <w:pPr>
        <w:pBdr>
          <w:top w:val="nil"/>
          <w:left w:val="nil"/>
          <w:bottom w:val="nil"/>
          <w:right w:val="nil"/>
          <w:between w:val="nil"/>
          <w:bar w:val="nil"/>
        </w:pBdr>
        <w:spacing w:before="0" w:after="240"/>
        <w:rPr>
          <w:rFonts w:eastAsia="Arial Unicode MS"/>
          <w:noProof/>
        </w:rPr>
      </w:pPr>
      <w:r>
        <w:rPr>
          <w:noProof/>
        </w:rPr>
        <w:t>Nu se preconizează ca prezenta recomandare, care propune Consiliului să desemneze negociatorul Uniunii și să autorizeze Comis</w:t>
      </w:r>
      <w:r>
        <w:rPr>
          <w:noProof/>
        </w:rPr>
        <w:t>ia să deschidă negocieri cu Regatul Unit, să aibă implicații bugetare imediate în ceea ce privește procesul de negociere. Implicațiile bugetare ale acordului care va rezulta din negocierile menționate anterior, în temeiul articolului 50 din Tratatul privin</w:t>
      </w:r>
      <w:r>
        <w:rPr>
          <w:noProof/>
        </w:rPr>
        <w:t xml:space="preserve">d Uniunea Europeană, vor fi incluse în propunerile privind semnarea și încheierea acordului de retragere. </w:t>
      </w:r>
    </w:p>
    <w:p w:rsidR="00170331" w:rsidRDefault="00557629">
      <w:pPr>
        <w:pStyle w:val="ManualHeading1"/>
        <w:rPr>
          <w:noProof/>
        </w:rPr>
      </w:pPr>
      <w:r>
        <w:rPr>
          <w:noProof/>
        </w:rPr>
        <w:t>4.</w:t>
      </w:r>
      <w:r>
        <w:rPr>
          <w:noProof/>
        </w:rPr>
        <w:tab/>
        <w:t>ELEMENTE DIVERSE</w:t>
      </w:r>
    </w:p>
    <w:p w:rsidR="00170331" w:rsidRDefault="00557629">
      <w:pPr>
        <w:pStyle w:val="ManualHeading2"/>
        <w:rPr>
          <w:rFonts w:eastAsia="Arial Unicode MS"/>
          <w:noProof/>
          <w:u w:color="000000"/>
          <w:bdr w:val="nil"/>
        </w:rPr>
      </w:pPr>
      <w:r>
        <w:rPr>
          <w:noProof/>
        </w:rPr>
        <w:t>•</w:t>
      </w:r>
      <w:r>
        <w:rPr>
          <w:noProof/>
        </w:rPr>
        <w:tab/>
        <w:t>Explicații detaliate cu privire la prevederile specifice ale propunerii</w:t>
      </w:r>
    </w:p>
    <w:p w:rsidR="00170331" w:rsidRDefault="00557629">
      <w:pPr>
        <w:pBdr>
          <w:top w:val="nil"/>
          <w:left w:val="nil"/>
          <w:bottom w:val="nil"/>
          <w:right w:val="nil"/>
          <w:between w:val="nil"/>
          <w:bar w:val="nil"/>
        </w:pBdr>
        <w:spacing w:before="0" w:after="240"/>
        <w:rPr>
          <w:noProof/>
        </w:rPr>
      </w:pPr>
      <w:r>
        <w:rPr>
          <w:noProof/>
        </w:rPr>
        <w:t>La articolul 1 din recomandarea de decizie a Consiliulu</w:t>
      </w:r>
      <w:r>
        <w:rPr>
          <w:noProof/>
        </w:rPr>
        <w:t>i, Consiliul autorizează deschiderea de negocieri și desemnează Comisia drept negociator din partea Uniunii pentru acordul cu Regatul Unit de stabilire a condițiilor de retragere a acestui stat din Uniune și din Comunitatea Europeană a Energiei Atomice.</w:t>
      </w:r>
    </w:p>
    <w:p w:rsidR="00170331" w:rsidRDefault="00557629">
      <w:pPr>
        <w:pBdr>
          <w:top w:val="nil"/>
          <w:left w:val="nil"/>
          <w:bottom w:val="nil"/>
          <w:right w:val="nil"/>
          <w:between w:val="nil"/>
          <w:bar w:val="nil"/>
        </w:pBdr>
        <w:spacing w:before="0" w:after="240"/>
        <w:rPr>
          <w:noProof/>
        </w:rPr>
      </w:pPr>
      <w:r>
        <w:rPr>
          <w:noProof/>
        </w:rPr>
        <w:t>La</w:t>
      </w:r>
      <w:r>
        <w:rPr>
          <w:noProof/>
        </w:rPr>
        <w:t xml:space="preserve"> articolul 2 din recomandarea de decizie a Consiliului, Consiliul stabilește că negocierile se desfășoară în lumina orientărilor adoptate de Consiliul European și a directivelor de negociere care figurează în anexă.</w:t>
      </w:r>
    </w:p>
    <w:p w:rsidR="00170331" w:rsidRDefault="00557629">
      <w:pPr>
        <w:pBdr>
          <w:top w:val="nil"/>
          <w:left w:val="nil"/>
          <w:bottom w:val="nil"/>
          <w:right w:val="nil"/>
          <w:between w:val="nil"/>
          <w:bar w:val="nil"/>
        </w:pBdr>
        <w:spacing w:before="0" w:after="240"/>
        <w:rPr>
          <w:noProof/>
        </w:rPr>
      </w:pPr>
      <w:r>
        <w:rPr>
          <w:noProof/>
        </w:rPr>
        <w:t>Anexa la decizia Consiliului recomandată</w:t>
      </w:r>
      <w:r>
        <w:rPr>
          <w:noProof/>
        </w:rPr>
        <w:t xml:space="preserve"> stabilește directivele de negociere pentru următoarele chestiuni:</w:t>
      </w:r>
    </w:p>
    <w:p w:rsidR="00170331" w:rsidRDefault="00557629">
      <w:pPr>
        <w:pStyle w:val="Tiret0"/>
        <w:rPr>
          <w:noProof/>
        </w:rPr>
      </w:pPr>
      <w:r>
        <w:rPr>
          <w:noProof/>
        </w:rPr>
        <w:t>drepturile cetățenilor;</w:t>
      </w:r>
    </w:p>
    <w:p w:rsidR="00170331" w:rsidRDefault="00557629">
      <w:pPr>
        <w:pStyle w:val="Tiret0"/>
        <w:rPr>
          <w:noProof/>
        </w:rPr>
      </w:pPr>
      <w:r>
        <w:rPr>
          <w:noProof/>
        </w:rPr>
        <w:t>un acord financiar unic referitor la bugetul Uniunii și la încetarea statutului de membru pe care Regatul Unit îl are în instituțiile sau organele instituite prin tr</w:t>
      </w:r>
      <w:r>
        <w:rPr>
          <w:noProof/>
        </w:rPr>
        <w:t>atate, precum și cu privire la participarea Regatului Unit la facilități și fonduri specifice legate de politicile Uniunii;</w:t>
      </w:r>
    </w:p>
    <w:p w:rsidR="00170331" w:rsidRDefault="00557629">
      <w:pPr>
        <w:pStyle w:val="Tiret0"/>
        <w:rPr>
          <w:noProof/>
        </w:rPr>
      </w:pPr>
      <w:r>
        <w:rPr>
          <w:noProof/>
        </w:rPr>
        <w:t>dispoziții privind mărfurile introduse pe piață și proceduri în curs de desfășurare bazate pe dreptul Uniunii;</w:t>
      </w:r>
    </w:p>
    <w:p w:rsidR="00170331" w:rsidRDefault="00557629">
      <w:pPr>
        <w:pStyle w:val="Tiret0"/>
        <w:rPr>
          <w:noProof/>
        </w:rPr>
      </w:pPr>
      <w:r>
        <w:rPr>
          <w:noProof/>
        </w:rPr>
        <w:t>dispoziții privind al</w:t>
      </w:r>
      <w:r>
        <w:rPr>
          <w:noProof/>
        </w:rPr>
        <w:t>te aspecte administrative privind funcționarea Uniunii;</w:t>
      </w:r>
    </w:p>
    <w:p w:rsidR="00170331" w:rsidRDefault="00557629">
      <w:pPr>
        <w:pStyle w:val="Tiret0"/>
        <w:rPr>
          <w:noProof/>
        </w:rPr>
      </w:pPr>
      <w:r>
        <w:rPr>
          <w:noProof/>
        </w:rPr>
        <w:t>guvernanța acordului.</w:t>
      </w:r>
    </w:p>
    <w:p w:rsidR="00170331" w:rsidRDefault="00557629">
      <w:pPr>
        <w:pStyle w:val="ManualHeading2"/>
        <w:rPr>
          <w:noProof/>
        </w:rPr>
      </w:pPr>
      <w:r>
        <w:rPr>
          <w:noProof/>
        </w:rPr>
        <w:t>•</w:t>
      </w:r>
      <w:r>
        <w:rPr>
          <w:noProof/>
        </w:rPr>
        <w:tab/>
        <w:t>Publicarea deciziei și a directivelor de negociere care figurează în anexă</w:t>
      </w:r>
    </w:p>
    <w:p w:rsidR="00170331" w:rsidRDefault="00557629">
      <w:pPr>
        <w:pBdr>
          <w:top w:val="nil"/>
          <w:left w:val="nil"/>
          <w:bottom w:val="nil"/>
          <w:right w:val="nil"/>
          <w:between w:val="nil"/>
          <w:bar w:val="nil"/>
        </w:pBdr>
        <w:spacing w:before="0" w:after="240"/>
        <w:rPr>
          <w:noProof/>
        </w:rPr>
      </w:pPr>
      <w:r>
        <w:rPr>
          <w:noProof/>
        </w:rPr>
        <w:t>Comisia propune Consiliului să publice decizia de autorizare a deschiderii de negocieri în vederea în</w:t>
      </w:r>
      <w:r>
        <w:rPr>
          <w:noProof/>
        </w:rPr>
        <w:t>cheierii unui acord cu Regatul Unit al Marii Britanii și Irlandei de Nord de stabilire a condițiilor de retragere a acestui stat din Uniunea Europeană și de desemnare a Comisiei drept negociator din partea Uniunii, precum și directivele de negociere care f</w:t>
      </w:r>
      <w:r>
        <w:rPr>
          <w:noProof/>
        </w:rPr>
        <w:t>igurează în anexă.</w:t>
      </w:r>
    </w:p>
    <w:p w:rsidR="00170331" w:rsidRDefault="00170331">
      <w:pPr>
        <w:rPr>
          <w:noProof/>
        </w:rPr>
        <w:sectPr w:rsidR="00170331" w:rsidSect="00557629">
          <w:footerReference w:type="default" r:id="rId16"/>
          <w:footerReference w:type="first" r:id="rId17"/>
          <w:pgSz w:w="11907" w:h="16839"/>
          <w:pgMar w:top="1134" w:right="1417" w:bottom="1134" w:left="1417" w:header="709" w:footer="709" w:gutter="0"/>
          <w:cols w:space="708"/>
          <w:docGrid w:linePitch="360"/>
        </w:sectPr>
      </w:pPr>
    </w:p>
    <w:p w:rsidR="00170331" w:rsidRDefault="00557629" w:rsidP="00557629">
      <w:pPr>
        <w:pStyle w:val="Statut"/>
        <w:rPr>
          <w:noProof/>
        </w:rPr>
      </w:pPr>
      <w:r w:rsidRPr="00557629">
        <w:t>Recomandare de</w:t>
      </w:r>
    </w:p>
    <w:p w:rsidR="00170331" w:rsidRDefault="00557629" w:rsidP="00557629">
      <w:pPr>
        <w:pStyle w:val="Typedudocument"/>
        <w:rPr>
          <w:noProof/>
        </w:rPr>
      </w:pPr>
      <w:r w:rsidRPr="00557629">
        <w:t>DECIZIE A CONSILIULUI</w:t>
      </w:r>
    </w:p>
    <w:p w:rsidR="00170331" w:rsidRDefault="00557629" w:rsidP="00557629">
      <w:pPr>
        <w:pStyle w:val="Titreobjet"/>
        <w:rPr>
          <w:noProof/>
        </w:rPr>
      </w:pPr>
      <w:r w:rsidRPr="00557629">
        <w:t xml:space="preserve">de autorizare a Comisiei să deschidă negocieri în vederea încheierii unui acord cu Regatul Unit al Marii Britanii și Irlandei de Nord de stabilire a condițiilor de retragere a acestui stat din Uniunea Europeană </w:t>
      </w:r>
    </w:p>
    <w:p w:rsidR="00170331" w:rsidRDefault="00557629">
      <w:pPr>
        <w:pStyle w:val="Institutionquiagit"/>
        <w:rPr>
          <w:noProof/>
        </w:rPr>
      </w:pPr>
      <w:r>
        <w:rPr>
          <w:noProof/>
        </w:rPr>
        <w:t>CONSILIUL UNIUNII EUROPENE,</w:t>
      </w:r>
    </w:p>
    <w:p w:rsidR="00170331" w:rsidRDefault="00557629">
      <w:pPr>
        <w:rPr>
          <w:noProof/>
        </w:rPr>
      </w:pPr>
      <w:r>
        <w:rPr>
          <w:noProof/>
        </w:rPr>
        <w:t xml:space="preserve">având în vedere </w:t>
      </w:r>
      <w:r>
        <w:rPr>
          <w:noProof/>
        </w:rPr>
        <w:t>tratatele și în special articolul 50 din Tratatul privind Uniunea Europeană, coroborat cu articolul 218 alineatul (3) din Tratatul privind funcționarea Uniunii Europene,</w:t>
      </w:r>
    </w:p>
    <w:p w:rsidR="00170331" w:rsidRDefault="00557629">
      <w:pPr>
        <w:rPr>
          <w:noProof/>
        </w:rPr>
      </w:pPr>
      <w:r>
        <w:rPr>
          <w:noProof/>
        </w:rPr>
        <w:t>având în vedere orientările Consiliului European din 29 aprilie 2017,</w:t>
      </w:r>
    </w:p>
    <w:p w:rsidR="00170331" w:rsidRDefault="00557629">
      <w:pPr>
        <w:rPr>
          <w:noProof/>
        </w:rPr>
      </w:pPr>
      <w:r>
        <w:rPr>
          <w:noProof/>
        </w:rPr>
        <w:t xml:space="preserve">având în vedere </w:t>
      </w:r>
      <w:r>
        <w:rPr>
          <w:noProof/>
        </w:rPr>
        <w:t>recomandarea Comisiei Europene,</w:t>
      </w:r>
    </w:p>
    <w:p w:rsidR="00170331" w:rsidRDefault="00557629">
      <w:pPr>
        <w:rPr>
          <w:noProof/>
        </w:rPr>
      </w:pPr>
      <w:r>
        <w:rPr>
          <w:noProof/>
        </w:rPr>
        <w:t>întrucât:</w:t>
      </w:r>
    </w:p>
    <w:p w:rsidR="00170331" w:rsidRDefault="00557629">
      <w:pPr>
        <w:pStyle w:val="ManualConsidrant"/>
        <w:rPr>
          <w:noProof/>
        </w:rPr>
      </w:pPr>
      <w:r>
        <w:t>(1)</w:t>
      </w:r>
      <w:r>
        <w:tab/>
      </w:r>
      <w:r>
        <w:rPr>
          <w:noProof/>
        </w:rPr>
        <w:t>La 29 martie 2017, Regatul Unit al Marii Britanii și Irlandei de Nord a notificat Consiliului European intenția sa de a se retrage din Uniunea Europeană.</w:t>
      </w:r>
    </w:p>
    <w:p w:rsidR="00170331" w:rsidRDefault="00557629">
      <w:pPr>
        <w:pStyle w:val="ManualConsidrant"/>
        <w:rPr>
          <w:noProof/>
        </w:rPr>
      </w:pPr>
      <w:r>
        <w:t>(2)</w:t>
      </w:r>
      <w:r>
        <w:tab/>
      </w:r>
      <w:r>
        <w:rPr>
          <w:noProof/>
        </w:rPr>
        <w:t>La 29 aprilie 2017, Consiliul Uniunii Europene a ado</w:t>
      </w:r>
      <w:r>
        <w:rPr>
          <w:noProof/>
        </w:rPr>
        <w:t>ptat orientări care definesc cadrul negocierilor ce se vor derula în temeiul articolului 50 din Tratatul privind Uniunea Europeană și stabilesc principiile generale de care Uniunea va ține seama pe toată durata negocierilor.</w:t>
      </w:r>
    </w:p>
    <w:p w:rsidR="00170331" w:rsidRDefault="00557629">
      <w:pPr>
        <w:pStyle w:val="ManualConsidrant"/>
        <w:rPr>
          <w:noProof/>
        </w:rPr>
      </w:pPr>
      <w:r>
        <w:t>(3)</w:t>
      </w:r>
      <w:r>
        <w:tab/>
      </w:r>
      <w:r>
        <w:rPr>
          <w:noProof/>
        </w:rPr>
        <w:t>În baza orientărilor Consil</w:t>
      </w:r>
      <w:r>
        <w:rPr>
          <w:noProof/>
        </w:rPr>
        <w:t>iului European, Uniunea ar trebui să negocieze și să încheie un acord cu Regatul Unit care să stabilească condițiile de retragere a acestui stat, ținând seama de cadrul viitoarelor sale relații cu Uniunea (denumit în continuare „acordul de retragere”).</w:t>
      </w:r>
    </w:p>
    <w:p w:rsidR="00170331" w:rsidRDefault="00557629">
      <w:pPr>
        <w:pStyle w:val="ManualConsidrant"/>
        <w:rPr>
          <w:noProof/>
        </w:rPr>
      </w:pPr>
      <w:r>
        <w:t>(4)</w:t>
      </w:r>
      <w:r>
        <w:tab/>
      </w:r>
      <w:r>
        <w:rPr>
          <w:noProof/>
        </w:rPr>
        <w:t xml:space="preserve">Tratatele vor înceta să se aplice Regatului Unit de la data intrării în vigoare a acordului de retragere sau, în cazul în care nu se va ajunge la un acord, în termen de doi ani de la notificare, cu excepția cazului în care Consiliul European, în acord cu </w:t>
      </w:r>
      <w:r>
        <w:rPr>
          <w:noProof/>
        </w:rPr>
        <w:t xml:space="preserve">Regatul Unit, hotărăște în unanimitate să proroge acest termen. </w:t>
      </w:r>
    </w:p>
    <w:p w:rsidR="00170331" w:rsidRDefault="00557629">
      <w:pPr>
        <w:pStyle w:val="ManualConsidrant"/>
        <w:rPr>
          <w:noProof/>
        </w:rPr>
      </w:pPr>
      <w:r>
        <w:t>(5)</w:t>
      </w:r>
      <w:r>
        <w:tab/>
      </w:r>
      <w:r>
        <w:rPr>
          <w:noProof/>
        </w:rPr>
        <w:t>Negocierile ar trebui, prin urmare, să se deschidă imediat în vederea încheierii unui acord de retragere.</w:t>
      </w:r>
    </w:p>
    <w:p w:rsidR="00170331" w:rsidRDefault="00557629">
      <w:pPr>
        <w:pStyle w:val="ManualConsidrant"/>
        <w:rPr>
          <w:noProof/>
        </w:rPr>
      </w:pPr>
      <w:r>
        <w:t>(6)</w:t>
      </w:r>
      <w:r>
        <w:tab/>
      </w:r>
      <w:r>
        <w:rPr>
          <w:noProof/>
        </w:rPr>
        <w:t>La data de 5 aprilie 2017, Parlamentul European a adoptat o rezoluție, în car</w:t>
      </w:r>
      <w:r>
        <w:rPr>
          <w:noProof/>
        </w:rPr>
        <w:t>e și-a exprimat poziția privind negocierile de retragere.</w:t>
      </w:r>
    </w:p>
    <w:p w:rsidR="00170331" w:rsidRDefault="00557629">
      <w:pPr>
        <w:pStyle w:val="ManualConsidrant"/>
        <w:rPr>
          <w:noProof/>
        </w:rPr>
      </w:pPr>
      <w:r>
        <w:t>(7)</w:t>
      </w:r>
      <w:r>
        <w:tab/>
      </w:r>
      <w:r>
        <w:rPr>
          <w:noProof/>
        </w:rPr>
        <w:t>Comisia ar trebui să fie autorizată să deschidă negocieri în vederea încheierii unui acord de retragere și ar trebui să fie desemnată drept negociator din partea Uniunii.</w:t>
      </w:r>
    </w:p>
    <w:p w:rsidR="00170331" w:rsidRDefault="00557629">
      <w:pPr>
        <w:pStyle w:val="ManualConsidrant"/>
        <w:rPr>
          <w:noProof/>
        </w:rPr>
      </w:pPr>
      <w:r>
        <w:t>(8)</w:t>
      </w:r>
      <w:r>
        <w:tab/>
      </w:r>
      <w:r>
        <w:rPr>
          <w:noProof/>
        </w:rPr>
        <w:t xml:space="preserve">În conformitate cu </w:t>
      </w:r>
      <w:r>
        <w:rPr>
          <w:noProof/>
        </w:rPr>
        <w:t xml:space="preserve">articolul 106a din Tratatul de instituire a Comunității Europene a Energiei Atomice, articolul 50 din Tratatul privind Uniunea Europeană se aplică Comunității Europene a Energiei Atomice, </w:t>
      </w:r>
    </w:p>
    <w:p w:rsidR="00170331" w:rsidRDefault="00557629">
      <w:pPr>
        <w:pStyle w:val="Formuledadoption"/>
        <w:rPr>
          <w:noProof/>
        </w:rPr>
      </w:pPr>
      <w:r>
        <w:rPr>
          <w:noProof/>
        </w:rPr>
        <w:t xml:space="preserve">ADOPTĂ PREZENTA DECIZIE: </w:t>
      </w:r>
    </w:p>
    <w:p w:rsidR="00170331" w:rsidRDefault="00557629">
      <w:pPr>
        <w:pStyle w:val="Titrearticle"/>
        <w:rPr>
          <w:noProof/>
        </w:rPr>
      </w:pPr>
      <w:r>
        <w:rPr>
          <w:noProof/>
        </w:rPr>
        <w:t xml:space="preserve">Articolul 1 </w:t>
      </w:r>
    </w:p>
    <w:p w:rsidR="00170331" w:rsidRDefault="00557629">
      <w:pPr>
        <w:rPr>
          <w:noProof/>
        </w:rPr>
      </w:pPr>
      <w:r>
        <w:rPr>
          <w:noProof/>
        </w:rPr>
        <w:t>Comisia este autorizată să d</w:t>
      </w:r>
      <w:r>
        <w:rPr>
          <w:noProof/>
        </w:rPr>
        <w:t>eschidă negocieri, în numele Uniunii, în vederea încheierii unui acord cu Regatul Unit al Marii Britanii și Irlandei de Nord de stabilire a condițiilor de retragere a acestui stat din Uniunea Europeană și din Comunitatea Europeană a Energiei Atomice, ținân</w:t>
      </w:r>
      <w:r>
        <w:rPr>
          <w:noProof/>
        </w:rPr>
        <w:t>d seama de cadrul viitoarelor sale relații cu Uniunea și este desemnată drept negociator din partea Uniunii.</w:t>
      </w:r>
    </w:p>
    <w:p w:rsidR="00170331" w:rsidRDefault="00557629">
      <w:pPr>
        <w:pStyle w:val="Titrearticle"/>
        <w:rPr>
          <w:noProof/>
        </w:rPr>
      </w:pPr>
      <w:r>
        <w:rPr>
          <w:noProof/>
        </w:rPr>
        <w:t xml:space="preserve">Articolul 2 </w:t>
      </w:r>
    </w:p>
    <w:p w:rsidR="00170331" w:rsidRDefault="00557629">
      <w:pPr>
        <w:rPr>
          <w:rFonts w:eastAsia="Arial Unicode MS"/>
          <w:noProof/>
        </w:rPr>
      </w:pPr>
      <w:r>
        <w:rPr>
          <w:noProof/>
        </w:rPr>
        <w:t>Negocierile se desfășoară în lumina orientărilor adoptate de Consiliul European și în conformitate cu directivele de negociere prevăzu</w:t>
      </w:r>
      <w:r>
        <w:rPr>
          <w:noProof/>
        </w:rPr>
        <w:t>te în anexă.</w:t>
      </w:r>
    </w:p>
    <w:p w:rsidR="00170331" w:rsidRDefault="00557629">
      <w:pPr>
        <w:pStyle w:val="Titrearticle"/>
        <w:rPr>
          <w:noProof/>
        </w:rPr>
      </w:pPr>
      <w:r>
        <w:rPr>
          <w:noProof/>
        </w:rPr>
        <w:t>Articolul 3</w:t>
      </w:r>
    </w:p>
    <w:p w:rsidR="00170331" w:rsidRDefault="00557629">
      <w:pPr>
        <w:rPr>
          <w:noProof/>
        </w:rPr>
      </w:pPr>
      <w:r>
        <w:rPr>
          <w:noProof/>
        </w:rPr>
        <w:t>Prezenta decizie se adresează Comisiei.</w:t>
      </w:r>
    </w:p>
    <w:p w:rsidR="00170331" w:rsidRDefault="00557629" w:rsidP="00557629">
      <w:pPr>
        <w:pStyle w:val="Fait"/>
        <w:rPr>
          <w:noProof/>
        </w:rPr>
      </w:pPr>
      <w:bookmarkStart w:id="1" w:name="_CopyToNewDocument_"/>
      <w:bookmarkEnd w:id="1"/>
      <w:r w:rsidRPr="00557629">
        <w:t>Adoptată la Bruxelles,</w:t>
      </w:r>
    </w:p>
    <w:p w:rsidR="00170331" w:rsidRDefault="00557629">
      <w:pPr>
        <w:pStyle w:val="Institutionquisigne"/>
        <w:rPr>
          <w:noProof/>
        </w:rPr>
      </w:pPr>
      <w:r>
        <w:rPr>
          <w:noProof/>
        </w:rPr>
        <w:tab/>
        <w:t>Pentru Consiliu,</w:t>
      </w:r>
    </w:p>
    <w:p w:rsidR="00170331" w:rsidRDefault="00557629">
      <w:pPr>
        <w:pStyle w:val="Personnequisigne"/>
        <w:rPr>
          <w:noProof/>
        </w:rPr>
      </w:pPr>
      <w:r>
        <w:rPr>
          <w:noProof/>
        </w:rPr>
        <w:tab/>
        <w:t>Președintele</w:t>
      </w:r>
    </w:p>
    <w:sectPr w:rsidR="00170331" w:rsidSect="0055762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331" w:rsidRDefault="00557629">
      <w:pPr>
        <w:spacing w:before="0" w:after="0"/>
      </w:pPr>
      <w:r>
        <w:separator/>
      </w:r>
    </w:p>
  </w:endnote>
  <w:endnote w:type="continuationSeparator" w:id="0">
    <w:p w:rsidR="00170331" w:rsidRDefault="00557629">
      <w:pPr>
        <w:spacing w:before="0" w:after="0"/>
      </w:pPr>
      <w:r>
        <w:continuationSeparator/>
      </w:r>
    </w:p>
  </w:endnote>
  <w:endnote w:type="continuationNotice" w:id="1">
    <w:p w:rsidR="00170331" w:rsidRDefault="0017033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Footer"/>
      <w:rPr>
        <w:rFonts w:ascii="Arial" w:hAnsi="Arial" w:cs="Arial"/>
        <w:b/>
        <w:sz w:val="48"/>
      </w:rPr>
    </w:pPr>
    <w:r w:rsidRPr="00557629">
      <w:rPr>
        <w:rFonts w:ascii="Arial" w:hAnsi="Arial" w:cs="Arial"/>
        <w:b/>
        <w:sz w:val="48"/>
      </w:rPr>
      <w:t>RO</w:t>
    </w:r>
    <w:r w:rsidRPr="00557629">
      <w:rPr>
        <w:rFonts w:ascii="Arial" w:hAnsi="Arial" w:cs="Arial"/>
        <w:b/>
        <w:sz w:val="48"/>
      </w:rPr>
      <w:tab/>
    </w:r>
    <w:r w:rsidRPr="00557629">
      <w:rPr>
        <w:rFonts w:ascii="Arial" w:hAnsi="Arial" w:cs="Arial"/>
        <w:b/>
        <w:sz w:val="48"/>
      </w:rPr>
      <w:tab/>
    </w:r>
    <w:fldSimple w:instr=" DOCVARIABLE &quot;LW_Confidence&quot; \* MERGEFORMAT ">
      <w:r>
        <w:t xml:space="preserve"> </w:t>
      </w:r>
    </w:fldSimple>
    <w:r w:rsidRPr="00557629">
      <w:tab/>
    </w:r>
    <w:r w:rsidRPr="00557629">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Footer"/>
      <w:rPr>
        <w:rFonts w:ascii="Arial" w:hAnsi="Arial" w:cs="Arial"/>
        <w:b/>
        <w:sz w:val="48"/>
      </w:rPr>
    </w:pPr>
    <w:r w:rsidRPr="00557629">
      <w:rPr>
        <w:rFonts w:ascii="Arial" w:hAnsi="Arial" w:cs="Arial"/>
        <w:b/>
        <w:sz w:val="48"/>
      </w:rPr>
      <w:t>RO</w:t>
    </w:r>
    <w:r w:rsidRPr="00557629">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557629">
      <w:tab/>
    </w:r>
    <w:r w:rsidRPr="00557629">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331" w:rsidRDefault="00557629">
      <w:pPr>
        <w:spacing w:before="0" w:after="0"/>
      </w:pPr>
      <w:r>
        <w:separator/>
      </w:r>
    </w:p>
  </w:footnote>
  <w:footnote w:type="continuationSeparator" w:id="0">
    <w:p w:rsidR="00170331" w:rsidRDefault="00557629">
      <w:pPr>
        <w:spacing w:before="0" w:after="0"/>
      </w:pPr>
      <w:r>
        <w:continuationSeparator/>
      </w:r>
    </w:p>
  </w:footnote>
  <w:footnote w:type="continuationNotice" w:id="1">
    <w:p w:rsidR="00170331" w:rsidRDefault="00170331">
      <w:pPr>
        <w:spacing w:before="0" w:after="0"/>
      </w:pPr>
    </w:p>
  </w:footnote>
  <w:footnote w:id="2">
    <w:p w:rsidR="00170331" w:rsidRDefault="00557629">
      <w:pPr>
        <w:pStyle w:val="FootnoteText"/>
      </w:pPr>
      <w:r>
        <w:rPr>
          <w:rStyle w:val="FootnoteReference"/>
        </w:rPr>
        <w:footnoteRef/>
      </w:r>
      <w:r>
        <w:tab/>
        <w:t>Enumerate în ultimele douăsprezece liniuțe din anexa II la Tratatul privind funcționarea Uniunii Europene.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29" w:rsidRPr="00557629" w:rsidRDefault="00557629" w:rsidP="005576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25EAA3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E82FE3C"/>
    <w:lvl w:ilvl="0">
      <w:start w:val="1"/>
      <w:numFmt w:val="decimal"/>
      <w:pStyle w:val="ListNumber3"/>
      <w:lvlText w:val="%1."/>
      <w:lvlJc w:val="left"/>
      <w:pPr>
        <w:tabs>
          <w:tab w:val="num" w:pos="926"/>
        </w:tabs>
        <w:ind w:left="926" w:hanging="360"/>
      </w:pPr>
    </w:lvl>
  </w:abstractNum>
  <w:abstractNum w:abstractNumId="2">
    <w:nsid w:val="FFFFFF7F"/>
    <w:multiLevelType w:val="singleLevel"/>
    <w:tmpl w:val="10029064"/>
    <w:lvl w:ilvl="0">
      <w:start w:val="1"/>
      <w:numFmt w:val="decimal"/>
      <w:pStyle w:val="ListNumber2"/>
      <w:lvlText w:val="%1."/>
      <w:lvlJc w:val="left"/>
      <w:pPr>
        <w:tabs>
          <w:tab w:val="num" w:pos="643"/>
        </w:tabs>
        <w:ind w:left="643" w:hanging="360"/>
      </w:pPr>
    </w:lvl>
  </w:abstractNum>
  <w:abstractNum w:abstractNumId="3">
    <w:nsid w:val="FFFFFF81"/>
    <w:multiLevelType w:val="singleLevel"/>
    <w:tmpl w:val="557A8E7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366A39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E88E0D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9B6D67C"/>
    <w:lvl w:ilvl="0">
      <w:start w:val="1"/>
      <w:numFmt w:val="decimal"/>
      <w:pStyle w:val="ListNumber"/>
      <w:lvlText w:val="%1."/>
      <w:lvlJc w:val="left"/>
      <w:pPr>
        <w:tabs>
          <w:tab w:val="num" w:pos="360"/>
        </w:tabs>
        <w:ind w:left="360" w:hanging="360"/>
      </w:pPr>
    </w:lvl>
  </w:abstractNum>
  <w:abstractNum w:abstractNumId="7">
    <w:nsid w:val="FFFFFF89"/>
    <w:multiLevelType w:val="singleLevel"/>
    <w:tmpl w:val="A89AA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hideSpellingErrors/>
  <w:hideGrammaticalErrors/>
  <w:proofState w:spelling="clean" w:grammar="clean"/>
  <w:attachedTemplate r:id="rId1"/>
  <w:defaultTabStop w:val="720"/>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5-03 10:36:0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C348FAFFE787453BAFE659303BD1D07E"/>
    <w:docVar w:name="LW_CROSSREFERENCE" w:val="&lt;UNUSED&gt;"/>
    <w:docVar w:name="LW_DocType" w:val="COM"/>
    <w:docVar w:name="LW_EMISSION" w:val="3.5.2017"/>
    <w:docVar w:name="LW_EMISSION_ISODATE" w:val="2017-05-03"/>
    <w:docVar w:name="LW_EMISSION_LOCATION" w:val="BRX"/>
    <w:docVar w:name="LW_EMISSION_PREFIX" w:val="Bruxelles, "/>
    <w:docVar w:name="LW_EMISSION_SUFFIX" w:val=" "/>
    <w:docVar w:name="LW_ID_DOCMODEL" w:val="SG-001"/>
    <w:docVar w:name="LW_ID_DOCSIGNATURE" w:val="SG-001"/>
    <w:docVar w:name="LW_ID_DOCSTRUCTURE" w:val="COM/PL/ORG"/>
    <w:docVar w:name="LW_ID_DOCTYPE" w:val="SG-001"/>
    <w:docVar w:name="LW_ID_STATUT" w:val="SG-001"/>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18"/>
    <w:docVar w:name="LW_REF.INTERNE" w:val="&lt;UNUSED&gt;"/>
    <w:docVar w:name="LW_SOUS.TITRE.OBJ.CP" w:val="&lt;UNUSED&gt;"/>
    <w:docVar w:name="LW_STATUT.CP" w:val="Recomandare de"/>
    <w:docVar w:name="LW_SUPERTITRE" w:val="&lt;UNUSED&gt;"/>
    <w:docVar w:name="LW_TITRE.OBJ.CP" w:val="de autorizare a Comisiei s\u259? deschid\u259? negocieri în vederea încheierii unui acord cu Regatul Unit al Marii Britanii \u537?i Irlandei de Nord de stabilire a condi\u539?iilor de retragere a acestui stat din Uniunea European\u259? "/>
    <w:docVar w:name="LW_TYPE.DOC.CP" w:val="DECIZIE A CONSILIULUI"/>
  </w:docVars>
  <w:rsids>
    <w:rsidRoot w:val="00170331"/>
    <w:rsid w:val="00170331"/>
    <w:rsid w:val="00557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rsid w:val="00557629"/>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55762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557629"/>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Header">
    <w:name w:val="header"/>
    <w:basedOn w:val="Normal"/>
    <w:link w:val="HeaderChar"/>
    <w:uiPriority w:val="99"/>
    <w:unhideWhenUsed/>
    <w:rsid w:val="00557629"/>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55762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557629"/>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C6C06-52A2-43F6-9DEE-C76ED68C5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7</Pages>
  <Words>2135</Words>
  <Characters>12495</Characters>
  <Application>Microsoft Office Word</Application>
  <DocSecurity>0</DocSecurity>
  <Lines>204</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18</cp:revision>
  <cp:lastPrinted>2017-04-27T14:27:00Z</cp:lastPrinted>
  <dcterms:created xsi:type="dcterms:W3CDTF">2017-05-03T07:27:00Z</dcterms:created>
  <dcterms:modified xsi:type="dcterms:W3CDTF">2017-05-03T08:41:00Z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SG-001</vt:lpwstr>
  </property>
  <property fmtid="{D5CDD505-2E9C-101B-9397-08002B2CF9AE}" pid="10" name="DQCStatus">
    <vt:lpwstr>Yellow (DQC version 03)</vt:lpwstr>
  </property>
</Properties>
</file>