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6281" w:rsidRDefault="00F3670C">
      <w:pPr>
        <w:pStyle w:val="Pagedecouverture"/>
        <w:rPr>
          <w:noProof/>
        </w:rPr>
      </w:pPr>
      <w:bookmarkStart w:id="0" w:name="LW_BM_COVERPAGE"/>
      <w:bookmarkStart w:id="1" w:name="_GoBack"/>
      <w:bookmarkEnd w:id="1"/>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D10B145F7DF543E58BBA348899DD19E9" style="width:450.4pt;height:347.45pt">
            <v:imagedata r:id="rId12" o:title=""/>
          </v:shape>
        </w:pict>
      </w:r>
    </w:p>
    <w:bookmarkEnd w:id="0"/>
    <w:p w:rsidR="00856281" w:rsidRDefault="00856281">
      <w:pPr>
        <w:rPr>
          <w:noProof/>
        </w:rPr>
        <w:sectPr w:rsidR="00856281">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1"/>
          <w:cols w:space="720"/>
          <w:docGrid w:linePitch="360"/>
        </w:sectPr>
      </w:pPr>
    </w:p>
    <w:p w:rsidR="00856281" w:rsidRDefault="00F3670C">
      <w:pPr>
        <w:numPr>
          <w:ilvl w:val="0"/>
          <w:numId w:val="1"/>
        </w:numPr>
        <w:spacing w:before="240" w:after="240" w:line="240" w:lineRule="auto"/>
        <w:ind w:left="357" w:hanging="357"/>
        <w:contextualSpacing/>
        <w:jc w:val="both"/>
        <w:rPr>
          <w:rFonts w:ascii="Times New Roman" w:eastAsia="Calibri" w:hAnsi="Times New Roman" w:cs="Times New Roman"/>
          <w:b/>
          <w:noProof/>
          <w:sz w:val="24"/>
          <w:szCs w:val="24"/>
        </w:rPr>
      </w:pPr>
      <w:r>
        <w:rPr>
          <w:rFonts w:ascii="Times New Roman" w:hAnsi="Times New Roman"/>
          <w:b/>
          <w:noProof/>
          <w:sz w:val="24"/>
        </w:rPr>
        <w:lastRenderedPageBreak/>
        <w:t>Introduction</w:t>
      </w:r>
    </w:p>
    <w:p w:rsidR="00856281" w:rsidRDefault="00856281">
      <w:pPr>
        <w:spacing w:before="240" w:after="240" w:line="240" w:lineRule="auto"/>
        <w:ind w:left="357"/>
        <w:contextualSpacing/>
        <w:jc w:val="both"/>
        <w:rPr>
          <w:rFonts w:ascii="Times New Roman" w:eastAsia="Calibri" w:hAnsi="Times New Roman" w:cs="Times New Roman"/>
          <w:b/>
          <w:noProof/>
          <w:sz w:val="24"/>
          <w:szCs w:val="24"/>
        </w:rPr>
      </w:pPr>
    </w:p>
    <w:p w:rsidR="00856281" w:rsidRDefault="00F3670C">
      <w:pPr>
        <w:spacing w:before="100" w:beforeAutospacing="1" w:after="100" w:afterAutospacing="1" w:line="240" w:lineRule="auto"/>
        <w:jc w:val="both"/>
        <w:rPr>
          <w:rFonts w:ascii="Times New Roman" w:eastAsia="Times New Roman" w:hAnsi="Times New Roman" w:cs="Times New Roman"/>
          <w:noProof/>
          <w:sz w:val="24"/>
          <w:szCs w:val="24"/>
          <w:lang w:val="fr-FR"/>
        </w:rPr>
      </w:pPr>
      <w:r>
        <w:rPr>
          <w:rFonts w:ascii="Times New Roman" w:hAnsi="Times New Roman"/>
          <w:b/>
          <w:noProof/>
          <w:sz w:val="24"/>
          <w:lang w:val="fr-FR"/>
        </w:rPr>
        <w:t xml:space="preserve">Investir dans les ressources humaines, et dans les jeunes en particulier, est une priorité essentielle pour l’Europe. </w:t>
      </w:r>
      <w:r>
        <w:rPr>
          <w:rFonts w:ascii="Times New Roman" w:hAnsi="Times New Roman"/>
          <w:noProof/>
          <w:sz w:val="24"/>
          <w:lang w:val="fr-FR"/>
        </w:rPr>
        <w:t>En décembre 2016, la Commission européenne a présenté des initiatives sur le thème «Investir dans la jeunesse de l’Europe»</w:t>
      </w:r>
      <w:r>
        <w:rPr>
          <w:rStyle w:val="FootnoteReference"/>
          <w:rFonts w:ascii="Times New Roman" w:hAnsi="Times New Roman"/>
          <w:noProof/>
          <w:sz w:val="24"/>
        </w:rPr>
        <w:footnoteReference w:id="2"/>
      </w:r>
      <w:r>
        <w:rPr>
          <w:rFonts w:ascii="Times New Roman" w:hAnsi="Times New Roman"/>
          <w:noProof/>
          <w:sz w:val="24"/>
          <w:lang w:val="fr-FR"/>
        </w:rPr>
        <w:t>, mettant en ex</w:t>
      </w:r>
      <w:r>
        <w:rPr>
          <w:rFonts w:ascii="Times New Roman" w:hAnsi="Times New Roman"/>
          <w:noProof/>
          <w:sz w:val="24"/>
          <w:lang w:val="fr-FR"/>
        </w:rPr>
        <w:t xml:space="preserve">ergue l’importance d’ouvrir de </w:t>
      </w:r>
      <w:r>
        <w:rPr>
          <w:rFonts w:ascii="Times New Roman" w:hAnsi="Times New Roman"/>
          <w:i/>
          <w:noProof/>
          <w:sz w:val="24"/>
          <w:lang w:val="fr-FR"/>
        </w:rPr>
        <w:t>nouvelles perspectives pour les jeunes</w:t>
      </w:r>
      <w:r>
        <w:rPr>
          <w:rFonts w:ascii="Times New Roman" w:hAnsi="Times New Roman"/>
          <w:noProof/>
          <w:sz w:val="24"/>
          <w:lang w:val="fr-FR"/>
        </w:rPr>
        <w:t>. Un message clé est que la qualité de l’enseignement est déterminante pour les perspectives des jeunes et leurs chances de réussir dans la vie. Cette initiative s’appuie sur la «Nouvelle</w:t>
      </w:r>
      <w:r>
        <w:rPr>
          <w:rFonts w:ascii="Times New Roman" w:hAnsi="Times New Roman"/>
          <w:noProof/>
          <w:sz w:val="24"/>
          <w:lang w:val="fr-FR"/>
        </w:rPr>
        <w:t xml:space="preserve"> stratégie en matière de compétences pour l’Europe»</w:t>
      </w:r>
      <w:r>
        <w:rPr>
          <w:rFonts w:ascii="Times New Roman" w:hAnsi="Times New Roman"/>
          <w:noProof/>
          <w:sz w:val="24"/>
          <w:vertAlign w:val="superscript"/>
        </w:rPr>
        <w:footnoteReference w:id="3"/>
      </w:r>
      <w:r>
        <w:rPr>
          <w:rFonts w:ascii="Times New Roman" w:hAnsi="Times New Roman"/>
          <w:noProof/>
          <w:sz w:val="24"/>
          <w:lang w:val="fr-FR"/>
        </w:rPr>
        <w:t>. L’enseignement joue également un rôle fondamental dans le socle européen des droits sociaux</w:t>
      </w:r>
      <w:r>
        <w:rPr>
          <w:rFonts w:ascii="Times New Roman" w:hAnsi="Times New Roman"/>
          <w:noProof/>
          <w:sz w:val="24"/>
          <w:vertAlign w:val="superscript"/>
        </w:rPr>
        <w:footnoteReference w:id="4"/>
      </w:r>
      <w:r>
        <w:rPr>
          <w:rFonts w:ascii="Times New Roman" w:hAnsi="Times New Roman"/>
          <w:noProof/>
          <w:sz w:val="24"/>
          <w:lang w:val="fr-FR"/>
        </w:rPr>
        <w:t>. La présente communication fait partie d’un ensemble d’initiatives concernant les écoles, l’enseignement supé</w:t>
      </w:r>
      <w:r>
        <w:rPr>
          <w:rFonts w:ascii="Times New Roman" w:hAnsi="Times New Roman"/>
          <w:noProof/>
          <w:sz w:val="24"/>
          <w:lang w:val="fr-FR"/>
        </w:rPr>
        <w:t>rieur et le suivi des diplômés, et donne suite aux conclusions du Conseil européen de décembre 2016</w:t>
      </w:r>
      <w:r>
        <w:rPr>
          <w:rFonts w:ascii="Times New Roman" w:hAnsi="Times New Roman"/>
          <w:noProof/>
          <w:sz w:val="24"/>
          <w:vertAlign w:val="superscript"/>
        </w:rPr>
        <w:footnoteReference w:id="5"/>
      </w:r>
      <w:r>
        <w:rPr>
          <w:rFonts w:ascii="Times New Roman" w:hAnsi="Times New Roman"/>
          <w:noProof/>
          <w:sz w:val="24"/>
          <w:lang w:val="fr-FR"/>
        </w:rPr>
        <w:t>. Elle contribue à la réalisation de l’objectif de développement durable nº 4 des Nations unies concernant l’éducation</w:t>
      </w:r>
      <w:r>
        <w:rPr>
          <w:rFonts w:ascii="Times New Roman" w:hAnsi="Times New Roman"/>
          <w:noProof/>
          <w:sz w:val="24"/>
          <w:vertAlign w:val="superscript"/>
        </w:rPr>
        <w:footnoteReference w:id="6"/>
      </w:r>
      <w:r>
        <w:rPr>
          <w:rFonts w:ascii="Times New Roman" w:hAnsi="Times New Roman"/>
          <w:noProof/>
          <w:sz w:val="24"/>
          <w:lang w:val="fr-FR"/>
        </w:rPr>
        <w:t>.</w:t>
      </w:r>
    </w:p>
    <w:p w:rsidR="00856281" w:rsidRDefault="00F3670C">
      <w:pPr>
        <w:spacing w:before="100" w:beforeAutospacing="1" w:after="100" w:afterAutospacing="1" w:line="240" w:lineRule="auto"/>
        <w:jc w:val="both"/>
        <w:rPr>
          <w:rFonts w:ascii="Times New Roman" w:eastAsia="Times New Roman" w:hAnsi="Times New Roman" w:cs="Times New Roman"/>
          <w:noProof/>
          <w:sz w:val="24"/>
          <w:szCs w:val="24"/>
          <w:lang w:val="fr-FR"/>
        </w:rPr>
      </w:pPr>
      <w:r>
        <w:rPr>
          <w:rFonts w:ascii="Times New Roman" w:hAnsi="Times New Roman"/>
          <w:b/>
          <w:noProof/>
          <w:sz w:val="24"/>
          <w:lang w:val="fr-FR"/>
        </w:rPr>
        <w:t>Un enseignement de qualité pour tou</w:t>
      </w:r>
      <w:r>
        <w:rPr>
          <w:rFonts w:ascii="Times New Roman" w:hAnsi="Times New Roman"/>
          <w:b/>
          <w:noProof/>
          <w:sz w:val="24"/>
          <w:lang w:val="fr-FR"/>
        </w:rPr>
        <w:t xml:space="preserve">s aidera l’Europe à atteindre ses objectifs économiques et sociaux. </w:t>
      </w:r>
      <w:r>
        <w:rPr>
          <w:rFonts w:ascii="Times New Roman" w:hAnsi="Times New Roman"/>
          <w:noProof/>
          <w:sz w:val="24"/>
          <w:lang w:val="fr-FR"/>
        </w:rPr>
        <w:t>Un bon enseignement est la base de sociétés inclusives et résilientes. C’est le point de départ d’une carrière professionnelle réussie et la meilleure protection contre le chômage et la pa</w:t>
      </w:r>
      <w:r>
        <w:rPr>
          <w:rFonts w:ascii="Times New Roman" w:hAnsi="Times New Roman"/>
          <w:noProof/>
          <w:sz w:val="24"/>
          <w:lang w:val="fr-FR"/>
        </w:rPr>
        <w:t xml:space="preserve">uvreté. Il favorise le développement personnel et jette les bases d’une citoyenneté active. Un bon enseignement stimule la R&amp;D, l’innovation et la compétitivité. Toutefois, pour que les sociétés récoltent ces avantages, l’enseignement de qualité doit être </w:t>
      </w:r>
      <w:r>
        <w:rPr>
          <w:rFonts w:ascii="Times New Roman" w:hAnsi="Times New Roman"/>
          <w:noProof/>
          <w:sz w:val="24"/>
          <w:lang w:val="fr-FR"/>
        </w:rPr>
        <w:t xml:space="preserve">une réalité pour tous. </w:t>
      </w:r>
    </w:p>
    <w:p w:rsidR="00856281" w:rsidRDefault="00F3670C">
      <w:pPr>
        <w:spacing w:before="100" w:beforeAutospacing="1" w:after="100" w:afterAutospacing="1" w:line="240" w:lineRule="auto"/>
        <w:jc w:val="both"/>
        <w:rPr>
          <w:rFonts w:ascii="Times New Roman" w:eastAsia="Times New Roman" w:hAnsi="Times New Roman" w:cs="Times New Roman"/>
          <w:noProof/>
          <w:sz w:val="24"/>
          <w:szCs w:val="24"/>
          <w:lang w:val="fr-FR"/>
        </w:rPr>
      </w:pPr>
      <w:r>
        <w:rPr>
          <w:rFonts w:ascii="Times New Roman" w:hAnsi="Times New Roman"/>
          <w:b/>
          <w:noProof/>
          <w:sz w:val="24"/>
          <w:lang w:val="fr-FR"/>
        </w:rPr>
        <w:t>L’école joue un rôle central dans l’apprentissage tout au long de la vie, si bien que des mesures doivent être prises pour améliorer la qualité et la performance de l’enseignement scolaire</w:t>
      </w:r>
      <w:r>
        <w:rPr>
          <w:rStyle w:val="FootnoteReference"/>
          <w:rFonts w:ascii="Times New Roman" w:hAnsi="Times New Roman"/>
          <w:noProof/>
          <w:sz w:val="24"/>
        </w:rPr>
        <w:footnoteReference w:id="7"/>
      </w:r>
      <w:r>
        <w:rPr>
          <w:noProof/>
          <w:lang w:val="fr-FR"/>
        </w:rPr>
        <w:t>.</w:t>
      </w:r>
      <w:r>
        <w:rPr>
          <w:rFonts w:ascii="Times New Roman" w:hAnsi="Times New Roman"/>
          <w:noProof/>
          <w:sz w:val="24"/>
          <w:lang w:val="fr-FR"/>
        </w:rPr>
        <w:t xml:space="preserve"> La situation actuelle en Europe montre qu’il ne faut pas relâcher les efforts. Aux quatre coins de l’Union européenne, il existe une grande diversité de systèmes scolaires et éducatifs. Dans le même temps, presque tous les États membres sont confrontés à </w:t>
      </w:r>
      <w:r>
        <w:rPr>
          <w:rFonts w:ascii="Times New Roman" w:hAnsi="Times New Roman"/>
          <w:noProof/>
          <w:sz w:val="24"/>
          <w:lang w:val="fr-FR"/>
        </w:rPr>
        <w:t xml:space="preserve">plusieurs défis essentiels: </w:t>
      </w:r>
    </w:p>
    <w:p w:rsidR="00856281" w:rsidRDefault="00F3670C">
      <w:pPr>
        <w:pStyle w:val="ListParagraph"/>
        <w:numPr>
          <w:ilvl w:val="0"/>
          <w:numId w:val="16"/>
        </w:numPr>
        <w:spacing w:before="100" w:beforeAutospacing="1" w:after="100" w:afterAutospacing="1" w:line="240" w:lineRule="auto"/>
        <w:jc w:val="both"/>
        <w:rPr>
          <w:rFonts w:ascii="Times New Roman" w:eastAsia="Times New Roman" w:hAnsi="Times New Roman" w:cs="Times New Roman"/>
          <w:noProof/>
          <w:sz w:val="24"/>
          <w:szCs w:val="24"/>
          <w:lang w:val="fr-FR"/>
        </w:rPr>
      </w:pPr>
      <w:r>
        <w:rPr>
          <w:rFonts w:ascii="Times New Roman" w:hAnsi="Times New Roman"/>
          <w:b/>
          <w:noProof/>
          <w:sz w:val="24"/>
          <w:lang w:val="fr-FR"/>
        </w:rPr>
        <w:t>le développement des compétences au niveau de l’enseignement scolaire présente des lacunes</w:t>
      </w:r>
      <w:r>
        <w:rPr>
          <w:rFonts w:ascii="Times New Roman" w:hAnsi="Times New Roman"/>
          <w:noProof/>
          <w:sz w:val="24"/>
          <w:lang w:val="fr-FR"/>
        </w:rPr>
        <w:t>. Les derniers résultats de l’enquête PISA de l’OCDE montrent qu’un élève sur cinq éprouve de sérieuses difficultés pour développer des c</w:t>
      </w:r>
      <w:r>
        <w:rPr>
          <w:rFonts w:ascii="Times New Roman" w:hAnsi="Times New Roman"/>
          <w:noProof/>
          <w:sz w:val="24"/>
          <w:lang w:val="fr-FR"/>
        </w:rPr>
        <w:t>ompétences suffisantes en lecture, en mathématiques et en sciences. En conséquence, ces jeunes sont plus susceptibles d’être confrontés, tout au long de leur vie, à d’importants obstacles à l’inclusion sociale et à l’employabilité. Dans le même temps, la p</w:t>
      </w:r>
      <w:r>
        <w:rPr>
          <w:rFonts w:ascii="Times New Roman" w:hAnsi="Times New Roman"/>
          <w:noProof/>
          <w:sz w:val="24"/>
          <w:lang w:val="fr-FR"/>
        </w:rPr>
        <w:t>roportion d’élèves qui obtiennent de très bons résultats en Europe est relativement faible: même les États membres les plus performants sont dépassés par les pays asiatiques avancés</w:t>
      </w:r>
      <w:r>
        <w:rPr>
          <w:rFonts w:ascii="Times New Roman" w:hAnsi="Times New Roman"/>
          <w:noProof/>
          <w:sz w:val="24"/>
          <w:vertAlign w:val="superscript"/>
        </w:rPr>
        <w:footnoteReference w:id="8"/>
      </w:r>
      <w:r>
        <w:rPr>
          <w:rFonts w:ascii="Times New Roman" w:hAnsi="Times New Roman"/>
          <w:noProof/>
          <w:sz w:val="24"/>
          <w:lang w:val="fr-FR"/>
        </w:rPr>
        <w:t xml:space="preserve">. </w:t>
      </w:r>
      <w:r>
        <w:rPr>
          <w:rFonts w:ascii="Times New Roman" w:hAnsi="Times New Roman"/>
          <w:noProof/>
          <w:sz w:val="24"/>
          <w:lang w:val="fr-FR"/>
        </w:rPr>
        <w:lastRenderedPageBreak/>
        <w:t>De nombreux jeunes ne disposent pas de compétences numériques adaptées</w:t>
      </w:r>
      <w:r>
        <w:rPr>
          <w:rStyle w:val="FootnoteReference"/>
          <w:rFonts w:ascii="Times New Roman" w:hAnsi="Times New Roman"/>
          <w:noProof/>
          <w:sz w:val="24"/>
        </w:rPr>
        <w:footnoteReference w:id="9"/>
      </w:r>
      <w:r>
        <w:rPr>
          <w:noProof/>
          <w:lang w:val="fr-FR"/>
        </w:rPr>
        <w:t>.</w:t>
      </w:r>
      <w:r>
        <w:rPr>
          <w:rFonts w:ascii="Times New Roman" w:hAnsi="Times New Roman"/>
          <w:noProof/>
          <w:sz w:val="24"/>
          <w:lang w:val="fr-FR"/>
        </w:rPr>
        <w:t xml:space="preserve"> Une autre question essentielle est celle du manque de qualifications formelles; en dépit du fait que de nombreux États membres ont bien progressé pour ce qui est de ramener la proportion de jeunes en décrochage scolaire au grand objectif de 10 % fixé dans</w:t>
      </w:r>
      <w:r>
        <w:rPr>
          <w:rFonts w:ascii="Times New Roman" w:hAnsi="Times New Roman"/>
          <w:noProof/>
          <w:sz w:val="24"/>
          <w:lang w:val="fr-FR"/>
        </w:rPr>
        <w:t xml:space="preserve"> le cadre de la stratégie Europe 2020, trop de jeunes quittent encore l’école prématurément; </w:t>
      </w:r>
    </w:p>
    <w:p w:rsidR="00856281" w:rsidRDefault="00F3670C">
      <w:pPr>
        <w:pStyle w:val="ListParagraph"/>
        <w:numPr>
          <w:ilvl w:val="0"/>
          <w:numId w:val="16"/>
        </w:numPr>
        <w:spacing w:after="120" w:line="240" w:lineRule="auto"/>
        <w:jc w:val="both"/>
        <w:rPr>
          <w:rFonts w:ascii="Times New Roman" w:hAnsi="Times New Roman" w:cs="Times New Roman"/>
          <w:noProof/>
          <w:sz w:val="24"/>
          <w:szCs w:val="24"/>
          <w:lang w:val="fr-FR"/>
        </w:rPr>
      </w:pPr>
      <w:r>
        <w:rPr>
          <w:rFonts w:ascii="Times New Roman" w:hAnsi="Times New Roman"/>
          <w:b/>
          <w:noProof/>
          <w:sz w:val="24"/>
          <w:lang w:val="fr-FR"/>
        </w:rPr>
        <w:t>l’enseignement scolaire ne joue pas toujours pleinement son rôle de promotion de l’équité et de la justice sociale</w:t>
      </w:r>
      <w:r>
        <w:rPr>
          <w:rFonts w:ascii="Times New Roman" w:hAnsi="Times New Roman"/>
          <w:noProof/>
          <w:sz w:val="24"/>
          <w:lang w:val="fr-FR"/>
        </w:rPr>
        <w:t>. Les données PISA</w:t>
      </w:r>
      <w:r>
        <w:rPr>
          <w:rFonts w:ascii="Times New Roman" w:hAnsi="Times New Roman"/>
          <w:noProof/>
          <w:sz w:val="24"/>
          <w:vertAlign w:val="superscript"/>
        </w:rPr>
        <w:footnoteReference w:id="10"/>
      </w:r>
      <w:r>
        <w:rPr>
          <w:rFonts w:ascii="Times New Roman" w:hAnsi="Times New Roman"/>
          <w:noProof/>
          <w:sz w:val="24"/>
          <w:lang w:val="fr-FR"/>
        </w:rPr>
        <w:t xml:space="preserve"> révèlent que les écarts entr</w:t>
      </w:r>
      <w:r>
        <w:rPr>
          <w:rFonts w:ascii="Times New Roman" w:hAnsi="Times New Roman"/>
          <w:noProof/>
          <w:sz w:val="24"/>
          <w:lang w:val="fr-FR"/>
        </w:rPr>
        <w:t>e garçons et filles en mathématiques et en sciences se resserrent, bien que les stéréotypes de genre conduisent encore à des différences dans le domaine des sciences et des TIC et nécessitent une attention accrue. Ces données révèlent en outre que les résu</w:t>
      </w:r>
      <w:r>
        <w:rPr>
          <w:rFonts w:ascii="Times New Roman" w:hAnsi="Times New Roman"/>
          <w:noProof/>
          <w:sz w:val="24"/>
          <w:lang w:val="fr-FR"/>
        </w:rPr>
        <w:t>ltats scolaires dépendent dans une large mesure de l’origine socio-économique de l’élève. En moyenne, plus d’un tiers des jeunes issus de milieux défavorisés dans l’UE présentent de faibles niveaux d’instruction. Ce chiffre est quatre fois plus élevé que c</w:t>
      </w:r>
      <w:r>
        <w:rPr>
          <w:rFonts w:ascii="Times New Roman" w:hAnsi="Times New Roman"/>
          <w:noProof/>
          <w:sz w:val="24"/>
          <w:lang w:val="fr-FR"/>
        </w:rPr>
        <w:t>elui de leurs homologues issus de milieux plus favorisés. D’autres défis spécifiques concernant les élèves issus de l’immigration et les Roms amplifient cet état de fait. Ces écarts accentuent les inégalités sociales</w:t>
      </w:r>
      <w:r>
        <w:rPr>
          <w:rStyle w:val="FootnoteReference"/>
          <w:rFonts w:ascii="Times New Roman" w:hAnsi="Times New Roman"/>
          <w:noProof/>
          <w:sz w:val="24"/>
        </w:rPr>
        <w:footnoteReference w:id="11"/>
      </w:r>
      <w:r>
        <w:rPr>
          <w:rFonts w:ascii="Times New Roman" w:hAnsi="Times New Roman"/>
          <w:noProof/>
          <w:sz w:val="24"/>
          <w:lang w:val="fr-FR"/>
        </w:rPr>
        <w:t xml:space="preserve"> au lieu les endiguer. L’accès à un ens</w:t>
      </w:r>
      <w:r>
        <w:rPr>
          <w:rFonts w:ascii="Times New Roman" w:hAnsi="Times New Roman"/>
          <w:noProof/>
          <w:sz w:val="24"/>
          <w:lang w:val="fr-FR"/>
        </w:rPr>
        <w:t>eignement et à une formation de qualité est essentiel pour une société plus résiliente et plus égale. Les exemples de l’Estonie et de la Finlande montrent que les systèmes d’enseignement scolaire peuvent permettre d'atteindre des niveaux élevés à la fois d</w:t>
      </w:r>
      <w:r>
        <w:rPr>
          <w:rFonts w:ascii="Times New Roman" w:hAnsi="Times New Roman"/>
          <w:noProof/>
          <w:sz w:val="24"/>
          <w:lang w:val="fr-FR"/>
        </w:rPr>
        <w:t>e réussite et d’équité;</w:t>
      </w:r>
    </w:p>
    <w:p w:rsidR="00856281" w:rsidRDefault="00F3670C">
      <w:pPr>
        <w:pStyle w:val="ListParagraph"/>
        <w:numPr>
          <w:ilvl w:val="0"/>
          <w:numId w:val="16"/>
        </w:numPr>
        <w:spacing w:before="100" w:beforeAutospacing="1" w:after="100" w:afterAutospacing="1" w:line="240" w:lineRule="auto"/>
        <w:jc w:val="both"/>
        <w:rPr>
          <w:rFonts w:ascii="Times New Roman" w:eastAsia="Times New Roman" w:hAnsi="Times New Roman" w:cs="Times New Roman"/>
          <w:noProof/>
          <w:sz w:val="24"/>
          <w:szCs w:val="24"/>
          <w:lang w:val="fr-FR"/>
        </w:rPr>
      </w:pPr>
      <w:r>
        <w:rPr>
          <w:rFonts w:ascii="Times New Roman" w:hAnsi="Times New Roman"/>
          <w:b/>
          <w:noProof/>
          <w:sz w:val="24"/>
          <w:lang w:val="fr-FR"/>
        </w:rPr>
        <w:t>le rythme des progrès technologiques et numériques a un effet profond sur nos économies et sur nos sociétés – les écoles doivent avoir une meilleure réaction face à cette nouvelle réalité</w:t>
      </w:r>
      <w:r>
        <w:rPr>
          <w:rFonts w:ascii="Times New Roman" w:hAnsi="Times New Roman"/>
          <w:noProof/>
          <w:sz w:val="24"/>
          <w:lang w:val="fr-FR"/>
        </w:rPr>
        <w:t>. Nombreux sont les écoliers actuels qui occu</w:t>
      </w:r>
      <w:r>
        <w:rPr>
          <w:rFonts w:ascii="Times New Roman" w:hAnsi="Times New Roman"/>
          <w:noProof/>
          <w:sz w:val="24"/>
          <w:lang w:val="fr-FR"/>
        </w:rPr>
        <w:t>peront plus tard des emplois qui n’existent pas encore.</w:t>
      </w:r>
      <w:r>
        <w:rPr>
          <w:rFonts w:ascii="Times New Roman" w:hAnsi="Times New Roman"/>
          <w:noProof/>
          <w:color w:val="000000"/>
          <w:sz w:val="24"/>
          <w:lang w:val="fr-FR"/>
        </w:rPr>
        <w:t xml:space="preserve"> Près de 90 % de l’ensemble des emplois actuels nécessitent au moins un certain niveau de compétences numériques</w:t>
      </w:r>
      <w:r>
        <w:rPr>
          <w:rStyle w:val="FootnoteReference"/>
          <w:rFonts w:ascii="Times New Roman" w:hAnsi="Times New Roman"/>
          <w:noProof/>
          <w:color w:val="000000"/>
          <w:sz w:val="24"/>
        </w:rPr>
        <w:footnoteReference w:id="12"/>
      </w:r>
      <w:r>
        <w:rPr>
          <w:noProof/>
          <w:lang w:val="fr-FR"/>
        </w:rPr>
        <w:t>.</w:t>
      </w:r>
      <w:r>
        <w:rPr>
          <w:rFonts w:ascii="Times New Roman" w:hAnsi="Times New Roman"/>
          <w:noProof/>
          <w:color w:val="000000"/>
          <w:sz w:val="24"/>
          <w:lang w:val="fr-FR"/>
        </w:rPr>
        <w:t xml:space="preserve"> </w:t>
      </w:r>
      <w:r>
        <w:rPr>
          <w:rFonts w:ascii="Times New Roman" w:hAnsi="Times New Roman"/>
          <w:noProof/>
          <w:sz w:val="24"/>
          <w:lang w:val="fr-FR"/>
        </w:rPr>
        <w:t>Il ne suffit plus de doter les jeunes d’un ensemble fixe de compétences ou de connaiss</w:t>
      </w:r>
      <w:r>
        <w:rPr>
          <w:rFonts w:ascii="Times New Roman" w:hAnsi="Times New Roman"/>
          <w:noProof/>
          <w:sz w:val="24"/>
          <w:lang w:val="fr-FR"/>
        </w:rPr>
        <w:t>ances. Ils doivent développer la résilience et la capacité nécessaires pour s’adapter aux changements. Le «Document de réflexion sur la maîtrise de la mondialisation» constate également que de nouveaux modes d’apprentissage sont nécessaires pour une sociét</w:t>
      </w:r>
      <w:r>
        <w:rPr>
          <w:rFonts w:ascii="Times New Roman" w:hAnsi="Times New Roman"/>
          <w:noProof/>
          <w:sz w:val="24"/>
          <w:lang w:val="fr-FR"/>
        </w:rPr>
        <w:t>é qui devient de plus en plus mobile et numérique. Comme le souligne le «Document de réflexion sur la dimension sociale de l’Europe», les systèmes éducatifs doivent être modernisés de façon à favoriser la créativité et la pensée critique, ainsi que l’espri</w:t>
      </w:r>
      <w:r>
        <w:rPr>
          <w:rFonts w:ascii="Times New Roman" w:hAnsi="Times New Roman"/>
          <w:noProof/>
          <w:sz w:val="24"/>
          <w:lang w:val="fr-FR"/>
        </w:rPr>
        <w:t>t d’entreprise</w:t>
      </w:r>
      <w:r>
        <w:rPr>
          <w:rStyle w:val="FootnoteReference"/>
          <w:rFonts w:ascii="Times New Roman" w:hAnsi="Times New Roman"/>
          <w:noProof/>
          <w:sz w:val="24"/>
        </w:rPr>
        <w:footnoteReference w:id="13"/>
      </w:r>
      <w:r>
        <w:rPr>
          <w:noProof/>
          <w:lang w:val="fr-FR"/>
        </w:rPr>
        <w:t>.</w:t>
      </w:r>
    </w:p>
    <w:p w:rsidR="00856281" w:rsidRDefault="00F3670C">
      <w:pPr>
        <w:spacing w:before="100" w:beforeAutospacing="1" w:after="100" w:afterAutospacing="1" w:line="240" w:lineRule="auto"/>
        <w:jc w:val="both"/>
        <w:rPr>
          <w:rFonts w:ascii="Times New Roman" w:eastAsia="Times New Roman" w:hAnsi="Times New Roman" w:cs="Times New Roman"/>
          <w:noProof/>
          <w:sz w:val="24"/>
          <w:szCs w:val="24"/>
          <w:lang w:val="fr-FR"/>
        </w:rPr>
      </w:pPr>
      <w:r>
        <w:rPr>
          <w:rFonts w:ascii="Times New Roman" w:hAnsi="Times New Roman"/>
          <w:b/>
          <w:noProof/>
          <w:sz w:val="24"/>
          <w:lang w:val="fr-FR"/>
        </w:rPr>
        <w:t xml:space="preserve">Des réformes sont nécessaires pour relever ces défis. </w:t>
      </w:r>
      <w:r>
        <w:rPr>
          <w:rFonts w:ascii="Times New Roman" w:hAnsi="Times New Roman"/>
          <w:noProof/>
          <w:sz w:val="24"/>
          <w:lang w:val="fr-FR"/>
        </w:rPr>
        <w:t>Cette tâche incombe aux États membres, car la conception des systèmes éducatifs est entre leurs mains et les solutions varieront en fonction des spécificités nationales, régionales et l</w:t>
      </w:r>
      <w:r>
        <w:rPr>
          <w:rFonts w:ascii="Times New Roman" w:hAnsi="Times New Roman"/>
          <w:noProof/>
          <w:sz w:val="24"/>
          <w:lang w:val="fr-FR"/>
        </w:rPr>
        <w:t>ocales. Tout en respectant le principe de subsidiarité, l’UE peut jouer un rôle utile pour soutenir les États membres dans leurs efforts de réforme. Une coopération à l’échelle de l’UE soutient les États membres en ce qu'elle favorise l'analyse des données</w:t>
      </w:r>
      <w:r>
        <w:rPr>
          <w:rFonts w:ascii="Times New Roman" w:hAnsi="Times New Roman"/>
          <w:noProof/>
          <w:sz w:val="24"/>
          <w:lang w:val="fr-FR"/>
        </w:rPr>
        <w:t>, le partage d'informations et le recensement des bonnes pratiques et qu'elle offre des possibilités d’échange d’expériences et d’apprentissage mutuel. Ce type de coopération volontaire procure une valeur ajoutée aux États membres pour la prise de décision</w:t>
      </w:r>
      <w:r>
        <w:rPr>
          <w:rFonts w:ascii="Times New Roman" w:hAnsi="Times New Roman"/>
          <w:noProof/>
          <w:sz w:val="24"/>
          <w:lang w:val="fr-FR"/>
        </w:rPr>
        <w:t xml:space="preserve">s en connaissance de cause. </w:t>
      </w:r>
    </w:p>
    <w:p w:rsidR="00856281" w:rsidRDefault="00F3670C">
      <w:pPr>
        <w:spacing w:after="120" w:line="240" w:lineRule="auto"/>
        <w:jc w:val="both"/>
        <w:rPr>
          <w:rFonts w:ascii="Times New Roman" w:hAnsi="Times New Roman"/>
          <w:noProof/>
          <w:sz w:val="24"/>
          <w:lang w:val="fr-FR"/>
        </w:rPr>
      </w:pPr>
      <w:r>
        <w:rPr>
          <w:rFonts w:ascii="Times New Roman" w:hAnsi="Times New Roman"/>
          <w:b/>
          <w:noProof/>
          <w:sz w:val="24"/>
          <w:lang w:val="fr-FR"/>
        </w:rPr>
        <w:t>Il existe</w:t>
      </w:r>
      <w:r>
        <w:rPr>
          <w:rFonts w:ascii="Times New Roman" w:hAnsi="Times New Roman"/>
          <w:noProof/>
          <w:sz w:val="24"/>
          <w:lang w:val="fr-FR"/>
        </w:rPr>
        <w:t xml:space="preserve"> </w:t>
      </w:r>
      <w:r>
        <w:rPr>
          <w:rFonts w:ascii="Times New Roman" w:hAnsi="Times New Roman"/>
          <w:b/>
          <w:noProof/>
          <w:sz w:val="24"/>
          <w:lang w:val="fr-FR"/>
        </w:rPr>
        <w:t>trois domaines où une action est nécessaire</w:t>
      </w:r>
      <w:r>
        <w:rPr>
          <w:rFonts w:ascii="Times New Roman" w:hAnsi="Times New Roman"/>
          <w:noProof/>
          <w:sz w:val="24"/>
          <w:lang w:val="fr-FR"/>
        </w:rPr>
        <w:t xml:space="preserve"> et où un soutien au niveau européen peut contribuer à relever les défis précités: </w:t>
      </w:r>
    </w:p>
    <w:p w:rsidR="00856281" w:rsidRDefault="00F3670C">
      <w:pPr>
        <w:pStyle w:val="ListParagraph"/>
        <w:numPr>
          <w:ilvl w:val="0"/>
          <w:numId w:val="13"/>
        </w:numPr>
        <w:spacing w:after="120" w:line="240" w:lineRule="auto"/>
        <w:jc w:val="both"/>
        <w:rPr>
          <w:rFonts w:ascii="Times New Roman" w:eastAsia="Times New Roman" w:hAnsi="Times New Roman" w:cs="Times New Roman"/>
          <w:b/>
          <w:noProof/>
          <w:sz w:val="24"/>
          <w:szCs w:val="24"/>
          <w:lang w:val="fr-FR"/>
        </w:rPr>
      </w:pPr>
      <w:r>
        <w:rPr>
          <w:rFonts w:ascii="Times New Roman" w:hAnsi="Times New Roman"/>
          <w:b/>
          <w:noProof/>
          <w:sz w:val="24"/>
          <w:lang w:val="fr-FR"/>
        </w:rPr>
        <w:t xml:space="preserve">développer des écoles meilleures et plus inclusives; </w:t>
      </w:r>
    </w:p>
    <w:p w:rsidR="00856281" w:rsidRDefault="00F3670C">
      <w:pPr>
        <w:pStyle w:val="ListParagraph"/>
        <w:numPr>
          <w:ilvl w:val="0"/>
          <w:numId w:val="13"/>
        </w:numPr>
        <w:spacing w:after="120" w:line="240" w:lineRule="auto"/>
        <w:jc w:val="both"/>
        <w:rPr>
          <w:rFonts w:ascii="Times New Roman" w:eastAsia="Times New Roman" w:hAnsi="Times New Roman" w:cs="Times New Roman"/>
          <w:b/>
          <w:noProof/>
          <w:sz w:val="24"/>
          <w:szCs w:val="24"/>
          <w:lang w:val="fr-FR"/>
        </w:rPr>
      </w:pPr>
      <w:r>
        <w:rPr>
          <w:rFonts w:ascii="Times New Roman" w:hAnsi="Times New Roman"/>
          <w:b/>
          <w:noProof/>
          <w:sz w:val="24"/>
          <w:lang w:val="fr-FR"/>
        </w:rPr>
        <w:t xml:space="preserve">soutenir les enseignants et les chefs d’établissement en vue d’un enseignement et d’un apprentissage d’excellence; et </w:t>
      </w:r>
    </w:p>
    <w:p w:rsidR="00856281" w:rsidRDefault="00F3670C">
      <w:pPr>
        <w:pStyle w:val="ListParagraph"/>
        <w:numPr>
          <w:ilvl w:val="0"/>
          <w:numId w:val="13"/>
        </w:numPr>
        <w:spacing w:after="120" w:line="240" w:lineRule="auto"/>
        <w:jc w:val="both"/>
        <w:rPr>
          <w:rFonts w:ascii="Times New Roman" w:eastAsia="Times New Roman" w:hAnsi="Times New Roman" w:cs="Times New Roman"/>
          <w:b/>
          <w:noProof/>
          <w:sz w:val="24"/>
          <w:szCs w:val="24"/>
          <w:lang w:val="fr-FR"/>
        </w:rPr>
      </w:pPr>
      <w:r>
        <w:rPr>
          <w:rFonts w:ascii="Times New Roman" w:hAnsi="Times New Roman"/>
          <w:b/>
          <w:noProof/>
          <w:sz w:val="24"/>
          <w:lang w:val="fr-FR"/>
        </w:rPr>
        <w:t xml:space="preserve">rendre la gouvernance des systèmes d’enseignement scolaire plus efficace, plus équitable et plus efficiente. </w:t>
      </w:r>
    </w:p>
    <w:p w:rsidR="00856281" w:rsidRDefault="00F3670C">
      <w:pPr>
        <w:spacing w:before="100" w:beforeAutospacing="1" w:after="100" w:afterAutospacing="1" w:line="240" w:lineRule="auto"/>
        <w:jc w:val="both"/>
        <w:rPr>
          <w:rFonts w:ascii="Times New Roman" w:eastAsia="Times New Roman" w:hAnsi="Times New Roman" w:cs="Times New Roman"/>
          <w:noProof/>
          <w:sz w:val="24"/>
          <w:szCs w:val="24"/>
          <w:lang w:val="fr-FR"/>
        </w:rPr>
      </w:pPr>
      <w:r>
        <w:rPr>
          <w:rFonts w:ascii="Times New Roman" w:hAnsi="Times New Roman"/>
          <w:b/>
          <w:noProof/>
          <w:sz w:val="24"/>
          <w:lang w:val="fr-FR"/>
        </w:rPr>
        <w:t>Pour chacun de ces domaines</w:t>
      </w:r>
      <w:r>
        <w:rPr>
          <w:rFonts w:ascii="Times New Roman" w:hAnsi="Times New Roman"/>
          <w:b/>
          <w:noProof/>
          <w:sz w:val="24"/>
          <w:lang w:val="fr-FR"/>
        </w:rPr>
        <w:t>, la présente communication expose l’action que l’UE peut mener pour aider les États membres à relever ces défis.</w:t>
      </w:r>
      <w:r>
        <w:rPr>
          <w:rFonts w:ascii="Times New Roman" w:hAnsi="Times New Roman"/>
          <w:noProof/>
          <w:sz w:val="24"/>
          <w:lang w:val="fr-FR"/>
        </w:rPr>
        <w:t xml:space="preserve"> Le Semestre européen est un moteur essentiel des réformes, notamment au travers des recommandations par pays relatives à l’enseignement. L’UE </w:t>
      </w:r>
      <w:r>
        <w:rPr>
          <w:rFonts w:ascii="Times New Roman" w:hAnsi="Times New Roman"/>
          <w:noProof/>
          <w:sz w:val="24"/>
          <w:lang w:val="fr-FR"/>
        </w:rPr>
        <w:t>peut aider les États membres qui souhaitent obtenir un soutien en faveur de leurs efforts de réforme. À cela s’ajoute que l’UE fournit un soutien financier et technique aux États membres, notamment au moyen d’Erasmus+, des Fonds structurels et d’investisse</w:t>
      </w:r>
      <w:r>
        <w:rPr>
          <w:rFonts w:ascii="Times New Roman" w:hAnsi="Times New Roman"/>
          <w:noProof/>
          <w:sz w:val="24"/>
          <w:lang w:val="fr-FR"/>
        </w:rPr>
        <w:t>ment européens et du service d’appui à la réforme structurelle.</w:t>
      </w:r>
    </w:p>
    <w:p w:rsidR="00856281" w:rsidRDefault="00F3670C">
      <w:pPr>
        <w:spacing w:before="100" w:beforeAutospacing="1" w:after="100" w:afterAutospacing="1" w:line="240" w:lineRule="auto"/>
        <w:jc w:val="both"/>
        <w:rPr>
          <w:rFonts w:ascii="Times New Roman" w:eastAsia="Times New Roman" w:hAnsi="Times New Roman" w:cs="Times New Roman"/>
          <w:noProof/>
          <w:sz w:val="24"/>
          <w:szCs w:val="24"/>
          <w:lang w:val="fr-FR"/>
        </w:rPr>
      </w:pPr>
      <w:r>
        <w:rPr>
          <w:rFonts w:ascii="Times New Roman" w:hAnsi="Times New Roman"/>
          <w:b/>
          <w:noProof/>
          <w:sz w:val="24"/>
          <w:lang w:val="fr-FR"/>
        </w:rPr>
        <w:t>La diversité est une caractéristique des systèmes européens d’enseignement scolaire</w:t>
      </w:r>
      <w:r>
        <w:rPr>
          <w:rFonts w:ascii="Times New Roman" w:hAnsi="Times New Roman"/>
          <w:noProof/>
          <w:sz w:val="24"/>
          <w:lang w:val="fr-FR"/>
        </w:rPr>
        <w:t xml:space="preserve"> et il n’existe pas de solution universelle. Dans le même temps, les États membres ont un intérêt commun à am</w:t>
      </w:r>
      <w:r>
        <w:rPr>
          <w:rFonts w:ascii="Times New Roman" w:hAnsi="Times New Roman"/>
          <w:noProof/>
          <w:sz w:val="24"/>
          <w:lang w:val="fr-FR"/>
        </w:rPr>
        <w:t>éliorer les résultats de leur système éducatif. Pour faire de l’enseignement de qualité pour tous une réalité, tous les outils disponibles, aux niveaux national et de l’UE, devraient être pleinement exploités. La Commission est disposée à travailler en étr</w:t>
      </w:r>
      <w:r>
        <w:rPr>
          <w:rFonts w:ascii="Times New Roman" w:hAnsi="Times New Roman"/>
          <w:noProof/>
          <w:sz w:val="24"/>
          <w:lang w:val="fr-FR"/>
        </w:rPr>
        <w:t xml:space="preserve">oite coopération avec les États membres. </w:t>
      </w:r>
    </w:p>
    <w:p w:rsidR="00856281" w:rsidRDefault="00F3670C">
      <w:pPr>
        <w:keepNext/>
        <w:spacing w:after="240"/>
        <w:rPr>
          <w:rFonts w:ascii="Times New Roman" w:hAnsi="Times New Roman" w:cs="Times New Roman"/>
          <w:b/>
          <w:noProof/>
          <w:color w:val="000000"/>
          <w:sz w:val="24"/>
          <w:szCs w:val="24"/>
          <w:lang w:val="fr-FR"/>
        </w:rPr>
      </w:pPr>
      <w:r>
        <w:rPr>
          <w:rFonts w:ascii="Times New Roman" w:hAnsi="Times New Roman"/>
          <w:b/>
          <w:noProof/>
          <w:color w:val="000000"/>
          <w:sz w:val="24"/>
          <w:lang w:val="fr-FR"/>
        </w:rPr>
        <w:t>2. Développer des écoles meilleures et plus inclusives</w:t>
      </w:r>
    </w:p>
    <w:p w:rsidR="00856281" w:rsidRDefault="00F3670C">
      <w:pPr>
        <w:pBdr>
          <w:top w:val="single" w:sz="4" w:space="1" w:color="auto"/>
          <w:left w:val="single" w:sz="4" w:space="4" w:color="auto"/>
          <w:bottom w:val="single" w:sz="4" w:space="1" w:color="auto"/>
          <w:right w:val="single" w:sz="4" w:space="4" w:color="auto"/>
        </w:pBdr>
        <w:spacing w:before="240" w:after="120" w:line="240" w:lineRule="auto"/>
        <w:jc w:val="both"/>
        <w:rPr>
          <w:rFonts w:ascii="Times New Roman" w:hAnsi="Times New Roman" w:cs="Times New Roman"/>
          <w:i/>
          <w:noProof/>
          <w:color w:val="000000"/>
          <w:sz w:val="24"/>
          <w:szCs w:val="24"/>
          <w:lang w:val="fr-FR"/>
        </w:rPr>
      </w:pPr>
      <w:r>
        <w:rPr>
          <w:rFonts w:ascii="Times New Roman" w:hAnsi="Times New Roman"/>
          <w:i/>
          <w:noProof/>
          <w:color w:val="000000"/>
          <w:sz w:val="24"/>
          <w:lang w:val="fr-FR"/>
        </w:rPr>
        <w:t>Pour compléter les actions menées par les États membres, la Commission prendra les mesures suivantes:</w:t>
      </w:r>
    </w:p>
    <w:p w:rsidR="00856281" w:rsidRDefault="00F3670C">
      <w:pPr>
        <w:pStyle w:val="ListParagraph"/>
        <w:numPr>
          <w:ilvl w:val="0"/>
          <w:numId w:val="2"/>
        </w:numPr>
        <w:pBdr>
          <w:top w:val="single" w:sz="4" w:space="1" w:color="auto"/>
          <w:left w:val="single" w:sz="4" w:space="4" w:color="auto"/>
          <w:bottom w:val="single" w:sz="4" w:space="1" w:color="auto"/>
          <w:right w:val="single" w:sz="4" w:space="4" w:color="auto"/>
        </w:pBdr>
        <w:spacing w:line="240" w:lineRule="auto"/>
        <w:ind w:left="284" w:hanging="284"/>
        <w:jc w:val="both"/>
        <w:rPr>
          <w:rFonts w:ascii="Times New Roman" w:hAnsi="Times New Roman" w:cs="Times New Roman"/>
          <w:noProof/>
          <w:color w:val="000000"/>
          <w:sz w:val="24"/>
          <w:szCs w:val="24"/>
          <w:lang w:val="fr-FR"/>
        </w:rPr>
      </w:pPr>
      <w:r>
        <w:rPr>
          <w:rFonts w:ascii="Times New Roman" w:hAnsi="Times New Roman"/>
          <w:noProof/>
          <w:color w:val="000000"/>
          <w:sz w:val="24"/>
          <w:lang w:val="fr-FR"/>
        </w:rPr>
        <w:t xml:space="preserve">renforcer la coopération entre les écoles en rendant les </w:t>
      </w:r>
      <w:r>
        <w:rPr>
          <w:rFonts w:ascii="Times New Roman" w:hAnsi="Times New Roman"/>
          <w:b/>
          <w:noProof/>
          <w:color w:val="000000"/>
          <w:sz w:val="24"/>
          <w:lang w:val="fr-FR"/>
        </w:rPr>
        <w:t>partenariats scolaires et la mobilité des élèves dans le cadre d’Erasmus+</w:t>
      </w:r>
      <w:r>
        <w:rPr>
          <w:rFonts w:ascii="Times New Roman" w:hAnsi="Times New Roman"/>
          <w:noProof/>
          <w:color w:val="000000"/>
          <w:sz w:val="24"/>
          <w:lang w:val="fr-FR"/>
        </w:rPr>
        <w:t xml:space="preserve"> plus accessibles et enrichir l’apprentissage numérique et interculturel par la promotion de la participation au </w:t>
      </w:r>
      <w:r>
        <w:rPr>
          <w:rFonts w:ascii="Times New Roman" w:hAnsi="Times New Roman"/>
          <w:b/>
          <w:noProof/>
          <w:color w:val="000000"/>
          <w:sz w:val="24"/>
          <w:lang w:val="fr-FR"/>
        </w:rPr>
        <w:t>jumelage électronique (eTwinning)</w:t>
      </w:r>
      <w:r>
        <w:rPr>
          <w:rFonts w:ascii="Times New Roman" w:hAnsi="Times New Roman"/>
          <w:noProof/>
          <w:color w:val="000000"/>
          <w:sz w:val="24"/>
          <w:lang w:val="fr-FR"/>
        </w:rPr>
        <w:t>;</w:t>
      </w:r>
    </w:p>
    <w:p w:rsidR="00856281" w:rsidRDefault="00F3670C">
      <w:pPr>
        <w:pStyle w:val="ListParagraph"/>
        <w:numPr>
          <w:ilvl w:val="0"/>
          <w:numId w:val="2"/>
        </w:numPr>
        <w:pBdr>
          <w:top w:val="single" w:sz="4" w:space="1" w:color="auto"/>
          <w:left w:val="single" w:sz="4" w:space="4" w:color="auto"/>
          <w:bottom w:val="single" w:sz="4" w:space="1" w:color="auto"/>
          <w:right w:val="single" w:sz="4" w:space="4" w:color="auto"/>
        </w:pBdr>
        <w:spacing w:line="240" w:lineRule="auto"/>
        <w:ind w:left="284" w:hanging="284"/>
        <w:jc w:val="both"/>
        <w:rPr>
          <w:rFonts w:ascii="Times New Roman" w:hAnsi="Times New Roman" w:cs="Times New Roman"/>
          <w:noProof/>
          <w:color w:val="000000"/>
          <w:sz w:val="24"/>
          <w:szCs w:val="24"/>
          <w:lang w:val="fr-FR"/>
        </w:rPr>
      </w:pPr>
      <w:r>
        <w:rPr>
          <w:rFonts w:ascii="Times New Roman" w:hAnsi="Times New Roman"/>
          <w:noProof/>
          <w:color w:val="000000"/>
          <w:sz w:val="24"/>
          <w:lang w:val="fr-FR"/>
        </w:rPr>
        <w:t xml:space="preserve">élaborer un </w:t>
      </w:r>
      <w:r>
        <w:rPr>
          <w:rFonts w:ascii="Times New Roman" w:hAnsi="Times New Roman"/>
          <w:b/>
          <w:noProof/>
          <w:color w:val="000000"/>
          <w:sz w:val="24"/>
          <w:lang w:val="fr-FR"/>
        </w:rPr>
        <w:t xml:space="preserve">outil d’autoévaluation </w:t>
      </w:r>
      <w:r>
        <w:rPr>
          <w:rFonts w:ascii="Times New Roman" w:hAnsi="Times New Roman"/>
          <w:b/>
          <w:noProof/>
          <w:color w:val="000000"/>
          <w:sz w:val="24"/>
          <w:lang w:val="fr-FR"/>
        </w:rPr>
        <w:t>sur la capacité numérique</w:t>
      </w:r>
      <w:r>
        <w:rPr>
          <w:rFonts w:ascii="Times New Roman" w:hAnsi="Times New Roman"/>
          <w:noProof/>
          <w:color w:val="000000"/>
          <w:sz w:val="24"/>
          <w:lang w:val="fr-FR"/>
        </w:rPr>
        <w:t xml:space="preserve"> afin que les écoles de l’UE puissent, sur une base volontaire, évaluer par elles-mêmes où elles se situent au regard de critères communs et bénéficient d’une aide pour développer et améliorer leur utilisation efficace des technolo</w:t>
      </w:r>
      <w:r>
        <w:rPr>
          <w:rFonts w:ascii="Times New Roman" w:hAnsi="Times New Roman"/>
          <w:noProof/>
          <w:color w:val="000000"/>
          <w:sz w:val="24"/>
          <w:lang w:val="fr-FR"/>
        </w:rPr>
        <w:t>gies d’apprentissage à l’ère numérique</w:t>
      </w:r>
      <w:r>
        <w:rPr>
          <w:rFonts w:ascii="Times New Roman" w:hAnsi="Times New Roman"/>
          <w:noProof/>
          <w:color w:val="000000"/>
          <w:sz w:val="24"/>
          <w:vertAlign w:val="superscript"/>
        </w:rPr>
        <w:footnoteReference w:id="14"/>
      </w:r>
      <w:r>
        <w:rPr>
          <w:rFonts w:ascii="Times New Roman" w:hAnsi="Times New Roman"/>
          <w:noProof/>
          <w:color w:val="000000"/>
          <w:sz w:val="24"/>
          <w:lang w:val="fr-FR"/>
        </w:rPr>
        <w:t xml:space="preserve">. En utilisant cet outil, les écoles peuvent choisir de faire rapport sur leurs progrès en matière de </w:t>
      </w:r>
      <w:r>
        <w:rPr>
          <w:rFonts w:ascii="Times New Roman" w:hAnsi="Times New Roman"/>
          <w:b/>
          <w:noProof/>
          <w:color w:val="000000"/>
          <w:sz w:val="24"/>
          <w:lang w:val="fr-FR"/>
        </w:rPr>
        <w:t>disponibilité, d’utilisation, de compétences et d’attitudes à l’égard des technologies de l’information et de la co</w:t>
      </w:r>
      <w:r>
        <w:rPr>
          <w:rFonts w:ascii="Times New Roman" w:hAnsi="Times New Roman"/>
          <w:b/>
          <w:noProof/>
          <w:color w:val="000000"/>
          <w:sz w:val="24"/>
          <w:lang w:val="fr-FR"/>
        </w:rPr>
        <w:t>mmunication, ce qui permettrait de constituer une base de données</w:t>
      </w:r>
      <w:r>
        <w:rPr>
          <w:rFonts w:ascii="Times New Roman" w:hAnsi="Times New Roman"/>
          <w:noProof/>
          <w:color w:val="000000"/>
          <w:sz w:val="24"/>
          <w:lang w:val="fr-FR"/>
        </w:rPr>
        <w:t xml:space="preserve"> pour l’ensemble des États membres participants; </w:t>
      </w:r>
    </w:p>
    <w:p w:rsidR="00856281" w:rsidRDefault="00F3670C">
      <w:pPr>
        <w:pStyle w:val="ListParagraph"/>
        <w:numPr>
          <w:ilvl w:val="0"/>
          <w:numId w:val="2"/>
        </w:numPr>
        <w:pBdr>
          <w:top w:val="single" w:sz="4" w:space="1" w:color="auto"/>
          <w:left w:val="single" w:sz="4" w:space="4" w:color="auto"/>
          <w:bottom w:val="single" w:sz="4" w:space="1" w:color="auto"/>
          <w:right w:val="single" w:sz="4" w:space="4" w:color="auto"/>
        </w:pBdr>
        <w:spacing w:line="240" w:lineRule="auto"/>
        <w:ind w:left="284" w:hanging="284"/>
        <w:jc w:val="both"/>
        <w:rPr>
          <w:rFonts w:ascii="Times New Roman" w:hAnsi="Times New Roman" w:cs="Times New Roman"/>
          <w:noProof/>
          <w:color w:val="000000"/>
          <w:sz w:val="24"/>
          <w:szCs w:val="24"/>
          <w:lang w:val="fr-FR"/>
        </w:rPr>
      </w:pPr>
      <w:r>
        <w:rPr>
          <w:rFonts w:ascii="Times New Roman" w:hAnsi="Times New Roman"/>
          <w:noProof/>
          <w:color w:val="000000"/>
          <w:sz w:val="24"/>
          <w:lang w:val="fr-FR"/>
        </w:rPr>
        <w:t xml:space="preserve">soutenir les améliorations de l’enseignement scolaire en </w:t>
      </w:r>
      <w:r>
        <w:rPr>
          <w:rFonts w:ascii="Times New Roman" w:hAnsi="Times New Roman"/>
          <w:b/>
          <w:noProof/>
          <w:color w:val="000000"/>
          <w:sz w:val="24"/>
          <w:lang w:val="fr-FR"/>
        </w:rPr>
        <w:t>sciences, technologies, ingénierie et mathématiques</w:t>
      </w:r>
      <w:r>
        <w:rPr>
          <w:rFonts w:ascii="Times New Roman" w:hAnsi="Times New Roman"/>
          <w:noProof/>
          <w:color w:val="000000"/>
          <w:sz w:val="24"/>
          <w:lang w:val="fr-FR"/>
        </w:rPr>
        <w:t xml:space="preserve"> par la promotion de bonnes prati</w:t>
      </w:r>
      <w:r>
        <w:rPr>
          <w:rFonts w:ascii="Times New Roman" w:hAnsi="Times New Roman"/>
          <w:noProof/>
          <w:color w:val="000000"/>
          <w:sz w:val="24"/>
          <w:lang w:val="fr-FR"/>
        </w:rPr>
        <w:t>ques en matière de développement de liens et de coopération entre établissements d’enseignement supérieur, instituts de recherche et entreprises avec des écoles au niveau de l’UE et une lutte efficace contre les écarts entre garçons et filles et les stéréo</w:t>
      </w:r>
      <w:r>
        <w:rPr>
          <w:rFonts w:ascii="Times New Roman" w:hAnsi="Times New Roman"/>
          <w:noProof/>
          <w:color w:val="000000"/>
          <w:sz w:val="24"/>
          <w:lang w:val="fr-FR"/>
        </w:rPr>
        <w:t>types de genre, en ayant recours à Erasmus+;</w:t>
      </w:r>
    </w:p>
    <w:p w:rsidR="00856281" w:rsidRDefault="00F3670C">
      <w:pPr>
        <w:pStyle w:val="ListParagraph"/>
        <w:numPr>
          <w:ilvl w:val="0"/>
          <w:numId w:val="2"/>
        </w:numPr>
        <w:pBdr>
          <w:top w:val="single" w:sz="4" w:space="1" w:color="auto"/>
          <w:left w:val="single" w:sz="4" w:space="4" w:color="auto"/>
          <w:bottom w:val="single" w:sz="4" w:space="1" w:color="auto"/>
          <w:right w:val="single" w:sz="4" w:space="4" w:color="auto"/>
        </w:pBdr>
        <w:spacing w:line="240" w:lineRule="auto"/>
        <w:ind w:left="284" w:hanging="284"/>
        <w:jc w:val="both"/>
        <w:rPr>
          <w:rFonts w:ascii="Times New Roman" w:hAnsi="Times New Roman"/>
          <w:noProof/>
          <w:color w:val="000000"/>
          <w:sz w:val="24"/>
          <w:lang w:val="fr-FR"/>
        </w:rPr>
      </w:pPr>
      <w:r>
        <w:rPr>
          <w:rFonts w:ascii="Times New Roman" w:hAnsi="Times New Roman"/>
          <w:noProof/>
          <w:color w:val="000000"/>
          <w:sz w:val="24"/>
          <w:lang w:val="fr-FR"/>
        </w:rPr>
        <w:t xml:space="preserve">favoriser et soutenir l’expérimentation de politiques relatives au développement des </w:t>
      </w:r>
      <w:r>
        <w:rPr>
          <w:rFonts w:ascii="Times New Roman" w:hAnsi="Times New Roman"/>
          <w:b/>
          <w:noProof/>
          <w:color w:val="000000"/>
          <w:sz w:val="24"/>
          <w:lang w:val="fr-FR"/>
        </w:rPr>
        <w:t>pédagogies multilingues</w:t>
      </w:r>
      <w:r>
        <w:rPr>
          <w:rFonts w:ascii="Times New Roman" w:hAnsi="Times New Roman"/>
          <w:noProof/>
          <w:color w:val="000000"/>
          <w:sz w:val="24"/>
          <w:lang w:val="fr-FR"/>
        </w:rPr>
        <w:t xml:space="preserve"> et de l’</w:t>
      </w:r>
      <w:r>
        <w:rPr>
          <w:rFonts w:ascii="Times New Roman" w:hAnsi="Times New Roman"/>
          <w:b/>
          <w:noProof/>
          <w:color w:val="000000"/>
          <w:sz w:val="24"/>
          <w:lang w:val="fr-FR"/>
        </w:rPr>
        <w:t>enseignement dans des classes caractérisées par la diversité</w:t>
      </w:r>
      <w:r>
        <w:rPr>
          <w:rFonts w:ascii="Times New Roman" w:hAnsi="Times New Roman"/>
          <w:noProof/>
          <w:color w:val="000000"/>
          <w:sz w:val="24"/>
          <w:lang w:val="fr-FR"/>
        </w:rPr>
        <w:t>, dans le cadre du programme de tr</w:t>
      </w:r>
      <w:r>
        <w:rPr>
          <w:rFonts w:ascii="Times New Roman" w:hAnsi="Times New Roman"/>
          <w:noProof/>
          <w:color w:val="000000"/>
          <w:sz w:val="24"/>
          <w:lang w:val="fr-FR"/>
        </w:rPr>
        <w:t>avail 2018 d’Erasmus+;</w:t>
      </w:r>
    </w:p>
    <w:p w:rsidR="00856281" w:rsidRDefault="00F3670C">
      <w:pPr>
        <w:pStyle w:val="ListParagraph"/>
        <w:numPr>
          <w:ilvl w:val="0"/>
          <w:numId w:val="3"/>
        </w:numPr>
        <w:pBdr>
          <w:top w:val="single" w:sz="4" w:space="1" w:color="auto"/>
          <w:left w:val="single" w:sz="4" w:space="4" w:color="auto"/>
          <w:bottom w:val="single" w:sz="4" w:space="1" w:color="auto"/>
          <w:right w:val="single" w:sz="4" w:space="4" w:color="auto"/>
        </w:pBdr>
        <w:spacing w:after="0" w:line="240" w:lineRule="auto"/>
        <w:ind w:left="284" w:hanging="284"/>
        <w:jc w:val="both"/>
        <w:rPr>
          <w:rFonts w:ascii="Times New Roman" w:hAnsi="Times New Roman" w:cs="Times New Roman"/>
          <w:noProof/>
          <w:sz w:val="24"/>
          <w:szCs w:val="24"/>
          <w:lang w:val="fr-FR"/>
        </w:rPr>
      </w:pPr>
      <w:r>
        <w:rPr>
          <w:rFonts w:ascii="Times New Roman" w:hAnsi="Times New Roman"/>
          <w:noProof/>
          <w:color w:val="000000"/>
          <w:sz w:val="24"/>
          <w:lang w:val="fr-FR"/>
        </w:rPr>
        <w:t>donner suite aux observations formulées par le comité des droits des personnes handicapées des Nations unies en appuyant une coopération entre l’</w:t>
      </w:r>
      <w:r>
        <w:rPr>
          <w:rFonts w:ascii="Times New Roman" w:hAnsi="Times New Roman"/>
          <w:b/>
          <w:noProof/>
          <w:color w:val="000000"/>
          <w:sz w:val="24"/>
          <w:lang w:val="fr-FR"/>
        </w:rPr>
        <w:t>Agence européenne pour l’éducation adaptée et inclusive</w:t>
      </w:r>
      <w:r>
        <w:rPr>
          <w:rFonts w:ascii="Times New Roman" w:hAnsi="Times New Roman"/>
          <w:noProof/>
          <w:color w:val="000000"/>
          <w:sz w:val="24"/>
          <w:lang w:val="fr-FR"/>
        </w:rPr>
        <w:t xml:space="preserve"> et les États membres, à leur dem</w:t>
      </w:r>
      <w:r>
        <w:rPr>
          <w:rFonts w:ascii="Times New Roman" w:hAnsi="Times New Roman"/>
          <w:noProof/>
          <w:color w:val="000000"/>
          <w:sz w:val="24"/>
          <w:lang w:val="fr-FR"/>
        </w:rPr>
        <w:t>ande, pour mettre en œuvre les dispositions en matière d’enseignement de la convention des Nations unies relative aux droits des personnes handicapées;</w:t>
      </w:r>
    </w:p>
    <w:p w:rsidR="00856281" w:rsidRDefault="00F3670C">
      <w:pPr>
        <w:pStyle w:val="ListParagraph"/>
        <w:numPr>
          <w:ilvl w:val="0"/>
          <w:numId w:val="3"/>
        </w:numPr>
        <w:pBdr>
          <w:top w:val="single" w:sz="4" w:space="1" w:color="auto"/>
          <w:left w:val="single" w:sz="4" w:space="4" w:color="auto"/>
          <w:bottom w:val="single" w:sz="4" w:space="1" w:color="auto"/>
          <w:right w:val="single" w:sz="4" w:space="4" w:color="auto"/>
        </w:pBdr>
        <w:spacing w:after="0" w:line="240" w:lineRule="auto"/>
        <w:ind w:left="284" w:hanging="284"/>
        <w:jc w:val="both"/>
        <w:rPr>
          <w:rFonts w:ascii="Times New Roman" w:hAnsi="Times New Roman" w:cs="Times New Roman"/>
          <w:noProof/>
          <w:color w:val="000000"/>
          <w:sz w:val="24"/>
          <w:szCs w:val="24"/>
          <w:lang w:val="fr-FR"/>
        </w:rPr>
      </w:pPr>
      <w:r>
        <w:rPr>
          <w:rFonts w:ascii="Times New Roman" w:hAnsi="Times New Roman"/>
          <w:noProof/>
          <w:sz w:val="24"/>
          <w:lang w:val="fr-FR"/>
        </w:rPr>
        <w:t>continuer d’aider les États membres à fournir un niveau suffisant d’</w:t>
      </w:r>
      <w:r>
        <w:rPr>
          <w:rFonts w:ascii="Times New Roman" w:hAnsi="Times New Roman"/>
          <w:b/>
          <w:noProof/>
          <w:sz w:val="24"/>
          <w:lang w:val="fr-FR"/>
        </w:rPr>
        <w:t>éducation et d’accueil de qualité po</w:t>
      </w:r>
      <w:r>
        <w:rPr>
          <w:rFonts w:ascii="Times New Roman" w:hAnsi="Times New Roman"/>
          <w:b/>
          <w:noProof/>
          <w:sz w:val="24"/>
          <w:lang w:val="fr-FR"/>
        </w:rPr>
        <w:t>ur les jeunes enfants</w:t>
      </w:r>
      <w:r>
        <w:rPr>
          <w:rFonts w:ascii="Times New Roman" w:hAnsi="Times New Roman"/>
          <w:noProof/>
          <w:sz w:val="24"/>
          <w:lang w:val="fr-FR"/>
        </w:rPr>
        <w:t xml:space="preserve"> et intensifier les efforts pour faciliter l’apprentissage mutuel et recenser les bonnes pratiques.</w:t>
      </w:r>
    </w:p>
    <w:p w:rsidR="00856281" w:rsidRDefault="00F3670C">
      <w:pPr>
        <w:keepNext/>
        <w:autoSpaceDE w:val="0"/>
        <w:autoSpaceDN w:val="0"/>
        <w:adjustRightInd w:val="0"/>
        <w:spacing w:before="240" w:after="240" w:line="240" w:lineRule="auto"/>
        <w:jc w:val="both"/>
        <w:rPr>
          <w:rFonts w:ascii="Times New Roman" w:hAnsi="Times New Roman" w:cs="Times New Roman"/>
          <w:b/>
          <w:noProof/>
          <w:color w:val="000000"/>
          <w:sz w:val="24"/>
          <w:szCs w:val="24"/>
          <w:lang w:val="fr-FR"/>
        </w:rPr>
      </w:pPr>
      <w:r>
        <w:rPr>
          <w:rFonts w:ascii="Times New Roman" w:hAnsi="Times New Roman"/>
          <w:b/>
          <w:noProof/>
          <w:color w:val="000000"/>
          <w:sz w:val="24"/>
          <w:lang w:val="fr-FR"/>
        </w:rPr>
        <w:t>2.1</w:t>
      </w:r>
      <w:r>
        <w:rPr>
          <w:noProof/>
          <w:lang w:val="fr-FR"/>
        </w:rPr>
        <w:tab/>
      </w:r>
      <w:r>
        <w:rPr>
          <w:rFonts w:ascii="Times New Roman" w:hAnsi="Times New Roman"/>
          <w:b/>
          <w:noProof/>
          <w:color w:val="000000"/>
          <w:sz w:val="24"/>
          <w:lang w:val="fr-FR"/>
        </w:rPr>
        <w:t>Soutenir tous les apprenants et le développement de leurs compétences</w:t>
      </w:r>
    </w:p>
    <w:p w:rsidR="00856281" w:rsidRDefault="00F3670C">
      <w:pPr>
        <w:keepNext/>
        <w:spacing w:after="120" w:line="240" w:lineRule="auto"/>
        <w:jc w:val="both"/>
        <w:rPr>
          <w:rFonts w:ascii="Times New Roman" w:hAnsi="Times New Roman" w:cs="Times New Roman"/>
          <w:noProof/>
          <w:color w:val="000000"/>
          <w:sz w:val="24"/>
          <w:szCs w:val="24"/>
          <w:lang w:val="fr-FR"/>
        </w:rPr>
      </w:pPr>
      <w:r>
        <w:rPr>
          <w:rFonts w:ascii="Times New Roman" w:hAnsi="Times New Roman"/>
          <w:b/>
          <w:noProof/>
          <w:sz w:val="24"/>
          <w:lang w:val="fr-FR"/>
        </w:rPr>
        <w:t>Tous les jeunes doivent avoir la possibilité de développer la</w:t>
      </w:r>
      <w:r>
        <w:rPr>
          <w:rFonts w:ascii="Times New Roman" w:hAnsi="Times New Roman"/>
          <w:b/>
          <w:noProof/>
          <w:sz w:val="24"/>
          <w:lang w:val="fr-FR"/>
        </w:rPr>
        <w:t xml:space="preserve"> gamme complète des compétences clés.</w:t>
      </w:r>
      <w:r>
        <w:rPr>
          <w:rFonts w:ascii="Times New Roman" w:hAnsi="Times New Roman"/>
          <w:noProof/>
          <w:color w:val="000000"/>
          <w:sz w:val="24"/>
          <w:lang w:val="fr-FR"/>
        </w:rPr>
        <w:t xml:space="preserve"> Parmi ces compétences figurent la lecture et l’écriture, les langues étrangères, les mathématiques, les sciences, les compétences numériques et en codage ainsi que les compétences civiques et sociales, mais aussi les c</w:t>
      </w:r>
      <w:r>
        <w:rPr>
          <w:rFonts w:ascii="Times New Roman" w:hAnsi="Times New Roman"/>
          <w:noProof/>
          <w:color w:val="000000"/>
          <w:sz w:val="24"/>
          <w:lang w:val="fr-FR"/>
        </w:rPr>
        <w:t>ompétences entrepreneuriales et des compétences transversales telles que la créativité et la pensée critique. En dépit de leur importance, les jeunes ne développent pas tous pleinement ces compétences. Le cadre européen de 2006 sur les compétences clés pou</w:t>
      </w:r>
      <w:r>
        <w:rPr>
          <w:rFonts w:ascii="Times New Roman" w:hAnsi="Times New Roman"/>
          <w:noProof/>
          <w:color w:val="000000"/>
          <w:sz w:val="24"/>
          <w:lang w:val="fr-FR"/>
        </w:rPr>
        <w:t>r l’éducation et la formation tout au long de la vie</w:t>
      </w:r>
      <w:r>
        <w:rPr>
          <w:rStyle w:val="FootnoteReference"/>
          <w:rFonts w:ascii="Times New Roman" w:hAnsi="Times New Roman"/>
          <w:noProof/>
          <w:color w:val="000000"/>
          <w:sz w:val="24"/>
        </w:rPr>
        <w:footnoteReference w:id="15"/>
      </w:r>
      <w:r>
        <w:rPr>
          <w:rFonts w:ascii="Times New Roman" w:hAnsi="Times New Roman"/>
          <w:noProof/>
          <w:color w:val="000000"/>
          <w:sz w:val="24"/>
          <w:lang w:val="fr-FR"/>
        </w:rPr>
        <w:t xml:space="preserve"> contribue à l’acquisition de ces compétences. Sa révision, annoncée dans la «Nouvelle stratégie en matière de compétences», aidera à renforcer davantage le développement des compétences dans les domaines de l’enseignement et de la formation. Pour les écol</w:t>
      </w:r>
      <w:r>
        <w:rPr>
          <w:rFonts w:ascii="Times New Roman" w:hAnsi="Times New Roman"/>
          <w:noProof/>
          <w:color w:val="000000"/>
          <w:sz w:val="24"/>
          <w:lang w:val="fr-FR"/>
        </w:rPr>
        <w:t>es, cela nécessite également un changement dans la manière dont l’apprentissage a lieu.</w:t>
      </w:r>
    </w:p>
    <w:p w:rsidR="00856281" w:rsidRDefault="00F3670C">
      <w:pPr>
        <w:spacing w:after="120" w:line="240" w:lineRule="auto"/>
        <w:jc w:val="both"/>
        <w:rPr>
          <w:rFonts w:ascii="Times New Roman" w:hAnsi="Times New Roman" w:cs="Times New Roman"/>
          <w:noProof/>
          <w:color w:val="000000"/>
          <w:sz w:val="24"/>
          <w:szCs w:val="24"/>
          <w:lang w:val="fr-FR"/>
        </w:rPr>
      </w:pPr>
      <w:r>
        <w:rPr>
          <w:rFonts w:ascii="Times New Roman" w:hAnsi="Times New Roman"/>
          <w:b/>
          <w:noProof/>
          <w:color w:val="000000"/>
          <w:sz w:val="24"/>
          <w:lang w:val="fr-FR"/>
        </w:rPr>
        <w:t xml:space="preserve">Lier l’apprentissage à une expérience concrète donne de meilleurs résultats. </w:t>
      </w:r>
      <w:r>
        <w:rPr>
          <w:rFonts w:ascii="Times New Roman" w:hAnsi="Times New Roman"/>
          <w:noProof/>
          <w:color w:val="000000"/>
          <w:sz w:val="24"/>
          <w:lang w:val="fr-FR"/>
        </w:rPr>
        <w:t>Un apprentissage basé sur des projets ou sur la résolution de problèmes, des expériences su</w:t>
      </w:r>
      <w:r>
        <w:rPr>
          <w:rFonts w:ascii="Times New Roman" w:hAnsi="Times New Roman"/>
          <w:noProof/>
          <w:color w:val="000000"/>
          <w:sz w:val="24"/>
          <w:lang w:val="fr-FR"/>
        </w:rPr>
        <w:t>r le tas ou un apprentissage par un service à la communauté accroissent la motivation des jeunes, remettent le contenu de l’apprentissage dans son contexte et offrent des possibilités de développement de compétences sociales, civiques et entrepreneuriales</w:t>
      </w:r>
      <w:r>
        <w:rPr>
          <w:rStyle w:val="FootnoteReference"/>
          <w:rFonts w:ascii="Times New Roman" w:hAnsi="Times New Roman"/>
          <w:noProof/>
          <w:color w:val="000000"/>
          <w:sz w:val="24"/>
        </w:rPr>
        <w:footnoteReference w:id="16"/>
      </w:r>
      <w:r>
        <w:rPr>
          <w:noProof/>
          <w:lang w:val="fr-FR"/>
        </w:rPr>
        <w:t>.</w:t>
      </w:r>
      <w:r>
        <w:rPr>
          <w:rFonts w:ascii="Times New Roman" w:hAnsi="Times New Roman"/>
          <w:noProof/>
          <w:color w:val="000000"/>
          <w:sz w:val="24"/>
          <w:lang w:val="fr-FR"/>
        </w:rPr>
        <w:t xml:space="preserve"> L’enseignement des sciences, des technologies, de l’ingénierie et des mathématiques est plus efficace lorsqu’il est rattaché à des problèmes économiques, environnementaux et sociaux ou aux arts et à la conception, démontrant ainsi son importance pour la </w:t>
      </w:r>
      <w:r>
        <w:rPr>
          <w:rFonts w:ascii="Times New Roman" w:hAnsi="Times New Roman"/>
          <w:noProof/>
          <w:color w:val="000000"/>
          <w:sz w:val="24"/>
          <w:lang w:val="fr-FR"/>
        </w:rPr>
        <w:t>vie quotidienne</w:t>
      </w:r>
      <w:r>
        <w:rPr>
          <w:rStyle w:val="FootnoteReference"/>
          <w:rFonts w:ascii="Times New Roman" w:hAnsi="Times New Roman"/>
          <w:noProof/>
          <w:color w:val="000000"/>
          <w:sz w:val="24"/>
        </w:rPr>
        <w:footnoteReference w:id="17"/>
      </w:r>
      <w:r>
        <w:rPr>
          <w:noProof/>
          <w:lang w:val="fr-FR"/>
        </w:rPr>
        <w:t>.</w:t>
      </w:r>
      <w:r>
        <w:rPr>
          <w:rFonts w:ascii="Times New Roman" w:hAnsi="Times New Roman"/>
          <w:noProof/>
          <w:color w:val="000000"/>
          <w:sz w:val="24"/>
          <w:lang w:val="fr-FR"/>
        </w:rPr>
        <w:t xml:space="preserve"> </w:t>
      </w:r>
    </w:p>
    <w:p w:rsidR="00856281" w:rsidRDefault="00F3670C">
      <w:pPr>
        <w:autoSpaceDE w:val="0"/>
        <w:autoSpaceDN w:val="0"/>
        <w:adjustRightInd w:val="0"/>
        <w:spacing w:before="240" w:after="240" w:line="240" w:lineRule="auto"/>
        <w:jc w:val="both"/>
        <w:rPr>
          <w:rFonts w:ascii="Times New Roman" w:hAnsi="Times New Roman" w:cs="Times New Roman"/>
          <w:b/>
          <w:i/>
          <w:noProof/>
          <w:color w:val="000000"/>
          <w:sz w:val="24"/>
          <w:szCs w:val="24"/>
          <w:lang w:val="fr-FR"/>
        </w:rPr>
      </w:pPr>
      <w:r>
        <w:rPr>
          <w:rFonts w:ascii="Times New Roman" w:hAnsi="Times New Roman"/>
          <w:b/>
          <w:noProof/>
          <w:color w:val="000000"/>
          <w:sz w:val="24"/>
          <w:lang w:val="fr-FR"/>
        </w:rPr>
        <w:t xml:space="preserve">Les technologies numériques peuvent améliorer l’apprentissage et soutenir l’innovation dans les écoles. </w:t>
      </w:r>
      <w:r>
        <w:rPr>
          <w:rFonts w:ascii="Times New Roman" w:hAnsi="Times New Roman"/>
          <w:noProof/>
          <w:color w:val="000000"/>
          <w:sz w:val="24"/>
          <w:lang w:val="fr-FR"/>
        </w:rPr>
        <w:t>Utilisées correctement, les technologies numériques peuvent enrichir les expériences d’apprentissage et soutenir le développement au-</w:t>
      </w:r>
      <w:r>
        <w:rPr>
          <w:rFonts w:ascii="Times New Roman" w:hAnsi="Times New Roman"/>
          <w:noProof/>
          <w:color w:val="000000"/>
          <w:sz w:val="24"/>
          <w:lang w:val="fr-FR"/>
        </w:rPr>
        <w:t>delà de la compétence numérique. Or, à l’heure actuelle, seul un quart des écoliers européens bénéficient d’un enseignement dispensé par des enseignants se sentant à l’aise avec les technologies numériques</w:t>
      </w:r>
      <w:r>
        <w:rPr>
          <w:rStyle w:val="FootnoteReference"/>
          <w:rFonts w:ascii="Times New Roman" w:hAnsi="Times New Roman"/>
          <w:noProof/>
          <w:color w:val="000000"/>
          <w:sz w:val="24"/>
        </w:rPr>
        <w:footnoteReference w:id="18"/>
      </w:r>
      <w:r>
        <w:rPr>
          <w:noProof/>
          <w:lang w:val="fr-FR"/>
        </w:rPr>
        <w:t>.</w:t>
      </w:r>
      <w:r>
        <w:rPr>
          <w:rFonts w:ascii="Times New Roman" w:hAnsi="Times New Roman"/>
          <w:noProof/>
          <w:color w:val="000000"/>
          <w:sz w:val="24"/>
          <w:lang w:val="fr-FR"/>
        </w:rPr>
        <w:t xml:space="preserve"> Celles-ci peuvent contribuer à la communication </w:t>
      </w:r>
      <w:r>
        <w:rPr>
          <w:rFonts w:ascii="Times New Roman" w:hAnsi="Times New Roman"/>
          <w:noProof/>
          <w:color w:val="000000"/>
          <w:sz w:val="24"/>
          <w:lang w:val="fr-FR"/>
        </w:rPr>
        <w:t xml:space="preserve">et à la coopération dans et entre les écoles et renforcer la participation des élèves et de leur famille à la vie scolaire. </w:t>
      </w:r>
    </w:p>
    <w:p w:rsidR="00856281" w:rsidRDefault="00F3670C">
      <w:pPr>
        <w:autoSpaceDE w:val="0"/>
        <w:autoSpaceDN w:val="0"/>
        <w:adjustRightInd w:val="0"/>
        <w:spacing w:before="240" w:after="240" w:line="240" w:lineRule="auto"/>
        <w:jc w:val="both"/>
        <w:rPr>
          <w:rFonts w:ascii="Times New Roman" w:hAnsi="Times New Roman"/>
          <w:b/>
          <w:i/>
          <w:noProof/>
          <w:color w:val="000000"/>
          <w:sz w:val="24"/>
          <w:lang w:val="fr-FR"/>
        </w:rPr>
      </w:pPr>
      <w:r>
        <w:rPr>
          <w:rFonts w:ascii="Times New Roman" w:hAnsi="Times New Roman"/>
          <w:b/>
          <w:noProof/>
          <w:color w:val="000000"/>
          <w:sz w:val="24"/>
          <w:lang w:val="fr-FR"/>
        </w:rPr>
        <w:t>Les écoles doivent soutenir tous les apprenants et répondre à leurs besoins spécifiques</w:t>
      </w:r>
      <w:r>
        <w:rPr>
          <w:rFonts w:ascii="Times New Roman" w:hAnsi="Times New Roman"/>
          <w:noProof/>
          <w:color w:val="000000"/>
          <w:sz w:val="24"/>
          <w:lang w:val="fr-FR"/>
        </w:rPr>
        <w:t xml:space="preserve">. Les écoles qui accordent une attention à </w:t>
      </w:r>
      <w:r>
        <w:rPr>
          <w:rFonts w:ascii="Times New Roman" w:hAnsi="Times New Roman"/>
          <w:noProof/>
          <w:color w:val="000000"/>
          <w:sz w:val="24"/>
          <w:lang w:val="fr-FR"/>
        </w:rPr>
        <w:t>l’évolution des besoins des différents élèves obtiennent de meilleurs résultats. Ce phénomène présente également une dimension de genre. Les écoles qui intègrent la diversité linguistique et culturelle de l’ensemble de leur population scolaire et soutienne</w:t>
      </w:r>
      <w:r>
        <w:rPr>
          <w:rFonts w:ascii="Times New Roman" w:hAnsi="Times New Roman"/>
          <w:noProof/>
          <w:color w:val="000000"/>
          <w:sz w:val="24"/>
          <w:lang w:val="fr-FR"/>
        </w:rPr>
        <w:t>nt l’intégration ont une incidence positive sur la capacité d’apprentissage de tous les enfants</w:t>
      </w:r>
      <w:r>
        <w:rPr>
          <w:rStyle w:val="FootnoteReference"/>
          <w:rFonts w:ascii="Times New Roman" w:hAnsi="Times New Roman"/>
          <w:noProof/>
          <w:color w:val="000000"/>
          <w:sz w:val="24"/>
        </w:rPr>
        <w:footnoteReference w:id="19"/>
      </w:r>
      <w:r>
        <w:rPr>
          <w:noProof/>
          <w:lang w:val="fr-FR"/>
        </w:rPr>
        <w:t>.</w:t>
      </w:r>
      <w:r>
        <w:rPr>
          <w:rFonts w:ascii="Times New Roman" w:hAnsi="Times New Roman"/>
          <w:noProof/>
          <w:color w:val="000000"/>
          <w:sz w:val="24"/>
          <w:lang w:val="fr-FR"/>
        </w:rPr>
        <w:t xml:space="preserve"> Ce n’est toutefois pas toujours le cas actuellement. Certains États membres de l’UE rencontrent des difficultés pour fournir aux élèves handicapés un accès à </w:t>
      </w:r>
      <w:r>
        <w:rPr>
          <w:rFonts w:ascii="Times New Roman" w:hAnsi="Times New Roman"/>
          <w:noProof/>
          <w:color w:val="000000"/>
          <w:sz w:val="24"/>
          <w:lang w:val="fr-FR"/>
        </w:rPr>
        <w:t>un enseignement inclusif de qualité</w:t>
      </w:r>
      <w:r>
        <w:rPr>
          <w:rStyle w:val="FootnoteReference"/>
          <w:rFonts w:ascii="Times New Roman" w:hAnsi="Times New Roman"/>
          <w:noProof/>
          <w:color w:val="000000"/>
          <w:sz w:val="24"/>
        </w:rPr>
        <w:footnoteReference w:id="20"/>
      </w:r>
      <w:r>
        <w:rPr>
          <w:noProof/>
          <w:lang w:val="fr-FR"/>
        </w:rPr>
        <w:t>.</w:t>
      </w:r>
      <w:r>
        <w:rPr>
          <w:rFonts w:ascii="Times New Roman" w:hAnsi="Times New Roman"/>
          <w:noProof/>
          <w:color w:val="000000"/>
          <w:sz w:val="24"/>
          <w:lang w:val="fr-FR"/>
        </w:rPr>
        <w:t xml:space="preserve"> Dans certaines villes et régions, une part importante des écoliers ne parlent pas la langue d’enseignement chez eux. Ce sont tout particulièrement les enfants migrants nouvellement arrivés qui ont besoin de programmes </w:t>
      </w:r>
      <w:r>
        <w:rPr>
          <w:rFonts w:ascii="Times New Roman" w:hAnsi="Times New Roman"/>
          <w:noProof/>
          <w:color w:val="000000"/>
          <w:sz w:val="24"/>
          <w:lang w:val="fr-FR"/>
        </w:rPr>
        <w:t>d’apprentissage linguistique ciblés pour mieux s’intégrer à l’école</w:t>
      </w:r>
      <w:r>
        <w:rPr>
          <w:rFonts w:ascii="Times New Roman" w:hAnsi="Times New Roman"/>
          <w:noProof/>
          <w:color w:val="000000"/>
          <w:sz w:val="24"/>
          <w:vertAlign w:val="superscript"/>
        </w:rPr>
        <w:footnoteReference w:id="21"/>
      </w:r>
      <w:r>
        <w:rPr>
          <w:rFonts w:ascii="Times New Roman" w:hAnsi="Times New Roman"/>
          <w:noProof/>
          <w:color w:val="000000"/>
          <w:sz w:val="24"/>
          <w:lang w:val="fr-FR"/>
        </w:rPr>
        <w:t xml:space="preserve">. Dans un certain nombre de pays, les Roms et d’autres minorités ethniques n’ont pas accès à un enseignement de qualité. </w:t>
      </w:r>
    </w:p>
    <w:p w:rsidR="00856281" w:rsidRDefault="00F3670C">
      <w:pPr>
        <w:keepNext/>
        <w:autoSpaceDE w:val="0"/>
        <w:autoSpaceDN w:val="0"/>
        <w:adjustRightInd w:val="0"/>
        <w:spacing w:before="240" w:after="240" w:line="240" w:lineRule="auto"/>
        <w:jc w:val="both"/>
        <w:rPr>
          <w:rFonts w:ascii="Times New Roman" w:hAnsi="Times New Roman" w:cs="Times New Roman"/>
          <w:b/>
          <w:noProof/>
          <w:color w:val="000000"/>
          <w:sz w:val="24"/>
          <w:szCs w:val="24"/>
          <w:lang w:val="fr-FR"/>
        </w:rPr>
      </w:pPr>
      <w:r>
        <w:rPr>
          <w:rFonts w:ascii="Times New Roman" w:hAnsi="Times New Roman"/>
          <w:b/>
          <w:noProof/>
          <w:color w:val="000000"/>
          <w:sz w:val="24"/>
          <w:lang w:val="fr-FR"/>
        </w:rPr>
        <w:t>2.2.</w:t>
      </w:r>
      <w:r>
        <w:rPr>
          <w:noProof/>
          <w:lang w:val="fr-FR"/>
        </w:rPr>
        <w:tab/>
      </w:r>
      <w:r>
        <w:rPr>
          <w:rFonts w:ascii="Times New Roman" w:hAnsi="Times New Roman"/>
          <w:b/>
          <w:noProof/>
          <w:color w:val="000000"/>
          <w:sz w:val="24"/>
          <w:lang w:val="fr-FR"/>
        </w:rPr>
        <w:t xml:space="preserve">Améliorer l’apprentissage en l’ouvrant à de nouvelles formes </w:t>
      </w:r>
      <w:r>
        <w:rPr>
          <w:rFonts w:ascii="Times New Roman" w:hAnsi="Times New Roman"/>
          <w:b/>
          <w:noProof/>
          <w:color w:val="000000"/>
          <w:sz w:val="24"/>
          <w:lang w:val="fr-FR"/>
        </w:rPr>
        <w:t>de coopération</w:t>
      </w:r>
    </w:p>
    <w:p w:rsidR="00856281" w:rsidRDefault="00F3670C">
      <w:pPr>
        <w:autoSpaceDE w:val="0"/>
        <w:autoSpaceDN w:val="0"/>
        <w:adjustRightInd w:val="0"/>
        <w:spacing w:before="240" w:after="240" w:line="240" w:lineRule="auto"/>
        <w:jc w:val="both"/>
        <w:rPr>
          <w:rFonts w:ascii="Times New Roman" w:eastAsia="Calibri" w:hAnsi="Times New Roman" w:cs="Times New Roman"/>
          <w:b/>
          <w:noProof/>
          <w:color w:val="000000"/>
          <w:sz w:val="24"/>
          <w:szCs w:val="24"/>
          <w:lang w:val="fr-FR"/>
        </w:rPr>
      </w:pPr>
      <w:r>
        <w:rPr>
          <w:rFonts w:ascii="Times New Roman" w:hAnsi="Times New Roman"/>
          <w:b/>
          <w:noProof/>
          <w:color w:val="000000"/>
          <w:sz w:val="24"/>
          <w:lang w:val="fr-FR"/>
        </w:rPr>
        <w:t>La coopération aide les écoles à enrichir les expériences et les résultats d’apprentissage et à fournir aux jeunes un meilleur soutien pour le développement des compétences dont ils ont besoin.</w:t>
      </w:r>
      <w:r>
        <w:rPr>
          <w:rFonts w:ascii="Times New Roman" w:hAnsi="Times New Roman"/>
          <w:noProof/>
          <w:color w:val="000000"/>
          <w:sz w:val="24"/>
          <w:lang w:val="fr-FR"/>
        </w:rPr>
        <w:t xml:space="preserve"> Il s’agit notamment de la coopération avec les services locaux, les organisations sociales, les entreprises et les universités, mais aussi de la coopération au sein même des écoles. Les jeunes exposés au risque de décrochage scolaire bénéficient d’une coo</w:t>
      </w:r>
      <w:r>
        <w:rPr>
          <w:rFonts w:ascii="Times New Roman" w:hAnsi="Times New Roman"/>
          <w:noProof/>
          <w:color w:val="000000"/>
          <w:sz w:val="24"/>
          <w:lang w:val="fr-FR"/>
        </w:rPr>
        <w:t>pération étroite avec les services sociaux ou les animateurs socio-éducatifs. Une interaction précoce avec des conseillers d’orientation, des entrepreneurs et des universitaires aide les jeunes à se préparer à futur emploi et à de futures études</w:t>
      </w:r>
      <w:r>
        <w:rPr>
          <w:rStyle w:val="FootnoteReference"/>
          <w:rFonts w:ascii="Times New Roman" w:hAnsi="Times New Roman"/>
          <w:noProof/>
          <w:color w:val="000000"/>
          <w:sz w:val="24"/>
        </w:rPr>
        <w:footnoteReference w:id="22"/>
      </w:r>
      <w:r>
        <w:rPr>
          <w:noProof/>
          <w:lang w:val="fr-FR"/>
        </w:rPr>
        <w:t>.</w:t>
      </w:r>
      <w:r>
        <w:rPr>
          <w:rStyle w:val="FootnoteReference"/>
          <w:rFonts w:ascii="Times New Roman" w:hAnsi="Times New Roman"/>
          <w:noProof/>
          <w:color w:val="000000"/>
          <w:sz w:val="24"/>
          <w:lang w:val="fr-FR"/>
        </w:rPr>
        <w:t xml:space="preserve"> </w:t>
      </w:r>
      <w:r>
        <w:rPr>
          <w:rFonts w:ascii="Times New Roman" w:hAnsi="Times New Roman"/>
          <w:noProof/>
          <w:color w:val="000000"/>
          <w:sz w:val="24"/>
          <w:lang w:val="fr-FR"/>
        </w:rPr>
        <w:t>Dans des</w:t>
      </w:r>
      <w:r>
        <w:rPr>
          <w:rFonts w:ascii="Times New Roman" w:hAnsi="Times New Roman"/>
          <w:noProof/>
          <w:color w:val="000000"/>
          <w:sz w:val="24"/>
          <w:lang w:val="fr-FR"/>
        </w:rPr>
        <w:t xml:space="preserve"> matières telles que les sciences ou le sport, les étudiants tirent profit d’une collaboration entre leur école et d’autres prestataires de services éducatifs, des entreprises et la société civile</w:t>
      </w:r>
      <w:r>
        <w:rPr>
          <w:rStyle w:val="FootnoteReference"/>
          <w:rFonts w:ascii="Times New Roman" w:hAnsi="Times New Roman"/>
          <w:noProof/>
          <w:color w:val="000000"/>
          <w:sz w:val="24"/>
        </w:rPr>
        <w:footnoteReference w:id="23"/>
      </w:r>
      <w:r>
        <w:rPr>
          <w:noProof/>
          <w:lang w:val="fr-FR"/>
        </w:rPr>
        <w:t>.</w:t>
      </w:r>
      <w:r>
        <w:rPr>
          <w:rFonts w:ascii="Times New Roman" w:hAnsi="Times New Roman"/>
          <w:noProof/>
          <w:color w:val="000000"/>
          <w:sz w:val="24"/>
          <w:lang w:val="fr-FR"/>
        </w:rPr>
        <w:t xml:space="preserve"> Cependant, les écoles ne disposent pas toutes d’un soutie</w:t>
      </w:r>
      <w:r>
        <w:rPr>
          <w:rFonts w:ascii="Times New Roman" w:hAnsi="Times New Roman"/>
          <w:noProof/>
          <w:color w:val="000000"/>
          <w:sz w:val="24"/>
          <w:lang w:val="fr-FR"/>
        </w:rPr>
        <w:t>n externe suffisant et ne soutiennent pas toutes la coopération nécessaire entre leurs propres enseignants, leur personnel non enseignant, leurs élèves et leurs parents</w:t>
      </w:r>
      <w:r>
        <w:rPr>
          <w:rStyle w:val="FootnoteReference"/>
          <w:rFonts w:ascii="Times New Roman" w:hAnsi="Times New Roman"/>
          <w:noProof/>
          <w:color w:val="000000"/>
          <w:sz w:val="24"/>
        </w:rPr>
        <w:footnoteReference w:id="24"/>
      </w:r>
      <w:r>
        <w:rPr>
          <w:noProof/>
          <w:lang w:val="fr-FR"/>
        </w:rPr>
        <w:t>.</w:t>
      </w:r>
      <w:r>
        <w:rPr>
          <w:rFonts w:ascii="Times New Roman" w:hAnsi="Times New Roman"/>
          <w:b/>
          <w:noProof/>
          <w:color w:val="000000"/>
          <w:sz w:val="24"/>
          <w:lang w:val="fr-FR"/>
        </w:rPr>
        <w:t xml:space="preserve"> </w:t>
      </w:r>
    </w:p>
    <w:p w:rsidR="00856281" w:rsidRDefault="00F3670C">
      <w:pPr>
        <w:spacing w:after="120" w:line="240" w:lineRule="auto"/>
        <w:jc w:val="both"/>
        <w:rPr>
          <w:rFonts w:ascii="Times New Roman" w:eastAsia="SimSun" w:hAnsi="Times New Roman"/>
          <w:noProof/>
          <w:color w:val="000000"/>
          <w:sz w:val="24"/>
          <w:szCs w:val="24"/>
          <w:lang w:val="fr-FR"/>
        </w:rPr>
      </w:pPr>
      <w:r>
        <w:rPr>
          <w:rFonts w:ascii="Times New Roman" w:hAnsi="Times New Roman"/>
          <w:b/>
          <w:noProof/>
          <w:color w:val="000000"/>
          <w:sz w:val="24"/>
          <w:lang w:val="fr-FR"/>
        </w:rPr>
        <w:t xml:space="preserve">Le harcèlement, le cyberharcèlement et la violence nuisent au bien-être de l’enfant </w:t>
      </w:r>
      <w:r>
        <w:rPr>
          <w:rFonts w:ascii="Times New Roman" w:hAnsi="Times New Roman"/>
          <w:b/>
          <w:noProof/>
          <w:color w:val="000000"/>
          <w:sz w:val="24"/>
          <w:lang w:val="fr-FR"/>
        </w:rPr>
        <w:t>et à sa réussite scolaire</w:t>
      </w:r>
      <w:r>
        <w:rPr>
          <w:rFonts w:ascii="Times New Roman" w:hAnsi="Times New Roman"/>
          <w:noProof/>
          <w:color w:val="000000"/>
          <w:sz w:val="24"/>
          <w:vertAlign w:val="superscript"/>
        </w:rPr>
        <w:footnoteReference w:id="25"/>
      </w:r>
      <w:r>
        <w:rPr>
          <w:rFonts w:ascii="Times New Roman" w:hAnsi="Times New Roman"/>
          <w:b/>
          <w:noProof/>
          <w:color w:val="000000"/>
          <w:sz w:val="24"/>
          <w:lang w:val="fr-FR"/>
        </w:rPr>
        <w:t xml:space="preserve">. </w:t>
      </w:r>
      <w:r>
        <w:rPr>
          <w:rFonts w:ascii="Times New Roman" w:hAnsi="Times New Roman"/>
          <w:noProof/>
          <w:color w:val="000000"/>
          <w:sz w:val="24"/>
          <w:lang w:val="fr-FR"/>
        </w:rPr>
        <w:t>Le bien-être physique et mental est une condition préalable de la réussite d’un apprentissage.</w:t>
      </w:r>
      <w:r>
        <w:rPr>
          <w:noProof/>
          <w:lang w:val="fr-FR"/>
        </w:rPr>
        <w:t xml:space="preserve"> </w:t>
      </w:r>
      <w:r>
        <w:rPr>
          <w:rFonts w:ascii="Times New Roman" w:hAnsi="Times New Roman"/>
          <w:noProof/>
          <w:color w:val="000000"/>
          <w:sz w:val="24"/>
          <w:lang w:val="fr-FR"/>
        </w:rPr>
        <w:t>Il est avéré que les stratégies associant enseignants et parents sont les plus efficaces pour lutter contre toute forme de harcèlemen</w:t>
      </w:r>
      <w:r>
        <w:rPr>
          <w:rFonts w:ascii="Times New Roman" w:hAnsi="Times New Roman"/>
          <w:noProof/>
          <w:color w:val="000000"/>
          <w:sz w:val="24"/>
          <w:lang w:val="fr-FR"/>
        </w:rPr>
        <w:t>t</w:t>
      </w:r>
      <w:r>
        <w:rPr>
          <w:rFonts w:ascii="Times New Roman" w:hAnsi="Times New Roman"/>
          <w:noProof/>
          <w:color w:val="000000"/>
          <w:sz w:val="24"/>
          <w:vertAlign w:val="superscript"/>
        </w:rPr>
        <w:footnoteReference w:id="26"/>
      </w:r>
      <w:r>
        <w:rPr>
          <w:rFonts w:ascii="Times New Roman" w:hAnsi="Times New Roman"/>
          <w:noProof/>
          <w:color w:val="000000"/>
          <w:sz w:val="24"/>
          <w:lang w:val="fr-FR"/>
        </w:rPr>
        <w:t xml:space="preserve">. Afin d’endiguer le harcèlement et la violence, les enfants doivent apprendre la tolérance et la diversité. Il en va de même de la sécurité en ligne et de l’utilisation responsable des médias sociaux. </w:t>
      </w:r>
    </w:p>
    <w:p w:rsidR="00856281" w:rsidRDefault="00F3670C">
      <w:pPr>
        <w:autoSpaceDE w:val="0"/>
        <w:autoSpaceDN w:val="0"/>
        <w:adjustRightInd w:val="0"/>
        <w:spacing w:before="240" w:after="240" w:line="240" w:lineRule="auto"/>
        <w:jc w:val="both"/>
        <w:rPr>
          <w:rFonts w:ascii="Times New Roman" w:hAnsi="Times New Roman" w:cs="Times New Roman"/>
          <w:noProof/>
          <w:color w:val="000000"/>
          <w:sz w:val="24"/>
          <w:szCs w:val="24"/>
          <w:lang w:val="fr-FR"/>
        </w:rPr>
      </w:pPr>
      <w:r>
        <w:rPr>
          <w:rFonts w:ascii="Times New Roman" w:hAnsi="Times New Roman"/>
          <w:b/>
          <w:noProof/>
          <w:color w:val="000000"/>
          <w:sz w:val="24"/>
          <w:lang w:val="fr-FR"/>
        </w:rPr>
        <w:t>Le recours à une approche associant tous les acteur</w:t>
      </w:r>
      <w:r>
        <w:rPr>
          <w:rFonts w:ascii="Times New Roman" w:hAnsi="Times New Roman"/>
          <w:b/>
          <w:noProof/>
          <w:color w:val="000000"/>
          <w:sz w:val="24"/>
          <w:lang w:val="fr-FR"/>
        </w:rPr>
        <w:t>s de l’école améliore les résultats d’apprentissage, l’inclusion et l’équité</w:t>
      </w:r>
      <w:r>
        <w:rPr>
          <w:rStyle w:val="FootnoteReference"/>
          <w:rFonts w:ascii="Times New Roman" w:hAnsi="Times New Roman"/>
          <w:noProof/>
          <w:color w:val="000000"/>
          <w:sz w:val="24"/>
        </w:rPr>
        <w:footnoteReference w:id="27"/>
      </w:r>
      <w:r>
        <w:rPr>
          <w:noProof/>
          <w:lang w:val="fr-FR"/>
        </w:rPr>
        <w:t>.</w:t>
      </w:r>
      <w:r>
        <w:rPr>
          <w:rFonts w:ascii="Times New Roman" w:hAnsi="Times New Roman"/>
          <w:noProof/>
          <w:color w:val="000000"/>
          <w:sz w:val="24"/>
          <w:lang w:val="fr-FR"/>
        </w:rPr>
        <w:t xml:space="preserve"> Avec cette approche, c’est toute l’école qui, en collaboration avec les parties prenantes externes et la communauté locale, participe à l'amélioration de la qualité de l’école. </w:t>
      </w:r>
      <w:r>
        <w:rPr>
          <w:rFonts w:ascii="Times New Roman" w:hAnsi="Times New Roman"/>
          <w:noProof/>
          <w:color w:val="000000"/>
          <w:sz w:val="24"/>
          <w:lang w:val="fr-FR"/>
        </w:rPr>
        <w:t>La plateforme en ligne «Boîte à outils européenne pour les écoles et établissements» et le portail «School Education Gateway», qui appuient cette approche, peuvent être consultés sur une base volontaire par toutes les écoles européennes, pour soutenir l’éc</w:t>
      </w:r>
      <w:r>
        <w:rPr>
          <w:rFonts w:ascii="Times New Roman" w:hAnsi="Times New Roman"/>
          <w:noProof/>
          <w:color w:val="000000"/>
          <w:sz w:val="24"/>
          <w:lang w:val="fr-FR"/>
        </w:rPr>
        <w:t>hange entre pairs et contribuer à l’amélioration des méthodes d’organisation, des pratiques d’enseignement et des expériences d’apprentissage</w:t>
      </w:r>
      <w:r>
        <w:rPr>
          <w:rStyle w:val="FootnoteReference"/>
          <w:rFonts w:ascii="Times New Roman" w:hAnsi="Times New Roman"/>
          <w:noProof/>
          <w:color w:val="000000"/>
          <w:sz w:val="24"/>
        </w:rPr>
        <w:footnoteReference w:id="28"/>
      </w:r>
      <w:r>
        <w:rPr>
          <w:noProof/>
          <w:lang w:val="fr-FR"/>
        </w:rPr>
        <w:t>.</w:t>
      </w:r>
      <w:r>
        <w:rPr>
          <w:rFonts w:ascii="Times New Roman" w:hAnsi="Times New Roman"/>
          <w:noProof/>
          <w:color w:val="000000"/>
          <w:sz w:val="24"/>
          <w:lang w:val="fr-FR"/>
        </w:rPr>
        <w:t xml:space="preserve"> Le programme Erasmus+ soutient les partenariats scolaires européens, en aidant les écoles à élargir leurs connex</w:t>
      </w:r>
      <w:r>
        <w:rPr>
          <w:rFonts w:ascii="Times New Roman" w:hAnsi="Times New Roman"/>
          <w:noProof/>
          <w:color w:val="000000"/>
          <w:sz w:val="24"/>
          <w:lang w:val="fr-FR"/>
        </w:rPr>
        <w:t>ions et en permettant des échanges transfrontières entre pairs</w:t>
      </w:r>
      <w:r>
        <w:rPr>
          <w:rFonts w:ascii="Times New Roman" w:hAnsi="Times New Roman"/>
          <w:noProof/>
          <w:color w:val="000000"/>
          <w:sz w:val="24"/>
          <w:vertAlign w:val="superscript"/>
        </w:rPr>
        <w:footnoteReference w:id="29"/>
      </w:r>
      <w:r>
        <w:rPr>
          <w:rFonts w:ascii="Times New Roman" w:hAnsi="Times New Roman"/>
          <w:noProof/>
          <w:color w:val="000000"/>
          <w:sz w:val="24"/>
          <w:lang w:val="fr-FR"/>
        </w:rPr>
        <w:t>.</w:t>
      </w:r>
    </w:p>
    <w:p w:rsidR="00856281" w:rsidRDefault="00F3670C">
      <w:pPr>
        <w:pBdr>
          <w:top w:val="single" w:sz="4" w:space="1" w:color="auto"/>
          <w:left w:val="single" w:sz="4" w:space="4" w:color="auto"/>
          <w:bottom w:val="single" w:sz="4" w:space="1" w:color="auto"/>
          <w:right w:val="single" w:sz="4" w:space="4" w:color="auto"/>
        </w:pBdr>
        <w:shd w:val="clear" w:color="auto" w:fill="D9D9D9" w:themeFill="background1" w:themeFillShade="D9"/>
        <w:spacing w:after="120" w:line="240" w:lineRule="auto"/>
        <w:jc w:val="both"/>
        <w:rPr>
          <w:rFonts w:ascii="Times New Roman" w:hAnsi="Times New Roman" w:cs="Times New Roman"/>
          <w:i/>
          <w:noProof/>
          <w:color w:val="000000"/>
          <w:sz w:val="24"/>
          <w:szCs w:val="24"/>
          <w:lang w:val="fr-FR"/>
        </w:rPr>
      </w:pPr>
      <w:r>
        <w:rPr>
          <w:rFonts w:ascii="Times New Roman" w:hAnsi="Times New Roman"/>
          <w:b/>
          <w:i/>
          <w:noProof/>
          <w:color w:val="000000"/>
          <w:sz w:val="24"/>
          <w:lang w:val="fr-FR"/>
        </w:rPr>
        <w:t>eTwinning</w:t>
      </w:r>
      <w:r>
        <w:rPr>
          <w:rStyle w:val="FootnoteReference"/>
          <w:rFonts w:ascii="Times New Roman" w:hAnsi="Times New Roman"/>
          <w:noProof/>
          <w:color w:val="000000"/>
          <w:sz w:val="24"/>
        </w:rPr>
        <w:footnoteReference w:id="30"/>
      </w:r>
      <w:r>
        <w:rPr>
          <w:rFonts w:ascii="Times New Roman" w:hAnsi="Times New Roman"/>
          <w:i/>
          <w:noProof/>
          <w:color w:val="000000"/>
          <w:sz w:val="24"/>
          <w:lang w:val="fr-FR"/>
        </w:rPr>
        <w:t xml:space="preserve"> est la plus grande communauté destinée aux établissements scolaires d’Europe. Plus de 460 000 enseignants et 4 écoles sur 10 en Europe y ont déjà participé. En offrant un environnement en ligne sûr pour les projets éducatifs transfrontières, eTwinning fou</w:t>
      </w:r>
      <w:r>
        <w:rPr>
          <w:rFonts w:ascii="Times New Roman" w:hAnsi="Times New Roman"/>
          <w:i/>
          <w:noProof/>
          <w:color w:val="000000"/>
          <w:sz w:val="24"/>
          <w:lang w:val="fr-FR"/>
        </w:rPr>
        <w:t>rnit aux écoles des outils aisément accessibles pour améliorer leur offre d’apprentissage numérique et soutenir le dialogue interculturel et les contacts transfrontières entre enseignants et élèves. L’intégration de son utilisation dans toutes les écoles d</w:t>
      </w:r>
      <w:r>
        <w:rPr>
          <w:rFonts w:ascii="Times New Roman" w:hAnsi="Times New Roman"/>
          <w:i/>
          <w:noProof/>
          <w:color w:val="000000"/>
          <w:sz w:val="24"/>
          <w:lang w:val="fr-FR"/>
        </w:rPr>
        <w:t>’Europe peut contribuer à un essor des compétences numériques et à l’ouverture des salles de classe.</w:t>
      </w:r>
    </w:p>
    <w:p w:rsidR="00856281" w:rsidRDefault="00F3670C">
      <w:pPr>
        <w:keepNext/>
        <w:autoSpaceDE w:val="0"/>
        <w:autoSpaceDN w:val="0"/>
        <w:adjustRightInd w:val="0"/>
        <w:spacing w:before="240" w:after="240"/>
        <w:rPr>
          <w:rFonts w:ascii="Times New Roman" w:hAnsi="Times New Roman"/>
          <w:b/>
          <w:noProof/>
          <w:color w:val="000000"/>
          <w:sz w:val="16"/>
          <w:szCs w:val="16"/>
          <w:u w:val="single"/>
          <w:lang w:val="fr-FR"/>
        </w:rPr>
      </w:pPr>
      <w:r>
        <w:rPr>
          <w:rFonts w:ascii="Times New Roman" w:hAnsi="Times New Roman"/>
          <w:b/>
          <w:noProof/>
          <w:color w:val="000000"/>
          <w:sz w:val="24"/>
          <w:lang w:val="fr-FR"/>
        </w:rPr>
        <w:t xml:space="preserve"> 2.3</w:t>
      </w:r>
      <w:r>
        <w:rPr>
          <w:noProof/>
          <w:lang w:val="fr-FR"/>
        </w:rPr>
        <w:tab/>
      </w:r>
      <w:r>
        <w:rPr>
          <w:rFonts w:ascii="Times New Roman" w:hAnsi="Times New Roman"/>
          <w:b/>
          <w:noProof/>
          <w:color w:val="000000"/>
          <w:sz w:val="24"/>
          <w:lang w:val="fr-FR"/>
        </w:rPr>
        <w:t>Améliorer l’accès aux structures d’accueil et d’éducation de la petite enfance et la qualité de ces structures</w:t>
      </w:r>
    </w:p>
    <w:p w:rsidR="00856281" w:rsidRDefault="00F3670C">
      <w:pPr>
        <w:keepNext/>
        <w:spacing w:before="120" w:after="120" w:line="240" w:lineRule="auto"/>
        <w:jc w:val="both"/>
        <w:rPr>
          <w:noProof/>
          <w:lang w:val="fr-FR"/>
        </w:rPr>
      </w:pPr>
      <w:r>
        <w:rPr>
          <w:rFonts w:ascii="Times New Roman" w:hAnsi="Times New Roman"/>
          <w:b/>
          <w:noProof/>
          <w:sz w:val="24"/>
          <w:lang w:val="fr-FR"/>
        </w:rPr>
        <w:t xml:space="preserve">Un système d’éducation et d’accueil de </w:t>
      </w:r>
      <w:r>
        <w:rPr>
          <w:rFonts w:ascii="Times New Roman" w:hAnsi="Times New Roman"/>
          <w:b/>
          <w:noProof/>
          <w:sz w:val="24"/>
          <w:lang w:val="fr-FR"/>
        </w:rPr>
        <w:t>la petite enfance de qualité jette les bases d’un système éducatif efficace et équitable</w:t>
      </w:r>
      <w:r>
        <w:rPr>
          <w:b/>
          <w:noProof/>
          <w:sz w:val="24"/>
          <w:lang w:val="fr-FR"/>
        </w:rPr>
        <w:t>.</w:t>
      </w:r>
      <w:r>
        <w:rPr>
          <w:b/>
          <w:noProof/>
          <w:lang w:val="fr-FR"/>
        </w:rPr>
        <w:t xml:space="preserve"> </w:t>
      </w:r>
      <w:r>
        <w:rPr>
          <w:rFonts w:ascii="Times New Roman" w:hAnsi="Times New Roman"/>
          <w:noProof/>
          <w:sz w:val="24"/>
          <w:lang w:val="fr-FR"/>
        </w:rPr>
        <w:t xml:space="preserve">Il prépare les enfants à l’enseignement primaire, stimule les résultats scolaires à tous les niveaux ultérieurs et a une incidence particulièrement positive pour les </w:t>
      </w:r>
      <w:r>
        <w:rPr>
          <w:rFonts w:ascii="Times New Roman" w:hAnsi="Times New Roman"/>
          <w:noProof/>
          <w:sz w:val="24"/>
          <w:lang w:val="fr-FR"/>
        </w:rPr>
        <w:t>enfants issus de milieux défavorisés et de l’immigration.</w:t>
      </w:r>
      <w:r>
        <w:rPr>
          <w:noProof/>
          <w:lang w:val="fr-FR"/>
        </w:rPr>
        <w:t xml:space="preserve"> </w:t>
      </w:r>
      <w:r>
        <w:rPr>
          <w:rFonts w:ascii="Times New Roman" w:hAnsi="Times New Roman"/>
          <w:noProof/>
          <w:sz w:val="24"/>
          <w:lang w:val="fr-FR"/>
        </w:rPr>
        <w:t>PISA montre que les jeunes de 15 ans qui n’ont pas fréquenté l’enseignement préscolaire risquent trois fois plus d’obtenir de mauvais résultats que ceux qui l’ont fréquenté pendant plus d’un an</w:t>
      </w:r>
      <w:r>
        <w:rPr>
          <w:rStyle w:val="FootnoteReference"/>
          <w:rFonts w:ascii="Times New Roman" w:hAnsi="Times New Roman"/>
          <w:noProof/>
          <w:sz w:val="24"/>
        </w:rPr>
        <w:footnoteReference w:id="31"/>
      </w:r>
      <w:r>
        <w:rPr>
          <w:noProof/>
          <w:lang w:val="fr-FR"/>
        </w:rPr>
        <w:t>.</w:t>
      </w:r>
      <w:r>
        <w:rPr>
          <w:rFonts w:ascii="Times New Roman" w:hAnsi="Times New Roman"/>
          <w:noProof/>
          <w:sz w:val="24"/>
          <w:lang w:val="fr-FR"/>
        </w:rPr>
        <w:t xml:space="preserve"> Un</w:t>
      </w:r>
      <w:r>
        <w:rPr>
          <w:rFonts w:ascii="Times New Roman" w:hAnsi="Times New Roman"/>
          <w:noProof/>
          <w:sz w:val="24"/>
          <w:lang w:val="fr-FR"/>
        </w:rPr>
        <w:t xml:space="preserve"> investissement dans l’éducation et l’accueil de la petite enfance réduit la nécessité de prévoir des niveaux de dépenses plus élevés aux stades ultérieurs de l’enseignement, lorsque le coût à consentir pour combler les écarts entre les bons et les mauvais</w:t>
      </w:r>
      <w:r>
        <w:rPr>
          <w:rFonts w:ascii="Times New Roman" w:hAnsi="Times New Roman"/>
          <w:noProof/>
          <w:sz w:val="24"/>
          <w:lang w:val="fr-FR"/>
        </w:rPr>
        <w:t xml:space="preserve"> résultats des apprenants est plus élevé</w:t>
      </w:r>
      <w:r>
        <w:rPr>
          <w:rStyle w:val="FootnoteReference"/>
          <w:rFonts w:ascii="Times New Roman" w:hAnsi="Times New Roman"/>
          <w:noProof/>
          <w:sz w:val="24"/>
        </w:rPr>
        <w:footnoteReference w:id="32"/>
      </w:r>
      <w:r>
        <w:rPr>
          <w:noProof/>
          <w:lang w:val="fr-FR"/>
        </w:rPr>
        <w:t>.</w:t>
      </w:r>
      <w:r>
        <w:rPr>
          <w:rFonts w:ascii="Times New Roman" w:hAnsi="Times New Roman"/>
          <w:noProof/>
          <w:sz w:val="24"/>
          <w:lang w:val="fr-FR"/>
        </w:rPr>
        <w:t xml:space="preserve"> </w:t>
      </w:r>
    </w:p>
    <w:p w:rsidR="00856281" w:rsidRDefault="00F3670C">
      <w:pPr>
        <w:pStyle w:val="Text1"/>
        <w:spacing w:after="120"/>
        <w:ind w:left="0"/>
        <w:rPr>
          <w:noProof/>
          <w:szCs w:val="24"/>
          <w:lang w:val="fr-FR"/>
        </w:rPr>
      </w:pPr>
      <w:r>
        <w:rPr>
          <w:b/>
          <w:noProof/>
          <w:lang w:val="fr-FR"/>
        </w:rPr>
        <w:t xml:space="preserve">La fourniture d’un système d’éducation et d’accueil de la petite enfance de qualité et l’accès à ce système constituent des défis. </w:t>
      </w:r>
      <w:r>
        <w:rPr>
          <w:noProof/>
          <w:lang w:val="fr-FR"/>
        </w:rPr>
        <w:t>La participation à l’éducation et à l’accueil de la petite enfance s’est accrue</w:t>
      </w:r>
      <w:r>
        <w:rPr>
          <w:rStyle w:val="FootnoteReference"/>
          <w:noProof/>
        </w:rPr>
        <w:footnoteReference w:id="33"/>
      </w:r>
      <w:r>
        <w:rPr>
          <w:noProof/>
          <w:lang w:val="fr-FR"/>
        </w:rPr>
        <w:t>,</w:t>
      </w:r>
      <w:r>
        <w:rPr>
          <w:noProof/>
          <w:lang w:val="fr-FR"/>
        </w:rPr>
        <w:t xml:space="preserve"> mais elle reste problématique pour les enfants de moins de trois ans et tout particulièrement pour les enfants issus de milieux défavorisés. La participation, le caractère abordable et la qualité sont répartis de manière inégale à l’intérieur des pays et </w:t>
      </w:r>
      <w:r>
        <w:rPr>
          <w:noProof/>
          <w:lang w:val="fr-FR"/>
        </w:rPr>
        <w:t>entre ceux-ci. Dans 25 États membres, la demande de services d’accueil est supérieure à l’offre; les déficits de qualité tiennent souvent à une qualification inadaptée du personnel et à des possibilités limitées de développement professionnel</w:t>
      </w:r>
      <w:r>
        <w:rPr>
          <w:rStyle w:val="FootnoteReference"/>
          <w:noProof/>
        </w:rPr>
        <w:footnoteReference w:id="34"/>
      </w:r>
      <w:r>
        <w:rPr>
          <w:noProof/>
          <w:lang w:val="fr-FR"/>
        </w:rPr>
        <w:t>. Des experts</w:t>
      </w:r>
      <w:r>
        <w:rPr>
          <w:noProof/>
          <w:lang w:val="fr-FR"/>
        </w:rPr>
        <w:t xml:space="preserve"> des États membres et la Commission européenne ont conjointement recensé des principes de qualité et cinq domaines d’action principaux: accessibilité, ressources humaines, programme, suivi et contrôle, gouvernance et financement</w:t>
      </w:r>
      <w:r>
        <w:rPr>
          <w:rStyle w:val="FootnoteReference"/>
          <w:noProof/>
        </w:rPr>
        <w:footnoteReference w:id="35"/>
      </w:r>
      <w:r>
        <w:rPr>
          <w:noProof/>
          <w:lang w:val="fr-FR"/>
        </w:rPr>
        <w:t xml:space="preserve">. </w:t>
      </w:r>
    </w:p>
    <w:p w:rsidR="00856281" w:rsidRDefault="00F3670C">
      <w:pPr>
        <w:spacing w:after="120"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La mise en œuvre de ces </w:t>
      </w:r>
      <w:r>
        <w:rPr>
          <w:rFonts w:ascii="Times New Roman" w:hAnsi="Times New Roman"/>
          <w:noProof/>
          <w:sz w:val="24"/>
          <w:lang w:val="fr-FR"/>
        </w:rPr>
        <w:t xml:space="preserve">lignes directrices apporterait une contribution significative aux résultats scolaires des jeunes enfants, ce qui donnerait à tous les enfants, y compris à ceux qui sont issus de milieux vulnérables, une longueur d’avance pour réussir à l’école. </w:t>
      </w:r>
    </w:p>
    <w:p w:rsidR="00856281" w:rsidRDefault="00856281">
      <w:pPr>
        <w:spacing w:after="120" w:line="240" w:lineRule="auto"/>
        <w:jc w:val="both"/>
        <w:rPr>
          <w:rFonts w:ascii="Times New Roman" w:hAnsi="Times New Roman" w:cs="Times New Roman"/>
          <w:noProof/>
          <w:color w:val="000000"/>
          <w:sz w:val="24"/>
          <w:szCs w:val="24"/>
          <w:lang w:val="fr-FR"/>
        </w:rPr>
      </w:pPr>
    </w:p>
    <w:p w:rsidR="00856281" w:rsidRDefault="00F3670C">
      <w:pPr>
        <w:keepNext/>
        <w:spacing w:after="0" w:line="240" w:lineRule="auto"/>
        <w:rPr>
          <w:rFonts w:ascii="Times New Roman" w:hAnsi="Times New Roman" w:cs="Times New Roman"/>
          <w:b/>
          <w:noProof/>
          <w:color w:val="000000"/>
          <w:sz w:val="24"/>
          <w:szCs w:val="24"/>
          <w:lang w:val="fr-FR"/>
        </w:rPr>
      </w:pPr>
      <w:r>
        <w:rPr>
          <w:rFonts w:ascii="Times New Roman" w:hAnsi="Times New Roman"/>
          <w:b/>
          <w:noProof/>
          <w:color w:val="000000"/>
          <w:sz w:val="24"/>
          <w:lang w:val="fr-FR"/>
        </w:rPr>
        <w:t>3. Souten</w:t>
      </w:r>
      <w:r>
        <w:rPr>
          <w:rFonts w:ascii="Times New Roman" w:hAnsi="Times New Roman"/>
          <w:b/>
          <w:noProof/>
          <w:color w:val="000000"/>
          <w:sz w:val="24"/>
          <w:lang w:val="fr-FR"/>
        </w:rPr>
        <w:t>ir les enseignants et les chefs d’établissement en vue d’un enseignement et d’un apprentissage d’excellence</w:t>
      </w:r>
    </w:p>
    <w:p w:rsidR="00856281" w:rsidRDefault="00F3670C">
      <w:pPr>
        <w:pBdr>
          <w:top w:val="single" w:sz="4" w:space="1" w:color="auto"/>
          <w:left w:val="single" w:sz="4" w:space="4" w:color="auto"/>
          <w:bottom w:val="single" w:sz="4" w:space="1" w:color="auto"/>
          <w:right w:val="single" w:sz="4" w:space="4" w:color="auto"/>
        </w:pBdr>
        <w:spacing w:before="240" w:after="120" w:line="240" w:lineRule="auto"/>
        <w:jc w:val="both"/>
        <w:rPr>
          <w:rFonts w:ascii="Times New Roman" w:hAnsi="Times New Roman" w:cs="Times New Roman"/>
          <w:i/>
          <w:noProof/>
          <w:color w:val="000000"/>
          <w:sz w:val="24"/>
          <w:szCs w:val="24"/>
          <w:lang w:val="fr-FR"/>
        </w:rPr>
      </w:pPr>
      <w:r>
        <w:rPr>
          <w:rFonts w:ascii="Times New Roman" w:hAnsi="Times New Roman"/>
          <w:i/>
          <w:noProof/>
          <w:color w:val="000000"/>
          <w:sz w:val="24"/>
          <w:lang w:val="fr-FR"/>
        </w:rPr>
        <w:t>Pour compléter les actions menées par les États membres, la Commission prendra les mesures suivantes:</w:t>
      </w:r>
    </w:p>
    <w:p w:rsidR="00856281" w:rsidRDefault="00F3670C">
      <w:pPr>
        <w:pStyle w:val="ListParagraph"/>
        <w:numPr>
          <w:ilvl w:val="0"/>
          <w:numId w:val="2"/>
        </w:numPr>
        <w:pBdr>
          <w:top w:val="single" w:sz="4" w:space="1" w:color="auto"/>
          <w:left w:val="single" w:sz="4" w:space="4" w:color="auto"/>
          <w:bottom w:val="single" w:sz="4" w:space="1" w:color="auto"/>
          <w:right w:val="single" w:sz="4" w:space="4" w:color="auto"/>
        </w:pBdr>
        <w:spacing w:line="240" w:lineRule="auto"/>
        <w:ind w:left="284" w:hanging="284"/>
        <w:jc w:val="both"/>
        <w:rPr>
          <w:rFonts w:ascii="Times New Roman" w:hAnsi="Times New Roman"/>
          <w:b/>
          <w:noProof/>
          <w:color w:val="000000"/>
          <w:sz w:val="24"/>
          <w:lang w:val="fr-FR"/>
        </w:rPr>
      </w:pPr>
      <w:r>
        <w:rPr>
          <w:rFonts w:ascii="Times New Roman" w:hAnsi="Times New Roman"/>
          <w:noProof/>
          <w:color w:val="000000"/>
          <w:sz w:val="24"/>
          <w:lang w:val="fr-FR"/>
        </w:rPr>
        <w:t xml:space="preserve">offrir des </w:t>
      </w:r>
      <w:r>
        <w:rPr>
          <w:rFonts w:ascii="Times New Roman" w:hAnsi="Times New Roman"/>
          <w:b/>
          <w:noProof/>
          <w:color w:val="000000"/>
          <w:sz w:val="24"/>
          <w:lang w:val="fr-FR"/>
        </w:rPr>
        <w:t xml:space="preserve">orientations sur l’action à mener </w:t>
      </w:r>
      <w:r>
        <w:rPr>
          <w:rFonts w:ascii="Times New Roman" w:hAnsi="Times New Roman"/>
          <w:b/>
          <w:noProof/>
          <w:color w:val="000000"/>
          <w:sz w:val="24"/>
          <w:lang w:val="fr-FR"/>
        </w:rPr>
        <w:t>en ce qui concerne les carrières et le développement professionnel des enseignants et des chefs d’établissement</w:t>
      </w:r>
      <w:r>
        <w:rPr>
          <w:rFonts w:ascii="Times New Roman" w:hAnsi="Times New Roman"/>
          <w:noProof/>
          <w:color w:val="000000"/>
          <w:sz w:val="24"/>
          <w:lang w:val="fr-FR"/>
        </w:rPr>
        <w:t xml:space="preserve"> en renforçant l’apprentissage par les pairs au titre du cadre «Éducation et formation 2020» à travers une série de séminaires d’experts et en le</w:t>
      </w:r>
      <w:r>
        <w:rPr>
          <w:rFonts w:ascii="Times New Roman" w:hAnsi="Times New Roman"/>
          <w:noProof/>
          <w:color w:val="000000"/>
          <w:sz w:val="24"/>
          <w:lang w:val="fr-FR"/>
        </w:rPr>
        <w:t xml:space="preserve"> rattachant au dialogue social sectoriel européen dans le domaine de l’éducation;</w:t>
      </w:r>
    </w:p>
    <w:p w:rsidR="00856281" w:rsidRDefault="00F3670C">
      <w:pPr>
        <w:pStyle w:val="ListParagraph"/>
        <w:keepNext/>
        <w:keepLines/>
        <w:numPr>
          <w:ilvl w:val="0"/>
          <w:numId w:val="2"/>
        </w:numPr>
        <w:pBdr>
          <w:top w:val="single" w:sz="4" w:space="1" w:color="auto"/>
          <w:left w:val="single" w:sz="4" w:space="4" w:color="auto"/>
          <w:bottom w:val="single" w:sz="4" w:space="1" w:color="auto"/>
          <w:right w:val="single" w:sz="4" w:space="4" w:color="auto"/>
        </w:pBdr>
        <w:spacing w:before="200" w:line="240" w:lineRule="auto"/>
        <w:ind w:left="284" w:hanging="284"/>
        <w:jc w:val="both"/>
        <w:outlineLvl w:val="4"/>
        <w:rPr>
          <w:rFonts w:ascii="Times New Roman" w:hAnsi="Times New Roman" w:cs="Times New Roman"/>
          <w:noProof/>
          <w:color w:val="000000"/>
          <w:sz w:val="28"/>
          <w:szCs w:val="24"/>
          <w:lang w:val="fr-FR"/>
        </w:rPr>
      </w:pPr>
      <w:r>
        <w:rPr>
          <w:rFonts w:ascii="Times New Roman" w:hAnsi="Times New Roman"/>
          <w:b/>
          <w:noProof/>
          <w:color w:val="000000"/>
          <w:sz w:val="24"/>
          <w:lang w:val="fr-FR"/>
        </w:rPr>
        <w:t>simplifier l’accès et promouvoir les possibilités pour les futurs enseignants</w:t>
      </w:r>
      <w:r>
        <w:rPr>
          <w:noProof/>
          <w:lang w:val="fr-FR"/>
        </w:rPr>
        <w:t xml:space="preserve"> </w:t>
      </w:r>
      <w:r>
        <w:rPr>
          <w:rFonts w:ascii="Times New Roman" w:hAnsi="Times New Roman"/>
          <w:b/>
          <w:noProof/>
          <w:color w:val="000000"/>
          <w:sz w:val="24"/>
          <w:lang w:val="fr-FR"/>
        </w:rPr>
        <w:t>d’acquérir une expérience pratique d’enseignement</w:t>
      </w:r>
      <w:r>
        <w:rPr>
          <w:rFonts w:ascii="Times New Roman" w:hAnsi="Times New Roman"/>
          <w:noProof/>
          <w:color w:val="000000"/>
          <w:sz w:val="24"/>
          <w:lang w:val="fr-FR"/>
        </w:rPr>
        <w:t xml:space="preserve"> </w:t>
      </w:r>
      <w:r>
        <w:rPr>
          <w:rFonts w:ascii="Times New Roman" w:hAnsi="Times New Roman"/>
          <w:b/>
          <w:noProof/>
          <w:color w:val="000000"/>
          <w:sz w:val="24"/>
          <w:lang w:val="fr-FR"/>
        </w:rPr>
        <w:t>à l’étranger</w:t>
      </w:r>
      <w:r>
        <w:rPr>
          <w:rFonts w:ascii="Times New Roman" w:hAnsi="Times New Roman"/>
          <w:noProof/>
          <w:color w:val="000000"/>
          <w:sz w:val="24"/>
          <w:lang w:val="fr-FR"/>
        </w:rPr>
        <w:t xml:space="preserve"> grâce au soutien d’Erasmus+;</w:t>
      </w:r>
    </w:p>
    <w:p w:rsidR="00856281" w:rsidRDefault="00F3670C">
      <w:pPr>
        <w:pStyle w:val="ListParagraph"/>
        <w:numPr>
          <w:ilvl w:val="0"/>
          <w:numId w:val="2"/>
        </w:numPr>
        <w:pBdr>
          <w:top w:val="single" w:sz="4" w:space="1" w:color="auto"/>
          <w:left w:val="single" w:sz="4" w:space="4" w:color="auto"/>
          <w:bottom w:val="single" w:sz="4" w:space="1" w:color="auto"/>
          <w:right w:val="single" w:sz="4" w:space="4" w:color="auto"/>
        </w:pBdr>
        <w:spacing w:line="240" w:lineRule="auto"/>
        <w:ind w:left="284" w:hanging="284"/>
        <w:jc w:val="both"/>
        <w:rPr>
          <w:rFonts w:ascii="Times New Roman" w:hAnsi="Times New Roman" w:cs="Times New Roman"/>
          <w:noProof/>
          <w:color w:val="000000"/>
          <w:sz w:val="24"/>
          <w:szCs w:val="24"/>
          <w:lang w:val="fr-FR"/>
        </w:rPr>
      </w:pPr>
      <w:r>
        <w:rPr>
          <w:rFonts w:ascii="Times New Roman" w:hAnsi="Times New Roman"/>
          <w:noProof/>
          <w:color w:val="000000"/>
          <w:sz w:val="24"/>
          <w:lang w:val="fr-FR"/>
        </w:rPr>
        <w:t xml:space="preserve">développer les </w:t>
      </w:r>
      <w:r>
        <w:rPr>
          <w:rFonts w:ascii="Times New Roman" w:hAnsi="Times New Roman"/>
          <w:b/>
          <w:noProof/>
          <w:color w:val="000000"/>
          <w:sz w:val="24"/>
          <w:lang w:val="fr-FR"/>
        </w:rPr>
        <w:t>communautés et les ressources en ligne</w:t>
      </w:r>
      <w:r>
        <w:rPr>
          <w:rFonts w:ascii="Times New Roman" w:hAnsi="Times New Roman"/>
          <w:noProof/>
          <w:color w:val="000000"/>
          <w:sz w:val="24"/>
          <w:lang w:val="fr-FR"/>
        </w:rPr>
        <w:t xml:space="preserve"> pour les professionnels du milieu scolaire, notamment de nouvelles possibilités relevant d’eTwinning pour les futurs enseignants, des réseaux en ligne pour les enseignants en début de carrière et leurs </w:t>
      </w:r>
      <w:r>
        <w:rPr>
          <w:rFonts w:ascii="Times New Roman" w:hAnsi="Times New Roman"/>
          <w:noProof/>
          <w:color w:val="000000"/>
          <w:sz w:val="24"/>
          <w:lang w:val="fr-FR"/>
        </w:rPr>
        <w:t>tuteurs, des cours en ligne (y compris des CLOM), un échange de bonnes pratiques entre les fournisseurs de formation initiale des enseignants et un cadre de compétences numériques destiné à soutenir l’autoévaluation et le développement des enseignants;</w:t>
      </w:r>
    </w:p>
    <w:p w:rsidR="00856281" w:rsidRDefault="00F3670C">
      <w:pPr>
        <w:pStyle w:val="ListParagraph"/>
        <w:numPr>
          <w:ilvl w:val="0"/>
          <w:numId w:val="2"/>
        </w:numPr>
        <w:pBdr>
          <w:top w:val="single" w:sz="4" w:space="1" w:color="auto"/>
          <w:left w:val="single" w:sz="4" w:space="4" w:color="auto"/>
          <w:bottom w:val="single" w:sz="4" w:space="1" w:color="auto"/>
          <w:right w:val="single" w:sz="4" w:space="4" w:color="auto"/>
        </w:pBdr>
        <w:spacing w:line="240" w:lineRule="auto"/>
        <w:ind w:left="284" w:hanging="284"/>
        <w:jc w:val="both"/>
        <w:rPr>
          <w:rFonts w:ascii="Times New Roman" w:eastAsiaTheme="majorEastAsia" w:hAnsi="Times New Roman" w:cstheme="majorBidi"/>
          <w:noProof/>
          <w:color w:val="000000"/>
          <w:sz w:val="24"/>
          <w:lang w:val="fr-FR"/>
        </w:rPr>
      </w:pPr>
      <w:r>
        <w:rPr>
          <w:rFonts w:ascii="Times New Roman" w:hAnsi="Times New Roman"/>
          <w:noProof/>
          <w:color w:val="000000"/>
          <w:sz w:val="24"/>
          <w:lang w:val="fr-FR"/>
        </w:rPr>
        <w:t>dév</w:t>
      </w:r>
      <w:r>
        <w:rPr>
          <w:rFonts w:ascii="Times New Roman" w:hAnsi="Times New Roman"/>
          <w:noProof/>
          <w:color w:val="000000"/>
          <w:sz w:val="24"/>
          <w:lang w:val="fr-FR"/>
        </w:rPr>
        <w:t xml:space="preserve">elopper davantage les synergies </w:t>
      </w:r>
      <w:r>
        <w:rPr>
          <w:rFonts w:ascii="Times New Roman" w:hAnsi="Times New Roman"/>
          <w:b/>
          <w:noProof/>
          <w:color w:val="000000"/>
          <w:sz w:val="24"/>
          <w:lang w:val="fr-FR"/>
        </w:rPr>
        <w:t>avec l’OCDE pour produire des données comparatives communes sur le personnel scolaire</w:t>
      </w:r>
      <w:r>
        <w:rPr>
          <w:rFonts w:ascii="Times New Roman" w:hAnsi="Times New Roman"/>
          <w:noProof/>
          <w:color w:val="000000"/>
          <w:sz w:val="24"/>
          <w:lang w:val="fr-FR"/>
        </w:rPr>
        <w:t>, notamment grâce à une collecte conjointe et plus efficiente par Eurydice</w:t>
      </w:r>
      <w:r>
        <w:rPr>
          <w:rStyle w:val="FootnoteReference"/>
          <w:rFonts w:ascii="Times New Roman" w:hAnsi="Times New Roman"/>
          <w:noProof/>
          <w:color w:val="000000"/>
          <w:sz w:val="24"/>
        </w:rPr>
        <w:footnoteReference w:id="36"/>
      </w:r>
      <w:r>
        <w:rPr>
          <w:rFonts w:ascii="Times New Roman" w:hAnsi="Times New Roman"/>
          <w:noProof/>
          <w:color w:val="000000"/>
          <w:sz w:val="24"/>
          <w:lang w:val="fr-FR"/>
        </w:rPr>
        <w:t xml:space="preserve"> et par l’OCDE des données concernant les enseignants et les che</w:t>
      </w:r>
      <w:r>
        <w:rPr>
          <w:rFonts w:ascii="Times New Roman" w:hAnsi="Times New Roman"/>
          <w:noProof/>
          <w:color w:val="000000"/>
          <w:sz w:val="24"/>
          <w:lang w:val="fr-FR"/>
        </w:rPr>
        <w:t>fs d’établissement.</w:t>
      </w:r>
    </w:p>
    <w:p w:rsidR="00856281" w:rsidRDefault="00F3670C">
      <w:pPr>
        <w:keepNext/>
        <w:autoSpaceDE w:val="0"/>
        <w:autoSpaceDN w:val="0"/>
        <w:adjustRightInd w:val="0"/>
        <w:spacing w:before="240" w:after="240" w:line="240" w:lineRule="auto"/>
        <w:jc w:val="both"/>
        <w:rPr>
          <w:rFonts w:ascii="Times New Roman" w:hAnsi="Times New Roman" w:cs="Times New Roman"/>
          <w:b/>
          <w:noProof/>
          <w:color w:val="000000"/>
          <w:sz w:val="24"/>
          <w:szCs w:val="24"/>
          <w:lang w:val="fr-FR"/>
        </w:rPr>
      </w:pPr>
      <w:r>
        <w:rPr>
          <w:rFonts w:ascii="Times New Roman" w:hAnsi="Times New Roman"/>
          <w:b/>
          <w:noProof/>
          <w:color w:val="000000"/>
          <w:sz w:val="24"/>
          <w:lang w:val="fr-FR"/>
        </w:rPr>
        <w:t>3.1. Rendre la carrière d’enseignant plus attractive</w:t>
      </w:r>
    </w:p>
    <w:p w:rsidR="00856281" w:rsidRDefault="00F3670C">
      <w:pPr>
        <w:keepNext/>
        <w:spacing w:after="120" w:line="240" w:lineRule="auto"/>
        <w:jc w:val="both"/>
        <w:rPr>
          <w:rFonts w:ascii="Times New Roman" w:hAnsi="Times New Roman" w:cs="Times New Roman"/>
          <w:b/>
          <w:noProof/>
          <w:color w:val="000000"/>
          <w:sz w:val="24"/>
          <w:szCs w:val="24"/>
          <w:lang w:val="fr-FR"/>
        </w:rPr>
      </w:pPr>
      <w:r>
        <w:rPr>
          <w:rFonts w:ascii="Times New Roman" w:hAnsi="Times New Roman"/>
          <w:b/>
          <w:noProof/>
          <w:color w:val="000000"/>
          <w:sz w:val="24"/>
          <w:lang w:val="fr-FR"/>
        </w:rPr>
        <w:t>Des enseignants de qualité, motivés et valorisés sont au cœur d’un enseignement d’excellence</w:t>
      </w:r>
      <w:r>
        <w:rPr>
          <w:rFonts w:ascii="Times New Roman" w:hAnsi="Times New Roman"/>
          <w:noProof/>
          <w:color w:val="000000"/>
          <w:sz w:val="24"/>
          <w:lang w:val="fr-FR"/>
        </w:rPr>
        <w:t>. Toutefois, une baisse du prestige de la profession et les pénuries de personnel constitue</w:t>
      </w:r>
      <w:r>
        <w:rPr>
          <w:rFonts w:ascii="Times New Roman" w:hAnsi="Times New Roman"/>
          <w:noProof/>
          <w:color w:val="000000"/>
          <w:sz w:val="24"/>
          <w:lang w:val="fr-FR"/>
        </w:rPr>
        <w:t>nt des défis dans de nombreux États membres, car elles entravent la qualité de l’enseignement scolaire</w:t>
      </w:r>
      <w:r>
        <w:rPr>
          <w:rStyle w:val="FootnoteReference"/>
          <w:rFonts w:ascii="Times New Roman" w:hAnsi="Times New Roman"/>
          <w:noProof/>
          <w:color w:val="000000"/>
          <w:sz w:val="24"/>
        </w:rPr>
        <w:footnoteReference w:id="37"/>
      </w:r>
      <w:r>
        <w:rPr>
          <w:noProof/>
          <w:lang w:val="fr-FR"/>
        </w:rPr>
        <w:t>.</w:t>
      </w:r>
      <w:r>
        <w:rPr>
          <w:rFonts w:ascii="Times New Roman" w:hAnsi="Times New Roman"/>
          <w:noProof/>
          <w:color w:val="000000"/>
          <w:sz w:val="24"/>
          <w:lang w:val="fr-FR"/>
        </w:rPr>
        <w:t xml:space="preserve"> La plupart des États membres cherchent à attirer vers une carrière dans l’enseignement un éventail plus large de candidats aptes, ainsi qu’à les motive</w:t>
      </w:r>
      <w:r>
        <w:rPr>
          <w:rFonts w:ascii="Times New Roman" w:hAnsi="Times New Roman"/>
          <w:noProof/>
          <w:color w:val="000000"/>
          <w:sz w:val="24"/>
          <w:lang w:val="fr-FR"/>
        </w:rPr>
        <w:t>r et à les soutenir pour qu’ils excellent dans cette profession exigeante.</w:t>
      </w:r>
      <w:r>
        <w:rPr>
          <w:rFonts w:ascii="Times New Roman" w:hAnsi="Times New Roman"/>
          <w:b/>
          <w:noProof/>
          <w:color w:val="000000"/>
          <w:sz w:val="24"/>
          <w:lang w:val="fr-FR"/>
        </w:rPr>
        <w:t xml:space="preserve"> </w:t>
      </w:r>
    </w:p>
    <w:p w:rsidR="00856281" w:rsidRDefault="00F3670C">
      <w:pPr>
        <w:spacing w:after="120" w:line="240" w:lineRule="auto"/>
        <w:jc w:val="both"/>
        <w:rPr>
          <w:rFonts w:ascii="Times New Roman" w:hAnsi="Times New Roman" w:cs="Times New Roman"/>
          <w:noProof/>
          <w:color w:val="000000"/>
          <w:sz w:val="24"/>
          <w:szCs w:val="24"/>
          <w:lang w:val="fr-FR"/>
        </w:rPr>
      </w:pPr>
      <w:r>
        <w:rPr>
          <w:rFonts w:ascii="Times New Roman" w:hAnsi="Times New Roman"/>
          <w:b/>
          <w:noProof/>
          <w:color w:val="000000"/>
          <w:sz w:val="24"/>
          <w:lang w:val="fr-FR"/>
        </w:rPr>
        <w:t xml:space="preserve">Une amélioration de la sélection et du recrutement peut contribuer à repérer des candidats les plus aptes à l’enseignement et apporter un plus large éventail d’expériences à la </w:t>
      </w:r>
      <w:r>
        <w:rPr>
          <w:rFonts w:ascii="Times New Roman" w:hAnsi="Times New Roman"/>
          <w:b/>
          <w:noProof/>
          <w:color w:val="000000"/>
          <w:sz w:val="24"/>
          <w:lang w:val="fr-FR"/>
        </w:rPr>
        <w:t>profession.</w:t>
      </w:r>
      <w:r>
        <w:rPr>
          <w:rFonts w:ascii="Times New Roman" w:hAnsi="Times New Roman"/>
          <w:noProof/>
          <w:color w:val="000000"/>
          <w:sz w:val="24"/>
          <w:lang w:val="fr-FR"/>
        </w:rPr>
        <w:t xml:space="preserve"> Certains pays évaluent les candidats sur une gamme plus étendue d’aptitudes et d’attitudes que leur seule formation universitaire</w:t>
      </w:r>
      <w:r>
        <w:rPr>
          <w:rStyle w:val="FootnoteReference"/>
          <w:rFonts w:ascii="Times New Roman" w:hAnsi="Times New Roman"/>
          <w:noProof/>
          <w:color w:val="000000"/>
          <w:sz w:val="24"/>
        </w:rPr>
        <w:footnoteReference w:id="38"/>
      </w:r>
      <w:r>
        <w:rPr>
          <w:noProof/>
          <w:lang w:val="fr-FR"/>
        </w:rPr>
        <w:t>.</w:t>
      </w:r>
      <w:r>
        <w:rPr>
          <w:rFonts w:ascii="Times New Roman" w:hAnsi="Times New Roman"/>
          <w:noProof/>
          <w:color w:val="000000"/>
          <w:sz w:val="24"/>
          <w:lang w:val="fr-FR"/>
        </w:rPr>
        <w:t xml:space="preserve"> Lorsque cela s’avère pertinent pour les États membres, cela peut aller de pair avec des efforts destinés à reméd</w:t>
      </w:r>
      <w:r>
        <w:rPr>
          <w:rFonts w:ascii="Times New Roman" w:hAnsi="Times New Roman"/>
          <w:noProof/>
          <w:color w:val="000000"/>
          <w:sz w:val="24"/>
          <w:lang w:val="fr-FR"/>
        </w:rPr>
        <w:t xml:space="preserve">ier au grave déséquilibre entre hommes et femmes dans l’enseignement et à attirer de nouveaux enseignants venant d’autres professions et de groupes sous-représentés. </w:t>
      </w:r>
    </w:p>
    <w:p w:rsidR="00856281" w:rsidRDefault="00F3670C">
      <w:pPr>
        <w:spacing w:line="240" w:lineRule="auto"/>
        <w:jc w:val="both"/>
        <w:rPr>
          <w:rFonts w:ascii="Times New Roman" w:hAnsi="Times New Roman" w:cs="Times New Roman"/>
          <w:noProof/>
          <w:sz w:val="24"/>
          <w:szCs w:val="24"/>
          <w:lang w:val="fr-FR"/>
        </w:rPr>
      </w:pPr>
      <w:r>
        <w:rPr>
          <w:rFonts w:ascii="Times New Roman" w:hAnsi="Times New Roman"/>
          <w:b/>
          <w:noProof/>
          <w:color w:val="000000"/>
          <w:sz w:val="24"/>
          <w:lang w:val="fr-FR"/>
        </w:rPr>
        <w:t xml:space="preserve">Le salaire, le statut contractuel et des perspectives de carrière claires sont importants pour rendre la profession attractive. </w:t>
      </w:r>
      <w:r>
        <w:rPr>
          <w:rFonts w:ascii="Times New Roman" w:hAnsi="Times New Roman"/>
          <w:noProof/>
          <w:color w:val="000000"/>
          <w:sz w:val="24"/>
          <w:lang w:val="fr-FR"/>
        </w:rPr>
        <w:t>Dans certains États membres, l’enseignement perd du terrain au profit d’autres professions dans la concurrence qu’ils se livrent</w:t>
      </w:r>
      <w:r>
        <w:rPr>
          <w:rFonts w:ascii="Times New Roman" w:hAnsi="Times New Roman"/>
          <w:noProof/>
          <w:color w:val="000000"/>
          <w:sz w:val="24"/>
          <w:lang w:val="fr-FR"/>
        </w:rPr>
        <w:t xml:space="preserve"> pour trouver les meilleurs éléments. Les enseignants gagnent souvent sensiblement moins que la moyenne des travailleurs diplômés de l’enseignement supérieur: leur salaire va de 74 % dans l’enseignement préscolaire à 92 % au niveau secondaire supérieur</w:t>
      </w:r>
      <w:r>
        <w:rPr>
          <w:rStyle w:val="FootnoteReference"/>
          <w:rFonts w:ascii="Times New Roman" w:hAnsi="Times New Roman"/>
          <w:noProof/>
          <w:color w:val="000000"/>
          <w:sz w:val="24"/>
        </w:rPr>
        <w:footnoteReference w:id="39"/>
      </w:r>
      <w:r>
        <w:rPr>
          <w:noProof/>
          <w:lang w:val="fr-FR"/>
        </w:rPr>
        <w:t>.</w:t>
      </w:r>
      <w:r>
        <w:rPr>
          <w:rFonts w:ascii="Times New Roman" w:hAnsi="Times New Roman"/>
          <w:noProof/>
          <w:color w:val="000000"/>
          <w:sz w:val="24"/>
          <w:lang w:val="fr-FR"/>
        </w:rPr>
        <w:t xml:space="preserve"> L</w:t>
      </w:r>
      <w:r>
        <w:rPr>
          <w:rFonts w:ascii="Times New Roman" w:hAnsi="Times New Roman"/>
          <w:noProof/>
          <w:color w:val="000000"/>
          <w:sz w:val="24"/>
          <w:lang w:val="fr-FR"/>
        </w:rPr>
        <w:t xml:space="preserve">es pays qui ont des niveaux salariaux très bas ou une faible sécurité de l’emploi peinent à attirer de nouvelles recrues et à pourvoir les postes vacants avec les candidats les plus qualifiés. </w:t>
      </w:r>
      <w:r>
        <w:rPr>
          <w:rFonts w:ascii="Times New Roman" w:hAnsi="Times New Roman"/>
          <w:noProof/>
          <w:sz w:val="24"/>
          <w:lang w:val="fr-FR"/>
        </w:rPr>
        <w:t>Les enseignants sont également préoccupés par la qualité de leu</w:t>
      </w:r>
      <w:r>
        <w:rPr>
          <w:rFonts w:ascii="Times New Roman" w:hAnsi="Times New Roman"/>
          <w:noProof/>
          <w:sz w:val="24"/>
          <w:lang w:val="fr-FR"/>
        </w:rPr>
        <w:t>r préparation et de leur accueil, ainsi que par de meilleures perspectives de carrière</w:t>
      </w:r>
      <w:r>
        <w:rPr>
          <w:rStyle w:val="FootnoteReference"/>
          <w:rFonts w:ascii="Times New Roman" w:hAnsi="Times New Roman"/>
          <w:noProof/>
          <w:color w:val="000000"/>
          <w:sz w:val="24"/>
        </w:rPr>
        <w:footnoteReference w:id="40"/>
      </w:r>
      <w:r>
        <w:rPr>
          <w:noProof/>
          <w:lang w:val="fr-FR"/>
        </w:rPr>
        <w:t>.</w:t>
      </w:r>
      <w:r>
        <w:rPr>
          <w:rFonts w:ascii="Times New Roman" w:hAnsi="Times New Roman"/>
          <w:noProof/>
          <w:sz w:val="24"/>
          <w:lang w:val="fr-FR"/>
        </w:rPr>
        <w:t xml:space="preserve"> Une définition claire des niveaux de compétence et des structures de carrière améliore l’appréciation que les enseignants portent sur leurs perspectives de carrière. </w:t>
      </w:r>
    </w:p>
    <w:p w:rsidR="00856281" w:rsidRDefault="00F3670C">
      <w:pPr>
        <w:keepNext/>
        <w:autoSpaceDE w:val="0"/>
        <w:autoSpaceDN w:val="0"/>
        <w:adjustRightInd w:val="0"/>
        <w:spacing w:before="240" w:after="240" w:line="240" w:lineRule="auto"/>
        <w:jc w:val="both"/>
        <w:rPr>
          <w:rFonts w:ascii="Times New Roman" w:hAnsi="Times New Roman" w:cs="Times New Roman"/>
          <w:b/>
          <w:noProof/>
          <w:color w:val="000000"/>
          <w:sz w:val="24"/>
          <w:szCs w:val="24"/>
          <w:lang w:val="fr-FR"/>
        </w:rPr>
      </w:pPr>
      <w:r>
        <w:rPr>
          <w:rFonts w:ascii="Times New Roman" w:hAnsi="Times New Roman"/>
          <w:b/>
          <w:noProof/>
          <w:color w:val="000000"/>
          <w:sz w:val="24"/>
          <w:lang w:val="fr-FR"/>
        </w:rPr>
        <w:t>3.2. L’enseignement: une profession d’apprenants tout au long de la carrière appelés à travailler ensemble</w:t>
      </w:r>
    </w:p>
    <w:p w:rsidR="00856281" w:rsidRDefault="00F3670C">
      <w:pPr>
        <w:keepNext/>
        <w:spacing w:after="120" w:line="240" w:lineRule="auto"/>
        <w:jc w:val="both"/>
        <w:rPr>
          <w:rFonts w:ascii="Times New Roman" w:hAnsi="Times New Roman" w:cs="Times New Roman"/>
          <w:b/>
          <w:noProof/>
          <w:color w:val="000000"/>
          <w:sz w:val="24"/>
          <w:szCs w:val="24"/>
          <w:lang w:val="fr-FR"/>
        </w:rPr>
      </w:pPr>
      <w:r>
        <w:rPr>
          <w:rFonts w:ascii="Times New Roman" w:hAnsi="Times New Roman"/>
          <w:b/>
          <w:noProof/>
          <w:color w:val="000000"/>
          <w:sz w:val="24"/>
          <w:lang w:val="fr-FR"/>
        </w:rPr>
        <w:t>Accorder davantage d’attention à la qualité de la formation des enseignants.</w:t>
      </w:r>
      <w:r>
        <w:rPr>
          <w:rFonts w:ascii="Times New Roman" w:hAnsi="Times New Roman"/>
          <w:noProof/>
          <w:color w:val="000000"/>
          <w:sz w:val="24"/>
          <w:lang w:val="fr-FR"/>
        </w:rPr>
        <w:t xml:space="preserve"> La formation initiale des enseignants est plus efficace lorsque la théor</w:t>
      </w:r>
      <w:r>
        <w:rPr>
          <w:rFonts w:ascii="Times New Roman" w:hAnsi="Times New Roman"/>
          <w:noProof/>
          <w:color w:val="000000"/>
          <w:sz w:val="24"/>
          <w:lang w:val="fr-FR"/>
        </w:rPr>
        <w:t>ie pédagogique est combinée avec la connaissance de la matière enseignée et une pratique en classe suffisante</w:t>
      </w:r>
      <w:r>
        <w:rPr>
          <w:rStyle w:val="FootnoteReference"/>
          <w:rFonts w:ascii="Times New Roman" w:hAnsi="Times New Roman"/>
          <w:noProof/>
          <w:color w:val="000000"/>
          <w:sz w:val="24"/>
        </w:rPr>
        <w:footnoteReference w:id="41"/>
      </w:r>
      <w:r>
        <w:rPr>
          <w:noProof/>
          <w:lang w:val="fr-FR"/>
        </w:rPr>
        <w:t>.</w:t>
      </w:r>
      <w:r>
        <w:rPr>
          <w:rFonts w:ascii="Times New Roman" w:hAnsi="Times New Roman"/>
          <w:noProof/>
          <w:color w:val="000000"/>
          <w:sz w:val="24"/>
          <w:lang w:val="fr-FR"/>
        </w:rPr>
        <w:t xml:space="preserve"> Il importe que les futurs enseignants soient préparés au travail de collaboration et à un développement professionnel tout au long de leur carri</w:t>
      </w:r>
      <w:r>
        <w:rPr>
          <w:rFonts w:ascii="Times New Roman" w:hAnsi="Times New Roman"/>
          <w:noProof/>
          <w:color w:val="000000"/>
          <w:sz w:val="24"/>
          <w:lang w:val="fr-FR"/>
        </w:rPr>
        <w:t>ère, afin d’être à même de gérer la diversité dans les classes et d’utiliser en confiance les technologies numériques. Dans un certain nombre d’États membres, la participation à la formation professionnelle continue est faible ou peu encouragée. Celle-ci d</w:t>
      </w:r>
      <w:r>
        <w:rPr>
          <w:rFonts w:ascii="Times New Roman" w:hAnsi="Times New Roman"/>
          <w:noProof/>
          <w:color w:val="000000"/>
          <w:sz w:val="24"/>
          <w:lang w:val="fr-FR"/>
        </w:rPr>
        <w:t>oit être accessible, financièrement abordable et pertinente. Le fait d’associer les écoles et les enseignants au recensement des thèmes et domaines nécessitant un soutien peut contribuer à l’amélioration de sa qualité</w:t>
      </w:r>
      <w:r>
        <w:rPr>
          <w:rStyle w:val="FootnoteReference"/>
          <w:rFonts w:ascii="Times New Roman" w:hAnsi="Times New Roman"/>
          <w:noProof/>
          <w:color w:val="000000"/>
          <w:sz w:val="24"/>
        </w:rPr>
        <w:footnoteReference w:id="42"/>
      </w:r>
      <w:r>
        <w:rPr>
          <w:noProof/>
          <w:lang w:val="fr-FR"/>
        </w:rPr>
        <w:t>.</w:t>
      </w:r>
      <w:r>
        <w:rPr>
          <w:rFonts w:ascii="Times New Roman" w:hAnsi="Times New Roman"/>
          <w:noProof/>
          <w:color w:val="000000"/>
          <w:sz w:val="24"/>
          <w:lang w:val="fr-FR"/>
        </w:rPr>
        <w:t xml:space="preserve"> </w:t>
      </w:r>
    </w:p>
    <w:p w:rsidR="00856281" w:rsidRDefault="00F3670C">
      <w:pPr>
        <w:spacing w:after="120" w:line="240" w:lineRule="auto"/>
        <w:jc w:val="both"/>
        <w:rPr>
          <w:rFonts w:ascii="Times New Roman" w:hAnsi="Times New Roman" w:cs="Times New Roman"/>
          <w:noProof/>
          <w:color w:val="000000"/>
          <w:sz w:val="24"/>
          <w:szCs w:val="24"/>
          <w:lang w:val="fr-FR"/>
        </w:rPr>
      </w:pPr>
      <w:r>
        <w:rPr>
          <w:rFonts w:ascii="Times New Roman" w:hAnsi="Times New Roman"/>
          <w:b/>
          <w:noProof/>
          <w:color w:val="000000"/>
          <w:sz w:val="24"/>
          <w:lang w:val="fr-FR"/>
        </w:rPr>
        <w:t>Les enseignants ont besoin d’un sou</w:t>
      </w:r>
      <w:r>
        <w:rPr>
          <w:rFonts w:ascii="Times New Roman" w:hAnsi="Times New Roman"/>
          <w:b/>
          <w:noProof/>
          <w:color w:val="000000"/>
          <w:sz w:val="24"/>
          <w:lang w:val="fr-FR"/>
        </w:rPr>
        <w:t xml:space="preserve">tien particulier en début de carrière. </w:t>
      </w:r>
      <w:r>
        <w:rPr>
          <w:rFonts w:ascii="Times New Roman" w:hAnsi="Times New Roman"/>
          <w:noProof/>
          <w:color w:val="000000"/>
          <w:sz w:val="24"/>
          <w:lang w:val="fr-FR"/>
        </w:rPr>
        <w:t>lors de l'entrée dans la profession, nombreux sont les enseignants à trouver difficile l'environnement pédagogique réel, ce qui conduit certains d’entre eux à abandonner leur nouveau métier. Actuellement, seuls 6 nouv</w:t>
      </w:r>
      <w:r>
        <w:rPr>
          <w:rFonts w:ascii="Times New Roman" w:hAnsi="Times New Roman"/>
          <w:noProof/>
          <w:color w:val="000000"/>
          <w:sz w:val="24"/>
          <w:lang w:val="fr-FR"/>
        </w:rPr>
        <w:t>eaux enseignants sur 10 bénéficient d’une véritable formation préparatoire aux pratiques éducatives</w:t>
      </w:r>
      <w:r>
        <w:rPr>
          <w:rStyle w:val="FootnoteReference"/>
          <w:rFonts w:ascii="Times New Roman" w:hAnsi="Times New Roman"/>
          <w:noProof/>
          <w:color w:val="000000"/>
          <w:sz w:val="24"/>
        </w:rPr>
        <w:footnoteReference w:id="43"/>
      </w:r>
      <w:r>
        <w:rPr>
          <w:rFonts w:ascii="Times New Roman" w:hAnsi="Times New Roman"/>
          <w:b/>
          <w:noProof/>
          <w:color w:val="000000"/>
          <w:sz w:val="24"/>
          <w:lang w:val="fr-FR"/>
        </w:rPr>
        <w:t xml:space="preserve"> </w:t>
      </w:r>
      <w:r>
        <w:rPr>
          <w:rFonts w:ascii="Times New Roman" w:hAnsi="Times New Roman"/>
          <w:noProof/>
          <w:color w:val="000000"/>
          <w:sz w:val="24"/>
          <w:lang w:val="fr-FR"/>
        </w:rPr>
        <w:t>ainsi que de cours d’entrée en service</w:t>
      </w:r>
      <w:r>
        <w:rPr>
          <w:rFonts w:ascii="Times New Roman" w:hAnsi="Times New Roman"/>
          <w:i/>
          <w:noProof/>
          <w:color w:val="000000"/>
          <w:sz w:val="24"/>
          <w:lang w:val="fr-FR"/>
        </w:rPr>
        <w:t xml:space="preserve"> </w:t>
      </w:r>
      <w:r>
        <w:rPr>
          <w:rFonts w:ascii="Times New Roman" w:hAnsi="Times New Roman"/>
          <w:noProof/>
          <w:color w:val="000000"/>
          <w:sz w:val="24"/>
          <w:lang w:val="fr-FR"/>
        </w:rPr>
        <w:t>alliant appuis professionnels, sociaux et personnels, y compris un tutorat, qui aident les nouveaux enseignants à dé</w:t>
      </w:r>
      <w:r>
        <w:rPr>
          <w:rFonts w:ascii="Times New Roman" w:hAnsi="Times New Roman"/>
          <w:noProof/>
          <w:color w:val="000000"/>
          <w:sz w:val="24"/>
          <w:lang w:val="fr-FR"/>
        </w:rPr>
        <w:t xml:space="preserve">velopper des compétences et à faire preuve de résilience. Ces mesures renforcent la qualité de l’enseignement et réduisent l'abandon coûteux de la profession </w:t>
      </w:r>
      <w:r>
        <w:rPr>
          <w:rStyle w:val="FootnoteReference"/>
          <w:rFonts w:ascii="Times New Roman" w:hAnsi="Times New Roman"/>
          <w:noProof/>
          <w:color w:val="000000"/>
          <w:sz w:val="24"/>
        </w:rPr>
        <w:footnoteReference w:id="44"/>
      </w:r>
      <w:r>
        <w:rPr>
          <w:noProof/>
          <w:lang w:val="fr-FR"/>
        </w:rPr>
        <w:t>.</w:t>
      </w:r>
    </w:p>
    <w:p w:rsidR="00856281" w:rsidRDefault="00F3670C">
      <w:pPr>
        <w:spacing w:after="120" w:line="240" w:lineRule="auto"/>
        <w:jc w:val="both"/>
        <w:rPr>
          <w:rFonts w:ascii="Times New Roman" w:hAnsi="Times New Roman" w:cs="Times New Roman"/>
          <w:noProof/>
          <w:color w:val="000000"/>
          <w:sz w:val="24"/>
          <w:szCs w:val="24"/>
          <w:lang w:val="fr-FR"/>
        </w:rPr>
      </w:pPr>
      <w:r>
        <w:rPr>
          <w:rFonts w:ascii="Times New Roman" w:hAnsi="Times New Roman"/>
          <w:b/>
          <w:noProof/>
          <w:color w:val="000000"/>
          <w:sz w:val="24"/>
          <w:lang w:val="fr-FR"/>
        </w:rPr>
        <w:t>Collaboration entre enseignants hautement performants.</w:t>
      </w:r>
      <w:r>
        <w:rPr>
          <w:rFonts w:ascii="Times New Roman" w:hAnsi="Times New Roman"/>
          <w:noProof/>
          <w:color w:val="000000"/>
          <w:sz w:val="24"/>
          <w:lang w:val="fr-FR"/>
        </w:rPr>
        <w:t xml:space="preserve"> Enseigner en équipe, observer d’autres e</w:t>
      </w:r>
      <w:r>
        <w:rPr>
          <w:rFonts w:ascii="Times New Roman" w:hAnsi="Times New Roman"/>
          <w:noProof/>
          <w:color w:val="000000"/>
          <w:sz w:val="24"/>
          <w:lang w:val="fr-FR"/>
        </w:rPr>
        <w:t>nseignants et recourir à des communautés d’apprentissage professionnelles élargies sont des stratégies qui gagnent du terrain, car considérées comme des formes puissantes de collaboration entre pairs, sans toutefois constituer encore la norme en Europe</w:t>
      </w:r>
      <w:r>
        <w:rPr>
          <w:rStyle w:val="FootnoteReference"/>
          <w:rFonts w:ascii="Times New Roman" w:hAnsi="Times New Roman"/>
          <w:noProof/>
          <w:color w:val="000000"/>
          <w:sz w:val="24"/>
        </w:rPr>
        <w:footnoteReference w:id="45"/>
      </w:r>
      <w:r>
        <w:rPr>
          <w:noProof/>
          <w:lang w:val="fr-FR"/>
        </w:rPr>
        <w:t>.</w:t>
      </w:r>
      <w:r>
        <w:rPr>
          <w:rFonts w:ascii="Times New Roman" w:hAnsi="Times New Roman"/>
          <w:noProof/>
          <w:color w:val="000000"/>
          <w:sz w:val="24"/>
          <w:lang w:val="fr-FR"/>
        </w:rPr>
        <w:t xml:space="preserve"> P</w:t>
      </w:r>
      <w:r>
        <w:rPr>
          <w:rFonts w:ascii="Times New Roman" w:hAnsi="Times New Roman"/>
          <w:noProof/>
          <w:color w:val="000000"/>
          <w:sz w:val="24"/>
          <w:lang w:val="fr-FR"/>
        </w:rPr>
        <w:t>our améliorer l’expérience d’apprentissage des élèves, les enseignants doivent être capables et désireux de travailler et d’apprendre en équipe, aux côtés d’autres enseignants, au sein d’équipes scolaires pluriprofessionnelles et avec des partenaires extér</w:t>
      </w:r>
      <w:r>
        <w:rPr>
          <w:rFonts w:ascii="Times New Roman" w:hAnsi="Times New Roman"/>
          <w:noProof/>
          <w:color w:val="000000"/>
          <w:sz w:val="24"/>
          <w:lang w:val="fr-FR"/>
        </w:rPr>
        <w:t>ieurs.</w:t>
      </w:r>
    </w:p>
    <w:p w:rsidR="00856281" w:rsidRDefault="00F3670C">
      <w:pPr>
        <w:spacing w:after="120" w:line="240" w:lineRule="auto"/>
        <w:jc w:val="both"/>
        <w:rPr>
          <w:rFonts w:ascii="Times New Roman" w:hAnsi="Times New Roman"/>
          <w:noProof/>
          <w:color w:val="000000"/>
          <w:sz w:val="24"/>
          <w:lang w:val="fr-FR"/>
        </w:rPr>
      </w:pPr>
      <w:r>
        <w:rPr>
          <w:rFonts w:ascii="Times New Roman" w:hAnsi="Times New Roman"/>
          <w:b/>
          <w:noProof/>
          <w:color w:val="000000"/>
          <w:sz w:val="24"/>
          <w:lang w:val="fr-FR"/>
        </w:rPr>
        <w:t>Environnements collaboratifs et technologies numériques peuvent améliorer la formation des enseignants.</w:t>
      </w:r>
      <w:r>
        <w:rPr>
          <w:rFonts w:ascii="Times New Roman" w:hAnsi="Times New Roman"/>
          <w:noProof/>
          <w:color w:val="000000"/>
          <w:sz w:val="24"/>
          <w:lang w:val="fr-FR"/>
        </w:rPr>
        <w:t xml:space="preserve"> Les ateliers traditionnels et les cours de formation hors de l’école demeurent la norme. Certaines innovations éducatives, telles que les réseaux collaboratifs entre pairs, les cours en ligne ouverts à tous et le partage des ressources pédagogiques libres</w:t>
      </w:r>
      <w:r>
        <w:rPr>
          <w:rFonts w:ascii="Times New Roman" w:hAnsi="Times New Roman"/>
          <w:noProof/>
          <w:color w:val="000000"/>
          <w:sz w:val="24"/>
          <w:lang w:val="fr-FR"/>
        </w:rPr>
        <w:t>, peuvent compléter ces méthodes et aider à surmonter les obstacles à la participation</w:t>
      </w:r>
      <w:r>
        <w:rPr>
          <w:rStyle w:val="FootnoteReference"/>
          <w:rFonts w:ascii="Times New Roman" w:hAnsi="Times New Roman"/>
          <w:noProof/>
          <w:color w:val="000000"/>
          <w:sz w:val="24"/>
        </w:rPr>
        <w:footnoteReference w:id="46"/>
      </w:r>
      <w:r>
        <w:rPr>
          <w:noProof/>
          <w:lang w:val="fr-FR"/>
        </w:rPr>
        <w:t>.</w:t>
      </w:r>
      <w:r>
        <w:rPr>
          <w:rFonts w:ascii="Times New Roman" w:hAnsi="Times New Roman"/>
          <w:noProof/>
          <w:color w:val="000000"/>
          <w:sz w:val="24"/>
          <w:lang w:val="fr-FR"/>
        </w:rPr>
        <w:t xml:space="preserve"> </w:t>
      </w:r>
    </w:p>
    <w:p w:rsidR="00856281" w:rsidRDefault="00F3670C">
      <w:pPr>
        <w:pBdr>
          <w:top w:val="single" w:sz="4" w:space="1" w:color="auto"/>
          <w:left w:val="single" w:sz="4" w:space="4" w:color="auto"/>
          <w:bottom w:val="single" w:sz="4" w:space="1" w:color="auto"/>
          <w:right w:val="single" w:sz="4" w:space="4" w:color="auto"/>
        </w:pBdr>
        <w:shd w:val="clear" w:color="auto" w:fill="D9D9D9" w:themeFill="background1" w:themeFillShade="D9"/>
        <w:spacing w:after="120" w:line="240" w:lineRule="auto"/>
        <w:jc w:val="both"/>
        <w:rPr>
          <w:rFonts w:ascii="Times New Roman" w:hAnsi="Times New Roman" w:cs="Times New Roman"/>
          <w:i/>
          <w:noProof/>
          <w:color w:val="000000"/>
          <w:sz w:val="24"/>
          <w:szCs w:val="24"/>
          <w:lang w:val="fr-FR"/>
        </w:rPr>
      </w:pPr>
      <w:r>
        <w:rPr>
          <w:rFonts w:ascii="Times New Roman" w:hAnsi="Times New Roman"/>
          <w:i/>
          <w:noProof/>
          <w:color w:val="000000"/>
          <w:sz w:val="24"/>
          <w:lang w:val="fr-FR"/>
        </w:rPr>
        <w:t>Par l’intermédiaire d’</w:t>
      </w:r>
      <w:r>
        <w:rPr>
          <w:rFonts w:ascii="Times New Roman" w:hAnsi="Times New Roman"/>
          <w:b/>
          <w:i/>
          <w:noProof/>
          <w:color w:val="000000"/>
          <w:sz w:val="24"/>
          <w:lang w:val="fr-FR"/>
        </w:rPr>
        <w:t>Erasmus+</w:t>
      </w:r>
      <w:r>
        <w:rPr>
          <w:rFonts w:ascii="Times New Roman" w:hAnsi="Times New Roman"/>
          <w:i/>
          <w:noProof/>
          <w:color w:val="000000"/>
          <w:sz w:val="24"/>
          <w:lang w:val="fr-FR"/>
        </w:rPr>
        <w:t xml:space="preserve">, l’UE soutient le développement professionnel du personnel éducatif. Des subventions sont disponibles pour les futurs enseignants, les </w:t>
      </w:r>
      <w:r>
        <w:rPr>
          <w:rFonts w:ascii="Times New Roman" w:hAnsi="Times New Roman"/>
          <w:i/>
          <w:noProof/>
          <w:color w:val="000000"/>
          <w:sz w:val="24"/>
          <w:lang w:val="fr-FR"/>
        </w:rPr>
        <w:t xml:space="preserve">enseignants et les chefs d’établissements désireux de participer à des cours de formation ou à des stages d'observation, ou encore de postuler à des postes dans l’éducation dans un pays étranger. Au moyen du </w:t>
      </w:r>
      <w:r>
        <w:rPr>
          <w:rFonts w:ascii="Times New Roman" w:hAnsi="Times New Roman"/>
          <w:b/>
          <w:i/>
          <w:noProof/>
          <w:color w:val="000000"/>
          <w:sz w:val="24"/>
          <w:lang w:val="fr-FR"/>
        </w:rPr>
        <w:t>jumelage électronique (eTwinning)</w:t>
      </w:r>
      <w:r>
        <w:rPr>
          <w:rFonts w:ascii="Times New Roman" w:hAnsi="Times New Roman"/>
          <w:i/>
          <w:noProof/>
          <w:color w:val="000000"/>
          <w:sz w:val="24"/>
          <w:lang w:val="fr-FR"/>
        </w:rPr>
        <w:t>, l’UE encourag</w:t>
      </w:r>
      <w:r>
        <w:rPr>
          <w:rFonts w:ascii="Times New Roman" w:hAnsi="Times New Roman"/>
          <w:i/>
          <w:noProof/>
          <w:color w:val="000000"/>
          <w:sz w:val="24"/>
          <w:lang w:val="fr-FR"/>
        </w:rPr>
        <w:t>e la collaboration volontaire et l’apprentissage par les pairs parmi les enseignants dans le cadre de cours en ligne et d’actions conjointes de formation.</w:t>
      </w:r>
    </w:p>
    <w:p w:rsidR="00856281" w:rsidRDefault="00F3670C">
      <w:pPr>
        <w:keepNext/>
        <w:autoSpaceDE w:val="0"/>
        <w:autoSpaceDN w:val="0"/>
        <w:adjustRightInd w:val="0"/>
        <w:spacing w:before="240" w:after="240" w:line="240" w:lineRule="auto"/>
        <w:jc w:val="both"/>
        <w:rPr>
          <w:rFonts w:ascii="Times New Roman" w:hAnsi="Times New Roman" w:cs="Times New Roman"/>
          <w:b/>
          <w:noProof/>
          <w:color w:val="000000"/>
          <w:sz w:val="24"/>
          <w:szCs w:val="24"/>
          <w:lang w:val="fr-FR"/>
        </w:rPr>
      </w:pPr>
      <w:r>
        <w:rPr>
          <w:rFonts w:ascii="Times New Roman" w:hAnsi="Times New Roman"/>
          <w:b/>
          <w:noProof/>
          <w:color w:val="000000"/>
          <w:sz w:val="24"/>
          <w:lang w:val="fr-FR"/>
        </w:rPr>
        <w:t xml:space="preserve">3.3. Soutenir la direction des établissements scolaires </w:t>
      </w:r>
    </w:p>
    <w:p w:rsidR="00856281" w:rsidRDefault="00F3670C">
      <w:pPr>
        <w:keepNext/>
        <w:spacing w:after="120" w:line="240" w:lineRule="auto"/>
        <w:jc w:val="both"/>
        <w:rPr>
          <w:rFonts w:ascii="Times New Roman" w:hAnsi="Times New Roman"/>
          <w:noProof/>
          <w:color w:val="000000"/>
          <w:sz w:val="24"/>
          <w:lang w:val="fr-FR"/>
        </w:rPr>
      </w:pPr>
      <w:r>
        <w:rPr>
          <w:rFonts w:ascii="Times New Roman" w:hAnsi="Times New Roman"/>
          <w:b/>
          <w:noProof/>
          <w:color w:val="000000"/>
          <w:sz w:val="24"/>
          <w:lang w:val="fr-FR"/>
        </w:rPr>
        <w:t>L’efficacité de la direction des établisseme</w:t>
      </w:r>
      <w:r>
        <w:rPr>
          <w:rFonts w:ascii="Times New Roman" w:hAnsi="Times New Roman"/>
          <w:b/>
          <w:noProof/>
          <w:color w:val="000000"/>
          <w:sz w:val="24"/>
          <w:lang w:val="fr-FR"/>
        </w:rPr>
        <w:t>nts scolaires a un effet positif sur la réussite des élèves, la qualité de l’enseignement et la motivation du personnel.</w:t>
      </w:r>
      <w:r>
        <w:rPr>
          <w:rFonts w:ascii="Times New Roman" w:hAnsi="Times New Roman"/>
          <w:noProof/>
          <w:color w:val="000000"/>
          <w:sz w:val="24"/>
          <w:lang w:val="fr-FR"/>
        </w:rPr>
        <w:t xml:space="preserve"> Des recherches ont démontré qu’une</w:t>
      </w:r>
      <w:r>
        <w:rPr>
          <w:rFonts w:ascii="Times New Roman" w:hAnsi="Times New Roman"/>
          <w:b/>
          <w:noProof/>
          <w:color w:val="000000"/>
          <w:sz w:val="24"/>
          <w:lang w:val="fr-FR"/>
        </w:rPr>
        <w:t xml:space="preserve"> </w:t>
      </w:r>
      <w:r>
        <w:rPr>
          <w:rFonts w:ascii="Times New Roman" w:hAnsi="Times New Roman"/>
          <w:noProof/>
          <w:color w:val="000000"/>
          <w:sz w:val="24"/>
          <w:lang w:val="fr-FR"/>
        </w:rPr>
        <w:t>direction s’appuyant sur une vision partagée par le personnel, les parents et la communauté locale é</w:t>
      </w:r>
      <w:r>
        <w:rPr>
          <w:rFonts w:ascii="Times New Roman" w:hAnsi="Times New Roman"/>
          <w:noProof/>
          <w:color w:val="000000"/>
          <w:sz w:val="24"/>
          <w:lang w:val="fr-FR"/>
        </w:rPr>
        <w:t>tait déterminante pour le développement et l’innovation d’une école</w:t>
      </w:r>
      <w:r>
        <w:rPr>
          <w:rStyle w:val="FootnoteReference"/>
          <w:rFonts w:ascii="Times New Roman" w:hAnsi="Times New Roman"/>
          <w:noProof/>
          <w:color w:val="000000"/>
          <w:sz w:val="24"/>
        </w:rPr>
        <w:footnoteReference w:id="47"/>
      </w:r>
      <w:r>
        <w:rPr>
          <w:noProof/>
          <w:lang w:val="fr-FR"/>
        </w:rPr>
        <w:t>.</w:t>
      </w:r>
      <w:r>
        <w:rPr>
          <w:rFonts w:ascii="Times New Roman" w:hAnsi="Times New Roman"/>
          <w:noProof/>
          <w:color w:val="000000"/>
          <w:sz w:val="24"/>
          <w:lang w:val="fr-FR"/>
        </w:rPr>
        <w:t xml:space="preserve"> Dans certains États membres, toutefois, les positions de la direction des établissements scolaires sont jugées peu attrayantes</w:t>
      </w:r>
      <w:r>
        <w:rPr>
          <w:rStyle w:val="FootnoteReference"/>
          <w:rFonts w:ascii="Times New Roman" w:hAnsi="Times New Roman"/>
          <w:noProof/>
          <w:color w:val="000000"/>
          <w:sz w:val="24"/>
        </w:rPr>
        <w:footnoteReference w:id="48"/>
      </w:r>
      <w:r>
        <w:rPr>
          <w:noProof/>
          <w:lang w:val="fr-FR"/>
        </w:rPr>
        <w:t>.</w:t>
      </w:r>
      <w:r>
        <w:rPr>
          <w:rFonts w:ascii="Times New Roman" w:hAnsi="Times New Roman"/>
          <w:noProof/>
          <w:color w:val="000000"/>
          <w:sz w:val="24"/>
          <w:lang w:val="fr-FR"/>
        </w:rPr>
        <w:t xml:space="preserve"> La direction d’une école comporte généralement un ensembl</w:t>
      </w:r>
      <w:r>
        <w:rPr>
          <w:rFonts w:ascii="Times New Roman" w:hAnsi="Times New Roman"/>
          <w:noProof/>
          <w:color w:val="000000"/>
          <w:sz w:val="24"/>
          <w:lang w:val="fr-FR"/>
        </w:rPr>
        <w:t xml:space="preserve">e de tâches exigeantes liées à la gestion et à l’instruction. Il est fréquent que les chefs d’établissements ne reçoivent pas la préparation ni l’appui continu dont ils auraient besoin pour accomplir ces différentes tâches. </w:t>
      </w:r>
    </w:p>
    <w:p w:rsidR="00856281" w:rsidRDefault="00F3670C">
      <w:pPr>
        <w:spacing w:after="120" w:line="240" w:lineRule="auto"/>
        <w:jc w:val="both"/>
        <w:rPr>
          <w:rFonts w:ascii="Times New Roman" w:hAnsi="Times New Roman"/>
          <w:noProof/>
          <w:color w:val="000000"/>
          <w:sz w:val="24"/>
          <w:lang w:val="fr-FR"/>
        </w:rPr>
      </w:pPr>
      <w:r>
        <w:rPr>
          <w:rFonts w:ascii="Times New Roman" w:hAnsi="Times New Roman"/>
          <w:b/>
          <w:noProof/>
          <w:color w:val="000000"/>
          <w:sz w:val="24"/>
          <w:lang w:val="fr-FR"/>
        </w:rPr>
        <w:t>L’augmentation de l’autonomie d</w:t>
      </w:r>
      <w:r>
        <w:rPr>
          <w:rFonts w:ascii="Times New Roman" w:hAnsi="Times New Roman"/>
          <w:b/>
          <w:noProof/>
          <w:color w:val="000000"/>
          <w:sz w:val="24"/>
          <w:lang w:val="fr-FR"/>
        </w:rPr>
        <w:t>es établissements scolaires a renforcé la responsabilité des chefs d’établissements dans de nombreux pays.</w:t>
      </w:r>
      <w:r>
        <w:rPr>
          <w:rFonts w:ascii="Times New Roman" w:hAnsi="Times New Roman"/>
          <w:noProof/>
          <w:color w:val="000000"/>
          <w:sz w:val="24"/>
          <w:lang w:val="fr-FR"/>
        </w:rPr>
        <w:t xml:space="preserve"> Elle permet aux chefs d’établissements de réorganiser leurs heures de cours et de revoir leurs approches, de stimuler le développement scolaire et de</w:t>
      </w:r>
      <w:r>
        <w:rPr>
          <w:rFonts w:ascii="Times New Roman" w:hAnsi="Times New Roman"/>
          <w:noProof/>
          <w:color w:val="000000"/>
          <w:sz w:val="24"/>
          <w:lang w:val="fr-FR"/>
        </w:rPr>
        <w:t xml:space="preserve"> partager leurs responsabilités avec une partie plus large du personnel. Ces changements requièrent toutefois des ressources et des soutiens appropriés</w:t>
      </w:r>
      <w:r>
        <w:rPr>
          <w:rStyle w:val="FootnoteReference"/>
          <w:rFonts w:ascii="Times New Roman" w:hAnsi="Times New Roman"/>
          <w:noProof/>
          <w:color w:val="000000"/>
          <w:sz w:val="24"/>
        </w:rPr>
        <w:footnoteReference w:id="49"/>
      </w:r>
      <w:r>
        <w:rPr>
          <w:noProof/>
          <w:lang w:val="fr-FR"/>
        </w:rPr>
        <w:t>.</w:t>
      </w:r>
      <w:r>
        <w:rPr>
          <w:rFonts w:ascii="Times New Roman" w:hAnsi="Times New Roman"/>
          <w:b/>
          <w:noProof/>
          <w:color w:val="000000"/>
          <w:sz w:val="24"/>
          <w:lang w:val="fr-FR"/>
        </w:rPr>
        <w:t xml:space="preserve"> </w:t>
      </w:r>
      <w:r>
        <w:rPr>
          <w:rFonts w:ascii="Times New Roman" w:hAnsi="Times New Roman"/>
          <w:noProof/>
          <w:color w:val="000000"/>
          <w:sz w:val="24"/>
          <w:lang w:val="fr-FR"/>
        </w:rPr>
        <w:t>Le recrutement, la préparation et l’évolution professionnelle des chefs d’établissements sont des fact</w:t>
      </w:r>
      <w:r>
        <w:rPr>
          <w:rFonts w:ascii="Times New Roman" w:hAnsi="Times New Roman"/>
          <w:noProof/>
          <w:color w:val="000000"/>
          <w:sz w:val="24"/>
          <w:lang w:val="fr-FR"/>
        </w:rPr>
        <w:t xml:space="preserve">eurs essentiels pour améliorer les résultats scolaires. </w:t>
      </w:r>
    </w:p>
    <w:p w:rsidR="00856281" w:rsidRDefault="00856281">
      <w:pPr>
        <w:spacing w:line="240" w:lineRule="auto"/>
        <w:rPr>
          <w:rFonts w:ascii="Times New Roman" w:hAnsi="Times New Roman" w:cs="Times New Roman"/>
          <w:noProof/>
          <w:color w:val="000000"/>
          <w:sz w:val="24"/>
          <w:szCs w:val="24"/>
          <w:u w:val="single"/>
          <w:lang w:val="fr-FR"/>
        </w:rPr>
      </w:pPr>
    </w:p>
    <w:p w:rsidR="00856281" w:rsidRDefault="00F3670C">
      <w:pPr>
        <w:keepNext/>
        <w:spacing w:after="240"/>
        <w:rPr>
          <w:rFonts w:ascii="Times New Roman" w:hAnsi="Times New Roman" w:cs="Times New Roman"/>
          <w:b/>
          <w:noProof/>
          <w:color w:val="000000"/>
          <w:sz w:val="24"/>
          <w:szCs w:val="24"/>
          <w:lang w:val="fr-FR"/>
        </w:rPr>
      </w:pPr>
      <w:r>
        <w:rPr>
          <w:rFonts w:ascii="Times New Roman" w:hAnsi="Times New Roman"/>
          <w:b/>
          <w:noProof/>
          <w:color w:val="000000"/>
          <w:sz w:val="24"/>
          <w:lang w:val="fr-FR"/>
        </w:rPr>
        <w:t>4. Gouvernance des systèmes éducatifs: vers davantage d’efficacité, d’efficience et d’équité</w:t>
      </w:r>
    </w:p>
    <w:p w:rsidR="00856281" w:rsidRDefault="00F3670C">
      <w:pPr>
        <w:keepNext/>
        <w:pBdr>
          <w:top w:val="single" w:sz="4" w:space="1" w:color="auto"/>
          <w:left w:val="single" w:sz="4" w:space="4" w:color="auto"/>
          <w:bottom w:val="single" w:sz="4" w:space="1" w:color="auto"/>
          <w:right w:val="single" w:sz="4" w:space="4" w:color="auto"/>
        </w:pBdr>
        <w:spacing w:before="240" w:after="120" w:line="240" w:lineRule="auto"/>
        <w:jc w:val="both"/>
        <w:rPr>
          <w:rFonts w:ascii="Times New Roman" w:hAnsi="Times New Roman" w:cs="Times New Roman"/>
          <w:i/>
          <w:noProof/>
          <w:color w:val="000000"/>
          <w:sz w:val="24"/>
          <w:szCs w:val="24"/>
          <w:lang w:val="fr-FR"/>
        </w:rPr>
      </w:pPr>
      <w:r>
        <w:rPr>
          <w:rFonts w:ascii="Times New Roman" w:hAnsi="Times New Roman"/>
          <w:i/>
          <w:noProof/>
          <w:color w:val="000000"/>
          <w:sz w:val="24"/>
          <w:lang w:val="fr-FR"/>
        </w:rPr>
        <w:t xml:space="preserve">Pour compléter les actions menées par les États membres, la Commission prendra les mesures suivantes: </w:t>
      </w:r>
    </w:p>
    <w:p w:rsidR="00856281" w:rsidRDefault="00F3670C">
      <w:pPr>
        <w:pStyle w:val="ListParagraph"/>
        <w:numPr>
          <w:ilvl w:val="0"/>
          <w:numId w:val="3"/>
        </w:numPr>
        <w:pBdr>
          <w:top w:val="single" w:sz="4" w:space="1" w:color="auto"/>
          <w:left w:val="single" w:sz="4" w:space="4" w:color="auto"/>
          <w:bottom w:val="single" w:sz="4" w:space="1" w:color="auto"/>
          <w:right w:val="single" w:sz="4" w:space="4" w:color="auto"/>
        </w:pBdr>
        <w:spacing w:after="0" w:line="240" w:lineRule="auto"/>
        <w:ind w:left="284" w:hanging="284"/>
        <w:jc w:val="both"/>
        <w:rPr>
          <w:rFonts w:ascii="Times New Roman" w:hAnsi="Times New Roman" w:cs="Times New Roman"/>
          <w:noProof/>
          <w:sz w:val="24"/>
          <w:szCs w:val="24"/>
          <w:lang w:val="fr-FR"/>
        </w:rPr>
      </w:pPr>
      <w:r>
        <w:rPr>
          <w:rFonts w:ascii="Times New Roman" w:hAnsi="Times New Roman"/>
          <w:noProof/>
          <w:sz w:val="24"/>
          <w:lang w:val="fr-FR"/>
        </w:rPr>
        <w:t xml:space="preserve">À partir de la coopération existante, notamment sur le plan des stratégies en matière de compétences et des ressources scolaires, élaborer un accord d’appui technique </w:t>
      </w:r>
      <w:r>
        <w:rPr>
          <w:rFonts w:ascii="Times New Roman" w:hAnsi="Times New Roman"/>
          <w:b/>
          <w:noProof/>
          <w:sz w:val="24"/>
          <w:lang w:val="fr-FR"/>
        </w:rPr>
        <w:t>basé sur la demande</w:t>
      </w:r>
      <w:r>
        <w:rPr>
          <w:rFonts w:ascii="Times New Roman" w:hAnsi="Times New Roman"/>
          <w:noProof/>
          <w:sz w:val="24"/>
          <w:lang w:val="fr-FR"/>
        </w:rPr>
        <w:t>,</w:t>
      </w:r>
      <w:r>
        <w:rPr>
          <w:noProof/>
          <w:lang w:val="fr-FR"/>
        </w:rPr>
        <w:t xml:space="preserve"> </w:t>
      </w:r>
      <w:r>
        <w:rPr>
          <w:rFonts w:ascii="Times New Roman" w:hAnsi="Times New Roman"/>
          <w:b/>
          <w:noProof/>
          <w:sz w:val="24"/>
          <w:lang w:val="fr-FR"/>
        </w:rPr>
        <w:t>en concertation avec l’OCDE</w:t>
      </w:r>
      <w:r>
        <w:rPr>
          <w:rFonts w:ascii="Times New Roman" w:hAnsi="Times New Roman"/>
          <w:noProof/>
          <w:sz w:val="24"/>
          <w:lang w:val="fr-FR"/>
        </w:rPr>
        <w:t>, afin d’aider les États membres qui rech</w:t>
      </w:r>
      <w:r>
        <w:rPr>
          <w:rFonts w:ascii="Times New Roman" w:hAnsi="Times New Roman"/>
          <w:noProof/>
          <w:sz w:val="24"/>
          <w:lang w:val="fr-FR"/>
        </w:rPr>
        <w:t>erchent délibérément une assistance à concevoir et mettre en œuvre des réformes éducatives d’envergure. Les services de la Commission,</w:t>
      </w:r>
      <w:r>
        <w:rPr>
          <w:noProof/>
          <w:lang w:val="fr-FR"/>
        </w:rPr>
        <w:t xml:space="preserve"> </w:t>
      </w:r>
      <w:r>
        <w:rPr>
          <w:rFonts w:ascii="Times New Roman" w:hAnsi="Times New Roman"/>
          <w:noProof/>
          <w:sz w:val="24"/>
          <w:lang w:val="fr-FR"/>
        </w:rPr>
        <w:t xml:space="preserve">dont le service d’appui à la réforme structurelle, et les instruments de financement de l’UE (dont les Fonds structurels </w:t>
      </w:r>
      <w:r>
        <w:rPr>
          <w:rFonts w:ascii="Times New Roman" w:hAnsi="Times New Roman"/>
          <w:noProof/>
          <w:sz w:val="24"/>
          <w:lang w:val="fr-FR"/>
        </w:rPr>
        <w:t xml:space="preserve">et d'investissement européens et Erasmus+) pourraient apporter ce soutien; </w:t>
      </w:r>
    </w:p>
    <w:p w:rsidR="00856281" w:rsidRDefault="00F3670C">
      <w:pPr>
        <w:pStyle w:val="ListParagraph"/>
        <w:numPr>
          <w:ilvl w:val="0"/>
          <w:numId w:val="3"/>
        </w:numPr>
        <w:pBdr>
          <w:top w:val="single" w:sz="4" w:space="1" w:color="auto"/>
          <w:left w:val="single" w:sz="4" w:space="4" w:color="auto"/>
          <w:bottom w:val="single" w:sz="4" w:space="1" w:color="auto"/>
          <w:right w:val="single" w:sz="4" w:space="4" w:color="auto"/>
        </w:pBdr>
        <w:spacing w:after="0" w:line="240" w:lineRule="auto"/>
        <w:ind w:left="284" w:hanging="284"/>
        <w:jc w:val="both"/>
        <w:rPr>
          <w:rFonts w:ascii="Times New Roman" w:hAnsi="Times New Roman" w:cs="Times New Roman"/>
          <w:noProof/>
          <w:sz w:val="24"/>
          <w:szCs w:val="24"/>
          <w:lang w:val="fr-FR"/>
        </w:rPr>
      </w:pPr>
      <w:r>
        <w:rPr>
          <w:rFonts w:ascii="Times New Roman" w:hAnsi="Times New Roman"/>
          <w:noProof/>
          <w:sz w:val="24"/>
          <w:lang w:val="fr-FR"/>
        </w:rPr>
        <w:t xml:space="preserve">proposer </w:t>
      </w:r>
      <w:r>
        <w:rPr>
          <w:rFonts w:ascii="Times New Roman" w:hAnsi="Times New Roman"/>
          <w:b/>
          <w:noProof/>
          <w:sz w:val="24"/>
          <w:lang w:val="fr-FR"/>
        </w:rPr>
        <w:t>un rapport conjoint sur l’efficacité et l’efficience des dépenses dans l’enseignement scolaire</w:t>
      </w:r>
      <w:r>
        <w:rPr>
          <w:rFonts w:ascii="Times New Roman" w:hAnsi="Times New Roman"/>
          <w:noProof/>
          <w:sz w:val="24"/>
          <w:lang w:val="fr-FR"/>
        </w:rPr>
        <w:t>, en faisant appel aux comités du Conseil appropriés et aux services de la Co</w:t>
      </w:r>
      <w:r>
        <w:rPr>
          <w:rFonts w:ascii="Times New Roman" w:hAnsi="Times New Roman"/>
          <w:noProof/>
          <w:sz w:val="24"/>
          <w:lang w:val="fr-FR"/>
        </w:rPr>
        <w:t xml:space="preserve">mmission. Ce rapport s’appuiera sur les travaux en cours avec l’OCDE et pourrait conduire à l’élaboration d’orientations stratégiques en matière d’investissement dans l’enseignement scolaire, en partenariat avec les États membres de l’UE intéressés et les </w:t>
      </w:r>
      <w:r>
        <w:rPr>
          <w:rFonts w:ascii="Times New Roman" w:hAnsi="Times New Roman"/>
          <w:noProof/>
          <w:sz w:val="24"/>
          <w:lang w:val="fr-FR"/>
        </w:rPr>
        <w:t>parties prenantes;</w:t>
      </w:r>
    </w:p>
    <w:p w:rsidR="00856281" w:rsidRDefault="00F3670C">
      <w:pPr>
        <w:pStyle w:val="ListParagraph"/>
        <w:numPr>
          <w:ilvl w:val="0"/>
          <w:numId w:val="3"/>
        </w:numPr>
        <w:pBdr>
          <w:top w:val="single" w:sz="4" w:space="1" w:color="auto"/>
          <w:left w:val="single" w:sz="4" w:space="4" w:color="auto"/>
          <w:bottom w:val="single" w:sz="4" w:space="1" w:color="auto"/>
          <w:right w:val="single" w:sz="4" w:space="4" w:color="auto"/>
        </w:pBdr>
        <w:spacing w:after="120" w:line="240" w:lineRule="auto"/>
        <w:ind w:left="284" w:hanging="284"/>
        <w:jc w:val="both"/>
        <w:rPr>
          <w:rFonts w:ascii="Times New Roman" w:hAnsi="Times New Roman"/>
          <w:noProof/>
          <w:sz w:val="24"/>
          <w:szCs w:val="24"/>
          <w:lang w:val="fr-FR"/>
        </w:rPr>
      </w:pPr>
      <w:r>
        <w:rPr>
          <w:rFonts w:ascii="Times New Roman" w:hAnsi="Times New Roman"/>
          <w:noProof/>
          <w:sz w:val="24"/>
          <w:lang w:val="fr-FR"/>
        </w:rPr>
        <w:t>élaborer, avec les États membres de l’UE et les parties prenantes, des orientations stratégiques ciblées sur l’</w:t>
      </w:r>
      <w:r>
        <w:rPr>
          <w:rFonts w:ascii="Times New Roman" w:hAnsi="Times New Roman"/>
          <w:b/>
          <w:noProof/>
          <w:sz w:val="24"/>
          <w:lang w:val="fr-FR"/>
        </w:rPr>
        <w:t xml:space="preserve">assurance qualité </w:t>
      </w:r>
      <w:r>
        <w:rPr>
          <w:rFonts w:ascii="Times New Roman" w:hAnsi="Times New Roman"/>
          <w:noProof/>
          <w:sz w:val="24"/>
          <w:lang w:val="fr-FR"/>
        </w:rPr>
        <w:t>à l’aide de conseils entre pairs</w:t>
      </w:r>
      <w:r>
        <w:rPr>
          <w:rStyle w:val="FootnoteReference"/>
          <w:rFonts w:ascii="Times New Roman" w:hAnsi="Times New Roman"/>
          <w:noProof/>
          <w:sz w:val="24"/>
        </w:rPr>
        <w:footnoteReference w:id="50"/>
      </w:r>
      <w:r>
        <w:rPr>
          <w:rFonts w:ascii="Times New Roman" w:hAnsi="Times New Roman"/>
          <w:noProof/>
          <w:sz w:val="24"/>
          <w:lang w:val="fr-FR"/>
        </w:rPr>
        <w:t xml:space="preserve"> et d’un apprentissage par les pairs.</w:t>
      </w:r>
    </w:p>
    <w:p w:rsidR="00856281" w:rsidRDefault="00F3670C">
      <w:pPr>
        <w:pStyle w:val="Text1"/>
        <w:keepNext/>
        <w:spacing w:before="240"/>
        <w:ind w:left="0"/>
        <w:rPr>
          <w:b/>
          <w:noProof/>
          <w:color w:val="000000"/>
          <w:szCs w:val="24"/>
          <w:lang w:val="fr-FR"/>
        </w:rPr>
      </w:pPr>
      <w:r>
        <w:rPr>
          <w:b/>
          <w:noProof/>
          <w:color w:val="000000"/>
          <w:lang w:val="fr-FR"/>
        </w:rPr>
        <w:t xml:space="preserve">4.1. Ressources scolaires: investir </w:t>
      </w:r>
      <w:r>
        <w:rPr>
          <w:b/>
          <w:noProof/>
          <w:color w:val="000000"/>
          <w:lang w:val="fr-FR"/>
        </w:rPr>
        <w:t>de manière adéquate et efficace</w:t>
      </w:r>
    </w:p>
    <w:p w:rsidR="00856281" w:rsidRDefault="00F3670C">
      <w:pPr>
        <w:spacing w:before="120" w:after="120" w:line="240" w:lineRule="auto"/>
        <w:jc w:val="both"/>
        <w:rPr>
          <w:rFonts w:ascii="Times New Roman" w:hAnsi="Times New Roman"/>
          <w:bCs/>
          <w:noProof/>
          <w:sz w:val="24"/>
          <w:szCs w:val="24"/>
          <w:lang w:val="fr-FR"/>
        </w:rPr>
      </w:pPr>
      <w:r>
        <w:rPr>
          <w:rFonts w:ascii="Times New Roman" w:hAnsi="Times New Roman"/>
          <w:b/>
          <w:noProof/>
          <w:sz w:val="24"/>
          <w:lang w:val="fr-FR"/>
        </w:rPr>
        <w:t>Bien que l’Europe jouisse d’une grande diversité de systèmes éducatifs, de cultures et de circonstances, certains défis sont communs pour ce qui est de la gouvernance et du financement.</w:t>
      </w:r>
      <w:r>
        <w:rPr>
          <w:rFonts w:ascii="Times New Roman" w:hAnsi="Times New Roman"/>
          <w:noProof/>
          <w:sz w:val="24"/>
          <w:lang w:val="fr-FR"/>
        </w:rPr>
        <w:t xml:space="preserve"> Il en va ainsi de la définition de res</w:t>
      </w:r>
      <w:r>
        <w:rPr>
          <w:rFonts w:ascii="Times New Roman" w:hAnsi="Times New Roman"/>
          <w:noProof/>
          <w:sz w:val="24"/>
          <w:lang w:val="fr-FR"/>
        </w:rPr>
        <w:t>ponsabilités claires en matière de financement et d’adaptation du réseau scolaire aux évolutions démographiques</w:t>
      </w:r>
      <w:r>
        <w:rPr>
          <w:rStyle w:val="FootnoteReference"/>
          <w:rFonts w:ascii="Times New Roman" w:hAnsi="Times New Roman"/>
          <w:noProof/>
          <w:sz w:val="24"/>
        </w:rPr>
        <w:footnoteReference w:id="51"/>
      </w:r>
      <w:r>
        <w:rPr>
          <w:noProof/>
          <w:lang w:val="fr-FR"/>
        </w:rPr>
        <w:t>.</w:t>
      </w:r>
      <w:r>
        <w:rPr>
          <w:rFonts w:ascii="Times New Roman" w:hAnsi="Times New Roman"/>
          <w:noProof/>
          <w:sz w:val="24"/>
          <w:lang w:val="fr-FR"/>
        </w:rPr>
        <w:t xml:space="preserve"> Les États membres de l’UE allouent des ressources significatives (plus de 3 % de leur PIB en moyenne) à l’enseignement scolaire</w:t>
      </w:r>
      <w:r>
        <w:rPr>
          <w:rStyle w:val="FootnoteReference"/>
          <w:rFonts w:ascii="Times New Roman" w:hAnsi="Times New Roman"/>
          <w:noProof/>
          <w:sz w:val="24"/>
        </w:rPr>
        <w:footnoteReference w:id="52"/>
      </w:r>
      <w:r>
        <w:rPr>
          <w:noProof/>
          <w:lang w:val="fr-FR"/>
        </w:rPr>
        <w:t>.</w:t>
      </w:r>
      <w:r>
        <w:rPr>
          <w:rFonts w:ascii="Times New Roman" w:hAnsi="Times New Roman"/>
          <w:noProof/>
          <w:sz w:val="24"/>
          <w:lang w:val="fr-FR"/>
        </w:rPr>
        <w:t xml:space="preserve"> Le bon usage</w:t>
      </w:r>
      <w:r>
        <w:rPr>
          <w:rFonts w:ascii="Times New Roman" w:hAnsi="Times New Roman"/>
          <w:noProof/>
          <w:sz w:val="24"/>
          <w:lang w:val="fr-FR"/>
        </w:rPr>
        <w:t xml:space="preserve"> de ces ressources est essentiel pour garantir l’efficacité de l’ensemble des dépenses publiques d’un pays.</w:t>
      </w:r>
    </w:p>
    <w:p w:rsidR="00856281" w:rsidRDefault="00F3670C">
      <w:pPr>
        <w:spacing w:before="120" w:after="120" w:line="240" w:lineRule="auto"/>
        <w:jc w:val="both"/>
        <w:rPr>
          <w:rFonts w:ascii="Times New Roman" w:hAnsi="Times New Roman"/>
          <w:b/>
          <w:i/>
          <w:noProof/>
          <w:sz w:val="24"/>
          <w:szCs w:val="24"/>
          <w:lang w:val="fr-FR"/>
        </w:rPr>
      </w:pPr>
      <w:r>
        <w:rPr>
          <w:rFonts w:ascii="Times New Roman" w:hAnsi="Times New Roman"/>
          <w:b/>
          <w:noProof/>
          <w:sz w:val="24"/>
          <w:lang w:val="fr-FR"/>
        </w:rPr>
        <w:t xml:space="preserve">Il est crucial de tirer le meilleur parti de ressources limitées pour améliorer les résultats de l’ensemble des élèves. </w:t>
      </w:r>
      <w:r>
        <w:rPr>
          <w:rFonts w:ascii="Times New Roman" w:hAnsi="Times New Roman"/>
          <w:noProof/>
          <w:sz w:val="24"/>
          <w:lang w:val="fr-FR"/>
        </w:rPr>
        <w:t>Les enquêtes PISA montrent q</w:t>
      </w:r>
      <w:r>
        <w:rPr>
          <w:rFonts w:ascii="Times New Roman" w:hAnsi="Times New Roman"/>
          <w:noProof/>
          <w:sz w:val="24"/>
          <w:lang w:val="fr-FR"/>
        </w:rPr>
        <w:t>ue de bons résultats scolaires ne sauraient être obtenus en deçà d’un niveau de financement minimum. Certains États membres n’ont pas suffisamment investi pour obtenir de bons résultats à long terme</w:t>
      </w:r>
      <w:r>
        <w:rPr>
          <w:rStyle w:val="FootnoteReference"/>
          <w:rFonts w:ascii="Times New Roman" w:hAnsi="Times New Roman"/>
          <w:noProof/>
          <w:sz w:val="24"/>
        </w:rPr>
        <w:footnoteReference w:id="53"/>
      </w:r>
      <w:r>
        <w:rPr>
          <w:noProof/>
          <w:lang w:val="fr-FR"/>
        </w:rPr>
        <w:t>.</w:t>
      </w:r>
      <w:r>
        <w:rPr>
          <w:rFonts w:ascii="Times New Roman" w:hAnsi="Times New Roman"/>
          <w:noProof/>
          <w:sz w:val="24"/>
          <w:lang w:val="fr-FR"/>
        </w:rPr>
        <w:t xml:space="preserve"> Néanmoins, à un niveau de dépenses comparable, certains</w:t>
      </w:r>
      <w:r>
        <w:rPr>
          <w:rFonts w:ascii="Times New Roman" w:hAnsi="Times New Roman"/>
          <w:noProof/>
          <w:sz w:val="24"/>
          <w:lang w:val="fr-FR"/>
        </w:rPr>
        <w:t xml:space="preserve"> États membres obtiennent de meilleurs résultats que d’autres. Le fait de renforcer la coopération entre l’éducation et la politique économique peut améliorer le socle de données factuelles et générer un consensus sur «ce qui marche» en matière d’investiss</w:t>
      </w:r>
      <w:r>
        <w:rPr>
          <w:rFonts w:ascii="Times New Roman" w:hAnsi="Times New Roman"/>
          <w:noProof/>
          <w:sz w:val="24"/>
          <w:lang w:val="fr-FR"/>
        </w:rPr>
        <w:t>ement dans l’enseignement. Les enjeux en la matière portent notamment sur les investissements dans les infrastructures, y compris les infrastructures numériques et la connectivité, ainsi que dans le capital humain</w:t>
      </w:r>
      <w:r>
        <w:rPr>
          <w:rStyle w:val="FootnoteReference"/>
          <w:rFonts w:ascii="Times New Roman" w:hAnsi="Times New Roman"/>
          <w:noProof/>
          <w:sz w:val="24"/>
        </w:rPr>
        <w:footnoteReference w:id="54"/>
      </w:r>
      <w:r>
        <w:rPr>
          <w:noProof/>
          <w:lang w:val="fr-FR"/>
        </w:rPr>
        <w:t>.</w:t>
      </w:r>
      <w:r>
        <w:rPr>
          <w:rFonts w:ascii="Times New Roman" w:hAnsi="Times New Roman"/>
          <w:noProof/>
          <w:sz w:val="24"/>
          <w:lang w:val="fr-FR"/>
        </w:rPr>
        <w:t xml:space="preserve"> Le soutien politique sur mesure aux réfo</w:t>
      </w:r>
      <w:r>
        <w:rPr>
          <w:rFonts w:ascii="Times New Roman" w:hAnsi="Times New Roman"/>
          <w:noProof/>
          <w:sz w:val="24"/>
          <w:lang w:val="fr-FR"/>
        </w:rPr>
        <w:t>rmes de l’éducation des États membres peut contribuer à améliorer la gouvernance des systèmes scolaires et à accroître leur efficacité et leur caractère équitable.</w:t>
      </w:r>
      <w:r>
        <w:rPr>
          <w:rFonts w:ascii="Times New Roman" w:hAnsi="Times New Roman"/>
          <w:b/>
          <w:i/>
          <w:noProof/>
          <w:sz w:val="24"/>
          <w:lang w:val="fr-FR"/>
        </w:rPr>
        <w:t xml:space="preserve"> </w:t>
      </w:r>
    </w:p>
    <w:p w:rsidR="00856281" w:rsidRDefault="00F3670C">
      <w:pPr>
        <w:pStyle w:val="Text1"/>
        <w:keepNext/>
        <w:spacing w:before="240"/>
        <w:ind w:left="0"/>
        <w:rPr>
          <w:b/>
          <w:noProof/>
          <w:color w:val="000000"/>
          <w:szCs w:val="24"/>
          <w:lang w:val="fr-FR"/>
        </w:rPr>
      </w:pPr>
      <w:r>
        <w:rPr>
          <w:b/>
          <w:noProof/>
          <w:color w:val="000000"/>
          <w:lang w:val="fr-FR"/>
        </w:rPr>
        <w:t xml:space="preserve">4.2. Allier autonomie et assurance qualité </w:t>
      </w:r>
    </w:p>
    <w:p w:rsidR="00856281" w:rsidRDefault="00F3670C">
      <w:pPr>
        <w:keepNext/>
        <w:spacing w:after="120" w:line="240" w:lineRule="auto"/>
        <w:jc w:val="both"/>
        <w:rPr>
          <w:rFonts w:ascii="Times New Roman" w:eastAsia="Calibri" w:hAnsi="Times New Roman" w:cs="Arial"/>
          <w:noProof/>
          <w:sz w:val="24"/>
          <w:szCs w:val="24"/>
          <w:lang w:val="fr-FR"/>
        </w:rPr>
      </w:pPr>
      <w:r>
        <w:rPr>
          <w:rFonts w:ascii="Times New Roman" w:hAnsi="Times New Roman"/>
          <w:b/>
          <w:noProof/>
          <w:sz w:val="24"/>
          <w:lang w:val="fr-FR"/>
        </w:rPr>
        <w:t xml:space="preserve">L’interaction entre autonomie des </w:t>
      </w:r>
      <w:r>
        <w:rPr>
          <w:rFonts w:ascii="Times New Roman" w:hAnsi="Times New Roman"/>
          <w:b/>
          <w:noProof/>
          <w:sz w:val="24"/>
          <w:lang w:val="fr-FR"/>
        </w:rPr>
        <w:t>établissements scolaires et obligation de rendre des comptes requiert des systèmes d’assurance qualité solides, mais flexibles</w:t>
      </w:r>
      <w:r>
        <w:rPr>
          <w:rStyle w:val="FootnoteReference"/>
          <w:rFonts w:ascii="Times New Roman" w:hAnsi="Times New Roman"/>
          <w:noProof/>
          <w:sz w:val="24"/>
        </w:rPr>
        <w:footnoteReference w:id="55"/>
      </w:r>
      <w:r>
        <w:rPr>
          <w:noProof/>
          <w:lang w:val="fr-FR"/>
        </w:rPr>
        <w:t>.</w:t>
      </w:r>
      <w:r>
        <w:rPr>
          <w:rFonts w:ascii="Times New Roman" w:hAnsi="Times New Roman"/>
          <w:noProof/>
          <w:sz w:val="24"/>
          <w:lang w:val="fr-FR"/>
        </w:rPr>
        <w:t xml:space="preserve"> L’une des grandes tendances récentes a été d’aller vers davantage de décentralisation et d’accorder une plus grande autonomie a</w:t>
      </w:r>
      <w:r>
        <w:rPr>
          <w:rFonts w:ascii="Times New Roman" w:hAnsi="Times New Roman"/>
          <w:noProof/>
          <w:sz w:val="24"/>
          <w:lang w:val="fr-FR"/>
        </w:rPr>
        <w:t>ux établissements scolaires. Le fait d’octroyer aux écoles une plus grande autonomie en matière de pratiques éducatives et d’organisation ou d’utilisation de leurs ressources financières leur permet de mieux s’adapter aux besoins particuliers et au context</w:t>
      </w:r>
      <w:r>
        <w:rPr>
          <w:rFonts w:ascii="Times New Roman" w:hAnsi="Times New Roman"/>
          <w:noProof/>
          <w:sz w:val="24"/>
          <w:lang w:val="fr-FR"/>
        </w:rPr>
        <w:t>e local. Toutefois, les avantages conférés par l’autonomie dépendent de la capacité des écoles à planifier efficacement et à gérer leur propre développement, ainsi que de leur degré de responsabilité vis-à-vis des parents, des communautés locales et des au</w:t>
      </w:r>
      <w:r>
        <w:rPr>
          <w:rFonts w:ascii="Times New Roman" w:hAnsi="Times New Roman"/>
          <w:noProof/>
          <w:sz w:val="24"/>
          <w:lang w:val="fr-FR"/>
        </w:rPr>
        <w:t>torités administratives.</w:t>
      </w:r>
      <w:r>
        <w:rPr>
          <w:rFonts w:ascii="Times New Roman" w:hAnsi="Times New Roman"/>
          <w:noProof/>
          <w:sz w:val="24"/>
          <w:vertAlign w:val="superscript"/>
        </w:rPr>
        <w:footnoteReference w:id="56"/>
      </w:r>
      <w:r>
        <w:rPr>
          <w:rFonts w:ascii="Times New Roman" w:hAnsi="Times New Roman"/>
          <w:noProof/>
          <w:sz w:val="24"/>
          <w:lang w:val="fr-FR"/>
        </w:rPr>
        <w:t xml:space="preserve"> Les résultats du PISA montrent que l’autonomie des établissements scolaires donne de meilleurs résultats sur le plan des compétences de base lorsqu’elle est couplée à une obligation de rendre des comptes. Les mécanismes d’assuranc</w:t>
      </w:r>
      <w:r>
        <w:rPr>
          <w:rFonts w:ascii="Times New Roman" w:hAnsi="Times New Roman"/>
          <w:noProof/>
          <w:sz w:val="24"/>
          <w:lang w:val="fr-FR"/>
        </w:rPr>
        <w:t>e qualité</w:t>
      </w:r>
      <w:r>
        <w:rPr>
          <w:noProof/>
          <w:lang w:val="fr-FR"/>
        </w:rPr>
        <w:t xml:space="preserve"> </w:t>
      </w:r>
      <w:r>
        <w:rPr>
          <w:rFonts w:ascii="Times New Roman" w:hAnsi="Times New Roman"/>
          <w:noProof/>
          <w:sz w:val="24"/>
          <w:lang w:val="fr-FR"/>
        </w:rPr>
        <w:t>varient grandement à travers l'Europe,</w:t>
      </w:r>
      <w:r>
        <w:rPr>
          <w:rStyle w:val="FootnoteReference"/>
          <w:rFonts w:ascii="Times New Roman" w:hAnsi="Times New Roman"/>
          <w:noProof/>
          <w:sz w:val="24"/>
        </w:rPr>
        <w:footnoteReference w:id="57"/>
      </w:r>
      <w:r>
        <w:rPr>
          <w:rFonts w:ascii="Times New Roman" w:hAnsi="Times New Roman"/>
          <w:noProof/>
          <w:sz w:val="24"/>
          <w:lang w:val="fr-FR"/>
        </w:rPr>
        <w:t xml:space="preserve"> tout en partageant certains défis. Ceux-ci portent notamment sur la manière de fixer des objectifs et de mesurer les progrès pour les systèmes éducatifs et l’apprentissage des élèves; de concevoir l’assuran</w:t>
      </w:r>
      <w:r>
        <w:rPr>
          <w:rFonts w:ascii="Times New Roman" w:hAnsi="Times New Roman"/>
          <w:noProof/>
          <w:sz w:val="24"/>
          <w:lang w:val="fr-FR"/>
        </w:rPr>
        <w:t>ce qualité de manière à obtenir des systèmes éducatifs de plus en plus décentralisés et comportant plusieurs niveaux; d’encourager le dialogue et la culture de la confiance parmi les parties prenantes de l’éducation et de hiérarchiser les ressources humain</w:t>
      </w:r>
      <w:r>
        <w:rPr>
          <w:rFonts w:ascii="Times New Roman" w:hAnsi="Times New Roman"/>
          <w:noProof/>
          <w:sz w:val="24"/>
          <w:lang w:val="fr-FR"/>
        </w:rPr>
        <w:t>es et financières.</w:t>
      </w:r>
    </w:p>
    <w:p w:rsidR="00856281" w:rsidRDefault="00F3670C">
      <w:pPr>
        <w:spacing w:after="240" w:line="240" w:lineRule="auto"/>
        <w:jc w:val="both"/>
        <w:rPr>
          <w:rFonts w:ascii="Times New Roman" w:hAnsi="Times New Roman" w:cs="Times New Roman"/>
          <w:noProof/>
          <w:sz w:val="24"/>
          <w:szCs w:val="24"/>
          <w:lang w:val="fr-FR"/>
        </w:rPr>
      </w:pPr>
      <w:r>
        <w:rPr>
          <w:rFonts w:ascii="Times New Roman" w:hAnsi="Times New Roman"/>
          <w:b/>
          <w:noProof/>
          <w:sz w:val="24"/>
          <w:lang w:val="fr-FR"/>
        </w:rPr>
        <w:t>Élaborer des outils et des processus appropriés pour des données quantitatives et qualitatives renforcerait l’assurance qualité.</w:t>
      </w:r>
      <w:r>
        <w:rPr>
          <w:rFonts w:ascii="Times New Roman" w:hAnsi="Times New Roman"/>
          <w:noProof/>
          <w:sz w:val="24"/>
          <w:lang w:val="fr-FR"/>
        </w:rPr>
        <w:t xml:space="preserve"> Les mécanismes d’assurance qualité devraient tenir compte du climat scolaire et du bien-être des apprenants aussi bien que du développement des compétences de ces derniers. Des données quantitatives et qualitatives sont nécessaires pour obtenir cette visi</w:t>
      </w:r>
      <w:r>
        <w:rPr>
          <w:rFonts w:ascii="Times New Roman" w:hAnsi="Times New Roman"/>
          <w:noProof/>
          <w:sz w:val="24"/>
          <w:lang w:val="fr-FR"/>
        </w:rPr>
        <w:t>on équilibrée</w:t>
      </w:r>
      <w:r>
        <w:rPr>
          <w:rStyle w:val="FootnoteReference"/>
          <w:rFonts w:ascii="Times New Roman" w:hAnsi="Times New Roman"/>
          <w:noProof/>
          <w:sz w:val="24"/>
        </w:rPr>
        <w:footnoteReference w:id="58"/>
      </w:r>
      <w:r>
        <w:rPr>
          <w:noProof/>
          <w:lang w:val="fr-FR"/>
        </w:rPr>
        <w:t>.</w:t>
      </w:r>
      <w:r>
        <w:rPr>
          <w:rFonts w:ascii="Times New Roman" w:hAnsi="Times New Roman"/>
          <w:noProof/>
          <w:sz w:val="24"/>
          <w:lang w:val="fr-FR"/>
        </w:rPr>
        <w:t xml:space="preserve"> Les écoles et les parties prenantes locales doivent investir dans le renforcement des capacités afin d’être en mesure d’inventorier les outils et indicateurs les plus appropriés pour suivre la progression des apprenants et le développement </w:t>
      </w:r>
      <w:r>
        <w:rPr>
          <w:rFonts w:ascii="Times New Roman" w:hAnsi="Times New Roman"/>
          <w:noProof/>
          <w:sz w:val="24"/>
          <w:lang w:val="fr-FR"/>
        </w:rPr>
        <w:t>des écoles, tout en dégageant une compréhension commune de la manière dont les données doivent être interprétées. Cette démarche doit être complétée par des mécanismes de suivi externes, tels que des évaluations scolaires nationales ou régionales et/ou des</w:t>
      </w:r>
      <w:r>
        <w:rPr>
          <w:rFonts w:ascii="Times New Roman" w:hAnsi="Times New Roman"/>
          <w:noProof/>
          <w:sz w:val="24"/>
          <w:lang w:val="fr-FR"/>
        </w:rPr>
        <w:t xml:space="preserve"> examens d’évaluation des élèves à grande échelle.</w:t>
      </w:r>
      <w:r>
        <w:rPr>
          <w:noProof/>
          <w:lang w:val="fr-FR"/>
        </w:rPr>
        <w:t xml:space="preserve"> </w:t>
      </w:r>
      <w:r>
        <w:rPr>
          <w:rFonts w:ascii="Times New Roman" w:hAnsi="Times New Roman"/>
          <w:noProof/>
          <w:sz w:val="24"/>
          <w:lang w:val="fr-FR"/>
        </w:rPr>
        <w:t xml:space="preserve">Le fait de passer d'une approche basée sur une liste de points à vérifier, axée sur le respect formel de règles et de procédures, à une démarche coopérative axée sur le développement scolaire a pour effet </w:t>
      </w:r>
      <w:r>
        <w:rPr>
          <w:rFonts w:ascii="Times New Roman" w:hAnsi="Times New Roman"/>
          <w:noProof/>
          <w:sz w:val="24"/>
          <w:lang w:val="fr-FR"/>
        </w:rPr>
        <w:t>d’élever les normes et d’améliorer les résultats d’apprentissage</w:t>
      </w:r>
      <w:r>
        <w:rPr>
          <w:rStyle w:val="FootnoteReference"/>
          <w:rFonts w:ascii="Times New Roman" w:hAnsi="Times New Roman"/>
          <w:noProof/>
          <w:sz w:val="24"/>
        </w:rPr>
        <w:footnoteReference w:id="59"/>
      </w:r>
      <w:r>
        <w:rPr>
          <w:noProof/>
          <w:lang w:val="fr-FR"/>
        </w:rPr>
        <w:t>.</w:t>
      </w:r>
    </w:p>
    <w:p w:rsidR="00856281" w:rsidRDefault="00856281">
      <w:pPr>
        <w:spacing w:after="240" w:line="240" w:lineRule="auto"/>
        <w:jc w:val="both"/>
        <w:rPr>
          <w:noProof/>
          <w:lang w:val="fr-FR"/>
        </w:rPr>
      </w:pPr>
    </w:p>
    <w:p w:rsidR="00856281" w:rsidRDefault="00F3670C">
      <w:pPr>
        <w:pStyle w:val="ListParagraph"/>
        <w:keepNext/>
        <w:numPr>
          <w:ilvl w:val="0"/>
          <w:numId w:val="4"/>
        </w:numPr>
        <w:spacing w:before="120" w:after="240" w:line="240" w:lineRule="auto"/>
        <w:ind w:left="357" w:hanging="357"/>
        <w:contextualSpacing w:val="0"/>
        <w:rPr>
          <w:rFonts w:ascii="Times New Roman" w:hAnsi="Times New Roman" w:cs="Times New Roman"/>
          <w:b/>
          <w:noProof/>
          <w:color w:val="000000"/>
          <w:sz w:val="24"/>
          <w:szCs w:val="24"/>
        </w:rPr>
      </w:pPr>
      <w:r>
        <w:rPr>
          <w:rFonts w:ascii="Times New Roman" w:hAnsi="Times New Roman"/>
          <w:b/>
          <w:noProof/>
          <w:color w:val="000000"/>
          <w:sz w:val="24"/>
        </w:rPr>
        <w:t>Conclusion et perspectives</w:t>
      </w:r>
    </w:p>
    <w:p w:rsidR="00856281" w:rsidRDefault="00F3670C">
      <w:pPr>
        <w:keepNext/>
        <w:spacing w:line="240" w:lineRule="auto"/>
        <w:jc w:val="both"/>
        <w:rPr>
          <w:rFonts w:ascii="Times New Roman" w:hAnsi="Times New Roman" w:cs="Times New Roman"/>
          <w:noProof/>
          <w:color w:val="000000"/>
          <w:sz w:val="24"/>
          <w:szCs w:val="24"/>
          <w:lang w:val="fr-FR"/>
        </w:rPr>
      </w:pPr>
      <w:r>
        <w:rPr>
          <w:rFonts w:ascii="Times New Roman" w:hAnsi="Times New Roman"/>
          <w:b/>
          <w:noProof/>
          <w:color w:val="000000"/>
          <w:sz w:val="24"/>
          <w:lang w:val="fr-FR"/>
        </w:rPr>
        <w:t>L’amélioration de l’éducation est au cœur de l’initiative de la Commission «Investir dans la jeunesse de l’Europe»</w:t>
      </w:r>
      <w:r>
        <w:rPr>
          <w:rFonts w:ascii="Times New Roman" w:hAnsi="Times New Roman"/>
          <w:noProof/>
          <w:color w:val="000000"/>
          <w:sz w:val="24"/>
          <w:lang w:val="fr-FR"/>
        </w:rPr>
        <w:t>. La qualité des écoles, en particulier, est es</w:t>
      </w:r>
      <w:r>
        <w:rPr>
          <w:rFonts w:ascii="Times New Roman" w:hAnsi="Times New Roman"/>
          <w:noProof/>
          <w:color w:val="000000"/>
          <w:sz w:val="24"/>
          <w:lang w:val="fr-FR"/>
        </w:rPr>
        <w:t xml:space="preserve">sentielle pour façonner les perspectives des jeunes. Les écoles sont la clef de voûte de la réussite professionnelle. Elles offrent une chance unique de mobilité sociale. Ce n’est toutefois pas toujours le cas. Les nouvelles données du PISA sont un signal </w:t>
      </w:r>
      <w:r>
        <w:rPr>
          <w:rFonts w:ascii="Times New Roman" w:hAnsi="Times New Roman"/>
          <w:noProof/>
          <w:color w:val="000000"/>
          <w:sz w:val="24"/>
          <w:lang w:val="fr-FR"/>
        </w:rPr>
        <w:t>d'alarme pour l’Europe: la part des jeunes ayant des difficultés en sciences est montée en flèche, passant de 16,6 % en 2012 à 20,6 % en 2015. 11 % des élèves quittent l’école sans titre de formation officiel. S’il n’est pas mis un terme à de telles faille</w:t>
      </w:r>
      <w:r>
        <w:rPr>
          <w:rFonts w:ascii="Times New Roman" w:hAnsi="Times New Roman"/>
          <w:noProof/>
          <w:color w:val="000000"/>
          <w:sz w:val="24"/>
          <w:lang w:val="fr-FR"/>
        </w:rPr>
        <w:t xml:space="preserve">s dans l’enseignement scolaire, ce sont des millions de jeunes qui verront compromises leurs chances de réussir. </w:t>
      </w:r>
    </w:p>
    <w:p w:rsidR="00856281" w:rsidRDefault="00F3670C">
      <w:pPr>
        <w:spacing w:line="240" w:lineRule="auto"/>
        <w:jc w:val="both"/>
        <w:rPr>
          <w:rFonts w:ascii="Times New Roman" w:hAnsi="Times New Roman" w:cs="Times New Roman"/>
          <w:iCs/>
          <w:noProof/>
          <w:color w:val="000000"/>
          <w:sz w:val="24"/>
          <w:szCs w:val="24"/>
          <w:lang w:val="fr-FR"/>
        </w:rPr>
      </w:pPr>
      <w:r>
        <w:rPr>
          <w:rFonts w:ascii="Times New Roman" w:hAnsi="Times New Roman"/>
          <w:b/>
          <w:noProof/>
          <w:color w:val="000000"/>
          <w:sz w:val="24"/>
          <w:lang w:val="fr-FR"/>
        </w:rPr>
        <w:t>Permettre à l’ensemble des jeunes de bénéficier d’un enseignement de grande qualité est une préoccupation majeure pour l’avenir de l’Europe.</w:t>
      </w:r>
      <w:r>
        <w:rPr>
          <w:rFonts w:ascii="Times New Roman" w:hAnsi="Times New Roman"/>
          <w:noProof/>
          <w:color w:val="000000"/>
          <w:sz w:val="24"/>
          <w:lang w:val="fr-FR"/>
        </w:rPr>
        <w:t xml:space="preserve"> L</w:t>
      </w:r>
      <w:r>
        <w:rPr>
          <w:rFonts w:ascii="Times New Roman" w:hAnsi="Times New Roman"/>
          <w:noProof/>
          <w:color w:val="000000"/>
          <w:sz w:val="24"/>
          <w:lang w:val="fr-FR"/>
        </w:rPr>
        <w:t>e document de réflexion d'avril 2017 sur la dimension sociale de l’Europe</w:t>
      </w:r>
      <w:r>
        <w:rPr>
          <w:rFonts w:ascii="Times New Roman" w:hAnsi="Times New Roman"/>
          <w:noProof/>
          <w:sz w:val="24"/>
          <w:vertAlign w:val="superscript"/>
        </w:rPr>
        <w:footnoteReference w:id="60"/>
      </w:r>
      <w:r>
        <w:rPr>
          <w:rFonts w:ascii="Times New Roman" w:hAnsi="Times New Roman"/>
          <w:noProof/>
          <w:color w:val="000000"/>
          <w:sz w:val="24"/>
          <w:lang w:val="fr-FR"/>
        </w:rPr>
        <w:t xml:space="preserve"> souligne le fait que</w:t>
      </w:r>
      <w:r>
        <w:rPr>
          <w:noProof/>
          <w:lang w:val="fr-FR"/>
        </w:rPr>
        <w:t xml:space="preserve"> </w:t>
      </w:r>
      <w:r>
        <w:rPr>
          <w:rFonts w:ascii="Times New Roman" w:hAnsi="Times New Roman"/>
          <w:noProof/>
          <w:color w:val="000000"/>
          <w:sz w:val="24"/>
          <w:lang w:val="fr-FR"/>
        </w:rPr>
        <w:t xml:space="preserve">l’éducation figure au rang des facteurs qui détermineront de plus en plus l’avenir de nos sociétés et de nos économies; dans la déclaration de Rome du 27 mars </w:t>
      </w:r>
      <w:r>
        <w:rPr>
          <w:rFonts w:ascii="Times New Roman" w:hAnsi="Times New Roman"/>
          <w:noProof/>
          <w:color w:val="000000"/>
          <w:sz w:val="24"/>
          <w:lang w:val="fr-FR"/>
        </w:rPr>
        <w:t>2017, 27 États membres se sont engagés à œuvrer à la réalisation d’«</w:t>
      </w:r>
      <w:r>
        <w:rPr>
          <w:rFonts w:ascii="Times New Roman" w:hAnsi="Times New Roman"/>
          <w:i/>
          <w:noProof/>
          <w:color w:val="000000"/>
          <w:sz w:val="24"/>
          <w:lang w:val="fr-FR"/>
        </w:rPr>
        <w:t>une Europe sociale: …une Union où les jeunes bénéficient du meilleur niveau d'éducation et de formation et peuvent étudier et trouver un emploi sur tout le continent</w:t>
      </w:r>
      <w:r>
        <w:rPr>
          <w:rFonts w:ascii="Times New Roman" w:hAnsi="Times New Roman"/>
          <w:noProof/>
          <w:color w:val="000000"/>
          <w:sz w:val="24"/>
          <w:lang w:val="fr-FR"/>
        </w:rPr>
        <w:t>»</w:t>
      </w:r>
      <w:r>
        <w:rPr>
          <w:rStyle w:val="FootnoteReference"/>
          <w:rFonts w:ascii="Times New Roman" w:hAnsi="Times New Roman"/>
          <w:noProof/>
          <w:color w:val="000000"/>
          <w:sz w:val="24"/>
        </w:rPr>
        <w:footnoteReference w:id="61"/>
      </w:r>
      <w:r>
        <w:rPr>
          <w:noProof/>
          <w:lang w:val="fr-FR"/>
        </w:rPr>
        <w:t>.</w:t>
      </w:r>
      <w:r>
        <w:rPr>
          <w:rFonts w:ascii="Times New Roman" w:hAnsi="Times New Roman"/>
          <w:noProof/>
          <w:color w:val="000000"/>
          <w:sz w:val="24"/>
          <w:lang w:val="fr-FR"/>
        </w:rPr>
        <w:t xml:space="preserve"> </w:t>
      </w:r>
    </w:p>
    <w:p w:rsidR="00856281" w:rsidRDefault="00F3670C">
      <w:pPr>
        <w:spacing w:line="240" w:lineRule="auto"/>
        <w:jc w:val="both"/>
        <w:rPr>
          <w:rFonts w:ascii="Times New Roman" w:hAnsi="Times New Roman" w:cs="Times New Roman"/>
          <w:iCs/>
          <w:noProof/>
          <w:color w:val="000000"/>
          <w:sz w:val="24"/>
          <w:szCs w:val="24"/>
          <w:lang w:val="fr-FR"/>
        </w:rPr>
      </w:pPr>
      <w:r>
        <w:rPr>
          <w:rFonts w:ascii="Times New Roman" w:hAnsi="Times New Roman"/>
          <w:b/>
          <w:noProof/>
          <w:color w:val="000000"/>
          <w:sz w:val="24"/>
          <w:lang w:val="fr-FR"/>
        </w:rPr>
        <w:t xml:space="preserve">Œuvrer au service </w:t>
      </w:r>
      <w:r>
        <w:rPr>
          <w:rFonts w:ascii="Times New Roman" w:hAnsi="Times New Roman"/>
          <w:b/>
          <w:noProof/>
          <w:color w:val="000000"/>
          <w:sz w:val="24"/>
          <w:lang w:val="fr-FR"/>
        </w:rPr>
        <w:t xml:space="preserve">d’un engagement commun. </w:t>
      </w:r>
      <w:r>
        <w:rPr>
          <w:rFonts w:ascii="Times New Roman" w:hAnsi="Times New Roman"/>
          <w:noProof/>
          <w:color w:val="000000"/>
          <w:sz w:val="24"/>
          <w:lang w:val="fr-FR"/>
        </w:rPr>
        <w:t>Le fait de faire de l’amélioration de l’enseignement scolaire une priorité absolue est justifié. Cet objectif, qui s’applique aux États membres et à l’UE, nécessitera une coopération étroite. La réforme des systèmes d’enseignement s</w:t>
      </w:r>
      <w:r>
        <w:rPr>
          <w:rFonts w:ascii="Times New Roman" w:hAnsi="Times New Roman"/>
          <w:noProof/>
          <w:color w:val="000000"/>
          <w:sz w:val="24"/>
          <w:lang w:val="fr-FR"/>
        </w:rPr>
        <w:t>colaire est une tâche qui incombe aux États membres. La Commission est prête à les soutenir en tirant parti des outils et processus de l’UE. Le semestre européen, notamment, est un moteur éprouvé pour les réformes. D’autres travaux, comme la coopération vo</w:t>
      </w:r>
      <w:r>
        <w:rPr>
          <w:rFonts w:ascii="Times New Roman" w:hAnsi="Times New Roman"/>
          <w:noProof/>
          <w:color w:val="000000"/>
          <w:sz w:val="24"/>
          <w:lang w:val="fr-FR"/>
        </w:rPr>
        <w:t xml:space="preserve">lontaire au titre d’«Éducation et formation 2020», devraient être poursuivis afin d’offrir la meilleure valeur ajoutée possible aux États membres. Le Suivi de l’éducation et de la formation, notamment, devrait être pleinement exploité pour aider les États </w:t>
      </w:r>
      <w:r>
        <w:rPr>
          <w:rFonts w:ascii="Times New Roman" w:hAnsi="Times New Roman"/>
          <w:noProof/>
          <w:color w:val="000000"/>
          <w:sz w:val="24"/>
          <w:lang w:val="fr-FR"/>
        </w:rPr>
        <w:t>membres à prendre des décisions politiques fondées sur des données probantes et en connaissance de cause. Une question essentielle pour la coopération future porte sur la fixation de critères plus ambitieux dans la lutte contre l’abandon scolaire prématuré</w:t>
      </w:r>
      <w:r>
        <w:rPr>
          <w:rFonts w:ascii="Times New Roman" w:hAnsi="Times New Roman"/>
          <w:noProof/>
          <w:color w:val="000000"/>
          <w:sz w:val="24"/>
          <w:lang w:val="fr-FR"/>
        </w:rPr>
        <w:t>. Une autre question fondamentale concerne la manière de tirer le meilleur parti d’Erasmus+ en offrant à davantage de jeunes Européens des expériences d’apprentissage à l’étranger et en augmentant les capacités actuelles d’appui au développement et à l’inn</w:t>
      </w:r>
      <w:r>
        <w:rPr>
          <w:rFonts w:ascii="Times New Roman" w:hAnsi="Times New Roman"/>
          <w:noProof/>
          <w:color w:val="000000"/>
          <w:sz w:val="24"/>
          <w:lang w:val="fr-FR"/>
        </w:rPr>
        <w:t>ovation dans les écoles et la formation des enseignants.</w:t>
      </w:r>
    </w:p>
    <w:p w:rsidR="00856281" w:rsidRDefault="00F3670C">
      <w:pPr>
        <w:spacing w:line="240" w:lineRule="auto"/>
        <w:jc w:val="both"/>
        <w:rPr>
          <w:rFonts w:ascii="Times New Roman" w:hAnsi="Times New Roman" w:cs="Times New Roman"/>
          <w:iCs/>
          <w:noProof/>
          <w:color w:val="000000"/>
          <w:sz w:val="24"/>
          <w:szCs w:val="24"/>
          <w:lang w:val="fr-FR"/>
        </w:rPr>
      </w:pPr>
      <w:r>
        <w:rPr>
          <w:rFonts w:ascii="Times New Roman" w:hAnsi="Times New Roman"/>
          <w:noProof/>
          <w:color w:val="000000"/>
          <w:sz w:val="24"/>
          <w:lang w:val="fr-FR"/>
        </w:rPr>
        <w:t xml:space="preserve">La réussite dépendra de l’étroitesse de la coopération. Un sommet de l’éducation, prévu pour début 2018, abordera la question de l’équité dans l’éducation et la manière de mieux soutenir les groupes </w:t>
      </w:r>
      <w:r>
        <w:rPr>
          <w:rFonts w:ascii="Times New Roman" w:hAnsi="Times New Roman"/>
          <w:noProof/>
          <w:color w:val="000000"/>
          <w:sz w:val="24"/>
          <w:lang w:val="fr-FR"/>
        </w:rPr>
        <w:t>défavorisés en matière d’éducation. Il sera l’occasion de discuter pour la première fois de l’avenir de la coopération européenne en matière d’éducation, et d’enseignement scolaire en particulier.</w:t>
      </w:r>
    </w:p>
    <w:sectPr w:rsidR="00856281">
      <w:headerReference w:type="even" r:id="rId19"/>
      <w:headerReference w:type="default" r:id="rId20"/>
      <w:footerReference w:type="even" r:id="rId21"/>
      <w:footerReference w:type="default" r:id="rId22"/>
      <w:headerReference w:type="first" r:id="rId23"/>
      <w:footerReference w:type="first" r:id="rId24"/>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6281" w:rsidRDefault="00F3670C">
      <w:pPr>
        <w:spacing w:after="0" w:line="240" w:lineRule="auto"/>
      </w:pPr>
      <w:r>
        <w:separator/>
      </w:r>
    </w:p>
  </w:endnote>
  <w:endnote w:type="continuationSeparator" w:id="0">
    <w:p w:rsidR="00856281" w:rsidRDefault="00F3670C">
      <w:pPr>
        <w:spacing w:after="0" w:line="240" w:lineRule="auto"/>
      </w:pPr>
      <w:r>
        <w:continuationSeparator/>
      </w:r>
    </w:p>
  </w:endnote>
  <w:endnote w:type="continuationNotice" w:id="1">
    <w:p w:rsidR="00856281" w:rsidRDefault="0085628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6281" w:rsidRDefault="0085628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6281" w:rsidRDefault="00F3670C">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6281" w:rsidRDefault="00856281">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6281" w:rsidRDefault="00856281">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18081825"/>
      <w:docPartObj>
        <w:docPartGallery w:val="Page Numbers (Bottom of Page)"/>
        <w:docPartUnique/>
      </w:docPartObj>
    </w:sdtPr>
    <w:sdtEndPr>
      <w:rPr>
        <w:noProof/>
      </w:rPr>
    </w:sdtEndPr>
    <w:sdtContent>
      <w:p w:rsidR="00856281" w:rsidRDefault="00F3670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856281" w:rsidRDefault="00856281">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6281" w:rsidRDefault="0085628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6281" w:rsidRDefault="00F3670C">
      <w:pPr>
        <w:spacing w:after="0" w:line="240" w:lineRule="auto"/>
      </w:pPr>
      <w:r>
        <w:separator/>
      </w:r>
    </w:p>
  </w:footnote>
  <w:footnote w:type="continuationSeparator" w:id="0">
    <w:p w:rsidR="00856281" w:rsidRDefault="00F3670C">
      <w:pPr>
        <w:spacing w:after="0" w:line="240" w:lineRule="auto"/>
      </w:pPr>
      <w:r>
        <w:continuationSeparator/>
      </w:r>
    </w:p>
  </w:footnote>
  <w:footnote w:type="continuationNotice" w:id="1">
    <w:p w:rsidR="00856281" w:rsidRDefault="00856281">
      <w:pPr>
        <w:spacing w:after="0" w:line="240" w:lineRule="auto"/>
      </w:pPr>
    </w:p>
  </w:footnote>
  <w:footnote w:id="2">
    <w:p w:rsidR="00856281" w:rsidRDefault="00F3670C">
      <w:pPr>
        <w:pStyle w:val="FootnoteText"/>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COM(2016) 940, </w:t>
      </w:r>
      <w:r>
        <w:rPr>
          <w:rFonts w:ascii="Times New Roman" w:hAnsi="Times New Roman"/>
          <w:lang w:val="fr-FR"/>
        </w:rPr>
        <w:t>941.</w:t>
      </w:r>
    </w:p>
  </w:footnote>
  <w:footnote w:id="3">
    <w:p w:rsidR="00856281" w:rsidRDefault="00F3670C">
      <w:pPr>
        <w:pStyle w:val="FootnoteText"/>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COM(2016) 381.</w:t>
      </w:r>
    </w:p>
  </w:footnote>
  <w:footnote w:id="4">
    <w:p w:rsidR="00856281" w:rsidRDefault="00F3670C">
      <w:pPr>
        <w:pStyle w:val="FootnoteText"/>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COM(2017) 250.</w:t>
      </w:r>
    </w:p>
  </w:footnote>
  <w:footnote w:id="5">
    <w:p w:rsidR="00856281" w:rsidRDefault="00F3670C">
      <w:pPr>
        <w:pStyle w:val="Default"/>
        <w:rPr>
          <w:lang w:val="fr-FR"/>
        </w:rPr>
      </w:pPr>
      <w:r>
        <w:rPr>
          <w:rStyle w:val="FootnoteReference"/>
          <w:sz w:val="20"/>
        </w:rPr>
        <w:footnoteRef/>
      </w:r>
      <w:r>
        <w:rPr>
          <w:sz w:val="20"/>
          <w:lang w:val="fr-FR"/>
        </w:rPr>
        <w:t xml:space="preserve"> </w:t>
      </w:r>
      <w:r>
        <w:rPr>
          <w:color w:val="auto"/>
          <w:sz w:val="20"/>
          <w:lang w:val="fr-FR"/>
        </w:rPr>
        <w:t>Conclusions adoptées par le Conseil européen le 15 décembre 2016.</w:t>
      </w:r>
    </w:p>
  </w:footnote>
  <w:footnote w:id="6">
    <w:p w:rsidR="00856281" w:rsidRDefault="00F3670C">
      <w:pPr>
        <w:pStyle w:val="FootnoteText"/>
        <w:rPr>
          <w:rFonts w:ascii="Times New Roman" w:hAnsi="Times New Roman" w:cs="Times New Roman"/>
          <w:lang w:val="fr-FR"/>
        </w:rPr>
      </w:pPr>
      <w:r>
        <w:rPr>
          <w:rStyle w:val="FootnoteReference"/>
        </w:rPr>
        <w:footnoteRef/>
      </w:r>
      <w:r>
        <w:rPr>
          <w:lang w:val="fr-FR"/>
        </w:rPr>
        <w:t xml:space="preserve"> </w:t>
      </w:r>
      <w:r>
        <w:rPr>
          <w:rFonts w:ascii="Times New Roman" w:hAnsi="Times New Roman"/>
          <w:lang w:val="fr-FR"/>
        </w:rPr>
        <w:t>http://www.un.org/sustainabledevelopment/fr/education/</w:t>
      </w:r>
    </w:p>
  </w:footnote>
  <w:footnote w:id="7">
    <w:p w:rsidR="00856281" w:rsidRDefault="00F3670C">
      <w:pPr>
        <w:pStyle w:val="FootnoteText"/>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Les défis exposés dans la présente communication s’appliquent à l’enseignement général ainsi qu’à l’enseignement professionnel à l’école.</w:t>
      </w:r>
    </w:p>
  </w:footnote>
  <w:footnote w:id="8">
    <w:p w:rsidR="00856281" w:rsidRDefault="00F3670C">
      <w:pPr>
        <w:pStyle w:val="FootnoteText"/>
        <w:jc w:val="both"/>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Commission européenne, </w:t>
      </w:r>
      <w:r>
        <w:rPr>
          <w:rFonts w:ascii="Times New Roman" w:hAnsi="Times New Roman"/>
          <w:i/>
          <w:lang w:val="fr-FR"/>
        </w:rPr>
        <w:t>PISA 2015: EU performance and initial conclusions regarding education policies in Europe</w:t>
      </w:r>
      <w:r>
        <w:rPr>
          <w:rFonts w:ascii="Times New Roman" w:hAnsi="Times New Roman"/>
          <w:lang w:val="fr-FR"/>
        </w:rPr>
        <w:t>, 20</w:t>
      </w:r>
      <w:r>
        <w:rPr>
          <w:rFonts w:ascii="Times New Roman" w:hAnsi="Times New Roman"/>
          <w:lang w:val="fr-FR"/>
        </w:rPr>
        <w:t>16. Entre 2012 et 2015, la proportion d’élèves obtenant de mauvais résultats en sciences est passée de 16,6 % à 20,6 % et, en lecture, de 17,8 % à 19,7 %; en mathématiques, elle est restée stable autour de 22 %. La proportion d’élèves obtenant de très bons</w:t>
      </w:r>
      <w:r>
        <w:rPr>
          <w:rFonts w:ascii="Times New Roman" w:hAnsi="Times New Roman"/>
          <w:lang w:val="fr-FR"/>
        </w:rPr>
        <w:t xml:space="preserve"> résultats en sciences est de 24 % à Singapour et de 15 % au Japon. Aucun État membre de l’UE ne se hisse à ce niveau.</w:t>
      </w:r>
    </w:p>
  </w:footnote>
  <w:footnote w:id="9">
    <w:p w:rsidR="00856281" w:rsidRDefault="00F3670C">
      <w:pPr>
        <w:pStyle w:val="FootnoteText"/>
        <w:rPr>
          <w:lang w:val="en-US"/>
        </w:rPr>
      </w:pPr>
      <w:r>
        <w:rPr>
          <w:rStyle w:val="FootnoteReference"/>
          <w:rFonts w:ascii="Times New Roman" w:hAnsi="Times New Roman"/>
        </w:rPr>
        <w:footnoteRef/>
      </w:r>
      <w:r>
        <w:rPr>
          <w:rFonts w:ascii="Times New Roman" w:hAnsi="Times New Roman"/>
          <w:lang w:val="en-US"/>
        </w:rPr>
        <w:t xml:space="preserve"> Commission européenne, </w:t>
      </w:r>
      <w:r>
        <w:rPr>
          <w:rFonts w:ascii="Times New Roman" w:hAnsi="Times New Roman"/>
          <w:i/>
          <w:lang w:val="en-US"/>
        </w:rPr>
        <w:t>Being young in Europe today – digital world</w:t>
      </w:r>
      <w:r>
        <w:rPr>
          <w:rFonts w:ascii="Times New Roman" w:hAnsi="Times New Roman"/>
          <w:lang w:val="en-US"/>
        </w:rPr>
        <w:t>, 2015.</w:t>
      </w:r>
    </w:p>
  </w:footnote>
  <w:footnote w:id="10">
    <w:p w:rsidR="00856281" w:rsidRDefault="00F3670C">
      <w:pPr>
        <w:pStyle w:val="FootnoteText"/>
        <w:rPr>
          <w:lang w:val="fr-FR"/>
        </w:rPr>
      </w:pPr>
      <w:r>
        <w:rPr>
          <w:rStyle w:val="FootnoteReference"/>
          <w:rFonts w:ascii="Times New Roman" w:hAnsi="Times New Roman"/>
        </w:rPr>
        <w:footnoteRef/>
      </w:r>
      <w:r>
        <w:rPr>
          <w:rFonts w:ascii="Times New Roman" w:hAnsi="Times New Roman"/>
          <w:lang w:val="fr-FR"/>
        </w:rPr>
        <w:t xml:space="preserve"> Enquête 2015 du programme international pour le suivi des a</w:t>
      </w:r>
      <w:r>
        <w:rPr>
          <w:rFonts w:ascii="Times New Roman" w:hAnsi="Times New Roman"/>
          <w:lang w:val="fr-FR"/>
        </w:rPr>
        <w:t>cquis des élèves (PISA) de l’OCDE.</w:t>
      </w:r>
    </w:p>
  </w:footnote>
  <w:footnote w:id="11">
    <w:p w:rsidR="00856281" w:rsidRDefault="00F3670C">
      <w:pPr>
        <w:pStyle w:val="FootnoteText"/>
        <w:rPr>
          <w:lang w:val="fr-FR"/>
        </w:rPr>
      </w:pPr>
      <w:r>
        <w:rPr>
          <w:rStyle w:val="FootnoteReference"/>
        </w:rPr>
        <w:footnoteRef/>
      </w:r>
      <w:r>
        <w:rPr>
          <w:lang w:val="fr-FR"/>
        </w:rPr>
        <w:t xml:space="preserve"> </w:t>
      </w:r>
      <w:r>
        <w:rPr>
          <w:rFonts w:ascii="Times New Roman" w:hAnsi="Times New Roman"/>
          <w:lang w:val="fr-FR"/>
        </w:rPr>
        <w:t xml:space="preserve">Commission européenne, </w:t>
      </w:r>
      <w:r>
        <w:rPr>
          <w:rFonts w:ascii="Times New Roman" w:hAnsi="Times New Roman"/>
          <w:i/>
          <w:lang w:val="fr-FR"/>
        </w:rPr>
        <w:t>Suivi de l’éducation et de la formation 2016</w:t>
      </w:r>
      <w:r>
        <w:rPr>
          <w:rFonts w:ascii="Times New Roman" w:hAnsi="Times New Roman"/>
          <w:lang w:val="fr-FR"/>
        </w:rPr>
        <w:t>, 2016.</w:t>
      </w:r>
    </w:p>
  </w:footnote>
  <w:footnote w:id="12">
    <w:p w:rsidR="00856281" w:rsidRDefault="00F3670C">
      <w:pPr>
        <w:pStyle w:val="FootnoteText"/>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European Digital Progress Report (EDPR) 2017, SWD(2017) 160.</w:t>
      </w:r>
    </w:p>
  </w:footnote>
  <w:footnote w:id="13">
    <w:p w:rsidR="00856281" w:rsidRDefault="00F3670C">
      <w:pPr>
        <w:pStyle w:val="FootnoteText"/>
        <w:rPr>
          <w:lang w:val="fr-FR"/>
        </w:rPr>
      </w:pPr>
      <w:r>
        <w:rPr>
          <w:rStyle w:val="FootnoteReference"/>
          <w:rFonts w:ascii="Times New Roman" w:hAnsi="Times New Roman"/>
        </w:rPr>
        <w:footnoteRef/>
      </w:r>
      <w:r>
        <w:rPr>
          <w:lang w:val="fr-FR"/>
        </w:rPr>
        <w:t xml:space="preserve"> </w:t>
      </w:r>
      <w:r>
        <w:rPr>
          <w:rFonts w:ascii="Times New Roman" w:hAnsi="Times New Roman"/>
          <w:lang w:val="fr-FR"/>
        </w:rPr>
        <w:t>COM(2017) 240 et COM(2017) 206.</w:t>
      </w:r>
    </w:p>
  </w:footnote>
  <w:footnote w:id="14">
    <w:p w:rsidR="00856281" w:rsidRDefault="00F3670C">
      <w:pPr>
        <w:pStyle w:val="FootnoteText"/>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w:t>
      </w:r>
      <w:hyperlink r:id="rId1">
        <w:r>
          <w:rPr>
            <w:rStyle w:val="Hyperlink"/>
            <w:rFonts w:ascii="Times New Roman" w:hAnsi="Times New Roman"/>
            <w:lang w:val="fr-FR"/>
          </w:rPr>
          <w:t>https://ec.europa.eu/jrc/en/digcomporg/selfie-tool</w:t>
        </w:r>
      </w:hyperlink>
    </w:p>
  </w:footnote>
  <w:footnote w:id="15">
    <w:p w:rsidR="00856281" w:rsidRDefault="00F3670C">
      <w:pPr>
        <w:pStyle w:val="FootnoteText"/>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2006/962/CE.</w:t>
      </w:r>
    </w:p>
  </w:footnote>
  <w:footnote w:id="16">
    <w:p w:rsidR="00856281" w:rsidRDefault="00F3670C">
      <w:pPr>
        <w:pStyle w:val="FootnoteText"/>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Commission européenne/EACEA/Eurydice, Entrepreneurship Education at School, 2016.</w:t>
      </w:r>
      <w:r>
        <w:rPr>
          <w:rFonts w:ascii="Times New Roman" w:eastAsiaTheme="minorHAnsi" w:hAnsi="Times New Roman"/>
          <w:sz w:val="22"/>
          <w:lang w:val="fr-FR"/>
        </w:rPr>
        <w:t xml:space="preserve"> </w:t>
      </w:r>
      <w:r>
        <w:rPr>
          <w:rFonts w:ascii="Times New Roman" w:hAnsi="Times New Roman"/>
          <w:lang w:val="fr-FR"/>
        </w:rPr>
        <w:t xml:space="preserve">Voir aussi le cadre des compétences entrepreneuriales: </w:t>
      </w:r>
      <w:hyperlink r:id="rId2">
        <w:r>
          <w:rPr>
            <w:rStyle w:val="Hyperlink"/>
            <w:rFonts w:ascii="Times New Roman" w:hAnsi="Times New Roman"/>
            <w:lang w:val="fr-FR"/>
          </w:rPr>
          <w:t>https://ec.europa.eu/jrc/en/entrecomp.</w:t>
        </w:r>
      </w:hyperlink>
    </w:p>
  </w:footnote>
  <w:footnote w:id="17">
    <w:p w:rsidR="00856281" w:rsidRDefault="00F3670C">
      <w:pPr>
        <w:pStyle w:val="FootnoteText"/>
        <w:rPr>
          <w:rFonts w:ascii="Times New Roman" w:hAnsi="Times New Roman" w:cs="Times New Roman"/>
          <w:lang w:val="en-US"/>
        </w:rPr>
      </w:pPr>
      <w:r>
        <w:rPr>
          <w:rStyle w:val="FootnoteReference"/>
          <w:rFonts w:ascii="Times New Roman" w:hAnsi="Times New Roman"/>
        </w:rPr>
        <w:footnoteRef/>
      </w:r>
      <w:r>
        <w:rPr>
          <w:rFonts w:ascii="Times New Roman" w:hAnsi="Times New Roman"/>
          <w:lang w:val="en-US"/>
        </w:rPr>
        <w:t xml:space="preserve"> Commission européenne, Science Education for Responsible Citizenship, 2015.</w:t>
      </w:r>
    </w:p>
  </w:footnote>
  <w:footnote w:id="18">
    <w:p w:rsidR="00856281" w:rsidRDefault="00F3670C">
      <w:pPr>
        <w:pStyle w:val="FootnoteText"/>
        <w:rPr>
          <w:rFonts w:ascii="Times New Roman" w:hAnsi="Times New Roman" w:cs="Times New Roman"/>
          <w:lang w:val="en-US"/>
        </w:rPr>
      </w:pPr>
      <w:r>
        <w:rPr>
          <w:rStyle w:val="FootnoteReference"/>
          <w:rFonts w:ascii="Times New Roman" w:hAnsi="Times New Roman"/>
        </w:rPr>
        <w:footnoteRef/>
      </w:r>
      <w:r>
        <w:rPr>
          <w:rFonts w:ascii="Times New Roman" w:hAnsi="Times New Roman"/>
          <w:lang w:val="en-US"/>
        </w:rPr>
        <w:t xml:space="preserve"> Commission européenne, Survey of Schools: ICT in Education Benchmarking Access, Us</w:t>
      </w:r>
      <w:r>
        <w:rPr>
          <w:rFonts w:ascii="Times New Roman" w:hAnsi="Times New Roman"/>
          <w:lang w:val="en-US"/>
        </w:rPr>
        <w:t>e and Attitudes to Technology in Europe’s schools, 2013.</w:t>
      </w:r>
    </w:p>
  </w:footnote>
  <w:footnote w:id="19">
    <w:p w:rsidR="00856281" w:rsidRDefault="00F3670C">
      <w:pPr>
        <w:pStyle w:val="FootnoteText"/>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en-US"/>
        </w:rPr>
        <w:t xml:space="preserve"> Commission européenne, Language teaching and learning in multilingual classrooms, 2015.</w:t>
      </w:r>
      <w:r>
        <w:rPr>
          <w:lang w:val="en-US"/>
        </w:rPr>
        <w:t xml:space="preserve"> </w:t>
      </w:r>
      <w:r>
        <w:rPr>
          <w:rFonts w:ascii="Times New Roman" w:hAnsi="Times New Roman"/>
          <w:lang w:val="fr-FR"/>
        </w:rPr>
        <w:t>La Commission envisage un soutien, dans le programme de travail 2018-2020 du programme Horizon 2020, en faveu</w:t>
      </w:r>
      <w:r>
        <w:rPr>
          <w:rFonts w:ascii="Times New Roman" w:hAnsi="Times New Roman"/>
          <w:lang w:val="fr-FR"/>
        </w:rPr>
        <w:t>r de projets de recherche portant sur l’inclusion d’enfants migrants dans les systèmes éducatifs de l’UE (adoption prévue en octobre 2017).</w:t>
      </w:r>
    </w:p>
  </w:footnote>
  <w:footnote w:id="20">
    <w:p w:rsidR="00856281" w:rsidRDefault="00F3670C">
      <w:pPr>
        <w:pStyle w:val="FootnoteText"/>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Comité des droits des personnes handicapées des Nations unies, Observations finales concernant le rapport initial </w:t>
      </w:r>
      <w:r>
        <w:rPr>
          <w:rFonts w:ascii="Times New Roman" w:hAnsi="Times New Roman"/>
          <w:lang w:val="fr-FR"/>
        </w:rPr>
        <w:t>de l’Union européenne, CRPD/C/EU/CO/1 du 2 octobre 2015, 2015.</w:t>
      </w:r>
    </w:p>
  </w:footnote>
  <w:footnote w:id="21">
    <w:p w:rsidR="00856281" w:rsidRDefault="00F3670C">
      <w:pPr>
        <w:pStyle w:val="FootnoteText"/>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Dans son plan d’action sur l’intégration des ressortissants de pays tiers, la Commission européenne a proposé un certain nombre de mesures de soutien dans le domaine de l’éducation et de la f</w:t>
      </w:r>
      <w:r>
        <w:rPr>
          <w:rFonts w:ascii="Times New Roman" w:hAnsi="Times New Roman"/>
          <w:lang w:val="fr-FR"/>
        </w:rPr>
        <w:t xml:space="preserve">ormation pour les enfants migrants. COM(2016) 377 final. </w:t>
      </w:r>
    </w:p>
  </w:footnote>
  <w:footnote w:id="22">
    <w:p w:rsidR="00856281" w:rsidRDefault="00F3670C">
      <w:pPr>
        <w:pStyle w:val="FootnoteText"/>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INCLUDE-ED </w:t>
      </w:r>
      <w:hyperlink r:id="rId3">
        <w:r>
          <w:rPr>
            <w:rStyle w:val="Hyperlink"/>
            <w:rFonts w:ascii="Times New Roman" w:hAnsi="Times New Roman"/>
            <w:lang w:val="fr-FR"/>
          </w:rPr>
          <w:t>http://creaub.info/included</w:t>
        </w:r>
      </w:hyperlink>
      <w:r>
        <w:rPr>
          <w:rFonts w:ascii="Times New Roman" w:hAnsi="Times New Roman"/>
          <w:lang w:val="fr-FR"/>
        </w:rPr>
        <w:t>; réseau européen pour le développement de politiques d’orientation tout au long de la vie, www.elgpn.eu.</w:t>
      </w:r>
    </w:p>
  </w:footnote>
  <w:footnote w:id="23">
    <w:p w:rsidR="00856281" w:rsidRDefault="00F3670C">
      <w:pPr>
        <w:pStyle w:val="FootnoteText"/>
        <w:rPr>
          <w:rFonts w:ascii="Times New Roman" w:hAnsi="Times New Roman" w:cs="Times New Roman"/>
          <w:lang w:val="en-US"/>
        </w:rPr>
      </w:pPr>
      <w:r>
        <w:rPr>
          <w:rStyle w:val="FootnoteReference"/>
          <w:rFonts w:ascii="Times New Roman" w:hAnsi="Times New Roman"/>
        </w:rPr>
        <w:footnoteRef/>
      </w:r>
      <w:r>
        <w:rPr>
          <w:rFonts w:ascii="Times New Roman" w:hAnsi="Times New Roman"/>
          <w:lang w:val="en-US"/>
        </w:rPr>
        <w:t xml:space="preserve"> Com</w:t>
      </w:r>
      <w:r>
        <w:rPr>
          <w:rFonts w:ascii="Times New Roman" w:hAnsi="Times New Roman"/>
          <w:lang w:val="en-US"/>
        </w:rPr>
        <w:t>mission européenne, Science Education for Responsible Citizenship, 2015</w:t>
      </w:r>
    </w:p>
  </w:footnote>
  <w:footnote w:id="24">
    <w:p w:rsidR="00856281" w:rsidRDefault="00F3670C">
      <w:pPr>
        <w:pStyle w:val="FootnoteText"/>
        <w:rPr>
          <w:rFonts w:ascii="Times New Roman" w:hAnsi="Times New Roman" w:cs="Times New Roman"/>
          <w:lang w:val="en-US"/>
        </w:rPr>
      </w:pPr>
      <w:r>
        <w:rPr>
          <w:rStyle w:val="FootnoteReference"/>
          <w:rFonts w:ascii="Times New Roman" w:hAnsi="Times New Roman"/>
        </w:rPr>
        <w:footnoteRef/>
      </w:r>
      <w:r>
        <w:rPr>
          <w:rFonts w:ascii="Times New Roman" w:hAnsi="Times New Roman"/>
          <w:lang w:val="en-US"/>
        </w:rPr>
        <w:t xml:space="preserve"> RESL.eu – Reducing early school leaving in Europe, www.uantwerpen.be/en/projects/resl-eu/.</w:t>
      </w:r>
    </w:p>
  </w:footnote>
  <w:footnote w:id="25">
    <w:p w:rsidR="00856281" w:rsidRDefault="00F3670C">
      <w:pPr>
        <w:pStyle w:val="FootnoteText"/>
        <w:jc w:val="both"/>
        <w:rPr>
          <w:rFonts w:eastAsia="Times New Roman"/>
          <w:lang w:val="en-US"/>
        </w:rPr>
      </w:pPr>
      <w:r>
        <w:rPr>
          <w:rStyle w:val="FootnoteReference"/>
          <w:rFonts w:ascii="Times New Roman" w:hAnsi="Times New Roman"/>
        </w:rPr>
        <w:footnoteRef/>
      </w:r>
      <w:r>
        <w:rPr>
          <w:rFonts w:ascii="Times New Roman" w:hAnsi="Times New Roman"/>
          <w:lang w:val="en-US"/>
        </w:rPr>
        <w:t xml:space="preserve"> OCDE, </w:t>
      </w:r>
      <w:r>
        <w:rPr>
          <w:rFonts w:ascii="Times New Roman" w:hAnsi="Times New Roman"/>
          <w:i/>
          <w:lang w:val="en-US"/>
        </w:rPr>
        <w:t>PISA 2015 (Volume III)</w:t>
      </w:r>
      <w:r>
        <w:rPr>
          <w:rFonts w:ascii="Times New Roman" w:hAnsi="Times New Roman"/>
          <w:lang w:val="en-US"/>
        </w:rPr>
        <w:t>, 2017.</w:t>
      </w:r>
    </w:p>
  </w:footnote>
  <w:footnote w:id="26">
    <w:p w:rsidR="00856281" w:rsidRDefault="00F3670C">
      <w:pPr>
        <w:pStyle w:val="FootnoteText"/>
        <w:jc w:val="both"/>
        <w:rPr>
          <w:rFonts w:ascii="Times New Roman" w:hAnsi="Times New Roman" w:cs="Times New Roman"/>
          <w:lang w:val="en-US"/>
        </w:rPr>
      </w:pPr>
      <w:r>
        <w:rPr>
          <w:rStyle w:val="FootnoteReference"/>
          <w:rFonts w:ascii="Times New Roman" w:hAnsi="Times New Roman"/>
        </w:rPr>
        <w:footnoteRef/>
      </w:r>
      <w:r>
        <w:rPr>
          <w:rFonts w:ascii="Times New Roman" w:hAnsi="Times New Roman"/>
          <w:lang w:val="en-US"/>
        </w:rPr>
        <w:t xml:space="preserve"> Ttofi, M.M., Farrington, D.P., Effectiveness of sch</w:t>
      </w:r>
      <w:r>
        <w:rPr>
          <w:rFonts w:ascii="Times New Roman" w:hAnsi="Times New Roman"/>
          <w:lang w:val="en-US"/>
        </w:rPr>
        <w:t xml:space="preserve">ool-based programs to reduce bullying: a systematic and meta-analytic review, </w:t>
      </w:r>
      <w:r>
        <w:rPr>
          <w:rFonts w:ascii="Times New Roman" w:hAnsi="Times New Roman"/>
          <w:i/>
          <w:lang w:val="en-US"/>
        </w:rPr>
        <w:t>Journal of Experimental Criminology</w:t>
      </w:r>
      <w:r>
        <w:rPr>
          <w:rFonts w:ascii="Times New Roman" w:hAnsi="Times New Roman"/>
          <w:lang w:val="en-US"/>
        </w:rPr>
        <w:t>, Vol. 7, N. 1, 27-56, 2011.</w:t>
      </w:r>
    </w:p>
  </w:footnote>
  <w:footnote w:id="27">
    <w:p w:rsidR="00856281" w:rsidRDefault="00F3670C">
      <w:pPr>
        <w:pStyle w:val="FootnoteText"/>
        <w:rPr>
          <w:lang w:val="en-US"/>
        </w:rPr>
      </w:pPr>
      <w:r>
        <w:rPr>
          <w:rStyle w:val="FootnoteReference"/>
          <w:rFonts w:ascii="Times New Roman" w:hAnsi="Times New Roman"/>
        </w:rPr>
        <w:footnoteRef/>
      </w:r>
      <w:r>
        <w:rPr>
          <w:lang w:val="en-US"/>
        </w:rPr>
        <w:t xml:space="preserve"> </w:t>
      </w:r>
      <w:r>
        <w:rPr>
          <w:rFonts w:ascii="Times New Roman" w:hAnsi="Times New Roman"/>
          <w:lang w:val="en-US"/>
        </w:rPr>
        <w:t>Commission européenne, A whole school approach to tackling early school leaving, 2015.</w:t>
      </w:r>
    </w:p>
  </w:footnote>
  <w:footnote w:id="28">
    <w:p w:rsidR="00856281" w:rsidRDefault="00F3670C">
      <w:pPr>
        <w:pStyle w:val="FootnoteText"/>
        <w:rPr>
          <w:rFonts w:ascii="Times New Roman" w:hAnsi="Times New Roman" w:cs="Times New Roman"/>
          <w:lang w:val="en-US"/>
        </w:rPr>
      </w:pPr>
      <w:r>
        <w:rPr>
          <w:rStyle w:val="FootnoteReference"/>
          <w:rFonts w:ascii="Times New Roman" w:hAnsi="Times New Roman"/>
        </w:rPr>
        <w:footnoteRef/>
      </w:r>
      <w:r>
        <w:rPr>
          <w:rFonts w:ascii="Times New Roman" w:hAnsi="Times New Roman"/>
          <w:lang w:val="en-US"/>
        </w:rPr>
        <w:t xml:space="preserve"> http://www.schooleducat</w:t>
      </w:r>
      <w:r>
        <w:rPr>
          <w:rFonts w:ascii="Times New Roman" w:hAnsi="Times New Roman"/>
          <w:lang w:val="en-US"/>
        </w:rPr>
        <w:t>iongateway.eu/fr/pub/resources/toolkitsforschools.htm</w:t>
      </w:r>
    </w:p>
  </w:footnote>
  <w:footnote w:id="29">
    <w:p w:rsidR="00856281" w:rsidRDefault="00F3670C">
      <w:pPr>
        <w:pStyle w:val="FootnoteText"/>
        <w:rPr>
          <w:lang w:val="fr-FR"/>
        </w:rPr>
      </w:pPr>
      <w:r>
        <w:rPr>
          <w:rStyle w:val="FootnoteReference"/>
        </w:rPr>
        <w:footnoteRef/>
      </w:r>
      <w:r>
        <w:rPr>
          <w:lang w:val="fr-FR"/>
        </w:rPr>
        <w:t xml:space="preserve"> </w:t>
      </w:r>
      <w:r>
        <w:rPr>
          <w:rFonts w:ascii="Times New Roman" w:hAnsi="Times New Roman"/>
          <w:lang w:val="fr-FR"/>
        </w:rPr>
        <w:t>Pour célébrer le 30</w:t>
      </w:r>
      <w:r>
        <w:rPr>
          <w:rFonts w:ascii="Times New Roman" w:hAnsi="Times New Roman"/>
          <w:vertAlign w:val="superscript"/>
          <w:lang w:val="fr-FR"/>
        </w:rPr>
        <w:t>e</w:t>
      </w:r>
      <w:r>
        <w:rPr>
          <w:rFonts w:ascii="Times New Roman" w:hAnsi="Times New Roman"/>
          <w:lang w:val="fr-FR"/>
        </w:rPr>
        <w:t xml:space="preserve"> anniversaire du programme Erasmus, l’action «Move2Learn, Learn2Move» offre en 2017 la possibilité à des jeunes actifs dans des projets eTwinning de voyager et de rencontrer leurs homologues dans le cadre de leur expérience d’apprentissage.</w:t>
      </w:r>
      <w:r>
        <w:rPr>
          <w:rFonts w:asciiTheme="minorHAnsi" w:eastAsiaTheme="minorHAnsi" w:hAnsiTheme="minorHAnsi" w:cstheme="minorBidi"/>
          <w:sz w:val="22"/>
          <w:lang w:val="fr-FR"/>
        </w:rPr>
        <w:t xml:space="preserve"> </w:t>
      </w:r>
      <w:r>
        <w:rPr>
          <w:rFonts w:ascii="Times New Roman" w:hAnsi="Times New Roman"/>
          <w:lang w:val="fr-FR"/>
        </w:rPr>
        <w:t>La Commission é</w:t>
      </w:r>
      <w:r>
        <w:rPr>
          <w:rFonts w:ascii="Times New Roman" w:hAnsi="Times New Roman"/>
          <w:lang w:val="fr-FR"/>
        </w:rPr>
        <w:t>valuera l’initiative de 2017 et pourrait, sans aucun préjudice pour le budget d’Erasmus+ et en utilisant les contributions provenant de cette évaluation, envisager une initiative similaire à l’avenir.</w:t>
      </w:r>
    </w:p>
  </w:footnote>
  <w:footnote w:id="30">
    <w:p w:rsidR="00856281" w:rsidRDefault="00F3670C">
      <w:pPr>
        <w:pStyle w:val="FootnoteText"/>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https://www.etwinning.net/fr/pub/index.htm</w:t>
      </w:r>
    </w:p>
  </w:footnote>
  <w:footnote w:id="31">
    <w:p w:rsidR="00856281" w:rsidRDefault="00F3670C">
      <w:pPr>
        <w:pStyle w:val="FootnoteText"/>
        <w:rPr>
          <w:rFonts w:ascii="Times New Roman" w:hAnsi="Times New Roman" w:cs="Times New Roman"/>
          <w:lang w:val="en-US"/>
        </w:rPr>
      </w:pPr>
      <w:r>
        <w:rPr>
          <w:rStyle w:val="FootnoteReference"/>
          <w:rFonts w:ascii="Times New Roman" w:hAnsi="Times New Roman"/>
        </w:rPr>
        <w:footnoteRef/>
      </w:r>
      <w:r>
        <w:rPr>
          <w:rFonts w:ascii="Times New Roman" w:hAnsi="Times New Roman"/>
          <w:lang w:val="en-US"/>
        </w:rPr>
        <w:t xml:space="preserve"> OCDE, </w:t>
      </w:r>
      <w:r>
        <w:rPr>
          <w:rFonts w:ascii="Times New Roman" w:hAnsi="Times New Roman"/>
          <w:i/>
          <w:lang w:val="en-US"/>
        </w:rPr>
        <w:t>Low-performing students: why they fall behind and how to help them succeed</w:t>
      </w:r>
      <w:r>
        <w:rPr>
          <w:rFonts w:ascii="Times New Roman" w:hAnsi="Times New Roman"/>
          <w:lang w:val="en-US"/>
        </w:rPr>
        <w:t>, 2016.</w:t>
      </w:r>
    </w:p>
  </w:footnote>
  <w:footnote w:id="32">
    <w:p w:rsidR="00856281" w:rsidRDefault="00F3670C">
      <w:pPr>
        <w:pStyle w:val="FootnoteText"/>
        <w:jc w:val="both"/>
        <w:rPr>
          <w:rFonts w:ascii="Times New Roman" w:hAnsi="Times New Roman" w:cs="Times New Roman"/>
          <w:lang w:val="en-US"/>
        </w:rPr>
      </w:pPr>
      <w:r>
        <w:rPr>
          <w:rStyle w:val="FootnoteReference"/>
          <w:rFonts w:ascii="Times New Roman" w:hAnsi="Times New Roman"/>
        </w:rPr>
        <w:footnoteRef/>
      </w:r>
      <w:r>
        <w:rPr>
          <w:rFonts w:ascii="Times New Roman" w:hAnsi="Times New Roman"/>
          <w:lang w:val="en-US"/>
        </w:rPr>
        <w:t xml:space="preserve"> Cunha, F. et al., Interpreting the Evidence on Life Cycle Skill Formation, in </w:t>
      </w:r>
      <w:r>
        <w:rPr>
          <w:rFonts w:ascii="Times New Roman" w:hAnsi="Times New Roman"/>
          <w:i/>
          <w:lang w:val="en-US"/>
        </w:rPr>
        <w:t>Handbook of the Economics of Education, Vol. 1</w:t>
      </w:r>
      <w:r>
        <w:rPr>
          <w:rFonts w:ascii="Times New Roman" w:hAnsi="Times New Roman"/>
          <w:lang w:val="en-US"/>
        </w:rPr>
        <w:t xml:space="preserve">, Amsterdam, Hollande septentrionale, 2006. </w:t>
      </w:r>
    </w:p>
  </w:footnote>
  <w:footnote w:id="33">
    <w:p w:rsidR="00856281" w:rsidRDefault="00F3670C">
      <w:pPr>
        <w:pStyle w:val="FootnoteText"/>
        <w:jc w:val="both"/>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A</w:t>
      </w:r>
      <w:r>
        <w:rPr>
          <w:rFonts w:ascii="Times New Roman" w:hAnsi="Times New Roman"/>
          <w:lang w:val="fr-FR"/>
        </w:rPr>
        <w:t>u sein du cadre «Éducation et formation 2020», le Conseil a fixé un critère de référence à l’échelle de l’UE selon lequel au moins 95 % des enfants entre l’âge de 4 ans et l’âge de la scolarité obligatoire doivent participer à l’éducation et à l’accueil de</w:t>
      </w:r>
      <w:r>
        <w:rPr>
          <w:rFonts w:ascii="Times New Roman" w:hAnsi="Times New Roman"/>
          <w:lang w:val="fr-FR"/>
        </w:rPr>
        <w:t xml:space="preserve"> la petite enfance. En 2014, le taux de participation au niveau de l’UE était de 94,3 %.</w:t>
      </w:r>
    </w:p>
  </w:footnote>
  <w:footnote w:id="34">
    <w:p w:rsidR="00856281" w:rsidRDefault="00F3670C">
      <w:pPr>
        <w:pStyle w:val="FootnoteText"/>
        <w:rPr>
          <w:rFonts w:ascii="Times New Roman" w:hAnsi="Times New Roman" w:cs="Times New Roman"/>
          <w:lang w:val="en-US"/>
        </w:rPr>
      </w:pPr>
      <w:r>
        <w:rPr>
          <w:rStyle w:val="FootnoteReference"/>
          <w:rFonts w:ascii="Times New Roman" w:hAnsi="Times New Roman"/>
        </w:rPr>
        <w:footnoteRef/>
      </w:r>
      <w:r>
        <w:rPr>
          <w:rFonts w:ascii="Times New Roman" w:hAnsi="Times New Roman"/>
          <w:lang w:val="en-US"/>
        </w:rPr>
        <w:t xml:space="preserve"> Eurydice, Policy Brief Early Childhood Education and Care, 2014.</w:t>
      </w:r>
    </w:p>
  </w:footnote>
  <w:footnote w:id="35">
    <w:p w:rsidR="00856281" w:rsidRDefault="00F3670C">
      <w:pPr>
        <w:pStyle w:val="FootnoteText"/>
        <w:jc w:val="both"/>
        <w:rPr>
          <w:lang w:val="fr-FR"/>
        </w:rPr>
      </w:pPr>
      <w:r>
        <w:rPr>
          <w:rStyle w:val="FootnoteReference"/>
          <w:rFonts w:ascii="Times New Roman" w:hAnsi="Times New Roman"/>
        </w:rPr>
        <w:footnoteRef/>
      </w:r>
      <w:r>
        <w:rPr>
          <w:rFonts w:ascii="Times New Roman" w:hAnsi="Times New Roman"/>
          <w:lang w:val="fr-FR"/>
        </w:rPr>
        <w:t xml:space="preserve"> Commission européenne, </w:t>
      </w:r>
      <w:r>
        <w:rPr>
          <w:rFonts w:ascii="Times New Roman" w:hAnsi="Times New Roman"/>
          <w:i/>
          <w:lang w:val="fr-FR"/>
        </w:rPr>
        <w:t xml:space="preserve">Proposition de principes clés pour un code de qualité de l’éducation et de </w:t>
      </w:r>
      <w:r>
        <w:rPr>
          <w:rFonts w:ascii="Times New Roman" w:hAnsi="Times New Roman"/>
          <w:i/>
          <w:lang w:val="fr-FR"/>
        </w:rPr>
        <w:t>l’accueil de la petite enfance</w:t>
      </w:r>
      <w:r>
        <w:rPr>
          <w:rFonts w:ascii="Times New Roman" w:hAnsi="Times New Roman"/>
          <w:lang w:val="fr-FR"/>
        </w:rPr>
        <w:t>, 2014. Rapport du groupe de travail sur l’éducation et l’accueil de la petite enfance.</w:t>
      </w:r>
    </w:p>
  </w:footnote>
  <w:footnote w:id="36">
    <w:p w:rsidR="00856281" w:rsidRDefault="00F3670C">
      <w:pPr>
        <w:pStyle w:val="FootnoteText"/>
        <w:rPr>
          <w:lang w:val="fr-FR"/>
        </w:rPr>
      </w:pPr>
      <w:r>
        <w:rPr>
          <w:rStyle w:val="FootnoteReference"/>
          <w:rFonts w:ascii="Times New Roman" w:hAnsi="Times New Roman"/>
        </w:rPr>
        <w:footnoteRef/>
      </w:r>
      <w:r>
        <w:rPr>
          <w:lang w:val="fr-FR"/>
        </w:rPr>
        <w:t xml:space="preserve"> </w:t>
      </w:r>
      <w:hyperlink r:id="rId4">
        <w:r>
          <w:rPr>
            <w:rStyle w:val="Hyperlink"/>
            <w:rFonts w:ascii="Times New Roman" w:hAnsi="Times New Roman"/>
            <w:lang w:val="fr-FR"/>
          </w:rPr>
          <w:t>http://eacea.ec.europa.eu/education/eurydice/index_fr.php</w:t>
        </w:r>
      </w:hyperlink>
    </w:p>
  </w:footnote>
  <w:footnote w:id="37">
    <w:p w:rsidR="00856281" w:rsidRDefault="00F3670C">
      <w:pPr>
        <w:pStyle w:val="FootnoteText"/>
        <w:rPr>
          <w:lang w:val="en-US"/>
        </w:rPr>
      </w:pPr>
      <w:r>
        <w:rPr>
          <w:rStyle w:val="FootnoteReference"/>
          <w:rFonts w:ascii="Times New Roman" w:hAnsi="Times New Roman"/>
        </w:rPr>
        <w:footnoteRef/>
      </w:r>
      <w:r>
        <w:rPr>
          <w:rFonts w:ascii="Times New Roman" w:hAnsi="Times New Roman"/>
          <w:lang w:val="en-US"/>
        </w:rPr>
        <w:t xml:space="preserve"> Commission européenne, Study on Policy Measures to Improve the Attractiveness of the Teaching Profession in Europe, 2013.</w:t>
      </w:r>
    </w:p>
  </w:footnote>
  <w:footnote w:id="38">
    <w:p w:rsidR="00856281" w:rsidRDefault="00F3670C">
      <w:pPr>
        <w:pStyle w:val="FootnoteText"/>
        <w:rPr>
          <w:lang w:val="fr-FR"/>
        </w:rPr>
      </w:pPr>
      <w:r>
        <w:rPr>
          <w:rStyle w:val="FootnoteReference"/>
          <w:rFonts w:ascii="Times New Roman" w:hAnsi="Times New Roman"/>
        </w:rPr>
        <w:footnoteRef/>
      </w:r>
      <w:r>
        <w:rPr>
          <w:lang w:val="fr-FR"/>
        </w:rPr>
        <w:t xml:space="preserve"> </w:t>
      </w:r>
      <w:r>
        <w:rPr>
          <w:rFonts w:ascii="Times New Roman" w:hAnsi="Times New Roman"/>
          <w:lang w:val="fr-FR"/>
        </w:rPr>
        <w:t>Commission européenne/EACEA/Eurydice, Chiffres clés des enseignants et des chefs d’établissement, 2013.</w:t>
      </w:r>
    </w:p>
  </w:footnote>
  <w:footnote w:id="39">
    <w:p w:rsidR="00856281" w:rsidRDefault="00F3670C">
      <w:pPr>
        <w:pStyle w:val="FootnoteText"/>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OCDE, Regards sur l’éduca</w:t>
      </w:r>
      <w:r>
        <w:rPr>
          <w:rFonts w:ascii="Times New Roman" w:hAnsi="Times New Roman"/>
          <w:lang w:val="fr-FR"/>
        </w:rPr>
        <w:t xml:space="preserve">tion 2016: Les indicateurs de l’OCDE, 2016. Données pour 22 États membres de l’UE. </w:t>
      </w:r>
    </w:p>
  </w:footnote>
  <w:footnote w:id="40">
    <w:p w:rsidR="00856281" w:rsidRDefault="00F3670C">
      <w:pPr>
        <w:pStyle w:val="FootnoteText"/>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Commission européenne, ibid., 2013.</w:t>
      </w:r>
    </w:p>
  </w:footnote>
  <w:footnote w:id="41">
    <w:p w:rsidR="00856281" w:rsidRDefault="00F3670C">
      <w:pPr>
        <w:pStyle w:val="FootnoteText"/>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OCDE (2014), Résultats de TALIS 2013: Une perspective internationale de l’enseignement et de l’apprentissage.</w:t>
      </w:r>
    </w:p>
  </w:footnote>
  <w:footnote w:id="42">
    <w:p w:rsidR="00856281" w:rsidRDefault="00F3670C">
      <w:pPr>
        <w:pStyle w:val="FootnoteText"/>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La profession d'enseignant en Europe (2015). </w:t>
      </w:r>
    </w:p>
  </w:footnote>
  <w:footnote w:id="43">
    <w:p w:rsidR="00856281" w:rsidRDefault="00F3670C">
      <w:pPr>
        <w:pStyle w:val="FootnoteText"/>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Commission européenne/EACEA/Eurydice (2015), La profession d'enseignant en Europe: pratiques, perceptions et politiques. </w:t>
      </w:r>
    </w:p>
  </w:footnote>
  <w:footnote w:id="44">
    <w:p w:rsidR="00856281" w:rsidRDefault="00F3670C">
      <w:pPr>
        <w:pStyle w:val="FootnoteText"/>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Commission européenne (2010), Mise en place de programmes d’initiation cohérents et</w:t>
      </w:r>
      <w:r>
        <w:rPr>
          <w:rFonts w:ascii="Times New Roman" w:hAnsi="Times New Roman"/>
          <w:lang w:val="fr-FR"/>
        </w:rPr>
        <w:t xml:space="preserve"> systémiques pour les enseignants débutants: manuel à l'intention des décideurs politiques, SEC (2010) 538 final. </w:t>
      </w:r>
    </w:p>
  </w:footnote>
  <w:footnote w:id="45">
    <w:p w:rsidR="00856281" w:rsidRDefault="00F3670C">
      <w:pPr>
        <w:pStyle w:val="FootnoteText"/>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OCDE (2014) ibid. </w:t>
      </w:r>
    </w:p>
  </w:footnote>
  <w:footnote w:id="46">
    <w:p w:rsidR="00856281" w:rsidRDefault="00F3670C">
      <w:pPr>
        <w:pStyle w:val="FootnoteText"/>
        <w:rPr>
          <w:lang w:val="fr-FR"/>
        </w:rPr>
      </w:pPr>
      <w:r>
        <w:rPr>
          <w:rStyle w:val="FootnoteReference"/>
          <w:rFonts w:ascii="Times New Roman" w:hAnsi="Times New Roman"/>
        </w:rPr>
        <w:footnoteRef/>
      </w:r>
      <w:r>
        <w:rPr>
          <w:rFonts w:ascii="Times New Roman" w:hAnsi="Times New Roman"/>
          <w:lang w:val="fr-FR"/>
        </w:rPr>
        <w:t xml:space="preserve"> Ibid.</w:t>
      </w:r>
    </w:p>
  </w:footnote>
  <w:footnote w:id="47">
    <w:p w:rsidR="00856281" w:rsidRDefault="00F3670C">
      <w:pPr>
        <w:pStyle w:val="FootnoteText"/>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OCDE (2016), School Leadership for Learning (la direction des établissements scolaires pour l’apprentissage).</w:t>
      </w:r>
    </w:p>
  </w:footnote>
  <w:footnote w:id="48">
    <w:p w:rsidR="00856281" w:rsidRDefault="00F3670C">
      <w:pPr>
        <w:pStyle w:val="FootnoteText"/>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SWD(2012) 0374.</w:t>
      </w:r>
    </w:p>
  </w:footnote>
  <w:footnote w:id="49">
    <w:p w:rsidR="00856281" w:rsidRDefault="00F3670C">
      <w:pPr>
        <w:pStyle w:val="FootnoteText"/>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VO-raad/EFEE/ETUCE (2015), Professional Autonomy, Accountability and Efficient Leadership and the role of employers' organisations, trade unions and school leaders (Autonomie professionnelle, obligation de rendre compte et direction eff</w:t>
      </w:r>
      <w:r>
        <w:rPr>
          <w:rFonts w:ascii="Times New Roman" w:hAnsi="Times New Roman"/>
          <w:lang w:val="fr-FR"/>
        </w:rPr>
        <w:t>icace et rôle des organisations patronales, des syndicats et des chefs d’établissements).</w:t>
      </w:r>
    </w:p>
  </w:footnote>
  <w:footnote w:id="50">
    <w:p w:rsidR="00856281" w:rsidRDefault="00F3670C">
      <w:pPr>
        <w:pStyle w:val="FootnoteText"/>
        <w:jc w:val="both"/>
        <w:rPr>
          <w:lang w:val="fr-FR"/>
        </w:rPr>
      </w:pPr>
      <w:r>
        <w:rPr>
          <w:rStyle w:val="FootnoteReference"/>
          <w:rFonts w:ascii="Times New Roman" w:hAnsi="Times New Roman"/>
        </w:rPr>
        <w:footnoteRef/>
      </w:r>
      <w:r>
        <w:rPr>
          <w:rFonts w:ascii="Times New Roman" w:hAnsi="Times New Roman"/>
          <w:lang w:val="fr-FR"/>
        </w:rPr>
        <w:t xml:space="preserve"> Les conseils entre pairs réunissent des pairs professionnels issus d’administrations nationales en vue de fournir des conseils extérieurs à un pays ayant besoin d’a</w:t>
      </w:r>
      <w:r>
        <w:rPr>
          <w:rFonts w:ascii="Times New Roman" w:hAnsi="Times New Roman"/>
          <w:lang w:val="fr-FR"/>
        </w:rPr>
        <w:t>ide pour une réforme de l’éducation.</w:t>
      </w:r>
    </w:p>
  </w:footnote>
  <w:footnote w:id="51">
    <w:p w:rsidR="00856281" w:rsidRDefault="00F3670C">
      <w:pPr>
        <w:pStyle w:val="FootnoteText"/>
        <w:jc w:val="both"/>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OCDE (en concertation avec la Commission européenne): School Resources Review (examen  des ressources scolaires), </w:t>
      </w:r>
      <w:hyperlink r:id="rId5">
        <w:r>
          <w:rPr>
            <w:rStyle w:val="Hyperlink"/>
            <w:rFonts w:ascii="Times New Roman" w:hAnsi="Times New Roman"/>
            <w:lang w:val="fr-FR"/>
          </w:rPr>
          <w:t>http://www.oecd.org/educatio</w:t>
        </w:r>
        <w:r>
          <w:rPr>
            <w:rStyle w:val="Hyperlink"/>
            <w:rFonts w:ascii="Times New Roman" w:hAnsi="Times New Roman"/>
            <w:lang w:val="fr-FR"/>
          </w:rPr>
          <w:t>n/schoolresourcesreview.htm</w:t>
        </w:r>
      </w:hyperlink>
    </w:p>
  </w:footnote>
  <w:footnote w:id="52">
    <w:p w:rsidR="00856281" w:rsidRDefault="00F3670C">
      <w:pPr>
        <w:pStyle w:val="FootnoteText"/>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Statistiques d’Eurostat sur les dépenses des administrations publiques.</w:t>
      </w:r>
    </w:p>
  </w:footnote>
  <w:footnote w:id="53">
    <w:p w:rsidR="00856281" w:rsidRDefault="00F3670C">
      <w:pPr>
        <w:pStyle w:val="FootnoteText"/>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Commission européenne (2016), </w:t>
      </w:r>
      <w:r>
        <w:rPr>
          <w:rFonts w:ascii="Times New Roman" w:hAnsi="Times New Roman"/>
          <w:i/>
          <w:lang w:val="fr-FR"/>
        </w:rPr>
        <w:t>Suivi de l’éducation et de la formation 2016</w:t>
      </w:r>
      <w:r>
        <w:rPr>
          <w:rFonts w:ascii="Times New Roman" w:hAnsi="Times New Roman"/>
          <w:lang w:val="fr-FR"/>
        </w:rPr>
        <w:t>.</w:t>
      </w:r>
    </w:p>
  </w:footnote>
  <w:footnote w:id="54">
    <w:p w:rsidR="00856281" w:rsidRDefault="00F3670C">
      <w:pPr>
        <w:pStyle w:val="FootnoteText"/>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https://ec.europa.eu/info/publications/2017-european-semester-country-repo</w:t>
      </w:r>
      <w:r>
        <w:rPr>
          <w:rFonts w:ascii="Times New Roman" w:hAnsi="Times New Roman"/>
          <w:lang w:val="fr-FR"/>
        </w:rPr>
        <w:t>rts_fr</w:t>
      </w:r>
    </w:p>
  </w:footnote>
  <w:footnote w:id="55">
    <w:p w:rsidR="00856281" w:rsidRDefault="00F3670C">
      <w:pPr>
        <w:pStyle w:val="FootnoteText"/>
        <w:jc w:val="both"/>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Rapport intermédiaire sur les écoles du groupe de travail du cadre «Éducation et formation 2020» sur </w:t>
      </w:r>
      <w:r>
        <w:rPr>
          <w:rFonts w:ascii="Times New Roman" w:hAnsi="Times New Roman"/>
          <w:i/>
          <w:lang w:val="fr-FR"/>
        </w:rPr>
        <w:t>l’assurance qualité pour le développement des établissements scolaires</w:t>
      </w:r>
      <w:r>
        <w:rPr>
          <w:rFonts w:ascii="Times New Roman" w:hAnsi="Times New Roman"/>
          <w:lang w:val="fr-FR"/>
        </w:rPr>
        <w:t>, avril 2017.</w:t>
      </w:r>
    </w:p>
  </w:footnote>
  <w:footnote w:id="56">
    <w:p w:rsidR="00856281" w:rsidRDefault="00F3670C">
      <w:pPr>
        <w:pStyle w:val="FootnoteText"/>
        <w:jc w:val="both"/>
        <w:rPr>
          <w:rFonts w:ascii="Times New Roman" w:hAnsi="Times New Roman" w:cs="Times New Roman"/>
          <w:lang w:val="fr-FR"/>
        </w:rPr>
      </w:pPr>
      <w:r>
        <w:rPr>
          <w:rStyle w:val="FootnoteReference"/>
          <w:rFonts w:ascii="Times New Roman" w:hAnsi="Times New Roman"/>
        </w:rPr>
        <w:footnoteRef/>
      </w:r>
      <w:r>
        <w:rPr>
          <w:rFonts w:ascii="Times New Roman" w:hAnsi="Times New Roman"/>
        </w:rPr>
        <w:t xml:space="preserve"> Hanushek, E.A.,  Link, S. et Woessmann, L. (2013), Does scho</w:t>
      </w:r>
      <w:r>
        <w:rPr>
          <w:rFonts w:ascii="Times New Roman" w:hAnsi="Times New Roman"/>
        </w:rPr>
        <w:t xml:space="preserve">ol autonomy make sense everywhere? </w:t>
      </w:r>
      <w:r>
        <w:rPr>
          <w:rFonts w:ascii="Times New Roman" w:hAnsi="Times New Roman"/>
          <w:lang w:val="fr-FR"/>
        </w:rPr>
        <w:t xml:space="preserve">(L’autonomie des établissements scolaires présente-t-elle un intérêt partout?) (en anglais uniquement). Estimations relatives au panel du PISA, </w:t>
      </w:r>
      <w:r>
        <w:rPr>
          <w:rFonts w:ascii="Times New Roman" w:hAnsi="Times New Roman"/>
          <w:i/>
          <w:lang w:val="fr-FR"/>
        </w:rPr>
        <w:t>Journal of Development Economics</w:t>
      </w:r>
      <w:r>
        <w:rPr>
          <w:rFonts w:ascii="Times New Roman" w:hAnsi="Times New Roman"/>
          <w:lang w:val="fr-FR"/>
        </w:rPr>
        <w:t>, Vol. 104, pp. 212-232 (en anglais uniquemen</w:t>
      </w:r>
      <w:r>
        <w:rPr>
          <w:rFonts w:ascii="Times New Roman" w:hAnsi="Times New Roman"/>
          <w:lang w:val="fr-FR"/>
        </w:rPr>
        <w:t>t).</w:t>
      </w:r>
    </w:p>
  </w:footnote>
  <w:footnote w:id="57">
    <w:p w:rsidR="00856281" w:rsidRDefault="00F3670C">
      <w:pPr>
        <w:pStyle w:val="FootnoteText"/>
        <w:jc w:val="both"/>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Commission européenne (2015), </w:t>
      </w:r>
      <w:r>
        <w:rPr>
          <w:rFonts w:ascii="Times New Roman" w:hAnsi="Times New Roman"/>
          <w:i/>
          <w:lang w:val="fr-FR"/>
        </w:rPr>
        <w:t>Comparative study on quality assurance in EU school education systems: Policies, procedures and practices (en anglais uniquement). Rapport final</w:t>
      </w:r>
      <w:r>
        <w:rPr>
          <w:rFonts w:ascii="Times New Roman" w:hAnsi="Times New Roman"/>
          <w:lang w:val="fr-FR"/>
        </w:rPr>
        <w:t>.</w:t>
      </w:r>
    </w:p>
  </w:footnote>
  <w:footnote w:id="58">
    <w:p w:rsidR="00856281" w:rsidRDefault="00F3670C">
      <w:pPr>
        <w:pStyle w:val="FootnoteText"/>
        <w:rPr>
          <w:lang w:val="fr-FR"/>
        </w:rPr>
      </w:pPr>
      <w:r>
        <w:rPr>
          <w:rStyle w:val="FootnoteReference"/>
          <w:rFonts w:ascii="Times New Roman" w:hAnsi="Times New Roman"/>
        </w:rPr>
        <w:footnoteRef/>
      </w:r>
      <w:r>
        <w:rPr>
          <w:rFonts w:ascii="Times New Roman" w:hAnsi="Times New Roman"/>
          <w:lang w:val="fr-FR"/>
        </w:rPr>
        <w:t xml:space="preserve"> Rapport intermédiaire sur les écoles du groupe de travail du cadre «Éduc</w:t>
      </w:r>
      <w:r>
        <w:rPr>
          <w:rFonts w:ascii="Times New Roman" w:hAnsi="Times New Roman"/>
          <w:lang w:val="fr-FR"/>
        </w:rPr>
        <w:t xml:space="preserve">ation et formation 2020» sur </w:t>
      </w:r>
      <w:r>
        <w:rPr>
          <w:rFonts w:ascii="Times New Roman" w:hAnsi="Times New Roman"/>
          <w:i/>
          <w:lang w:val="fr-FR"/>
        </w:rPr>
        <w:t>la continuité et les transitions dans la formation des apprenants</w:t>
      </w:r>
      <w:r>
        <w:rPr>
          <w:rFonts w:ascii="Times New Roman" w:hAnsi="Times New Roman"/>
          <w:lang w:val="fr-FR"/>
        </w:rPr>
        <w:t>, avril 2017.</w:t>
      </w:r>
    </w:p>
  </w:footnote>
  <w:footnote w:id="59">
    <w:p w:rsidR="00856281" w:rsidRDefault="00F3670C">
      <w:pPr>
        <w:autoSpaceDE w:val="0"/>
        <w:autoSpaceDN w:val="0"/>
        <w:adjustRightInd w:val="0"/>
        <w:spacing w:after="0" w:line="240" w:lineRule="auto"/>
        <w:jc w:val="both"/>
        <w:rPr>
          <w:rFonts w:ascii="Times New Roman" w:hAnsi="Times New Roman" w:cs="Times New Roman"/>
          <w:lang w:val="fr-FR"/>
        </w:rPr>
      </w:pPr>
      <w:r>
        <w:rPr>
          <w:rStyle w:val="FootnoteReference"/>
          <w:rFonts w:ascii="Times New Roman" w:hAnsi="Times New Roman"/>
          <w:sz w:val="20"/>
        </w:rPr>
        <w:footnoteRef/>
      </w:r>
      <w:r>
        <w:rPr>
          <w:rFonts w:ascii="Times New Roman" w:hAnsi="Times New Roman"/>
          <w:sz w:val="20"/>
          <w:lang w:val="fr-FR"/>
        </w:rPr>
        <w:t xml:space="preserve"> Conclusions du Conseil sur l’assurance de la qualité à l’appui de l’éducation et de la formation, 20 mai 2014.</w:t>
      </w:r>
      <w:r>
        <w:rPr>
          <w:rFonts w:ascii="Times New Roman" w:hAnsi="Times New Roman"/>
          <w:lang w:val="fr-FR"/>
        </w:rPr>
        <w:t xml:space="preserve"> </w:t>
      </w:r>
    </w:p>
  </w:footnote>
  <w:footnote w:id="60">
    <w:p w:rsidR="00856281" w:rsidRDefault="00F3670C">
      <w:pPr>
        <w:pStyle w:val="FootnoteText"/>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COM(2017) 206.</w:t>
      </w:r>
    </w:p>
  </w:footnote>
  <w:footnote w:id="61">
    <w:p w:rsidR="00856281" w:rsidRDefault="00F3670C">
      <w:pPr>
        <w:pStyle w:val="FootnoteText"/>
        <w:rPr>
          <w:lang w:val="fr-FR"/>
        </w:rPr>
      </w:pPr>
      <w:r>
        <w:rPr>
          <w:rStyle w:val="FootnoteReference"/>
          <w:rFonts w:ascii="Times New Roman" w:hAnsi="Times New Roman"/>
        </w:rPr>
        <w:footnoteRef/>
      </w:r>
      <w:r>
        <w:rPr>
          <w:lang w:val="fr-FR"/>
        </w:rPr>
        <w:t xml:space="preserve"> </w:t>
      </w:r>
      <w:r>
        <w:rPr>
          <w:rFonts w:ascii="Times New Roman" w:hAnsi="Times New Roman"/>
          <w:lang w:val="fr-FR"/>
        </w:rPr>
        <w:t xml:space="preserve">Déclaration de </w:t>
      </w:r>
      <w:r>
        <w:rPr>
          <w:rFonts w:ascii="Times New Roman" w:hAnsi="Times New Roman"/>
          <w:lang w:val="fr-FR"/>
        </w:rPr>
        <w:t>Rome des 27 dirigeants des États membres et du Conseil européen, du Parlement européen et de la Commission européenne du 25 mars 2017.</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6281" w:rsidRDefault="0085628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6281" w:rsidRDefault="00856281">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6281" w:rsidRDefault="00856281">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6281" w:rsidRDefault="00856281">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6281" w:rsidRDefault="00856281">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6281" w:rsidRDefault="0085628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B60C8"/>
    <w:multiLevelType w:val="hybridMultilevel"/>
    <w:tmpl w:val="4586A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13D30C0"/>
    <w:multiLevelType w:val="hybridMultilevel"/>
    <w:tmpl w:val="E80A66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32545BC"/>
    <w:multiLevelType w:val="hybridMultilevel"/>
    <w:tmpl w:val="5DFE4A6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3726844"/>
    <w:multiLevelType w:val="hybridMultilevel"/>
    <w:tmpl w:val="67DA97A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nsid w:val="0B3E7C65"/>
    <w:multiLevelType w:val="hybridMultilevel"/>
    <w:tmpl w:val="170CA3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0E8E1088"/>
    <w:multiLevelType w:val="hybridMultilevel"/>
    <w:tmpl w:val="5824EA8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8C919E2"/>
    <w:multiLevelType w:val="hybridMultilevel"/>
    <w:tmpl w:val="02F82BF6"/>
    <w:lvl w:ilvl="0" w:tplc="0809000F">
      <w:start w:val="5"/>
      <w:numFmt w:val="decimal"/>
      <w:lvlText w:val="%1."/>
      <w:lvlJc w:val="left"/>
      <w:pPr>
        <w:ind w:left="360" w:hanging="360"/>
      </w:pPr>
      <w:rPr>
        <w:rFonts w:cs="Times New Roman" w:hint="default"/>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7">
    <w:nsid w:val="345031F8"/>
    <w:multiLevelType w:val="hybridMultilevel"/>
    <w:tmpl w:val="680274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3B6148E7"/>
    <w:multiLevelType w:val="hybridMultilevel"/>
    <w:tmpl w:val="029A11B4"/>
    <w:lvl w:ilvl="0" w:tplc="08090001">
      <w:start w:val="1"/>
      <w:numFmt w:val="bullet"/>
      <w:lvlText w:val=""/>
      <w:lvlJc w:val="left"/>
      <w:pPr>
        <w:ind w:left="1077" w:hanging="360"/>
      </w:pPr>
      <w:rPr>
        <w:rFonts w:ascii="Symbol" w:hAnsi="Symbol" w:hint="default"/>
      </w:rPr>
    </w:lvl>
    <w:lvl w:ilvl="1" w:tplc="9CC84460">
      <w:numFmt w:val="bullet"/>
      <w:lvlText w:val="-"/>
      <w:lvlJc w:val="left"/>
      <w:pPr>
        <w:ind w:left="1797" w:hanging="360"/>
      </w:pPr>
      <w:rPr>
        <w:rFonts w:ascii="Times New Roman" w:eastAsia="Times New Roman" w:hAnsi="Times New Roman"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9">
    <w:nsid w:val="3DA769F5"/>
    <w:multiLevelType w:val="hybridMultilevel"/>
    <w:tmpl w:val="8FF891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427261E5"/>
    <w:multiLevelType w:val="hybridMultilevel"/>
    <w:tmpl w:val="96E44F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4C4C56C0"/>
    <w:multiLevelType w:val="hybridMultilevel"/>
    <w:tmpl w:val="7AEADC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518D5471"/>
    <w:multiLevelType w:val="hybridMultilevel"/>
    <w:tmpl w:val="562419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68DD3D47"/>
    <w:multiLevelType w:val="hybridMultilevel"/>
    <w:tmpl w:val="3800DA4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7188511D"/>
    <w:multiLevelType w:val="hybridMultilevel"/>
    <w:tmpl w:val="0BF890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7F885EA6"/>
    <w:multiLevelType w:val="multilevel"/>
    <w:tmpl w:val="E4C4E826"/>
    <w:lvl w:ilvl="0">
      <w:start w:val="1"/>
      <w:numFmt w:val="decimal"/>
      <w:lvlText w:val="%1."/>
      <w:lvlJc w:val="left"/>
      <w:pPr>
        <w:ind w:left="360" w:hanging="360"/>
      </w:pPr>
      <w:rPr>
        <w:rFonts w:cs="Times New Roman" w:hint="default"/>
      </w:rPr>
    </w:lvl>
    <w:lvl w:ilvl="1">
      <w:start w:val="2"/>
      <w:numFmt w:val="decimal"/>
      <w:isLgl/>
      <w:lvlText w:val="%1.%2."/>
      <w:lvlJc w:val="left"/>
      <w:pPr>
        <w:ind w:left="360" w:hanging="36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800" w:hanging="1800"/>
      </w:pPr>
      <w:rPr>
        <w:rFonts w:cs="Times New Roman" w:hint="default"/>
      </w:rPr>
    </w:lvl>
  </w:abstractNum>
  <w:num w:numId="1">
    <w:abstractNumId w:val="15"/>
  </w:num>
  <w:num w:numId="2">
    <w:abstractNumId w:val="5"/>
  </w:num>
  <w:num w:numId="3">
    <w:abstractNumId w:val="8"/>
  </w:num>
  <w:num w:numId="4">
    <w:abstractNumId w:val="6"/>
  </w:num>
  <w:num w:numId="5">
    <w:abstractNumId w:val="0"/>
  </w:num>
  <w:num w:numId="6">
    <w:abstractNumId w:val="10"/>
  </w:num>
  <w:num w:numId="7">
    <w:abstractNumId w:val="11"/>
  </w:num>
  <w:num w:numId="8">
    <w:abstractNumId w:val="1"/>
  </w:num>
  <w:num w:numId="9">
    <w:abstractNumId w:val="12"/>
  </w:num>
  <w:num w:numId="10">
    <w:abstractNumId w:val="7"/>
  </w:num>
  <w:num w:numId="11">
    <w:abstractNumId w:val="14"/>
  </w:num>
  <w:num w:numId="12">
    <w:abstractNumId w:val="13"/>
  </w:num>
  <w:num w:numId="13">
    <w:abstractNumId w:val="2"/>
  </w:num>
  <w:num w:numId="14">
    <w:abstractNumId w:val="4"/>
  </w:num>
  <w:num w:numId="15">
    <w:abstractNumId w:val="3"/>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D10B145F7DF543E58BBA348899DD19E9"/>
    <w:docVar w:name="LW_CROSSREFERENCE" w:val="{SWD(2017) 165 final}"/>
    <w:docVar w:name="LW_DocType" w:val="NORMAL"/>
    <w:docVar w:name="LW_EMISSION" w:val="30.5.2017"/>
    <w:docVar w:name="LW_EMISSION_ISODATE" w:val="2017-05-30"/>
    <w:docVar w:name="LW_EMISSION_LOCATION" w:val="BRX"/>
    <w:docVar w:name="LW_EMISSION_PREFIX" w:val="Bruxelles, le "/>
    <w:docVar w:name="LW_EMISSION_SUFFIX" w:val=" "/>
    <w:docVar w:name="LW_ID_DOCTYPE_NONLW" w:val="CP-014"/>
    <w:docVar w:name="LW_LANGUE" w:val="FR"/>
    <w:docVar w:name="LW_MARKING" w:val="&lt;UNUSED&g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17) 248"/>
    <w:docVar w:name="LW_REF.INTERNE" w:val="&lt;UNUSED&gt;"/>
    <w:docVar w:name="LW_SOUS.TITRE.OBJ.CP" w:val="&lt;UNUSED&gt;"/>
    <w:docVar w:name="LW_SUPERTITRE" w:val="&lt;UNUSED&gt;"/>
    <w:docVar w:name="LW_TITRE.OBJ.CP" w:val="Le développement des écoles et un enseignement d\u8217?excellence pour bien débuter dans la vie"/>
    <w:docVar w:name="LW_TYPE.DOC.CP" w:val="COMMUNICATION DE LA COMMISSION AU PARLEMENT EUROPÉEN, AU CONSEIL, AU COMITÉ ÉCONOMIQUE ET SOCIAL EUROPÉEN ET AU COMITÉ DES RÉGIONS"/>
    <w:docVar w:name="LW_TYPE.DOC.CP.USERTEXT" w:val="&lt;EMPTY&gt;"/>
  </w:docVars>
  <w:rsids>
    <w:rsidRoot w:val="00856281"/>
    <w:rsid w:val="00856281"/>
    <w:rsid w:val="00F3670C"/>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Podrozdział,Footnote Text Char1 Char,Footnote Text Char Char Char,Footnote Text Char2 Char Char Char,Footnote Text Char1 Char Char Char Char,Footnote Text Char Char Char Char Char Char,Plonk,Footnote text PFR,fn,f,Char,Footnote text,ft"/>
    <w:basedOn w:val="Normal"/>
    <w:link w:val="FootnoteTextChar"/>
    <w:uiPriority w:val="99"/>
    <w:qFormat/>
    <w:pPr>
      <w:spacing w:after="0" w:line="240" w:lineRule="auto"/>
    </w:pPr>
    <w:rPr>
      <w:rFonts w:ascii="Calibri" w:eastAsia="Calibri" w:hAnsi="Calibri" w:cs="Arial"/>
      <w:sz w:val="20"/>
      <w:szCs w:val="20"/>
    </w:rPr>
  </w:style>
  <w:style w:type="character" w:customStyle="1" w:styleId="FootnoteTextChar">
    <w:name w:val="Footnote Text Char"/>
    <w:aliases w:val="Podrozdział Char,Footnote Text Char1 Char Char,Footnote Text Char Char Char Char,Footnote Text Char2 Char Char Char Char,Footnote Text Char1 Char Char Char Char Char,Footnote Text Char Char Char Char Char Char Char,Plonk Char,fn Char"/>
    <w:basedOn w:val="DefaultParagraphFont"/>
    <w:link w:val="FootnoteText"/>
    <w:uiPriority w:val="99"/>
    <w:rPr>
      <w:rFonts w:ascii="Calibri" w:eastAsia="Calibri" w:hAnsi="Calibri" w:cs="Arial"/>
      <w:sz w:val="20"/>
      <w:szCs w:val="20"/>
    </w:rPr>
  </w:style>
  <w:style w:type="character" w:styleId="FootnoteReference">
    <w:name w:val="footnote reference"/>
    <w:aliases w:val="Footnote symbol,Times 10 Point,Exposant 3 Point,Footnote number,Footnote Reference Number,Footnote reference number,Footnote Reference Superscript,EN Footnote Reference,note TESI,Voetnootverwijzing,fr,o,FR,FR1,BVI fnr,SUPERS,Ref,註腳內容"/>
    <w:basedOn w:val="DefaultParagraphFont"/>
    <w:link w:val="FootnotesymbolCarZchn"/>
    <w:uiPriority w:val="99"/>
    <w:qFormat/>
    <w:rPr>
      <w:rFonts w:cs="Times New Roman"/>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before="60" w:after="160" w:line="240" w:lineRule="exact"/>
      <w:ind w:left="357" w:hanging="357"/>
      <w:jc w:val="both"/>
    </w:pPr>
    <w:rPr>
      <w:rFonts w:cs="Times New Roman"/>
      <w:vertAlign w:val="superscript"/>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99"/>
    <w:qFormat/>
    <w:pPr>
      <w:ind w:left="720"/>
      <w:contextualSpacing/>
    </w:pPr>
    <w:rPr>
      <w:rFonts w:ascii="Calibri" w:eastAsia="Calibri" w:hAnsi="Calibri" w:cs="Arial"/>
    </w:rPr>
  </w:style>
  <w:style w:type="character" w:styleId="Hyperlink">
    <w:name w:val="Hyperlink"/>
    <w:basedOn w:val="DefaultParagraphFont"/>
    <w:uiPriority w:val="99"/>
    <w:rPr>
      <w:rFonts w:cs="Times New Roman"/>
      <w:color w:val="0000FF"/>
      <w:u w:val="single"/>
    </w:rPr>
  </w:style>
  <w:style w:type="character" w:styleId="CommentReference">
    <w:name w:val="annotation reference"/>
    <w:basedOn w:val="DefaultParagraphFont"/>
    <w:uiPriority w:val="99"/>
    <w:semiHidden/>
    <w:rPr>
      <w:rFonts w:cs="Times New Roman"/>
      <w:sz w:val="16"/>
      <w:szCs w:val="16"/>
    </w:rPr>
  </w:style>
  <w:style w:type="paragraph" w:styleId="CommentText">
    <w:name w:val="annotation text"/>
    <w:basedOn w:val="Normal"/>
    <w:link w:val="CommentTextChar"/>
    <w:uiPriority w:val="99"/>
    <w:semiHidden/>
    <w:pPr>
      <w:spacing w:line="240" w:lineRule="auto"/>
    </w:pPr>
    <w:rPr>
      <w:rFonts w:ascii="Calibri" w:eastAsia="Calibri" w:hAnsi="Calibri" w:cs="Arial"/>
      <w:sz w:val="20"/>
      <w:szCs w:val="20"/>
    </w:rPr>
  </w:style>
  <w:style w:type="character" w:customStyle="1" w:styleId="CommentTextChar">
    <w:name w:val="Comment Text Char"/>
    <w:basedOn w:val="DefaultParagraphFont"/>
    <w:link w:val="CommentText"/>
    <w:uiPriority w:val="99"/>
    <w:semiHidden/>
    <w:rPr>
      <w:rFonts w:ascii="Calibri" w:eastAsia="Calibri" w:hAnsi="Calibri" w:cs="Arial"/>
      <w:sz w:val="20"/>
      <w:szCs w:val="20"/>
    </w:rPr>
  </w:style>
  <w:style w:type="paragraph" w:customStyle="1" w:styleId="Text1">
    <w:name w:val="Text 1"/>
    <w:basedOn w:val="Normal"/>
    <w:uiPriority w:val="99"/>
    <w:pPr>
      <w:spacing w:after="240" w:line="240" w:lineRule="auto"/>
      <w:ind w:left="482"/>
      <w:jc w:val="both"/>
    </w:pPr>
    <w:rPr>
      <w:rFonts w:ascii="Times New Roman" w:eastAsia="Times New Roman" w:hAnsi="Times New Roman" w:cs="Times New Roman"/>
      <w:sz w:val="24"/>
      <w:szCs w:val="20"/>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Footer">
    <w:name w:val="footer"/>
    <w:basedOn w:val="Normal"/>
    <w:link w:val="FooterChar"/>
    <w:uiPriority w:val="99"/>
    <w:pPr>
      <w:tabs>
        <w:tab w:val="center" w:pos="4536"/>
        <w:tab w:val="right" w:pos="9072"/>
      </w:tabs>
      <w:spacing w:after="0" w:line="240" w:lineRule="auto"/>
    </w:pPr>
    <w:rPr>
      <w:rFonts w:ascii="Calibri" w:eastAsia="Calibri" w:hAnsi="Calibri" w:cs="Arial"/>
    </w:rPr>
  </w:style>
  <w:style w:type="character" w:customStyle="1" w:styleId="FooterChar">
    <w:name w:val="Footer Char"/>
    <w:basedOn w:val="DefaultParagraphFont"/>
    <w:link w:val="Footer"/>
    <w:uiPriority w:val="99"/>
    <w:rPr>
      <w:rFonts w:ascii="Calibri" w:eastAsia="Calibri" w:hAnsi="Calibri" w:cs="Arial"/>
    </w:rPr>
  </w:style>
  <w:style w:type="paragraph" w:styleId="Header">
    <w:name w:val="header"/>
    <w:basedOn w:val="Normal"/>
    <w:link w:val="HeaderChar"/>
    <w:uiPriority w:val="99"/>
    <w:pPr>
      <w:tabs>
        <w:tab w:val="center" w:pos="4536"/>
        <w:tab w:val="right" w:pos="9072"/>
      </w:tabs>
      <w:spacing w:after="0" w:line="240" w:lineRule="auto"/>
    </w:pPr>
    <w:rPr>
      <w:rFonts w:ascii="Calibri" w:eastAsia="Calibri" w:hAnsi="Calibri" w:cs="Arial"/>
    </w:rPr>
  </w:style>
  <w:style w:type="character" w:customStyle="1" w:styleId="HeaderChar">
    <w:name w:val="Header Char"/>
    <w:basedOn w:val="DefaultParagraphFont"/>
    <w:link w:val="Header"/>
    <w:uiPriority w:val="99"/>
    <w:rPr>
      <w:rFonts w:ascii="Calibri" w:eastAsia="Calibri" w:hAnsi="Calibri" w:cs="Arial"/>
    </w:rPr>
  </w:style>
  <w:style w:type="paragraph" w:customStyle="1" w:styleId="Pagedecouverture">
    <w:name w:val="Page de couverture"/>
    <w:basedOn w:val="Normal"/>
    <w:next w:val="Normal"/>
    <w:uiPriority w:val="99"/>
    <w:pPr>
      <w:spacing w:after="0" w:line="240" w:lineRule="auto"/>
      <w:jc w:val="both"/>
    </w:pPr>
    <w:rPr>
      <w:rFonts w:ascii="Times New Roman" w:eastAsia="Calibri" w:hAnsi="Times New Roman" w:cs="Times New Roman"/>
      <w:sz w:val="24"/>
    </w:rPr>
  </w:style>
  <w:style w:type="paragraph" w:customStyle="1" w:styleId="FooterCoverPage">
    <w:name w:val="Footer Cover Page"/>
    <w:basedOn w:val="Normal"/>
    <w:link w:val="FooterCoverPageChar"/>
    <w:uiPriority w:val="99"/>
    <w:pPr>
      <w:tabs>
        <w:tab w:val="center" w:pos="4535"/>
        <w:tab w:val="right" w:pos="9071"/>
        <w:tab w:val="right" w:pos="9921"/>
      </w:tabs>
      <w:autoSpaceDE w:val="0"/>
      <w:autoSpaceDN w:val="0"/>
      <w:adjustRightInd w:val="0"/>
      <w:spacing w:before="360" w:after="0" w:line="240" w:lineRule="auto"/>
      <w:ind w:left="-850" w:right="-850"/>
    </w:pPr>
    <w:rPr>
      <w:rFonts w:ascii="Times New Roman" w:eastAsia="Calibri" w:hAnsi="Times New Roman" w:cs="Times New Roman"/>
      <w:color w:val="000000"/>
      <w:sz w:val="24"/>
      <w:szCs w:val="24"/>
    </w:rPr>
  </w:style>
  <w:style w:type="character" w:customStyle="1" w:styleId="FooterCoverPageChar">
    <w:name w:val="Footer Cover Page Char"/>
    <w:basedOn w:val="DefaultParagraphFont"/>
    <w:link w:val="FooterCoverPage"/>
    <w:uiPriority w:val="99"/>
    <w:locked/>
    <w:rPr>
      <w:rFonts w:ascii="Times New Roman" w:eastAsia="Calibri" w:hAnsi="Times New Roman" w:cs="Times New Roman"/>
      <w:color w:val="000000"/>
      <w:sz w:val="24"/>
      <w:szCs w:val="24"/>
    </w:rPr>
  </w:style>
  <w:style w:type="paragraph" w:styleId="CommentSubject">
    <w:name w:val="annotation subject"/>
    <w:basedOn w:val="CommentText"/>
    <w:next w:val="CommentText"/>
    <w:link w:val="CommentSubjectChar"/>
    <w:uiPriority w:val="99"/>
    <w:semiHidden/>
    <w:unhideWhenUsed/>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Pr>
      <w:rFonts w:ascii="Calibri" w:eastAsia="Calibri" w:hAnsi="Calibri" w:cs="Arial"/>
      <w:b/>
      <w:bCs/>
      <w:sz w:val="20"/>
      <w:szCs w:val="20"/>
    </w:rPr>
  </w:style>
  <w:style w:type="character" w:customStyle="1" w:styleId="Marker">
    <w:name w:val="Marker"/>
    <w:basedOn w:val="DefaultParagraphFont"/>
    <w:rPr>
      <w:color w:val="0000FF"/>
      <w:shd w:val="clear" w:color="auto" w:fill="auto"/>
    </w:rPr>
  </w:style>
  <w:style w:type="paragraph" w:customStyle="1" w:styleId="HeaderCoverPage">
    <w:name w:val="Header Cover Page"/>
    <w:basedOn w:val="Normal"/>
    <w:link w:val="HeaderCoverPageChar"/>
    <w:pPr>
      <w:tabs>
        <w:tab w:val="center" w:pos="4535"/>
        <w:tab w:val="right" w:pos="9071"/>
      </w:tabs>
      <w:spacing w:after="120" w:line="240" w:lineRule="auto"/>
      <w:contextualSpacing/>
      <w:jc w:val="both"/>
    </w:pPr>
    <w:rPr>
      <w:rFonts w:ascii="Times New Roman" w:eastAsia="Calibri" w:hAnsi="Times New Roman" w:cs="Times New Roman"/>
      <w:sz w:val="24"/>
      <w:szCs w:val="24"/>
    </w:rPr>
  </w:style>
  <w:style w:type="character" w:customStyle="1" w:styleId="HeaderCoverPageChar">
    <w:name w:val="Header Cover Page Char"/>
    <w:basedOn w:val="DefaultParagraphFont"/>
    <w:link w:val="HeaderCoverPage"/>
    <w:rPr>
      <w:rFonts w:ascii="Times New Roman" w:eastAsia="Calibri" w:hAnsi="Times New Roman" w:cs="Times New Roman"/>
      <w:sz w:val="24"/>
      <w:szCs w:val="24"/>
    </w:rPr>
  </w:style>
  <w:style w:type="paragraph" w:styleId="Revision">
    <w:name w:val="Revision"/>
    <w:hidden/>
    <w:uiPriority w:val="99"/>
    <w:semiHidden/>
    <w:pPr>
      <w:spacing w:after="0" w:line="240" w:lineRule="auto"/>
    </w:pPr>
  </w:style>
  <w:style w:type="character" w:styleId="FollowedHyperlink">
    <w:name w:val="FollowedHyperlink"/>
    <w:basedOn w:val="DefaultParagraphFont"/>
    <w:uiPriority w:val="99"/>
    <w:semiHidden/>
    <w:unhideWhenUsed/>
    <w:rPr>
      <w:color w:val="800080" w:themeColor="followedHyperlink"/>
      <w:u w:val="single"/>
    </w:rPr>
  </w:style>
  <w:style w:type="paragraph" w:styleId="PlainText">
    <w:name w:val="Plain Text"/>
    <w:basedOn w:val="Normal"/>
    <w:link w:val="PlainTextChar"/>
    <w:uiPriority w:val="99"/>
    <w:semiHidden/>
    <w:unhideWhenUsed/>
    <w:pPr>
      <w:spacing w:after="0" w:line="240" w:lineRule="auto"/>
    </w:pPr>
    <w:rPr>
      <w:rFonts w:ascii="Calibri" w:hAnsi="Calibri" w:cs="Consolas"/>
      <w:szCs w:val="21"/>
    </w:rPr>
  </w:style>
  <w:style w:type="character" w:customStyle="1" w:styleId="PlainTextChar">
    <w:name w:val="Plain Text Char"/>
    <w:basedOn w:val="DefaultParagraphFont"/>
    <w:link w:val="PlainText"/>
    <w:uiPriority w:val="99"/>
    <w:semiHidden/>
    <w:rPr>
      <w:rFonts w:ascii="Calibri" w:hAnsi="Calibri" w:cs="Consolas"/>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Podrozdział,Footnote Text Char1 Char,Footnote Text Char Char Char,Footnote Text Char2 Char Char Char,Footnote Text Char1 Char Char Char Char,Footnote Text Char Char Char Char Char Char,Plonk,Footnote text PFR,fn,f,Char,Footnote text,ft"/>
    <w:basedOn w:val="Normal"/>
    <w:link w:val="FootnoteTextChar"/>
    <w:uiPriority w:val="99"/>
    <w:qFormat/>
    <w:pPr>
      <w:spacing w:after="0" w:line="240" w:lineRule="auto"/>
    </w:pPr>
    <w:rPr>
      <w:rFonts w:ascii="Calibri" w:eastAsia="Calibri" w:hAnsi="Calibri" w:cs="Arial"/>
      <w:sz w:val="20"/>
      <w:szCs w:val="20"/>
    </w:rPr>
  </w:style>
  <w:style w:type="character" w:customStyle="1" w:styleId="FootnoteTextChar">
    <w:name w:val="Footnote Text Char"/>
    <w:aliases w:val="Podrozdział Char,Footnote Text Char1 Char Char,Footnote Text Char Char Char Char,Footnote Text Char2 Char Char Char Char,Footnote Text Char1 Char Char Char Char Char,Footnote Text Char Char Char Char Char Char Char,Plonk Char,fn Char"/>
    <w:basedOn w:val="DefaultParagraphFont"/>
    <w:link w:val="FootnoteText"/>
    <w:uiPriority w:val="99"/>
    <w:rPr>
      <w:rFonts w:ascii="Calibri" w:eastAsia="Calibri" w:hAnsi="Calibri" w:cs="Arial"/>
      <w:sz w:val="20"/>
      <w:szCs w:val="20"/>
    </w:rPr>
  </w:style>
  <w:style w:type="character" w:styleId="FootnoteReference">
    <w:name w:val="footnote reference"/>
    <w:aliases w:val="Footnote symbol,Times 10 Point,Exposant 3 Point,Footnote number,Footnote Reference Number,Footnote reference number,Footnote Reference Superscript,EN Footnote Reference,note TESI,Voetnootverwijzing,fr,o,FR,FR1,BVI fnr,SUPERS,Ref,註腳內容"/>
    <w:basedOn w:val="DefaultParagraphFont"/>
    <w:link w:val="FootnotesymbolCarZchn"/>
    <w:uiPriority w:val="99"/>
    <w:qFormat/>
    <w:rPr>
      <w:rFonts w:cs="Times New Roman"/>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before="60" w:after="160" w:line="240" w:lineRule="exact"/>
      <w:ind w:left="357" w:hanging="357"/>
      <w:jc w:val="both"/>
    </w:pPr>
    <w:rPr>
      <w:rFonts w:cs="Times New Roman"/>
      <w:vertAlign w:val="superscript"/>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99"/>
    <w:qFormat/>
    <w:pPr>
      <w:ind w:left="720"/>
      <w:contextualSpacing/>
    </w:pPr>
    <w:rPr>
      <w:rFonts w:ascii="Calibri" w:eastAsia="Calibri" w:hAnsi="Calibri" w:cs="Arial"/>
    </w:rPr>
  </w:style>
  <w:style w:type="character" w:styleId="Hyperlink">
    <w:name w:val="Hyperlink"/>
    <w:basedOn w:val="DefaultParagraphFont"/>
    <w:uiPriority w:val="99"/>
    <w:rPr>
      <w:rFonts w:cs="Times New Roman"/>
      <w:color w:val="0000FF"/>
      <w:u w:val="single"/>
    </w:rPr>
  </w:style>
  <w:style w:type="character" w:styleId="CommentReference">
    <w:name w:val="annotation reference"/>
    <w:basedOn w:val="DefaultParagraphFont"/>
    <w:uiPriority w:val="99"/>
    <w:semiHidden/>
    <w:rPr>
      <w:rFonts w:cs="Times New Roman"/>
      <w:sz w:val="16"/>
      <w:szCs w:val="16"/>
    </w:rPr>
  </w:style>
  <w:style w:type="paragraph" w:styleId="CommentText">
    <w:name w:val="annotation text"/>
    <w:basedOn w:val="Normal"/>
    <w:link w:val="CommentTextChar"/>
    <w:uiPriority w:val="99"/>
    <w:semiHidden/>
    <w:pPr>
      <w:spacing w:line="240" w:lineRule="auto"/>
    </w:pPr>
    <w:rPr>
      <w:rFonts w:ascii="Calibri" w:eastAsia="Calibri" w:hAnsi="Calibri" w:cs="Arial"/>
      <w:sz w:val="20"/>
      <w:szCs w:val="20"/>
    </w:rPr>
  </w:style>
  <w:style w:type="character" w:customStyle="1" w:styleId="CommentTextChar">
    <w:name w:val="Comment Text Char"/>
    <w:basedOn w:val="DefaultParagraphFont"/>
    <w:link w:val="CommentText"/>
    <w:uiPriority w:val="99"/>
    <w:semiHidden/>
    <w:rPr>
      <w:rFonts w:ascii="Calibri" w:eastAsia="Calibri" w:hAnsi="Calibri" w:cs="Arial"/>
      <w:sz w:val="20"/>
      <w:szCs w:val="20"/>
    </w:rPr>
  </w:style>
  <w:style w:type="paragraph" w:customStyle="1" w:styleId="Text1">
    <w:name w:val="Text 1"/>
    <w:basedOn w:val="Normal"/>
    <w:uiPriority w:val="99"/>
    <w:pPr>
      <w:spacing w:after="240" w:line="240" w:lineRule="auto"/>
      <w:ind w:left="482"/>
      <w:jc w:val="both"/>
    </w:pPr>
    <w:rPr>
      <w:rFonts w:ascii="Times New Roman" w:eastAsia="Times New Roman" w:hAnsi="Times New Roman" w:cs="Times New Roman"/>
      <w:sz w:val="24"/>
      <w:szCs w:val="20"/>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Footer">
    <w:name w:val="footer"/>
    <w:basedOn w:val="Normal"/>
    <w:link w:val="FooterChar"/>
    <w:uiPriority w:val="99"/>
    <w:pPr>
      <w:tabs>
        <w:tab w:val="center" w:pos="4536"/>
        <w:tab w:val="right" w:pos="9072"/>
      </w:tabs>
      <w:spacing w:after="0" w:line="240" w:lineRule="auto"/>
    </w:pPr>
    <w:rPr>
      <w:rFonts w:ascii="Calibri" w:eastAsia="Calibri" w:hAnsi="Calibri" w:cs="Arial"/>
    </w:rPr>
  </w:style>
  <w:style w:type="character" w:customStyle="1" w:styleId="FooterChar">
    <w:name w:val="Footer Char"/>
    <w:basedOn w:val="DefaultParagraphFont"/>
    <w:link w:val="Footer"/>
    <w:uiPriority w:val="99"/>
    <w:rPr>
      <w:rFonts w:ascii="Calibri" w:eastAsia="Calibri" w:hAnsi="Calibri" w:cs="Arial"/>
    </w:rPr>
  </w:style>
  <w:style w:type="paragraph" w:styleId="Header">
    <w:name w:val="header"/>
    <w:basedOn w:val="Normal"/>
    <w:link w:val="HeaderChar"/>
    <w:uiPriority w:val="99"/>
    <w:pPr>
      <w:tabs>
        <w:tab w:val="center" w:pos="4536"/>
        <w:tab w:val="right" w:pos="9072"/>
      </w:tabs>
      <w:spacing w:after="0" w:line="240" w:lineRule="auto"/>
    </w:pPr>
    <w:rPr>
      <w:rFonts w:ascii="Calibri" w:eastAsia="Calibri" w:hAnsi="Calibri" w:cs="Arial"/>
    </w:rPr>
  </w:style>
  <w:style w:type="character" w:customStyle="1" w:styleId="HeaderChar">
    <w:name w:val="Header Char"/>
    <w:basedOn w:val="DefaultParagraphFont"/>
    <w:link w:val="Header"/>
    <w:uiPriority w:val="99"/>
    <w:rPr>
      <w:rFonts w:ascii="Calibri" w:eastAsia="Calibri" w:hAnsi="Calibri" w:cs="Arial"/>
    </w:rPr>
  </w:style>
  <w:style w:type="paragraph" w:customStyle="1" w:styleId="Pagedecouverture">
    <w:name w:val="Page de couverture"/>
    <w:basedOn w:val="Normal"/>
    <w:next w:val="Normal"/>
    <w:uiPriority w:val="99"/>
    <w:pPr>
      <w:spacing w:after="0" w:line="240" w:lineRule="auto"/>
      <w:jc w:val="both"/>
    </w:pPr>
    <w:rPr>
      <w:rFonts w:ascii="Times New Roman" w:eastAsia="Calibri" w:hAnsi="Times New Roman" w:cs="Times New Roman"/>
      <w:sz w:val="24"/>
    </w:rPr>
  </w:style>
  <w:style w:type="paragraph" w:customStyle="1" w:styleId="FooterCoverPage">
    <w:name w:val="Footer Cover Page"/>
    <w:basedOn w:val="Normal"/>
    <w:link w:val="FooterCoverPageChar"/>
    <w:uiPriority w:val="99"/>
    <w:pPr>
      <w:tabs>
        <w:tab w:val="center" w:pos="4535"/>
        <w:tab w:val="right" w:pos="9071"/>
        <w:tab w:val="right" w:pos="9921"/>
      </w:tabs>
      <w:autoSpaceDE w:val="0"/>
      <w:autoSpaceDN w:val="0"/>
      <w:adjustRightInd w:val="0"/>
      <w:spacing w:before="360" w:after="0" w:line="240" w:lineRule="auto"/>
      <w:ind w:left="-850" w:right="-850"/>
    </w:pPr>
    <w:rPr>
      <w:rFonts w:ascii="Times New Roman" w:eastAsia="Calibri" w:hAnsi="Times New Roman" w:cs="Times New Roman"/>
      <w:color w:val="000000"/>
      <w:sz w:val="24"/>
      <w:szCs w:val="24"/>
    </w:rPr>
  </w:style>
  <w:style w:type="character" w:customStyle="1" w:styleId="FooterCoverPageChar">
    <w:name w:val="Footer Cover Page Char"/>
    <w:basedOn w:val="DefaultParagraphFont"/>
    <w:link w:val="FooterCoverPage"/>
    <w:uiPriority w:val="99"/>
    <w:locked/>
    <w:rPr>
      <w:rFonts w:ascii="Times New Roman" w:eastAsia="Calibri" w:hAnsi="Times New Roman" w:cs="Times New Roman"/>
      <w:color w:val="000000"/>
      <w:sz w:val="24"/>
      <w:szCs w:val="24"/>
    </w:rPr>
  </w:style>
  <w:style w:type="paragraph" w:styleId="CommentSubject">
    <w:name w:val="annotation subject"/>
    <w:basedOn w:val="CommentText"/>
    <w:next w:val="CommentText"/>
    <w:link w:val="CommentSubjectChar"/>
    <w:uiPriority w:val="99"/>
    <w:semiHidden/>
    <w:unhideWhenUsed/>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Pr>
      <w:rFonts w:ascii="Calibri" w:eastAsia="Calibri" w:hAnsi="Calibri" w:cs="Arial"/>
      <w:b/>
      <w:bCs/>
      <w:sz w:val="20"/>
      <w:szCs w:val="20"/>
    </w:rPr>
  </w:style>
  <w:style w:type="character" w:customStyle="1" w:styleId="Marker">
    <w:name w:val="Marker"/>
    <w:basedOn w:val="DefaultParagraphFont"/>
    <w:rPr>
      <w:color w:val="0000FF"/>
      <w:shd w:val="clear" w:color="auto" w:fill="auto"/>
    </w:rPr>
  </w:style>
  <w:style w:type="paragraph" w:customStyle="1" w:styleId="HeaderCoverPage">
    <w:name w:val="Header Cover Page"/>
    <w:basedOn w:val="Normal"/>
    <w:link w:val="HeaderCoverPageChar"/>
    <w:pPr>
      <w:tabs>
        <w:tab w:val="center" w:pos="4535"/>
        <w:tab w:val="right" w:pos="9071"/>
      </w:tabs>
      <w:spacing w:after="120" w:line="240" w:lineRule="auto"/>
      <w:contextualSpacing/>
      <w:jc w:val="both"/>
    </w:pPr>
    <w:rPr>
      <w:rFonts w:ascii="Times New Roman" w:eastAsia="Calibri" w:hAnsi="Times New Roman" w:cs="Times New Roman"/>
      <w:sz w:val="24"/>
      <w:szCs w:val="24"/>
    </w:rPr>
  </w:style>
  <w:style w:type="character" w:customStyle="1" w:styleId="HeaderCoverPageChar">
    <w:name w:val="Header Cover Page Char"/>
    <w:basedOn w:val="DefaultParagraphFont"/>
    <w:link w:val="HeaderCoverPage"/>
    <w:rPr>
      <w:rFonts w:ascii="Times New Roman" w:eastAsia="Calibri" w:hAnsi="Times New Roman" w:cs="Times New Roman"/>
      <w:sz w:val="24"/>
      <w:szCs w:val="24"/>
    </w:rPr>
  </w:style>
  <w:style w:type="paragraph" w:styleId="Revision">
    <w:name w:val="Revision"/>
    <w:hidden/>
    <w:uiPriority w:val="99"/>
    <w:semiHidden/>
    <w:pPr>
      <w:spacing w:after="0" w:line="240" w:lineRule="auto"/>
    </w:pPr>
  </w:style>
  <w:style w:type="character" w:styleId="FollowedHyperlink">
    <w:name w:val="FollowedHyperlink"/>
    <w:basedOn w:val="DefaultParagraphFont"/>
    <w:uiPriority w:val="99"/>
    <w:semiHidden/>
    <w:unhideWhenUsed/>
    <w:rPr>
      <w:color w:val="800080" w:themeColor="followedHyperlink"/>
      <w:u w:val="single"/>
    </w:rPr>
  </w:style>
  <w:style w:type="paragraph" w:styleId="PlainText">
    <w:name w:val="Plain Text"/>
    <w:basedOn w:val="Normal"/>
    <w:link w:val="PlainTextChar"/>
    <w:uiPriority w:val="99"/>
    <w:semiHidden/>
    <w:unhideWhenUsed/>
    <w:pPr>
      <w:spacing w:after="0" w:line="240" w:lineRule="auto"/>
    </w:pPr>
    <w:rPr>
      <w:rFonts w:ascii="Calibri" w:hAnsi="Calibri" w:cs="Consolas"/>
      <w:szCs w:val="21"/>
    </w:rPr>
  </w:style>
  <w:style w:type="character" w:customStyle="1" w:styleId="PlainTextChar">
    <w:name w:val="Plain Text Char"/>
    <w:basedOn w:val="DefaultParagraphFont"/>
    <w:link w:val="PlainText"/>
    <w:uiPriority w:val="99"/>
    <w:semiHidden/>
    <w:rPr>
      <w:rFonts w:ascii="Calibri" w:hAnsi="Calibri" w:cs="Consolas"/>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3048896">
      <w:bodyDiv w:val="1"/>
      <w:marLeft w:val="0"/>
      <w:marRight w:val="0"/>
      <w:marTop w:val="0"/>
      <w:marBottom w:val="0"/>
      <w:divBdr>
        <w:top w:val="none" w:sz="0" w:space="0" w:color="auto"/>
        <w:left w:val="none" w:sz="0" w:space="0" w:color="auto"/>
        <w:bottom w:val="none" w:sz="0" w:space="0" w:color="auto"/>
        <w:right w:val="none" w:sz="0" w:space="0" w:color="auto"/>
      </w:divBdr>
    </w:div>
    <w:div w:id="1582640500">
      <w:bodyDiv w:val="1"/>
      <w:marLeft w:val="0"/>
      <w:marRight w:val="0"/>
      <w:marTop w:val="0"/>
      <w:marBottom w:val="0"/>
      <w:divBdr>
        <w:top w:val="none" w:sz="0" w:space="0" w:color="auto"/>
        <w:left w:val="none" w:sz="0" w:space="0" w:color="auto"/>
        <w:bottom w:val="none" w:sz="0" w:space="0" w:color="auto"/>
        <w:right w:val="none" w:sz="0" w:space="0" w:color="auto"/>
      </w:divBdr>
    </w:div>
    <w:div w:id="1908026285">
      <w:bodyDiv w:val="1"/>
      <w:marLeft w:val="0"/>
      <w:marRight w:val="0"/>
      <w:marTop w:val="0"/>
      <w:marBottom w:val="0"/>
      <w:divBdr>
        <w:top w:val="none" w:sz="0" w:space="0" w:color="auto"/>
        <w:left w:val="none" w:sz="0" w:space="0" w:color="auto"/>
        <w:bottom w:val="none" w:sz="0" w:space="0" w:color="auto"/>
        <w:right w:val="none" w:sz="0" w:space="0" w:color="auto"/>
      </w:divBdr>
    </w:div>
    <w:div w:id="2044861053">
      <w:bodyDiv w:val="1"/>
      <w:marLeft w:val="0"/>
      <w:marRight w:val="0"/>
      <w:marTop w:val="0"/>
      <w:marBottom w:val="0"/>
      <w:divBdr>
        <w:top w:val="none" w:sz="0" w:space="0" w:color="auto"/>
        <w:left w:val="none" w:sz="0" w:space="0" w:color="auto"/>
        <w:bottom w:val="none" w:sz="0" w:space="0" w:color="auto"/>
        <w:right w:val="none" w:sz="0" w:space="0" w:color="auto"/>
      </w:divBdr>
    </w:div>
    <w:div w:id="2139717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10" Type="http://schemas.openxmlformats.org/officeDocument/2006/relationships/footnotes" Target="foot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oter" Target="footer5.xml"/></Relationships>
</file>

<file path=word/_rels/footnotes.xml.rels><?xml version="1.0" encoding="UTF-8" standalone="yes"?>
<Relationships xmlns="http://schemas.openxmlformats.org/package/2006/relationships"><Relationship Id="rId3" Type="http://schemas.openxmlformats.org/officeDocument/2006/relationships/hyperlink" Target="http://creaub.info/included" TargetMode="External"/><Relationship Id="rId2" Type="http://schemas.openxmlformats.org/officeDocument/2006/relationships/hyperlink" Target="https://ec.europa.eu/jrc/en/entrecomp" TargetMode="External"/><Relationship Id="rId1" Type="http://schemas.openxmlformats.org/officeDocument/2006/relationships/hyperlink" Target="https://ec.europa.eu/jrc/en/digcomporg/selfie-tool" TargetMode="External"/><Relationship Id="rId5" Type="http://schemas.openxmlformats.org/officeDocument/2006/relationships/hyperlink" Target="http://www.oecd.org/education/schoolresourcesreview.htm" TargetMode="External"/><Relationship Id="rId4" Type="http://schemas.openxmlformats.org/officeDocument/2006/relationships/hyperlink" Target="http://eacea.ec.europa.eu/education/eurydice/index_fr.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Type xmlns="2ef9fadd-d175-4c74-a8f2-fc8ca1dfcf52">Policy Document</Document_x0020_Type>
    <PLATFORMS xmlns="2ef9fadd-d175-4c74-a8f2-fc8ca1dfcf52" xsi:nil="true"/>
    <Policy_x0020_theme xmlns="2ef9fadd-d175-4c74-a8f2-fc8ca1dfcf52">Schools-general</Policy_x0020_them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23CB9131AC97034F8B71ED59BB79F962" ma:contentTypeVersion="12" ma:contentTypeDescription="Create a new document in this library." ma:contentTypeScope="" ma:versionID="bcb2879885e11ce4f4e6d97abc6d0ffd">
  <xsd:schema xmlns:xsd="http://www.w3.org/2001/XMLSchema" xmlns:xs="http://www.w3.org/2001/XMLSchema" xmlns:p="http://schemas.microsoft.com/office/2006/metadata/properties" xmlns:ns2="2ef9fadd-d175-4c74-a8f2-fc8ca1dfcf52" targetNamespace="http://schemas.microsoft.com/office/2006/metadata/properties" ma:root="true" ma:fieldsID="e58739a386d80a696ee45b80aa9b39d7" ns2:_="">
    <xsd:import namespace="2ef9fadd-d175-4c74-a8f2-fc8ca1dfcf52"/>
    <xsd:element name="properties">
      <xsd:complexType>
        <xsd:sequence>
          <xsd:element name="documentManagement">
            <xsd:complexType>
              <xsd:all>
                <xsd:element ref="ns2:Policy_x0020_theme"/>
                <xsd:element ref="ns2:Document_x0020_Type" minOccurs="0"/>
                <xsd:element ref="ns2:PLATFORM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f9fadd-d175-4c74-a8f2-fc8ca1dfcf52" elementFormDefault="qualified">
    <xsd:import namespace="http://schemas.microsoft.com/office/2006/documentManagement/types"/>
    <xsd:import namespace="http://schemas.microsoft.com/office/infopath/2007/PartnerControls"/>
    <xsd:element name="Policy_x0020_theme" ma:index="8" ma:displayName="Policy Theme" ma:format="Dropdown" ma:internalName="Policy_x0020_theme">
      <xsd:simpleType>
        <xsd:restriction base="dms:Choice">
          <xsd:enumeration value="Basic skills"/>
          <xsd:enumeration value="Citizenship"/>
          <xsd:enumeration value="DG Schools"/>
          <xsd:enumeration value="Early school leaving"/>
          <xsd:enumeration value="ECEC"/>
          <xsd:enumeration value="ECEC"/>
          <xsd:enumeration value="Funding and resources"/>
          <xsd:enumeration value="Future Programme"/>
          <xsd:enumeration value="Key Competences (review)"/>
          <xsd:enumeration value="Language learning"/>
          <xsd:enumeration value="Migrants"/>
          <xsd:enumeration value="Multilingualism"/>
          <xsd:enumeration value="Platforms"/>
          <xsd:enumeration value="Programme ERASMUS+"/>
          <xsd:enumeration value="Quality Assurance"/>
          <xsd:enumeration value="Schools-general"/>
          <xsd:enumeration value="Teachers and Teaching"/>
        </xsd:restriction>
      </xsd:simpleType>
    </xsd:element>
    <xsd:element name="Document_x0020_Type" ma:index="9" nillable="true" ma:displayName="Document Type" ma:default="Policy Document" ma:format="Dropdown" ma:internalName="Document_x0020_Type">
      <xsd:simpleType>
        <xsd:restriction base="dms:Choice">
          <xsd:enumeration value="Policy Document"/>
          <xsd:enumeration value="Call for Tender"/>
          <xsd:enumeration value="Platforms"/>
          <xsd:enumeration value="Other"/>
        </xsd:restriction>
      </xsd:simpleType>
    </xsd:element>
    <xsd:element name="PLATFORMS" ma:index="10" nillable="true" ma:displayName="PLATFORMS" ma:internalName="PLATFORMS">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4C6306-680A-47BE-9292-B44B06A8E7D9}">
  <ds:schemaRefs>
    <ds:schemaRef ds:uri="http://www.w3.org/XML/1998/namespace"/>
    <ds:schemaRef ds:uri="2ef9fadd-d175-4c74-a8f2-fc8ca1dfcf52"/>
    <ds:schemaRef ds:uri="http://purl.org/dc/dcmitype/"/>
    <ds:schemaRef ds:uri="http://purl.org/dc/elements/1.1/"/>
    <ds:schemaRef ds:uri="http://schemas.microsoft.com/office/2006/documentManagement/types"/>
    <ds:schemaRef ds:uri="http://schemas.openxmlformats.org/package/2006/metadata/core-properties"/>
    <ds:schemaRef ds:uri="http://schemas.microsoft.com/office/infopath/2007/PartnerControls"/>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F0F98BCD-B340-4B64-A055-E4B4EAD626B3}">
  <ds:schemaRefs>
    <ds:schemaRef ds:uri="http://schemas.microsoft.com/sharepoint/v3/contenttype/forms"/>
  </ds:schemaRefs>
</ds:datastoreItem>
</file>

<file path=customXml/itemProps3.xml><?xml version="1.0" encoding="utf-8"?>
<ds:datastoreItem xmlns:ds="http://schemas.openxmlformats.org/officeDocument/2006/customXml" ds:itemID="{E344AD77-FC99-4CAF-BFED-62BF31CC61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f9fadd-d175-4c74-a8f2-fc8ca1dfcf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BDA83F6-8B22-4871-B6B5-C5BB703099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14</Pages>
  <Words>5817</Words>
  <Characters>30893</Characters>
  <Application>Microsoft Office Word</Application>
  <DocSecurity>0</DocSecurity>
  <Lines>541</Lines>
  <Paragraphs>246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36464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JANSEN Colette (SG)</cp:lastModifiedBy>
  <cp:revision>25</cp:revision>
  <cp:lastPrinted>2017-05-29T12:28:00Z</cp:lastPrinted>
  <dcterms:created xsi:type="dcterms:W3CDTF">2017-05-23T14:01:00Z</dcterms:created>
  <dcterms:modified xsi:type="dcterms:W3CDTF">2017-05-29T12:28:00Z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Classification">
    <vt:lpwstr> </vt:lpwstr>
  </property>
  <property fmtid="{D5CDD505-2E9C-101B-9397-08002B2CF9AE}" pid="6" name="ContentTypeId">
    <vt:lpwstr>0x010100258AA79CEB83498886A3A086811232500023CB9131AC97034F8B71ED59BB79F962</vt:lpwstr>
  </property>
</Properties>
</file>