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657E06DF7004CF180028571A6528524" style="width:450.35pt;height:334.2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numPr>
          <w:ilvl w:val="0"/>
          <w:numId w:val="1"/>
        </w:numPr>
        <w:spacing w:before="240" w:after="240" w:line="240" w:lineRule="auto"/>
        <w:ind w:left="357" w:hanging="357"/>
        <w:contextualSpacing/>
        <w:jc w:val="both"/>
        <w:rPr>
          <w:rFonts w:ascii="Times New Roman" w:eastAsia="Calibri" w:hAnsi="Times New Roman" w:cs="Times New Roman"/>
          <w:b/>
          <w:noProof/>
          <w:sz w:val="24"/>
          <w:szCs w:val="24"/>
        </w:rPr>
      </w:pPr>
      <w:bookmarkStart w:id="1" w:name="_GoBack"/>
      <w:bookmarkEnd w:id="1"/>
      <w:r>
        <w:rPr>
          <w:rFonts w:ascii="Times New Roman" w:hAnsi="Times New Roman" w:cs="Times New Roman"/>
          <w:b/>
          <w:noProof/>
          <w:sz w:val="24"/>
        </w:rPr>
        <w:lastRenderedPageBreak/>
        <w:t>Introducere</w:t>
      </w:r>
    </w:p>
    <w:p>
      <w:pPr>
        <w:spacing w:before="240" w:after="240" w:line="240" w:lineRule="auto"/>
        <w:ind w:left="357"/>
        <w:contextualSpacing/>
        <w:jc w:val="both"/>
        <w:rPr>
          <w:rFonts w:ascii="Times New Roman" w:eastAsia="Calibri" w:hAnsi="Times New Roman" w:cs="Times New Roman"/>
          <w:b/>
          <w:noProof/>
          <w:sz w:val="24"/>
          <w:szCs w:val="24"/>
        </w:rPr>
      </w:pP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rPr>
        <w:t xml:space="preserve">Investițiile în oameni, în special în tineri, reprezintă o prioritate majoră pentru Europa. </w:t>
      </w:r>
      <w:r>
        <w:rPr>
          <w:rFonts w:ascii="Times New Roman" w:hAnsi="Times New Roman" w:cs="Times New Roman"/>
          <w:noProof/>
          <w:sz w:val="24"/>
        </w:rPr>
        <w:t>În decembrie 2016, Comisia Europeană a prezentat inițiative privind „Investiția în tinerii Europei”,</w:t>
      </w:r>
      <w:r>
        <w:rPr>
          <w:rStyle w:val="FootnoteReference"/>
          <w:rFonts w:ascii="Times New Roman" w:hAnsi="Times New Roman"/>
          <w:noProof/>
          <w:sz w:val="24"/>
        </w:rPr>
        <w:footnoteReference w:id="2"/>
      </w:r>
      <w:r>
        <w:rPr>
          <w:rFonts w:ascii="Times New Roman" w:hAnsi="Times New Roman" w:cs="Times New Roman"/>
          <w:noProof/>
          <w:sz w:val="24"/>
        </w:rPr>
        <w:t xml:space="preserve"> subliniind că este important să se ofere </w:t>
      </w:r>
      <w:r>
        <w:rPr>
          <w:rFonts w:ascii="Times New Roman" w:hAnsi="Times New Roman" w:cs="Times New Roman"/>
          <w:i/>
          <w:noProof/>
          <w:sz w:val="24"/>
        </w:rPr>
        <w:t>noi oportunități pentru tineri</w:t>
      </w:r>
      <w:r>
        <w:rPr>
          <w:rFonts w:ascii="Times New Roman" w:hAnsi="Times New Roman" w:cs="Times New Roman"/>
          <w:noProof/>
          <w:sz w:val="24"/>
        </w:rPr>
        <w:t>. Un mesaj esențial este acela că nivelul calității educației este decisiv pentru perspectivele și șansele de reușită în viață ale tinerilor. Această inițiativă se bazează pe „Noua agendă pentru competențe în Europa”.</w:t>
      </w:r>
      <w:r>
        <w:rPr>
          <w:rFonts w:ascii="Times New Roman" w:hAnsi="Times New Roman" w:cs="Times New Roman"/>
          <w:noProof/>
          <w:sz w:val="24"/>
          <w:vertAlign w:val="superscript"/>
        </w:rPr>
        <w:footnoteReference w:id="3"/>
      </w:r>
      <w:r>
        <w:rPr>
          <w:rFonts w:ascii="Times New Roman" w:hAnsi="Times New Roman" w:cs="Times New Roman"/>
          <w:noProof/>
          <w:sz w:val="24"/>
        </w:rPr>
        <w:t xml:space="preserve"> Educația joacă, de asemenea, un rol fundamental în cadrul pilonului european al drepturilor sociale.</w:t>
      </w:r>
      <w:r>
        <w:rPr>
          <w:rFonts w:ascii="Times New Roman" w:hAnsi="Times New Roman" w:cs="Times New Roman"/>
          <w:noProof/>
          <w:sz w:val="24"/>
          <w:vertAlign w:val="superscript"/>
        </w:rPr>
        <w:footnoteReference w:id="4"/>
      </w:r>
      <w:r>
        <w:rPr>
          <w:rFonts w:ascii="Times New Roman" w:hAnsi="Times New Roman" w:cs="Times New Roman"/>
          <w:noProof/>
          <w:sz w:val="24"/>
        </w:rPr>
        <w:t xml:space="preserve"> Prezenta comunicare face parte dintr-un pachet de inițiative care vizează școlile, învățământul superior și monitorizarea absolvenților. Comunicarea răspunde Concluziilor Consiliului European din decembrie 2016</w:t>
      </w:r>
      <w:r>
        <w:rPr>
          <w:rFonts w:ascii="Times New Roman" w:hAnsi="Times New Roman" w:cs="Times New Roman"/>
          <w:noProof/>
          <w:sz w:val="24"/>
          <w:vertAlign w:val="superscript"/>
        </w:rPr>
        <w:footnoteReference w:id="5"/>
      </w:r>
      <w:r>
        <w:rPr>
          <w:rFonts w:ascii="Times New Roman" w:hAnsi="Times New Roman" w:cs="Times New Roman"/>
          <w:noProof/>
          <w:sz w:val="24"/>
        </w:rPr>
        <w:t>. Comunicarea sprijină obiectivul de dezvoltare durabilă nr. 4 al ONU privind educația.</w:t>
      </w:r>
      <w:r>
        <w:rPr>
          <w:rFonts w:ascii="Times New Roman" w:hAnsi="Times New Roman" w:cs="Times New Roman"/>
          <w:noProof/>
          <w:sz w:val="24"/>
          <w:vertAlign w:val="superscript"/>
        </w:rPr>
        <w:footnoteReference w:id="6"/>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rPr>
        <w:t xml:space="preserve">O educație de înaltă calitate pentru toți va ajuta Europa să își atingă obiectivele economice și sociale. </w:t>
      </w:r>
      <w:r>
        <w:rPr>
          <w:rFonts w:ascii="Times New Roman" w:hAnsi="Times New Roman" w:cs="Times New Roman"/>
          <w:noProof/>
          <w:sz w:val="24"/>
        </w:rPr>
        <w:t xml:space="preserve">La baza unor societăți favorabile incluziunii și rezistente se află o educație de bună calitate. Educația reprezintă punctul de plecare pentru o carieră profesională de succes și cea mai bună protecție împotriva șomajului și a sărăciei. Educația favorizează dezvoltarea personală și pune bazele unei cetățenii active. Educația de bună calitate stimulează C&amp;D, inovarea și competitivitatea. Cu toate acestea, pentru ca societățile să profite de aceste avantaje, educația de înaltă calitate trebuie să fie o realitate pentru toți.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rPr>
        <w:t>Școlile joacă un rol esențial în învățarea pe tot parcursul vieții și, prin urmare, este nevoie de acțiuni în vederea îmbunătățirii calității și performanței învățământului</w:t>
      </w:r>
      <w:r>
        <w:rPr>
          <w:rStyle w:val="FootnoteReference"/>
          <w:rFonts w:ascii="Times New Roman" w:hAnsi="Times New Roman"/>
          <w:noProof/>
          <w:sz w:val="24"/>
        </w:rPr>
        <w:footnoteReference w:id="7"/>
      </w:r>
      <w:r>
        <w:rPr>
          <w:rFonts w:ascii="Times New Roman" w:hAnsi="Times New Roman" w:cs="Times New Roman"/>
          <w:noProof/>
        </w:rPr>
        <w:t>.</w:t>
      </w:r>
      <w:r>
        <w:rPr>
          <w:rFonts w:ascii="Times New Roman" w:hAnsi="Times New Roman" w:cs="Times New Roman"/>
          <w:noProof/>
          <w:sz w:val="24"/>
        </w:rPr>
        <w:t xml:space="preserve"> Situația actuală din Europa arată că trebuie să depunem eforturi pentru a nu stagna în această situație. La nivelul Uniunii Europene, există o mare diversitate de școli și sisteme de învățământ. În același timp, aproape toate statele membre se confruntă cu o serie de provocări importante: </w:t>
      </w:r>
    </w:p>
    <w:p>
      <w:pPr>
        <w:pStyle w:val="ListParagraph"/>
        <w:numPr>
          <w:ilvl w:val="0"/>
          <w:numId w:val="16"/>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rPr>
        <w:t>Există deficiențe în dezvoltarea competențelor la nivelul învățământului</w:t>
      </w:r>
      <w:r>
        <w:rPr>
          <w:rFonts w:ascii="Times New Roman" w:hAnsi="Times New Roman" w:cs="Times New Roman"/>
          <w:noProof/>
          <w:sz w:val="24"/>
        </w:rPr>
        <w:t>. Cele mai recente rezultate ale studiului PISA realizat de OCDE arată că unul din cinci elevi are dificultăți grave în dezvoltarea unor competențe suficiente în citire, matematică și științe. În consecință, acești tineri sunt mai predispuși să se confrunte cu obstacole importante, pe tot parcursul vieții, în ceea ce privește incluziunea socială și capacitatea de inserție profesională. În același timp, proporția de elevi care obțin rezultate foarte bune în Europa este relativ scăzută: chiar și statele membre ale UE care înregistrează cele mai bune rezultate sunt depășite de țările asiatice avansate.</w:t>
      </w:r>
      <w:r>
        <w:rPr>
          <w:rFonts w:ascii="Times New Roman" w:hAnsi="Times New Roman" w:cs="Times New Roman"/>
          <w:noProof/>
          <w:sz w:val="24"/>
          <w:vertAlign w:val="superscript"/>
        </w:rPr>
        <w:footnoteReference w:id="8"/>
      </w:r>
      <w:r>
        <w:rPr>
          <w:rFonts w:ascii="Times New Roman" w:hAnsi="Times New Roman" w:cs="Times New Roman"/>
          <w:noProof/>
          <w:sz w:val="24"/>
        </w:rPr>
        <w:t xml:space="preserve"> Mulți tineri nu dețin competențe digitale adecvate</w:t>
      </w:r>
      <w:r>
        <w:rPr>
          <w:rStyle w:val="FootnoteReference"/>
          <w:rFonts w:ascii="Times New Roman" w:hAnsi="Times New Roman"/>
          <w:noProof/>
          <w:sz w:val="24"/>
        </w:rPr>
        <w:footnoteReference w:id="9"/>
      </w:r>
      <w:r>
        <w:rPr>
          <w:rFonts w:ascii="Times New Roman" w:hAnsi="Times New Roman" w:cs="Times New Roman"/>
          <w:noProof/>
        </w:rPr>
        <w:t>.</w:t>
      </w:r>
      <w:r>
        <w:rPr>
          <w:rFonts w:ascii="Times New Roman" w:hAnsi="Times New Roman" w:cs="Times New Roman"/>
          <w:noProof/>
          <w:sz w:val="24"/>
        </w:rPr>
        <w:t xml:space="preserve"> Un alt aspect esențial este reprezentat de lipsa calificărilor formale; în pofida faptului că multe state membre au înregistrat progrese semnificative în reducerea procentului de tineri care părăsesc timpuriu școala, atingând obiectivul principal al Strategiei Europa 2020 de 10 %, există încă prea mulți tineri care părăsesc timpuriu școala. </w:t>
      </w:r>
    </w:p>
    <w:p>
      <w:pPr>
        <w:pStyle w:val="ListParagraph"/>
        <w:numPr>
          <w:ilvl w:val="0"/>
          <w:numId w:val="16"/>
        </w:num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rPr>
        <w:t>Învățământul nu își joacă întotdeauna pe deplin rolul de a promova corectitudinea și echitatea socială</w:t>
      </w:r>
      <w:r>
        <w:rPr>
          <w:rFonts w:ascii="Times New Roman" w:hAnsi="Times New Roman" w:cs="Times New Roman"/>
          <w:noProof/>
          <w:sz w:val="24"/>
        </w:rPr>
        <w:t xml:space="preserve">. Din datele PISA </w:t>
      </w:r>
      <w:r>
        <w:rPr>
          <w:rFonts w:ascii="Times New Roman" w:hAnsi="Times New Roman" w:cs="Times New Roman"/>
          <w:noProof/>
          <w:sz w:val="24"/>
          <w:vertAlign w:val="superscript"/>
        </w:rPr>
        <w:footnoteReference w:id="10"/>
      </w:r>
      <w:r>
        <w:rPr>
          <w:rFonts w:ascii="Times New Roman" w:hAnsi="Times New Roman" w:cs="Times New Roman"/>
          <w:noProof/>
          <w:sz w:val="24"/>
        </w:rPr>
        <w:t xml:space="preserve"> reiese că disparitățile de gen în domeniul matematicii și științei se reduc, dar că stereotipurile legate de gen încă duc la diferențe în ceea ce privește implicarea în știință și TIC și trebuie tratate cu mai multă atenție. Totodată, datele demonstrează că rezultatele școlare depind în mare măsură de mediul socioeconomic al elevului. În medie, peste o treime dintre tinerii din UE care provin din medii defavorizate au rezultate școlare slabe. Aceasta înseamnă o cifră de patru ori mai mare față de colegii lor care provin din medii mai favorizate. Alte probleme specifice cu care se confruntă elevii proveniți din familii de migranți și elevii romi agravează această situație. Aceste discrepanțe sporesc inegalitatea socială</w:t>
      </w:r>
      <w:r>
        <w:rPr>
          <w:rStyle w:val="FootnoteReference"/>
          <w:rFonts w:ascii="Times New Roman" w:hAnsi="Times New Roman"/>
          <w:noProof/>
          <w:sz w:val="24"/>
        </w:rPr>
        <w:footnoteReference w:id="11"/>
      </w:r>
      <w:r>
        <w:rPr>
          <w:rFonts w:ascii="Times New Roman" w:hAnsi="Times New Roman" w:cs="Times New Roman"/>
          <w:noProof/>
          <w:sz w:val="24"/>
        </w:rPr>
        <w:t xml:space="preserve"> în loc să o diminueze. Accesul la educație și formare de înaltă calitate este esențial pentru o societate mai rezistentă și bazată într-o mai mare măsură pe egalitate. Exemplele din Estonia și Finlanda arată că sistemele de învățământ pot să asigure simultan niveluri ridicate de performanță și de echitate.</w:t>
      </w:r>
    </w:p>
    <w:p>
      <w:pPr>
        <w:pStyle w:val="ListParagraph"/>
        <w:numPr>
          <w:ilvl w:val="0"/>
          <w:numId w:val="16"/>
        </w:num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rPr>
        <w:t>Ritmul schimbărilor tehnologice și digitale afectează în mod profund economiile și societățile noastre - școlile trebuie să răspundă mai bine acestei noi realități</w:t>
      </w:r>
      <w:r>
        <w:rPr>
          <w:rFonts w:ascii="Times New Roman" w:hAnsi="Times New Roman" w:cs="Times New Roman"/>
          <w:noProof/>
          <w:sz w:val="24"/>
        </w:rPr>
        <w:t>. Mulți dintre elevii de astăzi vor ocupa mai târziu locuri de muncă care nu există în acest moment.</w:t>
      </w:r>
      <w:r>
        <w:rPr>
          <w:rFonts w:ascii="Times New Roman" w:hAnsi="Times New Roman" w:cs="Times New Roman"/>
          <w:noProof/>
          <w:color w:val="000000"/>
          <w:sz w:val="24"/>
        </w:rPr>
        <w:t xml:space="preserve"> Deja 90 % dintre toate locurile de muncă actuale necesită cel puțin un anumit nivel de competențe digitale</w:t>
      </w:r>
      <w:r>
        <w:rPr>
          <w:rStyle w:val="FootnoteReference"/>
          <w:rFonts w:ascii="Times New Roman" w:hAnsi="Times New Roman"/>
          <w:noProof/>
          <w:color w:val="000000"/>
          <w:sz w:val="24"/>
        </w:rPr>
        <w:footnoteReference w:id="12"/>
      </w:r>
      <w:r>
        <w:rPr>
          <w:rFonts w:ascii="Times New Roman" w:hAnsi="Times New Roman" w:cs="Times New Roman"/>
          <w:noProof/>
        </w:rPr>
        <w:t>.</w:t>
      </w:r>
      <w:r>
        <w:rPr>
          <w:rFonts w:ascii="Times New Roman" w:hAnsi="Times New Roman" w:cs="Times New Roman"/>
          <w:noProof/>
          <w:color w:val="000000"/>
          <w:sz w:val="24"/>
        </w:rPr>
        <w:t xml:space="preserve"> </w:t>
      </w:r>
      <w:r>
        <w:rPr>
          <w:rFonts w:ascii="Times New Roman" w:hAnsi="Times New Roman" w:cs="Times New Roman"/>
          <w:noProof/>
          <w:sz w:val="24"/>
        </w:rPr>
        <w:t>Dobândirea unui set fix de competențe sau cunoștințe nu mai este suficientă pentru tineri; ei trebuie să își consolideze rezistența și capacitatea de a se adapta la schimbări. „Documentul de reflecție privind valorificarea oportunităților oferite de globalizare” recunoaște, de asemenea, că pentru o societate care devine din ce în ce mai mobilă și digitală este nevoie de noi moduri de învățare. Așa cum s-a subliniat în „Documentul de reflecție privind dimensiunea socială a Europei”, sistemele de învățământ trebuie modernizate pentru a promova creativitatea și gândirea critică, precum și un spirit antreprenorial</w:t>
      </w:r>
      <w:r>
        <w:rPr>
          <w:rStyle w:val="FootnoteReference"/>
          <w:rFonts w:ascii="Times New Roman" w:hAnsi="Times New Roman"/>
          <w:noProof/>
          <w:sz w:val="24"/>
        </w:rPr>
        <w:footnoteReference w:id="13"/>
      </w:r>
      <w:r>
        <w:rPr>
          <w:rFonts w:ascii="Times New Roman" w:hAnsi="Times New Roman" w:cs="Times New Roman"/>
          <w:noProof/>
        </w:rPr>
        <w:t>.</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rPr>
        <w:t xml:space="preserve">Pentru abordarea acestor provocări este nevoie de reforme. </w:t>
      </w:r>
      <w:r>
        <w:rPr>
          <w:rFonts w:ascii="Times New Roman" w:hAnsi="Times New Roman" w:cs="Times New Roman"/>
          <w:noProof/>
          <w:sz w:val="24"/>
        </w:rPr>
        <w:t xml:space="preserve">Aceasta este o sarcină a statelor membre, întrucât elaborarea sistemelor de învățământ stă în mâinile lor, iar soluțiile vor varia în funcție de specificul național, regional și local. În conformitate cu principiul subsidiarității, UE poate juca un rol util în sprijinirea statelor membre în eforturile lor de reformare. Cooperarea la nivelul UE oferă sprijin statelor membre în ceea ce privește analiza datelor, schimbul de date concrete, identificarea bunelor practici și oferirea de oportunități pentru schimburi de experiență și învățare reciprocă. Acest tip de cooperare voluntară oferă valoare adăugată statelor membre în luarea deciziilor în cunoștință de cauză. </w:t>
      </w:r>
    </w:p>
    <w:p>
      <w:pPr>
        <w:spacing w:after="120" w:line="240" w:lineRule="auto"/>
        <w:jc w:val="both"/>
        <w:rPr>
          <w:rFonts w:ascii="Times New Roman" w:hAnsi="Times New Roman" w:cs="Times New Roman"/>
          <w:noProof/>
          <w:sz w:val="24"/>
        </w:rPr>
      </w:pPr>
      <w:r>
        <w:rPr>
          <w:rFonts w:ascii="Times New Roman" w:hAnsi="Times New Roman" w:cs="Times New Roman"/>
          <w:b/>
          <w:noProof/>
          <w:sz w:val="24"/>
        </w:rPr>
        <w:t>Există trei domenii în care trebuie luate măsuri</w:t>
      </w:r>
      <w:r>
        <w:rPr>
          <w:rFonts w:ascii="Times New Roman" w:hAnsi="Times New Roman" w:cs="Times New Roman"/>
          <w:noProof/>
          <w:sz w:val="24"/>
        </w:rPr>
        <w:t xml:space="preserve"> și în care sprijinul la nivel european poate contribui la abordarea provocărilor menționate anterior: </w:t>
      </w:r>
    </w:p>
    <w:p>
      <w:pPr>
        <w:pStyle w:val="ListParagraph"/>
        <w:numPr>
          <w:ilvl w:val="0"/>
          <w:numId w:val="13"/>
        </w:numPr>
        <w:spacing w:after="120" w:line="240" w:lineRule="auto"/>
        <w:jc w:val="both"/>
        <w:rPr>
          <w:rFonts w:ascii="Times New Roman" w:eastAsia="Times New Roman" w:hAnsi="Times New Roman" w:cs="Times New Roman"/>
          <w:b/>
          <w:noProof/>
          <w:sz w:val="24"/>
          <w:szCs w:val="24"/>
        </w:rPr>
      </w:pPr>
      <w:r>
        <w:rPr>
          <w:rFonts w:ascii="Times New Roman" w:hAnsi="Times New Roman" w:cs="Times New Roman"/>
          <w:b/>
          <w:noProof/>
          <w:sz w:val="24"/>
        </w:rPr>
        <w:t xml:space="preserve">Dezvoltarea unor școli mai bune și mai favorabile incluziunii; </w:t>
      </w:r>
    </w:p>
    <w:p>
      <w:pPr>
        <w:pStyle w:val="ListParagraph"/>
        <w:numPr>
          <w:ilvl w:val="0"/>
          <w:numId w:val="13"/>
        </w:numPr>
        <w:spacing w:after="120" w:line="240" w:lineRule="auto"/>
        <w:jc w:val="both"/>
        <w:rPr>
          <w:rFonts w:ascii="Times New Roman" w:eastAsia="Times New Roman" w:hAnsi="Times New Roman" w:cs="Times New Roman"/>
          <w:b/>
          <w:noProof/>
          <w:sz w:val="24"/>
          <w:szCs w:val="24"/>
        </w:rPr>
      </w:pPr>
      <w:r>
        <w:rPr>
          <w:rFonts w:ascii="Times New Roman" w:hAnsi="Times New Roman" w:cs="Times New Roman"/>
          <w:b/>
          <w:noProof/>
          <w:sz w:val="24"/>
        </w:rPr>
        <w:t xml:space="preserve">Sprijinirea cadrelor didactice și a directorilor de școli pentru ca aceștia să obțină o calitate excelentă a predării și învățării și </w:t>
      </w:r>
    </w:p>
    <w:p>
      <w:pPr>
        <w:pStyle w:val="ListParagraph"/>
        <w:numPr>
          <w:ilvl w:val="0"/>
          <w:numId w:val="13"/>
        </w:numPr>
        <w:spacing w:after="120" w:line="240" w:lineRule="auto"/>
        <w:jc w:val="both"/>
        <w:rPr>
          <w:rFonts w:ascii="Times New Roman" w:eastAsia="Times New Roman" w:hAnsi="Times New Roman" w:cs="Times New Roman"/>
          <w:b/>
          <w:noProof/>
          <w:sz w:val="24"/>
          <w:szCs w:val="24"/>
        </w:rPr>
      </w:pPr>
      <w:r>
        <w:rPr>
          <w:rFonts w:ascii="Times New Roman" w:hAnsi="Times New Roman" w:cs="Times New Roman"/>
          <w:b/>
          <w:noProof/>
          <w:sz w:val="24"/>
        </w:rPr>
        <w:t xml:space="preserve">Realizarea unei guvernanțe mai eficace, mai echitabile și mai eficiente a sistemelor de învățământ. </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rPr>
        <w:t>Pentru fiecare dintre aceste domenii, prezenta comunicare stabilește acțiunile întreprinse de UE pentru a sprijini statele membre în abordarea acestor provocări.</w:t>
      </w:r>
      <w:r>
        <w:rPr>
          <w:rFonts w:ascii="Times New Roman" w:hAnsi="Times New Roman" w:cs="Times New Roman"/>
          <w:noProof/>
          <w:sz w:val="24"/>
        </w:rPr>
        <w:t xml:space="preserve"> Semestrul european este un factor determinat pentru reformă, în special datorită recomandărilor în materie de educație specifice fiecărei țări. UE poate ajuta statele membre care au nevoie de sprijin în eforturile depuse pentru a realiza reforme. În plus, UE oferă sprijin financiar și tehnic statelor membre, în special prin intermediul programului Erasmus+, al fondurilor structurale și de investiții europene și al Serviciului de sprijin pentru reforme structurale.</w:t>
      </w:r>
    </w:p>
    <w:p>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rPr>
        <w:t xml:space="preserve">Diversitatea este o trăsătură caracteristică a sistemelor europene de învățământ </w:t>
      </w:r>
      <w:r>
        <w:rPr>
          <w:rFonts w:ascii="Times New Roman" w:hAnsi="Times New Roman" w:cs="Times New Roman"/>
          <w:noProof/>
          <w:sz w:val="24"/>
        </w:rPr>
        <w:t xml:space="preserve">și nu există o soluție universală. În același timp, statele membre au un interes comun de a îmbunătăți rezultatele în materie de educație. Pentru ca educația de înaltă calitate să devină o realitate pentru toți, ar trebui să se valorifice pe deplin toate instrumentele disponibile la nivel național și la nivelul UE. Comisia este pregătită să colaboreze îndeaproape cu statele membre. </w:t>
      </w:r>
    </w:p>
    <w:p>
      <w:pPr>
        <w:keepNext/>
        <w:spacing w:after="240"/>
        <w:rPr>
          <w:rFonts w:ascii="Times New Roman" w:hAnsi="Times New Roman" w:cs="Times New Roman"/>
          <w:b/>
          <w:noProof/>
          <w:color w:val="000000"/>
          <w:sz w:val="24"/>
          <w:szCs w:val="24"/>
        </w:rPr>
      </w:pPr>
      <w:r>
        <w:rPr>
          <w:rFonts w:ascii="Times New Roman" w:hAnsi="Times New Roman" w:cs="Times New Roman"/>
          <w:b/>
          <w:noProof/>
          <w:color w:val="000000"/>
          <w:sz w:val="24"/>
        </w:rPr>
        <w:t>2. Dezvoltarea unor școli mai bune și mai favorabile incluziunii</w:t>
      </w:r>
    </w:p>
    <w:p>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rPr>
        <w:t>Pentru a completa acțiunile întreprinse de statele membre, Comisia:</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color w:val="000000"/>
          <w:sz w:val="24"/>
        </w:rPr>
        <w:t xml:space="preserve">Va intensifica cooperarea dintre școli prin facilitarea accesului la </w:t>
      </w:r>
      <w:r>
        <w:rPr>
          <w:rFonts w:ascii="Times New Roman" w:hAnsi="Times New Roman" w:cs="Times New Roman"/>
          <w:b/>
          <w:noProof/>
          <w:color w:val="000000"/>
          <w:sz w:val="24"/>
        </w:rPr>
        <w:t>parteneriate școlare și la mobilitatea elevilor în cadrul programului Erasmus +</w:t>
      </w:r>
      <w:r>
        <w:rPr>
          <w:rFonts w:ascii="Times New Roman" w:hAnsi="Times New Roman" w:cs="Times New Roman"/>
          <w:noProof/>
          <w:color w:val="000000"/>
          <w:sz w:val="24"/>
        </w:rPr>
        <w:t xml:space="preserve"> și va contribui la optimizarea învățării digitale și interculturale prin promovarea participării la </w:t>
      </w:r>
      <w:r>
        <w:rPr>
          <w:rFonts w:ascii="Times New Roman" w:hAnsi="Times New Roman" w:cs="Times New Roman"/>
          <w:b/>
          <w:noProof/>
          <w:color w:val="000000"/>
          <w:sz w:val="24"/>
        </w:rPr>
        <w:t>eTwinning</w:t>
      </w:r>
      <w:r>
        <w:rPr>
          <w:rFonts w:ascii="Times New Roman" w:hAnsi="Times New Roman" w:cs="Times New Roman"/>
          <w:noProof/>
          <w:color w:val="000000"/>
          <w:sz w:val="24"/>
        </w:rPr>
        <w:t>;</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color w:val="000000"/>
          <w:sz w:val="24"/>
        </w:rPr>
        <w:t xml:space="preserve">Va elabora un </w:t>
      </w:r>
      <w:r>
        <w:rPr>
          <w:rFonts w:ascii="Times New Roman" w:hAnsi="Times New Roman" w:cs="Times New Roman"/>
          <w:b/>
          <w:noProof/>
          <w:color w:val="000000"/>
          <w:sz w:val="24"/>
        </w:rPr>
        <w:t>instrument de autoevaluare a capacității digitale</w:t>
      </w:r>
      <w:r>
        <w:rPr>
          <w:rFonts w:ascii="Times New Roman" w:hAnsi="Times New Roman" w:cs="Times New Roman"/>
          <w:noProof/>
          <w:color w:val="000000"/>
          <w:sz w:val="24"/>
        </w:rPr>
        <w:t>, astfel încât școlile din UE să se poată autoevalua în mod voluntar cu privire la poziția pe care o ocupă în ceea ce privește criteriile comune și să fie sprijinite în dezvoltarea și îmbunătățirea utilizării eficace a tehnologiilor pentru învățare în era digitală.</w:t>
      </w:r>
      <w:r>
        <w:rPr>
          <w:rFonts w:ascii="Times New Roman" w:hAnsi="Times New Roman" w:cs="Times New Roman"/>
          <w:noProof/>
          <w:color w:val="000000"/>
          <w:sz w:val="24"/>
          <w:vertAlign w:val="superscript"/>
        </w:rPr>
        <w:footnoteReference w:id="14"/>
      </w:r>
      <w:r>
        <w:rPr>
          <w:rFonts w:ascii="Times New Roman" w:hAnsi="Times New Roman" w:cs="Times New Roman"/>
          <w:noProof/>
          <w:color w:val="000000"/>
          <w:sz w:val="24"/>
        </w:rPr>
        <w:t xml:space="preserve"> Prin intermediul instrumentului, școlile pot alege să elaboreze rapoarte privind progresele înregistrate cu privire la </w:t>
      </w:r>
      <w:r>
        <w:rPr>
          <w:rFonts w:ascii="Times New Roman" w:hAnsi="Times New Roman" w:cs="Times New Roman"/>
          <w:b/>
          <w:noProof/>
          <w:color w:val="000000"/>
          <w:sz w:val="24"/>
        </w:rPr>
        <w:t>disponibilitate, utilizare, competențe și atitudini față de tehnologiile informației și comunicațiilor, creând o bază de date</w:t>
      </w:r>
      <w:r>
        <w:rPr>
          <w:rFonts w:ascii="Times New Roman" w:hAnsi="Times New Roman" w:cs="Times New Roman"/>
          <w:noProof/>
          <w:color w:val="000000"/>
          <w:sz w:val="24"/>
        </w:rPr>
        <w:t xml:space="preserve"> în toate statele membre participante. </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color w:val="000000"/>
          <w:sz w:val="24"/>
        </w:rPr>
        <w:t xml:space="preserve">Va sprijini îmbunătățirea nivelului educației în școli în </w:t>
      </w:r>
      <w:r>
        <w:rPr>
          <w:rFonts w:ascii="Times New Roman" w:hAnsi="Times New Roman" w:cs="Times New Roman"/>
          <w:b/>
          <w:noProof/>
          <w:color w:val="000000"/>
          <w:sz w:val="24"/>
        </w:rPr>
        <w:t>domeniile științei, tehnologiilor, ingineriei și matematicii</w:t>
      </w:r>
      <w:r>
        <w:rPr>
          <w:rFonts w:ascii="Times New Roman" w:hAnsi="Times New Roman" w:cs="Times New Roman"/>
          <w:noProof/>
          <w:color w:val="000000"/>
          <w:sz w:val="24"/>
        </w:rPr>
        <w:t xml:space="preserve"> (STIM) prin promovarea bunelor practici în stabilirea de legături și dezvoltarea cooperării la nivelul UE între învățământul superior, cercetare, întreprinderi și școli și prin tratarea în mod eficace a disparităților de gen și a stereotipurilor legate de gen în STIM, prin intermediul programului Erasmus+.</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rPr>
      </w:pPr>
      <w:r>
        <w:rPr>
          <w:rFonts w:ascii="Times New Roman" w:hAnsi="Times New Roman" w:cs="Times New Roman"/>
          <w:noProof/>
          <w:color w:val="000000"/>
          <w:sz w:val="24"/>
        </w:rPr>
        <w:t xml:space="preserve">Va promova și va sprijini realizarea de experimente în materie de politici privind dezvoltarea </w:t>
      </w:r>
      <w:r>
        <w:rPr>
          <w:rFonts w:ascii="Times New Roman" w:hAnsi="Times New Roman" w:cs="Times New Roman"/>
          <w:b/>
          <w:noProof/>
          <w:color w:val="000000"/>
          <w:sz w:val="24"/>
        </w:rPr>
        <w:t>pedagogiilor multilingve</w:t>
      </w:r>
      <w:r>
        <w:rPr>
          <w:rFonts w:ascii="Times New Roman" w:hAnsi="Times New Roman" w:cs="Times New Roman"/>
          <w:noProof/>
          <w:color w:val="000000"/>
          <w:sz w:val="24"/>
        </w:rPr>
        <w:t xml:space="preserve"> și </w:t>
      </w:r>
      <w:r>
        <w:rPr>
          <w:rFonts w:ascii="Times New Roman" w:hAnsi="Times New Roman" w:cs="Times New Roman"/>
          <w:b/>
          <w:noProof/>
          <w:color w:val="000000"/>
          <w:sz w:val="24"/>
        </w:rPr>
        <w:t>predarea în săli de clasă cu grad mare de diversitate</w:t>
      </w:r>
      <w:r>
        <w:rPr>
          <w:rFonts w:ascii="Times New Roman" w:hAnsi="Times New Roman" w:cs="Times New Roman"/>
          <w:noProof/>
          <w:color w:val="000000"/>
          <w:sz w:val="24"/>
        </w:rPr>
        <w:t>, ca parte a programului de lucru Erasmus+ 2018.</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rPr>
      </w:pPr>
      <w:r>
        <w:rPr>
          <w:rFonts w:ascii="Times New Roman" w:hAnsi="Times New Roman" w:cs="Times New Roman"/>
          <w:noProof/>
          <w:color w:val="000000"/>
          <w:sz w:val="24"/>
        </w:rPr>
        <w:t xml:space="preserve">Va lua măsuri în urma observațiilor formulate de Comitetul Națiunilor Unite pentru drepturile persoanelor cu handicap, prin sprijinirea cooperării dintre </w:t>
      </w:r>
      <w:r>
        <w:rPr>
          <w:rFonts w:ascii="Times New Roman" w:hAnsi="Times New Roman" w:cs="Times New Roman"/>
          <w:b/>
          <w:noProof/>
          <w:color w:val="000000"/>
          <w:sz w:val="24"/>
        </w:rPr>
        <w:t>Agenția europeană pentru dezvoltarea educației incluzive dedicată persoanelor cu nevoi speciale</w:t>
      </w:r>
      <w:r>
        <w:rPr>
          <w:rFonts w:ascii="Times New Roman" w:hAnsi="Times New Roman" w:cs="Times New Roman"/>
          <w:noProof/>
          <w:color w:val="000000"/>
          <w:sz w:val="24"/>
        </w:rPr>
        <w:t xml:space="preserve"> și statele membre, la cererea acestora, în ceea ce privește punerea în aplicare a dispozițiilor în materie de educație din cadrul Convenției ONU privind drepturile persoanelor cu handicap.</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sz w:val="24"/>
        </w:rPr>
        <w:t xml:space="preserve">Va acorda sprijin în continuare statelor membre pentru ca acestea să poată oferi suficiente </w:t>
      </w:r>
      <w:r>
        <w:rPr>
          <w:rFonts w:ascii="Times New Roman" w:hAnsi="Times New Roman" w:cs="Times New Roman"/>
          <w:b/>
          <w:noProof/>
          <w:sz w:val="24"/>
        </w:rPr>
        <w:t>sisteme de înaltă calitate de educație și îngrijire a copiilor preșcolari</w:t>
      </w:r>
      <w:r>
        <w:rPr>
          <w:rFonts w:ascii="Times New Roman" w:hAnsi="Times New Roman" w:cs="Times New Roman"/>
          <w:noProof/>
          <w:sz w:val="24"/>
        </w:rPr>
        <w:t xml:space="preserve"> și își va intensifica eforturile pentru a le ajuta să învețe unele de la altele și să identifice metodele care dau cele mai bune rezultate.</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rPr>
        <w:t>2.1</w:t>
      </w:r>
      <w:r>
        <w:rPr>
          <w:rFonts w:ascii="Times New Roman" w:hAnsi="Times New Roman" w:cs="Times New Roman"/>
          <w:noProof/>
        </w:rPr>
        <w:tab/>
      </w:r>
      <w:r>
        <w:rPr>
          <w:rFonts w:ascii="Times New Roman" w:hAnsi="Times New Roman" w:cs="Times New Roman"/>
          <w:b/>
          <w:noProof/>
          <w:color w:val="000000"/>
          <w:sz w:val="24"/>
        </w:rPr>
        <w:t>Sprijinirea tuturor elevilor și dezvoltarea competențelor acestora</w:t>
      </w:r>
    </w:p>
    <w:p>
      <w:pPr>
        <w:keepNext/>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sz w:val="24"/>
        </w:rPr>
        <w:t>Toți tinerii trebuie să aibă șansa de a-și dezvolta întregul spectru de competențe-cheie.</w:t>
      </w:r>
      <w:r>
        <w:rPr>
          <w:rFonts w:ascii="Times New Roman" w:hAnsi="Times New Roman" w:cs="Times New Roman"/>
          <w:noProof/>
          <w:color w:val="000000"/>
          <w:sz w:val="24"/>
        </w:rPr>
        <w:t xml:space="preserve"> Acestea includ abilitatea de a citi și de a scrie, competențe în domeniul limbilor străine, competențe în matematică, științe, competențe digitale și de programare, precum și competențe civice și sociale, dar și competențe antreprenoriale și transversale, cum ar fi creativitatea și gândirea critică. În pofida importanței lor, nu toți tinerii își dezvoltă pe deplin aceste competențe. Cadrul european din 2006 privind competențele-cheie pentru învățarea pe tot parcursul vieții</w:t>
      </w:r>
      <w:r>
        <w:rPr>
          <w:rStyle w:val="FootnoteReference"/>
          <w:rFonts w:ascii="Times New Roman" w:hAnsi="Times New Roman"/>
          <w:noProof/>
          <w:color w:val="000000"/>
          <w:sz w:val="24"/>
        </w:rPr>
        <w:t xml:space="preserve"> </w:t>
      </w:r>
      <w:r>
        <w:rPr>
          <w:rStyle w:val="FootnoteReference"/>
          <w:rFonts w:ascii="Times New Roman" w:hAnsi="Times New Roman"/>
          <w:noProof/>
          <w:color w:val="000000"/>
          <w:sz w:val="24"/>
        </w:rPr>
        <w:footnoteReference w:id="15"/>
      </w:r>
      <w:r>
        <w:rPr>
          <w:rFonts w:ascii="Times New Roman" w:hAnsi="Times New Roman" w:cs="Times New Roman"/>
          <w:noProof/>
          <w:color w:val="000000"/>
          <w:sz w:val="24"/>
        </w:rPr>
        <w:t xml:space="preserve"> sprijină dobândirea acestor competențe. Revizuirea sa, anunțată în „Noua agendă pentru competențe”, va contribui la consolidarea în continuare a dezvoltării competențelor în domeniul educației și formării. Acest fapt necesită, de asemenea, o schimbare la nivelul școlilor cu privire la modul în care are loc învățarea.</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rPr>
        <w:t xml:space="preserve">Stabilirea unei legături între învățare și experiența de viață dă naștere unor rezultate mai bune. </w:t>
      </w:r>
      <w:r>
        <w:rPr>
          <w:rFonts w:ascii="Times New Roman" w:hAnsi="Times New Roman" w:cs="Times New Roman"/>
          <w:noProof/>
          <w:color w:val="000000"/>
          <w:sz w:val="24"/>
        </w:rPr>
        <w:t>Învățarea pornind de la proiecte și probleme, experiențele de la locul de muncă sau învățarea prin muncă în folosul comunității sporesc motivația tinerilor, introduc subiectul în context și oferă oportunități pentru dezvoltarea competențelor sociale, civice și antreprenoriale</w:t>
      </w:r>
      <w:r>
        <w:rPr>
          <w:rStyle w:val="FootnoteReference"/>
          <w:rFonts w:ascii="Times New Roman" w:hAnsi="Times New Roman"/>
          <w:noProof/>
          <w:color w:val="000000"/>
          <w:sz w:val="24"/>
        </w:rPr>
        <w:footnoteReference w:id="16"/>
      </w:r>
      <w:r>
        <w:rPr>
          <w:rFonts w:ascii="Times New Roman" w:hAnsi="Times New Roman" w:cs="Times New Roman"/>
          <w:noProof/>
        </w:rPr>
        <w:t>.</w:t>
      </w:r>
      <w:r>
        <w:rPr>
          <w:rFonts w:ascii="Times New Roman" w:hAnsi="Times New Roman" w:cs="Times New Roman"/>
          <w:noProof/>
          <w:color w:val="000000"/>
          <w:sz w:val="24"/>
        </w:rPr>
        <w:t xml:space="preserve"> Educația în domeniul științei, tehnologiilor, ingineriei și matematicii (STIM) este mai eficace atunci când este corelată cu provocări economice, de mediu și sociale sau cu artele și designul, demonstrându-și relevanța pentru viața de zi cu zi</w:t>
      </w:r>
      <w:r>
        <w:rPr>
          <w:rStyle w:val="FootnoteReference"/>
          <w:rFonts w:ascii="Times New Roman" w:hAnsi="Times New Roman"/>
          <w:noProof/>
          <w:color w:val="000000"/>
          <w:sz w:val="24"/>
        </w:rPr>
        <w:footnoteReference w:id="17"/>
      </w:r>
      <w:r>
        <w:rPr>
          <w:rFonts w:ascii="Times New Roman" w:hAnsi="Times New Roman" w:cs="Times New Roman"/>
          <w:noProof/>
        </w:rPr>
        <w:t>.</w:t>
      </w:r>
      <w:r>
        <w:rPr>
          <w:rFonts w:ascii="Times New Roman" w:hAnsi="Times New Roman" w:cs="Times New Roman"/>
          <w:noProof/>
          <w:color w:val="000000"/>
          <w:sz w:val="24"/>
        </w:rPr>
        <w:t xml:space="preserve"> </w:t>
      </w:r>
    </w:p>
    <w:p>
      <w:pPr>
        <w:autoSpaceDE w:val="0"/>
        <w:autoSpaceDN w:val="0"/>
        <w:adjustRightInd w:val="0"/>
        <w:spacing w:before="240" w:after="240" w:line="240" w:lineRule="auto"/>
        <w:jc w:val="both"/>
        <w:rPr>
          <w:rFonts w:ascii="Times New Roman" w:hAnsi="Times New Roman" w:cs="Times New Roman"/>
          <w:b/>
          <w:i/>
          <w:noProof/>
          <w:color w:val="000000"/>
          <w:sz w:val="24"/>
          <w:szCs w:val="24"/>
        </w:rPr>
      </w:pPr>
      <w:r>
        <w:rPr>
          <w:rFonts w:ascii="Times New Roman" w:hAnsi="Times New Roman" w:cs="Times New Roman"/>
          <w:b/>
          <w:noProof/>
          <w:color w:val="000000"/>
          <w:sz w:val="24"/>
        </w:rPr>
        <w:t xml:space="preserve">Tehnologiile digitale pot ameliora învățarea și pot sprijini inovarea în școli. </w:t>
      </w:r>
      <w:r>
        <w:rPr>
          <w:rFonts w:ascii="Times New Roman" w:hAnsi="Times New Roman" w:cs="Times New Roman"/>
          <w:noProof/>
          <w:color w:val="000000"/>
          <w:sz w:val="24"/>
        </w:rPr>
        <w:t>Utilizate în mod corespunzător, tehnologiile digitale pot îmbogăți experiențele de învățare și pot sprijini dezvoltarea dincolo de competențele digitale. Cu toate acestea, în prezent, doar un sfert dintre copiii din școlile europene sunt instruiți de cadre didactice care stăpânesc bine competențele digitale</w:t>
      </w:r>
      <w:r>
        <w:rPr>
          <w:rStyle w:val="FootnoteReference"/>
          <w:rFonts w:ascii="Times New Roman" w:hAnsi="Times New Roman"/>
          <w:noProof/>
          <w:color w:val="000000"/>
          <w:sz w:val="24"/>
        </w:rPr>
        <w:footnoteReference w:id="18"/>
      </w:r>
      <w:r>
        <w:rPr>
          <w:rFonts w:ascii="Times New Roman" w:hAnsi="Times New Roman" w:cs="Times New Roman"/>
          <w:noProof/>
        </w:rPr>
        <w:t>.</w:t>
      </w:r>
      <w:r>
        <w:rPr>
          <w:rFonts w:ascii="Times New Roman" w:hAnsi="Times New Roman" w:cs="Times New Roman"/>
          <w:noProof/>
          <w:color w:val="000000"/>
          <w:sz w:val="24"/>
        </w:rPr>
        <w:t xml:space="preserve"> Tehnologiile digitale pot sprijini comunicarea și cooperarea în cadrul școlilor și între școli și pot stimula participarea elevilor și a familiilor acestora la viața școlară. </w:t>
      </w:r>
    </w:p>
    <w:p>
      <w:pPr>
        <w:autoSpaceDE w:val="0"/>
        <w:autoSpaceDN w:val="0"/>
        <w:adjustRightInd w:val="0"/>
        <w:spacing w:before="240" w:after="240" w:line="240" w:lineRule="auto"/>
        <w:jc w:val="both"/>
        <w:rPr>
          <w:rFonts w:ascii="Times New Roman" w:hAnsi="Times New Roman" w:cs="Times New Roman"/>
          <w:b/>
          <w:i/>
          <w:noProof/>
          <w:color w:val="000000"/>
          <w:sz w:val="24"/>
        </w:rPr>
      </w:pPr>
      <w:r>
        <w:rPr>
          <w:rFonts w:ascii="Times New Roman" w:hAnsi="Times New Roman" w:cs="Times New Roman"/>
          <w:b/>
          <w:noProof/>
          <w:color w:val="000000"/>
          <w:sz w:val="24"/>
        </w:rPr>
        <w:t>Școlile trebuie să-i sprijine pe toți elevii și să răspundă nevoilor lor specifice</w:t>
      </w:r>
      <w:r>
        <w:rPr>
          <w:rFonts w:ascii="Times New Roman" w:hAnsi="Times New Roman" w:cs="Times New Roman"/>
          <w:noProof/>
          <w:color w:val="000000"/>
          <w:sz w:val="24"/>
        </w:rPr>
        <w:t>. Școlile care acordă atenție nevoilor diverse ale diferiților elevi obțin rezultate mai bune. Acest aspect are și o dimensiune legată de gen. Școlile care adoptă diversitatea lingvistică și culturală în rândul elevilor și sprijină integrarea au un efect pozitiv asupra capacității de învățare a tuturor copiilor</w:t>
      </w:r>
      <w:r>
        <w:rPr>
          <w:rStyle w:val="FootnoteReference"/>
          <w:rFonts w:ascii="Times New Roman" w:hAnsi="Times New Roman"/>
          <w:noProof/>
          <w:color w:val="000000"/>
          <w:sz w:val="24"/>
        </w:rPr>
        <w:footnoteReference w:id="19"/>
      </w:r>
      <w:r>
        <w:rPr>
          <w:rFonts w:ascii="Times New Roman" w:hAnsi="Times New Roman" w:cs="Times New Roman"/>
          <w:noProof/>
        </w:rPr>
        <w:t>.</w:t>
      </w:r>
      <w:r>
        <w:rPr>
          <w:rFonts w:ascii="Times New Roman" w:hAnsi="Times New Roman" w:cs="Times New Roman"/>
          <w:noProof/>
          <w:color w:val="000000"/>
          <w:sz w:val="24"/>
        </w:rPr>
        <w:t xml:space="preserve"> Totuși, aceasta nu este întotdeauna practica curentă. Unele state membre ale UE se confruntă cu dificultăți în a asigura accesul elevilor cu handicap la o educație favorabilă incluziunii și de calitate</w:t>
      </w:r>
      <w:r>
        <w:rPr>
          <w:rStyle w:val="FootnoteReference"/>
          <w:rFonts w:ascii="Times New Roman" w:hAnsi="Times New Roman"/>
          <w:noProof/>
          <w:color w:val="000000"/>
          <w:sz w:val="24"/>
        </w:rPr>
        <w:footnoteReference w:id="20"/>
      </w:r>
      <w:r>
        <w:rPr>
          <w:rFonts w:ascii="Times New Roman" w:hAnsi="Times New Roman" w:cs="Times New Roman"/>
          <w:noProof/>
        </w:rPr>
        <w:t>.</w:t>
      </w:r>
      <w:r>
        <w:rPr>
          <w:rFonts w:ascii="Times New Roman" w:hAnsi="Times New Roman" w:cs="Times New Roman"/>
          <w:noProof/>
          <w:color w:val="000000"/>
          <w:sz w:val="24"/>
        </w:rPr>
        <w:t xml:space="preserve"> În unele orașe și regiuni, un număr mare de elevi nu vorbesc și acasă limba de predare. În special copiii migranți nou-veniți au nevoie de programe specifice de limbă pentru o mai bună integrare în școală.</w:t>
      </w:r>
      <w:r>
        <w:rPr>
          <w:rFonts w:ascii="Times New Roman" w:hAnsi="Times New Roman" w:cs="Times New Roman"/>
          <w:noProof/>
          <w:color w:val="000000"/>
          <w:sz w:val="24"/>
          <w:vertAlign w:val="superscript"/>
        </w:rPr>
        <w:t xml:space="preserve"> </w:t>
      </w:r>
      <w:r>
        <w:rPr>
          <w:rFonts w:ascii="Times New Roman" w:hAnsi="Times New Roman" w:cs="Times New Roman"/>
          <w:noProof/>
          <w:color w:val="000000"/>
          <w:sz w:val="24"/>
          <w:vertAlign w:val="superscript"/>
        </w:rPr>
        <w:footnoteReference w:id="21"/>
      </w:r>
      <w:r>
        <w:rPr>
          <w:rFonts w:ascii="Times New Roman" w:hAnsi="Times New Roman" w:cs="Times New Roman"/>
          <w:noProof/>
          <w:color w:val="000000"/>
          <w:sz w:val="24"/>
        </w:rPr>
        <w:t xml:space="preserve"> În mai multe țări, romii și alte minorități etnice nu au acces la o educație de înaltă calitate. </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rPr>
        <w:t>2.2.</w:t>
      </w:r>
      <w:r>
        <w:rPr>
          <w:rFonts w:ascii="Times New Roman" w:hAnsi="Times New Roman" w:cs="Times New Roman"/>
          <w:noProof/>
        </w:rPr>
        <w:tab/>
      </w:r>
      <w:r>
        <w:rPr>
          <w:rFonts w:ascii="Times New Roman" w:hAnsi="Times New Roman" w:cs="Times New Roman"/>
          <w:b/>
          <w:noProof/>
          <w:color w:val="000000"/>
          <w:sz w:val="24"/>
        </w:rPr>
        <w:t>Consolidarea învățării prin deschiderea spre noi forme de cooperare</w:t>
      </w:r>
    </w:p>
    <w:p>
      <w:pPr>
        <w:autoSpaceDE w:val="0"/>
        <w:autoSpaceDN w:val="0"/>
        <w:adjustRightInd w:val="0"/>
        <w:spacing w:before="240" w:after="240" w:line="240" w:lineRule="auto"/>
        <w:jc w:val="both"/>
        <w:rPr>
          <w:rFonts w:ascii="Times New Roman" w:eastAsia="Calibri" w:hAnsi="Times New Roman" w:cs="Times New Roman"/>
          <w:b/>
          <w:noProof/>
          <w:color w:val="000000"/>
          <w:sz w:val="24"/>
          <w:szCs w:val="24"/>
        </w:rPr>
      </w:pPr>
      <w:r>
        <w:rPr>
          <w:rFonts w:ascii="Times New Roman" w:hAnsi="Times New Roman" w:cs="Times New Roman"/>
          <w:b/>
          <w:noProof/>
          <w:color w:val="000000"/>
          <w:sz w:val="24"/>
        </w:rPr>
        <w:t>Cooperarea oferă sprijin școlilor pentru ca aceștia să-și îmbogățească experiențele și rezultatele învățării și asigură mai mult sprijin tinerilor în dezvoltarea competențelor de care au nevoie.</w:t>
      </w:r>
      <w:r>
        <w:rPr>
          <w:rFonts w:ascii="Times New Roman" w:hAnsi="Times New Roman" w:cs="Times New Roman"/>
          <w:noProof/>
          <w:color w:val="000000"/>
          <w:sz w:val="24"/>
        </w:rPr>
        <w:t xml:space="preserve"> Aceasta include cooperarea cu serviciile locale, organizațiile comunitare, întreprinderile și universitățile, dar și cooperarea în cadrul școlilor. Tinerii care sunt expuși riscului de părăsire timpurie a școlii beneficiază de o cooperare strânsă cu serviciile sociale sau cu lucrătorii de tineret. Interacțiunea timpurie cu persoane care oferă orientare profesională, cu antreprenori și cadre didactice universitare îi ajută pe tineri să se pregătească pentru activitatea profesională viitoare și pentru studiile suplimentare</w:t>
      </w:r>
      <w:r>
        <w:rPr>
          <w:rStyle w:val="FootnoteReference"/>
          <w:rFonts w:ascii="Times New Roman" w:hAnsi="Times New Roman"/>
          <w:noProof/>
          <w:color w:val="000000"/>
          <w:sz w:val="24"/>
        </w:rPr>
        <w:footnoteReference w:id="22"/>
      </w:r>
      <w:r>
        <w:rPr>
          <w:rFonts w:ascii="Times New Roman" w:hAnsi="Times New Roman" w:cs="Times New Roman"/>
          <w:noProof/>
        </w:rPr>
        <w:t>.</w:t>
      </w:r>
      <w:r>
        <w:rPr>
          <w:rStyle w:val="FootnoteReference"/>
          <w:rFonts w:ascii="Times New Roman" w:hAnsi="Times New Roman"/>
          <w:noProof/>
          <w:color w:val="000000"/>
          <w:sz w:val="24"/>
        </w:rPr>
        <w:t xml:space="preserve"> </w:t>
      </w:r>
      <w:r>
        <w:rPr>
          <w:rFonts w:ascii="Times New Roman" w:hAnsi="Times New Roman" w:cs="Times New Roman"/>
          <w:noProof/>
          <w:color w:val="000000"/>
          <w:sz w:val="24"/>
        </w:rPr>
        <w:t>Elevii au de câștigat în domenii precum știința sau sportul atunci când alți furnizori de educație, întreprinderi și societatea civilă colaborează cu școlile lor</w:t>
      </w:r>
      <w:r>
        <w:rPr>
          <w:rStyle w:val="FootnoteReference"/>
          <w:rFonts w:ascii="Times New Roman" w:hAnsi="Times New Roman"/>
          <w:noProof/>
          <w:color w:val="000000"/>
          <w:sz w:val="24"/>
        </w:rPr>
        <w:footnoteReference w:id="23"/>
      </w:r>
      <w:r>
        <w:rPr>
          <w:rFonts w:ascii="Times New Roman" w:hAnsi="Times New Roman" w:cs="Times New Roman"/>
          <w:noProof/>
        </w:rPr>
        <w:t>.</w:t>
      </w:r>
      <w:r>
        <w:rPr>
          <w:rFonts w:ascii="Times New Roman" w:hAnsi="Times New Roman" w:cs="Times New Roman"/>
          <w:noProof/>
          <w:color w:val="000000"/>
          <w:sz w:val="24"/>
        </w:rPr>
        <w:t xml:space="preserve"> Cu toate acestea, nu toate școlile beneficiază de suficient sprijin extern sau susțin cooperarea necesară între propriile cadre didactice, personalul nedidactic, elevi și părinți</w:t>
      </w:r>
      <w:r>
        <w:rPr>
          <w:rStyle w:val="FootnoteReference"/>
          <w:rFonts w:ascii="Times New Roman" w:hAnsi="Times New Roman"/>
          <w:noProof/>
          <w:color w:val="000000"/>
          <w:sz w:val="24"/>
        </w:rPr>
        <w:footnoteReference w:id="24"/>
      </w:r>
      <w:r>
        <w:rPr>
          <w:rFonts w:ascii="Times New Roman" w:hAnsi="Times New Roman" w:cs="Times New Roman"/>
          <w:noProof/>
        </w:rPr>
        <w:t>.</w:t>
      </w:r>
      <w:r>
        <w:rPr>
          <w:rFonts w:ascii="Times New Roman" w:hAnsi="Times New Roman" w:cs="Times New Roman"/>
          <w:b/>
          <w:noProof/>
          <w:color w:val="000000"/>
          <w:sz w:val="24"/>
        </w:rPr>
        <w:t xml:space="preserve"> </w:t>
      </w:r>
    </w:p>
    <w:p>
      <w:pPr>
        <w:spacing w:after="120" w:line="240" w:lineRule="auto"/>
        <w:jc w:val="both"/>
        <w:rPr>
          <w:rFonts w:ascii="Times New Roman" w:eastAsia="SimSun" w:hAnsi="Times New Roman" w:cs="Times New Roman"/>
          <w:noProof/>
          <w:color w:val="000000"/>
          <w:sz w:val="24"/>
          <w:szCs w:val="24"/>
        </w:rPr>
      </w:pPr>
      <w:r>
        <w:rPr>
          <w:rFonts w:ascii="Times New Roman" w:hAnsi="Times New Roman" w:cs="Times New Roman"/>
          <w:b/>
          <w:noProof/>
          <w:color w:val="000000"/>
          <w:sz w:val="24"/>
        </w:rPr>
        <w:t>Agresivitatea, hărțuirea pe internet și violența afectează starea de bine a copilului și reușita sa școlară.</w:t>
      </w:r>
      <w:r>
        <w:rPr>
          <w:rFonts w:ascii="Times New Roman" w:hAnsi="Times New Roman" w:cs="Times New Roman"/>
          <w:noProof/>
          <w:color w:val="000000"/>
          <w:sz w:val="24"/>
          <w:vertAlign w:val="superscript"/>
        </w:rPr>
        <w:footnoteReference w:id="25"/>
      </w:r>
      <w:r>
        <w:rPr>
          <w:rFonts w:ascii="Times New Roman" w:hAnsi="Times New Roman" w:cs="Times New Roman"/>
          <w:b/>
          <w:noProof/>
          <w:color w:val="000000"/>
          <w:sz w:val="24"/>
        </w:rPr>
        <w:t xml:space="preserve"> </w:t>
      </w:r>
      <w:r>
        <w:rPr>
          <w:rFonts w:ascii="Times New Roman" w:hAnsi="Times New Roman" w:cs="Times New Roman"/>
          <w:noProof/>
          <w:color w:val="000000"/>
          <w:sz w:val="24"/>
        </w:rPr>
        <w:t>Starea bună fizică și mentală reprezintă o condiție prealabilă pentru a obține reușite în procesul de învățare.</w:t>
      </w:r>
      <w:r>
        <w:rPr>
          <w:rFonts w:ascii="Times New Roman" w:hAnsi="Times New Roman" w:cs="Times New Roman"/>
          <w:noProof/>
        </w:rPr>
        <w:t xml:space="preserve"> </w:t>
      </w:r>
      <w:r>
        <w:rPr>
          <w:rFonts w:ascii="Times New Roman" w:hAnsi="Times New Roman" w:cs="Times New Roman"/>
          <w:noProof/>
          <w:color w:val="000000"/>
          <w:sz w:val="24"/>
        </w:rPr>
        <w:t>Datele concrete arată că strategiile care îi implică pe cadrele didactice și pe părinți sunt cele mai eficace în combaterea tuturor formelor de agresivitate</w:t>
      </w:r>
      <w:r>
        <w:rPr>
          <w:rFonts w:ascii="Times New Roman" w:hAnsi="Times New Roman" w:cs="Times New Roman"/>
          <w:noProof/>
          <w:color w:val="000000"/>
          <w:sz w:val="24"/>
          <w:vertAlign w:val="superscript"/>
        </w:rPr>
        <w:footnoteReference w:id="26"/>
      </w:r>
      <w:r>
        <w:rPr>
          <w:rFonts w:ascii="Times New Roman" w:hAnsi="Times New Roman" w:cs="Times New Roman"/>
          <w:noProof/>
          <w:color w:val="000000"/>
          <w:sz w:val="24"/>
        </w:rPr>
        <w:t xml:space="preserve">. Pentru a elimina comportamentul agresiv și violența, copiii trebuie să învețe despre toleranță și diversitate. Același lucru este valabil și pentru siguranța online și pentru utilizarea responsabilă a platformelor de comunicare socială. </w:t>
      </w:r>
    </w:p>
    <w:p>
      <w:pPr>
        <w:autoSpaceDE w:val="0"/>
        <w:autoSpaceDN w:val="0"/>
        <w:adjustRightInd w:val="0"/>
        <w:spacing w:before="240" w:after="24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rPr>
        <w:t>Aplicarea unei abordări la nivelul întregii școli îmbunătățește rezultatele învățării, incluziunea și echitatea</w:t>
      </w:r>
      <w:r>
        <w:rPr>
          <w:rStyle w:val="FootnoteReference"/>
          <w:rFonts w:ascii="Times New Roman" w:hAnsi="Times New Roman"/>
          <w:noProof/>
          <w:color w:val="000000"/>
          <w:sz w:val="24"/>
        </w:rPr>
        <w:footnoteReference w:id="27"/>
      </w:r>
      <w:r>
        <w:rPr>
          <w:rFonts w:ascii="Times New Roman" w:hAnsi="Times New Roman" w:cs="Times New Roman"/>
          <w:noProof/>
        </w:rPr>
        <w:t>.</w:t>
      </w:r>
      <w:r>
        <w:rPr>
          <w:rFonts w:ascii="Times New Roman" w:hAnsi="Times New Roman" w:cs="Times New Roman"/>
          <w:noProof/>
          <w:color w:val="000000"/>
          <w:sz w:val="24"/>
        </w:rPr>
        <w:t xml:space="preserve"> Prin această abordare, întreaga școală, împreună cu părțile interesate externe și comunitatea locală, se implică în îmbunătățirea calității școlare. Platformele online „Setul european de instrumente școlare” și „School Education Gateway” (Platforma europeană online dedicată învățământului preuniversitar) sprijină această abordare și sunt disponibile pe bază facultativă pentru toate școlile europene, sprijinind schimburile de experiență între colegi și contribuind la îmbunătățirea metodelor de organizare, a practicilor de predare și a experiențelor de învățare</w:t>
      </w:r>
      <w:r>
        <w:rPr>
          <w:rStyle w:val="FootnoteReference"/>
          <w:rFonts w:ascii="Times New Roman" w:hAnsi="Times New Roman"/>
          <w:noProof/>
          <w:color w:val="000000"/>
          <w:sz w:val="24"/>
        </w:rPr>
        <w:footnoteReference w:id="28"/>
      </w:r>
      <w:r>
        <w:rPr>
          <w:rFonts w:ascii="Times New Roman" w:hAnsi="Times New Roman" w:cs="Times New Roman"/>
          <w:noProof/>
        </w:rPr>
        <w:t>.</w:t>
      </w:r>
      <w:r>
        <w:rPr>
          <w:rFonts w:ascii="Times New Roman" w:hAnsi="Times New Roman" w:cs="Times New Roman"/>
          <w:noProof/>
          <w:color w:val="000000"/>
          <w:sz w:val="24"/>
        </w:rPr>
        <w:t xml:space="preserve"> Programul Erasmus+ sprijină parteneriatele școlare europene, ajutând școlile să își extindă relațiile și să permită schimbul transfrontalier de experiență între colegi.</w:t>
      </w:r>
      <w:r>
        <w:rPr>
          <w:rFonts w:ascii="Times New Roman" w:hAnsi="Times New Roman" w:cs="Times New Roman"/>
          <w:noProof/>
          <w:color w:val="000000"/>
          <w:sz w:val="24"/>
          <w:vertAlign w:val="superscript"/>
        </w:rPr>
        <w:t xml:space="preserve"> </w:t>
      </w:r>
      <w:r>
        <w:rPr>
          <w:rFonts w:ascii="Times New Roman" w:hAnsi="Times New Roman" w:cs="Times New Roman"/>
          <w:noProof/>
          <w:color w:val="000000"/>
          <w:sz w:val="24"/>
          <w:vertAlign w:val="superscript"/>
        </w:rPr>
        <w:footnoteReference w:id="29"/>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i/>
          <w:noProof/>
          <w:color w:val="000000"/>
          <w:sz w:val="24"/>
          <w:szCs w:val="24"/>
        </w:rPr>
      </w:pPr>
      <w:r>
        <w:rPr>
          <w:rFonts w:ascii="Times New Roman" w:hAnsi="Times New Roman" w:cs="Times New Roman"/>
          <w:b/>
          <w:i/>
          <w:noProof/>
          <w:color w:val="000000"/>
          <w:sz w:val="24"/>
        </w:rPr>
        <w:t>eTwinning</w:t>
      </w:r>
      <w:r>
        <w:rPr>
          <w:rStyle w:val="FootnoteReference"/>
          <w:rFonts w:ascii="Times New Roman" w:hAnsi="Times New Roman"/>
          <w:noProof/>
          <w:color w:val="000000"/>
          <w:sz w:val="24"/>
        </w:rPr>
        <w:footnoteReference w:id="30"/>
      </w:r>
      <w:r>
        <w:rPr>
          <w:rFonts w:ascii="Times New Roman" w:hAnsi="Times New Roman" w:cs="Times New Roman"/>
          <w:i/>
          <w:noProof/>
          <w:color w:val="000000"/>
          <w:sz w:val="24"/>
        </w:rPr>
        <w:t xml:space="preserve"> este cea mai mare comunitate de școli din Europa. Peste 460 000 de cadre didactice și 4 din 10 școli din Europa au luat deja parte la această platformă. Oferind un mediu online sigur pentru proiecte transfrontaliere în domeniul educației, eTwinning pune la dispoziția școlilor instrumente ușor accesibile pentru ca acestea să își îmbunătățească oferta</w:t>
      </w:r>
      <w:r>
        <w:rPr>
          <w:rFonts w:ascii="Times New Roman" w:hAnsi="Times New Roman" w:cs="Times New Roman"/>
          <w:i/>
          <w:noProof/>
        </w:rPr>
        <w:t xml:space="preserve"> </w:t>
      </w:r>
      <w:r>
        <w:rPr>
          <w:rFonts w:ascii="Times New Roman" w:hAnsi="Times New Roman" w:cs="Times New Roman"/>
          <w:i/>
          <w:noProof/>
          <w:color w:val="000000"/>
          <w:sz w:val="24"/>
        </w:rPr>
        <w:t>de învățare digitală și pentru a sprijini contactele interculturale și transfrontaliere între cadre didactice și elevi. Integrarea utilizării sale în toate școlile din Europa poate contribui la stimularea competențelor digitale și la deschiderea sălilor de clasă.</w:t>
      </w:r>
    </w:p>
    <w:p>
      <w:pPr>
        <w:keepNext/>
        <w:autoSpaceDE w:val="0"/>
        <w:autoSpaceDN w:val="0"/>
        <w:adjustRightInd w:val="0"/>
        <w:spacing w:before="240" w:after="240"/>
        <w:rPr>
          <w:rFonts w:ascii="Times New Roman" w:hAnsi="Times New Roman" w:cs="Times New Roman"/>
          <w:b/>
          <w:noProof/>
          <w:color w:val="000000"/>
          <w:sz w:val="16"/>
          <w:szCs w:val="16"/>
          <w:u w:val="single"/>
        </w:rPr>
      </w:pPr>
      <w:r>
        <w:rPr>
          <w:rFonts w:ascii="Times New Roman" w:hAnsi="Times New Roman" w:cs="Times New Roman"/>
          <w:b/>
          <w:noProof/>
          <w:color w:val="000000"/>
          <w:sz w:val="24"/>
        </w:rPr>
        <w:t>2.3</w:t>
      </w:r>
      <w:r>
        <w:rPr>
          <w:rFonts w:ascii="Times New Roman" w:hAnsi="Times New Roman" w:cs="Times New Roman"/>
          <w:noProof/>
        </w:rPr>
        <w:tab/>
      </w:r>
      <w:r>
        <w:rPr>
          <w:rFonts w:ascii="Times New Roman" w:hAnsi="Times New Roman" w:cs="Times New Roman"/>
          <w:b/>
          <w:noProof/>
          <w:color w:val="000000"/>
          <w:sz w:val="24"/>
        </w:rPr>
        <w:t>Îmbunătățirea accesului la servicii de educație și îngrijire a copiilor preșcolari și a calității acestor servicii</w:t>
      </w:r>
    </w:p>
    <w:p>
      <w:pPr>
        <w:keepNext/>
        <w:spacing w:before="120" w:after="120" w:line="240" w:lineRule="auto"/>
        <w:jc w:val="both"/>
        <w:rPr>
          <w:rFonts w:ascii="Times New Roman" w:hAnsi="Times New Roman" w:cs="Times New Roman"/>
          <w:noProof/>
        </w:rPr>
      </w:pPr>
      <w:r>
        <w:rPr>
          <w:rFonts w:ascii="Times New Roman" w:hAnsi="Times New Roman" w:cs="Times New Roman"/>
          <w:b/>
          <w:noProof/>
          <w:sz w:val="24"/>
        </w:rPr>
        <w:t>Serviciile de înaltă calitate de educație și îngrijire a copiilor preșcolari pun bazele unui sistem de învățământ eficace și echitabil.</w:t>
      </w:r>
      <w:r>
        <w:rPr>
          <w:rFonts w:ascii="Times New Roman" w:hAnsi="Times New Roman" w:cs="Times New Roman"/>
          <w:b/>
          <w:noProof/>
        </w:rPr>
        <w:t xml:space="preserve"> </w:t>
      </w:r>
      <w:r>
        <w:rPr>
          <w:rFonts w:ascii="Times New Roman" w:hAnsi="Times New Roman" w:cs="Times New Roman"/>
          <w:noProof/>
          <w:sz w:val="24"/>
        </w:rPr>
        <w:t>Acest sistem pregătește copiii pentru învățământul primar, sporește performanța academică la toate nivelurile viitoare și are un impact deosebit de benefic asupra copiilor proveniți din medii defavorizate și din familii de migranți.</w:t>
      </w:r>
      <w:r>
        <w:rPr>
          <w:rFonts w:ascii="Times New Roman" w:hAnsi="Times New Roman" w:cs="Times New Roman"/>
          <w:noProof/>
        </w:rPr>
        <w:t xml:space="preserve"> </w:t>
      </w:r>
      <w:r>
        <w:rPr>
          <w:rFonts w:ascii="Times New Roman" w:hAnsi="Times New Roman" w:cs="Times New Roman"/>
          <w:noProof/>
          <w:sz w:val="24"/>
        </w:rPr>
        <w:t>PISA arată că tinerii în vârstă de 15 ani care nu au frecventat învățământul preșcolar prezintă un risc de trei ori mai mare de a avea performanțe scăzute decât cei care l-au frecventat mai mult de un an</w:t>
      </w:r>
      <w:r>
        <w:rPr>
          <w:rStyle w:val="FootnoteReference"/>
          <w:rFonts w:ascii="Times New Roman" w:hAnsi="Times New Roman"/>
          <w:noProof/>
          <w:sz w:val="24"/>
        </w:rPr>
        <w:footnoteReference w:id="31"/>
      </w:r>
      <w:r>
        <w:rPr>
          <w:rFonts w:ascii="Times New Roman" w:hAnsi="Times New Roman" w:cs="Times New Roman"/>
          <w:noProof/>
        </w:rPr>
        <w:t>.</w:t>
      </w:r>
      <w:r>
        <w:rPr>
          <w:rFonts w:ascii="Times New Roman" w:hAnsi="Times New Roman" w:cs="Times New Roman"/>
          <w:noProof/>
          <w:sz w:val="24"/>
        </w:rPr>
        <w:t xml:space="preserve"> Investind în educația și îngrijirea copiilor preșcolari se reduce necesitatea unor cheltuieli mai mari în etapele ulterioare ale școlarizării, atunci când costurile pentru eliminarea diferențelor dintre performanțele ridicate și cele scăzute ale elevilor sunt mai semnificative</w:t>
      </w:r>
      <w:r>
        <w:rPr>
          <w:rStyle w:val="FootnoteReference"/>
          <w:rFonts w:ascii="Times New Roman" w:hAnsi="Times New Roman"/>
          <w:noProof/>
          <w:sz w:val="24"/>
        </w:rPr>
        <w:footnoteReference w:id="32"/>
      </w:r>
      <w:r>
        <w:rPr>
          <w:rFonts w:ascii="Times New Roman" w:hAnsi="Times New Roman" w:cs="Times New Roman"/>
          <w:noProof/>
        </w:rPr>
        <w:t>.</w:t>
      </w:r>
      <w:r>
        <w:rPr>
          <w:rFonts w:ascii="Times New Roman" w:hAnsi="Times New Roman" w:cs="Times New Roman"/>
          <w:noProof/>
          <w:sz w:val="24"/>
        </w:rPr>
        <w:t xml:space="preserve"> </w:t>
      </w:r>
    </w:p>
    <w:p>
      <w:pPr>
        <w:pStyle w:val="Text1"/>
        <w:spacing w:after="120"/>
        <w:ind w:left="0"/>
        <w:rPr>
          <w:noProof/>
          <w:szCs w:val="24"/>
        </w:rPr>
      </w:pPr>
      <w:r>
        <w:rPr>
          <w:b/>
          <w:noProof/>
        </w:rPr>
        <w:t xml:space="preserve">Furnizarea de servicii de înaltă calitate de educație și îngrijire a copiilor preșcolari și accesul la acestea reprezintă o provocare. </w:t>
      </w:r>
      <w:r>
        <w:rPr>
          <w:noProof/>
        </w:rPr>
        <w:t>Participarea la educația și îngrijirea copiilor preșcolari a crescut,</w:t>
      </w:r>
      <w:r>
        <w:rPr>
          <w:rStyle w:val="FootnoteReference"/>
          <w:noProof/>
        </w:rPr>
        <w:footnoteReference w:id="33"/>
      </w:r>
      <w:r>
        <w:rPr>
          <w:noProof/>
        </w:rPr>
        <w:t xml:space="preserve"> dar rămâne problematică pentru copiii sub vârsta de trei ani și în special pentru copiii defavorizați. Participarea, accesibilitatea și calitatea sunt distribuite inegal în interiorul statelor membre și între acestea. În 25 de state membre, cererea de servicii de îngrijire a copiilor preșcolari este mai mare decât oferta; calitatea deficitară este adesea legată de calificarea necorespunzătoare a personalului și de posibilitățile limitate de dezvoltare profesională</w:t>
      </w:r>
      <w:r>
        <w:rPr>
          <w:rStyle w:val="FootnoteReference"/>
          <w:noProof/>
        </w:rPr>
        <w:footnoteReference w:id="34"/>
      </w:r>
      <w:r>
        <w:rPr>
          <w:noProof/>
        </w:rPr>
        <w:t>. Experții din statele membre și Comisia Europeană au identificat împreună principii legate de calitate și cinci domenii-cheie de acțiune: accesul, forța de muncă, programa, evaluarea și monitorizarea, guvernanța și finanțarea</w:t>
      </w:r>
      <w:r>
        <w:rPr>
          <w:rStyle w:val="FootnoteReference"/>
          <w:noProof/>
        </w:rPr>
        <w:footnoteReference w:id="35"/>
      </w:r>
      <w:r>
        <w:rPr>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rPr>
        <w:t xml:space="preserve">Punerea în aplicare a acestor orientări ar contribui în mod semnificativ la rezultatele în materie de educație ale copiilor de vârstă mică, oferind tuturor copiilor, inclusiv celor care provin din medii vulnerabile, un impuls pentru reușita școlară. </w:t>
      </w:r>
    </w:p>
    <w:p>
      <w:pPr>
        <w:spacing w:after="120" w:line="240" w:lineRule="auto"/>
        <w:jc w:val="both"/>
        <w:rPr>
          <w:rFonts w:ascii="Times New Roman" w:hAnsi="Times New Roman" w:cs="Times New Roman"/>
          <w:noProof/>
          <w:color w:val="000000"/>
          <w:sz w:val="24"/>
          <w:szCs w:val="24"/>
        </w:rPr>
      </w:pPr>
    </w:p>
    <w:p>
      <w:pPr>
        <w:keepNext/>
        <w:spacing w:after="0" w:line="240" w:lineRule="auto"/>
        <w:rPr>
          <w:rFonts w:ascii="Times New Roman" w:hAnsi="Times New Roman" w:cs="Times New Roman"/>
          <w:b/>
          <w:noProof/>
          <w:color w:val="000000"/>
          <w:sz w:val="24"/>
          <w:szCs w:val="24"/>
        </w:rPr>
      </w:pPr>
      <w:r>
        <w:rPr>
          <w:rFonts w:ascii="Times New Roman" w:hAnsi="Times New Roman" w:cs="Times New Roman"/>
          <w:b/>
          <w:noProof/>
          <w:color w:val="000000"/>
          <w:sz w:val="24"/>
        </w:rPr>
        <w:t>3. Sprijinirea cadrelor didactice și a directorilor de școli pentru ca aceștia să obțină o calitate excelentă a predării și a învățării</w:t>
      </w:r>
    </w:p>
    <w:p>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rPr>
        <w:t>Pentru a completa acțiunile întreprinse de statele membre, Comisia:</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b/>
          <w:noProof/>
          <w:color w:val="000000"/>
          <w:sz w:val="24"/>
        </w:rPr>
      </w:pPr>
      <w:r>
        <w:rPr>
          <w:rFonts w:ascii="Times New Roman" w:hAnsi="Times New Roman" w:cs="Times New Roman"/>
          <w:b/>
          <w:noProof/>
          <w:color w:val="000000"/>
          <w:sz w:val="24"/>
        </w:rPr>
        <w:t>Va oferi orientări de politică privind carierele și dezvoltarea profesională ale cadrelor didactice și directorilor de școli,</w:t>
      </w:r>
      <w:r>
        <w:rPr>
          <w:rFonts w:ascii="Times New Roman" w:hAnsi="Times New Roman" w:cs="Times New Roman"/>
          <w:noProof/>
          <w:color w:val="000000"/>
          <w:sz w:val="24"/>
        </w:rPr>
        <w:t xml:space="preserve"> prin consolidarea învățării reciproce în cadrul programului Educație și formare profesională 2020 printr-o serie de seminare la nivel de experți și prin conectarea acestei învățări reciproce la dialogul social european sectorial în domeniul educației;</w:t>
      </w:r>
    </w:p>
    <w:p>
      <w:pPr>
        <w:pStyle w:val="ListParagraph"/>
        <w:keepNext/>
        <w:keepLines/>
        <w:numPr>
          <w:ilvl w:val="0"/>
          <w:numId w:val="2"/>
        </w:numPr>
        <w:pBdr>
          <w:top w:val="single" w:sz="4" w:space="1" w:color="auto"/>
          <w:left w:val="single" w:sz="4" w:space="4" w:color="auto"/>
          <w:bottom w:val="single" w:sz="4" w:space="1" w:color="auto"/>
          <w:right w:val="single" w:sz="4" w:space="4" w:color="auto"/>
        </w:pBdr>
        <w:spacing w:before="200" w:line="240" w:lineRule="auto"/>
        <w:ind w:left="284" w:hanging="284"/>
        <w:jc w:val="both"/>
        <w:outlineLvl w:val="4"/>
        <w:rPr>
          <w:rFonts w:ascii="Times New Roman" w:hAnsi="Times New Roman" w:cs="Times New Roman"/>
          <w:noProof/>
          <w:color w:val="000000"/>
          <w:sz w:val="28"/>
          <w:szCs w:val="24"/>
        </w:rPr>
      </w:pPr>
      <w:r>
        <w:rPr>
          <w:rFonts w:ascii="Times New Roman" w:hAnsi="Times New Roman" w:cs="Times New Roman"/>
          <w:b/>
          <w:noProof/>
          <w:color w:val="000000"/>
          <w:sz w:val="24"/>
        </w:rPr>
        <w:t>Va simplifica accesul și va promova oportunități pentru viitoarele cadre didactice pentru ca acestea să dobândească experiență didactică practică</w:t>
      </w:r>
      <w:r>
        <w:rPr>
          <w:rFonts w:ascii="Times New Roman" w:hAnsi="Times New Roman" w:cs="Times New Roman"/>
          <w:noProof/>
          <w:color w:val="000000"/>
          <w:sz w:val="24"/>
        </w:rPr>
        <w:t xml:space="preserve"> </w:t>
      </w:r>
      <w:r>
        <w:rPr>
          <w:rFonts w:ascii="Times New Roman" w:hAnsi="Times New Roman" w:cs="Times New Roman"/>
          <w:b/>
          <w:noProof/>
          <w:color w:val="000000"/>
          <w:sz w:val="24"/>
        </w:rPr>
        <w:t>în străinătate</w:t>
      </w:r>
      <w:r>
        <w:rPr>
          <w:rFonts w:ascii="Times New Roman" w:hAnsi="Times New Roman" w:cs="Times New Roman"/>
          <w:noProof/>
          <w:color w:val="000000"/>
          <w:sz w:val="24"/>
        </w:rPr>
        <w:t xml:space="preserve"> cu sprijinul programului Erasmus+;</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cs="Times New Roman"/>
          <w:noProof/>
          <w:color w:val="000000"/>
          <w:sz w:val="24"/>
          <w:szCs w:val="24"/>
        </w:rPr>
      </w:pPr>
      <w:r>
        <w:rPr>
          <w:rFonts w:ascii="Times New Roman" w:hAnsi="Times New Roman" w:cs="Times New Roman"/>
          <w:noProof/>
          <w:color w:val="000000"/>
          <w:sz w:val="24"/>
        </w:rPr>
        <w:t>Va crea</w:t>
      </w:r>
      <w:r>
        <w:rPr>
          <w:rFonts w:ascii="Times New Roman" w:hAnsi="Times New Roman" w:cs="Times New Roman"/>
          <w:b/>
          <w:noProof/>
          <w:color w:val="000000"/>
          <w:sz w:val="24"/>
        </w:rPr>
        <w:t xml:space="preserve"> comunități și resurse online</w:t>
      </w:r>
      <w:r>
        <w:rPr>
          <w:rFonts w:ascii="Times New Roman" w:hAnsi="Times New Roman" w:cs="Times New Roman"/>
          <w:noProof/>
          <w:color w:val="000000"/>
          <w:sz w:val="24"/>
        </w:rPr>
        <w:t xml:space="preserve"> pentru personalul didactic, inclusiv noi oportunități privind eTwinning pentru studenții viitoare cadre didactice, rețele online pentru cadrele didactice aflate la început de carieră și mentorii acestora, cursuri online (inclusiv MOOC), schimburi de bune practici între furnizorii de cursuri de formare inițială a cadrelor didactice și un cadru de competențe digitale pentru a sprijini autoevaluarea și dezvoltarea cadrelor didactice;</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eastAsiaTheme="majorEastAsia" w:hAnsi="Times New Roman" w:cs="Times New Roman"/>
          <w:noProof/>
          <w:color w:val="000000"/>
          <w:sz w:val="24"/>
        </w:rPr>
      </w:pPr>
      <w:r>
        <w:rPr>
          <w:rFonts w:ascii="Times New Roman" w:hAnsi="Times New Roman" w:cs="Times New Roman"/>
          <w:noProof/>
          <w:color w:val="000000"/>
          <w:sz w:val="24"/>
        </w:rPr>
        <w:t xml:space="preserve">Va dezvolta în continuare sinergii </w:t>
      </w:r>
      <w:r>
        <w:rPr>
          <w:rFonts w:ascii="Times New Roman" w:hAnsi="Times New Roman" w:cs="Times New Roman"/>
          <w:b/>
          <w:noProof/>
          <w:color w:val="000000"/>
          <w:sz w:val="24"/>
        </w:rPr>
        <w:t>cu OCDE pentru a obține date comparative comune privind personalul didactic</w:t>
      </w:r>
      <w:r>
        <w:rPr>
          <w:rFonts w:ascii="Times New Roman" w:hAnsi="Times New Roman" w:cs="Times New Roman"/>
          <w:noProof/>
          <w:color w:val="000000"/>
          <w:sz w:val="24"/>
        </w:rPr>
        <w:t>, inclusiv printr-o colectare mai eficientă a datelor comune de către Eurydice</w:t>
      </w:r>
      <w:r>
        <w:rPr>
          <w:rStyle w:val="FootnoteReference"/>
          <w:rFonts w:ascii="Times New Roman" w:hAnsi="Times New Roman"/>
          <w:noProof/>
          <w:color w:val="000000"/>
          <w:sz w:val="24"/>
        </w:rPr>
        <w:footnoteReference w:id="36"/>
      </w:r>
      <w:r>
        <w:rPr>
          <w:rFonts w:ascii="Times New Roman" w:hAnsi="Times New Roman" w:cs="Times New Roman"/>
          <w:noProof/>
          <w:color w:val="000000"/>
          <w:sz w:val="24"/>
        </w:rPr>
        <w:t xml:space="preserve"> și OCDE cu privire la cadrele didactice și la directorii de școli.</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rPr>
        <w:t>3.1. Îmbunătățirea atractivității profesiei de cadru didactic</w:t>
      </w:r>
    </w:p>
    <w:p>
      <w:pPr>
        <w:keepNext/>
        <w:spacing w:after="12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rPr>
        <w:t>Cadrele didactice cu performanțe ridicate, motivate și apreciate stau la baza excelenței în educație.</w:t>
      </w:r>
      <w:r>
        <w:rPr>
          <w:rFonts w:ascii="Times New Roman" w:hAnsi="Times New Roman" w:cs="Times New Roman"/>
          <w:noProof/>
          <w:color w:val="000000"/>
          <w:sz w:val="24"/>
        </w:rPr>
        <w:t xml:space="preserve"> O scădere a prestigiului profesiei și lipsa de personal reprezintă însă provocări în multe state membre, acestea conducând la stagnarea calității învățământului</w:t>
      </w:r>
      <w:r>
        <w:rPr>
          <w:rStyle w:val="FootnoteReference"/>
          <w:rFonts w:ascii="Times New Roman" w:hAnsi="Times New Roman"/>
          <w:noProof/>
          <w:color w:val="000000"/>
          <w:sz w:val="24"/>
        </w:rPr>
        <w:footnoteReference w:id="37"/>
      </w:r>
      <w:r>
        <w:rPr>
          <w:rFonts w:ascii="Times New Roman" w:hAnsi="Times New Roman" w:cs="Times New Roman"/>
          <w:noProof/>
        </w:rPr>
        <w:t>.</w:t>
      </w:r>
      <w:r>
        <w:rPr>
          <w:rFonts w:ascii="Times New Roman" w:hAnsi="Times New Roman" w:cs="Times New Roman"/>
          <w:noProof/>
          <w:color w:val="000000"/>
          <w:sz w:val="24"/>
        </w:rPr>
        <w:t xml:space="preserve"> Majoritatea statelor membre urmăresc să atragă o gamă mai largă de candidați eligibili înspre profesia de cadru didactic, să îi motiveze și să îi sprijine pentru a excela în această profesie exigentă.</w:t>
      </w:r>
      <w:r>
        <w:rPr>
          <w:rFonts w:ascii="Times New Roman" w:hAnsi="Times New Roman" w:cs="Times New Roman"/>
          <w:b/>
          <w:noProof/>
          <w:color w:val="000000"/>
          <w:sz w:val="24"/>
        </w:rPr>
        <w:t xml:space="preserve"> </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rPr>
        <w:t>Îmbunătățirea selecției și a recrutării poate contribui la identificarea celor mai potriviți candidați pentru realizarea activității didactice și la aducerea în cadrul profesiei a unui spectru mai larg de experiențe.</w:t>
      </w:r>
      <w:r>
        <w:rPr>
          <w:rFonts w:ascii="Times New Roman" w:hAnsi="Times New Roman" w:cs="Times New Roman"/>
          <w:noProof/>
          <w:color w:val="000000"/>
          <w:sz w:val="24"/>
        </w:rPr>
        <w:t xml:space="preserve"> Unele țări îi evaluează pe candidați pe baza unei game mai largi de aptitudini și atitudini, în plus față de meritele lor academice</w:t>
      </w:r>
      <w:r>
        <w:rPr>
          <w:rStyle w:val="FootnoteReference"/>
          <w:rFonts w:ascii="Times New Roman" w:hAnsi="Times New Roman"/>
          <w:noProof/>
          <w:color w:val="000000"/>
          <w:sz w:val="24"/>
        </w:rPr>
        <w:footnoteReference w:id="38"/>
      </w:r>
      <w:r>
        <w:rPr>
          <w:rFonts w:ascii="Times New Roman" w:hAnsi="Times New Roman" w:cs="Times New Roman"/>
          <w:noProof/>
        </w:rPr>
        <w:t>.</w:t>
      </w:r>
      <w:r>
        <w:rPr>
          <w:rFonts w:ascii="Times New Roman" w:hAnsi="Times New Roman" w:cs="Times New Roman"/>
          <w:noProof/>
          <w:color w:val="000000"/>
          <w:sz w:val="24"/>
        </w:rPr>
        <w:t xml:space="preserve"> Acolo unde este important pentru statele membre, această evaluare poate fi însoțită de eforturi pentru a aborda dezechilibrul semnificativ de gen în cadrul activității didactice și pentru a atrage cadre didactice noi din alte profesii și din grupurile subreprezentate. </w:t>
      </w:r>
    </w:p>
    <w:p>
      <w:pPr>
        <w:spacing w:line="240" w:lineRule="auto"/>
        <w:jc w:val="both"/>
        <w:rPr>
          <w:rFonts w:ascii="Times New Roman" w:hAnsi="Times New Roman" w:cs="Times New Roman"/>
          <w:noProof/>
          <w:sz w:val="24"/>
          <w:szCs w:val="24"/>
        </w:rPr>
      </w:pPr>
      <w:r>
        <w:rPr>
          <w:rFonts w:ascii="Times New Roman" w:hAnsi="Times New Roman" w:cs="Times New Roman"/>
          <w:b/>
          <w:noProof/>
          <w:color w:val="000000"/>
          <w:sz w:val="24"/>
        </w:rPr>
        <w:t xml:space="preserve">Salariul, statutul contractual și perspectivele clare de carieră sunt importante pentru atractivitatea profesiei. </w:t>
      </w:r>
      <w:r>
        <w:rPr>
          <w:rFonts w:ascii="Times New Roman" w:hAnsi="Times New Roman" w:cs="Times New Roman"/>
          <w:noProof/>
          <w:color w:val="000000"/>
          <w:sz w:val="24"/>
        </w:rPr>
        <w:t>În unele state membre, activitatea didactică pierde în fața altor profesii în competiția pentru cea mai bună profesie. Cadrele didactice câștigă adesea mult mai puțin decât media lucrătorilor cu studii superioare: salariile variază de la 74 % în învățământul preșcolar la 92 % la învățământul secundar superior</w:t>
      </w:r>
      <w:r>
        <w:rPr>
          <w:rStyle w:val="FootnoteReference"/>
          <w:rFonts w:ascii="Times New Roman" w:hAnsi="Times New Roman"/>
          <w:noProof/>
          <w:color w:val="000000"/>
          <w:sz w:val="24"/>
        </w:rPr>
        <w:footnoteReference w:id="39"/>
      </w:r>
      <w:r>
        <w:rPr>
          <w:rFonts w:ascii="Times New Roman" w:hAnsi="Times New Roman" w:cs="Times New Roman"/>
          <w:noProof/>
        </w:rPr>
        <w:t>.</w:t>
      </w:r>
      <w:r>
        <w:rPr>
          <w:rFonts w:ascii="Times New Roman" w:hAnsi="Times New Roman" w:cs="Times New Roman"/>
          <w:noProof/>
          <w:color w:val="000000"/>
          <w:sz w:val="24"/>
        </w:rPr>
        <w:t xml:space="preserve"> Țările cu niveluri foarte scăzute de salarizare sau de siguranță a locului de muncă depun eforturi pentru a atrage nou-veniți și a ocupa posturile vacante cu cei mai calificați candidați. </w:t>
      </w:r>
      <w:r>
        <w:rPr>
          <w:rFonts w:ascii="Times New Roman" w:hAnsi="Times New Roman" w:cs="Times New Roman"/>
          <w:noProof/>
          <w:sz w:val="24"/>
        </w:rPr>
        <w:t>Cadrele didactice sunt, de asemenea, preocupate de calitatea pregătirii și a integrării lor, precum și de oportunitățile profesionale mai bune</w:t>
      </w:r>
      <w:r>
        <w:rPr>
          <w:rStyle w:val="FootnoteReference"/>
          <w:rFonts w:ascii="Times New Roman" w:hAnsi="Times New Roman"/>
          <w:noProof/>
          <w:color w:val="000000"/>
          <w:sz w:val="24"/>
        </w:rPr>
        <w:footnoteReference w:id="40"/>
      </w:r>
      <w:r>
        <w:rPr>
          <w:rFonts w:ascii="Times New Roman" w:hAnsi="Times New Roman" w:cs="Times New Roman"/>
          <w:noProof/>
        </w:rPr>
        <w:t>.</w:t>
      </w:r>
      <w:r>
        <w:rPr>
          <w:rFonts w:ascii="Times New Roman" w:hAnsi="Times New Roman" w:cs="Times New Roman"/>
          <w:noProof/>
          <w:sz w:val="24"/>
        </w:rPr>
        <w:t xml:space="preserve"> Nivelurile de competență și structurile de carieră bine definite atrag mai multă apreciere din partea cadrelor didactice în privința perspectivelor de carieră. </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rPr>
        <w:t>3.2. Activitatea de predare: o profesie pentru persoane care studiază pe tot parcursul carierei și care conlucrează</w:t>
      </w:r>
    </w:p>
    <w:p>
      <w:pPr>
        <w:keepNext/>
        <w:spacing w:after="12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rPr>
        <w:t>Este nevoie să se acorde mai multă atenție calității formării cadrelor didactice.</w:t>
      </w:r>
      <w:r>
        <w:rPr>
          <w:rFonts w:ascii="Times New Roman" w:hAnsi="Times New Roman" w:cs="Times New Roman"/>
          <w:noProof/>
          <w:color w:val="000000"/>
          <w:sz w:val="24"/>
        </w:rPr>
        <w:t xml:space="preserve"> Formarea inițială a cadrelor didactice prezintă cel mai înalt nivel de eficacitate atunci când teoria pedagogică se combină atât cu cunoștințele privind materia predată, cât și cu o practică suficientă în sala de clasă</w:t>
      </w:r>
      <w:r>
        <w:rPr>
          <w:rStyle w:val="FootnoteReference"/>
          <w:rFonts w:ascii="Times New Roman" w:hAnsi="Times New Roman"/>
          <w:noProof/>
          <w:color w:val="000000"/>
          <w:sz w:val="24"/>
        </w:rPr>
        <w:footnoteReference w:id="41"/>
      </w:r>
      <w:r>
        <w:rPr>
          <w:rFonts w:ascii="Times New Roman" w:hAnsi="Times New Roman" w:cs="Times New Roman"/>
          <w:noProof/>
        </w:rPr>
        <w:t>.</w:t>
      </w:r>
      <w:r>
        <w:rPr>
          <w:rFonts w:ascii="Times New Roman" w:hAnsi="Times New Roman" w:cs="Times New Roman"/>
          <w:noProof/>
          <w:color w:val="000000"/>
          <w:sz w:val="24"/>
        </w:rPr>
        <w:t xml:space="preserve"> Studenții viitoare cadre didactice trebuie să fie pregătiți să își desfășoare activitatea într-un mediu de colaborare și dezvoltare profesională pe tot parcursul carierei, pentru a face față diversității din sălile de clasă și pentru a stăpâni bine tehnologiile digitale pe care le utilizează. Într-o serie de state membre se acordă o atenție scăzută sau necorespunzătoare participării la dezvoltarea profesională continuă (DPC). DPC trebuie să fie accesibilă, abordabilă din punct de vedere financiar și relevantă. Implicarea școlilor și a cadrelor didactice în identificarea temelor și domeniilor deficitare poate contribui la îmbunătățirea calității acesteia</w:t>
      </w:r>
      <w:r>
        <w:rPr>
          <w:rStyle w:val="FootnoteReference"/>
          <w:rFonts w:ascii="Times New Roman" w:hAnsi="Times New Roman"/>
          <w:noProof/>
          <w:color w:val="000000"/>
          <w:sz w:val="24"/>
        </w:rPr>
        <w:footnoteReference w:id="42"/>
      </w:r>
      <w:r>
        <w:rPr>
          <w:rFonts w:ascii="Times New Roman" w:hAnsi="Times New Roman" w:cs="Times New Roman"/>
          <w:noProof/>
        </w:rPr>
        <w:t>.</w:t>
      </w:r>
      <w:r>
        <w:rPr>
          <w:rFonts w:ascii="Times New Roman" w:hAnsi="Times New Roman" w:cs="Times New Roman"/>
          <w:noProof/>
          <w:color w:val="000000"/>
          <w:sz w:val="24"/>
        </w:rPr>
        <w:t xml:space="preserve"> </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rPr>
        <w:t xml:space="preserve">Cadrele didactice au nevoie de sprijin special în primele etape ale carierei lor. </w:t>
      </w:r>
      <w:r>
        <w:rPr>
          <w:rFonts w:ascii="Times New Roman" w:hAnsi="Times New Roman" w:cs="Times New Roman"/>
          <w:noProof/>
          <w:color w:val="000000"/>
          <w:sz w:val="24"/>
        </w:rPr>
        <w:t>Atunci când își încep activitatea profesională, multe cadre didactice consideră că mediile școlare reale sunt caracterizate de provocări și unii renunță la profesie. În prezent, numai 6 din 10 cadre didactice debutante beneficiază de o integrare adevărată în practica școlară,</w:t>
      </w:r>
      <w:r>
        <w:rPr>
          <w:rStyle w:val="FootnoteReference"/>
          <w:rFonts w:ascii="Times New Roman" w:hAnsi="Times New Roman"/>
          <w:noProof/>
          <w:color w:val="000000"/>
          <w:sz w:val="24"/>
        </w:rPr>
        <w:footnoteReference w:id="43"/>
      </w:r>
      <w:r>
        <w:rPr>
          <w:rFonts w:ascii="Times New Roman" w:hAnsi="Times New Roman" w:cs="Times New Roman"/>
          <w:noProof/>
          <w:color w:val="000000"/>
          <w:sz w:val="24"/>
        </w:rPr>
        <w:t xml:space="preserve"> iar sistemele de integrare care combină sprijinul profesional, social și personal, inclusiv mentoratul, le ajută pe cadrele didactice debutate să își dezvolte competențele și rezistența. Acest lucru îmbunătățește calitatea predării și reduce costurile pe care le implică renunțarea la profesie</w:t>
      </w:r>
      <w:r>
        <w:rPr>
          <w:rStyle w:val="FootnoteReference"/>
          <w:rFonts w:ascii="Times New Roman" w:hAnsi="Times New Roman"/>
          <w:noProof/>
          <w:color w:val="000000"/>
          <w:sz w:val="24"/>
        </w:rPr>
        <w:footnoteReference w:id="44"/>
      </w:r>
      <w:r>
        <w:rPr>
          <w:rFonts w:ascii="Times New Roman" w:hAnsi="Times New Roman" w:cs="Times New Roman"/>
          <w:noProof/>
        </w:rPr>
        <w:t>.</w:t>
      </w:r>
    </w:p>
    <w:p>
      <w:pPr>
        <w:spacing w:after="12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rPr>
        <w:t>Cadrele didactice cu performanțe deosebite colaborează.</w:t>
      </w:r>
      <w:r>
        <w:rPr>
          <w:rFonts w:ascii="Times New Roman" w:hAnsi="Times New Roman" w:cs="Times New Roman"/>
          <w:noProof/>
          <w:color w:val="000000"/>
          <w:sz w:val="24"/>
        </w:rPr>
        <w:t xml:space="preserve"> Desfășurarea activității de predare în spirit de echipă, observarea altor cadre didactice și comunitățile profesionale mai largi de învățare câștigă teren ca forme puternice de colaborare între colegi, dar nu au devenit încă normă pe teritoriul Europei</w:t>
      </w:r>
      <w:r>
        <w:rPr>
          <w:rStyle w:val="FootnoteReference"/>
          <w:rFonts w:ascii="Times New Roman" w:hAnsi="Times New Roman"/>
          <w:noProof/>
          <w:color w:val="000000"/>
          <w:sz w:val="24"/>
        </w:rPr>
        <w:footnoteReference w:id="45"/>
      </w:r>
      <w:r>
        <w:rPr>
          <w:rFonts w:ascii="Times New Roman" w:hAnsi="Times New Roman" w:cs="Times New Roman"/>
          <w:noProof/>
        </w:rPr>
        <w:t>.</w:t>
      </w:r>
      <w:r>
        <w:rPr>
          <w:rFonts w:ascii="Times New Roman" w:hAnsi="Times New Roman" w:cs="Times New Roman"/>
          <w:noProof/>
          <w:color w:val="000000"/>
          <w:sz w:val="24"/>
        </w:rPr>
        <w:t xml:space="preserve"> Pentru a îmbunătăți experiența de învățare a elevilor, cadrele didactice trebuie să fie capabile și dispuse să lucreze și să învețe în echipe – cu alte cadre didactice, în echipe școlare multiprofesionale și cu parteneri externi.</w:t>
      </w:r>
    </w:p>
    <w:p>
      <w:pPr>
        <w:spacing w:after="120" w:line="240" w:lineRule="auto"/>
        <w:jc w:val="both"/>
        <w:rPr>
          <w:rFonts w:ascii="Times New Roman" w:hAnsi="Times New Roman" w:cs="Times New Roman"/>
          <w:noProof/>
          <w:color w:val="000000"/>
          <w:sz w:val="24"/>
        </w:rPr>
      </w:pPr>
      <w:r>
        <w:rPr>
          <w:rFonts w:ascii="Times New Roman" w:hAnsi="Times New Roman" w:cs="Times New Roman"/>
          <w:b/>
          <w:noProof/>
          <w:color w:val="000000"/>
          <w:sz w:val="24"/>
        </w:rPr>
        <w:t>Mediile favorabile colaborării și tehnologiile digitale pot îmbunătăți învățarea de către cadrele didactice.</w:t>
      </w:r>
      <w:r>
        <w:rPr>
          <w:rFonts w:ascii="Times New Roman" w:hAnsi="Times New Roman" w:cs="Times New Roman"/>
          <w:noProof/>
          <w:color w:val="000000"/>
          <w:sz w:val="24"/>
        </w:rPr>
        <w:t xml:space="preserve"> Atelierele și cursurile de formare tradiționale organizate în afara școlii predomină în continuare. Inovațiile în domeniul educației, cum ar fi rețelele de colaborare între colegi, cursurile online deschise și în masă (MOOC) și partajarea de resurse deschise în materie de educație pot completa aceste metode și pot contribui la depășirea obstacolelor din calea participării</w:t>
      </w:r>
      <w:r>
        <w:rPr>
          <w:rStyle w:val="FootnoteReference"/>
          <w:rFonts w:ascii="Times New Roman" w:hAnsi="Times New Roman"/>
          <w:noProof/>
          <w:color w:val="000000"/>
          <w:sz w:val="24"/>
        </w:rPr>
        <w:footnoteReference w:id="46"/>
      </w:r>
      <w:r>
        <w:rPr>
          <w:rFonts w:ascii="Times New Roman" w:hAnsi="Times New Roman" w:cs="Times New Roman"/>
          <w:noProof/>
        </w:rPr>
        <w:t>.</w:t>
      </w:r>
      <w:r>
        <w:rPr>
          <w:rFonts w:ascii="Times New Roman" w:hAnsi="Times New Roman" w:cs="Times New Roman"/>
          <w:noProof/>
          <w:color w:val="000000"/>
          <w:sz w:val="24"/>
        </w:rPr>
        <w:t xml:space="preserve">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rPr>
        <w:t>Prin intermediul programului</w:t>
      </w:r>
      <w:r>
        <w:rPr>
          <w:rFonts w:ascii="Times New Roman" w:hAnsi="Times New Roman" w:cs="Times New Roman"/>
          <w:b/>
          <w:i/>
          <w:noProof/>
          <w:color w:val="000000"/>
          <w:sz w:val="24"/>
        </w:rPr>
        <w:t xml:space="preserve"> Erasmus+</w:t>
      </w:r>
      <w:r>
        <w:rPr>
          <w:rFonts w:ascii="Times New Roman" w:hAnsi="Times New Roman" w:cs="Times New Roman"/>
          <w:i/>
          <w:noProof/>
          <w:color w:val="000000"/>
          <w:sz w:val="24"/>
        </w:rPr>
        <w:t xml:space="preserve">, UE sprijină dezvoltarea profesională a personalului didactic. Sunt disponibile granturi pentru studenții viitoare cadre didactice, cadrele didactice și directorii de școli care doresc să participe la cursuri de formare, la practică pedagogică sau la activități de învățare prin observare la locul de muncă în altă țară. Prin intermediul </w:t>
      </w:r>
      <w:r>
        <w:rPr>
          <w:rFonts w:ascii="Times New Roman" w:hAnsi="Times New Roman" w:cs="Times New Roman"/>
          <w:b/>
          <w:i/>
          <w:noProof/>
          <w:color w:val="000000"/>
          <w:sz w:val="24"/>
        </w:rPr>
        <w:t>eTwinning</w:t>
      </w:r>
      <w:r>
        <w:rPr>
          <w:rFonts w:ascii="Times New Roman" w:hAnsi="Times New Roman" w:cs="Times New Roman"/>
          <w:i/>
          <w:noProof/>
          <w:color w:val="000000"/>
          <w:sz w:val="24"/>
        </w:rPr>
        <w:t>, UE încurajează colaborarea voluntară și învățarea reciprocă în rândul cadrelor didactice prin cursuri online și evenimente comune de formare.</w:t>
      </w:r>
    </w:p>
    <w:p>
      <w:pPr>
        <w:keepNext/>
        <w:autoSpaceDE w:val="0"/>
        <w:autoSpaceDN w:val="0"/>
        <w:adjustRightInd w:val="0"/>
        <w:spacing w:before="240" w:after="240" w:line="240" w:lineRule="auto"/>
        <w:jc w:val="both"/>
        <w:rPr>
          <w:rFonts w:ascii="Times New Roman" w:hAnsi="Times New Roman" w:cs="Times New Roman"/>
          <w:b/>
          <w:noProof/>
          <w:color w:val="000000"/>
          <w:sz w:val="24"/>
          <w:szCs w:val="24"/>
        </w:rPr>
      </w:pPr>
      <w:r>
        <w:rPr>
          <w:rFonts w:ascii="Times New Roman" w:hAnsi="Times New Roman" w:cs="Times New Roman"/>
          <w:b/>
          <w:noProof/>
          <w:color w:val="000000"/>
          <w:sz w:val="24"/>
        </w:rPr>
        <w:t xml:space="preserve">3.3. Acordarea de sprijin conducerii unităților de învățământ </w:t>
      </w:r>
    </w:p>
    <w:p>
      <w:pPr>
        <w:keepNext/>
        <w:spacing w:after="120" w:line="240" w:lineRule="auto"/>
        <w:jc w:val="both"/>
        <w:rPr>
          <w:rFonts w:ascii="Times New Roman" w:hAnsi="Times New Roman" w:cs="Times New Roman"/>
          <w:noProof/>
          <w:color w:val="000000"/>
          <w:sz w:val="24"/>
        </w:rPr>
      </w:pPr>
      <w:r>
        <w:rPr>
          <w:rFonts w:ascii="Times New Roman" w:hAnsi="Times New Roman" w:cs="Times New Roman"/>
          <w:b/>
          <w:noProof/>
          <w:color w:val="000000"/>
          <w:sz w:val="24"/>
        </w:rPr>
        <w:t>O conducere eficientă a unităților de învățământ are un impact pozitiv asupra rezultatelor elevilor, asupra calității predării și asupra motivației personalului.</w:t>
      </w:r>
      <w:r>
        <w:rPr>
          <w:rFonts w:ascii="Times New Roman" w:hAnsi="Times New Roman" w:cs="Times New Roman"/>
          <w:noProof/>
          <w:color w:val="000000"/>
          <w:sz w:val="24"/>
        </w:rPr>
        <w:t xml:space="preserve"> Cercetările arată că conducerea care are la bază o viziune împărtășită de personal, părinți și comunitatea locală este esențială în dezvoltarea și inovarea în școli</w:t>
      </w:r>
      <w:r>
        <w:rPr>
          <w:rStyle w:val="FootnoteReference"/>
          <w:rFonts w:ascii="Times New Roman" w:hAnsi="Times New Roman"/>
          <w:noProof/>
          <w:color w:val="000000"/>
          <w:sz w:val="24"/>
        </w:rPr>
        <w:footnoteReference w:id="47"/>
      </w:r>
      <w:r>
        <w:rPr>
          <w:rFonts w:ascii="Times New Roman" w:hAnsi="Times New Roman" w:cs="Times New Roman"/>
          <w:noProof/>
        </w:rPr>
        <w:t>.</w:t>
      </w:r>
      <w:r>
        <w:rPr>
          <w:rFonts w:ascii="Times New Roman" w:hAnsi="Times New Roman" w:cs="Times New Roman"/>
          <w:noProof/>
          <w:color w:val="000000"/>
          <w:sz w:val="24"/>
        </w:rPr>
        <w:t xml:space="preserve"> Cu toate acestea, în unele state membre, posturile de conducere din unitățile de învățământ nu sunt considerate atractive</w:t>
      </w:r>
      <w:r>
        <w:rPr>
          <w:rStyle w:val="FootnoteReference"/>
          <w:rFonts w:ascii="Times New Roman" w:hAnsi="Times New Roman"/>
          <w:noProof/>
          <w:color w:val="000000"/>
          <w:sz w:val="24"/>
        </w:rPr>
        <w:footnoteReference w:id="48"/>
      </w:r>
      <w:r>
        <w:rPr>
          <w:rFonts w:ascii="Times New Roman" w:hAnsi="Times New Roman" w:cs="Times New Roman"/>
          <w:noProof/>
        </w:rPr>
        <w:t>.</w:t>
      </w:r>
      <w:r>
        <w:rPr>
          <w:rFonts w:ascii="Times New Roman" w:hAnsi="Times New Roman" w:cs="Times New Roman"/>
          <w:noProof/>
          <w:color w:val="000000"/>
          <w:sz w:val="24"/>
        </w:rPr>
        <w:t xml:space="preserve"> Conducerea unei școli aduce, de obicei, cu sine o combinație solicitantă de sarcini legate atât de administrare, cât și de instruire. Deseori, directorii de școli nu primesc pregătirea sau sprijinul permanent de care au nevoie pentru aceste sarcini diferite. </w:t>
      </w:r>
    </w:p>
    <w:p>
      <w:pPr>
        <w:spacing w:after="120" w:line="240" w:lineRule="auto"/>
        <w:jc w:val="both"/>
        <w:rPr>
          <w:rFonts w:ascii="Times New Roman" w:hAnsi="Times New Roman" w:cs="Times New Roman"/>
          <w:noProof/>
          <w:color w:val="000000"/>
          <w:sz w:val="24"/>
        </w:rPr>
      </w:pPr>
      <w:r>
        <w:rPr>
          <w:rFonts w:ascii="Times New Roman" w:hAnsi="Times New Roman" w:cs="Times New Roman"/>
          <w:b/>
          <w:noProof/>
          <w:color w:val="000000"/>
          <w:sz w:val="24"/>
        </w:rPr>
        <w:t>Creșterea autonomiei școlilor a condus, în multe țări, la o mai mare responsabilitate pentru directorii de școli.</w:t>
      </w:r>
      <w:r>
        <w:rPr>
          <w:rFonts w:ascii="Times New Roman" w:hAnsi="Times New Roman" w:cs="Times New Roman"/>
          <w:noProof/>
          <w:color w:val="000000"/>
          <w:sz w:val="24"/>
        </w:rPr>
        <w:t xml:space="preserve"> Acest lucru le permite directorilor de școli să reorganizeze orarele și abordările adoptate la nivel de clasă, să stimuleze dezvoltarea școlilor și să repartizeze responsabilitățile în cadrul unui grup mai larg de angajați. Cu toate acestea, aceste schimbări necesită resurse și sprijin adecvate</w:t>
      </w:r>
      <w:r>
        <w:rPr>
          <w:rStyle w:val="FootnoteReference"/>
          <w:rFonts w:ascii="Times New Roman" w:hAnsi="Times New Roman"/>
          <w:noProof/>
          <w:color w:val="000000"/>
          <w:sz w:val="24"/>
        </w:rPr>
        <w:footnoteReference w:id="49"/>
      </w:r>
      <w:r>
        <w:rPr>
          <w:rFonts w:ascii="Times New Roman" w:hAnsi="Times New Roman" w:cs="Times New Roman"/>
          <w:noProof/>
        </w:rPr>
        <w:t>.</w:t>
      </w:r>
      <w:r>
        <w:rPr>
          <w:rFonts w:ascii="Times New Roman" w:hAnsi="Times New Roman" w:cs="Times New Roman"/>
          <w:b/>
          <w:noProof/>
          <w:color w:val="000000"/>
          <w:sz w:val="24"/>
        </w:rPr>
        <w:t xml:space="preserve"> </w:t>
      </w:r>
      <w:r>
        <w:rPr>
          <w:rFonts w:ascii="Times New Roman" w:hAnsi="Times New Roman" w:cs="Times New Roman"/>
          <w:noProof/>
          <w:color w:val="000000"/>
          <w:sz w:val="24"/>
        </w:rPr>
        <w:t xml:space="preserve">Recrutarea, pregătirea și dezvoltarea profesională a directorilor de școli reprezintă un factor esențial pentru îmbunătățirea performanțelor școlare. </w:t>
      </w:r>
    </w:p>
    <w:p>
      <w:pPr>
        <w:spacing w:line="240" w:lineRule="auto"/>
        <w:rPr>
          <w:rFonts w:ascii="Times New Roman" w:hAnsi="Times New Roman" w:cs="Times New Roman"/>
          <w:noProof/>
          <w:color w:val="000000"/>
          <w:sz w:val="24"/>
          <w:szCs w:val="24"/>
          <w:u w:val="single"/>
        </w:rPr>
      </w:pPr>
    </w:p>
    <w:p>
      <w:pPr>
        <w:keepNext/>
        <w:spacing w:after="240"/>
        <w:rPr>
          <w:rFonts w:ascii="Times New Roman" w:hAnsi="Times New Roman" w:cs="Times New Roman"/>
          <w:b/>
          <w:noProof/>
          <w:color w:val="000000"/>
          <w:sz w:val="24"/>
          <w:szCs w:val="24"/>
        </w:rPr>
      </w:pPr>
      <w:r>
        <w:rPr>
          <w:rFonts w:ascii="Times New Roman" w:hAnsi="Times New Roman" w:cs="Times New Roman"/>
          <w:b/>
          <w:noProof/>
          <w:color w:val="000000"/>
          <w:sz w:val="24"/>
        </w:rPr>
        <w:t>4. Realizarea unei guvernanțe mai eficace, mai echitabile și mai eficiente a sistemelor de învățământ</w:t>
      </w:r>
    </w:p>
    <w:p>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rPr>
        <w:t xml:space="preserve">Pentru a completa acțiunile întreprinse de statele membre, Comisia: </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rPr>
      </w:pPr>
      <w:r>
        <w:rPr>
          <w:rFonts w:ascii="Times New Roman" w:hAnsi="Times New Roman" w:cs="Times New Roman"/>
          <w:noProof/>
          <w:sz w:val="24"/>
        </w:rPr>
        <w:t xml:space="preserve">Va stabili un acord de sprijin tehnic, </w:t>
      </w:r>
      <w:r>
        <w:rPr>
          <w:rFonts w:ascii="Times New Roman" w:hAnsi="Times New Roman" w:cs="Times New Roman"/>
          <w:b/>
          <w:noProof/>
          <w:sz w:val="24"/>
        </w:rPr>
        <w:t>bazat pe cerere, în cooperare cu OCDE</w:t>
      </w:r>
      <w:r>
        <w:rPr>
          <w:rFonts w:ascii="Times New Roman" w:hAnsi="Times New Roman" w:cs="Times New Roman"/>
          <w:noProof/>
          <w:sz w:val="24"/>
        </w:rPr>
        <w:t>, pentru a oferi sprijin statelor membre care solicită asistență în mod voluntar, în vederea elaborării și punerii în aplicare a unor reforme majore în domeniul învățământului, consolidând cooperarea existentă, inclusiv în ceea ce privește strategiile în materie de competențe și resursele școlare. Serviciile Comisiei, inclusiv Serviciul de sprijin pentru reforme structurale și instrumentele de finanțare ale UE (cum ar fi fondurile structurale și de investiții europene și Erasmus+) ar putea oferi sprijin</w:t>
      </w:r>
      <w:r>
        <w:rPr>
          <w:rFonts w:ascii="Times New Roman" w:hAnsi="Times New Roman" w:cs="Times New Roman"/>
          <w:noProof/>
        </w:rPr>
        <w:t>;</w:t>
      </w:r>
      <w:r>
        <w:rPr>
          <w:rFonts w:ascii="Times New Roman" w:hAnsi="Times New Roman" w:cs="Times New Roman"/>
          <w:noProof/>
          <w:sz w:val="24"/>
        </w:rPr>
        <w:t xml:space="preserve"> </w:t>
      </w:r>
    </w:p>
    <w:p>
      <w:pPr>
        <w:pStyle w:val="ListParagraph"/>
        <w:numPr>
          <w:ilvl w:val="0"/>
          <w:numId w:val="3"/>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Times New Roman" w:hAnsi="Times New Roman" w:cs="Times New Roman"/>
          <w:noProof/>
          <w:sz w:val="24"/>
          <w:szCs w:val="24"/>
        </w:rPr>
      </w:pPr>
      <w:r>
        <w:rPr>
          <w:rFonts w:ascii="Times New Roman" w:hAnsi="Times New Roman" w:cs="Times New Roman"/>
          <w:noProof/>
          <w:sz w:val="24"/>
        </w:rPr>
        <w:t xml:space="preserve">Va propune </w:t>
      </w:r>
      <w:r>
        <w:rPr>
          <w:rFonts w:ascii="Times New Roman" w:hAnsi="Times New Roman" w:cs="Times New Roman"/>
          <w:b/>
          <w:noProof/>
          <w:sz w:val="24"/>
        </w:rPr>
        <w:t>un raport comun privind eficacitatea și eficiența cheltuielilor în învățământ</w:t>
      </w:r>
      <w:r>
        <w:rPr>
          <w:rFonts w:ascii="Times New Roman" w:hAnsi="Times New Roman" w:cs="Times New Roman"/>
          <w:noProof/>
          <w:sz w:val="24"/>
        </w:rPr>
        <w:t>, cu implicarea comitetelor abilitate ale Consiliului și a serviciilor competente ale Comisiei. Acest raport se va baza pe activitatea desfășurată în prezent împreună cu OCDE și poate conduce la elaborarea, în parteneriat cu statele membre ale UE interesate și cu părțile interesate, a unor orientări în materie de politici privind investițiile în învățământ;</w:t>
      </w:r>
    </w:p>
    <w:p>
      <w:pPr>
        <w:pStyle w:val="ListParagraph"/>
        <w:numPr>
          <w:ilvl w:val="0"/>
          <w:numId w:val="3"/>
        </w:num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cs="Times New Roman"/>
          <w:noProof/>
          <w:sz w:val="24"/>
          <w:szCs w:val="24"/>
        </w:rPr>
      </w:pPr>
      <w:r>
        <w:rPr>
          <w:rFonts w:ascii="Times New Roman" w:hAnsi="Times New Roman" w:cs="Times New Roman"/>
          <w:noProof/>
          <w:sz w:val="24"/>
        </w:rPr>
        <w:t xml:space="preserve">Împreună cu statele membre ale UE și cu părțile interesate, Comisia va elabora orientări direcționate pentru elaborarea de politici privind </w:t>
      </w:r>
      <w:r>
        <w:rPr>
          <w:rFonts w:ascii="Times New Roman" w:hAnsi="Times New Roman" w:cs="Times New Roman"/>
          <w:b/>
          <w:noProof/>
          <w:sz w:val="24"/>
        </w:rPr>
        <w:t>asigurarea calității</w:t>
      </w:r>
      <w:r>
        <w:rPr>
          <w:rFonts w:ascii="Times New Roman" w:hAnsi="Times New Roman" w:cs="Times New Roman"/>
          <w:noProof/>
          <w:sz w:val="24"/>
        </w:rPr>
        <w:t xml:space="preserve"> prin consiliere între colegi</w:t>
      </w:r>
      <w:r>
        <w:rPr>
          <w:rStyle w:val="FootnoteReference"/>
          <w:rFonts w:ascii="Times New Roman" w:hAnsi="Times New Roman"/>
          <w:noProof/>
          <w:sz w:val="24"/>
        </w:rPr>
        <w:footnoteReference w:id="50"/>
      </w:r>
      <w:r>
        <w:rPr>
          <w:rFonts w:ascii="Times New Roman" w:hAnsi="Times New Roman" w:cs="Times New Roman"/>
          <w:noProof/>
          <w:sz w:val="24"/>
        </w:rPr>
        <w:t xml:space="preserve"> și învățare reciprocă.</w:t>
      </w:r>
    </w:p>
    <w:p>
      <w:pPr>
        <w:pStyle w:val="Text1"/>
        <w:keepNext/>
        <w:spacing w:before="240"/>
        <w:ind w:left="0"/>
        <w:rPr>
          <w:b/>
          <w:noProof/>
          <w:color w:val="000000"/>
          <w:szCs w:val="24"/>
        </w:rPr>
      </w:pPr>
      <w:r>
        <w:rPr>
          <w:b/>
          <w:noProof/>
          <w:color w:val="000000"/>
        </w:rPr>
        <w:t>4.1. Resursele școlare: investiții adecvate și eficiente</w:t>
      </w:r>
    </w:p>
    <w:p>
      <w:pPr>
        <w:spacing w:before="120" w:after="120" w:line="240" w:lineRule="auto"/>
        <w:jc w:val="both"/>
        <w:rPr>
          <w:rFonts w:ascii="Times New Roman" w:hAnsi="Times New Roman" w:cs="Times New Roman"/>
          <w:bCs/>
          <w:noProof/>
          <w:sz w:val="24"/>
          <w:szCs w:val="24"/>
        </w:rPr>
      </w:pPr>
      <w:r>
        <w:rPr>
          <w:rFonts w:ascii="Times New Roman" w:hAnsi="Times New Roman" w:cs="Times New Roman"/>
          <w:b/>
          <w:noProof/>
          <w:sz w:val="24"/>
        </w:rPr>
        <w:t>În timp ce Europa se bucură de o mare diversitate de sisteme, culturi și contexte educaționale, există provocări similare în materie de guvernanță și finanțare.</w:t>
      </w:r>
      <w:r>
        <w:rPr>
          <w:rFonts w:ascii="Times New Roman" w:hAnsi="Times New Roman" w:cs="Times New Roman"/>
          <w:noProof/>
          <w:sz w:val="24"/>
        </w:rPr>
        <w:t xml:space="preserve"> Printre aceste provocări se numără definirea unor responsabilități clare pentru finanțarea și adaptarea rețelei școlare la schimbările demografice</w:t>
      </w:r>
      <w:r>
        <w:rPr>
          <w:rStyle w:val="FootnoteReference"/>
          <w:rFonts w:ascii="Times New Roman" w:hAnsi="Times New Roman"/>
          <w:noProof/>
          <w:sz w:val="24"/>
        </w:rPr>
        <w:footnoteReference w:id="51"/>
      </w:r>
      <w:r>
        <w:rPr>
          <w:rFonts w:ascii="Times New Roman" w:hAnsi="Times New Roman" w:cs="Times New Roman"/>
          <w:noProof/>
        </w:rPr>
        <w:t>.</w:t>
      </w:r>
      <w:r>
        <w:rPr>
          <w:rFonts w:ascii="Times New Roman" w:hAnsi="Times New Roman" w:cs="Times New Roman"/>
          <w:noProof/>
          <w:sz w:val="24"/>
        </w:rPr>
        <w:t xml:space="preserve"> Statele membre ale UE alocă un volum semnificativ de resurse - în medie, peste 3 % din PIB - pentru învățământ</w:t>
      </w:r>
      <w:r>
        <w:rPr>
          <w:rStyle w:val="FootnoteReference"/>
          <w:rFonts w:ascii="Times New Roman" w:hAnsi="Times New Roman"/>
          <w:noProof/>
          <w:sz w:val="24"/>
        </w:rPr>
        <w:footnoteReference w:id="52"/>
      </w:r>
      <w:r>
        <w:rPr>
          <w:rFonts w:ascii="Times New Roman" w:hAnsi="Times New Roman" w:cs="Times New Roman"/>
          <w:noProof/>
        </w:rPr>
        <w:t>.</w:t>
      </w:r>
      <w:r>
        <w:rPr>
          <w:rFonts w:ascii="Times New Roman" w:hAnsi="Times New Roman" w:cs="Times New Roman"/>
          <w:noProof/>
          <w:sz w:val="24"/>
        </w:rPr>
        <w:t xml:space="preserve"> Buna utilizare a acestor resurse este esențială pentru eficiența tuturor cheltuielilor publice ale unei țări.</w:t>
      </w:r>
    </w:p>
    <w:p>
      <w:pPr>
        <w:spacing w:before="120" w:after="120" w:line="240" w:lineRule="auto"/>
        <w:jc w:val="both"/>
        <w:rPr>
          <w:rFonts w:ascii="Times New Roman" w:hAnsi="Times New Roman" w:cs="Times New Roman"/>
          <w:b/>
          <w:i/>
          <w:noProof/>
          <w:sz w:val="24"/>
          <w:szCs w:val="24"/>
        </w:rPr>
      </w:pPr>
      <w:r>
        <w:rPr>
          <w:rFonts w:ascii="Times New Roman" w:hAnsi="Times New Roman" w:cs="Times New Roman"/>
          <w:b/>
          <w:noProof/>
          <w:sz w:val="24"/>
        </w:rPr>
        <w:t xml:space="preserve">Optimizarea utilizării resurselor limitate pentru a spori performanța tuturor elevilor este de o importanță crucială. </w:t>
      </w:r>
      <w:r>
        <w:rPr>
          <w:rFonts w:ascii="Times New Roman" w:hAnsi="Times New Roman" w:cs="Times New Roman"/>
          <w:noProof/>
          <w:sz w:val="24"/>
        </w:rPr>
        <w:t>Studiile PISA arată că nu se pot obține rezultate eficace în materie de educație sub un nivel minim de finanțare. Unele state membre nu au investit suficient pentru a obține rezultate bune pe termen lung</w:t>
      </w:r>
      <w:r>
        <w:rPr>
          <w:rStyle w:val="FootnoteReference"/>
          <w:rFonts w:ascii="Times New Roman" w:hAnsi="Times New Roman"/>
          <w:noProof/>
          <w:sz w:val="24"/>
        </w:rPr>
        <w:footnoteReference w:id="53"/>
      </w:r>
      <w:r>
        <w:rPr>
          <w:rFonts w:ascii="Times New Roman" w:hAnsi="Times New Roman" w:cs="Times New Roman"/>
          <w:noProof/>
        </w:rPr>
        <w:t>.</w:t>
      </w:r>
      <w:r>
        <w:rPr>
          <w:rFonts w:ascii="Times New Roman" w:hAnsi="Times New Roman" w:cs="Times New Roman"/>
          <w:noProof/>
          <w:sz w:val="24"/>
        </w:rPr>
        <w:t xml:space="preserve"> Cu toate acestea, la un nivel comparabil al cheltuielilor, unele state membre obțin rezultate mai bune decât altele. Consolidarea cooperării dintre educație și domeniile de politică economică poate îmbunătăți baza de date concrete și poate genera un consens cu privire la „ce anume funcționează” în investițiile în educație. Provocările includ investiții în infrastructură, inclusiv în infrastructura și conectivitatea digitală, precum și în capitalul uman</w:t>
      </w:r>
      <w:r>
        <w:rPr>
          <w:rStyle w:val="FootnoteReference"/>
          <w:rFonts w:ascii="Times New Roman" w:hAnsi="Times New Roman"/>
          <w:noProof/>
          <w:sz w:val="24"/>
        </w:rPr>
        <w:footnoteReference w:id="54"/>
      </w:r>
      <w:r>
        <w:rPr>
          <w:rFonts w:ascii="Times New Roman" w:hAnsi="Times New Roman" w:cs="Times New Roman"/>
          <w:noProof/>
        </w:rPr>
        <w:t>.</w:t>
      </w:r>
      <w:r>
        <w:rPr>
          <w:rFonts w:ascii="Times New Roman" w:hAnsi="Times New Roman" w:cs="Times New Roman"/>
          <w:noProof/>
          <w:sz w:val="24"/>
        </w:rPr>
        <w:t xml:space="preserve"> Un sprijin politic adaptat reformelor statelor membre în domeniul educației poate contribui la îmbunătățirea guvernanței sistemelor școlare și la creșterea eficacității și echității.</w:t>
      </w:r>
      <w:r>
        <w:rPr>
          <w:rFonts w:ascii="Times New Roman" w:hAnsi="Times New Roman" w:cs="Times New Roman"/>
          <w:b/>
          <w:i/>
          <w:noProof/>
          <w:sz w:val="24"/>
        </w:rPr>
        <w:t xml:space="preserve"> </w:t>
      </w:r>
    </w:p>
    <w:p>
      <w:pPr>
        <w:pStyle w:val="Text1"/>
        <w:keepNext/>
        <w:spacing w:before="240"/>
        <w:ind w:left="0"/>
        <w:rPr>
          <w:b/>
          <w:noProof/>
          <w:color w:val="000000"/>
          <w:szCs w:val="24"/>
        </w:rPr>
      </w:pPr>
      <w:r>
        <w:rPr>
          <w:b/>
          <w:noProof/>
          <w:color w:val="000000"/>
        </w:rPr>
        <w:t xml:space="preserve">4.2. Combinarea autonomiei și a asigurării calității </w:t>
      </w:r>
    </w:p>
    <w:p>
      <w:pPr>
        <w:keepNext/>
        <w:spacing w:after="120" w:line="240" w:lineRule="auto"/>
        <w:jc w:val="both"/>
        <w:rPr>
          <w:rFonts w:ascii="Times New Roman" w:eastAsia="Calibri" w:hAnsi="Times New Roman" w:cs="Times New Roman"/>
          <w:noProof/>
          <w:sz w:val="24"/>
          <w:szCs w:val="24"/>
        </w:rPr>
      </w:pPr>
      <w:r>
        <w:rPr>
          <w:rFonts w:ascii="Times New Roman" w:hAnsi="Times New Roman" w:cs="Times New Roman"/>
          <w:b/>
          <w:noProof/>
          <w:sz w:val="24"/>
        </w:rPr>
        <w:t>Interacțiunea dintre autonomia școlilor și responsabilitate impune sisteme solide, dar flexibile de asigurare a calității</w:t>
      </w:r>
      <w:r>
        <w:rPr>
          <w:rStyle w:val="FootnoteReference"/>
          <w:rFonts w:ascii="Times New Roman" w:hAnsi="Times New Roman"/>
          <w:noProof/>
          <w:sz w:val="24"/>
        </w:rPr>
        <w:footnoteReference w:id="55"/>
      </w:r>
      <w:r>
        <w:rPr>
          <w:rFonts w:ascii="Times New Roman" w:hAnsi="Times New Roman" w:cs="Times New Roman"/>
          <w:noProof/>
        </w:rPr>
        <w:t>.</w:t>
      </w:r>
      <w:r>
        <w:rPr>
          <w:rFonts w:ascii="Times New Roman" w:hAnsi="Times New Roman" w:cs="Times New Roman"/>
          <w:noProof/>
          <w:sz w:val="24"/>
        </w:rPr>
        <w:t xml:space="preserve"> O tendință majoră recentă a fost descentralizarea și creșterea autonomiei școlilor. Acordarea unei autonomii sporite școlilor în ceea ce privește practicile școlare și organizarea sau utilizarea resurselor financiare le oferă acestora mai multe posibilități de a se adapta la nevoile lor specifice și la contextul local din care fac parte. Cu toate acestea, beneficiile autonomiei depind de capacitatea școlilor de a-și planifica în mod eficace și de a-și gestiona propria dezvoltare, precum și de cât de responsabile sunt în fața părinților, a comunităților locale și a autorităților din domeniul educației</w:t>
      </w:r>
      <w:r>
        <w:rPr>
          <w:rFonts w:ascii="Times New Roman" w:hAnsi="Times New Roman" w:cs="Times New Roman"/>
          <w:noProof/>
          <w:sz w:val="24"/>
          <w:vertAlign w:val="superscript"/>
        </w:rPr>
        <w:footnoteReference w:id="56"/>
      </w:r>
      <w:r>
        <w:rPr>
          <w:rFonts w:ascii="Times New Roman" w:hAnsi="Times New Roman" w:cs="Times New Roman"/>
          <w:noProof/>
          <w:sz w:val="24"/>
        </w:rPr>
        <w:t>. Rezultatele PISA indică faptul că autonomia școlilor conduce la o mai bună dobândire a competențelor de bază atunci când este asociată cu responsabilitatea. Mecanismele de asigurare a calității</w:t>
      </w:r>
      <w:r>
        <w:rPr>
          <w:rFonts w:ascii="Times New Roman" w:hAnsi="Times New Roman" w:cs="Times New Roman"/>
          <w:noProof/>
        </w:rPr>
        <w:t xml:space="preserve"> </w:t>
      </w:r>
      <w:r>
        <w:rPr>
          <w:rFonts w:ascii="Times New Roman" w:hAnsi="Times New Roman" w:cs="Times New Roman"/>
          <w:noProof/>
          <w:sz w:val="24"/>
        </w:rPr>
        <w:t>prezintă diferențe majore în Europa</w:t>
      </w:r>
      <w:r>
        <w:rPr>
          <w:rStyle w:val="FootnoteReference"/>
          <w:rFonts w:ascii="Times New Roman" w:hAnsi="Times New Roman"/>
          <w:noProof/>
          <w:sz w:val="24"/>
        </w:rPr>
        <w:footnoteReference w:id="57"/>
      </w:r>
      <w:r>
        <w:rPr>
          <w:rFonts w:ascii="Times New Roman" w:hAnsi="Times New Roman" w:cs="Times New Roman"/>
          <w:noProof/>
          <w:sz w:val="24"/>
        </w:rPr>
        <w:t>, dar au câteva provocări în comun. Printre acestea se numără modalitățile ce vizează: stabilirea obiectivelor și măsurarea progreselor înregistrate în sistemele de învățământ și în procesul de învățare al elevilor; conceperea de sisteme de asigurare a calității pentru sisteme de învățământ din ce în ce mai descentralizate și organizate pe mai multe niveluri; încurajarea dialogului și a unei culturi a încrederii între părțile interesate din domeniul educației și acordarea de prioritate resurselor umane și financiare.</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rPr>
        <w:t>Elaborarea unor instrumente și procese adecvate pentru date cantitative și calitative ar consolida asigurarea calității.</w:t>
      </w:r>
      <w:r>
        <w:rPr>
          <w:rFonts w:ascii="Times New Roman" w:hAnsi="Times New Roman" w:cs="Times New Roman"/>
          <w:noProof/>
          <w:sz w:val="24"/>
        </w:rPr>
        <w:t xml:space="preserve"> Mecanismele de asigurare a calității ar trebui să ia în considerare climatul școlar și starea de bine a elevilor, precum și dezvoltarea competențelor acestora. Pentru această perspectivă echilibrată sunt necesare atât date cantitative, cât și date calitative</w:t>
      </w:r>
      <w:r>
        <w:rPr>
          <w:rStyle w:val="FootnoteReference"/>
          <w:rFonts w:ascii="Times New Roman" w:hAnsi="Times New Roman"/>
          <w:noProof/>
          <w:sz w:val="24"/>
        </w:rPr>
        <w:footnoteReference w:id="58"/>
      </w:r>
      <w:r>
        <w:rPr>
          <w:rFonts w:ascii="Times New Roman" w:hAnsi="Times New Roman" w:cs="Times New Roman"/>
          <w:noProof/>
        </w:rPr>
        <w:t>.</w:t>
      </w:r>
      <w:r>
        <w:rPr>
          <w:rFonts w:ascii="Times New Roman" w:hAnsi="Times New Roman" w:cs="Times New Roman"/>
          <w:noProof/>
          <w:sz w:val="24"/>
        </w:rPr>
        <w:t xml:space="preserve"> Școlile și părțile interesate locale trebuie să investească în consolidarea capacităților pentru a identifica instrumentele și indicatorii cei mai adecvați pentru monitorizarea progresului elevilor și a dezvoltării școlilor deopotrivă și pentru dezvoltarea unei înțelegeri comune cu privire la modul de interpretare a datelor. Această abordare ar trebui să fie completată de mecanisme externe de monitorizare, cum ar fi evaluările școlare naționale și regionale și/sau evaluările pe scară largă ale elevilor.</w:t>
      </w:r>
      <w:r>
        <w:rPr>
          <w:rFonts w:ascii="Times New Roman" w:hAnsi="Times New Roman" w:cs="Times New Roman"/>
          <w:noProof/>
        </w:rPr>
        <w:t xml:space="preserve"> </w:t>
      </w:r>
      <w:r>
        <w:rPr>
          <w:rFonts w:ascii="Times New Roman" w:hAnsi="Times New Roman" w:cs="Times New Roman"/>
          <w:noProof/>
          <w:sz w:val="24"/>
        </w:rPr>
        <w:t>Trecerea de la o abordare bazată pe „listă de verificare” axată pe respectarea formală a normelor și procedurilor la o abordare bazată pe sprijin și axată pe dezvoltarea școlilor ridică standardele și îmbunătățește rezultatele învățării</w:t>
      </w:r>
      <w:r>
        <w:rPr>
          <w:rStyle w:val="FootnoteReference"/>
          <w:rFonts w:ascii="Times New Roman" w:hAnsi="Times New Roman"/>
          <w:noProof/>
          <w:sz w:val="24"/>
        </w:rPr>
        <w:footnoteReference w:id="59"/>
      </w:r>
      <w:r>
        <w:rPr>
          <w:rFonts w:ascii="Times New Roman" w:hAnsi="Times New Roman" w:cs="Times New Roman"/>
          <w:noProof/>
        </w:rPr>
        <w:t>.</w:t>
      </w:r>
    </w:p>
    <w:p>
      <w:pPr>
        <w:spacing w:after="240" w:line="240" w:lineRule="auto"/>
        <w:jc w:val="both"/>
        <w:rPr>
          <w:rFonts w:ascii="Times New Roman" w:hAnsi="Times New Roman" w:cs="Times New Roman"/>
          <w:noProof/>
        </w:rPr>
      </w:pPr>
    </w:p>
    <w:p>
      <w:pPr>
        <w:pStyle w:val="ListParagraph"/>
        <w:keepNext/>
        <w:numPr>
          <w:ilvl w:val="0"/>
          <w:numId w:val="4"/>
        </w:numPr>
        <w:spacing w:before="120" w:after="240" w:line="240" w:lineRule="auto"/>
        <w:ind w:left="357" w:hanging="357"/>
        <w:contextualSpacing w:val="0"/>
        <w:rPr>
          <w:rFonts w:ascii="Times New Roman" w:hAnsi="Times New Roman" w:cs="Times New Roman"/>
          <w:b/>
          <w:noProof/>
          <w:color w:val="000000"/>
          <w:sz w:val="24"/>
          <w:szCs w:val="24"/>
        </w:rPr>
      </w:pPr>
      <w:r>
        <w:rPr>
          <w:rFonts w:ascii="Times New Roman" w:hAnsi="Times New Roman" w:cs="Times New Roman"/>
          <w:b/>
          <w:noProof/>
          <w:color w:val="000000"/>
          <w:sz w:val="24"/>
        </w:rPr>
        <w:t>Concluzii – calea de urmat</w:t>
      </w:r>
    </w:p>
    <w:p>
      <w:pPr>
        <w:keepNext/>
        <w:spacing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rPr>
        <w:t>Îmbunătățirea educației reprezintă o componentă centrală a inițiativei Comisiei privind investiția în tinerii Europei</w:t>
      </w:r>
      <w:r>
        <w:rPr>
          <w:rFonts w:ascii="Times New Roman" w:hAnsi="Times New Roman" w:cs="Times New Roman"/>
          <w:noProof/>
          <w:color w:val="000000"/>
          <w:sz w:val="24"/>
        </w:rPr>
        <w:t xml:space="preserve">. În special, calitatea școlilor joacă un rol fundamental în conturarea perspectivelor tinerilor. Școlile pun bazele succesului profesional. Acestea oferă o șansă unică pentru mobilitatea socială. Cu toate acestea, lucrurile nu stau întotdeauna așa. Noile date furnizate de PISA sunt un semnal de alarmă pentru Europa: ponderea elevilor cu un nivel scăzut de performanță în domeniul științei a crescut de la 16,6 % în 2012 la 20,6 % în 2015. 11 % dintre elevi părăsesc școala fără a obține o calificare formală. Dacă aceste deficiențe ale învățământului nu sunt soluționate, șansele de reușită în viață a milioane de tineri vor scădea. </w:t>
      </w:r>
    </w:p>
    <w:p>
      <w:pPr>
        <w:spacing w:line="240" w:lineRule="auto"/>
        <w:jc w:val="both"/>
        <w:rPr>
          <w:rFonts w:ascii="Times New Roman" w:hAnsi="Times New Roman" w:cs="Times New Roman"/>
          <w:iCs/>
          <w:noProof/>
          <w:color w:val="000000"/>
          <w:sz w:val="24"/>
          <w:szCs w:val="24"/>
        </w:rPr>
      </w:pPr>
      <w:r>
        <w:rPr>
          <w:rFonts w:ascii="Times New Roman" w:hAnsi="Times New Roman" w:cs="Times New Roman"/>
          <w:b/>
          <w:noProof/>
          <w:color w:val="000000"/>
          <w:sz w:val="24"/>
        </w:rPr>
        <w:t>A transforma o educație de înaltă calitate într-o realitate pentru toți tinerii reprezintă o preocupare esențială pentru viitorul Europei.</w:t>
      </w:r>
      <w:r>
        <w:rPr>
          <w:rFonts w:ascii="Times New Roman" w:hAnsi="Times New Roman" w:cs="Times New Roman"/>
          <w:noProof/>
          <w:color w:val="000000"/>
          <w:sz w:val="24"/>
        </w:rPr>
        <w:t xml:space="preserve"> Documentul de reflecție privind dimensiunea socială a Europei din aprilie 2017</w:t>
      </w:r>
      <w:r>
        <w:rPr>
          <w:rFonts w:ascii="Times New Roman" w:hAnsi="Times New Roman" w:cs="Times New Roman"/>
          <w:noProof/>
          <w:sz w:val="24"/>
          <w:vertAlign w:val="superscript"/>
        </w:rPr>
        <w:footnoteReference w:id="60"/>
      </w:r>
      <w:r>
        <w:rPr>
          <w:rFonts w:ascii="Times New Roman" w:hAnsi="Times New Roman" w:cs="Times New Roman"/>
          <w:noProof/>
          <w:color w:val="000000"/>
          <w:sz w:val="24"/>
        </w:rPr>
        <w:t xml:space="preserve"> subliniază faptul că</w:t>
      </w:r>
      <w:r>
        <w:rPr>
          <w:rFonts w:ascii="Times New Roman" w:hAnsi="Times New Roman" w:cs="Times New Roman"/>
          <w:noProof/>
        </w:rPr>
        <w:t xml:space="preserve"> </w:t>
      </w:r>
      <w:r>
        <w:rPr>
          <w:rFonts w:ascii="Times New Roman" w:hAnsi="Times New Roman" w:cs="Times New Roman"/>
          <w:noProof/>
          <w:color w:val="000000"/>
          <w:sz w:val="24"/>
        </w:rPr>
        <w:t>educația este unul dintre factorii care vor determina tot mai mult viitorul societăților și economiilor noastre</w:t>
      </w:r>
      <w:r>
        <w:rPr>
          <w:rFonts w:ascii="Times New Roman" w:hAnsi="Times New Roman" w:cs="Times New Roman"/>
          <w:noProof/>
        </w:rPr>
        <w:t>;</w:t>
      </w:r>
      <w:r>
        <w:rPr>
          <w:rFonts w:ascii="Times New Roman" w:hAnsi="Times New Roman" w:cs="Times New Roman"/>
          <w:noProof/>
          <w:color w:val="000000"/>
          <w:sz w:val="24"/>
        </w:rPr>
        <w:t xml:space="preserve"> în Declarația de la Roma din 27 martie 2017, 27 de state membre se angajează să lucreze pentru </w:t>
      </w:r>
      <w:r>
        <w:rPr>
          <w:rFonts w:ascii="Times New Roman" w:hAnsi="Times New Roman" w:cs="Times New Roman"/>
          <w:i/>
          <w:noProof/>
          <w:color w:val="000000"/>
          <w:sz w:val="24"/>
        </w:rPr>
        <w:t xml:space="preserve">„O Europă socială: </w:t>
      </w:r>
      <w:r>
        <w:rPr>
          <w:rFonts w:ascii="Times New Roman" w:hAnsi="Times New Roman" w:cs="Times New Roman"/>
          <w:i/>
          <w:noProof/>
        </w:rPr>
        <w:t>…o Uniune în care tinerii primesc cea mai bună educație și formare și în care pot studia și găsi locuri de muncă pe întregul continent”</w:t>
      </w:r>
      <w:r>
        <w:rPr>
          <w:rStyle w:val="FootnoteReference"/>
          <w:rFonts w:ascii="Times New Roman" w:hAnsi="Times New Roman"/>
          <w:noProof/>
          <w:color w:val="000000"/>
          <w:sz w:val="24"/>
        </w:rPr>
        <w:footnoteReference w:id="61"/>
      </w:r>
      <w:r>
        <w:rPr>
          <w:rFonts w:ascii="Times New Roman" w:hAnsi="Times New Roman" w:cs="Times New Roman"/>
          <w:i/>
          <w:noProof/>
        </w:rPr>
        <w:t>.</w:t>
      </w:r>
      <w:r>
        <w:rPr>
          <w:rFonts w:ascii="Times New Roman" w:hAnsi="Times New Roman" w:cs="Times New Roman"/>
          <w:noProof/>
          <w:color w:val="000000"/>
          <w:sz w:val="24"/>
        </w:rPr>
        <w:t xml:space="preserve"> </w:t>
      </w:r>
    </w:p>
    <w:p>
      <w:pPr>
        <w:spacing w:line="240" w:lineRule="auto"/>
        <w:jc w:val="both"/>
        <w:rPr>
          <w:rFonts w:ascii="Times New Roman" w:hAnsi="Times New Roman" w:cs="Times New Roman"/>
          <w:iCs/>
          <w:noProof/>
          <w:color w:val="000000"/>
          <w:sz w:val="24"/>
          <w:szCs w:val="24"/>
        </w:rPr>
      </w:pPr>
      <w:r>
        <w:rPr>
          <w:rFonts w:ascii="Times New Roman" w:hAnsi="Times New Roman" w:cs="Times New Roman"/>
          <w:b/>
          <w:noProof/>
          <w:color w:val="000000"/>
          <w:sz w:val="24"/>
        </w:rPr>
        <w:t xml:space="preserve">Colaborare în direcția unui angajament comun. </w:t>
      </w:r>
      <w:r>
        <w:rPr>
          <w:rFonts w:ascii="Times New Roman" w:hAnsi="Times New Roman" w:cs="Times New Roman"/>
          <w:noProof/>
          <w:color w:val="000000"/>
          <w:sz w:val="24"/>
        </w:rPr>
        <w:t>Ameliorarea învățământului rămâne o prioritate majoră. Acest lucru se aplică statelor membre și UE și va necesita o cooperare strânsă. Una dintre sarcinile statelor membre este reformarea sistemelor lor de învățământ. Comisia este gata să le acorde sprijin prin valorificarea instrumentelor și proceselor UE. În special, semestrul european este un factor verificat pentru reforme. Alte activități, cum ar fi cooperarea voluntară în cadrul ET 2020, ar trebui dezvoltate în continuare, astfel încât să ofere statelor membre cea mai bună valoare adăugată posibilă. În special, Monitorul educației și formării ar trebui utilizat integral pentru a ajuta statele membre să ia decizii politice în cunoștință de cauză și bazate pe date concrete. O întrebare-cheie pentru cooperarea viitoare este dacă să se stabilească un criteriu de referință mai ambițios în ceea ce privește lupta împotriva abandonului școlar. O altă chestiune esențială este modul în care se poate valorifica la maximum programul Erasmus+ pentru a le oferi mai multor tineri europeni experiențe de învățare în străinătate și pentru a spori capacitățile existente, cu scopul de a sprijini dezvoltarea și inovarea în învățământ și în formarea cadrelor didactice.</w:t>
      </w:r>
    </w:p>
    <w:p>
      <w:pPr>
        <w:spacing w:line="240" w:lineRule="auto"/>
        <w:jc w:val="both"/>
        <w:rPr>
          <w:rFonts w:ascii="Times New Roman" w:hAnsi="Times New Roman" w:cs="Times New Roman"/>
          <w:iCs/>
          <w:noProof/>
          <w:color w:val="000000"/>
          <w:sz w:val="24"/>
          <w:szCs w:val="24"/>
        </w:rPr>
      </w:pPr>
      <w:r>
        <w:rPr>
          <w:rFonts w:ascii="Times New Roman" w:hAnsi="Times New Roman" w:cs="Times New Roman"/>
          <w:noProof/>
          <w:color w:val="000000"/>
          <w:sz w:val="24"/>
        </w:rPr>
        <w:t>Succesul va depinde de o cooperare strânsă. Un summit pe tema educației, planificat a avea loc la începutul anului 2018, va aborda echitatea în educație și modul în care pot fi mai bine sprijinite în acest domeniu grupurile dezavantajate. Summitul va oferi o primă ocazie de a discuta despre viitorul cooperării europene în domeniul educației și în special în cel al învățământului.</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08182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940, 941.</w:t>
      </w:r>
    </w:p>
  </w:footnote>
  <w:footnote w:id="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381.</w:t>
      </w:r>
    </w:p>
  </w:footnote>
  <w:footnote w:id="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 250.</w:t>
      </w:r>
    </w:p>
  </w:footnote>
  <w:footnote w:id="5">
    <w:p>
      <w:pPr>
        <w:pStyle w:val="Default"/>
      </w:pPr>
      <w:r>
        <w:rPr>
          <w:rStyle w:val="FootnoteReference"/>
          <w:sz w:val="20"/>
        </w:rPr>
        <w:footnoteRef/>
      </w:r>
      <w:r>
        <w:rPr>
          <w:sz w:val="20"/>
        </w:rPr>
        <w:t xml:space="preserve"> </w:t>
      </w:r>
      <w:r>
        <w:rPr>
          <w:color w:val="auto"/>
          <w:sz w:val="20"/>
        </w:rPr>
        <w:t>Concluziile adoptate de Consiliul European la 15 decembrie 2016.</w:t>
      </w:r>
    </w:p>
  </w:footnote>
  <w:footnote w:id="6">
    <w:p>
      <w:pPr>
        <w:pStyle w:val="FootnoteText"/>
        <w:rPr>
          <w:rFonts w:ascii="Times New Roman" w:hAnsi="Times New Roman" w:cs="Times New Roman"/>
        </w:rPr>
      </w:pPr>
      <w:r>
        <w:rPr>
          <w:rStyle w:val="FootnoteReference"/>
        </w:rPr>
        <w:footnoteRef/>
      </w:r>
      <w:r>
        <w:t xml:space="preserve"> </w:t>
      </w:r>
      <w:r>
        <w:rPr>
          <w:rFonts w:ascii="Times New Roman" w:hAnsi="Times New Roman"/>
        </w:rPr>
        <w:t>http://www.un.org/sustainabledevelopment/education/</w:t>
      </w:r>
    </w:p>
  </w:footnote>
  <w:footnote w:id="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Provocările menționate în prezenta comunicare se aplică atât sistemului general de învățământ, cât și învățământului profesional.</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(2016), </w:t>
      </w:r>
      <w:r>
        <w:rPr>
          <w:rFonts w:ascii="Times New Roman" w:hAnsi="Times New Roman"/>
          <w:i/>
        </w:rPr>
        <w:t>PISA 2015: EU performance and initial conclusions regarding education policies in Europe</w:t>
      </w:r>
      <w:r>
        <w:rPr>
          <w:rFonts w:ascii="Times New Roman" w:hAnsi="Times New Roman"/>
        </w:rPr>
        <w:t xml:space="preserve"> (Performanța în UE și concluzii inițiale privind politicile din domeniul educației în Europa). Ponderea elevilor cu rezultate slabe a crescut în perioada 2012-2015 de la 16,6 % la 20,6 % în domeniul științelor, de la 17,8 % la 19,7 % în ceea ce privește citirea, iar în privința matematicii, ponderea a stagnat la aproximativ 22 %. Proporția tinerilor cu cel mai înalt nivel de performanță în știință este de 24 % în Singapore și de 15 % în Japonia. Niciun stat membru al UE nu se ridică la această performanță.</w:t>
      </w:r>
    </w:p>
  </w:footnote>
  <w:footnote w:id="9">
    <w:p>
      <w:pPr>
        <w:pStyle w:val="FootnoteText"/>
      </w:pPr>
      <w:r>
        <w:rPr>
          <w:rStyle w:val="FootnoteReference"/>
          <w:rFonts w:ascii="Times New Roman" w:hAnsi="Times New Roman"/>
        </w:rPr>
        <w:footnoteRef/>
      </w:r>
      <w:r>
        <w:rPr>
          <w:rFonts w:ascii="Times New Roman" w:hAnsi="Times New Roman"/>
        </w:rPr>
        <w:t xml:space="preserve"> Comisia Europeană (2015), </w:t>
      </w:r>
      <w:r>
        <w:rPr>
          <w:rFonts w:ascii="Times New Roman" w:hAnsi="Times New Roman"/>
          <w:i/>
        </w:rPr>
        <w:t>Being young in Europe today - digital world</w:t>
      </w:r>
      <w:r>
        <w:rPr>
          <w:rFonts w:ascii="Times New Roman" w:hAnsi="Times New Roman"/>
        </w:rPr>
        <w:t xml:space="preserve"> (A fi tânăr astăzi în Europa - lumea digitală).</w:t>
      </w:r>
    </w:p>
  </w:footnote>
  <w:footnote w:id="10">
    <w:p>
      <w:pPr>
        <w:pStyle w:val="FootnoteText"/>
      </w:pPr>
      <w:r>
        <w:rPr>
          <w:rStyle w:val="FootnoteReference"/>
          <w:rFonts w:ascii="Times New Roman" w:hAnsi="Times New Roman"/>
        </w:rPr>
        <w:footnoteRef/>
      </w:r>
      <w:r>
        <w:rPr>
          <w:rFonts w:ascii="Times New Roman" w:hAnsi="Times New Roman"/>
        </w:rPr>
        <w:t xml:space="preserve"> Programul OCDE privind evaluarea internațională a elevilor (PISA), studiul din 2015.</w:t>
      </w:r>
    </w:p>
  </w:footnote>
  <w:footnote w:id="11">
    <w:p>
      <w:pPr>
        <w:pStyle w:val="FootnoteText"/>
      </w:pPr>
      <w:r>
        <w:rPr>
          <w:rStyle w:val="FootnoteReference"/>
        </w:rPr>
        <w:footnoteRef/>
      </w:r>
      <w:r>
        <w:t xml:space="preserve"> </w:t>
      </w:r>
      <w:r>
        <w:rPr>
          <w:rFonts w:ascii="Times New Roman" w:hAnsi="Times New Roman"/>
        </w:rPr>
        <w:t>Comisia Europeană (2016),</w:t>
      </w:r>
      <w:r>
        <w:rPr>
          <w:rFonts w:ascii="Times New Roman" w:hAnsi="Times New Roman"/>
          <w:i/>
        </w:rPr>
        <w:t xml:space="preserve"> Monitorul educației și formării 2016</w:t>
      </w:r>
      <w:r>
        <w:rPr>
          <w:rFonts w:ascii="Times New Roman" w:hAnsi="Times New Roman"/>
        </w:rPr>
        <w:t>.</w:t>
      </w:r>
    </w:p>
  </w:footnote>
  <w:footnote w:id="1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Raportul privind progresele digitale înregistrate la nivel european (EDPR) 2017, SWD (2017) 160.</w:t>
      </w:r>
    </w:p>
  </w:footnote>
  <w:footnote w:id="13">
    <w:p>
      <w:pPr>
        <w:pStyle w:val="FootnoteText"/>
      </w:pPr>
      <w:r>
        <w:rPr>
          <w:rStyle w:val="FootnoteReference"/>
          <w:rFonts w:ascii="Times New Roman" w:hAnsi="Times New Roman"/>
        </w:rPr>
        <w:footnoteRef/>
      </w:r>
      <w:r>
        <w:t xml:space="preserve"> </w:t>
      </w:r>
      <w:r>
        <w:rPr>
          <w:rFonts w:ascii="Times New Roman" w:hAnsi="Times New Roman"/>
        </w:rPr>
        <w:t>COM(2017) 240, COM(2017) 206.</w:t>
      </w:r>
    </w:p>
  </w:footnote>
  <w:footnote w:id="1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
        <w:r>
          <w:rPr>
            <w:rStyle w:val="Hyperlink"/>
            <w:rFonts w:ascii="Times New Roman" w:hAnsi="Times New Roman"/>
          </w:rPr>
          <w:t>https://ec.europa.eu/jrc/en/digcomporg/selfie-tool</w:t>
        </w:r>
      </w:hyperlink>
    </w:p>
  </w:footnote>
  <w:footnote w:id="15">
    <w:p>
      <w:pPr>
        <w:pStyle w:val="FootnoteText"/>
        <w:tabs>
          <w:tab w:val="left" w:pos="1418"/>
          <w:tab w:val="left" w:pos="1884"/>
        </w:tabs>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2006/962/CE.</w:t>
      </w:r>
    </w:p>
  </w:footnote>
  <w:footnote w:id="1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Europeană/EACEA/Eurydice (2016), </w:t>
      </w:r>
      <w:r>
        <w:rPr>
          <w:rFonts w:ascii="Times New Roman" w:hAnsi="Times New Roman"/>
          <w:i/>
        </w:rPr>
        <w:t>Entrepreneurship Education at School</w:t>
      </w:r>
      <w:r>
        <w:rPr>
          <w:rFonts w:ascii="Times New Roman" w:hAnsi="Times New Roman"/>
        </w:rPr>
        <w:t xml:space="preserve"> (Educația antreprenorială în școlile din Europa).</w:t>
      </w:r>
      <w:r>
        <w:rPr>
          <w:rFonts w:ascii="Times New Roman" w:eastAsiaTheme="minorHAnsi" w:hAnsi="Times New Roman"/>
          <w:sz w:val="22"/>
        </w:rPr>
        <w:t xml:space="preserve"> </w:t>
      </w:r>
      <w:r>
        <w:rPr>
          <w:rFonts w:ascii="Times New Roman" w:hAnsi="Times New Roman"/>
        </w:rPr>
        <w:t xml:space="preserve">A se vedea, de asemenea, cadrul de competențe antreprenoriale: </w:t>
      </w:r>
      <w:hyperlink r:id="rId2">
        <w:r>
          <w:rPr>
            <w:rStyle w:val="Hyperlink"/>
            <w:rFonts w:ascii="Times New Roman" w:hAnsi="Times New Roman"/>
          </w:rPr>
          <w:t>https://ec.europa.eu/jrc/en/entrecomp</w:t>
        </w:r>
      </w:hyperlink>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(2015), </w:t>
      </w:r>
      <w:r>
        <w:rPr>
          <w:rFonts w:ascii="Times New Roman" w:hAnsi="Times New Roman"/>
          <w:i/>
        </w:rPr>
        <w:t>Science Education for Responsible Citizenship</w:t>
      </w:r>
      <w:r>
        <w:rPr>
          <w:rFonts w:ascii="Times New Roman" w:hAnsi="Times New Roman"/>
        </w:rPr>
        <w:t xml:space="preserve"> (Educație științifică pentru o cetățenie responsabilă).</w:t>
      </w:r>
    </w:p>
  </w:footnote>
  <w:footnote w:id="1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(2013), </w:t>
      </w:r>
      <w:r>
        <w:rPr>
          <w:rFonts w:ascii="Times New Roman" w:hAnsi="Times New Roman"/>
          <w:i/>
        </w:rPr>
        <w:t>Survey of Schools: ICT in Education Benchmarking Access, Use and Attitudes to Technology in Europe's schools</w:t>
      </w:r>
      <w:r>
        <w:rPr>
          <w:rFonts w:ascii="Times New Roman" w:hAnsi="Times New Roman"/>
        </w:rPr>
        <w:t xml:space="preserve"> (Studiu privind școlile: TIC în educație – Evaluare comparativă a accesului la tehnologie, a utilizării tehnologiei și a atitudinilor față de aceasta în școlile din Europa).</w:t>
      </w:r>
    </w:p>
  </w:footnote>
  <w:footnote w:id="1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(2015), </w:t>
      </w:r>
      <w:r>
        <w:rPr>
          <w:rFonts w:ascii="Times New Roman" w:hAnsi="Times New Roman"/>
          <w:i/>
        </w:rPr>
        <w:t>Language teaching and learning in multilingual classrooms</w:t>
      </w:r>
      <w:r>
        <w:rPr>
          <w:rFonts w:ascii="Times New Roman" w:hAnsi="Times New Roman"/>
        </w:rPr>
        <w:t xml:space="preserve"> (Predarea și învățarea limbilor străine în sălile de curs multilingve).</w:t>
      </w:r>
      <w:r>
        <w:t xml:space="preserve"> </w:t>
      </w:r>
      <w:r>
        <w:rPr>
          <w:rFonts w:ascii="Times New Roman" w:hAnsi="Times New Roman"/>
        </w:rPr>
        <w:t>În programul de lucru 2018-2020 din cadrul Orizont 2020, Comisia prevede sprijin pentru proiecte de cercetare pe tema incluziunii copiilor de migranți în sistemele de învățământ din UE (data-țintă pentru adoptare este luna octombrie 2017).</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Organizația Națiunilor Unite, Comitetul pentru drepturile persoanelor cu handicap (2015): </w:t>
      </w:r>
      <w:r>
        <w:rPr>
          <w:rFonts w:ascii="Times New Roman" w:hAnsi="Times New Roman"/>
          <w:i/>
        </w:rPr>
        <w:t>Concluding observations on the initial report of the European Union, CRPD/C/EU/CO/1 of 2 October 2015</w:t>
      </w:r>
      <w:r>
        <w:rPr>
          <w:rFonts w:ascii="Times New Roman" w:hAnsi="Times New Roman"/>
        </w:rPr>
        <w:t xml:space="preserve"> (Observații finale cu privire la raportul inițial al Uniunii Europene), CRPD/C/EU/CO/1 din 2 octombrie 2015).</w:t>
      </w:r>
    </w:p>
  </w:footnote>
  <w:footnote w:id="2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În planul său de acțiune referitor la integrarea resortisanților din țări terțe, Comisia Europeană propune o serie de măsuri de sprijin în ceea ce privește educația și formarea copiilor de migranți. COM(2016) 377 final. </w:t>
      </w:r>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INCLUDE-ED </w:t>
      </w:r>
      <w:hyperlink r:id="rId3">
        <w:r>
          <w:rPr>
            <w:rStyle w:val="Hyperlink"/>
            <w:rFonts w:ascii="Times New Roman" w:hAnsi="Times New Roman"/>
          </w:rPr>
          <w:t>http://creaub.info/included</w:t>
        </w:r>
      </w:hyperlink>
      <w:r>
        <w:rPr>
          <w:rFonts w:ascii="Times New Roman" w:hAnsi="Times New Roman"/>
        </w:rPr>
        <w:t>; Rețeaua europeană pentru dezvoltarea politicilor de orientare pe tot parcursul vieții, www.elgpn.eu.</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(2015), </w:t>
      </w:r>
      <w:r>
        <w:rPr>
          <w:rFonts w:ascii="Times New Roman" w:hAnsi="Times New Roman"/>
          <w:i/>
        </w:rPr>
        <w:t>Science Education for Responsible Citizenship</w:t>
      </w:r>
      <w:r>
        <w:rPr>
          <w:rFonts w:ascii="Times New Roman" w:hAnsi="Times New Roman"/>
        </w:rPr>
        <w:t xml:space="preserve"> (Educație științifică pentru o cetățenie responsabilă).</w:t>
      </w:r>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RESL.eu – Reducerea abandonului școlar în Europa, www.uantwerpen.be/en/projects/resl-eu/</w:t>
      </w:r>
    </w:p>
  </w:footnote>
  <w:footnote w:id="25">
    <w:p>
      <w:pPr>
        <w:pStyle w:val="FootnoteText"/>
        <w:jc w:val="both"/>
        <w:rPr>
          <w:rFonts w:eastAsia="Times New Roman"/>
        </w:rPr>
      </w:pPr>
      <w:r>
        <w:rPr>
          <w:rStyle w:val="FootnoteReference"/>
          <w:rFonts w:ascii="Times New Roman" w:hAnsi="Times New Roman"/>
        </w:rPr>
        <w:footnoteRef/>
      </w:r>
      <w:r>
        <w:rPr>
          <w:rFonts w:ascii="Times New Roman" w:hAnsi="Times New Roman"/>
        </w:rPr>
        <w:t xml:space="preserve"> OCDE (2017), </w:t>
      </w:r>
      <w:r>
        <w:rPr>
          <w:rFonts w:ascii="Times New Roman" w:hAnsi="Times New Roman"/>
          <w:i/>
        </w:rPr>
        <w:t>PISA 2015 (Volumul III)</w:t>
      </w:r>
      <w:r>
        <w:rPr>
          <w:rFonts w:ascii="Times New Roman" w:hAnsi="Times New Roman"/>
        </w:rPr>
        <w:t>.</w:t>
      </w:r>
    </w:p>
  </w:footnote>
  <w:footnote w:id="2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Ttofi, M.M., Farrington, D.P. (2011): </w:t>
      </w:r>
      <w:r>
        <w:rPr>
          <w:rFonts w:ascii="Times New Roman" w:hAnsi="Times New Roman"/>
          <w:i/>
        </w:rPr>
        <w:t>Effectiveness of school-based programs to reduce bullying: a systematic and meta-analytic review</w:t>
      </w:r>
      <w:r>
        <w:rPr>
          <w:rFonts w:ascii="Times New Roman" w:hAnsi="Times New Roman"/>
        </w:rPr>
        <w:t xml:space="preserve"> (Eficacitatea programelor școlare pentru reducerea comportamentului agresiv: o analiză sistematică și metaanalitică), </w:t>
      </w:r>
      <w:r>
        <w:rPr>
          <w:rFonts w:ascii="Times New Roman" w:hAnsi="Times New Roman"/>
          <w:i/>
        </w:rPr>
        <w:t>Journal of Experimental Criminology</w:t>
      </w:r>
      <w:r>
        <w:rPr>
          <w:rFonts w:ascii="Times New Roman" w:hAnsi="Times New Roman"/>
        </w:rPr>
        <w:t>, Vol. 7, N. 1, 27-56.</w:t>
      </w:r>
    </w:p>
  </w:footnote>
  <w:footnote w:id="27">
    <w:p>
      <w:pPr>
        <w:pStyle w:val="FootnoteText"/>
      </w:pPr>
      <w:r>
        <w:rPr>
          <w:rStyle w:val="FootnoteReference"/>
          <w:rFonts w:ascii="Times New Roman" w:hAnsi="Times New Roman"/>
        </w:rPr>
        <w:footnoteRef/>
      </w:r>
      <w:r>
        <w:t xml:space="preserve"> </w:t>
      </w:r>
      <w:r>
        <w:rPr>
          <w:rFonts w:ascii="Times New Roman" w:hAnsi="Times New Roman"/>
        </w:rPr>
        <w:t xml:space="preserve">Comisia Europeană (2015), </w:t>
      </w:r>
      <w:r>
        <w:rPr>
          <w:rFonts w:ascii="Times New Roman" w:hAnsi="Times New Roman"/>
          <w:i/>
        </w:rPr>
        <w:t>A whole school approach to tackling early school leaving</w:t>
      </w:r>
      <w:r>
        <w:rPr>
          <w:rFonts w:ascii="Times New Roman" w:hAnsi="Times New Roman"/>
        </w:rPr>
        <w:t xml:space="preserve"> (O abordare a școlii în totalitate pentru combaterea abandonului școlar).</w:t>
      </w:r>
    </w:p>
  </w:footnote>
  <w:footnote w:id="2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https://www.schooleducationgateway.eu/ro/pub/resources/toolkitsforschools.htm</w:t>
      </w:r>
    </w:p>
  </w:footnote>
  <w:footnote w:id="29">
    <w:p>
      <w:pPr>
        <w:pStyle w:val="FootnoteText"/>
      </w:pPr>
      <w:r>
        <w:rPr>
          <w:rStyle w:val="FootnoteReference"/>
        </w:rPr>
        <w:footnoteRef/>
      </w:r>
      <w:r>
        <w:t xml:space="preserve"> </w:t>
      </w:r>
      <w:r>
        <w:rPr>
          <w:rFonts w:ascii="Times New Roman" w:hAnsi="Times New Roman"/>
        </w:rPr>
        <w:t>În scopul de a sărbători cea de a 30-a aniversare a Programului Erasmus, acțiunea „Move2Learn, Learn2Move” le oferă, în 2017, tinerilor care participă activ la proiectele eTwinning posibilitatea de a călători și de a-și întâlni colegii ca parte din experiența personală de învățare.</w:t>
      </w:r>
      <w:r>
        <w:rPr>
          <w:rFonts w:asciiTheme="minorHAnsi" w:eastAsiaTheme="minorHAnsi" w:hAnsiTheme="minorHAnsi" w:cstheme="minorBidi"/>
          <w:sz w:val="22"/>
        </w:rPr>
        <w:t xml:space="preserve"> </w:t>
      </w:r>
      <w:r>
        <w:rPr>
          <w:rFonts w:ascii="Times New Roman" w:hAnsi="Times New Roman"/>
        </w:rPr>
        <w:t>Comisia va evalua inițiativa din 2017 și ar putea, fără ca bugetul Erasmus+ să fie afectat și utilizând contribuții din evaluare, să aibă în vedere în viitor o inițiativă similară.</w:t>
      </w:r>
    </w:p>
  </w:footnote>
  <w:footnote w:id="3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https://www.etwinning.net/ro/pub/index.htm</w:t>
      </w:r>
    </w:p>
  </w:footnote>
  <w:footnote w:id="3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OCDE </w:t>
      </w:r>
      <w:r>
        <w:rPr>
          <w:rFonts w:ascii="Times New Roman" w:hAnsi="Times New Roman" w:cs="Times New Roman"/>
        </w:rPr>
        <w:t>(2016)</w:t>
      </w:r>
      <w:r>
        <w:rPr>
          <w:rFonts w:ascii="Times New Roman" w:hAnsi="Times New Roman"/>
        </w:rPr>
        <w:t xml:space="preserve">, </w:t>
      </w:r>
      <w:r>
        <w:rPr>
          <w:rFonts w:ascii="Times New Roman" w:hAnsi="Times New Roman"/>
          <w:i/>
        </w:rPr>
        <w:t>Low-Performing Students: why they fall behind and how to help them succeed</w:t>
      </w:r>
      <w:r>
        <w:rPr>
          <w:rFonts w:ascii="Times New Roman" w:hAnsi="Times New Roman"/>
        </w:rPr>
        <w:t xml:space="preserve"> (Elevii cu rezultate slabe: de ce rămân în urmă și cum putem să îi ajutăm să reușească).</w:t>
      </w:r>
    </w:p>
  </w:footnote>
  <w:footnote w:id="3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Cunha, F. et al. (2006), </w:t>
      </w:r>
      <w:r>
        <w:rPr>
          <w:rFonts w:ascii="Times New Roman" w:hAnsi="Times New Roman"/>
          <w:i/>
        </w:rPr>
        <w:t>Interpreting the Evidence on Life Cycle Skill Formation</w:t>
      </w:r>
      <w:r>
        <w:rPr>
          <w:rFonts w:ascii="Times New Roman" w:hAnsi="Times New Roman"/>
        </w:rPr>
        <w:t xml:space="preserve"> (Interpretarea dovezilor privind formarea competențelor pe parcursul ciclului de viață), în </w:t>
      </w:r>
      <w:r>
        <w:rPr>
          <w:rFonts w:ascii="Times New Roman" w:hAnsi="Times New Roman"/>
          <w:i/>
        </w:rPr>
        <w:t>Handbook of the Economics of Education, Vol. 1</w:t>
      </w:r>
      <w:r>
        <w:rPr>
          <w:rFonts w:ascii="Times New Roman" w:hAnsi="Times New Roman"/>
        </w:rPr>
        <w:t xml:space="preserve">, Amsterdam, Olanda de Nord. </w:t>
      </w:r>
    </w:p>
  </w:footnote>
  <w:footnote w:id="3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Consiliul a stabilit, în cadrul programului Educație și formare profesională 2020, un criteriu de referință pentru UE, care impune participarea la ECEC a cel puțin 95 % dintre copiii cu vârste între 4 ani și vârsta de școlarizare obligatorie. În 2014, rata de participare la nivelul UE a fost de 94,3 %.</w:t>
      </w:r>
    </w:p>
  </w:footnote>
  <w:footnote w:id="34">
    <w:p>
      <w:pPr>
        <w:pStyle w:val="FootnoteText"/>
        <w:rPr>
          <w:rFonts w:ascii="Times New Roman" w:hAnsi="Times New Roman" w:cs="Times New Roman"/>
          <w:i/>
        </w:rPr>
      </w:pPr>
      <w:r>
        <w:rPr>
          <w:rStyle w:val="FootnoteReference"/>
          <w:rFonts w:ascii="Times New Roman" w:hAnsi="Times New Roman"/>
        </w:rPr>
        <w:footnoteRef/>
      </w:r>
      <w:r>
        <w:rPr>
          <w:rFonts w:ascii="Times New Roman" w:hAnsi="Times New Roman"/>
        </w:rPr>
        <w:t xml:space="preserve"> Eurydice (2014), Policy Brief </w:t>
      </w:r>
      <w:r>
        <w:rPr>
          <w:rFonts w:ascii="Times New Roman" w:hAnsi="Times New Roman"/>
          <w:i/>
        </w:rPr>
        <w:t>Early Childhood Education and Care (Educația și îngrijirea copiilor preșcolari).</w:t>
      </w:r>
    </w:p>
  </w:footnote>
  <w:footnote w:id="35">
    <w:p>
      <w:pPr>
        <w:pStyle w:val="FootnoteText"/>
        <w:jc w:val="both"/>
      </w:pPr>
      <w:r>
        <w:rPr>
          <w:rStyle w:val="FootnoteReference"/>
          <w:rFonts w:ascii="Times New Roman" w:hAnsi="Times New Roman"/>
        </w:rPr>
        <w:footnoteRef/>
      </w:r>
      <w:r>
        <w:rPr>
          <w:rFonts w:ascii="Times New Roman" w:hAnsi="Times New Roman"/>
        </w:rPr>
        <w:t xml:space="preserve"> Comisia Europeană (2014), </w:t>
      </w:r>
      <w:r>
        <w:rPr>
          <w:rFonts w:ascii="Times New Roman" w:hAnsi="Times New Roman"/>
          <w:i/>
        </w:rPr>
        <w:t>Proposal for key principles of a Quality Framework for Early Childhood Education and Care</w:t>
      </w:r>
      <w:r>
        <w:rPr>
          <w:rFonts w:ascii="Times New Roman" w:hAnsi="Times New Roman"/>
        </w:rPr>
        <w:t>(Propunere de principii-cheie pentru un cadru de calitate pentru educația și îngrijirea copiilor preșcolari). Raport al Grupului de lucru privind educația și îngrijirea copiilor preșcolari.</w:t>
      </w:r>
    </w:p>
  </w:footnote>
  <w:footnote w:id="36">
    <w:p>
      <w:pPr>
        <w:pStyle w:val="FootnoteText"/>
      </w:pPr>
      <w:r>
        <w:rPr>
          <w:rStyle w:val="FootnoteReference"/>
          <w:rFonts w:ascii="Times New Roman" w:hAnsi="Times New Roman"/>
        </w:rPr>
        <w:footnoteRef/>
      </w:r>
      <w:r>
        <w:t xml:space="preserve"> </w:t>
      </w:r>
      <w:hyperlink r:id="rId4">
        <w:r>
          <w:rPr>
            <w:rStyle w:val="Hyperlink"/>
            <w:rFonts w:ascii="Times New Roman" w:hAnsi="Times New Roman"/>
          </w:rPr>
          <w:t>http://eacea.ec.europa.eu/education/eurydice/index_en.php</w:t>
        </w:r>
      </w:hyperlink>
    </w:p>
  </w:footnote>
  <w:footnote w:id="37">
    <w:p>
      <w:pPr>
        <w:pStyle w:val="FootnoteText"/>
      </w:pPr>
      <w:r>
        <w:rPr>
          <w:rStyle w:val="FootnoteReference"/>
          <w:rFonts w:ascii="Times New Roman" w:hAnsi="Times New Roman"/>
        </w:rPr>
        <w:footnoteRef/>
      </w:r>
      <w:r>
        <w:rPr>
          <w:rFonts w:ascii="Times New Roman" w:hAnsi="Times New Roman"/>
        </w:rPr>
        <w:t xml:space="preserve"> Comisia Europeană (2013), </w:t>
      </w:r>
      <w:r>
        <w:rPr>
          <w:rFonts w:ascii="Times New Roman" w:hAnsi="Times New Roman"/>
          <w:i/>
        </w:rPr>
        <w:t>Study on Policy Measures to improve the Attractiveness of the Teaching Profession in Europe</w:t>
      </w:r>
      <w:r>
        <w:rPr>
          <w:rFonts w:ascii="Times New Roman" w:hAnsi="Times New Roman"/>
        </w:rPr>
        <w:t xml:space="preserve"> (Studiu privind măsuri de politică în vederea îmbunătățirii atractivității profesiei de cadru didactic în Europa).</w:t>
      </w:r>
    </w:p>
  </w:footnote>
  <w:footnote w:id="38">
    <w:p>
      <w:pPr>
        <w:pStyle w:val="FootnoteText"/>
      </w:pPr>
      <w:r>
        <w:rPr>
          <w:rStyle w:val="FootnoteReference"/>
          <w:rFonts w:ascii="Times New Roman" w:hAnsi="Times New Roman"/>
        </w:rPr>
        <w:footnoteRef/>
      </w:r>
      <w:r>
        <w:t xml:space="preserve"> </w:t>
      </w:r>
      <w:r>
        <w:rPr>
          <w:rFonts w:ascii="Times New Roman" w:hAnsi="Times New Roman"/>
        </w:rPr>
        <w:t xml:space="preserve">Comisia Europeană/EACEA/Eurydice (2013), </w:t>
      </w:r>
      <w:r>
        <w:rPr>
          <w:rFonts w:ascii="Times New Roman" w:hAnsi="Times New Roman"/>
          <w:i/>
        </w:rPr>
        <w:t>Date cheie privind cadrele didactice și conducătorii de școli din Europa.</w:t>
      </w:r>
    </w:p>
  </w:footnote>
  <w:footnote w:id="3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OCDE (2016), </w:t>
      </w:r>
      <w:r>
        <w:rPr>
          <w:rFonts w:ascii="Times New Roman" w:hAnsi="Times New Roman"/>
          <w:i/>
        </w:rPr>
        <w:t>Education at a Glance 2016: OECD indicators</w:t>
      </w:r>
      <w:r>
        <w:rPr>
          <w:rFonts w:ascii="Times New Roman" w:hAnsi="Times New Roman"/>
        </w:rPr>
        <w:t xml:space="preserve"> (O privire asupra educației 2016: indicatori OCDE). Date pentru 22 de state membre ale UE. </w:t>
      </w:r>
    </w:p>
  </w:footnote>
  <w:footnote w:id="4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(2013), ibidem.</w:t>
      </w:r>
    </w:p>
  </w:footnote>
  <w:footnote w:id="4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OCDE (2014), Rezultatele TALIS 2013: </w:t>
      </w:r>
      <w:r>
        <w:rPr>
          <w:rFonts w:ascii="Times New Roman" w:hAnsi="Times New Roman"/>
          <w:i/>
        </w:rPr>
        <w:t>An International Perspective on Teaching and Learning</w:t>
      </w:r>
      <w:r>
        <w:rPr>
          <w:rFonts w:ascii="Times New Roman" w:hAnsi="Times New Roman"/>
        </w:rPr>
        <w:t xml:space="preserve"> (O perspectivă internațională asupra predării și învățării).</w:t>
      </w:r>
    </w:p>
  </w:footnote>
  <w:footnote w:id="4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The Teaching Profession in Europe</w:t>
      </w:r>
      <w:r>
        <w:rPr>
          <w:rFonts w:ascii="Times New Roman" w:hAnsi="Times New Roman"/>
        </w:rPr>
        <w:t xml:space="preserve"> (Profesia de cadru didactic în Europa) (2015). </w:t>
      </w:r>
    </w:p>
  </w:footnote>
  <w:footnote w:id="4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Europeană/EACEA/Eurydice (2015), Profesia de cadru didactic în Europa: Practici, percepții și politici. </w:t>
      </w:r>
    </w:p>
  </w:footnote>
  <w:footnote w:id="4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(2010), </w:t>
      </w:r>
      <w:r>
        <w:rPr>
          <w:rFonts w:ascii="Times New Roman" w:hAnsi="Times New Roman"/>
          <w:i/>
        </w:rPr>
        <w:t>Developing coherent and system-wide induction programmes for beginning teachers:</w:t>
      </w:r>
      <w:r>
        <w:rPr>
          <w:rFonts w:ascii="Times New Roman" w:hAnsi="Times New Roman"/>
        </w:rPr>
        <w:t xml:space="preserve"> </w:t>
      </w:r>
      <w:r>
        <w:rPr>
          <w:rFonts w:ascii="Times New Roman" w:hAnsi="Times New Roman"/>
          <w:i/>
        </w:rPr>
        <w:t>a handbook for policymakers</w:t>
      </w:r>
      <w:r>
        <w:rPr>
          <w:rFonts w:ascii="Times New Roman" w:hAnsi="Times New Roman"/>
        </w:rPr>
        <w:t xml:space="preserve"> (Elaborarea de programe de integrare coerente la nivel de sistem pentru cadrele didactice debutante: manual pentru factorii de decizie), SWD (2010) 538 final. </w:t>
      </w:r>
    </w:p>
  </w:footnote>
  <w:footnote w:id="4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OCDE (2014), ibidem. </w:t>
      </w:r>
    </w:p>
  </w:footnote>
  <w:footnote w:id="46">
    <w:p>
      <w:pPr>
        <w:pStyle w:val="FootnoteText"/>
      </w:pPr>
      <w:r>
        <w:rPr>
          <w:rStyle w:val="FootnoteReference"/>
          <w:rFonts w:ascii="Times New Roman" w:hAnsi="Times New Roman"/>
        </w:rPr>
        <w:footnoteRef/>
      </w:r>
      <w:r>
        <w:rPr>
          <w:rFonts w:ascii="Times New Roman" w:hAnsi="Times New Roman"/>
        </w:rPr>
        <w:t xml:space="preserve"> Ibidem.</w:t>
      </w:r>
    </w:p>
  </w:footnote>
  <w:footnote w:id="4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OCDE (2016), </w:t>
      </w:r>
      <w:r>
        <w:rPr>
          <w:rFonts w:ascii="Times New Roman" w:hAnsi="Times New Roman"/>
          <w:i/>
        </w:rPr>
        <w:t>School Leadership for Learning</w:t>
      </w:r>
      <w:r>
        <w:rPr>
          <w:rFonts w:ascii="Times New Roman" w:hAnsi="Times New Roman"/>
        </w:rPr>
        <w:t xml:space="preserve"> (Conducerea școlilor în beneficiul învățării).</w:t>
      </w:r>
    </w:p>
  </w:footnote>
  <w:footnote w:id="4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SWD(2012)0374.</w:t>
      </w:r>
    </w:p>
  </w:footnote>
  <w:footnote w:id="4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VO-raad/EFEE/ETUCE (2015), </w:t>
      </w:r>
      <w:r>
        <w:rPr>
          <w:rFonts w:ascii="Times New Roman" w:hAnsi="Times New Roman"/>
          <w:i/>
        </w:rPr>
        <w:t>Professional Autonomy, Accountability and Efficient Leadership and the role of employers' organisations, trade unions and school leaders</w:t>
      </w:r>
      <w:r>
        <w:rPr>
          <w:rFonts w:ascii="Times New Roman" w:hAnsi="Times New Roman"/>
        </w:rPr>
        <w:t xml:space="preserve"> (Autonomia profesională, responsabilitatea și conducerea eficientă și rolul organizațiilor patronale, al sindicatelor și al directorilor de școli).</w:t>
      </w:r>
    </w:p>
  </w:footnote>
  <w:footnote w:id="50">
    <w:p>
      <w:pPr>
        <w:pStyle w:val="FootnoteText"/>
        <w:jc w:val="both"/>
      </w:pPr>
      <w:r>
        <w:rPr>
          <w:rStyle w:val="FootnoteReference"/>
          <w:rFonts w:ascii="Times New Roman" w:hAnsi="Times New Roman"/>
        </w:rPr>
        <w:footnoteRef/>
      </w:r>
      <w:r>
        <w:rPr>
          <w:rFonts w:ascii="Times New Roman" w:hAnsi="Times New Roman"/>
        </w:rPr>
        <w:t xml:space="preserve"> Consilierea între colegi reunește colegi profesioniști din administrațiile naționale cu scopul de a oferi consultanță externă unei țări care solicită sprijin pentru o reformă în educație.</w:t>
      </w:r>
    </w:p>
  </w:footnote>
  <w:footnote w:id="5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OCDE (în cooperare cu Comisia Europeană): </w:t>
      </w:r>
      <w:r>
        <w:rPr>
          <w:rFonts w:ascii="Times New Roman" w:hAnsi="Times New Roman"/>
          <w:i/>
        </w:rPr>
        <w:t>School Resources Review</w:t>
      </w:r>
      <w:r>
        <w:rPr>
          <w:rFonts w:ascii="Times New Roman" w:hAnsi="Times New Roman"/>
        </w:rPr>
        <w:t xml:space="preserve"> (Analiza resurselor școlare), </w:t>
      </w:r>
      <w:hyperlink r:id="rId5">
        <w:r>
          <w:rPr>
            <w:rStyle w:val="Hyperlink"/>
            <w:rFonts w:ascii="Times New Roman" w:hAnsi="Times New Roman"/>
          </w:rPr>
          <w:t>http://www.oecd.org/education/schoolresourcesreview.htm</w:t>
        </w:r>
      </w:hyperlink>
    </w:p>
  </w:footnote>
  <w:footnote w:id="5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Statistici generale în domeniul finanțelor publice, Eurostat.</w:t>
      </w:r>
    </w:p>
  </w:footnote>
  <w:footnote w:id="5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(2016),</w:t>
      </w:r>
      <w:r>
        <w:rPr>
          <w:rFonts w:ascii="Times New Roman" w:hAnsi="Times New Roman"/>
          <w:i/>
        </w:rPr>
        <w:t xml:space="preserve"> Monitorul educației și formării 2016</w:t>
      </w:r>
      <w:r>
        <w:rPr>
          <w:rFonts w:ascii="Times New Roman" w:hAnsi="Times New Roman"/>
        </w:rPr>
        <w:t>.</w:t>
      </w:r>
    </w:p>
  </w:footnote>
  <w:footnote w:id="5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https://ec.europa.eu/info/publications/2017-european-semester-country-reports_ro</w:t>
      </w:r>
    </w:p>
  </w:footnote>
  <w:footnote w:id="5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ET2020, Raportul interimar al Grupului de lucru privind școlile </w:t>
      </w:r>
      <w:r>
        <w:rPr>
          <w:rFonts w:ascii="Times New Roman" w:hAnsi="Times New Roman"/>
          <w:i/>
        </w:rPr>
        <w:t>Quality assurance for school development</w:t>
      </w:r>
      <w:r>
        <w:rPr>
          <w:rFonts w:ascii="Times New Roman" w:hAnsi="Times New Roman"/>
        </w:rPr>
        <w:t xml:space="preserve"> (Asigurarea calității pentru dezvoltarea școlilor), aprilie 2017.</w:t>
      </w:r>
    </w:p>
  </w:footnote>
  <w:footnote w:id="5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Hanushek, E.A., Link, S. și Woessmann, L. (2013), </w:t>
      </w:r>
      <w:r>
        <w:rPr>
          <w:rFonts w:ascii="Times New Roman" w:hAnsi="Times New Roman"/>
          <w:i/>
        </w:rPr>
        <w:t>Does school autonomy make sense everywhere?</w:t>
      </w:r>
      <w:r>
        <w:rPr>
          <w:rFonts w:ascii="Times New Roman" w:hAnsi="Times New Roman"/>
        </w:rPr>
        <w:t xml:space="preserve"> </w:t>
      </w:r>
      <w:r>
        <w:rPr>
          <w:rFonts w:ascii="Times New Roman" w:hAnsi="Times New Roman"/>
          <w:i/>
        </w:rPr>
        <w:t>Panel estimates from PISA</w:t>
      </w:r>
      <w:r>
        <w:rPr>
          <w:rFonts w:ascii="Times New Roman" w:hAnsi="Times New Roman"/>
        </w:rPr>
        <w:t xml:space="preserve"> (Autonomia școlilor se justifică peste tot? Estimări ale experților în cadrul PISA), </w:t>
      </w:r>
      <w:r>
        <w:rPr>
          <w:rFonts w:ascii="Times New Roman" w:hAnsi="Times New Roman"/>
          <w:i/>
        </w:rPr>
        <w:t>Journal of Development Economics</w:t>
      </w:r>
      <w:r>
        <w:rPr>
          <w:rFonts w:ascii="Times New Roman" w:hAnsi="Times New Roman"/>
        </w:rPr>
        <w:t>, Vol. 104, p. 212-232.</w:t>
      </w:r>
    </w:p>
  </w:footnote>
  <w:footnote w:id="5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Comisia Europeană (2015), </w:t>
      </w:r>
      <w:r>
        <w:rPr>
          <w:rFonts w:ascii="Times New Roman" w:hAnsi="Times New Roman"/>
          <w:i/>
        </w:rPr>
        <w:t xml:space="preserve">Comparative study on quality assurance in EU school education systems: Policies, procedures and practices. Final report </w:t>
      </w:r>
      <w:r>
        <w:rPr>
          <w:rFonts w:ascii="Times New Roman" w:hAnsi="Times New Roman"/>
        </w:rPr>
        <w:t>(Studiu comparativ privind asigurarea calității în sistemele de învățământ din UE:</w:t>
      </w:r>
      <w:r>
        <w:rPr>
          <w:rFonts w:ascii="Times New Roman" w:hAnsi="Times New Roman"/>
          <w:i/>
        </w:rPr>
        <w:t xml:space="preserve"> Politici, proceduri și practici). </w:t>
      </w:r>
      <w:r>
        <w:rPr>
          <w:rFonts w:ascii="Times New Roman" w:hAnsi="Times New Roman"/>
        </w:rPr>
        <w:t>Raport final.</w:t>
      </w:r>
    </w:p>
  </w:footnote>
  <w:footnote w:id="58">
    <w:p>
      <w:pPr>
        <w:pStyle w:val="FootnoteText"/>
      </w:pPr>
      <w:r>
        <w:rPr>
          <w:rStyle w:val="FootnoteReference"/>
          <w:rFonts w:ascii="Times New Roman" w:hAnsi="Times New Roman"/>
        </w:rPr>
        <w:footnoteRef/>
      </w:r>
      <w:r>
        <w:rPr>
          <w:rFonts w:ascii="Times New Roman" w:hAnsi="Times New Roman"/>
        </w:rPr>
        <w:t xml:space="preserve"> ET2020, Raportul interimar al Grupului de lucru privind școlile, </w:t>
      </w:r>
      <w:r>
        <w:rPr>
          <w:rFonts w:ascii="Times New Roman" w:hAnsi="Times New Roman"/>
          <w:i/>
        </w:rPr>
        <w:t>Continuity and transitions in learner development (Continuitate și tranziții în dezvoltarea elevilor)</w:t>
      </w:r>
      <w:r>
        <w:rPr>
          <w:rFonts w:ascii="Times New Roman" w:hAnsi="Times New Roman"/>
        </w:rPr>
        <w:t>, aprilie 2017.</w:t>
      </w:r>
    </w:p>
  </w:footnote>
  <w:footnote w:id="59">
    <w:p>
      <w:pPr>
        <w:autoSpaceDE w:val="0"/>
        <w:autoSpaceDN w:val="0"/>
        <w:adjustRightInd w:val="0"/>
        <w:spacing w:after="0" w:line="240" w:lineRule="auto"/>
        <w:jc w:val="both"/>
        <w:rPr>
          <w:rFonts w:ascii="Times New Roman" w:hAnsi="Times New Roman" w:cs="Times New Roman"/>
        </w:rPr>
      </w:pPr>
      <w:r>
        <w:rPr>
          <w:rStyle w:val="FootnoteReference"/>
          <w:rFonts w:ascii="Times New Roman" w:hAnsi="Times New Roman"/>
          <w:sz w:val="20"/>
        </w:rPr>
        <w:footnoteRef/>
      </w:r>
      <w:r>
        <w:rPr>
          <w:rFonts w:ascii="Times New Roman" w:hAnsi="Times New Roman"/>
          <w:sz w:val="20"/>
        </w:rPr>
        <w:t xml:space="preserve"> Concluziile Consiliului privind asigurarea calității în sprijinul educației și formării profesionale, 20 mai 2014.</w:t>
      </w:r>
      <w:r>
        <w:rPr>
          <w:rFonts w:ascii="Times New Roman" w:hAnsi="Times New Roman"/>
        </w:rPr>
        <w:t xml:space="preserve"> </w:t>
      </w:r>
    </w:p>
  </w:footnote>
  <w:footnote w:id="6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 206.</w:t>
      </w:r>
    </w:p>
  </w:footnote>
  <w:footnote w:id="61">
    <w:p>
      <w:pPr>
        <w:pStyle w:val="FootnoteText"/>
      </w:pPr>
      <w:r>
        <w:rPr>
          <w:rStyle w:val="FootnoteReference"/>
          <w:rFonts w:ascii="Times New Roman" w:hAnsi="Times New Roman"/>
        </w:rPr>
        <w:footnoteRef/>
      </w:r>
      <w:r>
        <w:t xml:space="preserve"> </w:t>
      </w:r>
      <w:r>
        <w:rPr>
          <w:rFonts w:ascii="Times New Roman" w:hAnsi="Times New Roman"/>
        </w:rPr>
        <w:t>Declarația de la Roma, Declarația liderilor a 27 de state membre și ai Consiliului European, Parlamentului European și Comisiei Europene, 25 martie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60C8"/>
    <w:multiLevelType w:val="hybridMultilevel"/>
    <w:tmpl w:val="4586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3D30C0"/>
    <w:multiLevelType w:val="hybridMultilevel"/>
    <w:tmpl w:val="E80A6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2545BC"/>
    <w:multiLevelType w:val="hybridMultilevel"/>
    <w:tmpl w:val="5DFE4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726844"/>
    <w:multiLevelType w:val="hybridMultilevel"/>
    <w:tmpl w:val="67DA97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0B3E7C65"/>
    <w:multiLevelType w:val="hybridMultilevel"/>
    <w:tmpl w:val="170CA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8E1088"/>
    <w:multiLevelType w:val="hybridMultilevel"/>
    <w:tmpl w:val="5824EA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C919E2"/>
    <w:multiLevelType w:val="hybridMultilevel"/>
    <w:tmpl w:val="02F82BF6"/>
    <w:lvl w:ilvl="0" w:tplc="0809000F">
      <w:start w:val="5"/>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nsid w:val="345031F8"/>
    <w:multiLevelType w:val="hybridMultilevel"/>
    <w:tmpl w:val="68027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6148E7"/>
    <w:multiLevelType w:val="hybridMultilevel"/>
    <w:tmpl w:val="029A11B4"/>
    <w:lvl w:ilvl="0" w:tplc="08090001">
      <w:start w:val="1"/>
      <w:numFmt w:val="bullet"/>
      <w:lvlText w:val=""/>
      <w:lvlJc w:val="left"/>
      <w:pPr>
        <w:ind w:left="1077" w:hanging="360"/>
      </w:pPr>
      <w:rPr>
        <w:rFonts w:ascii="Symbol" w:hAnsi="Symbol" w:hint="default"/>
      </w:rPr>
    </w:lvl>
    <w:lvl w:ilvl="1" w:tplc="9CC84460">
      <w:numFmt w:val="bullet"/>
      <w:lvlText w:val="-"/>
      <w:lvlJc w:val="left"/>
      <w:pPr>
        <w:ind w:left="1797" w:hanging="360"/>
      </w:pPr>
      <w:rPr>
        <w:rFonts w:ascii="Times New Roman" w:eastAsia="Times New Roman" w:hAnsi="Times New Roman"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nsid w:val="3DA769F5"/>
    <w:multiLevelType w:val="hybridMultilevel"/>
    <w:tmpl w:val="8FF8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27261E5"/>
    <w:multiLevelType w:val="hybridMultilevel"/>
    <w:tmpl w:val="96E44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C4C56C0"/>
    <w:multiLevelType w:val="hybridMultilevel"/>
    <w:tmpl w:val="7AEAD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18D5471"/>
    <w:multiLevelType w:val="hybridMultilevel"/>
    <w:tmpl w:val="56241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8DD3D47"/>
    <w:multiLevelType w:val="hybridMultilevel"/>
    <w:tmpl w:val="3800DA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88511D"/>
    <w:multiLevelType w:val="hybridMultilevel"/>
    <w:tmpl w:val="0BF89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F885EA6"/>
    <w:multiLevelType w:val="multilevel"/>
    <w:tmpl w:val="E4C4E826"/>
    <w:lvl w:ilvl="0">
      <w:start w:val="1"/>
      <w:numFmt w:val="decimal"/>
      <w:lvlText w:val="%1."/>
      <w:lvlJc w:val="left"/>
      <w:pPr>
        <w:ind w:left="360" w:hanging="360"/>
      </w:pPr>
      <w:rPr>
        <w:rFonts w:cs="Times New Roman"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15"/>
  </w:num>
  <w:num w:numId="2">
    <w:abstractNumId w:val="5"/>
  </w:num>
  <w:num w:numId="3">
    <w:abstractNumId w:val="8"/>
  </w:num>
  <w:num w:numId="4">
    <w:abstractNumId w:val="6"/>
  </w:num>
  <w:num w:numId="5">
    <w:abstractNumId w:val="0"/>
  </w:num>
  <w:num w:numId="6">
    <w:abstractNumId w:val="10"/>
  </w:num>
  <w:num w:numId="7">
    <w:abstractNumId w:val="11"/>
  </w:num>
  <w:num w:numId="8">
    <w:abstractNumId w:val="1"/>
  </w:num>
  <w:num w:numId="9">
    <w:abstractNumId w:val="12"/>
  </w:num>
  <w:num w:numId="10">
    <w:abstractNumId w:val="7"/>
  </w:num>
  <w:num w:numId="11">
    <w:abstractNumId w:val="14"/>
  </w:num>
  <w:num w:numId="12">
    <w:abstractNumId w:val="13"/>
  </w:num>
  <w:num w:numId="13">
    <w:abstractNumId w:val="2"/>
  </w:num>
  <w:num w:numId="14">
    <w:abstractNumId w:val="4"/>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
  <w:docVars>
    <w:docVar w:name="COVERPAGE_EXISTS" w:val="True"/>
    <w:docVar w:name="DocStatus" w:val="Green"/>
    <w:docVar w:name="FigNum" w:val="1"/>
    <w:docVar w:name="LW_CONFIDENCE" w:val=" "/>
    <w:docVar w:name="LW_CONST_RESTREINT_UE" w:val="RESTREINT UE"/>
    <w:docVar w:name="LW_CORRIGENDUM" w:val="&lt;UNUSED&gt;"/>
    <w:docVar w:name="LW_COVERPAGE_GUID" w:val="F657E06DF7004CF180028571A6528524"/>
    <w:docVar w:name="LW_CROSSREFERENCE" w:val="{SWD(2017) 165 final}"/>
    <w:docVar w:name="LW_DocType" w:val="NORMAL"/>
    <w:docVar w:name="LW_EMISSION" w:val="30.5.2017"/>
    <w:docVar w:name="LW_EMISSION_ISODATE" w:val="2017-05-30"/>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48"/>
    <w:docVar w:name="LW_REF.INTERNE" w:val="&lt;UNUSED&gt;"/>
    <w:docVar w:name="LW_SOUS.TITRE.OBJ.CP" w:val="&lt;UNUSED&gt;"/>
    <w:docVar w:name="LW_SUPERTITRE" w:val="&lt;UNUSED&gt;"/>
    <w:docVar w:name="LW_TITRE.OBJ.CP" w:val="Dezvoltarea \u537?colilor \u537?i calitatea excelent\u259? a pred\u259?rii pentru un început bun în via\u539?\u259?"/>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f,Char,Footnote text,ft"/>
    <w:basedOn w:val="Normal"/>
    <w:link w:val="FootnoteTextChar"/>
    <w:uiPriority w:val="99"/>
    <w:qFormat/>
    <w:pPr>
      <w:spacing w:after="0" w:line="240" w:lineRule="auto"/>
    </w:pPr>
    <w:rPr>
      <w:rFonts w:ascii="Calibri" w:eastAsia="Calibri" w:hAnsi="Calibri" w:cs="Arial"/>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rPr>
      <w:rFonts w:ascii="Calibri" w:eastAsia="Calibri" w:hAnsi="Calibri" w:cs="Arial"/>
      <w:sz w:val="20"/>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BVI fnr,SUPERS,Ref,註腳內容"/>
    <w:basedOn w:val="DefaultParagraphFont"/>
    <w:link w:val="FootnotesymbolCarZchn"/>
    <w:uiPriority w:val="99"/>
    <w:qFormat/>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rFonts w:cs="Times New Roman"/>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pPr>
      <w:ind w:left="720"/>
      <w:contextualSpacing/>
    </w:pPr>
    <w:rPr>
      <w:rFonts w:ascii="Calibri" w:eastAsia="Calibri" w:hAnsi="Calibri" w:cs="Arial"/>
    </w:rPr>
  </w:style>
  <w:style w:type="character" w:styleId="Hyperlink">
    <w:name w:val="Hyperlink"/>
    <w:basedOn w:val="DefaultParagraphFont"/>
    <w:uiPriority w:val="99"/>
    <w:rPr>
      <w:rFonts w:cs="Times New Roman"/>
      <w:color w:val="0000FF"/>
      <w:u w:val="single"/>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Pr>
      <w:rFonts w:ascii="Calibri" w:eastAsia="Calibri" w:hAnsi="Calibri" w:cs="Arial"/>
      <w:sz w:val="20"/>
      <w:szCs w:val="20"/>
    </w:rPr>
  </w:style>
  <w:style w:type="paragraph" w:customStyle="1" w:styleId="Text1">
    <w:name w:val="Text 1"/>
    <w:basedOn w:val="Normal"/>
    <w:uiPriority w:val="99"/>
    <w:pPr>
      <w:spacing w:after="240" w:line="240" w:lineRule="auto"/>
      <w:ind w:left="482"/>
      <w:jc w:val="both"/>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pPr>
      <w:tabs>
        <w:tab w:val="center" w:pos="4536"/>
        <w:tab w:val="right" w:pos="9072"/>
      </w:tabs>
      <w:spacing w:after="0" w:line="240" w:lineRule="auto"/>
    </w:pPr>
    <w:rPr>
      <w:rFonts w:ascii="Calibri" w:eastAsia="Calibri" w:hAnsi="Calibri" w:cs="Arial"/>
    </w:rPr>
  </w:style>
  <w:style w:type="character" w:customStyle="1" w:styleId="FooterChar">
    <w:name w:val="Footer Char"/>
    <w:basedOn w:val="DefaultParagraphFont"/>
    <w:link w:val="Footer"/>
    <w:uiPriority w:val="99"/>
    <w:rPr>
      <w:rFonts w:ascii="Calibri" w:eastAsia="Calibri" w:hAnsi="Calibri" w:cs="Arial"/>
    </w:rPr>
  </w:style>
  <w:style w:type="paragraph" w:styleId="Header">
    <w:name w:val="header"/>
    <w:basedOn w:val="Normal"/>
    <w:link w:val="HeaderChar"/>
    <w:uiPriority w:val="99"/>
    <w:pPr>
      <w:tabs>
        <w:tab w:val="center" w:pos="4536"/>
        <w:tab w:val="right" w:pos="9072"/>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Pr>
      <w:rFonts w:ascii="Calibri" w:eastAsia="Calibri" w:hAnsi="Calibri" w:cs="Arial"/>
    </w:rPr>
  </w:style>
  <w:style w:type="paragraph" w:customStyle="1" w:styleId="Pagedecouverture">
    <w:name w:val="Page de couverture"/>
    <w:basedOn w:val="Normal"/>
    <w:next w:val="Normal"/>
    <w:uiPriority w:val="99"/>
    <w:pPr>
      <w:spacing w:after="0" w:line="240" w:lineRule="auto"/>
      <w:jc w:val="both"/>
    </w:pPr>
    <w:rPr>
      <w:rFonts w:ascii="Times New Roman" w:eastAsia="Calibri" w:hAnsi="Times New Roman" w:cs="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autoSpaceDE w:val="0"/>
      <w:autoSpaceDN w:val="0"/>
      <w:adjustRightInd w:val="0"/>
      <w:spacing w:before="360" w:after="0" w:line="240" w:lineRule="auto"/>
      <w:ind w:left="-850" w:right="-850"/>
    </w:pPr>
    <w:rPr>
      <w:rFonts w:ascii="Times New Roman" w:eastAsia="Calibri" w:hAnsi="Times New Roman" w:cs="Times New Roman"/>
      <w:color w:val="000000"/>
      <w:sz w:val="24"/>
      <w:szCs w:val="24"/>
    </w:rPr>
  </w:style>
  <w:style w:type="character" w:customStyle="1" w:styleId="FooterCoverPageChar">
    <w:name w:val="Footer Cover Page Char"/>
    <w:basedOn w:val="DefaultParagraphFont"/>
    <w:link w:val="FooterCoverPage"/>
    <w:uiPriority w:val="99"/>
    <w:locked/>
    <w:rPr>
      <w:rFonts w:ascii="Times New Roman" w:eastAsia="Calibri"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Arial"/>
      <w:b/>
      <w:bCs/>
      <w:sz w:val="20"/>
      <w:szCs w:val="20"/>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eastAsia="Calibri" w:hAnsi="Times New Roman" w:cs="Times New Roman"/>
      <w:sz w:val="24"/>
      <w:szCs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Pr>
      <w:rFonts w:ascii="Calibri" w:hAnsi="Calibri" w:cs="Consolas"/>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f,Char,Footnote text,ft"/>
    <w:basedOn w:val="Normal"/>
    <w:link w:val="FootnoteTextChar"/>
    <w:uiPriority w:val="99"/>
    <w:qFormat/>
    <w:pPr>
      <w:spacing w:after="0" w:line="240" w:lineRule="auto"/>
    </w:pPr>
    <w:rPr>
      <w:rFonts w:ascii="Calibri" w:eastAsia="Calibri" w:hAnsi="Calibri" w:cs="Arial"/>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uiPriority w:val="99"/>
    <w:rPr>
      <w:rFonts w:ascii="Calibri" w:eastAsia="Calibri" w:hAnsi="Calibri" w:cs="Arial"/>
      <w:sz w:val="20"/>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BVI fnr,SUPERS,Ref,註腳內容"/>
    <w:basedOn w:val="DefaultParagraphFont"/>
    <w:link w:val="FootnotesymbolCarZchn"/>
    <w:uiPriority w:val="99"/>
    <w:qFormat/>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rFonts w:cs="Times New Roman"/>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pPr>
      <w:ind w:left="720"/>
      <w:contextualSpacing/>
    </w:pPr>
    <w:rPr>
      <w:rFonts w:ascii="Calibri" w:eastAsia="Calibri" w:hAnsi="Calibri" w:cs="Arial"/>
    </w:rPr>
  </w:style>
  <w:style w:type="character" w:styleId="Hyperlink">
    <w:name w:val="Hyperlink"/>
    <w:basedOn w:val="DefaultParagraphFont"/>
    <w:uiPriority w:val="99"/>
    <w:rPr>
      <w:rFonts w:cs="Times New Roman"/>
      <w:color w:val="0000FF"/>
      <w:u w:val="single"/>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Pr>
      <w:rFonts w:ascii="Calibri" w:eastAsia="Calibri" w:hAnsi="Calibri" w:cs="Arial"/>
      <w:sz w:val="20"/>
      <w:szCs w:val="20"/>
    </w:rPr>
  </w:style>
  <w:style w:type="paragraph" w:customStyle="1" w:styleId="Text1">
    <w:name w:val="Text 1"/>
    <w:basedOn w:val="Normal"/>
    <w:uiPriority w:val="99"/>
    <w:pPr>
      <w:spacing w:after="240" w:line="240" w:lineRule="auto"/>
      <w:ind w:left="482"/>
      <w:jc w:val="both"/>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pPr>
      <w:tabs>
        <w:tab w:val="center" w:pos="4536"/>
        <w:tab w:val="right" w:pos="9072"/>
      </w:tabs>
      <w:spacing w:after="0" w:line="240" w:lineRule="auto"/>
    </w:pPr>
    <w:rPr>
      <w:rFonts w:ascii="Calibri" w:eastAsia="Calibri" w:hAnsi="Calibri" w:cs="Arial"/>
    </w:rPr>
  </w:style>
  <w:style w:type="character" w:customStyle="1" w:styleId="FooterChar">
    <w:name w:val="Footer Char"/>
    <w:basedOn w:val="DefaultParagraphFont"/>
    <w:link w:val="Footer"/>
    <w:uiPriority w:val="99"/>
    <w:rPr>
      <w:rFonts w:ascii="Calibri" w:eastAsia="Calibri" w:hAnsi="Calibri" w:cs="Arial"/>
    </w:rPr>
  </w:style>
  <w:style w:type="paragraph" w:styleId="Header">
    <w:name w:val="header"/>
    <w:basedOn w:val="Normal"/>
    <w:link w:val="HeaderChar"/>
    <w:uiPriority w:val="99"/>
    <w:pPr>
      <w:tabs>
        <w:tab w:val="center" w:pos="4536"/>
        <w:tab w:val="right" w:pos="9072"/>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Pr>
      <w:rFonts w:ascii="Calibri" w:eastAsia="Calibri" w:hAnsi="Calibri" w:cs="Arial"/>
    </w:rPr>
  </w:style>
  <w:style w:type="paragraph" w:customStyle="1" w:styleId="Pagedecouverture">
    <w:name w:val="Page de couverture"/>
    <w:basedOn w:val="Normal"/>
    <w:next w:val="Normal"/>
    <w:uiPriority w:val="99"/>
    <w:pPr>
      <w:spacing w:after="0" w:line="240" w:lineRule="auto"/>
      <w:jc w:val="both"/>
    </w:pPr>
    <w:rPr>
      <w:rFonts w:ascii="Times New Roman" w:eastAsia="Calibri" w:hAnsi="Times New Roman" w:cs="Times New Roman"/>
      <w:sz w:val="24"/>
    </w:rPr>
  </w:style>
  <w:style w:type="paragraph" w:customStyle="1" w:styleId="FooterCoverPage">
    <w:name w:val="Footer Cover Page"/>
    <w:basedOn w:val="Normal"/>
    <w:link w:val="FooterCoverPageChar"/>
    <w:uiPriority w:val="99"/>
    <w:pPr>
      <w:tabs>
        <w:tab w:val="center" w:pos="4535"/>
        <w:tab w:val="right" w:pos="9071"/>
        <w:tab w:val="right" w:pos="9921"/>
      </w:tabs>
      <w:autoSpaceDE w:val="0"/>
      <w:autoSpaceDN w:val="0"/>
      <w:adjustRightInd w:val="0"/>
      <w:spacing w:before="360" w:after="0" w:line="240" w:lineRule="auto"/>
      <w:ind w:left="-850" w:right="-850"/>
    </w:pPr>
    <w:rPr>
      <w:rFonts w:ascii="Times New Roman" w:eastAsia="Calibri" w:hAnsi="Times New Roman" w:cs="Times New Roman"/>
      <w:color w:val="000000"/>
      <w:sz w:val="24"/>
      <w:szCs w:val="24"/>
    </w:rPr>
  </w:style>
  <w:style w:type="character" w:customStyle="1" w:styleId="FooterCoverPageChar">
    <w:name w:val="Footer Cover Page Char"/>
    <w:basedOn w:val="DefaultParagraphFont"/>
    <w:link w:val="FooterCoverPage"/>
    <w:uiPriority w:val="99"/>
    <w:locked/>
    <w:rPr>
      <w:rFonts w:ascii="Times New Roman" w:eastAsia="Calibri"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Arial"/>
      <w:b/>
      <w:bCs/>
      <w:sz w:val="20"/>
      <w:szCs w:val="20"/>
    </w:r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contextualSpacing/>
      <w:jc w:val="both"/>
    </w:pPr>
    <w:rPr>
      <w:rFonts w:ascii="Times New Roman" w:eastAsia="Calibri" w:hAnsi="Times New Roman" w:cs="Times New Roman"/>
      <w:sz w:val="24"/>
      <w:szCs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rsid w:val="0065515D"/>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65515D"/>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048896">
      <w:bodyDiv w:val="1"/>
      <w:marLeft w:val="0"/>
      <w:marRight w:val="0"/>
      <w:marTop w:val="0"/>
      <w:marBottom w:val="0"/>
      <w:divBdr>
        <w:top w:val="none" w:sz="0" w:space="0" w:color="auto"/>
        <w:left w:val="none" w:sz="0" w:space="0" w:color="auto"/>
        <w:bottom w:val="none" w:sz="0" w:space="0" w:color="auto"/>
        <w:right w:val="none" w:sz="0" w:space="0" w:color="auto"/>
      </w:divBdr>
    </w:div>
    <w:div w:id="1582640500">
      <w:bodyDiv w:val="1"/>
      <w:marLeft w:val="0"/>
      <w:marRight w:val="0"/>
      <w:marTop w:val="0"/>
      <w:marBottom w:val="0"/>
      <w:divBdr>
        <w:top w:val="none" w:sz="0" w:space="0" w:color="auto"/>
        <w:left w:val="none" w:sz="0" w:space="0" w:color="auto"/>
        <w:bottom w:val="none" w:sz="0" w:space="0" w:color="auto"/>
        <w:right w:val="none" w:sz="0" w:space="0" w:color="auto"/>
      </w:divBdr>
    </w:div>
    <w:div w:id="1908026285">
      <w:bodyDiv w:val="1"/>
      <w:marLeft w:val="0"/>
      <w:marRight w:val="0"/>
      <w:marTop w:val="0"/>
      <w:marBottom w:val="0"/>
      <w:divBdr>
        <w:top w:val="none" w:sz="0" w:space="0" w:color="auto"/>
        <w:left w:val="none" w:sz="0" w:space="0" w:color="auto"/>
        <w:bottom w:val="none" w:sz="0" w:space="0" w:color="auto"/>
        <w:right w:val="none" w:sz="0" w:space="0" w:color="auto"/>
      </w:divBdr>
    </w:div>
    <w:div w:id="2044861053">
      <w:bodyDiv w:val="1"/>
      <w:marLeft w:val="0"/>
      <w:marRight w:val="0"/>
      <w:marTop w:val="0"/>
      <w:marBottom w:val="0"/>
      <w:divBdr>
        <w:top w:val="none" w:sz="0" w:space="0" w:color="auto"/>
        <w:left w:val="none" w:sz="0" w:space="0" w:color="auto"/>
        <w:bottom w:val="none" w:sz="0" w:space="0" w:color="auto"/>
        <w:right w:val="none" w:sz="0" w:space="0" w:color="auto"/>
      </w:divBdr>
    </w:div>
    <w:div w:id="213971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creaub.info/included" TargetMode="External"/><Relationship Id="rId2" Type="http://schemas.openxmlformats.org/officeDocument/2006/relationships/hyperlink" Target="https://ec.europa.eu/jrc/en/entrecomp" TargetMode="External"/><Relationship Id="rId1" Type="http://schemas.openxmlformats.org/officeDocument/2006/relationships/hyperlink" Target="https://ec.europa.eu/jrc/en/digcomporg/selfie-tool" TargetMode="External"/><Relationship Id="rId5" Type="http://schemas.openxmlformats.org/officeDocument/2006/relationships/hyperlink" Target="http://www.oecd.org/education/schoolresourcesreview.htm" TargetMode="External"/><Relationship Id="rId4" Type="http://schemas.openxmlformats.org/officeDocument/2006/relationships/hyperlink" Target="http://eacea.ec.europa.eu/education/eurydice/index_e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2ef9fadd-d175-4c74-a8f2-fc8ca1dfcf52">Policy Document</Document_x0020_Type>
    <PLATFORMS xmlns="2ef9fadd-d175-4c74-a8f2-fc8ca1dfcf52" xsi:nil="true"/>
    <Policy_x0020_theme xmlns="2ef9fadd-d175-4c74-a8f2-fc8ca1dfcf52">Schools-general</Policy_x0020_the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23CB9131AC97034F8B71ED59BB79F962" ma:contentTypeVersion="12" ma:contentTypeDescription="Create a new document in this library." ma:contentTypeScope="" ma:versionID="bcb2879885e11ce4f4e6d97abc6d0ffd">
  <xsd:schema xmlns:xsd="http://www.w3.org/2001/XMLSchema" xmlns:xs="http://www.w3.org/2001/XMLSchema" xmlns:p="http://schemas.microsoft.com/office/2006/metadata/properties" xmlns:ns2="2ef9fadd-d175-4c74-a8f2-fc8ca1dfcf52" targetNamespace="http://schemas.microsoft.com/office/2006/metadata/properties" ma:root="true" ma:fieldsID="e58739a386d80a696ee45b80aa9b39d7" ns2:_="">
    <xsd:import namespace="2ef9fadd-d175-4c74-a8f2-fc8ca1dfcf52"/>
    <xsd:element name="properties">
      <xsd:complexType>
        <xsd:sequence>
          <xsd:element name="documentManagement">
            <xsd:complexType>
              <xsd:all>
                <xsd:element ref="ns2:Policy_x0020_theme"/>
                <xsd:element ref="ns2:Document_x0020_Type" minOccurs="0"/>
                <xsd:element ref="ns2:PLATFOR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9fadd-d175-4c74-a8f2-fc8ca1dfcf52" elementFormDefault="qualified">
    <xsd:import namespace="http://schemas.microsoft.com/office/2006/documentManagement/types"/>
    <xsd:import namespace="http://schemas.microsoft.com/office/infopath/2007/PartnerControls"/>
    <xsd:element name="Policy_x0020_theme" ma:index="8" ma:displayName="Policy Theme" ma:format="Dropdown" ma:internalName="Policy_x0020_theme">
      <xsd:simpleType>
        <xsd:restriction base="dms:Choice">
          <xsd:enumeration value="Basic skills"/>
          <xsd:enumeration value="Citizenship"/>
          <xsd:enumeration value="DG Schools"/>
          <xsd:enumeration value="Early school leaving"/>
          <xsd:enumeration value="ECEC"/>
          <xsd:enumeration value="ECEC"/>
          <xsd:enumeration value="Funding and resources"/>
          <xsd:enumeration value="Future Programme"/>
          <xsd:enumeration value="Key Competences (review)"/>
          <xsd:enumeration value="Language learning"/>
          <xsd:enumeration value="Migrants"/>
          <xsd:enumeration value="Multilingualism"/>
          <xsd:enumeration value="Platforms"/>
          <xsd:enumeration value="Programme ERASMUS+"/>
          <xsd:enumeration value="Quality Assurance"/>
          <xsd:enumeration value="Schools-general"/>
          <xsd:enumeration value="Teachers and Teaching"/>
        </xsd:restriction>
      </xsd:simpleType>
    </xsd:element>
    <xsd:element name="Document_x0020_Type" ma:index="9" nillable="true" ma:displayName="Document Type" ma:default="Policy Document" ma:format="Dropdown" ma:internalName="Document_x0020_Type">
      <xsd:simpleType>
        <xsd:restriction base="dms:Choice">
          <xsd:enumeration value="Policy Document"/>
          <xsd:enumeration value="Call for Tender"/>
          <xsd:enumeration value="Platforms"/>
          <xsd:enumeration value="Other"/>
        </xsd:restriction>
      </xsd:simpleType>
    </xsd:element>
    <xsd:element name="PLATFORMS" ma:index="10" nillable="true" ma:displayName="PLATFORMS" ma:internalName="PLATFORM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C6306-680A-47BE-9292-B44B06A8E7D9}">
  <ds:schemaRefs>
    <ds:schemaRef ds:uri="http://schemas.microsoft.com/office/2006/metadata/properties"/>
    <ds:schemaRef ds:uri="http://schemas.microsoft.com/office/infopath/2007/PartnerControls"/>
    <ds:schemaRef ds:uri="2ef9fadd-d175-4c74-a8f2-fc8ca1dfcf52"/>
  </ds:schemaRefs>
</ds:datastoreItem>
</file>

<file path=customXml/itemProps2.xml><?xml version="1.0" encoding="utf-8"?>
<ds:datastoreItem xmlns:ds="http://schemas.openxmlformats.org/officeDocument/2006/customXml" ds:itemID="{F0F98BCD-B340-4B64-A055-E4B4EAD626B3}">
  <ds:schemaRefs>
    <ds:schemaRef ds:uri="http://schemas.microsoft.com/sharepoint/v3/contenttype/forms"/>
  </ds:schemaRefs>
</ds:datastoreItem>
</file>

<file path=customXml/itemProps3.xml><?xml version="1.0" encoding="utf-8"?>
<ds:datastoreItem xmlns:ds="http://schemas.openxmlformats.org/officeDocument/2006/customXml" ds:itemID="{E344AD77-FC99-4CAF-BFED-62BF31CC6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9fadd-d175-4c74-a8f2-fc8ca1dfc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1A9BA7-87A8-4472-A686-2879B7E03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5109</Words>
  <Characters>30146</Characters>
  <Application>Microsoft Office Word</Application>
  <DocSecurity>0</DocSecurity>
  <Lines>424</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31</cp:revision>
  <cp:lastPrinted>2017-05-22T10:20:00Z</cp:lastPrinted>
  <dcterms:created xsi:type="dcterms:W3CDTF">2017-05-29T10:51:00Z</dcterms:created>
  <dcterms:modified xsi:type="dcterms:W3CDTF">2017-05-31T08:43:00Z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0x010100258AA79CEB83498886A3A086811232500023CB9131AC97034F8B71ED59BB79F962</vt:lpwstr>
  </property>
</Properties>
</file>