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C10" w:rsidRDefault="00070C4D" w:rsidP="00070C4D">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727D97445CB4249A8B7F9FE68F42F3D" style="width:450.6pt;height:361.25pt">
            <v:imagedata r:id="rId9" o:title=""/>
          </v:shape>
        </w:pict>
      </w:r>
    </w:p>
    <w:bookmarkEnd w:id="0"/>
    <w:p w:rsidR="00291C10" w:rsidRDefault="00291C10">
      <w:pPr>
        <w:rPr>
          <w:noProof/>
          <w:lang w:val="ro-RO"/>
        </w:rPr>
        <w:sectPr w:rsidR="00291C10" w:rsidSect="00070C4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291C10" w:rsidRDefault="00291C10">
      <w:pPr>
        <w:rPr>
          <w:noProof/>
        </w:rPr>
      </w:pPr>
      <w:bookmarkStart w:id="1" w:name="_GoBack"/>
      <w:bookmarkEnd w:id="1"/>
    </w:p>
    <w:p w:rsidR="00291C10" w:rsidRDefault="00070C4D">
      <w:pPr>
        <w:spacing w:after="240"/>
        <w:jc w:val="both"/>
        <w:rPr>
          <w:rFonts w:ascii="Times New Roman" w:hAnsi="Times New Roman" w:cs="Times New Roman"/>
          <w:i/>
          <w:noProof/>
          <w:sz w:val="24"/>
          <w:szCs w:val="24"/>
          <w:lang w:val="ro-RO"/>
        </w:rPr>
      </w:pPr>
      <w:r>
        <w:rPr>
          <w:rFonts w:ascii="Times New Roman" w:hAnsi="Times New Roman"/>
          <w:noProof/>
          <w:sz w:val="24"/>
          <w:lang w:val="ro-RO"/>
        </w:rPr>
        <w:t>„</w:t>
      </w:r>
      <w:r>
        <w:rPr>
          <w:rFonts w:ascii="Times New Roman" w:hAnsi="Times New Roman"/>
          <w:i/>
          <w:noProof/>
          <w:sz w:val="24"/>
          <w:lang w:val="ro-RO"/>
        </w:rPr>
        <w:t>Trebuie să ne intensificăm eforturile în vederea instituirii unei piețe a muncii echitabile și cu</w:t>
      </w:r>
      <w:r>
        <w:rPr>
          <w:rFonts w:ascii="Times New Roman" w:hAnsi="Times New Roman"/>
          <w:i/>
          <w:noProof/>
          <w:sz w:val="24"/>
          <w:lang w:val="ro-RO"/>
        </w:rPr>
        <w:t xml:space="preserve"> adevărat paneuropene. Ca parte a acestor eforturi, doresc să elaborez un Pilon european al drepturilor sociale, care să țină seama de realitățile aflate în evoluție ale societăților din Europa și ale mediului profesional și care să poată fi considerat un </w:t>
      </w:r>
      <w:r>
        <w:rPr>
          <w:rFonts w:ascii="Times New Roman" w:hAnsi="Times New Roman"/>
          <w:i/>
          <w:noProof/>
          <w:sz w:val="24"/>
          <w:lang w:val="ro-RO"/>
        </w:rPr>
        <w:t>punct de reper pentru convergența reînnoită din cadrul zonei euro. Acest Pilon european al drepturilor sociale ar trebui să completeze ceea ce am dobândit deja împreună în materie de protecție a lucrătorilor în UE. Cred că este oportun să demarăm această i</w:t>
      </w:r>
      <w:r>
        <w:rPr>
          <w:rFonts w:ascii="Times New Roman" w:hAnsi="Times New Roman"/>
          <w:i/>
          <w:noProof/>
          <w:sz w:val="24"/>
          <w:lang w:val="ro-RO"/>
        </w:rPr>
        <w:t>nițiativă în cadrul zonei euro, permițându-le în același timp și celorlalte state membre ale UE să participe dacă își doresc acest lucru</w:t>
      </w:r>
      <w:r>
        <w:rPr>
          <w:rFonts w:ascii="Times New Roman" w:hAnsi="Times New Roman"/>
          <w:noProof/>
          <w:sz w:val="24"/>
          <w:lang w:val="ro-RO"/>
        </w:rPr>
        <w:t>”.</w:t>
      </w:r>
      <w:r>
        <w:rPr>
          <w:rFonts w:ascii="Times New Roman" w:hAnsi="Times New Roman"/>
          <w:i/>
          <w:noProof/>
          <w:sz w:val="24"/>
          <w:lang w:val="ro-RO"/>
        </w:rPr>
        <w:t xml:space="preserve"> </w:t>
      </w:r>
    </w:p>
    <w:p w:rsidR="00291C10" w:rsidRDefault="00070C4D">
      <w:pPr>
        <w:spacing w:after="0"/>
        <w:jc w:val="right"/>
        <w:rPr>
          <w:rFonts w:ascii="Times New Roman" w:hAnsi="Times New Roman" w:cs="Times New Roman"/>
          <w:noProof/>
          <w:sz w:val="24"/>
          <w:szCs w:val="24"/>
          <w:lang w:val="ro-RO"/>
        </w:rPr>
      </w:pPr>
      <w:r>
        <w:rPr>
          <w:rFonts w:ascii="Times New Roman" w:hAnsi="Times New Roman"/>
          <w:noProof/>
          <w:sz w:val="24"/>
          <w:lang w:val="ro-RO"/>
        </w:rPr>
        <w:t>Președintele Jean-Claude Juncker, discursul privind starea Uniunii,</w:t>
      </w:r>
    </w:p>
    <w:p w:rsidR="00291C10" w:rsidRDefault="00070C4D">
      <w:pPr>
        <w:spacing w:after="0"/>
        <w:jc w:val="right"/>
        <w:rPr>
          <w:rFonts w:ascii="Times New Roman" w:hAnsi="Times New Roman" w:cs="Times New Roman"/>
          <w:noProof/>
          <w:sz w:val="24"/>
          <w:szCs w:val="24"/>
          <w:lang w:val="ro-RO"/>
        </w:rPr>
      </w:pPr>
      <w:r>
        <w:rPr>
          <w:rFonts w:ascii="Times New Roman" w:hAnsi="Times New Roman"/>
          <w:noProof/>
          <w:sz w:val="24"/>
          <w:lang w:val="ro-RO"/>
        </w:rPr>
        <w:t xml:space="preserve">Parlamentul European, 9 septembrie 2015 </w:t>
      </w:r>
    </w:p>
    <w:p w:rsidR="00291C10" w:rsidRDefault="00070C4D">
      <w:pPr>
        <w:spacing w:after="240"/>
        <w:jc w:val="both"/>
        <w:rPr>
          <w:rFonts w:ascii="Times New Roman" w:hAnsi="Times New Roman" w:cs="Times New Roman"/>
          <w:b/>
          <w:noProof/>
          <w:sz w:val="24"/>
          <w:szCs w:val="24"/>
          <w:u w:val="single"/>
          <w:lang w:val="ro-RO"/>
        </w:rPr>
      </w:pPr>
      <w:r>
        <w:rPr>
          <w:rFonts w:ascii="Times New Roman" w:hAnsi="Times New Roman" w:cs="Times New Roman"/>
          <w:b/>
          <w:noProof/>
          <w:sz w:val="24"/>
          <w:szCs w:val="24"/>
          <w:lang w:val="ro-RO"/>
        </w:rPr>
        <w:br/>
      </w:r>
      <w:r>
        <w:rPr>
          <w:rFonts w:ascii="Times New Roman" w:hAnsi="Times New Roman"/>
          <w:b/>
          <w:noProof/>
          <w:sz w:val="24"/>
          <w:u w:val="single"/>
          <w:lang w:val="ro-RO"/>
        </w:rPr>
        <w:t>1. Int</w:t>
      </w:r>
      <w:r>
        <w:rPr>
          <w:rFonts w:ascii="Times New Roman" w:hAnsi="Times New Roman"/>
          <w:b/>
          <w:noProof/>
          <w:sz w:val="24"/>
          <w:u w:val="single"/>
          <w:lang w:val="ro-RO"/>
        </w:rPr>
        <w:t xml:space="preserve">roducere </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b/>
          <w:noProof/>
          <w:sz w:val="24"/>
          <w:lang w:val="ro-RO"/>
        </w:rPr>
        <w:t>Crearea unei Uniuni mai echitabile și mai favorabile incluziunii reprezintă o prioritate absolută a actualei Comisii Europene</w:t>
      </w:r>
      <w:r>
        <w:rPr>
          <w:rStyle w:val="FootnoteReference"/>
          <w:rFonts w:ascii="Times New Roman" w:hAnsi="Times New Roman"/>
          <w:noProof/>
          <w:sz w:val="24"/>
          <w:lang w:val="ro-RO"/>
        </w:rPr>
        <w:footnoteReference w:id="2"/>
      </w:r>
      <w:r>
        <w:rPr>
          <w:rFonts w:ascii="Times New Roman" w:hAnsi="Times New Roman"/>
          <w:b/>
          <w:noProof/>
          <w:sz w:val="24"/>
          <w:lang w:val="ro-RO"/>
        </w:rPr>
        <w:t>.</w:t>
      </w:r>
      <w:r>
        <w:rPr>
          <w:noProof/>
          <w:lang w:val="ro-RO"/>
        </w:rPr>
        <w:t xml:space="preserve"> </w:t>
      </w:r>
      <w:r>
        <w:rPr>
          <w:rFonts w:ascii="Times New Roman" w:hAnsi="Times New Roman"/>
          <w:noProof/>
          <w:sz w:val="24"/>
          <w:lang w:val="ro-RO"/>
        </w:rPr>
        <w:t xml:space="preserve">De la momentul în care președintele Juncker a anunțat crearea Pilonului european al drepturilor sociale, Comisia a </w:t>
      </w:r>
      <w:r>
        <w:rPr>
          <w:rFonts w:ascii="Times New Roman" w:hAnsi="Times New Roman"/>
          <w:noProof/>
          <w:sz w:val="24"/>
          <w:lang w:val="ro-RO"/>
        </w:rPr>
        <w:t>cooperat în mod activ cu toate părțile interesate de la toate nivelurile. În martie 2016, Comisia a prezentat o schiță preliminară a Pilonului european al drepturilor sociale și a lansat o vastă consultare publică pentru a afla opiniile cu privire la acest</w:t>
      </w:r>
      <w:r>
        <w:rPr>
          <w:rFonts w:ascii="Times New Roman" w:hAnsi="Times New Roman"/>
          <w:noProof/>
          <w:sz w:val="24"/>
          <w:lang w:val="ro-RO"/>
        </w:rPr>
        <w:t xml:space="preserve"> subiect</w:t>
      </w:r>
      <w:r>
        <w:rPr>
          <w:rStyle w:val="FootnoteReference"/>
          <w:rFonts w:ascii="Times New Roman" w:hAnsi="Times New Roman"/>
          <w:noProof/>
          <w:sz w:val="24"/>
          <w:lang w:val="ro-RO"/>
        </w:rPr>
        <w:footnoteReference w:id="3"/>
      </w:r>
      <w:r>
        <w:rPr>
          <w:rFonts w:ascii="Times New Roman" w:hAnsi="Times New Roman"/>
          <w:noProof/>
          <w:sz w:val="24"/>
          <w:lang w:val="ro-RO"/>
        </w:rPr>
        <w:t>. În ianuarie 2017, pe baza evenimentelor părților interesate și a informațiilor primite din întreaga Europă, a fost organizată o conferință la nivel înalt pentru a finaliza consultarea</w:t>
      </w:r>
      <w:r>
        <w:rPr>
          <w:rStyle w:val="FootnoteReference"/>
          <w:rFonts w:ascii="Times New Roman" w:hAnsi="Times New Roman"/>
          <w:noProof/>
          <w:sz w:val="24"/>
          <w:lang w:val="ro-RO"/>
        </w:rPr>
        <w:footnoteReference w:id="4"/>
      </w:r>
      <w:r>
        <w:rPr>
          <w:noProof/>
          <w:lang w:val="ro-RO"/>
        </w:rPr>
        <w:t>.</w:t>
      </w:r>
      <w:r>
        <w:rPr>
          <w:rFonts w:ascii="Times New Roman" w:hAnsi="Times New Roman"/>
          <w:noProof/>
          <w:sz w:val="24"/>
          <w:lang w:val="ro-RO"/>
        </w:rPr>
        <w:t xml:space="preserve"> </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b/>
          <w:noProof/>
          <w:sz w:val="24"/>
          <w:lang w:val="ro-RO"/>
        </w:rPr>
        <w:t>Comisia prezintă astăzi rezultatele acestei consultări pub</w:t>
      </w:r>
      <w:r>
        <w:rPr>
          <w:rFonts w:ascii="Times New Roman" w:hAnsi="Times New Roman"/>
          <w:b/>
          <w:noProof/>
          <w:sz w:val="24"/>
          <w:lang w:val="ro-RO"/>
        </w:rPr>
        <w:t>lice, împreună cu propunerea sa finală privind Pilonul european al drepturilor sociale.</w:t>
      </w:r>
      <w:r>
        <w:rPr>
          <w:rFonts w:ascii="Times New Roman" w:hAnsi="Times New Roman"/>
          <w:noProof/>
          <w:sz w:val="24"/>
          <w:lang w:val="ro-RO"/>
        </w:rPr>
        <w:t xml:space="preserve"> Pilonul stabilește o serie de principii și drepturi esențiale în sprijinul unor piețe ale muncii și al unor sisteme de protecție socială echitabile și funcționale. După</w:t>
      </w:r>
      <w:r>
        <w:rPr>
          <w:rFonts w:ascii="Times New Roman" w:hAnsi="Times New Roman"/>
          <w:noProof/>
          <w:sz w:val="24"/>
          <w:lang w:val="ro-RO"/>
        </w:rPr>
        <w:t xml:space="preserve"> cum s-a subliniat în Raportul celor cinci președinți privind finalizarea uniunii economice și monetare a Europei</w:t>
      </w:r>
      <w:r>
        <w:rPr>
          <w:rStyle w:val="FootnoteReference"/>
          <w:rFonts w:ascii="Times New Roman" w:hAnsi="Times New Roman"/>
          <w:noProof/>
          <w:sz w:val="24"/>
          <w:lang w:val="ro-RO"/>
        </w:rPr>
        <w:footnoteReference w:id="5"/>
      </w:r>
      <w:r>
        <w:rPr>
          <w:rFonts w:ascii="Times New Roman" w:hAnsi="Times New Roman"/>
          <w:noProof/>
          <w:sz w:val="24"/>
          <w:lang w:val="ro-RO"/>
        </w:rPr>
        <w:t>, acest lucru este esențial și pentru crearea unor structuri economice mai reziliente. De aceea, pilonul este conceput ca o busolă pentru un p</w:t>
      </w:r>
      <w:r>
        <w:rPr>
          <w:rFonts w:ascii="Times New Roman" w:hAnsi="Times New Roman"/>
          <w:noProof/>
          <w:sz w:val="24"/>
          <w:lang w:val="ro-RO"/>
        </w:rPr>
        <w:t xml:space="preserve">roces reînnoit de convergență către condiții de muncă și de viață mai bune în statele membre participante. El este conceput în principal pentru zona euro, fiind însă deschis tuturor statelor membre ale UE. </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b/>
          <w:noProof/>
          <w:sz w:val="24"/>
          <w:lang w:val="ro-RO"/>
        </w:rPr>
        <w:t xml:space="preserve">Respectarea acestor principii și drepturi este o </w:t>
      </w:r>
      <w:r>
        <w:rPr>
          <w:rFonts w:ascii="Times New Roman" w:hAnsi="Times New Roman"/>
          <w:b/>
          <w:noProof/>
          <w:sz w:val="24"/>
          <w:lang w:val="ro-RO"/>
        </w:rPr>
        <w:t>responsabilitate comună</w:t>
      </w:r>
      <w:r>
        <w:rPr>
          <w:noProof/>
          <w:lang w:val="ro-RO"/>
        </w:rPr>
        <w:t>.</w:t>
      </w:r>
      <w:r>
        <w:rPr>
          <w:rFonts w:ascii="Times New Roman" w:hAnsi="Times New Roman"/>
          <w:noProof/>
          <w:sz w:val="24"/>
          <w:lang w:val="ro-RO"/>
        </w:rPr>
        <w:t xml:space="preserve"> Majoritatea instrumentelor necesare pentru înfăptuirea pilonului se află la dispoziția autorităților locale, regionale și naționale, dar și a partenerilor sociali și a societății civile în sens larg. Uniunea </w:t>
      </w:r>
      <w:r>
        <w:rPr>
          <w:rFonts w:ascii="Times New Roman" w:hAnsi="Times New Roman"/>
          <w:noProof/>
          <w:sz w:val="24"/>
          <w:lang w:val="ro-RO"/>
        </w:rPr>
        <w:lastRenderedPageBreak/>
        <w:t>Europeană, în special C</w:t>
      </w:r>
      <w:r>
        <w:rPr>
          <w:rFonts w:ascii="Times New Roman" w:hAnsi="Times New Roman"/>
          <w:noProof/>
          <w:sz w:val="24"/>
          <w:lang w:val="ro-RO"/>
        </w:rPr>
        <w:t>omisia Europeană, poate contribui prin stabilirea cadrului, oferirea de orientări și instituirea unor condiții de concurență echitabile, cu respectarea deplină a particularităților circumstanțelor și ale structurilor instituționale naționale. Deși acțiunea</w:t>
      </w:r>
      <w:r>
        <w:rPr>
          <w:rFonts w:ascii="Times New Roman" w:hAnsi="Times New Roman"/>
          <w:noProof/>
          <w:sz w:val="24"/>
          <w:lang w:val="ro-RO"/>
        </w:rPr>
        <w:t xml:space="preserve"> la nivelul UE este esențială, ea va trebui să fie sprijinită și continuată la toate nivelurile de responsabilitate.</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b/>
          <w:noProof/>
          <w:sz w:val="24"/>
          <w:lang w:val="ro-RO"/>
        </w:rPr>
        <w:t>Discuția referitoare la dimensiunea socială a Europei face parte din dezbaterea mai amplă cu privire la viitorul UE27</w:t>
      </w:r>
      <w:r>
        <w:rPr>
          <w:noProof/>
          <w:lang w:val="ro-RO"/>
        </w:rPr>
        <w:t>.</w:t>
      </w:r>
      <w:r>
        <w:rPr>
          <w:rFonts w:ascii="Times New Roman" w:hAnsi="Times New Roman"/>
          <w:noProof/>
          <w:sz w:val="24"/>
          <w:lang w:val="ro-RO"/>
        </w:rPr>
        <w:t xml:space="preserve"> Cartea albă a Comisiei privind viitorul Europei</w:t>
      </w:r>
      <w:r>
        <w:rPr>
          <w:rStyle w:val="FootnoteReference"/>
          <w:rFonts w:ascii="Times New Roman" w:hAnsi="Times New Roman"/>
          <w:noProof/>
          <w:sz w:val="24"/>
          <w:lang w:val="ro-RO"/>
        </w:rPr>
        <w:footnoteReference w:id="6"/>
      </w:r>
      <w:r>
        <w:rPr>
          <w:rFonts w:ascii="Times New Roman" w:hAnsi="Times New Roman"/>
          <w:noProof/>
          <w:sz w:val="24"/>
          <w:lang w:val="ro-RO"/>
        </w:rPr>
        <w:t xml:space="preserve"> a deschis o dezbatere amplă pe tema viitorului pe care îl dorim pentru noi, pentru copiii noștri și pentru Europa. Documentul de reflecție privind dimensiunea socială a Europei</w:t>
      </w:r>
      <w:r>
        <w:rPr>
          <w:rStyle w:val="FootnoteReference"/>
          <w:rFonts w:ascii="Times New Roman" w:hAnsi="Times New Roman"/>
          <w:noProof/>
          <w:sz w:val="24"/>
          <w:lang w:val="ro-RO"/>
        </w:rPr>
        <w:footnoteReference w:id="7"/>
      </w:r>
      <w:r>
        <w:rPr>
          <w:rFonts w:ascii="Times New Roman" w:hAnsi="Times New Roman"/>
          <w:noProof/>
          <w:sz w:val="24"/>
          <w:lang w:val="ro-RO"/>
        </w:rPr>
        <w:t xml:space="preserve">, publicat odată cu pachetul </w:t>
      </w:r>
      <w:r>
        <w:rPr>
          <w:rFonts w:ascii="Times New Roman" w:hAnsi="Times New Roman"/>
          <w:noProof/>
          <w:sz w:val="24"/>
          <w:lang w:val="ro-RO"/>
        </w:rPr>
        <w:t>referitor la Pilonul european al drepturilor sociale, se axează pe transformările profunde prin care vor trece societățile din Europa și din lume în deceniul următor și stabilește o serie de opțiuni pentru un răspuns colectiv, pe care îl putem da prin cons</w:t>
      </w:r>
      <w:r>
        <w:rPr>
          <w:rFonts w:ascii="Times New Roman" w:hAnsi="Times New Roman"/>
          <w:noProof/>
          <w:sz w:val="24"/>
          <w:lang w:val="ro-RO"/>
        </w:rPr>
        <w:t>truirea unei Europe care le oferă cetățenilor săi protecție, îi ajută să își afirme drepturile și îi apără. Declarația de la Roma adoptată de liderii UE la data de 25 martie 2017 a scos în evidență importanța unei Europe sociale. Summitul social pentru loc</w:t>
      </w:r>
      <w:r>
        <w:rPr>
          <w:rFonts w:ascii="Times New Roman" w:hAnsi="Times New Roman"/>
          <w:noProof/>
          <w:sz w:val="24"/>
          <w:lang w:val="ro-RO"/>
        </w:rPr>
        <w:t>uri de muncă și creștere echitabilă, care va avea loc la Göteborg la data de 17 noiembrie 2017, va fi o nouă ocazie de a dezvolta aceste idei.</w:t>
      </w:r>
    </w:p>
    <w:p w:rsidR="00291C10" w:rsidRDefault="00070C4D">
      <w:pPr>
        <w:tabs>
          <w:tab w:val="left" w:pos="426"/>
          <w:tab w:val="left" w:pos="851"/>
          <w:tab w:val="left" w:pos="1276"/>
        </w:tabs>
        <w:spacing w:after="240"/>
        <w:jc w:val="both"/>
        <w:rPr>
          <w:rFonts w:ascii="Times New Roman" w:hAnsi="Times New Roman" w:cs="Times New Roman"/>
          <w:noProof/>
          <w:color w:val="000000"/>
          <w:sz w:val="24"/>
          <w:szCs w:val="24"/>
          <w:lang w:val="ro-RO"/>
        </w:rPr>
      </w:pPr>
      <w:r>
        <w:rPr>
          <w:rFonts w:ascii="Times New Roman" w:hAnsi="Times New Roman"/>
          <w:b/>
          <w:noProof/>
          <w:color w:val="000000"/>
          <w:sz w:val="24"/>
          <w:lang w:val="ro-RO"/>
        </w:rPr>
        <w:t>Comunicarea de față prezintă Pilonul european al drepturilor sociale și calea de urmat pentru punerea în aplicare</w:t>
      </w:r>
      <w:r>
        <w:rPr>
          <w:rFonts w:ascii="Times New Roman" w:hAnsi="Times New Roman"/>
          <w:b/>
          <w:noProof/>
          <w:color w:val="000000"/>
          <w:sz w:val="24"/>
          <w:lang w:val="ro-RO"/>
        </w:rPr>
        <w:t xml:space="preserve"> a acestuia</w:t>
      </w:r>
      <w:r>
        <w:rPr>
          <w:noProof/>
          <w:lang w:val="ro-RO"/>
        </w:rPr>
        <w:t>.</w:t>
      </w:r>
      <w:r>
        <w:rPr>
          <w:rFonts w:ascii="Times New Roman" w:hAnsi="Times New Roman"/>
          <w:noProof/>
          <w:color w:val="000000"/>
          <w:sz w:val="24"/>
          <w:lang w:val="ro-RO"/>
        </w:rPr>
        <w:t xml:space="preserve"> Comunicarea este însoțită de o serie de inițiative legislative și nelegislative legate de echilibrul dintre viața profesională și cea personală, informațiile pentru lucrători, accesul la protecția socială și timpul de lucru. În logica pilonulu</w:t>
      </w:r>
      <w:r>
        <w:rPr>
          <w:rFonts w:ascii="Times New Roman" w:hAnsi="Times New Roman"/>
          <w:noProof/>
          <w:color w:val="000000"/>
          <w:sz w:val="24"/>
          <w:lang w:val="ro-RO"/>
        </w:rPr>
        <w:t>i, aceste propuneri, odată adoptate, vor actualiza și completa acquis-ul UE. Textul pilonului în sine este sprijinit de un document de lucru al serviciilor Comisiei, care oferă explicații mai detaliate cu privire la principiile și drepturile respective</w:t>
      </w:r>
      <w:r>
        <w:rPr>
          <w:rStyle w:val="FootnoteReference"/>
          <w:rFonts w:ascii="Times New Roman" w:hAnsi="Times New Roman"/>
          <w:noProof/>
          <w:sz w:val="24"/>
          <w:lang w:val="ro-RO"/>
        </w:rPr>
        <w:footnoteReference w:id="8"/>
      </w:r>
      <w:r>
        <w:rPr>
          <w:noProof/>
          <w:lang w:val="ro-RO"/>
        </w:rPr>
        <w:t>.</w:t>
      </w:r>
      <w:r>
        <w:rPr>
          <w:rFonts w:ascii="Times New Roman" w:hAnsi="Times New Roman"/>
          <w:noProof/>
          <w:color w:val="000000"/>
          <w:sz w:val="24"/>
          <w:lang w:val="ro-RO"/>
        </w:rPr>
        <w:t xml:space="preserve"> Î</w:t>
      </w:r>
      <w:r>
        <w:rPr>
          <w:rFonts w:ascii="Times New Roman" w:hAnsi="Times New Roman"/>
          <w:noProof/>
          <w:color w:val="000000"/>
          <w:sz w:val="24"/>
          <w:lang w:val="ro-RO"/>
        </w:rPr>
        <w:t>n plus, a fost instituit un tablou de bord social pentru monitorizarea progreselor realizate pe teren</w:t>
      </w:r>
      <w:r>
        <w:rPr>
          <w:rStyle w:val="FootnoteReference"/>
          <w:rFonts w:ascii="Times New Roman" w:hAnsi="Times New Roman"/>
          <w:noProof/>
          <w:color w:val="000000"/>
          <w:sz w:val="24"/>
          <w:lang w:val="ro-RO"/>
        </w:rPr>
        <w:footnoteReference w:id="9"/>
      </w:r>
      <w:r>
        <w:rPr>
          <w:rFonts w:ascii="Times New Roman" w:hAnsi="Times New Roman"/>
          <w:noProof/>
          <w:color w:val="000000"/>
          <w:sz w:val="24"/>
          <w:lang w:val="ro-RO"/>
        </w:rPr>
        <w:t>. Acesta va fi util pentru urmărirea tendințelor și a performanțelor din statele membre și pentru elaborarea orientărilor politice în contextul semestrulu</w:t>
      </w:r>
      <w:r>
        <w:rPr>
          <w:rFonts w:ascii="Times New Roman" w:hAnsi="Times New Roman"/>
          <w:noProof/>
          <w:color w:val="000000"/>
          <w:sz w:val="24"/>
          <w:lang w:val="ro-RO"/>
        </w:rPr>
        <w:t>i european pentru coordonarea politicilor economice. Pentru UE în ansamblu, tabloul de bord va fi utilizat și pentru evaluarea progreselor înregistrate în direcția obținerii unui „triplu A social”.</w:t>
      </w:r>
    </w:p>
    <w:p w:rsidR="00291C10" w:rsidRDefault="00070C4D">
      <w:pPr>
        <w:spacing w:after="240"/>
        <w:jc w:val="both"/>
        <w:rPr>
          <w:rFonts w:ascii="Times New Roman" w:hAnsi="Times New Roman" w:cs="Times New Roman"/>
          <w:b/>
          <w:noProof/>
          <w:sz w:val="24"/>
          <w:szCs w:val="24"/>
          <w:u w:val="single"/>
          <w:lang w:val="ro-RO"/>
        </w:rPr>
      </w:pPr>
      <w:r>
        <w:rPr>
          <w:rFonts w:ascii="Times New Roman" w:hAnsi="Times New Roman" w:cs="Times New Roman"/>
          <w:b/>
          <w:noProof/>
          <w:sz w:val="24"/>
          <w:szCs w:val="24"/>
          <w:u w:val="single"/>
          <w:lang w:val="ro-RO"/>
        </w:rPr>
        <w:br/>
      </w:r>
      <w:r>
        <w:rPr>
          <w:rFonts w:ascii="Times New Roman" w:hAnsi="Times New Roman"/>
          <w:b/>
          <w:noProof/>
          <w:sz w:val="24"/>
          <w:u w:val="single"/>
          <w:lang w:val="ro-RO"/>
        </w:rPr>
        <w:t xml:space="preserve">2. Raționamentul aflat la baza Pilonului european al </w:t>
      </w:r>
      <w:r>
        <w:rPr>
          <w:rFonts w:ascii="Times New Roman" w:hAnsi="Times New Roman"/>
          <w:b/>
          <w:noProof/>
          <w:sz w:val="24"/>
          <w:u w:val="single"/>
          <w:lang w:val="ro-RO"/>
        </w:rPr>
        <w:t>drepturilor sociale</w:t>
      </w:r>
    </w:p>
    <w:p w:rsidR="00291C10" w:rsidRDefault="00070C4D">
      <w:pPr>
        <w:pStyle w:val="PlainText"/>
        <w:spacing w:after="240" w:line="276" w:lineRule="auto"/>
        <w:jc w:val="both"/>
        <w:rPr>
          <w:rFonts w:ascii="Times New Roman" w:hAnsi="Times New Roman" w:cs="Times New Roman"/>
          <w:b/>
          <w:noProof/>
          <w:sz w:val="24"/>
          <w:szCs w:val="24"/>
          <w:lang w:val="ro-RO"/>
        </w:rPr>
      </w:pPr>
      <w:r>
        <w:rPr>
          <w:rFonts w:ascii="Times New Roman" w:hAnsi="Times New Roman"/>
          <w:b/>
          <w:noProof/>
          <w:sz w:val="24"/>
          <w:lang w:val="ro-RO"/>
        </w:rPr>
        <w:t xml:space="preserve">Pilonul european al drepturilor sociale este prezentat ținând seama de realitățile prezente și viitoare. </w:t>
      </w:r>
      <w:r>
        <w:rPr>
          <w:rFonts w:ascii="Times New Roman" w:hAnsi="Times New Roman"/>
          <w:noProof/>
          <w:sz w:val="24"/>
          <w:lang w:val="ro-RO"/>
        </w:rPr>
        <w:t>În pofida îmbunătățirilor recente ale condițiilor economice și sociale din Europa, consecințele crizei din ultimul deceniu se fac î</w:t>
      </w:r>
      <w:r>
        <w:rPr>
          <w:rFonts w:ascii="Times New Roman" w:hAnsi="Times New Roman"/>
          <w:noProof/>
          <w:sz w:val="24"/>
          <w:lang w:val="ro-RO"/>
        </w:rPr>
        <w:t>n continuare simțite, de la șomajul de lungă durată și șomajul în rândul tinerilor la riscul de sărăcie în multe părți ale Europei. În același timp, fiecare stat membru se confruntă cu schimbările rapide care au loc în societățile noastre și în universul m</w:t>
      </w:r>
      <w:r>
        <w:rPr>
          <w:rFonts w:ascii="Times New Roman" w:hAnsi="Times New Roman"/>
          <w:noProof/>
          <w:sz w:val="24"/>
          <w:lang w:val="ro-RO"/>
        </w:rPr>
        <w:t xml:space="preserve">uncii. Așa cum s-a reamintit în documentul de reflecție privind </w:t>
      </w:r>
      <w:r>
        <w:rPr>
          <w:rFonts w:ascii="Times New Roman" w:hAnsi="Times New Roman"/>
          <w:noProof/>
          <w:sz w:val="24"/>
          <w:lang w:val="ro-RO"/>
        </w:rPr>
        <w:lastRenderedPageBreak/>
        <w:t xml:space="preserve">dimensiunea socială a Europei, există în egală măsură provocări și oportunități. UE are cele mai avansate sisteme de protecție socială din lume și o gamă largă de bune practici și de inovații </w:t>
      </w:r>
      <w:r>
        <w:rPr>
          <w:rFonts w:ascii="Times New Roman" w:hAnsi="Times New Roman"/>
          <w:noProof/>
          <w:sz w:val="24"/>
          <w:lang w:val="ro-RO"/>
        </w:rPr>
        <w:t xml:space="preserve">sociale, dar trebuie să facă față și să se adapteze la modificări fără precedent ale societății. </w:t>
      </w:r>
    </w:p>
    <w:p w:rsidR="00291C10" w:rsidRDefault="00291C10">
      <w:pPr>
        <w:pStyle w:val="PlainText"/>
        <w:spacing w:after="240" w:line="276" w:lineRule="auto"/>
        <w:jc w:val="both"/>
        <w:rPr>
          <w:rFonts w:ascii="Times New Roman" w:hAnsi="Times New Roman" w:cs="Times New Roman"/>
          <w:b/>
          <w:noProof/>
          <w:sz w:val="24"/>
          <w:szCs w:val="24"/>
          <w:lang w:val="ro-RO"/>
        </w:rPr>
      </w:pPr>
    </w:p>
    <w:p w:rsidR="00291C10" w:rsidRDefault="00070C4D">
      <w:pPr>
        <w:pStyle w:val="PlainText"/>
        <w:spacing w:after="240" w:line="276" w:lineRule="auto"/>
        <w:jc w:val="both"/>
        <w:rPr>
          <w:rFonts w:ascii="Times New Roman" w:hAnsi="Times New Roman" w:cs="Times New Roman"/>
          <w:noProof/>
          <w:sz w:val="24"/>
          <w:szCs w:val="24"/>
          <w:lang w:val="ro-RO"/>
        </w:rPr>
      </w:pPr>
      <w:r>
        <w:rPr>
          <w:rFonts w:ascii="Times New Roman" w:hAnsi="Times New Roman"/>
          <w:b/>
          <w:noProof/>
          <w:sz w:val="24"/>
          <w:lang w:val="ro-RO"/>
        </w:rPr>
        <w:t>În acest context, scopul Pilonului european al drepturilor sociale este să le ofere cetățenilor drepturi noi și mai eficiente.</w:t>
      </w:r>
      <w:r>
        <w:rPr>
          <w:rFonts w:ascii="Times New Roman" w:hAnsi="Times New Roman"/>
          <w:noProof/>
          <w:sz w:val="24"/>
          <w:lang w:val="ro-RO"/>
        </w:rPr>
        <w:t xml:space="preserve"> Cele 20 de principii și dreptu</w:t>
      </w:r>
      <w:r>
        <w:rPr>
          <w:rFonts w:ascii="Times New Roman" w:hAnsi="Times New Roman"/>
          <w:noProof/>
          <w:sz w:val="24"/>
          <w:lang w:val="ro-RO"/>
        </w:rPr>
        <w:t>ri consacrate în cadrul pilonului sunt structurate în jurul a trei categorii: egalitate de șanse și de acces pe piața muncii, condiții de lucru echitabile și protecție și incluziune socială. Ele pun accentul pe modalitatea de a îndeplini promisiunea înscri</w:t>
      </w:r>
      <w:r>
        <w:rPr>
          <w:rFonts w:ascii="Times New Roman" w:hAnsi="Times New Roman"/>
          <w:noProof/>
          <w:sz w:val="24"/>
          <w:lang w:val="ro-RO"/>
        </w:rPr>
        <w:t>să în tratate, aceea de a avea o economie socială de piață cu grad ridicat de competitivitate, care tinde spre ocuparea deplină a forței de muncă și spre progres social. Deși principiile și drepturile sunt comune, nu se presupune că implementarea lor va fi</w:t>
      </w:r>
      <w:r>
        <w:rPr>
          <w:rFonts w:ascii="Times New Roman" w:hAnsi="Times New Roman"/>
          <w:noProof/>
          <w:sz w:val="24"/>
          <w:lang w:val="ro-RO"/>
        </w:rPr>
        <w:t xml:space="preserve"> efectuată printr-o abordare uniformă: pilonul recunoaște diversitatea situațiilor și a mijloacelor prin care pot fi atinse aceste țeluri comune.</w:t>
      </w:r>
    </w:p>
    <w:p w:rsidR="00291C10" w:rsidRDefault="00070C4D">
      <w:pPr>
        <w:pStyle w:val="PlainText"/>
        <w:spacing w:after="240" w:line="276" w:lineRule="auto"/>
        <w:jc w:val="both"/>
        <w:rPr>
          <w:rFonts w:ascii="Times New Roman" w:hAnsi="Times New Roman" w:cs="Times New Roman"/>
          <w:noProof/>
          <w:sz w:val="24"/>
          <w:szCs w:val="24"/>
          <w:lang w:val="ro-RO"/>
        </w:rPr>
      </w:pPr>
      <w:r>
        <w:rPr>
          <w:rFonts w:ascii="Times New Roman" w:hAnsi="Times New Roman"/>
          <w:b/>
          <w:noProof/>
          <w:sz w:val="24"/>
          <w:lang w:val="ro-RO"/>
        </w:rPr>
        <w:t xml:space="preserve">Propunerea finală privind Pilonul european al drepturilor sociale prezentată astăzi a beneficiat de numeroase </w:t>
      </w:r>
      <w:r>
        <w:rPr>
          <w:rFonts w:ascii="Times New Roman" w:hAnsi="Times New Roman"/>
          <w:b/>
          <w:noProof/>
          <w:sz w:val="24"/>
          <w:lang w:val="ro-RO"/>
        </w:rPr>
        <w:t>contribuții strânse în cursul consultării publice</w:t>
      </w:r>
      <w:r>
        <w:rPr>
          <w:noProof/>
          <w:lang w:val="ro-RO"/>
        </w:rPr>
        <w:t xml:space="preserve"> </w:t>
      </w:r>
      <w:r>
        <w:rPr>
          <w:rFonts w:ascii="Times New Roman" w:hAnsi="Times New Roman"/>
          <w:noProof/>
          <w:sz w:val="24"/>
          <w:lang w:val="ro-RO"/>
        </w:rPr>
        <w:t>(a se vedea caseta 1).</w:t>
      </w:r>
      <w:r>
        <w:rPr>
          <w:rFonts w:ascii="Times New Roman" w:hAnsi="Times New Roman"/>
          <w:b/>
          <w:noProof/>
          <w:sz w:val="24"/>
          <w:lang w:val="ro-RO"/>
        </w:rPr>
        <w:t xml:space="preserve"> </w:t>
      </w:r>
      <w:r>
        <w:rPr>
          <w:rFonts w:ascii="Times New Roman" w:hAnsi="Times New Roman"/>
          <w:noProof/>
          <w:sz w:val="24"/>
          <w:lang w:val="ro-RO"/>
        </w:rPr>
        <w:t xml:space="preserve">În urma consultării, o serie de parametri au fost rafinați în comparație cu schița preliminară din martie 2016. </w:t>
      </w:r>
    </w:p>
    <w:p w:rsidR="00291C10" w:rsidRDefault="00070C4D">
      <w:pPr>
        <w:pBdr>
          <w:top w:val="single" w:sz="4" w:space="1" w:color="auto"/>
          <w:left w:val="single" w:sz="4" w:space="4" w:color="auto"/>
          <w:bottom w:val="single" w:sz="4" w:space="1" w:color="auto"/>
          <w:right w:val="single" w:sz="4" w:space="0" w:color="auto"/>
        </w:pBdr>
        <w:jc w:val="both"/>
        <w:rPr>
          <w:rFonts w:ascii="Times New Roman" w:hAnsi="Times New Roman" w:cs="Times New Roman"/>
          <w:b/>
          <w:noProof/>
          <w:lang w:val="ro-RO"/>
        </w:rPr>
      </w:pPr>
      <w:r>
        <w:rPr>
          <w:rFonts w:ascii="Times New Roman" w:hAnsi="Times New Roman"/>
          <w:b/>
          <w:noProof/>
          <w:lang w:val="ro-RO"/>
        </w:rPr>
        <w:t xml:space="preserve">Caseta 1. Consultarea privind Pilonul european al drepturilor sociale </w:t>
      </w:r>
    </w:p>
    <w:p w:rsidR="00291C10" w:rsidRDefault="00070C4D">
      <w:pPr>
        <w:pBdr>
          <w:top w:val="single" w:sz="4" w:space="1" w:color="auto"/>
          <w:left w:val="single" w:sz="4" w:space="4" w:color="auto"/>
          <w:bottom w:val="single" w:sz="4" w:space="1" w:color="auto"/>
          <w:right w:val="single" w:sz="4" w:space="0" w:color="auto"/>
        </w:pBdr>
        <w:jc w:val="both"/>
        <w:rPr>
          <w:rFonts w:ascii="Times New Roman" w:hAnsi="Times New Roman" w:cs="Times New Roman"/>
          <w:i/>
          <w:noProof/>
          <w:lang w:val="ro-RO"/>
        </w:rPr>
      </w:pPr>
      <w:r>
        <w:rPr>
          <w:rFonts w:ascii="Times New Roman" w:hAnsi="Times New Roman"/>
          <w:i/>
          <w:noProof/>
          <w:lang w:val="ro-RO"/>
        </w:rPr>
        <w:t>Din martie până în decembrie 2016, Comisia a desfășurat o consultare publică pentru a strânge opinii referitoare la o schiță preliminară a pilonului. Aceasta a reprezentat totodată o ocazie de a reflecta asupra viitorului pieței forței de muncă și al sist</w:t>
      </w:r>
      <w:r>
        <w:rPr>
          <w:rFonts w:ascii="Times New Roman" w:hAnsi="Times New Roman"/>
          <w:i/>
          <w:noProof/>
          <w:lang w:val="ro-RO"/>
        </w:rPr>
        <w:t>emelor de protecție socială, asupra întrebării dacă acquis-ul UE este în continuare adecvat scopului și asupra rolului pe care îl poate avea pilonul în cadrul guvernanței uniunii economice și monetare.</w:t>
      </w:r>
    </w:p>
    <w:p w:rsidR="00291C10" w:rsidRDefault="00070C4D">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lang w:val="ro-RO"/>
        </w:rPr>
      </w:pPr>
      <w:r>
        <w:rPr>
          <w:rFonts w:ascii="Times New Roman" w:hAnsi="Times New Roman"/>
          <w:i/>
          <w:noProof/>
          <w:lang w:val="ro-RO"/>
        </w:rPr>
        <w:t>Consultarea a permis o discuție amplă cu celelalte ins</w:t>
      </w:r>
      <w:r>
        <w:rPr>
          <w:rFonts w:ascii="Times New Roman" w:hAnsi="Times New Roman"/>
          <w:i/>
          <w:noProof/>
          <w:lang w:val="ro-RO"/>
        </w:rPr>
        <w:t>tituții ale UE, cu guvernele și parlamentele naționale, cu experți și cu societatea civilă în sens larg.</w:t>
      </w:r>
      <w:r>
        <w:rPr>
          <w:rFonts w:ascii="Times New Roman" w:hAnsi="Times New Roman"/>
          <w:b/>
          <w:i/>
          <w:noProof/>
          <w:lang w:val="ro-RO"/>
        </w:rPr>
        <w:t xml:space="preserve"> </w:t>
      </w:r>
      <w:r>
        <w:rPr>
          <w:rFonts w:ascii="Times New Roman" w:hAnsi="Times New Roman"/>
          <w:i/>
          <w:noProof/>
          <w:lang w:val="ro-RO"/>
        </w:rPr>
        <w:t xml:space="preserve">Partenerii sociali au jucat un rol specific prin intermediul unor dezbateri speciale la care au participat UE, organizații interprofesionale naționale </w:t>
      </w:r>
      <w:r>
        <w:rPr>
          <w:rFonts w:ascii="Times New Roman" w:hAnsi="Times New Roman"/>
          <w:i/>
          <w:noProof/>
          <w:lang w:val="ro-RO"/>
        </w:rPr>
        <w:t>ș</w:t>
      </w:r>
      <w:r>
        <w:rPr>
          <w:rFonts w:ascii="Times New Roman" w:hAnsi="Times New Roman"/>
          <w:i/>
          <w:noProof/>
          <w:lang w:val="ro-RO"/>
        </w:rPr>
        <w:t>i federații sectoriale ale UE. Peste 60 de evenimente specifice, cu mai mult de 2 500 de participanți, au avut loc în întreaga Europă. La nivel național, au fost organizate evenimente dedicate consultării în 27 de state membre. La chestionarul online afer</w:t>
      </w:r>
      <w:r>
        <w:rPr>
          <w:rFonts w:ascii="Times New Roman" w:hAnsi="Times New Roman"/>
          <w:i/>
          <w:noProof/>
          <w:lang w:val="ro-RO"/>
        </w:rPr>
        <w:t>ent s-au primit mai mult de 16 500 de răspunsuri. La data de 23 ianuarie 2017, a avut loc o conferință la nivel înalt, pentru finalizarea procesului de consultare.</w:t>
      </w:r>
    </w:p>
    <w:p w:rsidR="00291C10" w:rsidRDefault="00070C4D">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lang w:val="ro-RO"/>
        </w:rPr>
      </w:pPr>
      <w:r>
        <w:rPr>
          <w:rFonts w:ascii="Times New Roman" w:hAnsi="Times New Roman"/>
          <w:i/>
          <w:noProof/>
          <w:lang w:val="ro-RO"/>
        </w:rPr>
        <w:t>La 19 ianuarie 2017, Parlamentul European a adoptat o rezoluție referitoare la pilon</w:t>
      </w:r>
      <w:r>
        <w:rPr>
          <w:rStyle w:val="FootnoteReference"/>
          <w:rFonts w:ascii="Times New Roman" w:hAnsi="Times New Roman"/>
          <w:i/>
          <w:noProof/>
          <w:lang w:val="ro-RO"/>
        </w:rPr>
        <w:footnoteReference w:id="10"/>
      </w:r>
      <w:r>
        <w:rPr>
          <w:rFonts w:ascii="Times New Roman" w:hAnsi="Times New Roman"/>
          <w:i/>
          <w:noProof/>
          <w:lang w:val="ro-RO"/>
        </w:rPr>
        <w:t xml:space="preserve">. </w:t>
      </w:r>
      <w:r>
        <w:rPr>
          <w:rFonts w:ascii="Times New Roman" w:hAnsi="Times New Roman"/>
          <w:i/>
          <w:noProof/>
          <w:lang w:val="ro-RO"/>
        </w:rPr>
        <w:t>Comitetul Regiunilor a adoptat un aviz la 11 octombrie 2016</w:t>
      </w:r>
      <w:r>
        <w:rPr>
          <w:rStyle w:val="FootnoteReference"/>
          <w:rFonts w:ascii="Times New Roman" w:hAnsi="Times New Roman"/>
          <w:i/>
          <w:noProof/>
          <w:lang w:val="ro-RO"/>
        </w:rPr>
        <w:footnoteReference w:id="11"/>
      </w:r>
      <w:r>
        <w:rPr>
          <w:rFonts w:ascii="Times New Roman" w:hAnsi="Times New Roman"/>
          <w:i/>
          <w:noProof/>
          <w:lang w:val="ro-RO"/>
        </w:rPr>
        <w:t>, iar Comitetul Economic și Social European, la 25 ianuarie 2017</w:t>
      </w:r>
      <w:r>
        <w:rPr>
          <w:rStyle w:val="FootnoteReference"/>
          <w:rFonts w:ascii="Times New Roman" w:hAnsi="Times New Roman"/>
          <w:i/>
          <w:noProof/>
          <w:lang w:val="ro-RO"/>
        </w:rPr>
        <w:footnoteReference w:id="12"/>
      </w:r>
      <w:r>
        <w:rPr>
          <w:rFonts w:ascii="Times New Roman" w:hAnsi="Times New Roman"/>
          <w:i/>
          <w:noProof/>
          <w:lang w:val="ro-RO"/>
        </w:rPr>
        <w:t>.</w:t>
      </w:r>
      <w:r>
        <w:rPr>
          <w:rFonts w:ascii="Verdana" w:hAnsi="Verdana"/>
          <w:i/>
          <w:noProof/>
          <w:lang w:val="ro-RO"/>
        </w:rPr>
        <w:t xml:space="preserve"> </w:t>
      </w:r>
      <w:r>
        <w:rPr>
          <w:rFonts w:ascii="Times New Roman" w:hAnsi="Times New Roman"/>
          <w:i/>
          <w:noProof/>
          <w:lang w:val="ro-RO"/>
        </w:rPr>
        <w:t>Comisia a primit, de asemenea, contribuții de la 21 de guverne naționale</w:t>
      </w:r>
      <w:r>
        <w:rPr>
          <w:rStyle w:val="FootnoteReference"/>
          <w:rFonts w:ascii="Times New Roman" w:hAnsi="Times New Roman"/>
          <w:i/>
          <w:noProof/>
          <w:lang w:val="ro-RO"/>
        </w:rPr>
        <w:footnoteReference w:id="13"/>
      </w:r>
      <w:r>
        <w:rPr>
          <w:rFonts w:ascii="Times New Roman" w:hAnsi="Times New Roman"/>
          <w:i/>
          <w:noProof/>
          <w:lang w:val="ro-RO"/>
        </w:rPr>
        <w:t xml:space="preserve">, iar miniștrii au purtat discuții pe tema pilonului în </w:t>
      </w:r>
      <w:r>
        <w:rPr>
          <w:rFonts w:ascii="Times New Roman" w:hAnsi="Times New Roman"/>
          <w:i/>
          <w:noProof/>
          <w:lang w:val="ro-RO"/>
        </w:rPr>
        <w:t>diverse ședințe ale Consiliului.</w:t>
      </w:r>
    </w:p>
    <w:p w:rsidR="00291C10" w:rsidRDefault="00070C4D">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lang w:val="ro-RO"/>
        </w:rPr>
      </w:pPr>
      <w:r>
        <w:rPr>
          <w:rFonts w:ascii="Times New Roman" w:hAnsi="Times New Roman"/>
          <w:i/>
          <w:noProof/>
          <w:lang w:val="ro-RO"/>
        </w:rPr>
        <w:t>Consultarea a permis identificarea a patru mari tendințe pe care pilonul ar trebui să le abordeze: (i) consecințele sociale ale crizei, inclusiv creșterea gradului de sărăcie și de excluziune, a inegalităților și a șomajulu</w:t>
      </w:r>
      <w:r>
        <w:rPr>
          <w:rFonts w:ascii="Times New Roman" w:hAnsi="Times New Roman"/>
          <w:i/>
          <w:noProof/>
          <w:lang w:val="ro-RO"/>
        </w:rPr>
        <w:t>i și scăderea creșterii și a competitivității; (ii) viitorul pieței forței de muncă și piața digitală emergentă a forței de muncă; (iii) evoluțiile demografice, în special îmbătrânirea populației Europei; și (iv) discrepanțele economice dintre statele memb</w:t>
      </w:r>
      <w:r>
        <w:rPr>
          <w:rFonts w:ascii="Times New Roman" w:hAnsi="Times New Roman"/>
          <w:i/>
          <w:noProof/>
          <w:lang w:val="ro-RO"/>
        </w:rPr>
        <w:t xml:space="preserve">re. Aceste preocupări au stat la baza conceperii Pilonului european al drepturilor sociale prezentat astăzi. </w:t>
      </w:r>
    </w:p>
    <w:p w:rsidR="00291C10" w:rsidRDefault="00291C10">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lang w:val="ro-RO"/>
        </w:rPr>
      </w:pPr>
    </w:p>
    <w:p w:rsidR="00291C10" w:rsidRDefault="00070C4D">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lang w:val="ro-RO"/>
        </w:rPr>
      </w:pPr>
      <w:r>
        <w:rPr>
          <w:rFonts w:ascii="Times New Roman" w:hAnsi="Times New Roman"/>
          <w:i/>
          <w:noProof/>
          <w:lang w:val="ro-RO"/>
        </w:rPr>
        <w:t>În ansamblu, consultarea a evidențiat sprijinul pentru Pilonul european al drepturilor sociale, ca oportunitate de a crea o Europă mai socială. Î</w:t>
      </w:r>
      <w:r>
        <w:rPr>
          <w:rFonts w:ascii="Times New Roman" w:hAnsi="Times New Roman"/>
          <w:i/>
          <w:noProof/>
          <w:lang w:val="ro-RO"/>
        </w:rPr>
        <w:t>n același timp, consultarea a confirmat faptul că provocările economice și sociale cu care se confruntă Europa sunt legate între ele și impun o acțiune coerentă la toate nivelurile. Mai exact, numeroși respondenți au indicat faptul că scopul pilonului nu a</w:t>
      </w:r>
      <w:r>
        <w:rPr>
          <w:rFonts w:ascii="Times New Roman" w:hAnsi="Times New Roman"/>
          <w:i/>
          <w:noProof/>
          <w:lang w:val="ro-RO"/>
        </w:rPr>
        <w:t xml:space="preserve">r trebui să fie armonizarea politicilor sociale din UE. </w:t>
      </w:r>
    </w:p>
    <w:p w:rsidR="00291C10" w:rsidRDefault="00070C4D">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noProof/>
          <w:lang w:val="ro-RO"/>
        </w:rPr>
      </w:pPr>
      <w:r>
        <w:rPr>
          <w:rFonts w:ascii="Times New Roman" w:hAnsi="Times New Roman"/>
          <w:i/>
          <w:noProof/>
          <w:lang w:val="ro-RO"/>
        </w:rPr>
        <w:t>Un rezumat mai detaliat al consultării este prezentat în documentul de lucru al serviciilor Comisiei publicat odată cu prezenta comunicare</w:t>
      </w:r>
      <w:r>
        <w:rPr>
          <w:rStyle w:val="FootnoteReference"/>
          <w:rFonts w:ascii="Times New Roman" w:hAnsi="Times New Roman"/>
          <w:i/>
          <w:noProof/>
          <w:lang w:val="ro-RO"/>
        </w:rPr>
        <w:footnoteReference w:id="14"/>
      </w:r>
      <w:r>
        <w:rPr>
          <w:rFonts w:ascii="Times New Roman" w:hAnsi="Times New Roman"/>
          <w:i/>
          <w:noProof/>
          <w:lang w:val="ro-RO"/>
        </w:rPr>
        <w:t>.</w:t>
      </w:r>
    </w:p>
    <w:p w:rsidR="00291C10" w:rsidRDefault="00070C4D">
      <w:pPr>
        <w:jc w:val="both"/>
        <w:rPr>
          <w:rFonts w:ascii="Times New Roman" w:hAnsi="Times New Roman" w:cs="Times New Roman"/>
          <w:noProof/>
          <w:sz w:val="24"/>
          <w:szCs w:val="24"/>
          <w:lang w:val="ro-RO"/>
        </w:rPr>
      </w:pPr>
      <w:r>
        <w:rPr>
          <w:rFonts w:ascii="Times New Roman" w:hAnsi="Times New Roman" w:cs="Times New Roman"/>
          <w:b/>
          <w:noProof/>
          <w:color w:val="000000"/>
          <w:sz w:val="16"/>
          <w:szCs w:val="16"/>
          <w:lang w:val="ro-RO"/>
        </w:rPr>
        <w:br/>
      </w:r>
      <w:r>
        <w:rPr>
          <w:rFonts w:ascii="Times New Roman" w:hAnsi="Times New Roman"/>
          <w:b/>
          <w:noProof/>
          <w:color w:val="000000"/>
          <w:sz w:val="24"/>
          <w:lang w:val="ro-RO"/>
        </w:rPr>
        <w:t xml:space="preserve">Aceste provocări au o însemnătate specială pentru </w:t>
      </w:r>
      <w:r>
        <w:rPr>
          <w:rFonts w:ascii="Times New Roman" w:hAnsi="Times New Roman"/>
          <w:b/>
          <w:noProof/>
          <w:color w:val="000000"/>
          <w:sz w:val="24"/>
          <w:lang w:val="ro-RO"/>
        </w:rPr>
        <w:t>finalizarea uniunii economice și monetare a Europei</w:t>
      </w:r>
      <w:r>
        <w:rPr>
          <w:rFonts w:ascii="Times New Roman" w:hAnsi="Times New Roman"/>
          <w:noProof/>
          <w:color w:val="000000"/>
          <w:sz w:val="24"/>
          <w:lang w:val="ro-RO"/>
        </w:rPr>
        <w:t xml:space="preserve">, </w:t>
      </w:r>
      <w:r>
        <w:rPr>
          <w:rFonts w:ascii="Times New Roman" w:hAnsi="Times New Roman"/>
          <w:b/>
          <w:noProof/>
          <w:color w:val="000000"/>
          <w:sz w:val="24"/>
          <w:lang w:val="ro-RO"/>
        </w:rPr>
        <w:t>așa cum s-a subliniat în Raportul celor cinci președinți din iunie 2015</w:t>
      </w:r>
      <w:r>
        <w:rPr>
          <w:rStyle w:val="FootnoteReference"/>
          <w:rFonts w:ascii="Times New Roman" w:hAnsi="Times New Roman"/>
          <w:noProof/>
          <w:color w:val="000000"/>
          <w:sz w:val="24"/>
          <w:lang w:val="ro-RO"/>
        </w:rPr>
        <w:footnoteReference w:id="15"/>
      </w:r>
      <w:r>
        <w:rPr>
          <w:rFonts w:ascii="Times New Roman" w:hAnsi="Times New Roman"/>
          <w:noProof/>
          <w:color w:val="000000"/>
          <w:sz w:val="24"/>
          <w:lang w:val="ro-RO"/>
        </w:rPr>
        <w:t>. Nu este vorba doar de o necesitate socială, ci și de un imperativ economic. Condițiile sociale și de încadrare în muncă variază c</w:t>
      </w:r>
      <w:r>
        <w:rPr>
          <w:rFonts w:ascii="Times New Roman" w:hAnsi="Times New Roman"/>
          <w:noProof/>
          <w:color w:val="000000"/>
          <w:sz w:val="24"/>
          <w:lang w:val="ro-RO"/>
        </w:rPr>
        <w:t>onsiderabil în zona euro, parțial din cauza crizei, dar și din cauza dezechilibrelor acumulate în anii care au precedat-o. Așa cum se subliniază în raport, existența unor piețe ale muncii eficiente și reziliente, care să promoveze un nivel ridicat al ocupă</w:t>
      </w:r>
      <w:r>
        <w:rPr>
          <w:rFonts w:ascii="Times New Roman" w:hAnsi="Times New Roman"/>
          <w:noProof/>
          <w:color w:val="000000"/>
          <w:sz w:val="24"/>
          <w:lang w:val="ro-RO"/>
        </w:rPr>
        <w:t>rii forței de muncă și să poată absorbi șocurile fără a crește nivelul șomajului, este esențială pentru buna funcționare a uniunii economice și monetare. De-a lungul timpului, aceste piețe contribuie la convergența performanțelor între statele membre și la</w:t>
      </w:r>
      <w:r>
        <w:rPr>
          <w:rFonts w:ascii="Times New Roman" w:hAnsi="Times New Roman"/>
          <w:noProof/>
          <w:color w:val="000000"/>
          <w:sz w:val="24"/>
          <w:lang w:val="ro-RO"/>
        </w:rPr>
        <w:t xml:space="preserve"> creșterea gradului de incluziune al societăților. </w:t>
      </w:r>
      <w:r>
        <w:rPr>
          <w:rFonts w:ascii="Times New Roman" w:hAnsi="Times New Roman"/>
          <w:noProof/>
          <w:sz w:val="24"/>
          <w:lang w:val="ro-RO"/>
        </w:rPr>
        <w:t>Pe lângă piețele forței de muncă, este important să se asigure faptul că fiecare cetățean are acces la o educație adecvată și că există un sistem eficace de protecție socială menit să îi protejeze pe cei m</w:t>
      </w:r>
      <w:r>
        <w:rPr>
          <w:rFonts w:ascii="Times New Roman" w:hAnsi="Times New Roman"/>
          <w:noProof/>
          <w:sz w:val="24"/>
          <w:lang w:val="ro-RO"/>
        </w:rPr>
        <w:t>ai vulnerabili membri ai societății, inclusiv prin garantarea unui „nivel minim de protecție socială”. În fine, raportul subliniază nevoia de a merge mai departe și de a promova o integrare mai profundă a piețelor naționale ale forței de muncă prin facilit</w:t>
      </w:r>
      <w:r>
        <w:rPr>
          <w:rFonts w:ascii="Times New Roman" w:hAnsi="Times New Roman"/>
          <w:noProof/>
          <w:sz w:val="24"/>
          <w:lang w:val="ro-RO"/>
        </w:rPr>
        <w:t>area mobilității geografice și profesionale. Pentru aceasta este nevoie de reguli de concurență echitabile și obligatorii pentru autoritățile publice, lucrători și întreprinderi.</w:t>
      </w:r>
    </w:p>
    <w:p w:rsidR="00291C10" w:rsidRDefault="00070C4D">
      <w:pPr>
        <w:widowControl w:val="0"/>
        <w:autoSpaceDE w:val="0"/>
        <w:autoSpaceDN w:val="0"/>
        <w:adjustRightInd w:val="0"/>
        <w:spacing w:after="240"/>
        <w:jc w:val="both"/>
        <w:rPr>
          <w:rFonts w:ascii="Times New Roman" w:hAnsi="Times New Roman" w:cs="Times New Roman"/>
          <w:b/>
          <w:noProof/>
          <w:sz w:val="24"/>
          <w:szCs w:val="24"/>
          <w:lang w:val="ro-RO"/>
        </w:rPr>
      </w:pPr>
      <w:r>
        <w:rPr>
          <w:rFonts w:ascii="Times New Roman" w:hAnsi="Times New Roman"/>
          <w:b/>
          <w:noProof/>
          <w:sz w:val="24"/>
          <w:lang w:val="ro-RO"/>
        </w:rPr>
        <w:t xml:space="preserve">Pilonul este așadar conceput în principal pentru statele membre din zona </w:t>
      </w:r>
      <w:r>
        <w:rPr>
          <w:rFonts w:ascii="Times New Roman" w:hAnsi="Times New Roman"/>
          <w:b/>
          <w:noProof/>
          <w:sz w:val="24"/>
          <w:lang w:val="ro-RO"/>
        </w:rPr>
        <w:t>euro, dar este aplicabil tuturor statelor membre care doresc să participe</w:t>
      </w:r>
      <w:r>
        <w:rPr>
          <w:noProof/>
          <w:lang w:val="ro-RO"/>
        </w:rPr>
        <w:t>.</w:t>
      </w:r>
      <w:r>
        <w:rPr>
          <w:rFonts w:ascii="Times New Roman" w:hAnsi="Times New Roman"/>
          <w:b/>
          <w:noProof/>
          <w:sz w:val="24"/>
          <w:lang w:val="ro-RO"/>
        </w:rPr>
        <w:t xml:space="preserve"> </w:t>
      </w:r>
    </w:p>
    <w:p w:rsidR="00291C10" w:rsidRDefault="00291C10">
      <w:pPr>
        <w:autoSpaceDE w:val="0"/>
        <w:autoSpaceDN w:val="0"/>
        <w:adjustRightInd w:val="0"/>
        <w:spacing w:after="0" w:line="240" w:lineRule="auto"/>
        <w:rPr>
          <w:rFonts w:ascii="Times New Roman" w:hAnsi="Times New Roman" w:cs="Times New Roman"/>
          <w:b/>
          <w:noProof/>
          <w:sz w:val="24"/>
          <w:szCs w:val="24"/>
          <w:u w:val="single"/>
          <w:lang w:val="ro-RO"/>
        </w:rPr>
      </w:pPr>
    </w:p>
    <w:p w:rsidR="00291C10" w:rsidRDefault="00070C4D">
      <w:pPr>
        <w:rPr>
          <w:rFonts w:ascii="Times New Roman" w:hAnsi="Times New Roman" w:cs="Times New Roman"/>
          <w:b/>
          <w:noProof/>
          <w:sz w:val="24"/>
          <w:szCs w:val="24"/>
          <w:u w:val="single"/>
          <w:lang w:val="ro-RO"/>
        </w:rPr>
      </w:pPr>
      <w:r>
        <w:rPr>
          <w:noProof/>
          <w:lang w:val="ro-RO"/>
        </w:rPr>
        <w:br w:type="page"/>
      </w:r>
    </w:p>
    <w:p w:rsidR="00291C10" w:rsidRDefault="00070C4D">
      <w:pPr>
        <w:autoSpaceDE w:val="0"/>
        <w:autoSpaceDN w:val="0"/>
        <w:adjustRightInd w:val="0"/>
        <w:spacing w:after="0" w:line="240" w:lineRule="auto"/>
        <w:rPr>
          <w:rFonts w:ascii="Times New Roman" w:hAnsi="Times New Roman" w:cs="Times New Roman"/>
          <w:b/>
          <w:noProof/>
          <w:sz w:val="24"/>
          <w:szCs w:val="24"/>
          <w:u w:val="single"/>
          <w:lang w:val="ro-RO"/>
        </w:rPr>
      </w:pPr>
      <w:r>
        <w:rPr>
          <w:rFonts w:ascii="Times New Roman" w:hAnsi="Times New Roman"/>
          <w:b/>
          <w:noProof/>
          <w:sz w:val="24"/>
          <w:u w:val="single"/>
          <w:lang w:val="ro-RO"/>
        </w:rPr>
        <w:t>3. Caracterul politic și juridic al pilonului</w:t>
      </w:r>
    </w:p>
    <w:p w:rsidR="00291C10" w:rsidRDefault="00291C10">
      <w:pPr>
        <w:spacing w:after="0"/>
        <w:jc w:val="both"/>
        <w:rPr>
          <w:rFonts w:ascii="Times New Roman" w:hAnsi="Times New Roman" w:cs="Times New Roman"/>
          <w:b/>
          <w:noProof/>
          <w:sz w:val="24"/>
          <w:szCs w:val="24"/>
          <w:lang w:val="ro-RO"/>
        </w:rPr>
      </w:pPr>
    </w:p>
    <w:p w:rsidR="00291C10" w:rsidRDefault="00070C4D">
      <w:pPr>
        <w:jc w:val="both"/>
        <w:rPr>
          <w:rFonts w:ascii="Times New Roman" w:hAnsi="Times New Roman" w:cs="Times New Roman"/>
          <w:noProof/>
          <w:sz w:val="24"/>
          <w:szCs w:val="24"/>
          <w:lang w:val="ro-RO"/>
        </w:rPr>
      </w:pPr>
      <w:r>
        <w:rPr>
          <w:rFonts w:ascii="Times New Roman" w:hAnsi="Times New Roman"/>
          <w:b/>
          <w:noProof/>
          <w:sz w:val="24"/>
          <w:lang w:val="ro-RO"/>
        </w:rPr>
        <w:t>Pilonul se inspiră direct din gama largă de bune practici din întreaga Europă și se bazează pe un corpus legislativ solid existent</w:t>
      </w:r>
      <w:r>
        <w:rPr>
          <w:rFonts w:ascii="Times New Roman" w:hAnsi="Times New Roman"/>
          <w:b/>
          <w:noProof/>
          <w:sz w:val="24"/>
          <w:lang w:val="ro-RO"/>
        </w:rPr>
        <w:t xml:space="preserve"> la nivelul UE și la nivel internațional.</w:t>
      </w:r>
      <w:r>
        <w:rPr>
          <w:rFonts w:ascii="Times New Roman" w:hAnsi="Times New Roman"/>
          <w:noProof/>
          <w:sz w:val="24"/>
          <w:lang w:val="ro-RO"/>
        </w:rPr>
        <w:t xml:space="preserve"> Multe dintre aceste valori au fost deja înscrise în tratatele de la Roma din 1957 și au înregistrat o recunoaștere globală datorită activității unor organisme ca Organizația Națiunilor Unite, Organizația Internațio</w:t>
      </w:r>
      <w:r>
        <w:rPr>
          <w:rFonts w:ascii="Times New Roman" w:hAnsi="Times New Roman"/>
          <w:noProof/>
          <w:sz w:val="24"/>
          <w:lang w:val="ro-RO"/>
        </w:rPr>
        <w:t>nală a Muncii și Consiliul Europei. În mod concret, pilonul are la bază atât Carta socială europeană semnată la Torino la 18 octombrie 1961, cât și Carta comunitară a drepturilor sociale fundamentale ale lucrătorilor adoptată în 1989, care stabilesc dreptu</w:t>
      </w:r>
      <w:r>
        <w:rPr>
          <w:rFonts w:ascii="Times New Roman" w:hAnsi="Times New Roman"/>
          <w:noProof/>
          <w:sz w:val="24"/>
          <w:lang w:val="ro-RO"/>
        </w:rPr>
        <w:t>rile sociale esențiale. Totodată, „acquis-ul social” al UE s-a dezvoltat în ultimii 30 de ani, ca rezultat al noilor dispoziții ale tratatelor, al adoptării Cartei drepturilor fundamentale a Uniunii Europene, al unor noi acte normative și al jurisprudenței</w:t>
      </w:r>
      <w:r>
        <w:rPr>
          <w:rFonts w:ascii="Times New Roman" w:hAnsi="Times New Roman"/>
          <w:noProof/>
          <w:sz w:val="24"/>
          <w:lang w:val="ro-RO"/>
        </w:rPr>
        <w:t xml:space="preserve"> Curții de Justiție a Uniunii Europene. Mai recent, adoptarea obiectivelor de dezvoltare durabilă ale ONU pentru 2030 a oferit o nouă agendă pentru a aborda</w:t>
      </w:r>
      <w:r>
        <w:rPr>
          <w:rFonts w:ascii="Times New Roman" w:hAnsi="Times New Roman"/>
          <w:noProof/>
          <w:color w:val="000000"/>
          <w:sz w:val="24"/>
          <w:lang w:val="ro-RO"/>
        </w:rPr>
        <w:t xml:space="preserve"> eradicarea sărăciei și dimensiunea economică, socială și de mediu a dezvoltării durabile într-un mo</w:t>
      </w:r>
      <w:r>
        <w:rPr>
          <w:rFonts w:ascii="Times New Roman" w:hAnsi="Times New Roman"/>
          <w:noProof/>
          <w:color w:val="000000"/>
          <w:sz w:val="24"/>
          <w:lang w:val="ro-RO"/>
        </w:rPr>
        <w:t>d integrat și echilibrat</w:t>
      </w:r>
      <w:r>
        <w:rPr>
          <w:rFonts w:ascii="Times New Roman" w:hAnsi="Times New Roman"/>
          <w:noProof/>
          <w:sz w:val="24"/>
          <w:lang w:val="ro-RO"/>
        </w:rPr>
        <w:t>.</w:t>
      </w:r>
    </w:p>
    <w:p w:rsidR="00291C10" w:rsidRDefault="00070C4D">
      <w:pPr>
        <w:jc w:val="both"/>
        <w:rPr>
          <w:noProof/>
          <w:color w:val="1F497D"/>
          <w:sz w:val="24"/>
          <w:szCs w:val="24"/>
          <w:lang w:val="ro-RO"/>
        </w:rPr>
      </w:pPr>
      <w:r>
        <w:rPr>
          <w:rFonts w:ascii="Times New Roman" w:hAnsi="Times New Roman"/>
          <w:b/>
          <w:noProof/>
          <w:sz w:val="24"/>
          <w:lang w:val="ro-RO"/>
        </w:rPr>
        <w:t>Textul definitiv ține cont, totodată, de considerente politice mai generale și de limitările juridice.</w:t>
      </w:r>
      <w:r>
        <w:rPr>
          <w:rFonts w:ascii="Times New Roman" w:hAnsi="Times New Roman"/>
          <w:noProof/>
          <w:sz w:val="24"/>
          <w:lang w:val="ro-RO"/>
        </w:rPr>
        <w:t xml:space="preserve"> Statele membre și, pentru numeroase domenii, partenerii sociali au competențe primare sau chiar exclusive în domenii ca legisla</w:t>
      </w:r>
      <w:r>
        <w:rPr>
          <w:rFonts w:ascii="Times New Roman" w:hAnsi="Times New Roman"/>
          <w:noProof/>
          <w:sz w:val="24"/>
          <w:lang w:val="ro-RO"/>
        </w:rPr>
        <w:t>ț</w:t>
      </w:r>
      <w:r>
        <w:rPr>
          <w:rFonts w:ascii="Times New Roman" w:hAnsi="Times New Roman"/>
          <w:noProof/>
          <w:sz w:val="24"/>
          <w:lang w:val="ro-RO"/>
        </w:rPr>
        <w:t>ia muncii, salariul minim, educația, asistența medicală și organizarea sistemelor de protecție socială, și totodată suportă cea mai mare parte a finanțării în domeniile care intră sub incidența Pilonului european al drepturilor sociale. Drepturile și prin</w:t>
      </w:r>
      <w:r>
        <w:rPr>
          <w:rFonts w:ascii="Times New Roman" w:hAnsi="Times New Roman"/>
          <w:noProof/>
          <w:sz w:val="24"/>
          <w:lang w:val="ro-RO"/>
        </w:rPr>
        <w:t>cipiile stabilite de pilon vor trebui puse în aplicare la nivelul Uniunii și al statelor membre, cu respectarea deplină a competențelor acestora. Această punere în aplicare</w:t>
      </w:r>
      <w:r>
        <w:rPr>
          <w:noProof/>
          <w:lang w:val="ro-RO"/>
        </w:rPr>
        <w:t xml:space="preserve"> </w:t>
      </w:r>
      <w:hyperlink r:id="rId16" w:history="1">
        <w:r>
          <w:rPr>
            <w:rStyle w:val="Hyperlink"/>
            <w:rFonts w:ascii="Times New Roman" w:hAnsi="Times New Roman"/>
            <w:noProof/>
            <w:color w:val="auto"/>
            <w:sz w:val="24"/>
            <w:lang w:val="ro-RO"/>
          </w:rPr>
          <w:t>este în concordanță cu principiul subsidiarității</w:t>
        </w:r>
      </w:hyperlink>
      <w:r>
        <w:rPr>
          <w:noProof/>
          <w:lang w:val="ro-RO"/>
        </w:rPr>
        <w:t xml:space="preserve"> </w:t>
      </w:r>
      <w:r>
        <w:rPr>
          <w:rFonts w:ascii="Times New Roman" w:hAnsi="Times New Roman"/>
          <w:noProof/>
          <w:sz w:val="24"/>
          <w:lang w:val="ro-RO"/>
        </w:rPr>
        <w:t>ș</w:t>
      </w:r>
      <w:r>
        <w:rPr>
          <w:rFonts w:ascii="Times New Roman" w:hAnsi="Times New Roman"/>
          <w:noProof/>
          <w:sz w:val="24"/>
          <w:lang w:val="ro-RO"/>
        </w:rPr>
        <w:t>i al proporționalității, care prevăd că poate fi întreprinsă o acțiune la nivelul UE numai atunci când obiectivele pot fi atinse mai bine la acest nivel și că această acțiune nu trebuie să depășească ce</w:t>
      </w:r>
      <w:r>
        <w:rPr>
          <w:rFonts w:ascii="Times New Roman" w:hAnsi="Times New Roman"/>
          <w:noProof/>
          <w:sz w:val="24"/>
          <w:lang w:val="ro-RO"/>
        </w:rPr>
        <w:t xml:space="preserve">ea ce este necesar pentru îndeplinirea obiectivelor tratatelor. Aceste principii asigură faptul că procesul decizional este cât mai apropiat de cetățenii Uniunii și că măsurile propuse la nivelul UE se vor baza pe o valoare adăugată dovedită. Este ceea ce </w:t>
      </w:r>
      <w:r>
        <w:rPr>
          <w:rFonts w:ascii="Times New Roman" w:hAnsi="Times New Roman"/>
          <w:noProof/>
          <w:sz w:val="24"/>
          <w:lang w:val="ro-RO"/>
        </w:rPr>
        <w:t xml:space="preserve">așteaptă cetățenii și este totodată abordarea cea mai eficace și eficientă. </w:t>
      </w:r>
    </w:p>
    <w:p w:rsidR="00291C10" w:rsidRDefault="00070C4D">
      <w:pPr>
        <w:autoSpaceDE w:val="0"/>
        <w:autoSpaceDN w:val="0"/>
        <w:adjustRightInd w:val="0"/>
        <w:spacing w:after="0"/>
        <w:jc w:val="both"/>
        <w:rPr>
          <w:rFonts w:ascii="Times New Roman" w:hAnsi="Times New Roman" w:cs="Times New Roman"/>
          <w:noProof/>
          <w:sz w:val="24"/>
          <w:szCs w:val="24"/>
          <w:lang w:val="ro-RO"/>
        </w:rPr>
      </w:pPr>
      <w:r>
        <w:rPr>
          <w:rFonts w:ascii="Times New Roman" w:hAnsi="Times New Roman"/>
          <w:b/>
          <w:noProof/>
          <w:sz w:val="24"/>
          <w:lang w:val="ro-RO"/>
        </w:rPr>
        <w:t>Pilonul reafirmă drepturile care există deja în acquis-ul juridic al UE și internațional și le completează pentru a ține seama de noile realități.</w:t>
      </w:r>
      <w:r>
        <w:rPr>
          <w:rFonts w:ascii="Times New Roman" w:hAnsi="Times New Roman"/>
          <w:noProof/>
          <w:sz w:val="24"/>
          <w:lang w:val="ro-RO"/>
        </w:rPr>
        <w:t xml:space="preserve"> Ca atare, pilonul nu afectează p</w:t>
      </w:r>
      <w:r>
        <w:rPr>
          <w:rFonts w:ascii="Times New Roman" w:hAnsi="Times New Roman"/>
          <w:noProof/>
          <w:sz w:val="24"/>
          <w:lang w:val="ro-RO"/>
        </w:rPr>
        <w:t>rincipiile și drepturile prevăzute de dispozițiile obligatorii ale legislației Uniunii: prin reunirea unor drepturi și principii care au fost stabilite în momente, moduri și forme diferite, el caută să le facă mai vizibile, mai ușor de înțeles și mai expli</w:t>
      </w:r>
      <w:r>
        <w:rPr>
          <w:rFonts w:ascii="Times New Roman" w:hAnsi="Times New Roman"/>
          <w:noProof/>
          <w:sz w:val="24"/>
          <w:lang w:val="ro-RO"/>
        </w:rPr>
        <w:t xml:space="preserve">cite pentru cetățeni și pentru actorii de la toate nivelurile. </w:t>
      </w:r>
    </w:p>
    <w:p w:rsidR="00291C10" w:rsidRDefault="00291C10">
      <w:pPr>
        <w:autoSpaceDE w:val="0"/>
        <w:autoSpaceDN w:val="0"/>
        <w:adjustRightInd w:val="0"/>
        <w:spacing w:after="0"/>
        <w:jc w:val="both"/>
        <w:rPr>
          <w:rFonts w:ascii="Times New Roman" w:hAnsi="Times New Roman" w:cs="Times New Roman"/>
          <w:noProof/>
          <w:sz w:val="24"/>
          <w:szCs w:val="24"/>
          <w:lang w:val="ro-RO"/>
        </w:rPr>
      </w:pPr>
    </w:p>
    <w:p w:rsidR="00291C10" w:rsidRDefault="00070C4D">
      <w:pPr>
        <w:autoSpaceDE w:val="0"/>
        <w:autoSpaceDN w:val="0"/>
        <w:adjustRightInd w:val="0"/>
        <w:spacing w:after="0"/>
        <w:jc w:val="both"/>
        <w:rPr>
          <w:rFonts w:ascii="Times New Roman" w:hAnsi="Times New Roman" w:cs="Times New Roman"/>
          <w:noProof/>
          <w:sz w:val="24"/>
          <w:szCs w:val="24"/>
          <w:lang w:val="ro-RO"/>
        </w:rPr>
      </w:pPr>
      <w:r>
        <w:rPr>
          <w:rFonts w:ascii="Times New Roman" w:hAnsi="Times New Roman"/>
          <w:b/>
          <w:noProof/>
          <w:sz w:val="24"/>
          <w:lang w:val="ro-RO"/>
        </w:rPr>
        <w:t>Pilonul stabilește astfel un cadru pentru orientarea acțiunilor viitoare ale statelor membre</w:t>
      </w:r>
      <w:r>
        <w:rPr>
          <w:noProof/>
          <w:lang w:val="ro-RO"/>
        </w:rPr>
        <w:t>.</w:t>
      </w:r>
      <w:r>
        <w:rPr>
          <w:rFonts w:ascii="Times New Roman" w:hAnsi="Times New Roman"/>
          <w:b/>
          <w:noProof/>
          <w:sz w:val="24"/>
          <w:lang w:val="ro-RO"/>
        </w:rPr>
        <w:t xml:space="preserve"> </w:t>
      </w:r>
      <w:r>
        <w:rPr>
          <w:rFonts w:ascii="Times New Roman" w:hAnsi="Times New Roman"/>
          <w:noProof/>
          <w:sz w:val="24"/>
          <w:lang w:val="ro-RO"/>
        </w:rPr>
        <w:t>De aceea, el este prezentat sub forma unei recomandări din partea Comisiei, alături de o propuner</w:t>
      </w:r>
      <w:r>
        <w:rPr>
          <w:rFonts w:ascii="Times New Roman" w:hAnsi="Times New Roman"/>
          <w:noProof/>
          <w:sz w:val="24"/>
          <w:lang w:val="ro-RO"/>
        </w:rPr>
        <w:t>e de proclamație interinstituțională. Recomandarea este adoptată astăzi de Comisie pe baza articolului 292 din Tratatul privind funcționarea Uniunii Europene. La fel ca în cazul Cartei drepturilor fundamentale, propunerea de proclamație interinstituțională</w:t>
      </w:r>
      <w:r>
        <w:rPr>
          <w:rFonts w:ascii="Times New Roman" w:hAnsi="Times New Roman"/>
          <w:noProof/>
          <w:sz w:val="24"/>
          <w:lang w:val="ro-RO"/>
        </w:rPr>
        <w:t xml:space="preserve"> va fi discutată cu Parlamentul European și cu Consiliul.</w:t>
      </w:r>
    </w:p>
    <w:p w:rsidR="00291C10" w:rsidRDefault="00291C10">
      <w:pPr>
        <w:autoSpaceDE w:val="0"/>
        <w:autoSpaceDN w:val="0"/>
        <w:adjustRightInd w:val="0"/>
        <w:spacing w:after="0"/>
        <w:jc w:val="both"/>
        <w:rPr>
          <w:rFonts w:ascii="Times New Roman" w:hAnsi="Times New Roman" w:cs="Times New Roman"/>
          <w:noProof/>
          <w:sz w:val="24"/>
          <w:szCs w:val="24"/>
          <w:lang w:val="ro-RO"/>
        </w:rPr>
      </w:pP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bookmarkStart w:id="2" w:name="maincontentSec1"/>
      <w:bookmarkEnd w:id="2"/>
      <w:r>
        <w:rPr>
          <w:rFonts w:ascii="Times New Roman" w:hAnsi="Times New Roman"/>
          <w:b/>
          <w:noProof/>
          <w:sz w:val="24"/>
          <w:lang w:val="ro-RO"/>
        </w:rPr>
        <w:t>Pilonul va fi pus în aplicare în situații diverse și în medii socioeconomice aflate în permanentă schimbare.</w:t>
      </w:r>
      <w:r>
        <w:rPr>
          <w:rFonts w:ascii="Times New Roman" w:hAnsi="Times New Roman"/>
          <w:noProof/>
          <w:sz w:val="24"/>
          <w:lang w:val="ro-RO"/>
        </w:rPr>
        <w:t xml:space="preserve"> Deși stabilește un cadru de referință, pilonul este conceput ca un instrument dinamic ca</w:t>
      </w:r>
      <w:r>
        <w:rPr>
          <w:rFonts w:ascii="Times New Roman" w:hAnsi="Times New Roman"/>
          <w:noProof/>
          <w:sz w:val="24"/>
          <w:lang w:val="ro-RO"/>
        </w:rPr>
        <w:t>re lasă o marjă de manevră actorilor de la toate nivelurile pentru a acționa conform competențelor care le revin și a-și actualiza instrumentele în lumina situațiilor specifice. Mai exact, ar trebui încurajate experimentarea în materie de politici și inova</w:t>
      </w:r>
      <w:r>
        <w:rPr>
          <w:rFonts w:ascii="Times New Roman" w:hAnsi="Times New Roman"/>
          <w:noProof/>
          <w:sz w:val="24"/>
          <w:lang w:val="ro-RO"/>
        </w:rPr>
        <w:t>ț</w:t>
      </w:r>
      <w:r>
        <w:rPr>
          <w:rFonts w:ascii="Times New Roman" w:hAnsi="Times New Roman"/>
          <w:noProof/>
          <w:sz w:val="24"/>
          <w:lang w:val="ro-RO"/>
        </w:rPr>
        <w:t>iile sociale pentru a face față noilor provocări, fapt ce va aduce beneficii tuturor. Așa cum este indicat mai jos, la nivelul UE vor fi inițiate și consolidate o serie de acțiuni pentru a monitoriza progresele înregistrate.</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b/>
          <w:noProof/>
          <w:sz w:val="24"/>
          <w:lang w:val="ro-RO"/>
        </w:rPr>
        <w:t>Principiile și drepturile cons</w:t>
      </w:r>
      <w:r>
        <w:rPr>
          <w:rFonts w:ascii="Times New Roman" w:hAnsi="Times New Roman"/>
          <w:b/>
          <w:noProof/>
          <w:sz w:val="24"/>
          <w:lang w:val="ro-RO"/>
        </w:rPr>
        <w:t>acrate în cadrul pilonului sunt de interes pentru cetățeni, pentru autoritățile publice și pentru partenerii sociali de la toate nivelurile</w:t>
      </w:r>
      <w:r>
        <w:rPr>
          <w:noProof/>
          <w:lang w:val="ro-RO"/>
        </w:rPr>
        <w:t>.</w:t>
      </w:r>
      <w:r>
        <w:rPr>
          <w:rFonts w:ascii="Times New Roman" w:hAnsi="Times New Roman"/>
          <w:noProof/>
          <w:sz w:val="24"/>
          <w:lang w:val="ro-RO"/>
        </w:rPr>
        <w:t xml:space="preserve"> Dat fiind caracterul juridic al pilonului, aceste principii și drepturi nu pot fi implementate direct, ci trebuie transpuse în acțiuni speciale și/sau acte normative separate, la nivelul corespunzător. Acest lucru este explicat mai detaliat în documentul </w:t>
      </w:r>
      <w:r>
        <w:rPr>
          <w:rFonts w:ascii="Times New Roman" w:hAnsi="Times New Roman"/>
          <w:noProof/>
          <w:sz w:val="24"/>
          <w:lang w:val="ro-RO"/>
        </w:rPr>
        <w:t>de lucru al serviciilor Comisiei care însoțește pilonul</w:t>
      </w:r>
      <w:r>
        <w:rPr>
          <w:rStyle w:val="FootnoteReference"/>
          <w:rFonts w:ascii="Times New Roman" w:hAnsi="Times New Roman"/>
          <w:noProof/>
          <w:sz w:val="24"/>
          <w:lang w:val="ro-RO"/>
        </w:rPr>
        <w:footnoteReference w:id="16"/>
      </w:r>
      <w:r>
        <w:rPr>
          <w:rFonts w:ascii="Times New Roman" w:hAnsi="Times New Roman"/>
          <w:noProof/>
          <w:sz w:val="24"/>
          <w:lang w:val="ro-RO"/>
        </w:rPr>
        <w:t>.</w:t>
      </w:r>
    </w:p>
    <w:p w:rsidR="00291C10" w:rsidRDefault="00070C4D">
      <w:pPr>
        <w:spacing w:after="0"/>
        <w:jc w:val="both"/>
        <w:rPr>
          <w:rFonts w:ascii="Arial" w:hAnsi="Arial" w:cs="Arial"/>
          <w:noProof/>
          <w:lang w:val="ro-RO"/>
        </w:rPr>
      </w:pPr>
      <w:r>
        <w:rPr>
          <w:rFonts w:ascii="Times New Roman" w:hAnsi="Times New Roman"/>
          <w:b/>
          <w:noProof/>
          <w:sz w:val="24"/>
          <w:lang w:val="ro-RO"/>
        </w:rPr>
        <w:t>În numeroase cazuri, problema majoră nu este atât recunoașterea drepturilor, cât aplicarea lor efectivă</w:t>
      </w:r>
      <w:r>
        <w:rPr>
          <w:noProof/>
          <w:lang w:val="ro-RO"/>
        </w:rPr>
        <w:t>.</w:t>
      </w:r>
      <w:r>
        <w:rPr>
          <w:rFonts w:ascii="Times New Roman" w:hAnsi="Times New Roman"/>
          <w:noProof/>
          <w:sz w:val="24"/>
          <w:lang w:val="ro-RO"/>
        </w:rPr>
        <w:t xml:space="preserve"> Există situații în care cetățenii nu își pot exercita pe deplin drepturile din cauza unei lip</w:t>
      </w:r>
      <w:r>
        <w:rPr>
          <w:rFonts w:ascii="Times New Roman" w:hAnsi="Times New Roman"/>
          <w:noProof/>
          <w:sz w:val="24"/>
          <w:lang w:val="ro-RO"/>
        </w:rPr>
        <w:t>se de informare cu privire la legislația existentă sau a lipsei implementării sau a controlului aplicării acesteia. De aceea, un punct important al strategiei de monitorizare îl constituie consolidarea aplicării drepturilor existente. Un exemplu de acțiune</w:t>
      </w:r>
      <w:r>
        <w:rPr>
          <w:rFonts w:ascii="Times New Roman" w:hAnsi="Times New Roman"/>
          <w:noProof/>
          <w:sz w:val="24"/>
          <w:lang w:val="ro-RO"/>
        </w:rPr>
        <w:t xml:space="preserve"> de acest tip este evaluarea recentă a acquis-ului în domeniul sănătății și securității în muncă: a fost organizată o amplă consultare pentru a evalua eficacitatea, eficiența, relevanța și coerența actelor normative existente și pentru a elabora o strategi</w:t>
      </w:r>
      <w:r>
        <w:rPr>
          <w:rFonts w:ascii="Times New Roman" w:hAnsi="Times New Roman"/>
          <w:noProof/>
          <w:sz w:val="24"/>
          <w:lang w:val="ro-RO"/>
        </w:rPr>
        <w:t>e care vizează asigurarea unei protecții mai eficiente a sănătății și securității lucrătorilor și care să țină seama de sarcinile administrative și de nevoile specifice ale IMM-urilor</w:t>
      </w:r>
      <w:r>
        <w:rPr>
          <w:rStyle w:val="FootnoteReference"/>
          <w:rFonts w:ascii="Times New Roman" w:hAnsi="Times New Roman"/>
          <w:noProof/>
          <w:sz w:val="24"/>
          <w:lang w:val="ro-RO"/>
        </w:rPr>
        <w:footnoteReference w:id="17"/>
      </w:r>
      <w:r>
        <w:rPr>
          <w:rFonts w:ascii="Times New Roman" w:hAnsi="Times New Roman"/>
          <w:noProof/>
          <w:sz w:val="24"/>
          <w:lang w:val="ro-RO"/>
        </w:rPr>
        <w:t>.</w:t>
      </w:r>
    </w:p>
    <w:p w:rsidR="00291C10" w:rsidRDefault="00291C10">
      <w:pPr>
        <w:widowControl w:val="0"/>
        <w:autoSpaceDE w:val="0"/>
        <w:autoSpaceDN w:val="0"/>
        <w:adjustRightInd w:val="0"/>
        <w:spacing w:after="240"/>
        <w:jc w:val="both"/>
        <w:rPr>
          <w:rFonts w:ascii="Times New Roman" w:hAnsi="Times New Roman" w:cs="Times New Roman"/>
          <w:b/>
          <w:noProof/>
          <w:sz w:val="24"/>
          <w:szCs w:val="24"/>
          <w:u w:val="single"/>
          <w:lang w:val="ro-RO"/>
        </w:rPr>
      </w:pPr>
    </w:p>
    <w:p w:rsidR="00291C10" w:rsidRDefault="00070C4D">
      <w:pPr>
        <w:widowControl w:val="0"/>
        <w:autoSpaceDE w:val="0"/>
        <w:autoSpaceDN w:val="0"/>
        <w:adjustRightInd w:val="0"/>
        <w:spacing w:after="240"/>
        <w:jc w:val="both"/>
        <w:rPr>
          <w:rFonts w:ascii="Times New Roman" w:hAnsi="Times New Roman" w:cs="Times New Roman"/>
          <w:b/>
          <w:noProof/>
          <w:sz w:val="24"/>
          <w:szCs w:val="24"/>
          <w:u w:val="single"/>
          <w:lang w:val="ro-RO"/>
        </w:rPr>
      </w:pPr>
      <w:r>
        <w:rPr>
          <w:rFonts w:ascii="Times New Roman" w:hAnsi="Times New Roman"/>
          <w:b/>
          <w:noProof/>
          <w:sz w:val="24"/>
          <w:u w:val="single"/>
          <w:lang w:val="ro-RO"/>
        </w:rPr>
        <w:t>4. Acțiuni la nivelul UE</w:t>
      </w:r>
    </w:p>
    <w:p w:rsidR="00291C10" w:rsidRDefault="00070C4D">
      <w:pPr>
        <w:jc w:val="both"/>
        <w:rPr>
          <w:rFonts w:ascii="Times New Roman" w:hAnsi="Times New Roman" w:cs="Times New Roman"/>
          <w:noProof/>
          <w:sz w:val="24"/>
          <w:szCs w:val="24"/>
          <w:lang w:val="ro-RO"/>
        </w:rPr>
      </w:pPr>
      <w:r>
        <w:rPr>
          <w:rFonts w:ascii="Times New Roman" w:hAnsi="Times New Roman"/>
          <w:noProof/>
          <w:sz w:val="24"/>
          <w:lang w:val="ro-RO"/>
        </w:rPr>
        <w:t xml:space="preserve">Având în vedere considerentele de ordin </w:t>
      </w:r>
      <w:r>
        <w:rPr>
          <w:rFonts w:ascii="Times New Roman" w:hAnsi="Times New Roman"/>
          <w:noProof/>
          <w:sz w:val="24"/>
          <w:lang w:val="ro-RO"/>
        </w:rPr>
        <w:t>politic și juridic explicate mai sus, implementarea pilonului va fi în principal responsabilitatea guvernelor naționale, a autorităților publice și a partenerilor sociali de la toate nivelurile. Existența competenței legale a Uniunii de a acționa este expl</w:t>
      </w:r>
      <w:r>
        <w:rPr>
          <w:rFonts w:ascii="Times New Roman" w:hAnsi="Times New Roman"/>
          <w:noProof/>
          <w:sz w:val="24"/>
          <w:lang w:val="ro-RO"/>
        </w:rPr>
        <w:t>icată mai detaliat în documentul însoțitor al serviciilor Comisiei</w:t>
      </w:r>
      <w:r>
        <w:rPr>
          <w:rStyle w:val="FootnoteReference"/>
          <w:rFonts w:ascii="Times New Roman" w:hAnsi="Times New Roman"/>
          <w:noProof/>
          <w:color w:val="000000"/>
          <w:sz w:val="24"/>
          <w:lang w:val="ro-RO"/>
        </w:rPr>
        <w:footnoteReference w:id="18"/>
      </w:r>
      <w:r>
        <w:rPr>
          <w:rFonts w:ascii="Times New Roman" w:hAnsi="Times New Roman"/>
          <w:noProof/>
          <w:sz w:val="24"/>
          <w:lang w:val="ro-RO"/>
        </w:rPr>
        <w:t>.</w:t>
      </w:r>
      <w:r>
        <w:rPr>
          <w:rFonts w:ascii="Times New Roman" w:hAnsi="Times New Roman"/>
          <w:noProof/>
          <w:color w:val="000000"/>
          <w:sz w:val="24"/>
          <w:lang w:val="ro-RO"/>
        </w:rPr>
        <w:t xml:space="preserve"> Restul acestei secțiuni se axează pe acțiunile desfășurate la nivelul UE.</w:t>
      </w:r>
    </w:p>
    <w:p w:rsidR="00291C10" w:rsidRDefault="00070C4D">
      <w:pPr>
        <w:jc w:val="both"/>
        <w:rPr>
          <w:rFonts w:ascii="Times New Roman" w:hAnsi="Times New Roman" w:cs="Times New Roman"/>
          <w:noProof/>
          <w:sz w:val="24"/>
          <w:szCs w:val="24"/>
          <w:lang w:val="ro-RO"/>
        </w:rPr>
      </w:pPr>
      <w:r>
        <w:rPr>
          <w:rFonts w:ascii="Times New Roman" w:hAnsi="Times New Roman"/>
          <w:noProof/>
          <w:sz w:val="24"/>
          <w:lang w:val="ro-RO"/>
        </w:rPr>
        <w:t>La nivel european, vor fi mobilizate toate instrumentele disponibile: legislația UE, cu accent pe implementarea v</w:t>
      </w:r>
      <w:r>
        <w:rPr>
          <w:rFonts w:ascii="Times New Roman" w:hAnsi="Times New Roman"/>
          <w:noProof/>
          <w:sz w:val="24"/>
          <w:lang w:val="ro-RO"/>
        </w:rPr>
        <w:t>astului acquis existent, care va fi actualizată și completată acolo unde este necesar, dialogul social, pentru consultarea și sprijinirea activității partenerilor sociali din UE, orientările și recomandările în materie de politici, prin intermediul semestr</w:t>
      </w:r>
      <w:r>
        <w:rPr>
          <w:rFonts w:ascii="Times New Roman" w:hAnsi="Times New Roman"/>
          <w:noProof/>
          <w:sz w:val="24"/>
          <w:lang w:val="ro-RO"/>
        </w:rPr>
        <w:t>ului european pentru coordonarea politicilor economice și sprijinul financiar, prin diverse fonduri ale UE. Pe lângă aceasta, implementarea pilonului va fi sprijinită de un nou tablou de bord social care va permite monitorizarea progreselor înregistrate la</w:t>
      </w:r>
      <w:r>
        <w:rPr>
          <w:rFonts w:ascii="Times New Roman" w:hAnsi="Times New Roman"/>
          <w:noProof/>
          <w:sz w:val="24"/>
          <w:lang w:val="ro-RO"/>
        </w:rPr>
        <w:t xml:space="preserve"> nivel de rezultate.</w:t>
      </w:r>
    </w:p>
    <w:p w:rsidR="00291C10" w:rsidRDefault="00070C4D">
      <w:pPr>
        <w:rPr>
          <w:rFonts w:ascii="Times New Roman" w:hAnsi="Times New Roman" w:cs="Times New Roman"/>
          <w:b/>
          <w:i/>
          <w:noProof/>
          <w:sz w:val="24"/>
          <w:szCs w:val="24"/>
          <w:lang w:val="ro-RO"/>
        </w:rPr>
      </w:pPr>
      <w:r>
        <w:rPr>
          <w:rFonts w:ascii="Times New Roman" w:hAnsi="Times New Roman"/>
          <w:b/>
          <w:i/>
          <w:noProof/>
          <w:sz w:val="24"/>
          <w:lang w:val="ro-RO"/>
        </w:rPr>
        <w:t>Aprobarea Pilonului european al drepturilor sociale</w:t>
      </w:r>
    </w:p>
    <w:p w:rsidR="00291C10" w:rsidRDefault="00070C4D">
      <w:pPr>
        <w:pStyle w:val="NormalWeb"/>
        <w:spacing w:line="276" w:lineRule="auto"/>
        <w:jc w:val="both"/>
        <w:rPr>
          <w:noProof/>
          <w:lang w:val="ro-RO"/>
        </w:rPr>
      </w:pPr>
      <w:r>
        <w:rPr>
          <w:noProof/>
          <w:lang w:val="ro-RO"/>
        </w:rPr>
        <w:t>Comisia propune ca Pilonul european al drepturilor sociale să fie proclamat în mod solemn în comun de către instituțiile UE. Alături de Parlamentul European și de Președinția Consiliu</w:t>
      </w:r>
      <w:r>
        <w:rPr>
          <w:noProof/>
          <w:lang w:val="ro-RO"/>
        </w:rPr>
        <w:t>lui, Comisia va facilita discuțiile pe baza proiectului de proclamație prezentat astăzi. Summitul social care se va desfășura în Suedia la data de 17 noiembrie a acestui an va reprezenta un moment-cheie pentru orientarea lucrărilor viitoare, în concordanță</w:t>
      </w:r>
      <w:r>
        <w:rPr>
          <w:noProof/>
          <w:lang w:val="ro-RO"/>
        </w:rPr>
        <w:t xml:space="preserve"> cu dezbaterea mai largă privind dimensiunea socială a Europei. Între timp, recomandarea adoptată astăzi va constitui un instrument de referință, iar comunicarea de față prevede cadrul pentru acțiunile viitoare ale Comisiei. Recomandarea adoptată astăzi va</w:t>
      </w:r>
      <w:r>
        <w:rPr>
          <w:noProof/>
          <w:lang w:val="ro-RO"/>
        </w:rPr>
        <w:t xml:space="preserve"> fi modificată în lumina proclamației comune finale a instituțiilor UE.</w:t>
      </w:r>
    </w:p>
    <w:p w:rsidR="00291C10" w:rsidRDefault="00070C4D">
      <w:pPr>
        <w:widowControl w:val="0"/>
        <w:autoSpaceDE w:val="0"/>
        <w:autoSpaceDN w:val="0"/>
        <w:adjustRightInd w:val="0"/>
        <w:spacing w:after="240"/>
        <w:jc w:val="both"/>
        <w:rPr>
          <w:rFonts w:ascii="Times New Roman" w:hAnsi="Times New Roman" w:cs="Times New Roman"/>
          <w:b/>
          <w:i/>
          <w:noProof/>
          <w:sz w:val="24"/>
          <w:szCs w:val="24"/>
          <w:lang w:val="ro-RO"/>
        </w:rPr>
      </w:pPr>
      <w:r>
        <w:rPr>
          <w:rFonts w:ascii="Times New Roman" w:hAnsi="Times New Roman"/>
          <w:b/>
          <w:i/>
          <w:noProof/>
          <w:sz w:val="24"/>
          <w:lang w:val="ro-RO"/>
        </w:rPr>
        <w:t>Actualizarea și completarea legislației UE în funcție de necesități</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noProof/>
          <w:sz w:val="24"/>
          <w:lang w:val="ro-RO"/>
        </w:rPr>
        <w:t xml:space="preserve">Legislația UE este în continuare esențială pentru a garanta drepturile cetățenilor prevăzute în tratate. Vor fi </w:t>
      </w:r>
      <w:r>
        <w:rPr>
          <w:rFonts w:ascii="Times New Roman" w:hAnsi="Times New Roman"/>
          <w:noProof/>
          <w:sz w:val="24"/>
          <w:lang w:val="ro-RO"/>
        </w:rPr>
        <w:t>necesare noi inițiative legislative pentru ca anumite principii și drepturi incluse în pilon să fie aplicate în mod eficient.</w:t>
      </w:r>
      <w:r>
        <w:rPr>
          <w:rFonts w:ascii="Times New Roman" w:hAnsi="Times New Roman"/>
          <w:b/>
          <w:noProof/>
          <w:sz w:val="24"/>
          <w:lang w:val="ro-RO"/>
        </w:rPr>
        <w:t xml:space="preserve"> </w:t>
      </w:r>
      <w:r>
        <w:rPr>
          <w:rFonts w:ascii="Times New Roman" w:hAnsi="Times New Roman"/>
          <w:noProof/>
          <w:sz w:val="24"/>
          <w:lang w:val="ro-RO"/>
        </w:rPr>
        <w:t>O preocupare esențială și constantă a Comisiei este să vegheze ca legislația UE să fie actualizată și adecvată scopului. Această p</w:t>
      </w:r>
      <w:r>
        <w:rPr>
          <w:rFonts w:ascii="Times New Roman" w:hAnsi="Times New Roman"/>
          <w:noProof/>
          <w:sz w:val="24"/>
          <w:lang w:val="ro-RO"/>
        </w:rPr>
        <w:t xml:space="preserve">reocupare se reflectă într-o serie de inițiative recente, precum cele privind coordonarea sistemelor de securitate socială, detașarea lucrătorilor, revizuirea cadrului UE privind sănătatea și securitatea în muncă și Actul european privind accesibilitatea, </w:t>
      </w:r>
      <w:r>
        <w:rPr>
          <w:rFonts w:ascii="Times New Roman" w:hAnsi="Times New Roman"/>
          <w:noProof/>
          <w:sz w:val="24"/>
          <w:lang w:val="ro-RO"/>
        </w:rPr>
        <w:t>care vizează îmbunătățirea funcționării pieței interne pentru produse și servicii accesibile, în beneficiul persoanelor cu handicap și al persoanelor vârstnice. Pilonul oferă un nou mod de a evalua dacă legislația UE este concepută și gestionată astfel înc</w:t>
      </w:r>
      <w:r>
        <w:rPr>
          <w:rFonts w:ascii="Times New Roman" w:hAnsi="Times New Roman"/>
          <w:noProof/>
          <w:sz w:val="24"/>
          <w:lang w:val="ro-RO"/>
        </w:rPr>
        <w:t>ât să fie adecvată scopului și să răspundă noilor provocări. Lansarea pilonului este însoțită de un prim set de inițiative legislative legate de echilibrul dintre viața profesională și cea personală, accesul la protecția socială și informațiile pentru lucr</w:t>
      </w:r>
      <w:r>
        <w:rPr>
          <w:rFonts w:ascii="Times New Roman" w:hAnsi="Times New Roman"/>
          <w:noProof/>
          <w:sz w:val="24"/>
          <w:lang w:val="ro-RO"/>
        </w:rPr>
        <w:t>ători. Acestea vor fi urmate de noi inițiative în domeniile acoperite de principiile și drepturile incluse în pilon, lansate în cadrul procesului de pregătire și dezbatere a programului anual de lucru al Comisiei.</w:t>
      </w:r>
    </w:p>
    <w:p w:rsidR="00291C10" w:rsidRDefault="00070C4D">
      <w:pPr>
        <w:widowControl w:val="0"/>
        <w:autoSpaceDE w:val="0"/>
        <w:autoSpaceDN w:val="0"/>
        <w:adjustRightInd w:val="0"/>
        <w:spacing w:after="240"/>
        <w:jc w:val="both"/>
        <w:rPr>
          <w:rFonts w:ascii="Times New Roman" w:hAnsi="Times New Roman" w:cs="Times New Roman"/>
          <w:b/>
          <w:i/>
          <w:noProof/>
          <w:sz w:val="24"/>
          <w:szCs w:val="24"/>
          <w:lang w:val="ro-RO"/>
        </w:rPr>
      </w:pPr>
      <w:r>
        <w:rPr>
          <w:rFonts w:ascii="Times New Roman" w:hAnsi="Times New Roman"/>
          <w:b/>
          <w:i/>
          <w:noProof/>
          <w:sz w:val="24"/>
          <w:lang w:val="ro-RO"/>
        </w:rPr>
        <w:t xml:space="preserve">O mai bună aplicare a legislației UE </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noProof/>
          <w:sz w:val="24"/>
          <w:lang w:val="ro-RO"/>
        </w:rPr>
        <w:t>Pe l</w:t>
      </w:r>
      <w:r>
        <w:rPr>
          <w:rFonts w:ascii="Times New Roman" w:hAnsi="Times New Roman"/>
          <w:noProof/>
          <w:sz w:val="24"/>
          <w:lang w:val="ro-RO"/>
        </w:rPr>
        <w:t>ângă noile inițiative legislative, Pilonul european al drepturilor sociale se axează pe implementarea eficientă a legislației existente. Lansarea pilonului oferă ocazia de a întări implementarea și aplicarea acquis-ului existent, inclusiv prin măsuri neleg</w:t>
      </w:r>
      <w:r>
        <w:rPr>
          <w:rFonts w:ascii="Times New Roman" w:hAnsi="Times New Roman"/>
          <w:noProof/>
          <w:sz w:val="24"/>
          <w:lang w:val="ro-RO"/>
        </w:rPr>
        <w:t>islative. Această implementare întărită va include un sprijin pentru o mai bună informare cu privire la drepturi, pentru mecanisme de aplicare sau pentru orientări interpretative consolidate, acolo unde este necesar. Recenta agendă europeană pentru economi</w:t>
      </w:r>
      <w:r>
        <w:rPr>
          <w:rFonts w:ascii="Times New Roman" w:hAnsi="Times New Roman"/>
          <w:noProof/>
          <w:sz w:val="24"/>
          <w:lang w:val="ro-RO"/>
        </w:rPr>
        <w:t>a colaborativă</w:t>
      </w:r>
      <w:r>
        <w:rPr>
          <w:rStyle w:val="FootnoteReference"/>
          <w:rFonts w:ascii="Times New Roman" w:hAnsi="Times New Roman"/>
          <w:noProof/>
          <w:sz w:val="24"/>
          <w:lang w:val="ro-RO"/>
        </w:rPr>
        <w:footnoteReference w:id="19"/>
      </w:r>
      <w:r>
        <w:rPr>
          <w:rFonts w:ascii="Times New Roman" w:hAnsi="Times New Roman"/>
          <w:noProof/>
          <w:sz w:val="24"/>
          <w:lang w:val="ro-RO"/>
        </w:rPr>
        <w:t xml:space="preserve"> și Comunicarea interpretativă referitoare la Directiva privind timpul de lucru publicată astăzi sunt două exemple pentru formele pe care le pot lua aceste orientări</w:t>
      </w:r>
      <w:r>
        <w:rPr>
          <w:rStyle w:val="FootnoteReference"/>
          <w:rFonts w:ascii="Times New Roman" w:hAnsi="Times New Roman"/>
          <w:noProof/>
          <w:sz w:val="24"/>
          <w:lang w:val="ro-RO"/>
        </w:rPr>
        <w:footnoteReference w:id="20"/>
      </w:r>
      <w:r>
        <w:rPr>
          <w:rFonts w:ascii="Times New Roman" w:hAnsi="Times New Roman"/>
          <w:noProof/>
          <w:sz w:val="24"/>
          <w:lang w:val="ro-RO"/>
        </w:rPr>
        <w:t>.</w:t>
      </w:r>
      <w:r>
        <w:rPr>
          <w:rFonts w:ascii="Times New Roman" w:hAnsi="Times New Roman"/>
          <w:b/>
          <w:i/>
          <w:noProof/>
          <w:sz w:val="24"/>
          <w:lang w:val="ro-RO"/>
        </w:rPr>
        <w:t xml:space="preserve"> </w:t>
      </w:r>
      <w:r>
        <w:rPr>
          <w:rFonts w:ascii="Times New Roman" w:hAnsi="Times New Roman"/>
          <w:noProof/>
          <w:sz w:val="24"/>
          <w:lang w:val="ro-RO"/>
        </w:rPr>
        <w:t>Comisia va analiza totodată, în special pe baza informațiilor furnizate d</w:t>
      </w:r>
      <w:r>
        <w:rPr>
          <w:rFonts w:ascii="Times New Roman" w:hAnsi="Times New Roman"/>
          <w:noProof/>
          <w:sz w:val="24"/>
          <w:lang w:val="ro-RO"/>
        </w:rPr>
        <w:t>e partenerii sociali, situațiile în care există lacune de implementare și va decide cu privire la măsurile care se impun.</w:t>
      </w:r>
    </w:p>
    <w:p w:rsidR="00291C10" w:rsidRDefault="00070C4D">
      <w:pPr>
        <w:rPr>
          <w:rFonts w:ascii="Times New Roman" w:hAnsi="Times New Roman" w:cs="Times New Roman"/>
          <w:b/>
          <w:i/>
          <w:noProof/>
          <w:sz w:val="24"/>
          <w:szCs w:val="24"/>
          <w:lang w:val="ro-RO"/>
        </w:rPr>
      </w:pPr>
      <w:r>
        <w:rPr>
          <w:rFonts w:ascii="Times New Roman" w:hAnsi="Times New Roman"/>
          <w:b/>
          <w:i/>
          <w:noProof/>
          <w:sz w:val="24"/>
          <w:lang w:val="ro-RO"/>
        </w:rPr>
        <w:t>Sprijinirea dialogului social în UE</w:t>
      </w:r>
    </w:p>
    <w:p w:rsidR="00291C10" w:rsidRDefault="00070C4D">
      <w:pPr>
        <w:autoSpaceDE w:val="0"/>
        <w:autoSpaceDN w:val="0"/>
        <w:spacing w:after="240"/>
        <w:jc w:val="both"/>
        <w:rPr>
          <w:rFonts w:ascii="Times New Roman" w:hAnsi="Times New Roman" w:cs="Times New Roman"/>
          <w:noProof/>
          <w:sz w:val="24"/>
          <w:szCs w:val="24"/>
          <w:lang w:val="ro-RO"/>
        </w:rPr>
      </w:pPr>
      <w:r>
        <w:rPr>
          <w:rFonts w:ascii="Times New Roman" w:hAnsi="Times New Roman"/>
          <w:noProof/>
          <w:sz w:val="24"/>
          <w:lang w:val="ro-RO"/>
        </w:rPr>
        <w:t>Comisia a sprijinit relansarea dialogului social la nivelul UE încă de la începerea mandatului său</w:t>
      </w:r>
      <w:r>
        <w:rPr>
          <w:rFonts w:ascii="Times New Roman" w:hAnsi="Times New Roman"/>
          <w:noProof/>
          <w:sz w:val="24"/>
          <w:lang w:val="ro-RO"/>
        </w:rPr>
        <w:t>, dând un nou impuls pentru implicarea partenerilor sociali în procesul decizional și de elaborare a politicilor UE și pentru promovarea dialogului social la toate nivelurile. Declarația comună privind „Un nou început pentru dialogul social” semnată în iun</w:t>
      </w:r>
      <w:r>
        <w:rPr>
          <w:rFonts w:ascii="Times New Roman" w:hAnsi="Times New Roman"/>
          <w:noProof/>
          <w:sz w:val="24"/>
          <w:lang w:val="ro-RO"/>
        </w:rPr>
        <w:t>ie 2016 de partenerii sociali din UE, de Președinția Consiliului și de Comisie a confirmat angajamentul comun în favoarea îmbunătățirii condițiilor-cadru, a eficacității și a calității dialogului social la toate nivelurile. Cooperarea bilaterală între anga</w:t>
      </w:r>
      <w:r>
        <w:rPr>
          <w:rFonts w:ascii="Times New Roman" w:hAnsi="Times New Roman"/>
          <w:noProof/>
          <w:sz w:val="24"/>
          <w:lang w:val="ro-RO"/>
        </w:rPr>
        <w:t>jatori și sindicate este esențială pentru buna funcționare a dialogului social. Acordul-cadru privind îmbătrânirea activă și o abordare intergenerațională semnat de partenerii sociali de la nivelul UE în martie 2017 este exemplar pentru modul în care parte</w:t>
      </w:r>
      <w:r>
        <w:rPr>
          <w:rFonts w:ascii="Times New Roman" w:hAnsi="Times New Roman"/>
          <w:noProof/>
          <w:sz w:val="24"/>
          <w:lang w:val="ro-RO"/>
        </w:rPr>
        <w:t>nerii sociali pot contribui la o mai bună guvernanță și la reforme sociale și economice mai eficiente.</w:t>
      </w:r>
    </w:p>
    <w:p w:rsidR="00291C10" w:rsidRDefault="00070C4D">
      <w:pPr>
        <w:widowControl w:val="0"/>
        <w:autoSpaceDE w:val="0"/>
        <w:autoSpaceDN w:val="0"/>
        <w:adjustRightInd w:val="0"/>
        <w:spacing w:after="240"/>
        <w:jc w:val="both"/>
        <w:rPr>
          <w:rFonts w:ascii="Times New Roman" w:hAnsi="Times New Roman" w:cs="Times New Roman"/>
          <w:b/>
          <w:i/>
          <w:noProof/>
          <w:sz w:val="24"/>
          <w:szCs w:val="24"/>
          <w:lang w:val="ro-RO"/>
        </w:rPr>
      </w:pPr>
      <w:r>
        <w:rPr>
          <w:rFonts w:ascii="Times New Roman" w:hAnsi="Times New Roman"/>
          <w:b/>
          <w:i/>
          <w:noProof/>
          <w:sz w:val="24"/>
          <w:lang w:val="ro-RO"/>
        </w:rPr>
        <w:t>Monitorizarea progreselor în cadrul semestrului european pentru coordonarea politicilor economice</w:t>
      </w:r>
    </w:p>
    <w:p w:rsidR="00291C10" w:rsidRDefault="00070C4D">
      <w:pPr>
        <w:autoSpaceDE w:val="0"/>
        <w:autoSpaceDN w:val="0"/>
        <w:adjustRightInd w:val="0"/>
        <w:spacing w:after="0"/>
        <w:jc w:val="both"/>
        <w:rPr>
          <w:rFonts w:ascii="Times New Roman" w:hAnsi="Times New Roman"/>
          <w:noProof/>
          <w:color w:val="000000"/>
          <w:sz w:val="24"/>
          <w:szCs w:val="24"/>
          <w:lang w:val="ro-RO"/>
        </w:rPr>
      </w:pPr>
      <w:r>
        <w:rPr>
          <w:rFonts w:ascii="Times New Roman" w:hAnsi="Times New Roman"/>
          <w:noProof/>
          <w:sz w:val="24"/>
          <w:lang w:val="ro-RO"/>
        </w:rPr>
        <w:t>Considerentele de ordin social au fost optimizate și co</w:t>
      </w:r>
      <w:r>
        <w:rPr>
          <w:rFonts w:ascii="Times New Roman" w:hAnsi="Times New Roman"/>
          <w:noProof/>
          <w:sz w:val="24"/>
          <w:lang w:val="ro-RO"/>
        </w:rPr>
        <w:t>nsolidate în cadrul semestrului european pentru coordonarea politicilor economice încă de la începerea mandatului actualei Comisii. Analiza și recomandările vor reflecta și vor promova principiile înscrise în pilon prin evaluarea, monitorizarea și comparar</w:t>
      </w:r>
      <w:r>
        <w:rPr>
          <w:rFonts w:ascii="Times New Roman" w:hAnsi="Times New Roman"/>
          <w:noProof/>
          <w:sz w:val="24"/>
          <w:lang w:val="ro-RO"/>
        </w:rPr>
        <w:t>ea progreselor înregistrate în direcția implementării acestora. Pentru o serie de domenii, cum sunt legislația în materie de protecție a locurilor de muncă, prestațiile de șomaj, salariile minime, venitul minim și competențele, vor fi efectuate analize com</w:t>
      </w:r>
      <w:r>
        <w:rPr>
          <w:rFonts w:ascii="Times New Roman" w:hAnsi="Times New Roman"/>
          <w:noProof/>
          <w:sz w:val="24"/>
          <w:lang w:val="ro-RO"/>
        </w:rPr>
        <w:t>parative și schimburi de bune practici</w:t>
      </w:r>
      <w:r>
        <w:rPr>
          <w:rStyle w:val="FootnoteReference"/>
          <w:rFonts w:ascii="Times New Roman" w:hAnsi="Times New Roman"/>
          <w:noProof/>
          <w:sz w:val="24"/>
          <w:lang w:val="ro-RO"/>
        </w:rPr>
        <w:footnoteReference w:id="21"/>
      </w:r>
      <w:r>
        <w:rPr>
          <w:rFonts w:ascii="Times New Roman" w:hAnsi="Times New Roman"/>
          <w:noProof/>
          <w:sz w:val="24"/>
          <w:lang w:val="ro-RO"/>
        </w:rPr>
        <w:t>. Monitorizarea progreselor va fi sprijinită de noul tablou de bord social, care conține un număr limitat de indicatori existenți importanți pentru evaluarea tendințelor sociale și de ocupare a forței de muncă</w:t>
      </w:r>
      <w:r>
        <w:rPr>
          <w:rStyle w:val="FootnoteReference"/>
          <w:rFonts w:ascii="Times New Roman" w:hAnsi="Times New Roman"/>
          <w:noProof/>
          <w:sz w:val="24"/>
          <w:lang w:val="ro-RO"/>
        </w:rPr>
        <w:footnoteReference w:id="22"/>
      </w:r>
      <w:r>
        <w:rPr>
          <w:rFonts w:ascii="Times New Roman" w:hAnsi="Times New Roman"/>
          <w:noProof/>
          <w:sz w:val="24"/>
          <w:lang w:val="ro-RO"/>
        </w:rPr>
        <w:t xml:space="preserve">. </w:t>
      </w:r>
      <w:r>
        <w:rPr>
          <w:rFonts w:ascii="Times New Roman" w:hAnsi="Times New Roman"/>
          <w:noProof/>
          <w:color w:val="000000"/>
          <w:sz w:val="24"/>
          <w:lang w:val="ro-RO"/>
        </w:rPr>
        <w:t>Tablo</w:t>
      </w:r>
      <w:r>
        <w:rPr>
          <w:rFonts w:ascii="Times New Roman" w:hAnsi="Times New Roman"/>
          <w:noProof/>
          <w:color w:val="000000"/>
          <w:sz w:val="24"/>
          <w:lang w:val="ro-RO"/>
        </w:rPr>
        <w:t>ul de bord va fi dezbătut cu comitetele competente ale Consiliului, în vederea includerii sale în Raportul comun privind ocuparea forței de muncă, publicat în toamna fiecărui an, în cadrul semestrului european. De asemenea, el ar putea deveni un punct de r</w:t>
      </w:r>
      <w:r>
        <w:rPr>
          <w:rFonts w:ascii="Times New Roman" w:hAnsi="Times New Roman"/>
          <w:noProof/>
          <w:color w:val="000000"/>
          <w:sz w:val="24"/>
          <w:lang w:val="ro-RO"/>
        </w:rPr>
        <w:t>eferință pentru eforturile depuse în privința dimensiunii sociale a zonei euro și a Europei în general.</w:t>
      </w:r>
    </w:p>
    <w:p w:rsidR="00291C10" w:rsidRDefault="00291C10">
      <w:pPr>
        <w:autoSpaceDE w:val="0"/>
        <w:autoSpaceDN w:val="0"/>
        <w:adjustRightInd w:val="0"/>
        <w:spacing w:after="0"/>
        <w:jc w:val="both"/>
        <w:rPr>
          <w:rFonts w:ascii="Times New Roman" w:hAnsi="Times New Roman" w:cs="Times New Roman"/>
          <w:b/>
          <w:i/>
          <w:noProof/>
          <w:sz w:val="24"/>
          <w:szCs w:val="24"/>
          <w:lang w:val="ro-RO"/>
        </w:rPr>
      </w:pPr>
    </w:p>
    <w:p w:rsidR="00291C10" w:rsidRDefault="00070C4D">
      <w:pPr>
        <w:widowControl w:val="0"/>
        <w:autoSpaceDE w:val="0"/>
        <w:autoSpaceDN w:val="0"/>
        <w:adjustRightInd w:val="0"/>
        <w:spacing w:after="240"/>
        <w:jc w:val="both"/>
        <w:rPr>
          <w:rFonts w:ascii="Times New Roman" w:hAnsi="Times New Roman" w:cs="Times New Roman"/>
          <w:b/>
          <w:i/>
          <w:noProof/>
          <w:sz w:val="24"/>
          <w:szCs w:val="24"/>
          <w:lang w:val="ro-RO"/>
        </w:rPr>
      </w:pPr>
      <w:r>
        <w:rPr>
          <w:rFonts w:ascii="Times New Roman" w:hAnsi="Times New Roman"/>
          <w:b/>
          <w:i/>
          <w:noProof/>
          <w:sz w:val="24"/>
          <w:lang w:val="ro-RO"/>
        </w:rPr>
        <w:t>Formularea unor concluzii pentru finalizarea uniunii economice și monetare a Europei</w:t>
      </w:r>
    </w:p>
    <w:p w:rsidR="00291C10" w:rsidRDefault="00070C4D">
      <w:pPr>
        <w:widowControl w:val="0"/>
        <w:autoSpaceDE w:val="0"/>
        <w:autoSpaceDN w:val="0"/>
        <w:adjustRightInd w:val="0"/>
        <w:spacing w:after="240"/>
        <w:jc w:val="both"/>
        <w:rPr>
          <w:rFonts w:ascii="Times New Roman" w:hAnsi="Times New Roman" w:cs="Times New Roman"/>
          <w:noProof/>
          <w:sz w:val="24"/>
          <w:szCs w:val="24"/>
          <w:lang w:val="ro-RO"/>
        </w:rPr>
      </w:pPr>
      <w:r>
        <w:rPr>
          <w:rFonts w:ascii="Times New Roman" w:hAnsi="Times New Roman"/>
          <w:noProof/>
          <w:sz w:val="24"/>
          <w:lang w:val="ro-RO"/>
        </w:rPr>
        <w:t>Pilonul european al drepturilor sociale se înscrie în eforturile d</w:t>
      </w:r>
      <w:r>
        <w:rPr>
          <w:rFonts w:ascii="Times New Roman" w:hAnsi="Times New Roman"/>
          <w:noProof/>
          <w:sz w:val="24"/>
          <w:lang w:val="ro-RO"/>
        </w:rPr>
        <w:t>e lansare a unui nou proces de convergență în cadrul UEM.</w:t>
      </w:r>
      <w:r>
        <w:rPr>
          <w:rFonts w:ascii="Times New Roman" w:hAnsi="Times New Roman"/>
          <w:b/>
          <w:noProof/>
          <w:sz w:val="24"/>
          <w:lang w:val="ro-RO"/>
        </w:rPr>
        <w:t xml:space="preserve"> </w:t>
      </w:r>
      <w:r>
        <w:rPr>
          <w:rFonts w:ascii="Times New Roman" w:hAnsi="Times New Roman"/>
          <w:noProof/>
          <w:sz w:val="24"/>
          <w:lang w:val="ro-RO"/>
        </w:rPr>
        <w:t xml:space="preserve">Acesta are la bază convingerea că o convergență către îmbunătățirea rezultatelor socioeconomice, a rezilienței și a echității sociale reprezintă fundamentul unei Europe mai integrate și mai stabile </w:t>
      </w:r>
      <w:r>
        <w:rPr>
          <w:rFonts w:ascii="Times New Roman" w:hAnsi="Times New Roman"/>
          <w:noProof/>
          <w:sz w:val="24"/>
          <w:lang w:val="ro-RO"/>
        </w:rPr>
        <w:t>ș</w:t>
      </w:r>
      <w:r>
        <w:rPr>
          <w:rFonts w:ascii="Times New Roman" w:hAnsi="Times New Roman"/>
          <w:noProof/>
          <w:sz w:val="24"/>
          <w:lang w:val="ro-RO"/>
        </w:rPr>
        <w:t>i că aceasta este o urgență pentru sustenabilitatea uniunii economice și monetare.</w:t>
      </w:r>
      <w:r>
        <w:rPr>
          <w:rFonts w:ascii="FS Me Web Regular" w:hAnsi="FS Me Web Regular"/>
          <w:noProof/>
          <w:color w:val="4B4B4B"/>
          <w:sz w:val="20"/>
          <w:lang w:val="ro-RO"/>
        </w:rPr>
        <w:t xml:space="preserve"> </w:t>
      </w:r>
      <w:r>
        <w:rPr>
          <w:rFonts w:ascii="Times New Roman" w:hAnsi="Times New Roman"/>
          <w:noProof/>
          <w:sz w:val="24"/>
          <w:lang w:val="ro-RO"/>
        </w:rPr>
        <w:t>În perspectivă, succesul viitor al zonei euro depinde, într-o măsură considerabilă, de eficacitatea piețelor forței de muncă și a sistemelor de protecție socială naționale,</w:t>
      </w:r>
      <w:r>
        <w:rPr>
          <w:rFonts w:ascii="Times New Roman" w:hAnsi="Times New Roman"/>
          <w:noProof/>
          <w:sz w:val="24"/>
          <w:lang w:val="ro-RO"/>
        </w:rPr>
        <w:t xml:space="preserve"> dar și de capacitatea economiei de a absorbi rapid șocurile, de a se adapta la acestea și de a remedia în mod eficient implicațiile lor sociale. Un alt factor în acest sens este capacitatea economiilor naționale de a îmbunătăți nivelul de trai și potenția</w:t>
      </w:r>
      <w:r>
        <w:rPr>
          <w:rFonts w:ascii="Times New Roman" w:hAnsi="Times New Roman"/>
          <w:noProof/>
          <w:sz w:val="24"/>
          <w:lang w:val="ro-RO"/>
        </w:rPr>
        <w:t>lul de creștere. Pentru aceasta este nevoie de sisteme de educație și formare profesională de înaltă calitate și de piețe funcționale ale forței de muncă, care să facă posibilă alocarea fără probleme a resurselor, dar și de sisteme de protecție socială bin</w:t>
      </w:r>
      <w:r>
        <w:rPr>
          <w:rFonts w:ascii="Times New Roman" w:hAnsi="Times New Roman"/>
          <w:noProof/>
          <w:sz w:val="24"/>
          <w:lang w:val="ro-RO"/>
        </w:rPr>
        <w:t>e concepute, pentru a permite o stabilizare automată eficientă, a preveni și a reduce nivelul de sărăcie și a sprijini reintegrarea pe piața forței de muncă. În logica Raportului celor cinci președinți, unele dintre principiile și drepturile stabilite în c</w:t>
      </w:r>
      <w:r>
        <w:rPr>
          <w:rFonts w:ascii="Times New Roman" w:hAnsi="Times New Roman"/>
          <w:noProof/>
          <w:sz w:val="24"/>
          <w:lang w:val="ro-RO"/>
        </w:rPr>
        <w:t xml:space="preserve">adrul pilonului ar putea servi scopului de a crea standarde cu un caracter obligatoriu mai pronunțat, în conformitate cu procesul de aprofundare a UEM. </w:t>
      </w:r>
    </w:p>
    <w:p w:rsidR="00291C10" w:rsidRDefault="00070C4D">
      <w:pPr>
        <w:widowControl w:val="0"/>
        <w:autoSpaceDE w:val="0"/>
        <w:autoSpaceDN w:val="0"/>
        <w:adjustRightInd w:val="0"/>
        <w:spacing w:after="240"/>
        <w:jc w:val="both"/>
        <w:rPr>
          <w:rFonts w:ascii="Times New Roman" w:hAnsi="Times New Roman" w:cs="Times New Roman"/>
          <w:b/>
          <w:i/>
          <w:noProof/>
          <w:sz w:val="24"/>
          <w:szCs w:val="24"/>
          <w:lang w:val="ro-RO"/>
        </w:rPr>
      </w:pPr>
      <w:r>
        <w:rPr>
          <w:rFonts w:ascii="Times New Roman" w:hAnsi="Times New Roman"/>
          <w:b/>
          <w:i/>
          <w:noProof/>
          <w:sz w:val="24"/>
          <w:lang w:val="ro-RO"/>
        </w:rPr>
        <w:t>Sprijinul financiar acordat de UE</w:t>
      </w:r>
    </w:p>
    <w:p w:rsidR="00291C10" w:rsidRDefault="00070C4D">
      <w:pPr>
        <w:widowControl w:val="0"/>
        <w:autoSpaceDE w:val="0"/>
        <w:autoSpaceDN w:val="0"/>
        <w:adjustRightInd w:val="0"/>
        <w:spacing w:after="240"/>
        <w:jc w:val="both"/>
        <w:rPr>
          <w:rFonts w:ascii="Times New Roman" w:hAnsi="Times New Roman"/>
          <w:noProof/>
          <w:color w:val="000000"/>
          <w:sz w:val="24"/>
          <w:szCs w:val="24"/>
          <w:lang w:val="ro-RO"/>
        </w:rPr>
      </w:pPr>
      <w:r>
        <w:rPr>
          <w:rFonts w:ascii="Times New Roman" w:hAnsi="Times New Roman"/>
          <w:noProof/>
          <w:color w:val="000000"/>
          <w:sz w:val="24"/>
          <w:lang w:val="ro-RO"/>
        </w:rPr>
        <w:t>Fondurile europene, în special Fondul social european, vor continua să sprijine implementarea Pilonului european al drepturilor sociale. În mod concret, programele operaționale pentru perioada 2014-2020 din cadrul fondurilor structurale și de investiții eu</w:t>
      </w:r>
      <w:r>
        <w:rPr>
          <w:rFonts w:ascii="Times New Roman" w:hAnsi="Times New Roman"/>
          <w:noProof/>
          <w:color w:val="000000"/>
          <w:sz w:val="24"/>
          <w:lang w:val="ro-RO"/>
        </w:rPr>
        <w:t>ropene, dar și alte programe financiare esențiale, cum sunt Inițiativa privind ocuparea forței de muncă în rândul tinerilor, Erasmus+, Fondul european de ajustare la globalizare și Fondul de ajutor european destinat celor mai defavorizate persoane vor juca</w:t>
      </w:r>
      <w:r>
        <w:rPr>
          <w:rFonts w:ascii="Times New Roman" w:hAnsi="Times New Roman"/>
          <w:noProof/>
          <w:color w:val="000000"/>
          <w:sz w:val="24"/>
          <w:lang w:val="ro-RO"/>
        </w:rPr>
        <w:t xml:space="preserve"> un rol important pentru sprijinirea a numeroase principii prevăzute în cadrul pilonului. Pilonul va fi totodată o referință pentru perioada de programare financiară a UE post-2020. Comisia va coopera îndeaproape cu statele membre și cu autoritățile locale</w:t>
      </w:r>
      <w:r>
        <w:rPr>
          <w:rFonts w:ascii="Times New Roman" w:hAnsi="Times New Roman"/>
          <w:noProof/>
          <w:color w:val="000000"/>
          <w:sz w:val="24"/>
          <w:lang w:val="ro-RO"/>
        </w:rPr>
        <w:t xml:space="preserve"> și regionale pentru a se asigura că finanțarea acordată de UE pe viitor va viza prioritățile identificate și că statele membre vor înființa structurile necesare pentru ca aceste fonduri să fie pe deplin valorificate acolo unde sunt cel mai necesare. </w:t>
      </w:r>
    </w:p>
    <w:p w:rsidR="00291C10" w:rsidRDefault="00291C10">
      <w:pPr>
        <w:jc w:val="both"/>
        <w:rPr>
          <w:rFonts w:ascii="Times New Roman" w:hAnsi="Times New Roman" w:cs="Times New Roman"/>
          <w:b/>
          <w:noProof/>
          <w:sz w:val="24"/>
          <w:szCs w:val="24"/>
          <w:u w:val="single"/>
          <w:lang w:val="ro-RO"/>
        </w:rPr>
      </w:pPr>
    </w:p>
    <w:p w:rsidR="00291C10" w:rsidRDefault="00070C4D">
      <w:pPr>
        <w:jc w:val="both"/>
        <w:rPr>
          <w:rFonts w:ascii="Times New Roman" w:hAnsi="Times New Roman" w:cs="Times New Roman"/>
          <w:b/>
          <w:noProof/>
          <w:sz w:val="24"/>
          <w:szCs w:val="24"/>
          <w:u w:val="single"/>
          <w:lang w:val="ro-RO"/>
        </w:rPr>
      </w:pPr>
      <w:r>
        <w:rPr>
          <w:rFonts w:ascii="Times New Roman" w:hAnsi="Times New Roman"/>
          <w:b/>
          <w:noProof/>
          <w:sz w:val="24"/>
          <w:u w:val="single"/>
          <w:lang w:val="ro-RO"/>
        </w:rPr>
        <w:t xml:space="preserve">5. </w:t>
      </w:r>
      <w:r>
        <w:rPr>
          <w:rFonts w:ascii="Times New Roman" w:hAnsi="Times New Roman"/>
          <w:b/>
          <w:noProof/>
          <w:sz w:val="24"/>
          <w:u w:val="single"/>
          <w:lang w:val="ro-RO"/>
        </w:rPr>
        <w:t>Concluzii</w:t>
      </w:r>
    </w:p>
    <w:p w:rsidR="00291C10" w:rsidRDefault="00070C4D">
      <w:pPr>
        <w:jc w:val="both"/>
        <w:rPr>
          <w:rFonts w:ascii="Times New Roman" w:hAnsi="Times New Roman" w:cs="Times New Roman"/>
          <w:noProof/>
          <w:sz w:val="24"/>
          <w:szCs w:val="24"/>
          <w:lang w:val="ro-RO"/>
        </w:rPr>
      </w:pPr>
      <w:r>
        <w:rPr>
          <w:rFonts w:ascii="Times New Roman" w:hAnsi="Times New Roman"/>
          <w:noProof/>
          <w:sz w:val="24"/>
          <w:lang w:val="ro-RO"/>
        </w:rPr>
        <w:t xml:space="preserve">Consultarea cu privire la Pilonul european al drepturilor sociale a scos în evidență amploarea problemelor sociale cu care se confruntă Europa și zona euro în particular, dar a confirmat totodată caracterul comun al provocărilor și nevoia comună </w:t>
      </w:r>
      <w:r>
        <w:rPr>
          <w:rFonts w:ascii="Times New Roman" w:hAnsi="Times New Roman"/>
          <w:noProof/>
          <w:sz w:val="24"/>
          <w:lang w:val="ro-RO"/>
        </w:rPr>
        <w:t>de a acționa, împreună și urgent, pentru reașezarea Europei pe calea către o creștere economică mai favorabilă incluziunii și o coeziune socială sporită. Aceste eforturi se înscriu în agenda politică și economică mai largă inițiată la nivel european pentru</w:t>
      </w:r>
      <w:r>
        <w:rPr>
          <w:rFonts w:ascii="Times New Roman" w:hAnsi="Times New Roman"/>
          <w:noProof/>
          <w:sz w:val="24"/>
          <w:lang w:val="ro-RO"/>
        </w:rPr>
        <w:t xml:space="preserve"> a răspunde la criza din ultimul deceniu și a o depăși.</w:t>
      </w:r>
    </w:p>
    <w:p w:rsidR="00291C10" w:rsidRDefault="00070C4D">
      <w:pPr>
        <w:jc w:val="both"/>
        <w:rPr>
          <w:noProof/>
          <w:lang w:val="ro-RO"/>
        </w:rPr>
      </w:pPr>
      <w:r>
        <w:rPr>
          <w:rFonts w:ascii="Times New Roman" w:hAnsi="Times New Roman"/>
          <w:noProof/>
          <w:sz w:val="24"/>
          <w:lang w:val="ro-RO"/>
        </w:rPr>
        <w:t>Pilonul european al drepturilor sociale prezintă principii și drepturi concrete, care urmează să se materializeze la nivel național și la nivelul UE. El acordă prioritate cetățenilor și stabilește o c</w:t>
      </w:r>
      <w:r>
        <w:rPr>
          <w:rFonts w:ascii="Times New Roman" w:hAnsi="Times New Roman"/>
          <w:noProof/>
          <w:sz w:val="24"/>
          <w:lang w:val="ro-RO"/>
        </w:rPr>
        <w:t>ale de urmat comună pentru a asigura egalitatea de șanse și de acces pe piața forței de muncă, condiții de lucru echitabile și protecție și incluziune socială. Aceste principii și drepturi sunt esențiale totodată și pentru dezbaterea mai largă asupra viito</w:t>
      </w:r>
      <w:r>
        <w:rPr>
          <w:rFonts w:ascii="Times New Roman" w:hAnsi="Times New Roman"/>
          <w:noProof/>
          <w:sz w:val="24"/>
          <w:lang w:val="ro-RO"/>
        </w:rPr>
        <w:t>rului UE27.</w:t>
      </w:r>
    </w:p>
    <w:p w:rsidR="00291C10" w:rsidRDefault="00070C4D">
      <w:pPr>
        <w:jc w:val="both"/>
        <w:rPr>
          <w:rFonts w:ascii="Times New Roman" w:hAnsi="Times New Roman" w:cs="Times New Roman"/>
          <w:noProof/>
          <w:sz w:val="24"/>
          <w:szCs w:val="24"/>
          <w:lang w:val="ro-RO"/>
        </w:rPr>
      </w:pPr>
      <w:r>
        <w:rPr>
          <w:rFonts w:ascii="Times New Roman" w:hAnsi="Times New Roman"/>
          <w:noProof/>
          <w:sz w:val="24"/>
          <w:lang w:val="ro-RO"/>
        </w:rPr>
        <w:t>Statele membre, autoritățile publice, partenerii sociali de la toate nivelurile și instituțiile UE au o responsabilitate comună de a acționa pentru o Europă mai prosperă și mai echitabilă, unde evoluțiile economice sunt însoțite de evoluții soc</w:t>
      </w:r>
      <w:r>
        <w:rPr>
          <w:rFonts w:ascii="Times New Roman" w:hAnsi="Times New Roman"/>
          <w:noProof/>
          <w:sz w:val="24"/>
          <w:lang w:val="ro-RO"/>
        </w:rPr>
        <w:t>iale. Pilonul stabilește indicatori pentru acțiunile viitoare, pachetul prezentat astăzi conținând o serie de inițiative ale UE. Comisia va continua să coopereze îndeaproape cu Parlamentul European și cu Consiliul pentru a facilita proclamarea pilonului, d</w:t>
      </w:r>
      <w:r>
        <w:rPr>
          <w:rFonts w:ascii="Times New Roman" w:hAnsi="Times New Roman"/>
          <w:noProof/>
          <w:sz w:val="24"/>
          <w:lang w:val="ro-RO"/>
        </w:rPr>
        <w:t>ar și cu părțile interesate, pentru a asigura monitorizarea la toate nivelurile.</w:t>
      </w:r>
    </w:p>
    <w:p w:rsidR="00291C10" w:rsidRDefault="00291C10">
      <w:pPr>
        <w:rPr>
          <w:noProof/>
          <w:lang w:val="ro-RO"/>
        </w:rPr>
      </w:pPr>
    </w:p>
    <w:sectPr w:rsidR="00291C10">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C10" w:rsidRDefault="00070C4D">
      <w:pPr>
        <w:spacing w:after="0" w:line="240" w:lineRule="auto"/>
      </w:pPr>
      <w:r>
        <w:separator/>
      </w:r>
    </w:p>
  </w:endnote>
  <w:endnote w:type="continuationSeparator" w:id="0">
    <w:p w:rsidR="00291C10" w:rsidRDefault="00070C4D">
      <w:pPr>
        <w:spacing w:after="0" w:line="240" w:lineRule="auto"/>
      </w:pPr>
      <w:r>
        <w:continuationSeparator/>
      </w:r>
    </w:p>
  </w:endnote>
  <w:endnote w:type="continuationNotice" w:id="1">
    <w:p w:rsidR="00291C10" w:rsidRDefault="00291C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EC Square Sans Pro">
    <w:panose1 w:val="020B0506040000020004"/>
    <w:charset w:val="00"/>
    <w:family w:val="swiss"/>
    <w:pitch w:val="variable"/>
    <w:sig w:usb0="A00002BF"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S Me Web Regular">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FooterCoverPage"/>
      <w:rPr>
        <w:rFonts w:ascii="Arial" w:hAnsi="Arial" w:cs="Arial"/>
        <w:b/>
        <w:sz w:val="48"/>
      </w:rPr>
    </w:pPr>
    <w:r w:rsidRPr="00070C4D">
      <w:rPr>
        <w:rFonts w:ascii="Arial" w:hAnsi="Arial" w:cs="Arial"/>
        <w:b/>
        <w:sz w:val="48"/>
      </w:rPr>
      <w:t>RO</w:t>
    </w:r>
    <w:r w:rsidRPr="00070C4D">
      <w:rPr>
        <w:rFonts w:ascii="Arial" w:hAnsi="Arial" w:cs="Arial"/>
        <w:b/>
        <w:sz w:val="48"/>
      </w:rPr>
      <w:tab/>
    </w:r>
    <w:r w:rsidRPr="00070C4D">
      <w:rPr>
        <w:rFonts w:ascii="Arial" w:hAnsi="Arial" w:cs="Arial"/>
        <w:b/>
        <w:sz w:val="48"/>
      </w:rPr>
      <w:tab/>
    </w:r>
    <w:fldSimple w:instr=" DOCVARIABLE &quot;LW_Confidence&quot; \* MERGEFORMAT ">
      <w:r>
        <w:t xml:space="preserve"> </w:t>
      </w:r>
    </w:fldSimple>
    <w:r w:rsidRPr="00070C4D">
      <w:tab/>
    </w:r>
    <w:r w:rsidRPr="00070C4D">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C10" w:rsidRDefault="00291C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291C10" w:rsidRDefault="00070C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91C10" w:rsidRDefault="00291C1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C10" w:rsidRDefault="00291C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C10" w:rsidRDefault="00070C4D">
      <w:pPr>
        <w:spacing w:after="0" w:line="240" w:lineRule="auto"/>
      </w:pPr>
      <w:r>
        <w:separator/>
      </w:r>
    </w:p>
  </w:footnote>
  <w:footnote w:type="continuationSeparator" w:id="0">
    <w:p w:rsidR="00291C10" w:rsidRDefault="00070C4D">
      <w:pPr>
        <w:spacing w:after="0" w:line="240" w:lineRule="auto"/>
      </w:pPr>
      <w:r>
        <w:continuationSeparator/>
      </w:r>
    </w:p>
  </w:footnote>
  <w:footnote w:type="continuationNotice" w:id="1">
    <w:p w:rsidR="00291C10" w:rsidRDefault="00291C10">
      <w:pPr>
        <w:spacing w:after="0" w:line="240" w:lineRule="auto"/>
      </w:pPr>
    </w:p>
  </w:footnote>
  <w:footnote w:id="2">
    <w:p w:rsidR="00291C10" w:rsidRDefault="00070C4D">
      <w:pPr>
        <w:pStyle w:val="Default"/>
        <w:jc w:val="both"/>
        <w:rPr>
          <w:rFonts w:ascii="Times New Roman" w:hAnsi="Times New Roman" w:cs="Times New Roman"/>
          <w:sz w:val="20"/>
          <w:szCs w:val="20"/>
          <w:lang w:val="ro-RO"/>
        </w:rPr>
      </w:pPr>
      <w:r>
        <w:rPr>
          <w:rStyle w:val="FootnoteReference"/>
          <w:rFonts w:ascii="Times New Roman" w:hAnsi="Times New Roman"/>
          <w:sz w:val="20"/>
          <w:lang w:val="ro-RO"/>
        </w:rPr>
        <w:footnoteRef/>
      </w:r>
      <w:r>
        <w:rPr>
          <w:rFonts w:ascii="Times New Roman" w:hAnsi="Times New Roman"/>
          <w:sz w:val="20"/>
          <w:lang w:val="ro-RO"/>
        </w:rPr>
        <w:t xml:space="preserve"> A se vedea Orientările politice pentru viitoarea Comisie Europeană, „Un nou început pentru Europa: Agenda mea pentru locuri de muncă, creștere, echitate și schimbări democratice”, 15 iulie 2014.</w:t>
      </w:r>
    </w:p>
  </w:footnote>
  <w:footnote w:id="3">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rFonts w:ascii="Times New Roman" w:hAnsi="Times New Roman"/>
          <w:color w:val="000000"/>
          <w:lang w:val="ro-RO"/>
        </w:rPr>
        <w:t>A se vedea COM(2016) 127 final din 8 martie 2016.</w:t>
      </w:r>
    </w:p>
  </w:footnote>
  <w:footnote w:id="4">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rFonts w:ascii="Times New Roman" w:hAnsi="Times New Roman"/>
          <w:color w:val="000000"/>
          <w:lang w:val="ro-RO"/>
        </w:rPr>
        <w:t xml:space="preserve">A se </w:t>
      </w:r>
      <w:r>
        <w:rPr>
          <w:rFonts w:ascii="Times New Roman" w:hAnsi="Times New Roman"/>
          <w:color w:val="000000"/>
          <w:lang w:val="ro-RO"/>
        </w:rPr>
        <w:t>vedea rezultatele consultării publice în documentul însoțitor SWD(2017) 206 din 26 aprilie 2017.</w:t>
      </w:r>
    </w:p>
  </w:footnote>
  <w:footnote w:id="5">
    <w:p w:rsidR="00291C10" w:rsidRDefault="00070C4D">
      <w:pPr>
        <w:pStyle w:val="FootnoteText"/>
        <w:rPr>
          <w:lang w:val="ro-RO"/>
        </w:rPr>
      </w:pPr>
      <w:r>
        <w:rPr>
          <w:rStyle w:val="FootnoteReference"/>
          <w:rFonts w:ascii="Times New Roman" w:hAnsi="Times New Roman"/>
          <w:lang w:val="ro-RO"/>
        </w:rPr>
        <w:footnoteRef/>
      </w:r>
      <w:r>
        <w:rPr>
          <w:rFonts w:ascii="Times New Roman" w:hAnsi="Times New Roman"/>
          <w:lang w:val="ro-RO"/>
        </w:rPr>
        <w:t xml:space="preserve"> </w:t>
      </w:r>
      <w:r>
        <w:rPr>
          <w:rFonts w:ascii="Times New Roman" w:hAnsi="Times New Roman"/>
          <w:color w:val="000000"/>
          <w:lang w:val="ro-RO"/>
        </w:rPr>
        <w:t>A se vedea Raportul celor cinci președinți privind finalizarea uniunii economice și monetare a Europei din 22 iunie 2015</w:t>
      </w:r>
      <w:r>
        <w:rPr>
          <w:rFonts w:ascii="Times New Roman" w:hAnsi="Times New Roman"/>
          <w:lang w:val="ro-RO"/>
        </w:rPr>
        <w:t>.</w:t>
      </w:r>
    </w:p>
  </w:footnote>
  <w:footnote w:id="6">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color w:val="000000"/>
          <w:lang w:val="ro-RO"/>
        </w:rPr>
        <w:t xml:space="preserve"> A se vedea COM(2017) 2025 din 1 m</w:t>
      </w:r>
      <w:r>
        <w:rPr>
          <w:rFonts w:ascii="Times New Roman" w:hAnsi="Times New Roman"/>
          <w:color w:val="000000"/>
          <w:lang w:val="ro-RO"/>
        </w:rPr>
        <w:t>artie 2017.</w:t>
      </w:r>
    </w:p>
  </w:footnote>
  <w:footnote w:id="7">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COM(2017) 206 din 26 aprilie 2017.</w:t>
      </w:r>
    </w:p>
  </w:footnote>
  <w:footnote w:id="8">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rFonts w:ascii="Times New Roman" w:hAnsi="Times New Roman"/>
          <w:lang w:val="ro-RO"/>
        </w:rPr>
        <w:t xml:space="preserve">A se vedea SWD(2017) 201 </w:t>
      </w:r>
      <w:r>
        <w:rPr>
          <w:rFonts w:ascii="Times New Roman" w:hAnsi="Times New Roman"/>
          <w:sz w:val="18"/>
          <w:lang w:val="ro-RO"/>
        </w:rPr>
        <w:t>din 26 aprilie 2017.</w:t>
      </w:r>
    </w:p>
  </w:footnote>
  <w:footnote w:id="9">
    <w:p w:rsidR="00291C10" w:rsidRDefault="00070C4D">
      <w:pPr>
        <w:pStyle w:val="FootnoteText"/>
        <w:rPr>
          <w:lang w:val="ro-RO"/>
        </w:rPr>
      </w:pPr>
      <w:r>
        <w:rPr>
          <w:rStyle w:val="FootnoteReference"/>
          <w:rFonts w:ascii="Times New Roman" w:hAnsi="Times New Roman"/>
          <w:lang w:val="ro-RO"/>
        </w:rPr>
        <w:footnoteRef/>
      </w:r>
      <w:r>
        <w:rPr>
          <w:rFonts w:ascii="Times New Roman" w:hAnsi="Times New Roman"/>
          <w:lang w:val="ro-RO"/>
        </w:rPr>
        <w:t xml:space="preserve"> A se vedea SWD(2017) 200 din 26 aprilie 2017.</w:t>
      </w:r>
    </w:p>
  </w:footnote>
  <w:footnote w:id="10">
    <w:p w:rsidR="00291C10" w:rsidRDefault="00070C4D">
      <w:pPr>
        <w:pStyle w:val="Default"/>
        <w:jc w:val="both"/>
        <w:rPr>
          <w:rFonts w:ascii="Times New Roman" w:hAnsi="Times New Roman" w:cs="Times New Roman"/>
          <w:color w:val="auto"/>
          <w:sz w:val="20"/>
          <w:szCs w:val="20"/>
          <w:lang w:val="ro-RO"/>
        </w:rPr>
      </w:pPr>
      <w:r>
        <w:rPr>
          <w:rStyle w:val="FootnoteReference"/>
          <w:rFonts w:ascii="Times New Roman" w:hAnsi="Times New Roman"/>
          <w:color w:val="auto"/>
          <w:sz w:val="20"/>
          <w:lang w:val="ro-RO"/>
        </w:rPr>
        <w:footnoteRef/>
      </w:r>
      <w:r>
        <w:rPr>
          <w:rFonts w:ascii="Times New Roman" w:hAnsi="Times New Roman"/>
          <w:color w:val="auto"/>
          <w:sz w:val="20"/>
          <w:lang w:val="ro-RO"/>
        </w:rPr>
        <w:t xml:space="preserve"> 2016/2095 (INI).</w:t>
      </w:r>
    </w:p>
  </w:footnote>
  <w:footnote w:id="11">
    <w:p w:rsidR="00291C10" w:rsidRDefault="00070C4D">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CDR 2868/2016.</w:t>
      </w:r>
    </w:p>
  </w:footnote>
  <w:footnote w:id="12">
    <w:p w:rsidR="00291C10" w:rsidRDefault="00070C4D">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SOC/542-01902-00-01-ac.</w:t>
      </w:r>
    </w:p>
  </w:footnote>
  <w:footnote w:id="13">
    <w:p w:rsidR="00291C10" w:rsidRDefault="00070C4D">
      <w:pPr>
        <w:pStyle w:val="FootnoteText"/>
        <w:jc w:val="both"/>
        <w:rPr>
          <w:rFonts w:ascii="Verdana" w:hAnsi="Verdana"/>
          <w:sz w:val="18"/>
          <w:szCs w:val="18"/>
          <w:lang w:val="ro-RO"/>
        </w:rPr>
      </w:pPr>
      <w:r>
        <w:rPr>
          <w:rStyle w:val="FootnoteReference"/>
          <w:rFonts w:ascii="Times New Roman" w:hAnsi="Times New Roman"/>
          <w:lang w:val="ro-RO"/>
        </w:rPr>
        <w:footnoteRef/>
      </w:r>
      <w:r>
        <w:rPr>
          <w:rFonts w:ascii="Times New Roman" w:hAnsi="Times New Roman"/>
          <w:lang w:val="ro-RO"/>
        </w:rPr>
        <w:t xml:space="preserve"> Austria, Belgia, Republica Cehă, Dan</w:t>
      </w:r>
      <w:r>
        <w:rPr>
          <w:rFonts w:ascii="Times New Roman" w:hAnsi="Times New Roman"/>
          <w:lang w:val="ro-RO"/>
        </w:rPr>
        <w:t>emarca, Estonia, Franța, Germania, Grecia, Irlanda, Italia, Letonia, Lituania, Luxemburg, Polonia, Portugalia, Regatul Unit, România, Slovacia, Suedia, Țările de Jos și Ungaria.</w:t>
      </w:r>
    </w:p>
  </w:footnote>
  <w:footnote w:id="14">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SWD(2017) 206 din 26 aprilie 2017.</w:t>
      </w:r>
    </w:p>
  </w:footnote>
  <w:footnote w:id="15">
    <w:p w:rsidR="00291C10" w:rsidRDefault="00070C4D">
      <w:pPr>
        <w:pStyle w:val="FootnoteText"/>
        <w:rPr>
          <w:lang w:val="ro-RO"/>
        </w:rPr>
      </w:pPr>
      <w:r>
        <w:rPr>
          <w:rStyle w:val="FootnoteReference"/>
          <w:rFonts w:ascii="Times New Roman" w:hAnsi="Times New Roman"/>
          <w:lang w:val="ro-RO"/>
        </w:rPr>
        <w:footnoteRef/>
      </w:r>
      <w:r>
        <w:rPr>
          <w:rFonts w:ascii="Times New Roman" w:hAnsi="Times New Roman"/>
          <w:lang w:val="ro-RO"/>
        </w:rPr>
        <w:t xml:space="preserve"> A se vedea „Finalizarea uniunii economice și monetare a Europei”, raport întocmit de Jean-Claude Juncker, în cooperare cu Donald Tusk, Jeroen Dijsselbloem, Mario Draghi și Martin Schulz, iunie 2015.</w:t>
      </w:r>
    </w:p>
  </w:footnote>
  <w:footnote w:id="16">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SWD(2017) 201 din 26 aprilie 2017. Principi</w:t>
      </w:r>
      <w:r>
        <w:rPr>
          <w:rFonts w:ascii="Times New Roman" w:hAnsi="Times New Roman"/>
          <w:lang w:val="ro-RO"/>
        </w:rPr>
        <w:t>ile consacrate în Pilonul european al drepturilor sociale sunt aplicabile cetățenilor Uniunii și resortisanților țărilor terțe cu domiciliul legal în UE.</w:t>
      </w:r>
    </w:p>
  </w:footnote>
  <w:footnote w:id="17">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COM(2017)12 din 10 ianuarie 2017.</w:t>
      </w:r>
    </w:p>
  </w:footnote>
  <w:footnote w:id="18">
    <w:p w:rsidR="00291C10" w:rsidRDefault="00070C4D">
      <w:pPr>
        <w:pStyle w:val="FootnoteText"/>
        <w:rPr>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rFonts w:ascii="Times New Roman" w:hAnsi="Times New Roman"/>
          <w:lang w:val="ro-RO"/>
        </w:rPr>
        <w:t>A se vedea SWD (2017) 201 din 26 aprilie 2017.</w:t>
      </w:r>
    </w:p>
  </w:footnote>
  <w:footnote w:id="19">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w:t>
      </w:r>
      <w:r>
        <w:rPr>
          <w:rFonts w:ascii="Times New Roman" w:hAnsi="Times New Roman"/>
          <w:lang w:val="ro-RO"/>
        </w:rPr>
        <w:t>2016) 356 din 2 iunie 2016.</w:t>
      </w:r>
    </w:p>
  </w:footnote>
  <w:footnote w:id="20">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C(2017) 2601</w:t>
      </w:r>
      <w:r>
        <w:rPr>
          <w:rFonts w:ascii="Times New Roman" w:hAnsi="Times New Roman"/>
          <w:i/>
          <w:color w:val="FF0000"/>
          <w:lang w:val="ro-RO"/>
        </w:rPr>
        <w:t xml:space="preserve"> </w:t>
      </w:r>
      <w:r>
        <w:rPr>
          <w:rFonts w:ascii="Times New Roman" w:hAnsi="Times New Roman"/>
          <w:lang w:val="ro-RO"/>
        </w:rPr>
        <w:t>din 26 aprilie 2017.</w:t>
      </w:r>
    </w:p>
  </w:footnote>
  <w:footnote w:id="21">
    <w:p w:rsidR="00291C10" w:rsidRDefault="00070C4D">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Lucrările în aceste domenii au început deja, în colaborare cu comitetele Consiliului.</w:t>
      </w:r>
    </w:p>
  </w:footnote>
  <w:footnote w:id="22">
    <w:p w:rsidR="00291C10" w:rsidRDefault="00070C4D">
      <w:pPr>
        <w:pStyle w:val="FootnoteText"/>
        <w:rPr>
          <w:rFonts w:ascii="Times New Roman" w:hAnsi="Times New Roman" w:cs="Times New Roman"/>
          <w:sz w:val="18"/>
          <w:szCs w:val="18"/>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rFonts w:ascii="Times New Roman" w:hAnsi="Times New Roman"/>
          <w:lang w:val="ro-RO"/>
        </w:rPr>
        <w:t>A se vedea SWD(2017) 200 din 26 aprilie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C4D" w:rsidRPr="00070C4D" w:rsidRDefault="00070C4D" w:rsidP="00070C4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C10" w:rsidRDefault="00291C1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C10" w:rsidRDefault="00291C10">
    <w:pPr>
      <w:pStyle w:val="Header"/>
      <w:jc w:val="right"/>
    </w:pPr>
  </w:p>
  <w:p w:rsidR="00291C10" w:rsidRDefault="00291C1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C10" w:rsidRDefault="00291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0E1A95"/>
    <w:multiLevelType w:val="hybridMultilevel"/>
    <w:tmpl w:val="643CDC7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6">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96F44DE"/>
    <w:multiLevelType w:val="hybridMultilevel"/>
    <w:tmpl w:val="6B96C2A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264C0C"/>
    <w:multiLevelType w:val="multilevel"/>
    <w:tmpl w:val="51AE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232902"/>
    <w:multiLevelType w:val="hybridMultilevel"/>
    <w:tmpl w:val="F0546E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49486C"/>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EE21C7"/>
    <w:multiLevelType w:val="hybridMultilevel"/>
    <w:tmpl w:val="0EC2841A"/>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5C3F19E8"/>
    <w:multiLevelType w:val="hybridMultilevel"/>
    <w:tmpl w:val="5F32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A73B2D"/>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D61563"/>
    <w:multiLevelType w:val="hybridMultilevel"/>
    <w:tmpl w:val="36B2B94A"/>
    <w:lvl w:ilvl="0" w:tplc="B71AE1A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412812"/>
    <w:multiLevelType w:val="hybridMultilevel"/>
    <w:tmpl w:val="CE26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6472D8"/>
    <w:multiLevelType w:val="hybridMultilevel"/>
    <w:tmpl w:val="B426B2F2"/>
    <w:lvl w:ilvl="0" w:tplc="F894E5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nsid w:val="6AE93F4B"/>
    <w:multiLevelType w:val="hybridMultilevel"/>
    <w:tmpl w:val="B5202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31">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749D7DBF"/>
    <w:multiLevelType w:val="hybridMultilevel"/>
    <w:tmpl w:val="27960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D1C5D96"/>
    <w:multiLevelType w:val="hybridMultilevel"/>
    <w:tmpl w:val="3162F724"/>
    <w:lvl w:ilvl="0" w:tplc="08090001">
      <w:start w:val="1"/>
      <w:numFmt w:val="bullet"/>
      <w:lvlText w:val=""/>
      <w:lvlJc w:val="left"/>
      <w:pPr>
        <w:ind w:left="720" w:hanging="360"/>
      </w:pPr>
      <w:rPr>
        <w:rFonts w:ascii="Symbol" w:hAnsi="Symbol" w:hint="default"/>
        <w:i w:val="0"/>
      </w:rPr>
    </w:lvl>
    <w:lvl w:ilvl="1" w:tplc="406CD8B4">
      <w:start w:val="1"/>
      <w:numFmt w:val="lowerLetter"/>
      <w:lvlText w:val="%2)"/>
      <w:lvlJc w:val="left"/>
      <w:pPr>
        <w:ind w:left="1440" w:hanging="360"/>
      </w:pPr>
      <w:rPr>
        <w:rFonts w:hint="default"/>
      </w:rPr>
    </w:lvl>
    <w:lvl w:ilvl="2" w:tplc="F4C26AF4">
      <w:numFmt w:val="bullet"/>
      <w:lvlText w:val="-"/>
      <w:lvlJc w:val="left"/>
      <w:pPr>
        <w:ind w:left="2340" w:hanging="360"/>
      </w:pPr>
      <w:rPr>
        <w:rFonts w:ascii="EC Square Sans Pro" w:eastAsiaTheme="minorHAnsi" w:hAnsi="EC Square Sans Pro"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6"/>
  </w:num>
  <w:num w:numId="3">
    <w:abstractNumId w:val="6"/>
  </w:num>
  <w:num w:numId="4">
    <w:abstractNumId w:val="19"/>
  </w:num>
  <w:num w:numId="5">
    <w:abstractNumId w:val="23"/>
  </w:num>
  <w:num w:numId="6">
    <w:abstractNumId w:val="14"/>
  </w:num>
  <w:num w:numId="7">
    <w:abstractNumId w:val="1"/>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7"/>
  </w:num>
  <w:num w:numId="17">
    <w:abstractNumId w:val="28"/>
  </w:num>
  <w:num w:numId="18">
    <w:abstractNumId w:val="3"/>
  </w:num>
  <w:num w:numId="19">
    <w:abstractNumId w:val="18"/>
  </w:num>
  <w:num w:numId="20">
    <w:abstractNumId w:val="33"/>
  </w:num>
  <w:num w:numId="21">
    <w:abstractNumId w:val="7"/>
  </w:num>
  <w:num w:numId="22">
    <w:abstractNumId w:val="0"/>
  </w:num>
  <w:num w:numId="23">
    <w:abstractNumId w:val="31"/>
  </w:num>
  <w:num w:numId="24">
    <w:abstractNumId w:val="15"/>
  </w:num>
  <w:num w:numId="25">
    <w:abstractNumId w:val="34"/>
  </w:num>
  <w:num w:numId="26">
    <w:abstractNumId w:val="11"/>
  </w:num>
  <w:num w:numId="27">
    <w:abstractNumId w:val="13"/>
  </w:num>
  <w:num w:numId="28">
    <w:abstractNumId w:val="22"/>
  </w:num>
  <w:num w:numId="29">
    <w:abstractNumId w:val="17"/>
  </w:num>
  <w:num w:numId="30">
    <w:abstractNumId w:val="25"/>
  </w:num>
  <w:num w:numId="31">
    <w:abstractNumId w:val="26"/>
  </w:num>
  <w:num w:numId="32">
    <w:abstractNumId w:val="2"/>
  </w:num>
  <w:num w:numId="33">
    <w:abstractNumId w:val="21"/>
  </w:num>
  <w:num w:numId="34">
    <w:abstractNumId w:val="10"/>
  </w:num>
  <w:num w:numId="35">
    <w:abstractNumId w:val="24"/>
  </w:num>
  <w:num w:numId="36">
    <w:abstractNumId w:val="35"/>
  </w:num>
  <w:num w:numId="37">
    <w:abstractNumId w:val="9"/>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7727D97445CB4249A8B7F9FE68F42F3D"/>
    <w:docVar w:name="LW_CROSSREFERENCE" w:val="{SWD(2017) 200 final}_x000b_{SWD(2017) 201 final}_x000b_{SWD(2017) 206 final}"/>
    <w:docVar w:name="LW_DocType" w:val="NORMAL"/>
    <w:docVar w:name="LW_EMISSION" w:val="26.4.2017"/>
    <w:docVar w:name="LW_EMISSION_ISODATE" w:val="2017-04-2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50"/>
    <w:docVar w:name="LW_REF.INTERNE" w:val="&lt;UNUSED&gt;"/>
    <w:docVar w:name="LW_SOUS.TITRE.OBJ" w:val="'People first'"/>
    <w:docVar w:name="LW_SOUS.TITRE.OBJ.CP" w:val="&lt;UNUSED&gt;"/>
    <w:docVar w:name="LW_SUPERTITRE" w:val="&lt;UNUSED&gt;"/>
    <w:docVar w:name="LW_TITRE.OBJ.CP" w:val="Privind instituirea unui Pilon european al drepturilor sociale"/>
    <w:docVar w:name="LW_TYPE.DOC.CP" w:val="COMUNICARE A COMISIEI C\u258?TRE PARLAMENTUL EUROPEAN, CONSILIU, COMITETUL ECONOMIC \u536?I SOCIAL EUROPEAN \u536?I COMITETUL REGIUNILOR"/>
    <w:docVar w:name="LW_TYPE.DOC.CP.USERTEXT" w:val="&lt;EMPTY&gt;"/>
  </w:docVars>
  <w:rsids>
    <w:rsidRoot w:val="00291C10"/>
    <w:rsid w:val="00070C4D"/>
    <w:rsid w:val="00291C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uiPriority w:val="99"/>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uiPriority w:val="99"/>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9334">
      <w:bodyDiv w:val="1"/>
      <w:marLeft w:val="0"/>
      <w:marRight w:val="0"/>
      <w:marTop w:val="0"/>
      <w:marBottom w:val="0"/>
      <w:divBdr>
        <w:top w:val="none" w:sz="0" w:space="0" w:color="auto"/>
        <w:left w:val="none" w:sz="0" w:space="0" w:color="auto"/>
        <w:bottom w:val="none" w:sz="0" w:space="0" w:color="auto"/>
        <w:right w:val="none" w:sz="0" w:space="0" w:color="auto"/>
      </w:divBdr>
    </w:div>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25882670">
      <w:bodyDiv w:val="1"/>
      <w:marLeft w:val="0"/>
      <w:marRight w:val="0"/>
      <w:marTop w:val="0"/>
      <w:marBottom w:val="0"/>
      <w:divBdr>
        <w:top w:val="none" w:sz="0" w:space="0" w:color="auto"/>
        <w:left w:val="none" w:sz="0" w:space="0" w:color="auto"/>
        <w:bottom w:val="none" w:sz="0" w:space="0" w:color="auto"/>
        <w:right w:val="none" w:sz="0" w:space="0" w:color="auto"/>
      </w:divBdr>
      <w:divsChild>
        <w:div w:id="405106129">
          <w:marLeft w:val="0"/>
          <w:marRight w:val="0"/>
          <w:marTop w:val="0"/>
          <w:marBottom w:val="0"/>
          <w:divBdr>
            <w:top w:val="single" w:sz="6" w:space="0" w:color="FFFFFF"/>
            <w:left w:val="single" w:sz="6" w:space="0" w:color="FFFFFF"/>
            <w:bottom w:val="single" w:sz="6" w:space="0" w:color="FFFFFF"/>
            <w:right w:val="single" w:sz="6" w:space="0" w:color="FFFFFF"/>
          </w:divBdr>
          <w:divsChild>
            <w:div w:id="1843205609">
              <w:marLeft w:val="0"/>
              <w:marRight w:val="0"/>
              <w:marTop w:val="0"/>
              <w:marBottom w:val="0"/>
              <w:divBdr>
                <w:top w:val="none" w:sz="0" w:space="0" w:color="auto"/>
                <w:left w:val="none" w:sz="0" w:space="0" w:color="auto"/>
                <w:bottom w:val="none" w:sz="0" w:space="0" w:color="auto"/>
                <w:right w:val="none" w:sz="0" w:space="0" w:color="auto"/>
              </w:divBdr>
              <w:divsChild>
                <w:div w:id="592472224">
                  <w:marLeft w:val="0"/>
                  <w:marRight w:val="0"/>
                  <w:marTop w:val="0"/>
                  <w:marBottom w:val="0"/>
                  <w:divBdr>
                    <w:top w:val="none" w:sz="0" w:space="0" w:color="auto"/>
                    <w:left w:val="none" w:sz="0" w:space="0" w:color="auto"/>
                    <w:bottom w:val="none" w:sz="0" w:space="0" w:color="auto"/>
                    <w:right w:val="none" w:sz="0" w:space="0" w:color="auto"/>
                  </w:divBdr>
                  <w:divsChild>
                    <w:div w:id="2024093400">
                      <w:marLeft w:val="0"/>
                      <w:marRight w:val="0"/>
                      <w:marTop w:val="0"/>
                      <w:marBottom w:val="0"/>
                      <w:divBdr>
                        <w:top w:val="none" w:sz="0" w:space="0" w:color="auto"/>
                        <w:left w:val="none" w:sz="0" w:space="0" w:color="auto"/>
                        <w:bottom w:val="none" w:sz="0" w:space="0" w:color="auto"/>
                        <w:right w:val="none" w:sz="0" w:space="0" w:color="auto"/>
                      </w:divBdr>
                      <w:divsChild>
                        <w:div w:id="636683911">
                          <w:marLeft w:val="0"/>
                          <w:marRight w:val="0"/>
                          <w:marTop w:val="0"/>
                          <w:marBottom w:val="0"/>
                          <w:divBdr>
                            <w:top w:val="none" w:sz="0" w:space="0" w:color="auto"/>
                            <w:left w:val="none" w:sz="0" w:space="0" w:color="auto"/>
                            <w:bottom w:val="none" w:sz="0" w:space="0" w:color="auto"/>
                            <w:right w:val="none" w:sz="0" w:space="0" w:color="auto"/>
                          </w:divBdr>
                          <w:divsChild>
                            <w:div w:id="1187408140">
                              <w:marLeft w:val="0"/>
                              <w:marRight w:val="0"/>
                              <w:marTop w:val="0"/>
                              <w:marBottom w:val="0"/>
                              <w:divBdr>
                                <w:top w:val="none" w:sz="0" w:space="0" w:color="auto"/>
                                <w:left w:val="none" w:sz="0" w:space="0" w:color="auto"/>
                                <w:bottom w:val="none" w:sz="0" w:space="0" w:color="auto"/>
                                <w:right w:val="none" w:sz="0" w:space="0" w:color="auto"/>
                              </w:divBdr>
                              <w:divsChild>
                                <w:div w:id="1676616948">
                                  <w:marLeft w:val="0"/>
                                  <w:marRight w:val="0"/>
                                  <w:marTop w:val="0"/>
                                  <w:marBottom w:val="0"/>
                                  <w:divBdr>
                                    <w:top w:val="none" w:sz="0" w:space="0" w:color="auto"/>
                                    <w:left w:val="none" w:sz="0" w:space="0" w:color="auto"/>
                                    <w:bottom w:val="none" w:sz="0" w:space="0" w:color="auto"/>
                                    <w:right w:val="none" w:sz="0" w:space="0" w:color="auto"/>
                                  </w:divBdr>
                                  <w:divsChild>
                                    <w:div w:id="179587096">
                                      <w:marLeft w:val="0"/>
                                      <w:marRight w:val="0"/>
                                      <w:marTop w:val="0"/>
                                      <w:marBottom w:val="0"/>
                                      <w:divBdr>
                                        <w:top w:val="none" w:sz="0" w:space="0" w:color="auto"/>
                                        <w:left w:val="none" w:sz="0" w:space="0" w:color="auto"/>
                                        <w:bottom w:val="none" w:sz="0" w:space="0" w:color="auto"/>
                                        <w:right w:val="none" w:sz="0" w:space="0" w:color="auto"/>
                                      </w:divBdr>
                                      <w:divsChild>
                                        <w:div w:id="2218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936190">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547451001">
      <w:bodyDiv w:val="1"/>
      <w:marLeft w:val="0"/>
      <w:marRight w:val="0"/>
      <w:marTop w:val="0"/>
      <w:marBottom w:val="0"/>
      <w:divBdr>
        <w:top w:val="none" w:sz="0" w:space="0" w:color="auto"/>
        <w:left w:val="none" w:sz="0" w:space="0" w:color="auto"/>
        <w:bottom w:val="none" w:sz="0" w:space="0" w:color="auto"/>
        <w:right w:val="none" w:sz="0" w:space="0" w:color="auto"/>
      </w:divBdr>
    </w:div>
    <w:div w:id="549267685">
      <w:bodyDiv w:val="1"/>
      <w:marLeft w:val="0"/>
      <w:marRight w:val="0"/>
      <w:marTop w:val="0"/>
      <w:marBottom w:val="0"/>
      <w:divBdr>
        <w:top w:val="none" w:sz="0" w:space="0" w:color="auto"/>
        <w:left w:val="none" w:sz="0" w:space="0" w:color="auto"/>
        <w:bottom w:val="none" w:sz="0" w:space="0" w:color="auto"/>
        <w:right w:val="none" w:sz="0" w:space="0" w:color="auto"/>
      </w:divBdr>
      <w:divsChild>
        <w:div w:id="1458598781">
          <w:marLeft w:val="0"/>
          <w:marRight w:val="0"/>
          <w:marTop w:val="0"/>
          <w:marBottom w:val="0"/>
          <w:divBdr>
            <w:top w:val="none" w:sz="0" w:space="0" w:color="auto"/>
            <w:left w:val="none" w:sz="0" w:space="0" w:color="auto"/>
            <w:bottom w:val="none" w:sz="0" w:space="0" w:color="auto"/>
            <w:right w:val="none" w:sz="0" w:space="0" w:color="auto"/>
          </w:divBdr>
          <w:divsChild>
            <w:div w:id="1036463953">
              <w:marLeft w:val="0"/>
              <w:marRight w:val="0"/>
              <w:marTop w:val="0"/>
              <w:marBottom w:val="0"/>
              <w:divBdr>
                <w:top w:val="none" w:sz="0" w:space="0" w:color="auto"/>
                <w:left w:val="none" w:sz="0" w:space="0" w:color="auto"/>
                <w:bottom w:val="none" w:sz="0" w:space="0" w:color="auto"/>
                <w:right w:val="none" w:sz="0" w:space="0" w:color="auto"/>
              </w:divBdr>
              <w:divsChild>
                <w:div w:id="218825550">
                  <w:marLeft w:val="0"/>
                  <w:marRight w:val="0"/>
                  <w:marTop w:val="0"/>
                  <w:marBottom w:val="0"/>
                  <w:divBdr>
                    <w:top w:val="none" w:sz="0" w:space="0" w:color="auto"/>
                    <w:left w:val="none" w:sz="0" w:space="0" w:color="auto"/>
                    <w:bottom w:val="none" w:sz="0" w:space="0" w:color="auto"/>
                    <w:right w:val="none" w:sz="0" w:space="0" w:color="auto"/>
                  </w:divBdr>
                  <w:divsChild>
                    <w:div w:id="2144303099">
                      <w:marLeft w:val="1"/>
                      <w:marRight w:val="1"/>
                      <w:marTop w:val="0"/>
                      <w:marBottom w:val="0"/>
                      <w:divBdr>
                        <w:top w:val="none" w:sz="0" w:space="0" w:color="auto"/>
                        <w:left w:val="none" w:sz="0" w:space="0" w:color="auto"/>
                        <w:bottom w:val="none" w:sz="0" w:space="0" w:color="auto"/>
                        <w:right w:val="none" w:sz="0" w:space="0" w:color="auto"/>
                      </w:divBdr>
                      <w:divsChild>
                        <w:div w:id="1258439444">
                          <w:marLeft w:val="0"/>
                          <w:marRight w:val="0"/>
                          <w:marTop w:val="0"/>
                          <w:marBottom w:val="0"/>
                          <w:divBdr>
                            <w:top w:val="none" w:sz="0" w:space="0" w:color="auto"/>
                            <w:left w:val="none" w:sz="0" w:space="0" w:color="auto"/>
                            <w:bottom w:val="none" w:sz="0" w:space="0" w:color="auto"/>
                            <w:right w:val="none" w:sz="0" w:space="0" w:color="auto"/>
                          </w:divBdr>
                          <w:divsChild>
                            <w:div w:id="1862890459">
                              <w:marLeft w:val="0"/>
                              <w:marRight w:val="0"/>
                              <w:marTop w:val="0"/>
                              <w:marBottom w:val="360"/>
                              <w:divBdr>
                                <w:top w:val="none" w:sz="0" w:space="0" w:color="auto"/>
                                <w:left w:val="none" w:sz="0" w:space="0" w:color="auto"/>
                                <w:bottom w:val="none" w:sz="0" w:space="0" w:color="auto"/>
                                <w:right w:val="none" w:sz="0" w:space="0" w:color="auto"/>
                              </w:divBdr>
                              <w:divsChild>
                                <w:div w:id="921450966">
                                  <w:marLeft w:val="0"/>
                                  <w:marRight w:val="0"/>
                                  <w:marTop w:val="0"/>
                                  <w:marBottom w:val="0"/>
                                  <w:divBdr>
                                    <w:top w:val="none" w:sz="0" w:space="0" w:color="auto"/>
                                    <w:left w:val="none" w:sz="0" w:space="0" w:color="auto"/>
                                    <w:bottom w:val="none" w:sz="0" w:space="0" w:color="auto"/>
                                    <w:right w:val="none" w:sz="0" w:space="0" w:color="auto"/>
                                  </w:divBdr>
                                  <w:divsChild>
                                    <w:div w:id="1473132706">
                                      <w:marLeft w:val="0"/>
                                      <w:marRight w:val="0"/>
                                      <w:marTop w:val="0"/>
                                      <w:marBottom w:val="0"/>
                                      <w:divBdr>
                                        <w:top w:val="none" w:sz="0" w:space="0" w:color="auto"/>
                                        <w:left w:val="none" w:sz="0" w:space="0" w:color="auto"/>
                                        <w:bottom w:val="none" w:sz="0" w:space="0" w:color="auto"/>
                                        <w:right w:val="none" w:sz="0" w:space="0" w:color="auto"/>
                                      </w:divBdr>
                                      <w:divsChild>
                                        <w:div w:id="1784493005">
                                          <w:marLeft w:val="0"/>
                                          <w:marRight w:val="0"/>
                                          <w:marTop w:val="0"/>
                                          <w:marBottom w:val="0"/>
                                          <w:divBdr>
                                            <w:top w:val="none" w:sz="0" w:space="0" w:color="auto"/>
                                            <w:left w:val="none" w:sz="0" w:space="0" w:color="auto"/>
                                            <w:bottom w:val="none" w:sz="0" w:space="0" w:color="auto"/>
                                            <w:right w:val="none" w:sz="0" w:space="0" w:color="auto"/>
                                          </w:divBdr>
                                          <w:divsChild>
                                            <w:div w:id="720712170">
                                              <w:marLeft w:val="0"/>
                                              <w:marRight w:val="0"/>
                                              <w:marTop w:val="0"/>
                                              <w:marBottom w:val="0"/>
                                              <w:divBdr>
                                                <w:top w:val="none" w:sz="0" w:space="0" w:color="auto"/>
                                                <w:left w:val="none" w:sz="0" w:space="0" w:color="auto"/>
                                                <w:bottom w:val="none" w:sz="0" w:space="0" w:color="auto"/>
                                                <w:right w:val="none" w:sz="0" w:space="0" w:color="auto"/>
                                              </w:divBdr>
                                              <w:divsChild>
                                                <w:div w:id="16812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060174">
      <w:bodyDiv w:val="1"/>
      <w:marLeft w:val="0"/>
      <w:marRight w:val="0"/>
      <w:marTop w:val="0"/>
      <w:marBottom w:val="0"/>
      <w:divBdr>
        <w:top w:val="none" w:sz="0" w:space="0" w:color="auto"/>
        <w:left w:val="none" w:sz="0" w:space="0" w:color="auto"/>
        <w:bottom w:val="none" w:sz="0" w:space="0" w:color="auto"/>
        <w:right w:val="none" w:sz="0" w:space="0" w:color="auto"/>
      </w:divBdr>
    </w:div>
    <w:div w:id="871193387">
      <w:bodyDiv w:val="1"/>
      <w:marLeft w:val="0"/>
      <w:marRight w:val="0"/>
      <w:marTop w:val="0"/>
      <w:marBottom w:val="0"/>
      <w:divBdr>
        <w:top w:val="none" w:sz="0" w:space="0" w:color="auto"/>
        <w:left w:val="none" w:sz="0" w:space="0" w:color="auto"/>
        <w:bottom w:val="none" w:sz="0" w:space="0" w:color="auto"/>
        <w:right w:val="none" w:sz="0" w:space="0" w:color="auto"/>
      </w:divBdr>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69401">
      <w:bodyDiv w:val="1"/>
      <w:marLeft w:val="0"/>
      <w:marRight w:val="0"/>
      <w:marTop w:val="0"/>
      <w:marBottom w:val="0"/>
      <w:divBdr>
        <w:top w:val="none" w:sz="0" w:space="0" w:color="auto"/>
        <w:left w:val="none" w:sz="0" w:space="0" w:color="auto"/>
        <w:bottom w:val="none" w:sz="0" w:space="0" w:color="auto"/>
        <w:right w:val="none" w:sz="0" w:space="0" w:color="auto"/>
      </w:divBdr>
      <w:divsChild>
        <w:div w:id="252515544">
          <w:marLeft w:val="0"/>
          <w:marRight w:val="0"/>
          <w:marTop w:val="0"/>
          <w:marBottom w:val="0"/>
          <w:divBdr>
            <w:top w:val="single" w:sz="6" w:space="0" w:color="FFFFFF"/>
            <w:left w:val="single" w:sz="6" w:space="0" w:color="FFFFFF"/>
            <w:bottom w:val="single" w:sz="6" w:space="0" w:color="FFFFFF"/>
            <w:right w:val="single" w:sz="6" w:space="0" w:color="FFFFFF"/>
          </w:divBdr>
          <w:divsChild>
            <w:div w:id="289672347">
              <w:marLeft w:val="0"/>
              <w:marRight w:val="0"/>
              <w:marTop w:val="0"/>
              <w:marBottom w:val="0"/>
              <w:divBdr>
                <w:top w:val="none" w:sz="0" w:space="0" w:color="auto"/>
                <w:left w:val="none" w:sz="0" w:space="0" w:color="auto"/>
                <w:bottom w:val="none" w:sz="0" w:space="0" w:color="auto"/>
                <w:right w:val="none" w:sz="0" w:space="0" w:color="auto"/>
              </w:divBdr>
              <w:divsChild>
                <w:div w:id="821506739">
                  <w:marLeft w:val="0"/>
                  <w:marRight w:val="0"/>
                  <w:marTop w:val="0"/>
                  <w:marBottom w:val="0"/>
                  <w:divBdr>
                    <w:top w:val="none" w:sz="0" w:space="0" w:color="auto"/>
                    <w:left w:val="none" w:sz="0" w:space="0" w:color="auto"/>
                    <w:bottom w:val="none" w:sz="0" w:space="0" w:color="auto"/>
                    <w:right w:val="none" w:sz="0" w:space="0" w:color="auto"/>
                  </w:divBdr>
                  <w:divsChild>
                    <w:div w:id="705640737">
                      <w:marLeft w:val="0"/>
                      <w:marRight w:val="0"/>
                      <w:marTop w:val="0"/>
                      <w:marBottom w:val="0"/>
                      <w:divBdr>
                        <w:top w:val="none" w:sz="0" w:space="0" w:color="auto"/>
                        <w:left w:val="none" w:sz="0" w:space="0" w:color="auto"/>
                        <w:bottom w:val="none" w:sz="0" w:space="0" w:color="auto"/>
                        <w:right w:val="none" w:sz="0" w:space="0" w:color="auto"/>
                      </w:divBdr>
                      <w:divsChild>
                        <w:div w:id="1812744935">
                          <w:marLeft w:val="0"/>
                          <w:marRight w:val="0"/>
                          <w:marTop w:val="0"/>
                          <w:marBottom w:val="0"/>
                          <w:divBdr>
                            <w:top w:val="none" w:sz="0" w:space="0" w:color="auto"/>
                            <w:left w:val="none" w:sz="0" w:space="0" w:color="auto"/>
                            <w:bottom w:val="none" w:sz="0" w:space="0" w:color="auto"/>
                            <w:right w:val="none" w:sz="0" w:space="0" w:color="auto"/>
                          </w:divBdr>
                          <w:divsChild>
                            <w:div w:id="1637102732">
                              <w:marLeft w:val="0"/>
                              <w:marRight w:val="0"/>
                              <w:marTop w:val="0"/>
                              <w:marBottom w:val="0"/>
                              <w:divBdr>
                                <w:top w:val="none" w:sz="0" w:space="0" w:color="auto"/>
                                <w:left w:val="none" w:sz="0" w:space="0" w:color="auto"/>
                                <w:bottom w:val="none" w:sz="0" w:space="0" w:color="auto"/>
                                <w:right w:val="none" w:sz="0" w:space="0" w:color="auto"/>
                              </w:divBdr>
                              <w:divsChild>
                                <w:div w:id="1122110721">
                                  <w:marLeft w:val="0"/>
                                  <w:marRight w:val="0"/>
                                  <w:marTop w:val="0"/>
                                  <w:marBottom w:val="0"/>
                                  <w:divBdr>
                                    <w:top w:val="none" w:sz="0" w:space="0" w:color="auto"/>
                                    <w:left w:val="none" w:sz="0" w:space="0" w:color="auto"/>
                                    <w:bottom w:val="none" w:sz="0" w:space="0" w:color="auto"/>
                                    <w:right w:val="none" w:sz="0" w:space="0" w:color="auto"/>
                                  </w:divBdr>
                                  <w:divsChild>
                                    <w:div w:id="854417706">
                                      <w:marLeft w:val="0"/>
                                      <w:marRight w:val="0"/>
                                      <w:marTop w:val="0"/>
                                      <w:marBottom w:val="0"/>
                                      <w:divBdr>
                                        <w:top w:val="none" w:sz="0" w:space="0" w:color="auto"/>
                                        <w:left w:val="none" w:sz="0" w:space="0" w:color="auto"/>
                                        <w:bottom w:val="none" w:sz="0" w:space="0" w:color="auto"/>
                                        <w:right w:val="none" w:sz="0" w:space="0" w:color="auto"/>
                                      </w:divBdr>
                                    </w:div>
                                    <w:div w:id="2033259002">
                                      <w:marLeft w:val="0"/>
                                      <w:marRight w:val="0"/>
                                      <w:marTop w:val="0"/>
                                      <w:marBottom w:val="0"/>
                                      <w:divBdr>
                                        <w:top w:val="none" w:sz="0" w:space="0" w:color="auto"/>
                                        <w:left w:val="none" w:sz="0" w:space="0" w:color="auto"/>
                                        <w:bottom w:val="none" w:sz="0" w:space="0" w:color="auto"/>
                                        <w:right w:val="none" w:sz="0" w:space="0" w:color="auto"/>
                                      </w:divBdr>
                                      <w:divsChild>
                                        <w:div w:id="8486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318070697">
      <w:bodyDiv w:val="1"/>
      <w:marLeft w:val="0"/>
      <w:marRight w:val="0"/>
      <w:marTop w:val="0"/>
      <w:marBottom w:val="0"/>
      <w:divBdr>
        <w:top w:val="none" w:sz="0" w:space="0" w:color="auto"/>
        <w:left w:val="none" w:sz="0" w:space="0" w:color="auto"/>
        <w:bottom w:val="none" w:sz="0" w:space="0" w:color="auto"/>
        <w:right w:val="none" w:sz="0" w:space="0" w:color="auto"/>
      </w:divBdr>
    </w:div>
    <w:div w:id="1416777950">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526746433">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26980">
      <w:bodyDiv w:val="1"/>
      <w:marLeft w:val="0"/>
      <w:marRight w:val="0"/>
      <w:marTop w:val="0"/>
      <w:marBottom w:val="0"/>
      <w:divBdr>
        <w:top w:val="none" w:sz="0" w:space="0" w:color="auto"/>
        <w:left w:val="none" w:sz="0" w:space="0" w:color="auto"/>
        <w:bottom w:val="none" w:sz="0" w:space="0" w:color="auto"/>
        <w:right w:val="none" w:sz="0" w:space="0" w:color="auto"/>
      </w:divBdr>
    </w:div>
    <w:div w:id="1796370735">
      <w:bodyDiv w:val="1"/>
      <w:marLeft w:val="0"/>
      <w:marRight w:val="0"/>
      <w:marTop w:val="0"/>
      <w:marBottom w:val="0"/>
      <w:divBdr>
        <w:top w:val="none" w:sz="0" w:space="0" w:color="auto"/>
        <w:left w:val="none" w:sz="0" w:space="0" w:color="auto"/>
        <w:bottom w:val="none" w:sz="0" w:space="0" w:color="auto"/>
        <w:right w:val="none" w:sz="0" w:space="0" w:color="auto"/>
      </w:divBdr>
    </w:div>
    <w:div w:id="1854371435">
      <w:bodyDiv w:val="1"/>
      <w:marLeft w:val="0"/>
      <w:marRight w:val="0"/>
      <w:marTop w:val="0"/>
      <w:marBottom w:val="0"/>
      <w:divBdr>
        <w:top w:val="none" w:sz="0" w:space="0" w:color="auto"/>
        <w:left w:val="none" w:sz="0" w:space="0" w:color="auto"/>
        <w:bottom w:val="none" w:sz="0" w:space="0" w:color="auto"/>
        <w:right w:val="none" w:sz="0" w:space="0" w:color="auto"/>
      </w:divBdr>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06843010">
      <w:bodyDiv w:val="1"/>
      <w:marLeft w:val="0"/>
      <w:marRight w:val="0"/>
      <w:marTop w:val="0"/>
      <w:marBottom w:val="0"/>
      <w:divBdr>
        <w:top w:val="none" w:sz="0" w:space="0" w:color="auto"/>
        <w:left w:val="none" w:sz="0" w:space="0" w:color="auto"/>
        <w:bottom w:val="none" w:sz="0" w:space="0" w:color="auto"/>
        <w:right w:val="none" w:sz="0" w:space="0" w:color="auto"/>
      </w:divBdr>
    </w:div>
    <w:div w:id="1939175676">
      <w:bodyDiv w:val="1"/>
      <w:marLeft w:val="0"/>
      <w:marRight w:val="0"/>
      <w:marTop w:val="0"/>
      <w:marBottom w:val="0"/>
      <w:divBdr>
        <w:top w:val="none" w:sz="0" w:space="0" w:color="auto"/>
        <w:left w:val="none" w:sz="0" w:space="0" w:color="auto"/>
        <w:bottom w:val="none" w:sz="0" w:space="0" w:color="auto"/>
        <w:right w:val="none" w:sz="0" w:space="0" w:color="auto"/>
      </w:divBdr>
    </w:div>
    <w:div w:id="1960643030">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22245091">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ur-lex.europa.eu/summary/glossary/subsidiarity.html?locale=ro"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9A0C8-DA66-4DCF-9926-19C3C2246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4140</Words>
  <Characters>23865</Characters>
  <Application>Microsoft Office Word</Application>
  <DocSecurity>0</DocSecurity>
  <Lines>340</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27953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2017-04-21T08:56:00Z</dcterms:created>
  <dcterms:modified xsi:type="dcterms:W3CDTF">2017-04-26T14:56:00Z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