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9295E597A094A529EA6DAA2712E7200" style="width:450.75pt;height:379.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pBdr>
          <w:top w:val="nil"/>
          <w:left w:val="nil"/>
          <w:bottom w:val="nil"/>
          <w:right w:val="nil"/>
          <w:between w:val="nil"/>
          <w:bar w:val="nil"/>
        </w:pBdr>
        <w:spacing w:before="0" w:after="240"/>
        <w:rPr>
          <w:noProof/>
        </w:rPr>
      </w:pPr>
      <w:r>
        <w:rPr>
          <w:noProof/>
        </w:rPr>
        <w:t>Politica europeană de apărare a fost identificată ca una dintre prioritățile-cheie în orientările politice ale președintelui Juncker din iulie 2014. Acest lucru ar trebui de asemenea văzut în contextul în care, după decenii de pace și de stabilitate, Uniunea se confruntă cu un climat de instabilitate și cu noi amenințări la adresa securității. Acest mediu de securitate în schimbare a demonstrat în mod clar că numai prin eforturi comune de investiție în materie de securitate și prin cooperarea la toate nivelurile putem răspunde așteptărilor cetățenilor Uniunii și ale partenerilor noștri. Pentru ca Europa să preia mai multe responsabilități pentru apărarea sa, este esențial să se lucreze la îmbunătățirea competitivității și la stimularea inovării în întreaga industrie de apărare a Uniunii.</w:t>
      </w:r>
    </w:p>
    <w:p>
      <w:pPr>
        <w:pBdr>
          <w:top w:val="nil"/>
          <w:left w:val="nil"/>
          <w:bottom w:val="nil"/>
          <w:right w:val="nil"/>
          <w:between w:val="nil"/>
          <w:bar w:val="nil"/>
        </w:pBdr>
        <w:spacing w:before="0" w:after="240"/>
        <w:rPr>
          <w:rFonts w:eastAsia="Arial Unicode MS"/>
          <w:noProof/>
        </w:rPr>
      </w:pPr>
      <w:r>
        <w:rPr>
          <w:noProof/>
        </w:rPr>
        <w:t>Propunerea de „Program european de dezvoltare industrială în domeniul apărării” (denumit în continuare „programul”) are ca obiectiv consolidarea competitivității și a inovării în industria de apărare a Uniunii, inclusiv apărarea împotriva atacurilor cibernetice. Acest lucru ar putea fi realizat în special prin încurajarea îmbunătățirii modului în care se exploatează rezultatele cercetării în domeniul apărării, prin promovarea colaborării între întreprinderi în materie de dezvoltare de tehnologii și de produse din domeniul apărării și prin mobilizarea eforturilor statelor membre de a coopera astfel încât să se asigure că baza industrială și tehnologică de apărare europeană poate satisface pe deplin nevoile actuale și viitoare ale Europei în materie de securitate. Acest lucru ar contribui în cele din urmă la consolidarea autonomiei strategice a Uniunii Europene și a capacității acesteia de a acționa împreună cu alți parteneri.</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w:t>
      </w:r>
    </w:p>
    <w:p>
      <w:pPr>
        <w:pBdr>
          <w:top w:val="nil"/>
          <w:left w:val="nil"/>
          <w:bottom w:val="nil"/>
          <w:right w:val="nil"/>
          <w:between w:val="nil"/>
          <w:bar w:val="nil"/>
        </w:pBdr>
        <w:spacing w:before="0" w:after="240"/>
        <w:rPr>
          <w:noProof/>
        </w:rPr>
      </w:pPr>
      <w:r>
        <w:rPr>
          <w:noProof/>
        </w:rPr>
        <w:t>În noiembrie 2016, Comisia a adoptat Planul de acțiune european în domeniul apărării, care stabilește măsuri pentru a realiza o cooperare europeană mai amplă în domeniul apărării și pentru a sprijini competitivitatea industriei europene de apărare. Obiectivul Planului de acțiune european în domeniul apărării este ca baza industrială și tehnologică de apărare europeană să îndeplinească pe deplin actualele și viitoarele nevoi ale Europei în materie de securitate și de apărare. Această inițiativă a fost salutată de Consiliul European, iar Comisia a fost invitată să prezinte propuneri în prima jumătate a anului 2017.</w:t>
      </w:r>
    </w:p>
    <w:p>
      <w:pPr>
        <w:pBdr>
          <w:top w:val="nil"/>
          <w:left w:val="nil"/>
          <w:bottom w:val="nil"/>
          <w:right w:val="nil"/>
          <w:between w:val="nil"/>
          <w:bar w:val="nil"/>
        </w:pBdr>
        <w:spacing w:before="0" w:after="240"/>
        <w:rPr>
          <w:noProof/>
        </w:rPr>
      </w:pPr>
      <w:r>
        <w:rPr>
          <w:noProof/>
        </w:rPr>
        <w:t>O propunere de bază a Planului de acțiune european în domeniul apărării este crearea unui Fond european de apărare (denumit în continuare „fondul”) în vederea sprijinirii investițiilor în activități comune de cercetare și dezvoltare pentru echipamente și tehnologii de apărare. Fondul este constituit din două componente distincte, dar complementare, care ar urma să acopere întregul ciclu de dezvoltare a industriei de apărare, de la faza de cercetare și până la introducerea pe piață a produselor, și anume o componentă de cercetare și o componentă legată de capabilități.</w:t>
      </w:r>
    </w:p>
    <w:p>
      <w:pPr>
        <w:pBdr>
          <w:top w:val="nil"/>
          <w:left w:val="nil"/>
          <w:bottom w:val="nil"/>
          <w:right w:val="nil"/>
          <w:between w:val="nil"/>
          <w:bar w:val="nil"/>
        </w:pBdr>
        <w:spacing w:before="0" w:after="240"/>
        <w:rPr>
          <w:noProof/>
        </w:rPr>
      </w:pPr>
      <w:r>
        <w:rPr>
          <w:noProof/>
        </w:rPr>
        <w:t>În cadrul componentei de cercetare, Comisia instituie mecanisme pentru finanțarea directă de către Uniune a cercetării comune în domeniul apărării, în special prin acțiunea pregătitoare lansată recent.</w:t>
      </w:r>
    </w:p>
    <w:p>
      <w:pPr>
        <w:pBdr>
          <w:top w:val="nil"/>
          <w:left w:val="nil"/>
          <w:bottom w:val="nil"/>
          <w:right w:val="nil"/>
          <w:between w:val="nil"/>
          <w:bar w:val="nil"/>
        </w:pBdr>
        <w:spacing w:before="0" w:after="240"/>
        <w:rPr>
          <w:noProof/>
        </w:rPr>
      </w:pPr>
      <w:r>
        <w:rPr>
          <w:noProof/>
        </w:rPr>
        <w:t xml:space="preserve">Propunerea de program va completa inițiativele de finanțare a cercetării comune în domeniul apărării și va asigura faptul că rezultatele cercetării în acest domeniu sunt dezvoltate în continuare, contribuind astfel la capacitatea de inovație și la competitivitatea industriei europene de apărare. </w:t>
      </w:r>
    </w:p>
    <w:p>
      <w:pPr>
        <w:pStyle w:val="ManualHeading2"/>
        <w:rPr>
          <w:rFonts w:eastAsia="Arial Unicode MS"/>
          <w:noProof/>
        </w:rPr>
      </w:pPr>
      <w:r>
        <w:rPr>
          <w:noProof/>
          <w:color w:val="000000"/>
          <w:u w:color="000000"/>
          <w:bdr w:val="nil"/>
        </w:rPr>
        <w:lastRenderedPageBreak/>
        <w:t>•</w:t>
      </w:r>
      <w:r>
        <w:rPr>
          <w:noProof/>
        </w:rPr>
        <w:tab/>
        <w:t>Coerența cu alte politici ale Uniunii</w:t>
      </w:r>
    </w:p>
    <w:p>
      <w:pPr>
        <w:pBdr>
          <w:top w:val="nil"/>
          <w:left w:val="nil"/>
          <w:bottom w:val="nil"/>
          <w:right w:val="nil"/>
          <w:between w:val="nil"/>
          <w:bar w:val="nil"/>
        </w:pBdr>
        <w:spacing w:before="0" w:after="240"/>
        <w:rPr>
          <w:noProof/>
        </w:rPr>
      </w:pPr>
      <w:r>
        <w:rPr>
          <w:noProof/>
        </w:rPr>
        <w:t>Planul de acțiune european în domeniul apărării și, prin urmare, programul sunt pe deplin compatibile cu inițiativele adoptate la nivelul Uniunii în cadrul politicii externe și de securitate comune. În special, el este în conformitate cu „Planul de punere în aplicare privind securitatea și apărarea” din cadrul strategiei globale pentru 2016, care oferă baza pentru un nou nivel de ambiție al Uniunii aprobat de către Consiliul European</w:t>
      </w:r>
      <w:r>
        <w:rPr>
          <w:rStyle w:val="FootnoteReference"/>
          <w:noProof/>
        </w:rPr>
        <w:footnoteReference w:id="1"/>
      </w:r>
      <w:r>
        <w:rPr>
          <w:noProof/>
        </w:rPr>
        <w:t>, împreună cu acțiunile pentru a-l duce la îndeplinire. Programul este, de asemenea, legat de „Declarația comună UE</w:t>
      </w:r>
      <w:r>
        <w:rPr>
          <w:noProof/>
        </w:rPr>
        <w:noBreakHyphen/>
        <w:t xml:space="preserve">NATO” din iulie 2016, semnată de președintele Consiliului European, de președintele Comisiei și de Secretarul General al NATO. Comisia se va asigura că alte politici de securitate, cum ar fi Strategia de securitate cibernetică, sunt în concordanță cu programul. </w:t>
      </w:r>
    </w:p>
    <w:p>
      <w:pPr>
        <w:pBdr>
          <w:top w:val="nil"/>
          <w:left w:val="nil"/>
          <w:bottom w:val="nil"/>
          <w:right w:val="nil"/>
          <w:between w:val="nil"/>
          <w:bar w:val="nil"/>
        </w:pBdr>
        <w:spacing w:before="0" w:after="240"/>
        <w:rPr>
          <w:noProof/>
        </w:rPr>
      </w:pPr>
      <w:r>
        <w:rPr>
          <w:noProof/>
        </w:rPr>
        <w:t>Programul propus încurajează colaborarea între întreprinderi în ceea ce privește dezvoltarea de produse și de tehnologii, ținând seama de prioritățile în materie de capabilități stabilite de comun acord de către statele membre în cadrul Uniunii prin Planul de dezvoltare a capabilităților Uniunii. Astfel, programul va consolida interesele Uniunii în materie de securitate și de apărare.</w:t>
      </w:r>
    </w:p>
    <w:p>
      <w:pPr>
        <w:pBdr>
          <w:top w:val="nil"/>
          <w:left w:val="nil"/>
          <w:bottom w:val="nil"/>
          <w:right w:val="nil"/>
          <w:between w:val="nil"/>
          <w:bar w:val="nil"/>
        </w:pBdr>
        <w:spacing w:before="0" w:after="240"/>
        <w:rPr>
          <w:rFonts w:eastAsia="Arial Unicode MS"/>
          <w:noProof/>
        </w:rPr>
      </w:pPr>
      <w:r>
        <w:rPr>
          <w:noProof/>
        </w:rPr>
        <w:t>Programul propus ține seama, de asemenea, de faptul că anumite acțiuni ar putea avea loc în contextul cooperării structurate permanente. Prin faptul că permite rate de cofinanțare mai mari pentru astfel de acțiuni, programul va stimula participarea în acest cadru european mai avansat pentru cooperarea în domeniul apărării.</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rPr>
        <w:t>•</w:t>
      </w:r>
      <w:r>
        <w:rPr>
          <w:noProof/>
        </w:rPr>
        <w:tab/>
        <w:t>Temeiul juridic</w:t>
      </w:r>
    </w:p>
    <w:p>
      <w:pPr>
        <w:pBdr>
          <w:top w:val="nil"/>
          <w:left w:val="nil"/>
          <w:bottom w:val="nil"/>
          <w:right w:val="nil"/>
          <w:between w:val="nil"/>
          <w:bar w:val="nil"/>
        </w:pBdr>
        <w:spacing w:before="0" w:after="240"/>
        <w:rPr>
          <w:rFonts w:eastAsia="Arial Unicode MS"/>
          <w:noProof/>
        </w:rPr>
      </w:pPr>
      <w:r>
        <w:rPr>
          <w:noProof/>
        </w:rPr>
        <w:t>Proiectul de regulament propune măsuri privind industria de apărare a Uniunii. Articolul 173 din Tratatul privind funcționarea Uniunii Europene constituie temeiul juridic al prezentei propuneri. Acest lucru este în concordanță cu obiectivul proiectului de regulament, care este de a spori competitivitatea industriei de apărare din Uniune prin favorizarea unei mai bune exploatări a potențialului industrial al inovării și dezvoltării tehnologice prin intermediul cooperării între întreprinderile din statele membre.</w:t>
      </w:r>
    </w:p>
    <w:p>
      <w:pPr>
        <w:pStyle w:val="ManualHeading2"/>
        <w:rPr>
          <w:rFonts w:eastAsia="Arial Unicode MS"/>
          <w:noProof/>
          <w:u w:color="000000"/>
          <w:bdr w:val="nil"/>
        </w:rPr>
      </w:pPr>
      <w:r>
        <w:rPr>
          <w:noProof/>
        </w:rPr>
        <w:t>•</w:t>
      </w:r>
      <w:r>
        <w:rPr>
          <w:noProof/>
        </w:rPr>
        <w:tab/>
        <w:t>Subsidiaritate</w:t>
      </w:r>
    </w:p>
    <w:p>
      <w:pPr>
        <w:pBdr>
          <w:top w:val="nil"/>
          <w:left w:val="nil"/>
          <w:bottom w:val="nil"/>
          <w:right w:val="nil"/>
          <w:between w:val="nil"/>
          <w:bar w:val="nil"/>
        </w:pBdr>
        <w:spacing w:before="0" w:after="240"/>
        <w:rPr>
          <w:noProof/>
        </w:rPr>
      </w:pPr>
      <w:r>
        <w:rPr>
          <w:noProof/>
        </w:rPr>
        <w:t xml:space="preserve">Favorizarea unei exploatări mai bune a rezultatelor cercetării în materie de apărare, ale inovării și ale dezvoltării tehnologice prin stimularea cooperării între întreprinderile stabilite în diferite state membre este o acțiune care se caracterizează în mod inerent prin natura sa transnațională. Aceasta afectează mai multe state membre în același timp și, în acest sens, nu poate fi abordată într-un mod pe deplin satisfăcător de către statele membre în mod individual. </w:t>
      </w:r>
    </w:p>
    <w:p>
      <w:pPr>
        <w:pBdr>
          <w:top w:val="nil"/>
          <w:left w:val="nil"/>
          <w:bottom w:val="nil"/>
          <w:right w:val="nil"/>
          <w:between w:val="nil"/>
          <w:bar w:val="nil"/>
        </w:pBdr>
        <w:spacing w:before="0" w:after="240"/>
        <w:rPr>
          <w:noProof/>
        </w:rPr>
      </w:pPr>
      <w:r>
        <w:rPr>
          <w:noProof/>
        </w:rPr>
        <w:t xml:space="preserve">Astfel, provocările cu care se confruntă în prezent industria de apărare a Uniunii cu privire la acest aspect subliniază în mod clar nevoia unor acțiuni coordonate. Sectorul european al apărării suferă din cauza unui nivel scăzut al investițiilor și este caracterizat de fragmentare de-a lungul frontierelor naționale, ceea ce a condus la suprapuneri persistente. În plus, o examinare a industriilor de apărare disponibile în Uniune arată că există deficiențe din ce în ce mai mari, tehnologii învechite și o lipsă de programe noi, în special de programe de colaborare. </w:t>
      </w:r>
    </w:p>
    <w:p>
      <w:pPr>
        <w:pBdr>
          <w:top w:val="nil"/>
          <w:left w:val="nil"/>
          <w:bottom w:val="nil"/>
          <w:right w:val="nil"/>
          <w:between w:val="nil"/>
          <w:bar w:val="nil"/>
        </w:pBdr>
        <w:spacing w:before="0" w:after="240"/>
        <w:rPr>
          <w:noProof/>
        </w:rPr>
      </w:pPr>
      <w:r>
        <w:rPr>
          <w:noProof/>
        </w:rPr>
        <w:t>Cooperarea transfrontalieră poate ajuta la o mai bună identificare a efectelor de scară prin reducerea suprapunerilor și prin permiterea dezvoltării de produse și de tehnologii necesare. Cu toate acestea, cooperarea este în continuare prea limitată și prevalența politicilor naționale necoordonate ale statelor membre în acest domeniu</w:t>
      </w:r>
      <w:r>
        <w:rPr>
          <w:rStyle w:val="FootnoteReference"/>
          <w:noProof/>
        </w:rPr>
        <w:footnoteReference w:id="2"/>
      </w:r>
      <w:r>
        <w:rPr>
          <w:noProof/>
        </w:rPr>
        <w:t xml:space="preserve"> are un impact negativ asupra competitivității și a capacității de inovare a industriei de apărare din Uniune.</w:t>
      </w:r>
    </w:p>
    <w:p>
      <w:pPr>
        <w:pBdr>
          <w:top w:val="nil"/>
          <w:left w:val="nil"/>
          <w:bottom w:val="nil"/>
          <w:right w:val="nil"/>
          <w:between w:val="nil"/>
          <w:bar w:val="nil"/>
        </w:pBdr>
        <w:spacing w:before="0" w:after="240"/>
        <w:rPr>
          <w:rFonts w:eastAsia="Arial Unicode MS"/>
          <w:noProof/>
        </w:rPr>
      </w:pPr>
      <w:r>
        <w:rPr>
          <w:noProof/>
        </w:rPr>
        <w:t>Acțiunea la nivelul Uniunii va aduce valoare adăugată prin stimularea în continuare a cooperării în materie de apărare industrială, utilizând stimulente pozitive și sprijinind în faza de dezvoltare proiectele care nu pot fi realizate cu succes la nivel pur național din cauza costurilor și a riscurilor asociate.</w:t>
      </w:r>
    </w:p>
    <w:p>
      <w:pPr>
        <w:pStyle w:val="ManualHeading2"/>
        <w:rPr>
          <w:rFonts w:eastAsia="Arial Unicode MS"/>
          <w:noProof/>
          <w:u w:color="000000"/>
          <w:bdr w:val="nil"/>
        </w:rPr>
      </w:pPr>
      <w:r>
        <w:rPr>
          <w:noProof/>
        </w:rPr>
        <w:t>•</w:t>
      </w:r>
      <w:r>
        <w:rPr>
          <w:noProof/>
        </w:rPr>
        <w:tab/>
        <w:t>Proporționalitatea</w:t>
      </w:r>
    </w:p>
    <w:p>
      <w:pPr>
        <w:pBdr>
          <w:top w:val="nil"/>
          <w:left w:val="nil"/>
          <w:bottom w:val="nil"/>
          <w:right w:val="nil"/>
          <w:between w:val="nil"/>
          <w:bar w:val="nil"/>
        </w:pBdr>
        <w:spacing w:before="0" w:after="240"/>
        <w:rPr>
          <w:noProof/>
        </w:rPr>
      </w:pPr>
      <w:r>
        <w:rPr>
          <w:noProof/>
        </w:rPr>
        <w:t>Propunerea respectă principiul proporționalității din următoarele motive:</w:t>
      </w:r>
    </w:p>
    <w:p>
      <w:pPr>
        <w:pBdr>
          <w:top w:val="nil"/>
          <w:left w:val="nil"/>
          <w:bottom w:val="nil"/>
          <w:right w:val="nil"/>
          <w:between w:val="nil"/>
          <w:bar w:val="nil"/>
        </w:pBdr>
        <w:spacing w:before="0" w:after="240"/>
        <w:rPr>
          <w:noProof/>
        </w:rPr>
      </w:pPr>
      <w:r>
        <w:rPr>
          <w:noProof/>
        </w:rPr>
        <w:t xml:space="preserve">Proporționalitatea intervenției Uniunii este asigurată prin concentrarea asupra domeniului cu cel mai mare impact asupra competitivității sectorului, și anume asigurarea de sprijin financiar pentru acțiuni în faza de elaborare. Având în vedere faptul că faza de dezvoltare pare să fie una dintre fazele cele mai riscante și, prin urmare, unul dintre cele mai importante blocaje în lanțul de progrese tehnologice din cadrul unui proiect, Uniunea va contribui parțial la costurile de dezvoltare a produselor și tehnologiilor din domeniul apărării cu scopul de a debloca proiecte de cooperare în materie de dezvoltare. </w:t>
      </w:r>
    </w:p>
    <w:p>
      <w:pPr>
        <w:pBdr>
          <w:top w:val="nil"/>
          <w:left w:val="nil"/>
          <w:bottom w:val="nil"/>
          <w:right w:val="nil"/>
          <w:between w:val="nil"/>
          <w:bar w:val="nil"/>
        </w:pBdr>
        <w:spacing w:before="0" w:after="240"/>
        <w:rPr>
          <w:noProof/>
        </w:rPr>
      </w:pPr>
      <w:r>
        <w:rPr>
          <w:noProof/>
        </w:rPr>
        <w:t>În plus, numai acțiunile referitoare la întreprinderi stabilite în state membre diferite reprezintă cazuri eligibile pentru sprijin financiar, deoarece acestea au o valoare evidentă prin promovarea cooperării dincolo de frontierele naționale.</w:t>
      </w:r>
    </w:p>
    <w:p>
      <w:pPr>
        <w:pBdr>
          <w:top w:val="nil"/>
          <w:left w:val="nil"/>
          <w:bottom w:val="nil"/>
          <w:right w:val="nil"/>
          <w:between w:val="nil"/>
          <w:bar w:val="nil"/>
        </w:pBdr>
        <w:spacing w:before="0" w:after="240"/>
        <w:rPr>
          <w:rFonts w:eastAsia="Arial Unicode MS"/>
          <w:noProof/>
        </w:rPr>
      </w:pPr>
      <w:r>
        <w:rPr>
          <w:noProof/>
        </w:rPr>
        <w:t>În același timp, intervenția Uniunii nu aduce atingere și nici nu prejudiciază în vreun fel sprijinirea acțiunilor întreprinse la nivel național. Propunerea doar oferă stimulente suplimentare pentru a realiza cea mai dificilă fază a unora dintre aceste acțiuni, oferind sprijin din partea Uniunii acolo unde este cel mai necesar.</w:t>
      </w: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rFonts w:eastAsia="Arial Unicode MS"/>
          <w:noProof/>
        </w:rPr>
      </w:pPr>
      <w:r>
        <w:rPr>
          <w:noProof/>
        </w:rPr>
        <w:t>Comisia propune un regulament pentru înființarea programului. Acesta este cel mai adecvat instrument juridic, întrucât numai un regulament, cu dispozițiile sale legale direct aplicabile, poate asigura gradul necesar de uniformitate pentru înființarea și funcționarea unui program de finanțare al Uniunii vizând sprijinirea unui sector industrial în Europa.</w:t>
      </w:r>
    </w:p>
    <w:p>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EVALUĂRII IMPACTULUI</w:t>
      </w:r>
    </w:p>
    <w:p>
      <w:pPr>
        <w:pStyle w:val="ManualHeading2"/>
        <w:rPr>
          <w:rFonts w:eastAsia="Arial Unicode MS"/>
          <w:noProof/>
          <w:u w:color="000000"/>
          <w:bdr w:val="nil"/>
        </w:rPr>
      </w:pPr>
      <w:r>
        <w:rPr>
          <w:noProof/>
        </w:rPr>
        <w:t>•</w:t>
      </w:r>
      <w:r>
        <w:rPr>
          <w:noProof/>
        </w:rPr>
        <w:tab/>
        <w:t xml:space="preserve">Evaluări </w:t>
      </w:r>
      <w:r>
        <w:rPr>
          <w:i/>
          <w:noProof/>
        </w:rPr>
        <w:t>ex post</w:t>
      </w:r>
      <w:r>
        <w:rPr>
          <w:noProof/>
        </w:rPr>
        <w:t>/verificări ale adecvării legislației existente</w:t>
      </w:r>
    </w:p>
    <w:p>
      <w:pPr>
        <w:pBdr>
          <w:top w:val="nil"/>
          <w:left w:val="nil"/>
          <w:bottom w:val="nil"/>
          <w:right w:val="nil"/>
          <w:between w:val="nil"/>
          <w:bar w:val="nil"/>
        </w:pBdr>
        <w:spacing w:before="0" w:after="240"/>
        <w:rPr>
          <w:rFonts w:eastAsia="Arial Unicode MS"/>
          <w:noProof/>
        </w:rPr>
      </w:pPr>
      <w:r>
        <w:rPr>
          <w:noProof/>
        </w:rPr>
        <w:t xml:space="preserve">Nu există nicio legislație existentă sau legată de această acțiune specifică, întrucât nu au existat, până în prezent, alte inițiative legislative ale Uniunii care să aibă scopul de a consolida competitivitatea industriei de apărare și care să vizeze în mod specific faza de dezvoltare a unei acțiuni în sectorul apărării. Prin urmare, nu există nicio evaluare </w:t>
      </w:r>
      <w:r>
        <w:rPr>
          <w:i/>
          <w:noProof/>
        </w:rPr>
        <w:t>ex post</w:t>
      </w:r>
      <w:r>
        <w:rPr>
          <w:noProof/>
        </w:rPr>
        <w:t xml:space="preserve"> sau o verificare a adecvării legislației existente care să fi avut loc pentru o astfel de inițiativă legislativă. </w:t>
      </w:r>
    </w:p>
    <w:p>
      <w:pPr>
        <w:pStyle w:val="ManualHeading2"/>
        <w:rPr>
          <w:rFonts w:eastAsia="Arial Unicode MS"/>
          <w:noProof/>
          <w:u w:color="000000"/>
          <w:bdr w:val="nil"/>
        </w:rPr>
      </w:pPr>
      <w:r>
        <w:rPr>
          <w:noProof/>
        </w:rPr>
        <w:t>•</w:t>
      </w:r>
      <w:r>
        <w:rPr>
          <w:noProof/>
        </w:rPr>
        <w:tab/>
        <w:t>Consultări cu părțile interesate</w:t>
      </w:r>
    </w:p>
    <w:p>
      <w:pPr>
        <w:pBdr>
          <w:top w:val="nil"/>
          <w:left w:val="nil"/>
          <w:bottom w:val="nil"/>
          <w:right w:val="nil"/>
          <w:between w:val="nil"/>
          <w:bar w:val="nil"/>
        </w:pBdr>
        <w:spacing w:before="0" w:after="240"/>
        <w:rPr>
          <w:rFonts w:eastAsia="Arial Unicode MS"/>
          <w:noProof/>
        </w:rPr>
      </w:pPr>
      <w:r>
        <w:rPr>
          <w:noProof/>
        </w:rPr>
        <w:t>Statele membre au fost consultate pe întreg parcursul procesului de elaborare a propunerii, prin intermediul unor reuniuni periodice. Alte părți interesate au fost consultate și informate în mod corespunzător cu privire la intenția Comisiei de a pregăti o astfel de propunere legislativă.</w:t>
      </w:r>
    </w:p>
    <w:p>
      <w:pPr>
        <w:pStyle w:val="ManualHeading2"/>
        <w:rPr>
          <w:rFonts w:eastAsia="Arial Unicode MS"/>
          <w:noProof/>
          <w:u w:color="000000"/>
          <w:bdr w:val="nil"/>
        </w:rPr>
      </w:pPr>
      <w:r>
        <w:rPr>
          <w:noProof/>
        </w:rPr>
        <w:t>•</w:t>
      </w:r>
      <w:r>
        <w:rPr>
          <w:noProof/>
        </w:rPr>
        <w:tab/>
        <w:t>Obținerea și utilizarea expertizei</w:t>
      </w:r>
    </w:p>
    <w:p>
      <w:pPr>
        <w:pBdr>
          <w:top w:val="nil"/>
          <w:left w:val="nil"/>
          <w:bottom w:val="nil"/>
          <w:right w:val="nil"/>
          <w:between w:val="nil"/>
          <w:bar w:val="nil"/>
        </w:pBdr>
        <w:spacing w:before="0" w:after="240"/>
        <w:rPr>
          <w:rFonts w:eastAsia="Arial Unicode MS"/>
          <w:noProof/>
        </w:rPr>
      </w:pPr>
      <w:r>
        <w:rPr>
          <w:noProof/>
        </w:rPr>
        <w:t>Un studiu pregătitor privind bugetul posibil al programului a fost comandat de Comisia Europeană. Studiul detaliază blocajele existente pentru stabilirea cooperării pentru programe de dezvoltare și oferă teme de reflecție care trebuie luate în calcul pentru a obține o intervenție optimă din partea Uniunii.</w:t>
      </w:r>
    </w:p>
    <w:p>
      <w:pPr>
        <w:pStyle w:val="ManualHeading2"/>
        <w:rPr>
          <w:rFonts w:eastAsia="Arial Unicode MS"/>
          <w:noProof/>
          <w:u w:color="000000"/>
          <w:bdr w:val="nil"/>
        </w:rPr>
      </w:pPr>
      <w:r>
        <w:rPr>
          <w:noProof/>
        </w:rPr>
        <w:t>•</w:t>
      </w:r>
      <w:r>
        <w:rPr>
          <w:noProof/>
        </w:rPr>
        <w:tab/>
        <w:t>Evaluarea impactului</w:t>
      </w:r>
    </w:p>
    <w:p>
      <w:pPr>
        <w:pBdr>
          <w:top w:val="nil"/>
          <w:left w:val="nil"/>
          <w:bottom w:val="nil"/>
          <w:right w:val="nil"/>
          <w:between w:val="nil"/>
          <w:bar w:val="nil"/>
        </w:pBdr>
        <w:spacing w:before="0" w:after="240"/>
        <w:rPr>
          <w:rFonts w:eastAsia="Arial Unicode MS"/>
          <w:noProof/>
        </w:rPr>
      </w:pPr>
      <w:r>
        <w:rPr>
          <w:noProof/>
        </w:rPr>
        <w:t>Propunerea se bazează pe un document de lucru al serviciilor Comisiei care oferă elementele necesare pentru a analiza obstacolele ce împiedică competitivitatea sectorului, precum și pentru a evalua impactul preconizat al propunerii. Având în vedere caracterul urgent al propunerii, în urma Consiliului European din 15 decembrie 2016 care a invitat Comisia „să înainteze, în primul semestru al anului 2017, propuneri privind instituirea unui Fond european al apărării, inclusiv o componentă privind dezvoltarea în comun de capabilități convenită de comun acord de statele membre”</w:t>
      </w:r>
      <w:r>
        <w:rPr>
          <w:rStyle w:val="FootnoteReference"/>
          <w:noProof/>
        </w:rPr>
        <w:footnoteReference w:id="3"/>
      </w:r>
      <w:r>
        <w:rPr>
          <w:noProof/>
        </w:rPr>
        <w:t xml:space="preserve">, propunerea de față a Comisiei este prezentată fără o evaluare a impactului. </w:t>
      </w:r>
    </w:p>
    <w:p>
      <w:pPr>
        <w:pStyle w:val="ManualHeading2"/>
        <w:rPr>
          <w:rFonts w:eastAsia="Arial Unicode MS"/>
          <w:noProof/>
          <w:u w:color="000000"/>
          <w:bdr w:val="nil"/>
        </w:rPr>
      </w:pPr>
      <w:r>
        <w:rPr>
          <w:noProof/>
        </w:rPr>
        <w:t>•</w:t>
      </w:r>
      <w:r>
        <w:rPr>
          <w:noProof/>
        </w:rPr>
        <w:tab/>
        <w:t>Adecvarea și simplificarea reglementărilor</w:t>
      </w:r>
    </w:p>
    <w:p>
      <w:pPr>
        <w:pBdr>
          <w:top w:val="nil"/>
          <w:left w:val="nil"/>
          <w:bottom w:val="nil"/>
          <w:right w:val="nil"/>
          <w:between w:val="nil"/>
          <w:bar w:val="nil"/>
        </w:pBdr>
        <w:spacing w:before="0" w:after="240"/>
        <w:rPr>
          <w:rFonts w:eastAsia="Arial Unicode MS"/>
          <w:noProof/>
        </w:rPr>
      </w:pPr>
      <w:r>
        <w:rPr>
          <w:noProof/>
        </w:rPr>
        <w:t>Prezenta propunere nu face parte din programul REFIT și nu prevede o creștere a sarcinii administrative.</w:t>
      </w:r>
    </w:p>
    <w:p>
      <w:pPr>
        <w:pStyle w:val="ManualHeading2"/>
        <w:rPr>
          <w:rFonts w:eastAsia="Arial Unicode MS"/>
          <w:noProof/>
          <w:u w:color="000000"/>
          <w:bdr w:val="nil"/>
        </w:rPr>
      </w:pPr>
      <w:r>
        <w:rPr>
          <w:noProof/>
        </w:rPr>
        <w:t>•</w:t>
      </w:r>
      <w:r>
        <w:rPr>
          <w:noProof/>
        </w:rPr>
        <w:tab/>
        <w:t>Drepturile fundamentale</w:t>
      </w:r>
    </w:p>
    <w:p>
      <w:pPr>
        <w:pBdr>
          <w:top w:val="nil"/>
          <w:left w:val="nil"/>
          <w:bottom w:val="nil"/>
          <w:right w:val="nil"/>
          <w:between w:val="nil"/>
          <w:bar w:val="nil"/>
        </w:pBdr>
        <w:spacing w:before="0" w:after="240"/>
        <w:rPr>
          <w:rFonts w:eastAsia="Arial Unicode MS"/>
          <w:noProof/>
        </w:rPr>
      </w:pPr>
      <w:r>
        <w:rPr>
          <w:noProof/>
        </w:rPr>
        <w:t>Propunerea este în concordanță cu protecția drepturilor fundamentale.</w:t>
      </w:r>
    </w:p>
    <w:p>
      <w:pPr>
        <w:pStyle w:val="ManualHeading1"/>
        <w:rPr>
          <w:noProof/>
        </w:rPr>
      </w:pPr>
      <w:r>
        <w:rPr>
          <w:noProof/>
        </w:rPr>
        <w:t>4.</w:t>
      </w:r>
      <w:r>
        <w:rPr>
          <w:noProof/>
        </w:rPr>
        <w:tab/>
        <w:t>IMPLICAȚIILE BUGETARE</w:t>
      </w:r>
    </w:p>
    <w:p>
      <w:pPr>
        <w:pBdr>
          <w:top w:val="nil"/>
          <w:left w:val="nil"/>
          <w:bottom w:val="nil"/>
          <w:right w:val="nil"/>
          <w:between w:val="nil"/>
          <w:bar w:val="nil"/>
        </w:pBdr>
        <w:spacing w:before="0" w:after="240"/>
        <w:rPr>
          <w:rFonts w:eastAsia="Arial Unicode MS"/>
          <w:noProof/>
        </w:rPr>
      </w:pPr>
      <w:r>
        <w:rPr>
          <w:noProof/>
        </w:rPr>
        <w:t>Impactul propunerii asupra bugetului Uniunii este prezentat în fișa financiară care însoțește propunerea și va fi acoperit în limita resurselor disponibile.</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rPr>
        <w:t>•</w:t>
      </w:r>
      <w:r>
        <w:rPr>
          <w:noProof/>
        </w:rPr>
        <w:tab/>
        <w:t>Planuri de punere în aplicare și măsuri de monitorizare, de evaluare și de raportare</w:t>
      </w:r>
    </w:p>
    <w:p>
      <w:pPr>
        <w:rPr>
          <w:noProof/>
        </w:rPr>
      </w:pPr>
      <w:r>
        <w:rPr>
          <w:noProof/>
        </w:rPr>
        <w:t>Comisia ar trebui să monitorizeze cu regularitate acțiunile sale, să analizeze progresele înregistrate în direcția obținerii rezultatelor preconizate, precum și să examineze sinergiile cu alte programe complementare ale Uniunii sau cu programele naționale cofinanțate de Uniune. În plus, se prevede că Comisia poate efectua, de asemenea, evaluări externe independente pentru a evalua impactul și eficacitatea acțiunilor sale în cadrul acestui program, după caz. Comisia ar trebui să elaboreze un raport de evaluare privind programul și să îl comunice Parlamentului European și Consiliului. Acest raport va evalua, în special, progresele înregistrate în ceea ce privește realizarea obiectivelor stabilite în propunere și va analiza participarea transfrontalieră a IMM-urilor în proiectele finanțate în temeiul programului, precum și participarea IMM-urilor la lanțul valoric global.</w:t>
      </w:r>
    </w:p>
    <w:p>
      <w:pPr>
        <w:rPr>
          <w:noProof/>
        </w:rPr>
      </w:pPr>
      <w:r>
        <w:rPr>
          <w:noProof/>
        </w:rPr>
        <w:t xml:space="preserve">Documentul de lucru al serviciilor Comisiei anexat propune o gamă mai largă de activități de monitorizare și de evaluare pe baza datelor care sunt deja colectate și publicate de diverse organizații active în sectorul european al apărării. </w:t>
      </w:r>
    </w:p>
    <w:p>
      <w:pPr>
        <w:pStyle w:val="ManualHeading2"/>
        <w:rPr>
          <w:rFonts w:eastAsia="Arial Unicode MS"/>
          <w:noProof/>
          <w:u w:color="000000"/>
          <w:bdr w:val="nil"/>
        </w:rPr>
      </w:pPr>
      <w:r>
        <w:rPr>
          <w:noProof/>
        </w:rPr>
        <w:t>•</w:t>
      </w:r>
      <w:r>
        <w:rPr>
          <w:noProof/>
        </w:rPr>
        <w:tab/>
        <w:t>Explicația detaliată a dispozițiilor specifice ale propunerii</w:t>
      </w:r>
    </w:p>
    <w:p>
      <w:pPr>
        <w:rPr>
          <w:noProof/>
        </w:rPr>
      </w:pPr>
      <w:r>
        <w:rPr>
          <w:noProof/>
        </w:rPr>
        <w:t>Programul va fi instituit pe baza dispozițiilor articolului 173 din TFUE și obiectivul său general este să contribuie la competitivitatea și la capacitatea de inovare a Uniunii în domeniul apărării prin sprijinirea acțiunilor în faza de elaborare. Beneficiarii vor fi întreprinderile care își au sediul în Uniune. Programul este stabilit pentru perioada cuprinsă între 1 ianuarie 2019 și 31 decembrie 2020.</w:t>
      </w:r>
    </w:p>
    <w:p>
      <w:pPr>
        <w:rPr>
          <w:noProof/>
        </w:rPr>
      </w:pPr>
      <w:r>
        <w:rPr>
          <w:noProof/>
        </w:rPr>
        <w:t>Strategiile de intervenție propuse ar urma să se concretizeze prin acordarea de asistență financiară. Finanțarea acordată în cadrul programului ar putea lua forma unor granturi și instrumente financiare sau s-ar face prin intermediul unor achiziții publice. Mai exact, programul va sprijini conceperea, definirea unor specificații tehnice comune, crearea de prototipuri, testarea, calificarea și certificarea produselor, a componentelor corporale sau necorporale și a tehnologiilor din domeniul apărării. Acesta poate, de asemenea, acorda sprijin pentru studii, evaluări ale fezabilității și alte activități de sprijin. Sprijinul va viza acțiuni care acoperă atât faza de dezvoltare a produselor și tehnologiilor noi, cât și faza de modernizare a celor existente.</w:t>
      </w:r>
    </w:p>
    <w:p>
      <w:pPr>
        <w:rPr>
          <w:noProof/>
        </w:rPr>
      </w:pPr>
      <w:r>
        <w:rPr>
          <w:noProof/>
        </w:rPr>
        <w:t>Acțiunea ar trebui să fie realizată prin intermediul unei cooperări între cel puțin trei întreprinderi care sunt stabilite în cel puțin două state membre.</w:t>
      </w:r>
    </w:p>
    <w:p>
      <w:pPr>
        <w:rPr>
          <w:noProof/>
        </w:rPr>
      </w:pPr>
      <w:r>
        <w:rPr>
          <w:noProof/>
        </w:rPr>
        <w:t>Finanțarea propusă va fi limitată la 20 % din costul total al acțiunii. Statele membre vor trebui să contribuie la costurile rămase prin punerea în comun a contribuțiilor naționale. Bugetul UE va fi utilizat pentru a susține competitivitatea sectorului, prin valorificarea cuantumului adecvat al contribuțiilor statelor membre pentru a iniția cooperarea și va juca rolul de catalizator pentru cooperare, deblocând potențiale programe colaborative de dezvoltare. Beneficiarii implicați într-o acțiune în curs în contextul cooperării structurate permanente vor fi eligibili pentru o mărire a finanțării. Proiectele care beneficiază de sprijin ar trebui să contribuie la prioritățile în materie de capabilități, conform celor convenite de comun acord de statele membre în cadrul Uniunii, prin intermediul Planului de dezvoltare a capabilităților Uniunii, precum și având în vedere cooperarea regională și internațională, după caz. Propunerile prezentate în vederea obținerii de sprijin în cadrul programului vor fi evaluate pe baza criteriilor de atribuire, care se vor baza pe contribuția industriei de apărare la inovare și la dezvoltarea tehnologică, precum și, în ceea ce privește interesele de securitate și de apărare ale Uniunii, prin consolidarea tehnologiilor de apărare, ceea ce contribuie la prioritățile în materie de capabilități stabilite de comun acord de către statele membre în cadrul Uniunii, pe viabilitatea acțiunii, precum și pe posibilitatea ca beneficiarii să demonstreze că există un angajament din partea statelor membre să producă și să achiziționeze în comun produsul final sau tehnologiile, într-un mod coordonat, inclusiv prin achiziții publice comune, după caz.</w:t>
      </w:r>
    </w:p>
    <w:p>
      <w:pPr>
        <w:rPr>
          <w:noProof/>
        </w:rPr>
      </w:pPr>
      <w:r>
        <w:rPr>
          <w:noProof/>
        </w:rPr>
        <w:t xml:space="preserve">Comisia va fi responsabilă cu punerea în aplicare și structura de gestionare a programului. Cu toate acestea, ea poate încredința o parte din punerea în aplicare unei alte entități, în conformitate cu cerințele Regulamentului financiar. În plus, o parte din bugetul general ar trebui să vină în sprijinul acțiunilor care permit participarea transfrontalieră a IMM-urilor. </w:t>
      </w:r>
    </w:p>
    <w:p>
      <w:pPr>
        <w:pBdr>
          <w:top w:val="nil"/>
          <w:left w:val="nil"/>
          <w:bottom w:val="nil"/>
          <w:right w:val="nil"/>
          <w:between w:val="nil"/>
          <w:bar w:val="nil"/>
        </w:pBdr>
        <w:spacing w:before="0" w:after="240"/>
        <w:rPr>
          <w:noProof/>
        </w:rPr>
      </w:pPr>
    </w:p>
    <w:p>
      <w:pPr>
        <w:rPr>
          <w:noProof/>
        </w:rPr>
      </w:pPr>
      <w:r>
        <w:rPr>
          <w:noProof/>
        </w:rPr>
        <w:t>Bugetul propus pentru program ar fi de 500 de milioane EUR.</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2017/0125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de instituire a programului european de dezvoltare industrială în domeniul apărării, pentru sprijinirea competitivității și a capacității de inovare a industriei de apărare a UE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173,</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4"/>
      </w:r>
      <w:r>
        <w:rPr>
          <w:noProof/>
        </w:rPr>
        <w:t xml:space="preserve">, </w:t>
      </w:r>
    </w:p>
    <w:p>
      <w:pPr>
        <w:rPr>
          <w:noProof/>
        </w:rPr>
      </w:pPr>
      <w:r>
        <w:rPr>
          <w:noProof/>
        </w:rPr>
        <w:t>având în vedere avizul Comitetului Regiunilor</w:t>
      </w:r>
      <w:r>
        <w:rPr>
          <w:rStyle w:val="FootnoteReference"/>
          <w:noProof/>
        </w:rPr>
        <w:footnoteReference w:id="5"/>
      </w:r>
      <w:r>
        <w:rPr>
          <w:noProof/>
        </w:rPr>
        <w:t xml:space="preserve">, </w:t>
      </w:r>
    </w:p>
    <w:p>
      <w:pPr>
        <w:rPr>
          <w:noProof/>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t>În Planul de acțiune european în domeniul apărării, adoptat la 30 noiembrie 2016, Comisia s-a angajat să completeze, să sprijine și să consolideze eforturile de colaborare ale statelor membre în ceea ce privește dezvoltarea capabilităților de apărare cu scopul de a răspunde provocărilor în materie de securitate, precum și pentru a stimula o industrie de apărare europeană competitivă și inovatoare. Ea a propus, în special, să lanseze un Fond european de apărare în vederea sprijinirii investițiilor în activități comune de cercetare și dezvoltare pentru echipamente și tehnologii de apărare. Fondul va sprijini cooperarea pe parcursul întregului ciclu al dezvoltării de produse și de tehnologii în domeniul apărării.</w:t>
      </w:r>
    </w:p>
    <w:p>
      <w:pPr>
        <w:pStyle w:val="ManualConsidrant"/>
        <w:rPr>
          <w:noProof/>
        </w:rPr>
      </w:pPr>
      <w:r>
        <w:rPr>
          <w:noProof/>
        </w:rPr>
        <w:t>(2)</w:t>
      </w:r>
      <w:r>
        <w:rPr>
          <w:noProof/>
        </w:rPr>
        <w:tab/>
        <w:t xml:space="preserve">Pentru a contribui la sporirea competitivității și a capacității de inovare a industriei de apărare a UE, ar trebui instituit programul european de dezvoltare industrială în domeniul apărării (denumit în continuare „programul”). Programul ar trebui să vizeze îmbunătățirea competitivității industriei de apărare a Uniunii în domeniul apărării cibernetice, </w:t>
      </w:r>
      <w:r>
        <w:rPr>
          <w:i/>
          <w:noProof/>
        </w:rPr>
        <w:t>inter alia</w:t>
      </w:r>
      <w:r>
        <w:rPr>
          <w:noProof/>
        </w:rPr>
        <w:t xml:space="preserve"> prin sprijinirea cooperării între întreprinderi în faza de dezvoltare a produselor și a tehnologiilor din domeniul apărării. Faza de dezvoltare, care urmează după faza de cercetare și tehnologie, implică riscuri și costuri care împiedică în continuare exploatarea rezultatelor cercetării și au un impact negativ asupra competitivității industriei de apărare a UE. Prin sprijinirea fazei de dezvoltare, programul ar contribui la o mai bună exploatare a rezultatelor cercetării în materie de apărare și ar contribui la acoperirea decalajului dintre cercetare și producție, precum și la promovarea tuturor formelor de inovare. Programul ar trebui să completeze activitățile desfășurate în conformitate cu articolul 182 din Tratatul privind funcționarea Uniunii Europene și nu acoperă producția de produse și de tehnologii din domeniul apărării. </w:t>
      </w:r>
    </w:p>
    <w:p>
      <w:pPr>
        <w:pStyle w:val="ManualConsidrant"/>
        <w:rPr>
          <w:noProof/>
        </w:rPr>
      </w:pPr>
      <w:r>
        <w:rPr>
          <w:noProof/>
        </w:rPr>
        <w:t>(3)</w:t>
      </w:r>
      <w:r>
        <w:rPr>
          <w:noProof/>
        </w:rPr>
        <w:tab/>
        <w:t xml:space="preserve">Pentru o mai bună valorificare a economiilor de scară în industria de apărare, programul ar trebui să sprijine cooperarea între întreprinderi în ceea ce privește dezvoltarea de produse și de tehnologii de apărare. </w:t>
      </w:r>
    </w:p>
    <w:p>
      <w:pPr>
        <w:pStyle w:val="ManualConsidrant"/>
        <w:rPr>
          <w:noProof/>
        </w:rPr>
      </w:pPr>
      <w:r>
        <w:rPr>
          <w:noProof/>
        </w:rPr>
        <w:t>(4)</w:t>
      </w:r>
      <w:r>
        <w:rPr>
          <w:noProof/>
        </w:rPr>
        <w:tab/>
        <w:t xml:space="preserve">Programul ar trebui să acopere o perioadă de doi ani, de la 1 ianuarie 2019 până la 31 decembrie 2020, iar suma necesară pentru punerea în aplicare a programului ar trebui să fie stabilită pentru această perioadă. </w:t>
      </w:r>
    </w:p>
    <w:p>
      <w:pPr>
        <w:pStyle w:val="ManualConsidrant"/>
        <w:rPr>
          <w:noProof/>
        </w:rPr>
      </w:pPr>
      <w:r>
        <w:rPr>
          <w:noProof/>
        </w:rPr>
        <w:t>(5)</w:t>
      </w:r>
      <w:r>
        <w:rPr>
          <w:noProof/>
        </w:rPr>
        <w:tab/>
        <w:t>Programul ar trebui implementat în conformitate deplină cu dispozițiile Regulamentului (UE, Euratom) nr. 966/2012 al Parlamentului European și al Consiliului</w:t>
      </w:r>
      <w:r>
        <w:rPr>
          <w:rStyle w:val="FootnoteReference"/>
          <w:noProof/>
        </w:rPr>
        <w:footnoteReference w:id="6"/>
      </w:r>
      <w:r>
        <w:rPr>
          <w:noProof/>
        </w:rPr>
        <w:t xml:space="preserve">. Finanțarea poate lua, în special, forma unor subvenții. Se pot utiliza instrumente financiare sau achiziții publice atunci când este cazul. </w:t>
      </w:r>
    </w:p>
    <w:p>
      <w:pPr>
        <w:pStyle w:val="ManualConsidrant"/>
        <w:rPr>
          <w:noProof/>
        </w:rPr>
      </w:pPr>
      <w:r>
        <w:rPr>
          <w:noProof/>
        </w:rPr>
        <w:t>(6)</w:t>
      </w:r>
      <w:r>
        <w:rPr>
          <w:noProof/>
        </w:rPr>
        <w:tab/>
        <w:t xml:space="preserve">Comisia poate încredința o parte din punerea în aplicare a programului entităților menționate la articolul 58 alineatul (1) litera (c) din Regulamentul (UE, Euratom) nr. 966/2012 Având în vedere experiența sa, Comisia poate încredința Agenției Europene de Apărare un astfel de rol. </w:t>
      </w:r>
    </w:p>
    <w:p>
      <w:pPr>
        <w:pStyle w:val="ManualConsidrant"/>
        <w:rPr>
          <w:noProof/>
        </w:rPr>
      </w:pPr>
      <w:r>
        <w:rPr>
          <w:noProof/>
        </w:rPr>
        <w:t>(7)</w:t>
      </w:r>
      <w:r>
        <w:rPr>
          <w:noProof/>
        </w:rPr>
        <w:tab/>
        <w:t xml:space="preserve">Având în vedere caracteristicile specifice ale sectorului, în practică, niciun proiect de colaborare între întreprinderi nu va fi lansat în cazul în care statele membre nu au căzut de acord în prealabil să sprijine astfel de proiecte. După ce au definit prioritățile comune în materie de capabilități de apărare la nivelul Uniunii și, de asemenea, după ce au luat în considerare, după caz, inițiativele de colaborare la nivel regional, statele membre identifică și consolidează cerințele militare și definesc specificațiile tehnice ale proiectului. Ele pot, de asemenea, să numească un responsabil de proiect responsabil cu conducerea activității legate de dezvoltarea unui proiect de colaborare. </w:t>
      </w:r>
    </w:p>
    <w:p>
      <w:pPr>
        <w:pStyle w:val="ManualConsidrant"/>
        <w:rPr>
          <w:noProof/>
        </w:rPr>
      </w:pPr>
      <w:r>
        <w:rPr>
          <w:noProof/>
        </w:rPr>
        <w:t>(8)</w:t>
      </w:r>
      <w:r>
        <w:rPr>
          <w:noProof/>
        </w:rPr>
        <w:tab/>
        <w:t xml:space="preserve">În cazul în care o acțiune sprijinită de program este gestionată de un responsabil de proiect desemnat de statele membre, Comisia ar trebui să informeze responsabilul de proiect înainte de executarea plății către beneficiarul acțiunii eligibile, astfel încât responsabilul de proiect să poată garanta că termenele sunt respectate de către beneficiari. </w:t>
      </w:r>
    </w:p>
    <w:p>
      <w:pPr>
        <w:pStyle w:val="ManualConsidrant"/>
        <w:rPr>
          <w:noProof/>
        </w:rPr>
      </w:pPr>
      <w:r>
        <w:rPr>
          <w:noProof/>
        </w:rPr>
        <w:t>(9)</w:t>
      </w:r>
      <w:r>
        <w:rPr>
          <w:noProof/>
        </w:rPr>
        <w:tab/>
        <w:t xml:space="preserve">Sprijinul financiar din partea Uniunii nu ar trebui să afecteze exporturile de produse, de echipamente sau de tehnologii și nu ar trebui să afecteze libertatea de acțiune a statelor membre în ceea ce privește politicile în domeniul exportului de produse din domeniul apărării. Sprijinul financiar din partea Uniunii nu ar trebui să aducă atingere politicilor de export ale statelor membre privind produsele din domeniul apărării. </w:t>
      </w:r>
    </w:p>
    <w:p>
      <w:pPr>
        <w:pStyle w:val="ManualConsidrant"/>
        <w:rPr>
          <w:noProof/>
        </w:rPr>
      </w:pPr>
      <w:r>
        <w:rPr>
          <w:noProof/>
        </w:rPr>
        <w:t>(10)</w:t>
      </w:r>
      <w:r>
        <w:rPr>
          <w:noProof/>
        </w:rPr>
        <w:tab/>
        <w:t>Dat fiind că obiectivul programului este de a sprijini competitivitatea industriei de apărare a Uniunii prin reducerea riscurilor din faza de dezvoltare a proiectelor de cooperare, acțiunile legate de dezvoltarea de produse sau de tehnologii de apărare, și anume definirea unor specificații tehnice comune, proiectarea, crearea de prototipuri, testarea, calificarea și certificarea, studiile de fezabilitate și alte măsuri de sprijin ar trebui să fie eligibile pentru a beneficia de acesta. Programul va urmări, de asemenea, modernizarea produselor și a tehnologiilor existente în domeniul apărării.</w:t>
      </w:r>
    </w:p>
    <w:p>
      <w:pPr>
        <w:pStyle w:val="ManualConsidrant"/>
        <w:rPr>
          <w:noProof/>
        </w:rPr>
      </w:pPr>
      <w:r>
        <w:rPr>
          <w:noProof/>
        </w:rPr>
        <w:t>(11)</w:t>
      </w:r>
      <w:r>
        <w:rPr>
          <w:noProof/>
        </w:rPr>
        <w:tab/>
        <w:t xml:space="preserve">Având în vedere faptul că programul vizează în special consolidarea cooperării dintre întreprinderile din statele membre, o acțiune ar trebui să fie eligibilă pentru finanțare în cadrul programului numai în cazul în care este realizată printr-o cooperare între cel puțin trei întreprinderi situate în cel puțin două state membre diferite. </w:t>
      </w:r>
    </w:p>
    <w:p>
      <w:pPr>
        <w:pStyle w:val="ManualConsidrant"/>
        <w:rPr>
          <w:noProof/>
        </w:rPr>
      </w:pPr>
      <w:r>
        <w:rPr>
          <w:noProof/>
        </w:rPr>
        <w:t>(12)</w:t>
      </w:r>
      <w:r>
        <w:rPr>
          <w:noProof/>
        </w:rPr>
        <w:tab/>
        <w:t>Colaborarea transfrontalieră în materie de dezvoltare a produselor și a tehnologiilor din domeniul apărării a fost adesea afectată de dificultatea de a conveni asupra unor specificații tehnice comune. Absența sau nivelul limitat al specificațiilor tehnice comune au condus la o complexitate sporită, la întârzieri și la costuri exagerate în faza de dezvoltare. Ajungerea la un acord cu privire la specificațiile tehnice comune ar trebui să reprezinte o condiție pentru a beneficia de sprijinul acordat de Uniune în cadrul acestui program. Acțiunile care au ca obiectiv sprijinirea procesului de creare a unei definiții comune a specificațiilor tehnice ar trebui, de asemenea, să fie eligibile pentru sprijin în cadrul programului.</w:t>
      </w:r>
    </w:p>
    <w:p>
      <w:pPr>
        <w:pStyle w:val="ManualConsidrant"/>
        <w:rPr>
          <w:noProof/>
        </w:rPr>
      </w:pPr>
      <w:r>
        <w:rPr>
          <w:noProof/>
        </w:rPr>
        <w:t>(13)</w:t>
      </w:r>
      <w:r>
        <w:rPr>
          <w:noProof/>
        </w:rPr>
        <w:tab/>
        <w:t>Întrucât programul urmărește sporirea competitivității industriei de apărare a Uniunii, numai entitățile stabilite în Uniune și controlate efectiv de către statele membre sau de resortisanți ai acestora ar trebui să fie eligibile pentru sprijin. În plus, pentru a se asigura protecția intereselor esențiale în materie de securitate ale Uniunii și ale statelor sale membre, infrastructura, facilitățile, bunurile și resursele utilizate de beneficiari și de contractanți în acțiunile finanțate în cadrul programului nu trebuie să se afle pe teritoriul unei țări terțe.</w:t>
      </w:r>
    </w:p>
    <w:p>
      <w:pPr>
        <w:pStyle w:val="ManualConsidrant"/>
        <w:rPr>
          <w:noProof/>
        </w:rPr>
      </w:pPr>
      <w:r>
        <w:rPr>
          <w:noProof/>
        </w:rPr>
        <w:t>(14)</w:t>
      </w:r>
      <w:r>
        <w:rPr>
          <w:noProof/>
        </w:rPr>
        <w:tab/>
        <w:t xml:space="preserve">Acțiunile eligibile elaborate în contextul cooperării structurate permanente în cadrul instituțional al Uniunii ar garanta în mod continuu o cooperare consolidată între întreprinderile din diferite state membre și, prin urmare, contribuie în mod direct la obiectivele programului. Astfel de proiecte ar trebui, prin urmare, să fie eligibile pentru o rată mai ridicată de finanțare. </w:t>
      </w:r>
    </w:p>
    <w:p>
      <w:pPr>
        <w:pStyle w:val="ManualConsidrant"/>
        <w:rPr>
          <w:noProof/>
        </w:rPr>
      </w:pPr>
      <w:r>
        <w:rPr>
          <w:noProof/>
        </w:rPr>
        <w:t>(15)</w:t>
      </w:r>
      <w:r>
        <w:rPr>
          <w:noProof/>
        </w:rPr>
        <w:tab/>
        <w:t xml:space="preserve">În cazul în care un consorțiu de întreprinderi dorește să participe la o acțiune eligibilă în cadrul programului și asistența financiară a Uniunii ia forma unui grant, consorțiul trebuie să desemneze dintre membrii săi un coordonator care va fi principalul punct de contact cu Comisia. </w:t>
      </w:r>
    </w:p>
    <w:p>
      <w:pPr>
        <w:pStyle w:val="ManualConsidrant"/>
        <w:rPr>
          <w:noProof/>
        </w:rPr>
      </w:pPr>
      <w:r>
        <w:rPr>
          <w:noProof/>
        </w:rPr>
        <w:t>(16)</w:t>
      </w:r>
      <w:r>
        <w:rPr>
          <w:noProof/>
        </w:rPr>
        <w:tab/>
        <w:t xml:space="preserve">Promovarea inovării și a dezvoltării tehnologice în industria de apărare a Uniunii ar trebui să se desfășoare în concordanță cu interesele de securitate ale Uniunii. În consecință, contribuția acțiunii la realizarea acestor interese și la prioritățile în materie de capabilități de apărare stabilite de comun acord de către statele membre ar trebui să servească drept criteriu de atribuire. În cadrul Uniunii, prioritățile în materie de capabilități de apărare comune sunt identificate în special prin Planul de dezvoltare a capabilităților. Alte procese coordonate a Uniunii, cum ar fi Procesul anual coordonat de revizuire privind apărarea (CARD) și cooperarea structurată permanentă vor sprijini punerea în aplicare a priorităților relevante, prin intermediul cooperării consolidate. După caz, inițiativele de cooperare regionale și internaționale, cum ar fi cele în contextul NATO, care deservesc interese de securitate și de apărare, pot fi, de asemenea, luate în considerare. </w:t>
      </w:r>
    </w:p>
    <w:p>
      <w:pPr>
        <w:pStyle w:val="ManualConsidrant"/>
        <w:rPr>
          <w:noProof/>
        </w:rPr>
      </w:pPr>
      <w:r>
        <w:rPr>
          <w:noProof/>
        </w:rPr>
        <w:t>(17)</w:t>
      </w:r>
      <w:r>
        <w:rPr>
          <w:noProof/>
        </w:rPr>
        <w:tab/>
        <w:t xml:space="preserve">Pentru a se asigura că acțiunile finanțate sunt viabile, angajamentul statelor membre de a contribui în mod efectiv la finanțarea programului ar trebui să fie un criteriu de atribuire pentru astfel de acțiuni. </w:t>
      </w:r>
    </w:p>
    <w:p>
      <w:pPr>
        <w:pStyle w:val="ManualConsidrant"/>
        <w:rPr>
          <w:noProof/>
        </w:rPr>
      </w:pPr>
      <w:r>
        <w:rPr>
          <w:noProof/>
        </w:rPr>
        <w:t>(18)</w:t>
      </w:r>
      <w:r>
        <w:rPr>
          <w:noProof/>
        </w:rPr>
        <w:tab/>
        <w:t xml:space="preserve">Pentru a se asigura că acțiunile finanțate vor contribui la competitivitatea industriei europene de apărare, acestea ar trebui să fie orientate spre piață și axate pe cerere. Prin urmare, faptul că statele membre s-au angajat deja să producă și să obțină în comun un produs finit sau o tehnologie, eventual într-o manieră coordonată, ar trebui să fie luat în considerare în criteriile de atribuire. </w:t>
      </w:r>
    </w:p>
    <w:p>
      <w:pPr>
        <w:pStyle w:val="ManualConsidrant"/>
        <w:rPr>
          <w:noProof/>
        </w:rPr>
      </w:pPr>
      <w:r>
        <w:rPr>
          <w:noProof/>
        </w:rPr>
        <w:t>(19)</w:t>
      </w:r>
      <w:r>
        <w:rPr>
          <w:noProof/>
        </w:rPr>
        <w:tab/>
        <w:t xml:space="preserve">Asistența financiară din partea Uniunii în cadrul programului nu ar trebui să depășească 20 % din totalul costurilor eligibile ale acțiunii atunci când se referă la crearea de prototipuri, care este adesea cea mai costisitoare acțiune din faza de dezvoltare. Cuantumul costurilor eligibile ar trebui, totuși, să fie acoperit pentru alte acțiuni în faza de dezvoltare. </w:t>
      </w:r>
    </w:p>
    <w:p>
      <w:pPr>
        <w:pStyle w:val="ManualConsidrant"/>
        <w:rPr>
          <w:noProof/>
        </w:rPr>
      </w:pPr>
      <w:r>
        <w:rPr>
          <w:noProof/>
        </w:rPr>
        <w:t>(20)</w:t>
      </w:r>
      <w:r>
        <w:rPr>
          <w:noProof/>
        </w:rPr>
        <w:tab/>
        <w:t>Dat fiind că sprijinul din partea Uniunii vizează consolidarea competitivității sectorului și nu se referă decât la faza specifică de dezvoltare, Comisia nu ar trebui să aibă dreptul de proprietate sau drepturi de proprietate intelectuală asupra produselor sau tehnologiilor care rezultă din acțiunile finanțate. Regimul drepturilor de proprietate intelectuală aplicabile va fi definit prin contract de către beneficiari.</w:t>
      </w:r>
    </w:p>
    <w:p>
      <w:pPr>
        <w:pStyle w:val="ManualConsidrant"/>
        <w:rPr>
          <w:noProof/>
        </w:rPr>
      </w:pPr>
      <w:r>
        <w:rPr>
          <w:noProof/>
        </w:rPr>
        <w:t>(21)</w:t>
      </w:r>
      <w:r>
        <w:rPr>
          <w:noProof/>
        </w:rPr>
        <w:tab/>
        <w:t>Comisia ar trebui să întocmească un program de lucru multianual în conformitate cu obiectivele programului. Comisia ar trebui asistată la stabilirea programului de lucru de către un comitet format de statele membre (denumit în continuare „comitetul programului”). Având în vedere politica Uniunii privind întreprinderile mici și mijlocii (IMM-urile) ca element esențial pentru asigurarea creșterii economice, a inovării, a creării de locuri de muncă și a integrării sociale în Uniune și faptul că acțiunile sprijinite vor necesita în general o colaborare transnațională, este important ca programul de lucru să reflecte și să permită o astfel de participare transfrontalieră a IMM-urilor și ca, prin urmare, o astfel de acțiune să beneficieze de o parte din bugetul general.</w:t>
      </w:r>
    </w:p>
    <w:p>
      <w:pPr>
        <w:pStyle w:val="ManualConsidrant"/>
        <w:rPr>
          <w:noProof/>
        </w:rPr>
      </w:pPr>
      <w:r>
        <w:rPr>
          <w:noProof/>
        </w:rPr>
        <w:t>(22)</w:t>
      </w:r>
      <w:r>
        <w:rPr>
          <w:noProof/>
        </w:rPr>
        <w:tab/>
        <w:t xml:space="preserve">Pentru a beneficia de cunoștințele sale de specialitate în sectorul apărării, Agenției Europene de Apărare i se acordă statutul de observator în cadrul comitetului statelor membre. Serviciul European de Acțiune Externă ar trebui, de asemenea, să participe la comitetul statelor membre. </w:t>
      </w:r>
    </w:p>
    <w:p>
      <w:pPr>
        <w:pStyle w:val="ManualConsidrant"/>
        <w:rPr>
          <w:noProof/>
        </w:rPr>
      </w:pPr>
      <w:r>
        <w:rPr>
          <w:noProof/>
        </w:rPr>
        <w:t>(23)</w:t>
      </w:r>
      <w:r>
        <w:rPr>
          <w:noProof/>
        </w:rPr>
        <w:tab/>
        <w:t>În ceea ce privește selecția acțiunilor care urmează să fie finanțate în cadrul programului, Comisia sau entitățile menționate la articolul 58 alineatul (1) litera (c) din Regulamentul nr. 966/2012 ar trebui să organizeze cereri de oferte concurențiale, astfel cum este prevăzut de Regulamentul nr. 966/2012. După evaluarea propunerilor primite, cu ajutorul unor experți independenți, Comisia va selecta acțiunile care urmează să fie finanțate în cadrul programului. În vederea asigurării unor condiții uniforme pentru punerea în aplicare a prezentului regulament, Comisiei ar trebui să îi fie conferite competențe de executare în ceea ce privește adoptarea și punerea în aplicare a programului de lucru, precum și în ceea ce privește acordarea de finanțare pentru acțiunile selectate. Aceste competențe ar trebui exercitate în conformitate cu Regulamentul (UE) nr. 182/2011 al Parlamentului European și al Consiliului</w:t>
      </w:r>
      <w:r>
        <w:rPr>
          <w:rStyle w:val="FootnoteReference"/>
          <w:noProof/>
        </w:rPr>
        <w:footnoteReference w:id="7"/>
      </w:r>
      <w:r>
        <w:rPr>
          <w:noProof/>
        </w:rPr>
        <w:t>.</w:t>
      </w:r>
    </w:p>
    <w:p>
      <w:pPr>
        <w:pStyle w:val="ManualConsidrant"/>
        <w:rPr>
          <w:noProof/>
        </w:rPr>
      </w:pPr>
      <w:r>
        <w:rPr>
          <w:noProof/>
        </w:rPr>
        <w:t>(24)</w:t>
      </w:r>
      <w:r>
        <w:rPr>
          <w:noProof/>
        </w:rPr>
        <w:tab/>
        <w:t>Pentru adoptarea actelor de punere în aplicare menționate anterior ar trebui utilizată procedura de examinare, ținând cont de implicațiile substanțiale ale acestora pentru punerea în aplicare a actului de bază.</w:t>
      </w:r>
    </w:p>
    <w:p>
      <w:pPr>
        <w:pStyle w:val="ManualConsidrant"/>
        <w:rPr>
          <w:noProof/>
        </w:rPr>
      </w:pPr>
      <w:r>
        <w:rPr>
          <w:noProof/>
        </w:rPr>
        <w:t>(25)</w:t>
      </w:r>
      <w:r>
        <w:rPr>
          <w:noProof/>
        </w:rPr>
        <w:tab/>
        <w:t xml:space="preserve">La sfârșitul programului, Comisia ar trebui să elaboreze un raport de punere în aplicare pentru a examina activitățile financiare prin prisma execuției financiare, a rezultatelor și, în cazul în care este posibil, a impactului. Acest raport ar trebui, de asemenea, să analizeze participarea transfrontalieră a IMM-urilor la proiectele finanțate în temeiul programului, precum și participarea IMM-urilor la lanțul valoric global. </w:t>
      </w:r>
    </w:p>
    <w:p>
      <w:pPr>
        <w:pStyle w:val="Formuledadoption"/>
        <w:rPr>
          <w:noProof/>
        </w:rPr>
      </w:pPr>
      <w:r>
        <w:rPr>
          <w:noProof/>
        </w:rPr>
        <w:t>ADOPTĂ PREZENTUL REGULAMENT:</w:t>
      </w:r>
    </w:p>
    <w:p>
      <w:pPr>
        <w:pStyle w:val="Titrearticle"/>
        <w:rPr>
          <w:noProof/>
        </w:rPr>
      </w:pPr>
      <w:r>
        <w:rPr>
          <w:noProof/>
        </w:rPr>
        <w:t>Articolul 1</w:t>
      </w:r>
    </w:p>
    <w:p>
      <w:pPr>
        <w:rPr>
          <w:noProof/>
        </w:rPr>
      </w:pPr>
      <w:r>
        <w:rPr>
          <w:noProof/>
        </w:rPr>
        <w:t>Se stabilește un program european de dezvoltare industrială în domeniul apărării (denumit în continuare „programul”) pentru acțiunea Uniunii care acoperă perioada 1 ianuarie 2019-31 decembrie 2020.</w:t>
      </w:r>
    </w:p>
    <w:p>
      <w:pPr>
        <w:pStyle w:val="Titrearticle"/>
        <w:rPr>
          <w:noProof/>
        </w:rPr>
      </w:pPr>
      <w:r>
        <w:rPr>
          <w:noProof/>
        </w:rPr>
        <w:t>Articolul 2</w:t>
      </w:r>
    </w:p>
    <w:p>
      <w:pPr>
        <w:jc w:val="center"/>
        <w:rPr>
          <w:noProof/>
        </w:rPr>
      </w:pPr>
      <w:r>
        <w:rPr>
          <w:noProof/>
        </w:rPr>
        <w:t>Obiective</w:t>
      </w:r>
    </w:p>
    <w:p>
      <w:pPr>
        <w:rPr>
          <w:noProof/>
        </w:rPr>
      </w:pPr>
      <w:r>
        <w:rPr>
          <w:noProof/>
        </w:rPr>
        <w:t>Programul are următoarele obiective:</w:t>
      </w:r>
    </w:p>
    <w:p>
      <w:pPr>
        <w:pStyle w:val="Point1letter"/>
        <w:numPr>
          <w:ilvl w:val="3"/>
          <w:numId w:val="10"/>
        </w:numPr>
        <w:rPr>
          <w:noProof/>
        </w:rPr>
      </w:pPr>
      <w:r>
        <w:rPr>
          <w:noProof/>
        </w:rPr>
        <w:t>să promoveze competitivitatea și capacitatea de inovare a industriei de apărare a Uniunii prin sprijinirea acțiunilor în faza de elaborare;</w:t>
      </w:r>
    </w:p>
    <w:p>
      <w:pPr>
        <w:pStyle w:val="Point1letter"/>
        <w:rPr>
          <w:noProof/>
        </w:rPr>
      </w:pPr>
      <w:r>
        <w:rPr>
          <w:noProof/>
        </w:rPr>
        <w:t>să sprijine și să stimuleze cooperarea dintre întreprinderi, inclusiv dintre întreprinderile mici și mijlocii, în ceea ce privește dezvoltarea de tehnologii sau de produse în conformitate cu prioritățile în materie de capabilități de apărare stabilite de comun acord de către statele membre în cadrul Uniunii;</w:t>
      </w:r>
    </w:p>
    <w:p>
      <w:pPr>
        <w:pStyle w:val="Point1letter"/>
        <w:rPr>
          <w:noProof/>
        </w:rPr>
      </w:pPr>
      <w:r>
        <w:rPr>
          <w:noProof/>
        </w:rPr>
        <w:t>să încurajeze o mai bună exploatare a rezultatelor cercetării în materie de apărare și să contribuie la eliminarea decalajelor dintre cercetare și dezvoltare.</w:t>
      </w:r>
    </w:p>
    <w:p>
      <w:pPr>
        <w:pStyle w:val="Titrearticle"/>
        <w:rPr>
          <w:noProof/>
        </w:rPr>
      </w:pPr>
      <w:r>
        <w:rPr>
          <w:noProof/>
        </w:rPr>
        <w:t>Articolul 3</w:t>
      </w:r>
    </w:p>
    <w:p>
      <w:pPr>
        <w:jc w:val="center"/>
        <w:rPr>
          <w:noProof/>
        </w:rPr>
      </w:pPr>
      <w:r>
        <w:rPr>
          <w:noProof/>
        </w:rPr>
        <w:t>Buget</w:t>
      </w:r>
    </w:p>
    <w:p>
      <w:pPr>
        <w:rPr>
          <w:noProof/>
        </w:rPr>
      </w:pPr>
      <w:r>
        <w:rPr>
          <w:noProof/>
        </w:rPr>
        <w:t>Cuantumul pentru punerea în aplicare a programului pentru perioada 2019-2020 se stabilește la 500 de milioane EUR în prețuri curente.</w:t>
      </w:r>
    </w:p>
    <w:p>
      <w:pPr>
        <w:pStyle w:val="Titrearticle"/>
        <w:rPr>
          <w:noProof/>
        </w:rPr>
      </w:pPr>
      <w:r>
        <w:rPr>
          <w:noProof/>
        </w:rPr>
        <w:t>Articolul 4</w:t>
      </w:r>
    </w:p>
    <w:p>
      <w:pPr>
        <w:jc w:val="center"/>
        <w:rPr>
          <w:noProof/>
        </w:rPr>
      </w:pPr>
      <w:r>
        <w:rPr>
          <w:noProof/>
        </w:rPr>
        <w:t>Dispoziții de finanțare generale</w:t>
      </w:r>
    </w:p>
    <w:p>
      <w:pPr>
        <w:pStyle w:val="NumPar10"/>
        <w:rPr>
          <w:noProof/>
        </w:rPr>
      </w:pPr>
      <w:r>
        <w:rPr>
          <w:noProof/>
        </w:rPr>
        <w:t>(1)</w:t>
      </w:r>
      <w:r>
        <w:rPr>
          <w:noProof/>
        </w:rPr>
        <w:tab/>
        <w:t>Uniunea poate acorda asistență financiară prin intermediul tipurilor de finanțare prevăzute în Regulamentul (UE, Euratom) nr. 966/2012, în special:</w:t>
      </w:r>
    </w:p>
    <w:p>
      <w:pPr>
        <w:pStyle w:val="Text2"/>
        <w:rPr>
          <w:noProof/>
        </w:rPr>
      </w:pPr>
      <w:r>
        <w:rPr>
          <w:noProof/>
        </w:rPr>
        <w:t>(a) granturi;</w:t>
      </w:r>
    </w:p>
    <w:p>
      <w:pPr>
        <w:pStyle w:val="Text2"/>
        <w:rPr>
          <w:noProof/>
        </w:rPr>
      </w:pPr>
      <w:r>
        <w:rPr>
          <w:noProof/>
        </w:rPr>
        <w:t>(b) instrumente financiare;</w:t>
      </w:r>
    </w:p>
    <w:p>
      <w:pPr>
        <w:pStyle w:val="Text2"/>
        <w:rPr>
          <w:noProof/>
        </w:rPr>
      </w:pPr>
      <w:r>
        <w:rPr>
          <w:noProof/>
        </w:rPr>
        <w:t xml:space="preserve">(c) achiziții publice. </w:t>
      </w:r>
    </w:p>
    <w:p>
      <w:pPr>
        <w:pStyle w:val="NumPar10"/>
        <w:rPr>
          <w:noProof/>
        </w:rPr>
      </w:pPr>
      <w:r>
        <w:rPr>
          <w:noProof/>
        </w:rPr>
        <w:t>(2)</w:t>
      </w:r>
      <w:r>
        <w:rPr>
          <w:noProof/>
        </w:rPr>
        <w:tab/>
        <w:t>Tipurile de finanțare prevăzute la alineatul (1) al prezentului articol și metodele de punere în aplicare sunt alese pe baza capacității lor de a atinge obiectivele specifice ale acțiunilor și de a obține rezultate, luându-se în considerare, în special, costurile controalelor, sarcina administrativă și riscul de conflict de interese.</w:t>
      </w:r>
    </w:p>
    <w:p>
      <w:pPr>
        <w:pStyle w:val="NumPar10"/>
        <w:rPr>
          <w:noProof/>
        </w:rPr>
      </w:pPr>
      <w:r>
        <w:rPr>
          <w:noProof/>
        </w:rPr>
        <w:t>(3)</w:t>
      </w:r>
      <w:r>
        <w:rPr>
          <w:noProof/>
        </w:rPr>
        <w:tab/>
        <w:t>Asistența financiară a Uniunii este pusă în aplicare de Comisie astfel cum se prevede în Regulamentul (UE, Euratom) nr. 966/2012, direct sau indirect, prin delegarea sarcinilor de execuție bugetară entităților enumerate la articolul 58 alineatul (1) litera (c) din respectivul regulament.</w:t>
      </w:r>
    </w:p>
    <w:p>
      <w:pPr>
        <w:pStyle w:val="NumPar10"/>
        <w:rPr>
          <w:noProof/>
        </w:rPr>
      </w:pPr>
      <w:r>
        <w:rPr>
          <w:noProof/>
        </w:rPr>
        <w:t>(4)</w:t>
      </w:r>
      <w:r>
        <w:rPr>
          <w:noProof/>
        </w:rPr>
        <w:tab/>
        <w:t>În cazul în care statele membre desemnează un șef de proiect, Comisia efectuează plata către beneficiarii eligibili după informarea șefului de proiect.</w:t>
      </w:r>
    </w:p>
    <w:p>
      <w:pPr>
        <w:pStyle w:val="Titrearticle"/>
        <w:rPr>
          <w:noProof/>
        </w:rPr>
      </w:pPr>
      <w:r>
        <w:rPr>
          <w:noProof/>
        </w:rPr>
        <w:t>Articolul 5</w:t>
      </w:r>
    </w:p>
    <w:p>
      <w:pPr>
        <w:jc w:val="center"/>
        <w:rPr>
          <w:noProof/>
        </w:rPr>
      </w:pPr>
      <w:r>
        <w:rPr>
          <w:noProof/>
        </w:rPr>
        <w:t>Tipuri de instrumente financiare</w:t>
      </w:r>
    </w:p>
    <w:p>
      <w:pPr>
        <w:pStyle w:val="NumPar10"/>
        <w:rPr>
          <w:noProof/>
        </w:rPr>
      </w:pPr>
      <w:r>
        <w:rPr>
          <w:noProof/>
        </w:rPr>
        <w:t>(1)</w:t>
      </w:r>
      <w:r>
        <w:rPr>
          <w:noProof/>
        </w:rPr>
        <w:tab/>
        <w:t>Instrumentele financiare stabilite în conformitate cu titlul VIII din Regulamentul (UE, Euratom) nr. 966/2012 pot fi utilizate pentru facilitarea accesului la finanțare al entităților care implementează acțiuni în conformitate cu articolul 6.</w:t>
      </w:r>
    </w:p>
    <w:p>
      <w:pPr>
        <w:pStyle w:val="NumPar10"/>
        <w:rPr>
          <w:noProof/>
        </w:rPr>
      </w:pPr>
      <w:r>
        <w:rPr>
          <w:noProof/>
        </w:rPr>
        <w:t>(2)</w:t>
      </w:r>
      <w:r>
        <w:rPr>
          <w:noProof/>
        </w:rPr>
        <w:tab/>
        <w:t>Pot fi utilizate următoarele instrumente financiare:</w:t>
      </w:r>
    </w:p>
    <w:p>
      <w:pPr>
        <w:pStyle w:val="Text2"/>
        <w:rPr>
          <w:noProof/>
        </w:rPr>
      </w:pPr>
      <w:r>
        <w:rPr>
          <w:noProof/>
        </w:rPr>
        <w:t>(a) investiții de capital sau cvasicapital;</w:t>
      </w:r>
    </w:p>
    <w:p>
      <w:pPr>
        <w:pStyle w:val="Text2"/>
        <w:rPr>
          <w:noProof/>
        </w:rPr>
      </w:pPr>
      <w:r>
        <w:rPr>
          <w:noProof/>
        </w:rPr>
        <w:t>(b) împrumuturi sau garanții;</w:t>
      </w:r>
    </w:p>
    <w:p>
      <w:pPr>
        <w:pStyle w:val="Text2"/>
        <w:rPr>
          <w:noProof/>
        </w:rPr>
      </w:pPr>
      <w:r>
        <w:rPr>
          <w:noProof/>
        </w:rPr>
        <w:t>(c) instrumente de partajare a riscului.</w:t>
      </w:r>
    </w:p>
    <w:p>
      <w:pPr>
        <w:pStyle w:val="Titrearticle"/>
        <w:rPr>
          <w:noProof/>
        </w:rPr>
      </w:pPr>
      <w:r>
        <w:rPr>
          <w:noProof/>
        </w:rPr>
        <w:t>Articolul 6</w:t>
      </w:r>
    </w:p>
    <w:p>
      <w:pPr>
        <w:jc w:val="center"/>
        <w:rPr>
          <w:noProof/>
        </w:rPr>
      </w:pPr>
      <w:r>
        <w:rPr>
          <w:noProof/>
        </w:rPr>
        <w:t>Acțiuni eligibile</w:t>
      </w:r>
    </w:p>
    <w:p>
      <w:pPr>
        <w:pStyle w:val="ManualNumPar1"/>
        <w:rPr>
          <w:noProof/>
        </w:rPr>
      </w:pPr>
      <w:r>
        <w:rPr>
          <w:noProof/>
        </w:rPr>
        <w:t>(1)</w:t>
      </w:r>
      <w:r>
        <w:rPr>
          <w:noProof/>
        </w:rPr>
        <w:tab/>
        <w:t>Programul oferă sprijin pentru acțiuni care acoperă atât faza de dezvoltare a produselor și tehnologiilor noi, cât și faza de modernizare a celor existente, în legătură cu:</w:t>
      </w:r>
    </w:p>
    <w:p>
      <w:pPr>
        <w:pStyle w:val="Point1letter"/>
        <w:numPr>
          <w:ilvl w:val="3"/>
          <w:numId w:val="11"/>
        </w:numPr>
        <w:rPr>
          <w:noProof/>
        </w:rPr>
      </w:pPr>
      <w:r>
        <w:rPr>
          <w:noProof/>
        </w:rPr>
        <w:t>proiectarea unui produs, a unor componente corporale sau necorporale sau a unei tehnologii în domeniul apărării, precum și specificațiile tehnice pe care s-a bazat proiectarea;</w:t>
      </w:r>
    </w:p>
    <w:p>
      <w:pPr>
        <w:pStyle w:val="Point1letter"/>
        <w:numPr>
          <w:ilvl w:val="3"/>
          <w:numId w:val="11"/>
        </w:numPr>
        <w:rPr>
          <w:noProof/>
        </w:rPr>
      </w:pPr>
      <w:r>
        <w:rPr>
          <w:noProof/>
        </w:rPr>
        <w:t>prototipuri ale unui produs, a unor componente corporale sau necorporale sau a unei tehnologii în domeniul apărării. Un prototip este un model al unui produs sau al unei tehnologii care poate demonstra performanța elementului într-un mediu operațional;</w:t>
      </w:r>
    </w:p>
    <w:p>
      <w:pPr>
        <w:pStyle w:val="Point1letter"/>
        <w:numPr>
          <w:ilvl w:val="3"/>
          <w:numId w:val="11"/>
        </w:numPr>
        <w:rPr>
          <w:noProof/>
        </w:rPr>
      </w:pPr>
      <w:r>
        <w:rPr>
          <w:noProof/>
        </w:rPr>
        <w:t>testarea unui produs, a unor componente corporale sau necorporale sau a unei tehnologii în domeniul apărării;</w:t>
      </w:r>
    </w:p>
    <w:p>
      <w:pPr>
        <w:pStyle w:val="Point1letter"/>
        <w:numPr>
          <w:ilvl w:val="3"/>
          <w:numId w:val="11"/>
        </w:numPr>
        <w:rPr>
          <w:noProof/>
        </w:rPr>
      </w:pPr>
      <w:r>
        <w:rPr>
          <w:noProof/>
        </w:rPr>
        <w:t>calificarea unui produs, a unor componente corporale sau necorporale sau a unei tehnologii în domeniul apărării; calificarea este întregul proces care demonstrează că proiectul unui produs/unei componente/tehnologii îndeplinește cerințele specificate. Acest proces oferă dovezi obiective prin care se demonstrează că cerințele specifice ale unui model au fost îndeplinite;</w:t>
      </w:r>
    </w:p>
    <w:p>
      <w:pPr>
        <w:pStyle w:val="Point1letter"/>
        <w:numPr>
          <w:ilvl w:val="3"/>
          <w:numId w:val="11"/>
        </w:numPr>
        <w:rPr>
          <w:noProof/>
        </w:rPr>
      </w:pPr>
      <w:r>
        <w:rPr>
          <w:noProof/>
        </w:rPr>
        <w:t>certificarea unui produs sau a unei tehnologii de apărare. Certificarea este procesul conform căruia o autoritate națională de omologare certifică faptul că produsul/componenta/tehnologia este conform(ă) cu normele aplicabile;</w:t>
      </w:r>
    </w:p>
    <w:p>
      <w:pPr>
        <w:pStyle w:val="Point1letter"/>
        <w:numPr>
          <w:ilvl w:val="3"/>
          <w:numId w:val="11"/>
        </w:numPr>
        <w:rPr>
          <w:noProof/>
        </w:rPr>
      </w:pPr>
      <w:r>
        <w:rPr>
          <w:noProof/>
        </w:rPr>
        <w:t>studii, cum ar fi studiile de fezabilitate și alte măsuri însoțitoare.</w:t>
      </w:r>
    </w:p>
    <w:p>
      <w:pPr>
        <w:pStyle w:val="ManualNumPar1"/>
        <w:rPr>
          <w:noProof/>
        </w:rPr>
      </w:pPr>
      <w:r>
        <w:rPr>
          <w:noProof/>
        </w:rPr>
        <w:t>(2)</w:t>
      </w:r>
      <w:r>
        <w:rPr>
          <w:noProof/>
        </w:rPr>
        <w:tab/>
        <w:t>Acțiunea este realizată prin intermediul unei cooperări între cel puțin trei întreprinderi care sunt stabilite în cel puțin două state membre diferite. Întreprinderile beneficiare nu sunt controlate efectiv, direct sau indirect, de către aceeași entitate sau nu se controlează reciproc.</w:t>
      </w:r>
    </w:p>
    <w:p>
      <w:pPr>
        <w:pStyle w:val="ManualNumPar1"/>
        <w:rPr>
          <w:noProof/>
        </w:rPr>
      </w:pPr>
      <w:r>
        <w:rPr>
          <w:noProof/>
        </w:rPr>
        <w:t>(3)</w:t>
      </w:r>
      <w:r>
        <w:rPr>
          <w:noProof/>
        </w:rPr>
        <w:tab/>
        <w:t>În sensul alineatului (2), „control efectiv” înseamnă o relație constituită din drepturi, contracte sau orice alte mijloace care, fie separat, fie împreună și având în vedere împrejurările de fapt sau de drept implicate, conferă posibilitatea de a exercita în mod direct sau indirect o influență decisivă asupra unei întreprinderi, în special prin:</w:t>
      </w:r>
    </w:p>
    <w:p>
      <w:pPr>
        <w:pStyle w:val="Point1letter"/>
        <w:numPr>
          <w:ilvl w:val="3"/>
          <w:numId w:val="13"/>
        </w:numPr>
        <w:rPr>
          <w:noProof/>
        </w:rPr>
      </w:pPr>
      <w:r>
        <w:rPr>
          <w:noProof/>
        </w:rPr>
        <w:t>dreptul de folosință, totală sau parțială, a activelor unei întreprinderi;</w:t>
      </w:r>
    </w:p>
    <w:p>
      <w:pPr>
        <w:pStyle w:val="Point1letter"/>
        <w:rPr>
          <w:noProof/>
        </w:rPr>
      </w:pPr>
      <w:r>
        <w:rPr>
          <w:noProof/>
        </w:rPr>
        <w:t xml:space="preserve">drepturi sau contracte care conferă o influență decisivă asupra alcătuirii, votului sau deciziilor organelor unei întreprinderi sau care conferă în alt mod o influență decisivă asupra desfășurării activității unei întreprinderi. </w:t>
      </w:r>
    </w:p>
    <w:p>
      <w:pPr>
        <w:pStyle w:val="ManualNumPar1"/>
        <w:rPr>
          <w:noProof/>
        </w:rPr>
      </w:pPr>
      <w:r>
        <w:rPr>
          <w:noProof/>
        </w:rPr>
        <w:t>(4)</w:t>
      </w:r>
      <w:r>
        <w:rPr>
          <w:noProof/>
        </w:rPr>
        <w:tab/>
        <w:t>Atunci când se referă la acțiunile definite la literele (b)-(f) de la alineatul (1), acțiunea trebuie să se bazeze pe specificațiile tehnice comune.</w:t>
      </w:r>
    </w:p>
    <w:p>
      <w:pPr>
        <w:pStyle w:val="Titrearticle"/>
        <w:rPr>
          <w:noProof/>
        </w:rPr>
      </w:pPr>
      <w:r>
        <w:rPr>
          <w:noProof/>
        </w:rPr>
        <w:t>Articolul 7</w:t>
      </w:r>
    </w:p>
    <w:p>
      <w:pPr>
        <w:jc w:val="center"/>
        <w:rPr>
          <w:noProof/>
        </w:rPr>
      </w:pPr>
      <w:r>
        <w:rPr>
          <w:noProof/>
        </w:rPr>
        <w:t>Entități eligibile</w:t>
      </w:r>
    </w:p>
    <w:p>
      <w:pPr>
        <w:pStyle w:val="ManualNumPar1"/>
        <w:rPr>
          <w:noProof/>
        </w:rPr>
      </w:pPr>
      <w:r>
        <w:rPr>
          <w:noProof/>
        </w:rPr>
        <w:t>(1)</w:t>
      </w:r>
      <w:r>
        <w:rPr>
          <w:noProof/>
        </w:rPr>
        <w:tab/>
        <w:t>Beneficiarii sunt întreprinderi care au sediul în Uniune, în care statele membre și/sau resortisanți ai acestora dețin peste 50 % din întreprindere și au controlul efectiv asupra acesteia în sensul articolului 6 alineatul (3), direct sau indirect printr-una sau mai multe întreprinderi intermediare. În plus, infrastructura, toate echipamentele, activele și resursele utilizate de către participanți, inclusiv de către subcontractanți și alte părți terțe, în cadrul acțiunilor finanțate în cadrul programului nu trebuie să fie situate pe teritoriul unei țări terțe, pe întreaga durată a acțiunii.</w:t>
      </w:r>
    </w:p>
    <w:p>
      <w:pPr>
        <w:pStyle w:val="ManualNumPar1"/>
        <w:rPr>
          <w:noProof/>
        </w:rPr>
      </w:pPr>
      <w:r>
        <w:rPr>
          <w:noProof/>
        </w:rPr>
        <w:t>(2)</w:t>
      </w:r>
      <w:r>
        <w:rPr>
          <w:noProof/>
        </w:rPr>
        <w:tab/>
        <w:t>În cazul în care beneficiarul, în sensul definiției de la alineatul (1), este în curs de elaborare a unei acțiuni, conform definiției de la articolul 6, în contextul cooperării structurate permanente, el este eligibil pentru creșterea finanțării prevăzute la articolul 11 alineatul (2) în ceea ce privește acțiunea respectivă.</w:t>
      </w:r>
    </w:p>
    <w:p>
      <w:pPr>
        <w:pStyle w:val="Titrearticle"/>
        <w:rPr>
          <w:noProof/>
        </w:rPr>
      </w:pPr>
      <w:r>
        <w:rPr>
          <w:noProof/>
        </w:rPr>
        <w:t>Articolul 8</w:t>
      </w:r>
    </w:p>
    <w:p>
      <w:pPr>
        <w:jc w:val="center"/>
        <w:rPr>
          <w:noProof/>
        </w:rPr>
      </w:pPr>
      <w:r>
        <w:rPr>
          <w:noProof/>
        </w:rPr>
        <w:t>Declarația solicitanților</w:t>
      </w:r>
    </w:p>
    <w:p>
      <w:pPr>
        <w:rPr>
          <w:noProof/>
        </w:rPr>
      </w:pPr>
      <w:r>
        <w:rPr>
          <w:noProof/>
        </w:rPr>
        <w:t>Fiecare solicitant declară, în scris, că este pe deplin conștient de și respectă legislația națională și a Uniunii aplicabilă și reglementările privind activitățile din domeniul apărării.</w:t>
      </w:r>
    </w:p>
    <w:p>
      <w:pPr>
        <w:pStyle w:val="Titrearticle"/>
        <w:rPr>
          <w:noProof/>
        </w:rPr>
      </w:pPr>
      <w:r>
        <w:rPr>
          <w:noProof/>
        </w:rPr>
        <w:t>Articolul 9</w:t>
      </w:r>
    </w:p>
    <w:p>
      <w:pPr>
        <w:jc w:val="center"/>
        <w:rPr>
          <w:noProof/>
        </w:rPr>
      </w:pPr>
      <w:r>
        <w:rPr>
          <w:noProof/>
        </w:rPr>
        <w:t>Consorțiu</w:t>
      </w:r>
    </w:p>
    <w:p>
      <w:pPr>
        <w:pStyle w:val="ManualNumPar1"/>
        <w:rPr>
          <w:noProof/>
        </w:rPr>
      </w:pPr>
      <w:r>
        <w:rPr>
          <w:noProof/>
        </w:rPr>
        <w:t>(1)</w:t>
      </w:r>
      <w:r>
        <w:rPr>
          <w:noProof/>
        </w:rPr>
        <w:tab/>
        <w:t>În cazul în care asistența financiară a Uniunii se acordă prin intermediul unui grant, membrii oricărui consorțiu care doresc să participe la o acțiune îl desemnează pe unul dintre ei să acționeze drept coordonator; acest coordonator este numit în acordul de grant. Coordonatorul este principalul punct de contact între membrii consorțiului în relațiile cu Comisia sau cu organismul de finanțare relevant, cu excepția unor dispoziții contrare în acordul de grant sau în cazul neîndeplinirii obligațiilor care îi revin în temeiul acordului de grant.</w:t>
      </w:r>
    </w:p>
    <w:p>
      <w:pPr>
        <w:pStyle w:val="ManualNumPar1"/>
        <w:rPr>
          <w:noProof/>
        </w:rPr>
      </w:pPr>
      <w:r>
        <w:rPr>
          <w:noProof/>
        </w:rPr>
        <w:t>(2)</w:t>
      </w:r>
      <w:r>
        <w:rPr>
          <w:noProof/>
        </w:rPr>
        <w:tab/>
        <w:t>Membrii unui consorțiu care participă la o acțiune încheie un acord intern care stabilește drepturile și obligațiile lor privind implementarea acțiunii în conformitate cu acordul de grant, cu excepția cazurilor justificate în mod corespunzător prevăzute în programul de activitate sau în cererea de propuneri.</w:t>
      </w:r>
    </w:p>
    <w:p>
      <w:pPr>
        <w:pStyle w:val="Titrearticle"/>
        <w:rPr>
          <w:noProof/>
        </w:rPr>
      </w:pPr>
      <w:r>
        <w:rPr>
          <w:noProof/>
        </w:rPr>
        <w:t>Articolul 10</w:t>
      </w:r>
    </w:p>
    <w:p>
      <w:pPr>
        <w:jc w:val="center"/>
        <w:rPr>
          <w:noProof/>
        </w:rPr>
      </w:pPr>
      <w:r>
        <w:rPr>
          <w:noProof/>
        </w:rPr>
        <w:t>Criterii de atribuire</w:t>
      </w:r>
    </w:p>
    <w:p>
      <w:pPr>
        <w:rPr>
          <w:noProof/>
        </w:rPr>
      </w:pPr>
      <w:r>
        <w:rPr>
          <w:noProof/>
        </w:rPr>
        <w:t>Acțiunile propuse pentru finanțare în cadrul programului se evaluează pe baza următoarelor criterii cumulative:</w:t>
      </w:r>
    </w:p>
    <w:p>
      <w:pPr>
        <w:pStyle w:val="Point0letter"/>
        <w:numPr>
          <w:ilvl w:val="1"/>
          <w:numId w:val="12"/>
        </w:numPr>
        <w:rPr>
          <w:noProof/>
        </w:rPr>
      </w:pPr>
      <w:r>
        <w:rPr>
          <w:noProof/>
        </w:rPr>
        <w:t>excelență</w:t>
      </w:r>
    </w:p>
    <w:p>
      <w:pPr>
        <w:pStyle w:val="Point0letter"/>
        <w:numPr>
          <w:ilvl w:val="1"/>
          <w:numId w:val="12"/>
        </w:numPr>
        <w:rPr>
          <w:noProof/>
        </w:rPr>
      </w:pPr>
      <w:r>
        <w:rPr>
          <w:noProof/>
        </w:rPr>
        <w:t>contribuția la inovarea și dezvoltarea tehnologică a industriei de apărare și, prin urmare, la promovarea autonomiei industriale a Uniunii în domeniul tehnologiilor de apărare; și</w:t>
      </w:r>
    </w:p>
    <w:p>
      <w:pPr>
        <w:pStyle w:val="Point0letter"/>
        <w:numPr>
          <w:ilvl w:val="1"/>
          <w:numId w:val="12"/>
        </w:numPr>
        <w:rPr>
          <w:noProof/>
        </w:rPr>
      </w:pPr>
      <w:r>
        <w:rPr>
          <w:noProof/>
        </w:rPr>
        <w:t>contribuția la interesele de securitate și de apărare ale Uniunii prin consolidarea tehnologiilor de apărare care contribuie la prioritățile în materie de capabilități stabilite de comun acord de către statele membre în cadrul Uniunii; și</w:t>
      </w:r>
    </w:p>
    <w:p>
      <w:pPr>
        <w:pStyle w:val="Point0letter"/>
        <w:numPr>
          <w:ilvl w:val="1"/>
          <w:numId w:val="10"/>
        </w:numPr>
        <w:rPr>
          <w:noProof/>
        </w:rPr>
      </w:pPr>
      <w:r>
        <w:rPr>
          <w:noProof/>
        </w:rPr>
        <w:t>viabilitatea, în special prin demonstrarea de către beneficiari a faptului că costurile eligibile rămase ale acțiunii sunt acoperite de alte instrumente de finanțare, cum ar fi contribuții ale statelor membre; și</w:t>
      </w:r>
    </w:p>
    <w:p>
      <w:pPr>
        <w:pStyle w:val="Point0letter"/>
        <w:numPr>
          <w:ilvl w:val="1"/>
          <w:numId w:val="10"/>
        </w:numPr>
        <w:rPr>
          <w:noProof/>
        </w:rPr>
      </w:pPr>
      <w:r>
        <w:rPr>
          <w:noProof/>
        </w:rPr>
        <w:t xml:space="preserve">pentru acțiunile descrise la articolul 6 alineatul (1) literele (b)-(e), contribuția la competitivitatea industriei europene de apărare prin demonstrarea de către beneficiari a faptului că statele membre s-au angajat să producă și să achiziționeze în comun produsul final sau tehnologia, într-un mod coordonat, inclusiv prin achiziții publice comune, după caz. </w:t>
      </w:r>
    </w:p>
    <w:p>
      <w:pPr>
        <w:pStyle w:val="Titrearticle"/>
        <w:rPr>
          <w:noProof/>
        </w:rPr>
      </w:pPr>
      <w:r>
        <w:rPr>
          <w:noProof/>
        </w:rPr>
        <w:t>Articolul 11</w:t>
      </w:r>
    </w:p>
    <w:p>
      <w:pPr>
        <w:jc w:val="center"/>
        <w:rPr>
          <w:noProof/>
        </w:rPr>
      </w:pPr>
      <w:r>
        <w:rPr>
          <w:noProof/>
        </w:rPr>
        <w:t>Rate de finanțare</w:t>
      </w:r>
    </w:p>
    <w:p>
      <w:pPr>
        <w:pStyle w:val="ManualNumPar1"/>
        <w:rPr>
          <w:noProof/>
        </w:rPr>
      </w:pPr>
      <w:r>
        <w:rPr>
          <w:noProof/>
        </w:rPr>
        <w:t>(1)</w:t>
      </w:r>
      <w:r>
        <w:rPr>
          <w:noProof/>
        </w:rPr>
        <w:tab/>
        <w:t>Asistența financiară din partea Uniunii prevăzută în cadrul programului nu poate depăși 20 % din costul total al acțiunii, în cazul în care aceasta se referă la crearea de prototipuri. În toate celelalte cazuri, asistența poate acoperi inclusiv costul total al acțiunii.</w:t>
      </w:r>
    </w:p>
    <w:p>
      <w:pPr>
        <w:pStyle w:val="ManualNumPar1"/>
        <w:rPr>
          <w:noProof/>
        </w:rPr>
      </w:pPr>
      <w:r>
        <w:rPr>
          <w:noProof/>
        </w:rPr>
        <w:t>(2)</w:t>
      </w:r>
      <w:r>
        <w:rPr>
          <w:noProof/>
        </w:rPr>
        <w:tab/>
        <w:t>O acțiune realizată de un beneficiar menționat la articolul 7 alineatul (2) poate să beneficieze de o rată de finanțare majorată cu 10 puncte procentuale suplimentare.</w:t>
      </w:r>
    </w:p>
    <w:p>
      <w:pPr>
        <w:pStyle w:val="Titrearticle"/>
        <w:rPr>
          <w:noProof/>
        </w:rPr>
      </w:pPr>
      <w:r>
        <w:rPr>
          <w:noProof/>
        </w:rPr>
        <w:t>Articolul 12</w:t>
      </w:r>
    </w:p>
    <w:p>
      <w:pPr>
        <w:jc w:val="center"/>
        <w:rPr>
          <w:noProof/>
        </w:rPr>
      </w:pPr>
      <w:r>
        <w:rPr>
          <w:noProof/>
        </w:rPr>
        <w:t>Drept de proprietate și drepturi de proprietate intelectuală</w:t>
      </w:r>
    </w:p>
    <w:p>
      <w:pPr>
        <w:rPr>
          <w:noProof/>
        </w:rPr>
      </w:pPr>
      <w:r>
        <w:rPr>
          <w:noProof/>
        </w:rPr>
        <w:t xml:space="preserve">Comisia nu deține produsele sau tehnologiile care rezultă din respectivele acțiuni și nici nu poate revendica drepturi de proprietate intelectuală referitoare la acțiune. </w:t>
      </w:r>
    </w:p>
    <w:p>
      <w:pPr>
        <w:pStyle w:val="Titrearticle"/>
        <w:rPr>
          <w:noProof/>
        </w:rPr>
      </w:pPr>
      <w:r>
        <w:rPr>
          <w:noProof/>
        </w:rPr>
        <w:t>Articolul 13</w:t>
      </w:r>
    </w:p>
    <w:p>
      <w:pPr>
        <w:jc w:val="center"/>
        <w:rPr>
          <w:noProof/>
        </w:rPr>
      </w:pPr>
      <w:r>
        <w:rPr>
          <w:noProof/>
        </w:rPr>
        <w:t>Programul de lucru</w:t>
      </w:r>
    </w:p>
    <w:p>
      <w:pPr>
        <w:pStyle w:val="ManualNumPar1"/>
        <w:rPr>
          <w:noProof/>
        </w:rPr>
      </w:pPr>
      <w:r>
        <w:rPr>
          <w:noProof/>
        </w:rPr>
        <w:t>(1)</w:t>
      </w:r>
      <w:r>
        <w:rPr>
          <w:noProof/>
        </w:rPr>
        <w:tab/>
        <w:t>Comisia adoptă un program de lucru multianual pentru durata programului, prin intermediul unui act de punere în aplicare. Acest act de punere în aplicare se adoptă în conformitate cu procedura de examinare menționată la articolul 16 alineatul (2). Programul de lucru menționat trebuie să fie în conformitate cu obiectivele stabilite la articolul 2.</w:t>
      </w:r>
    </w:p>
    <w:p>
      <w:pPr>
        <w:pStyle w:val="ManualNumPar1"/>
        <w:rPr>
          <w:noProof/>
        </w:rPr>
      </w:pPr>
      <w:r>
        <w:rPr>
          <w:noProof/>
        </w:rPr>
        <w:t>(2)</w:t>
      </w:r>
      <w:r>
        <w:rPr>
          <w:noProof/>
        </w:rPr>
        <w:tab/>
        <w:t>Programul de lucru stabilește în detaliu categoriile de proiecte care urmează să fie finanțate în cadrul programului.</w:t>
      </w:r>
    </w:p>
    <w:p>
      <w:pPr>
        <w:pStyle w:val="ManualNumPar1"/>
        <w:rPr>
          <w:noProof/>
        </w:rPr>
      </w:pPr>
      <w:r>
        <w:rPr>
          <w:noProof/>
        </w:rPr>
        <w:t>(3)</w:t>
      </w:r>
      <w:r>
        <w:rPr>
          <w:noProof/>
        </w:rPr>
        <w:tab/>
        <w:t>Programul de lucru asigură faptul că o parte credibilă din bugetul general va veni în sprijinul acțiunilor care permit participarea transfrontalieră a IMM-urilor.</w:t>
      </w:r>
    </w:p>
    <w:p>
      <w:pPr>
        <w:pStyle w:val="Titrearticle"/>
        <w:rPr>
          <w:noProof/>
        </w:rPr>
      </w:pPr>
      <w:r>
        <w:rPr>
          <w:noProof/>
        </w:rPr>
        <w:t>Articolul 14</w:t>
      </w:r>
    </w:p>
    <w:p>
      <w:pPr>
        <w:jc w:val="center"/>
        <w:rPr>
          <w:noProof/>
        </w:rPr>
      </w:pPr>
      <w:r>
        <w:rPr>
          <w:noProof/>
        </w:rPr>
        <w:t>Procedura de acordare</w:t>
      </w:r>
    </w:p>
    <w:p>
      <w:pPr>
        <w:pStyle w:val="ManualNumPar1"/>
        <w:rPr>
          <w:noProof/>
        </w:rPr>
      </w:pPr>
      <w:r>
        <w:rPr>
          <w:noProof/>
        </w:rPr>
        <w:t>(1)</w:t>
      </w:r>
      <w:r>
        <w:rPr>
          <w:noProof/>
        </w:rPr>
        <w:tab/>
        <w:t>La punerea în aplicare a programului, finanțarea din partea Uniunii se acordă în urma unor cereri de propuneri competitive emise în conformitate cu Regulamentul (UE, Euratom) nr. 966/2012 și cu Regulamentul (UE) nr. 1268/12</w:t>
      </w:r>
      <w:r>
        <w:rPr>
          <w:rStyle w:val="FootnoteReference"/>
          <w:noProof/>
        </w:rPr>
        <w:footnoteReference w:id="8"/>
      </w:r>
      <w:r>
        <w:rPr>
          <w:noProof/>
        </w:rPr>
        <w:t>.</w:t>
      </w:r>
    </w:p>
    <w:p>
      <w:pPr>
        <w:pStyle w:val="ManualNumPar1"/>
        <w:rPr>
          <w:noProof/>
        </w:rPr>
      </w:pPr>
      <w:r>
        <w:rPr>
          <w:noProof/>
        </w:rPr>
        <w:t>(2)</w:t>
      </w:r>
      <w:r>
        <w:rPr>
          <w:noProof/>
        </w:rPr>
        <w:tab/>
        <w:t xml:space="preserve">Propunerile depuse în urma cererii de propuneri sunt evaluate de Comisie, asistată de experți independenți, pe baza criteriilor de atribuire stabilite la articolul 10. </w:t>
      </w:r>
    </w:p>
    <w:p>
      <w:pPr>
        <w:pStyle w:val="ManualNumPar1"/>
        <w:rPr>
          <w:noProof/>
        </w:rPr>
      </w:pPr>
      <w:r>
        <w:rPr>
          <w:noProof/>
        </w:rPr>
        <w:t>(3)</w:t>
      </w:r>
      <w:r>
        <w:rPr>
          <w:noProof/>
        </w:rPr>
        <w:tab/>
        <w:t xml:space="preserve">După fiecare cerere de propuneri, Comisia acordă finanțare pentru acțiunile selectate, prin intermediul unui act de punere în aplicare. Actele de punere în aplicare respective se adoptă în conformitate cu procedura de examinare menționată la articolul 16 alineatul (2). </w:t>
      </w:r>
    </w:p>
    <w:p>
      <w:pPr>
        <w:pStyle w:val="Titrearticle"/>
        <w:rPr>
          <w:noProof/>
        </w:rPr>
      </w:pPr>
      <w:r>
        <w:rPr>
          <w:noProof/>
        </w:rPr>
        <w:t>Articolul 15</w:t>
      </w:r>
    </w:p>
    <w:p>
      <w:pPr>
        <w:jc w:val="center"/>
        <w:rPr>
          <w:noProof/>
        </w:rPr>
      </w:pPr>
      <w:r>
        <w:rPr>
          <w:noProof/>
        </w:rPr>
        <w:t>Tranșe anuale</w:t>
      </w:r>
    </w:p>
    <w:p>
      <w:pPr>
        <w:rPr>
          <w:noProof/>
        </w:rPr>
      </w:pPr>
      <w:r>
        <w:rPr>
          <w:noProof/>
          <w:color w:val="000000"/>
        </w:rPr>
        <w:t>Comisia poate împărți angajamentele bugetare în tranșe anuale.</w:t>
      </w:r>
    </w:p>
    <w:p>
      <w:pPr>
        <w:pStyle w:val="Titrearticle"/>
        <w:rPr>
          <w:noProof/>
        </w:rPr>
      </w:pPr>
      <w:r>
        <w:rPr>
          <w:noProof/>
        </w:rPr>
        <w:t>Articolul 16</w:t>
      </w:r>
    </w:p>
    <w:p>
      <w:pPr>
        <w:jc w:val="center"/>
        <w:rPr>
          <w:noProof/>
        </w:rPr>
      </w:pPr>
      <w:r>
        <w:rPr>
          <w:noProof/>
        </w:rPr>
        <w:t>Comitetul</w:t>
      </w:r>
    </w:p>
    <w:p>
      <w:pPr>
        <w:pStyle w:val="ManualNumPar1"/>
        <w:rPr>
          <w:noProof/>
        </w:rPr>
      </w:pPr>
      <w:r>
        <w:rPr>
          <w:noProof/>
        </w:rPr>
        <w:t>(1)</w:t>
      </w:r>
      <w:r>
        <w:rPr>
          <w:noProof/>
        </w:rPr>
        <w:tab/>
        <w:t>Comisia este asistată de un comitet. Respectivul comitet este un comitet în sensul Regulamentului (UE) nr. 182/2011. Agenția Europeană de Apărare este invitată în calitate de observator.</w:t>
      </w:r>
    </w:p>
    <w:p>
      <w:pPr>
        <w:pStyle w:val="ManualNumPar1"/>
        <w:rPr>
          <w:noProof/>
        </w:rPr>
      </w:pPr>
      <w:r>
        <w:rPr>
          <w:noProof/>
        </w:rPr>
        <w:t>(2)</w:t>
      </w:r>
      <w:r>
        <w:rPr>
          <w:noProof/>
        </w:rPr>
        <w:tab/>
        <w:t>În cazul în care se face trimitere la prezentul alineat, se aplică articolul 5 din Regulamentul (UE) nr. 182/2011.</w:t>
      </w:r>
    </w:p>
    <w:p>
      <w:pPr>
        <w:pStyle w:val="Titrearticle"/>
        <w:rPr>
          <w:noProof/>
        </w:rPr>
      </w:pPr>
      <w:r>
        <w:rPr>
          <w:noProof/>
        </w:rPr>
        <w:t>Articolul 17</w:t>
      </w:r>
    </w:p>
    <w:p>
      <w:pPr>
        <w:jc w:val="center"/>
        <w:rPr>
          <w:noProof/>
        </w:rPr>
      </w:pPr>
      <w:r>
        <w:rPr>
          <w:noProof/>
        </w:rPr>
        <w:t>Monitorizare și raportare</w:t>
      </w:r>
    </w:p>
    <w:p>
      <w:pPr>
        <w:pStyle w:val="ManualNumPar1"/>
        <w:rPr>
          <w:noProof/>
        </w:rPr>
      </w:pPr>
      <w:r>
        <w:rPr>
          <w:noProof/>
        </w:rPr>
        <w:t>(1)</w:t>
      </w:r>
      <w:r>
        <w:rPr>
          <w:noProof/>
        </w:rPr>
        <w:tab/>
        <w:t>Comisia monitorizează regulat punerea în aplicare a programului și raportează anual cu privire la progresele înregistrate, în conformitate cu articolul 38 alineatul (3) litera (e) din Regulamentul 966/2012. În acest scop, Comisia trebuie să pună în aplicare măsurile de monitorizare necesare.</w:t>
      </w:r>
    </w:p>
    <w:p>
      <w:pPr>
        <w:pStyle w:val="ManualNumPar1"/>
        <w:rPr>
          <w:i/>
          <w:noProof/>
        </w:rPr>
      </w:pPr>
      <w:r>
        <w:rPr>
          <w:noProof/>
        </w:rPr>
        <w:t>(2)</w:t>
      </w:r>
      <w:r>
        <w:rPr>
          <w:noProof/>
        </w:rPr>
        <w:tab/>
        <w:t>Pentru a încuraja o mai mare eficiență și eficacitate a acțiunilor viitoare ale Uniunii în materie de politică, Comisia întocmește un raport de evaluare și îl transmite Parlamentului European și Consiliului. Pornind de la consultări cu statele membre și cu principalele părți interesate, raportul evaluează, în special, progresele înregistrate în raport cu obiectivele prevăzute la articolul 2. El analizează, de asemenea, participarea transfrontalieră a IMM-urilor la proiecte puse în aplicare în temeiul programului, precum și participarea IMM-urilor la lanțul valoric global.</w:t>
      </w:r>
    </w:p>
    <w:p>
      <w:pPr>
        <w:pStyle w:val="Titrearticle"/>
        <w:rPr>
          <w:noProof/>
        </w:rPr>
      </w:pPr>
      <w:r>
        <w:rPr>
          <w:noProof/>
        </w:rPr>
        <w:t>Articolul 18</w:t>
      </w:r>
    </w:p>
    <w:p>
      <w:pPr>
        <w:jc w:val="center"/>
        <w:rPr>
          <w:noProof/>
        </w:rPr>
      </w:pPr>
      <w:r>
        <w:rPr>
          <w:noProof/>
        </w:rPr>
        <w:t>Protecția intereselor financiare ale Uniunii</w:t>
      </w:r>
    </w:p>
    <w:p>
      <w:pPr>
        <w:pStyle w:val="ManualNumPar1"/>
        <w:rPr>
          <w:noProof/>
        </w:rPr>
      </w:pPr>
      <w:r>
        <w:rPr>
          <w:noProof/>
        </w:rPr>
        <w:t>(1)</w:t>
      </w:r>
      <w:r>
        <w:rPr>
          <w:noProof/>
        </w:rPr>
        <w:tab/>
        <w:t>La punerea în aplicare a acțiunilor finanțate în temeiul prezentului regulament, Comisia ia măsurile corespunzătoare pentru a asigura protecția intereselor financiare ale Uniunii prin aplicarea de măsuri preventive împotriva fraudei, a corupției și a oricăror alte activități ilegale, prin controale eficace și, în cazul în care se constată nereguli, prin recuperarea sau, după caz, restituirea sumelor plătite în mod necuvenit, precum și, dacă este necesar, prin sancțiuni administrative și financiare eficace, proporționale și disuasive.</w:t>
      </w:r>
    </w:p>
    <w:p>
      <w:pPr>
        <w:pStyle w:val="ManualNumPar1"/>
        <w:rPr>
          <w:noProof/>
        </w:rPr>
      </w:pPr>
      <w:r>
        <w:rPr>
          <w:noProof/>
        </w:rPr>
        <w:t>(2)</w:t>
      </w:r>
      <w:r>
        <w:rPr>
          <w:noProof/>
        </w:rPr>
        <w:tab/>
        <w:t>Comisia și Curtea de Conturi au competența de a efectua controale sau, în cazul organizațiilor internaționale, competența de a efectua verificări în conformitate cu acordurile convenite cu acestea, atât pe bază de documente, cât și la fața locului, în ceea ce privește toți beneficiarii de granturi, contractanții și subcontractanții care au primit fonduri din partea Uniunii în temeiul prezentului regulament.</w:t>
      </w:r>
    </w:p>
    <w:p>
      <w:pPr>
        <w:pStyle w:val="ManualNumPar1"/>
        <w:rPr>
          <w:noProof/>
        </w:rPr>
      </w:pPr>
      <w:r>
        <w:rPr>
          <w:noProof/>
        </w:rPr>
        <w:t>(3)</w:t>
      </w:r>
      <w:r>
        <w:rPr>
          <w:noProof/>
        </w:rPr>
        <w:tab/>
        <w:t>Oficiul European de Luptă Antifraudă (OLAF) poate efectua investigații, inclusiv verificări și inspecții la fața locului, în conformitate cu dispozițiile și cu procedurile prevăzute de Regulamentul (UE, Euratom) nr. 883/2013 al Parlamentului European și al Consiliului</w:t>
      </w:r>
      <w:r>
        <w:rPr>
          <w:rStyle w:val="FootnoteReference"/>
          <w:noProof/>
        </w:rPr>
        <w:footnoteReference w:id="9"/>
      </w:r>
      <w:r>
        <w:rPr>
          <w:noProof/>
        </w:rPr>
        <w:t xml:space="preserve"> și de Regulamentul (Euratom, CE) nr. 2185/96 al Consiliului</w:t>
      </w:r>
      <w:r>
        <w:rPr>
          <w:rStyle w:val="FootnoteReference"/>
          <w:noProof/>
        </w:rPr>
        <w:footnoteReference w:id="10"/>
      </w:r>
      <w:r>
        <w:rPr>
          <w:noProof/>
        </w:rPr>
        <w:t>, pentru a stabili existența fraudei, a corupției sau a oricăror alte activități ilegale care afectează interesele financiare ale Uniunii în legătură cu un acord de grant sau cu o decizie de acordare a unui grant sau un contract finanțat prin prezentul regulament.</w:t>
      </w:r>
    </w:p>
    <w:p>
      <w:pPr>
        <w:pStyle w:val="Titrearticle"/>
        <w:rPr>
          <w:noProof/>
        </w:rPr>
      </w:pPr>
      <w:r>
        <w:rPr>
          <w:noProof/>
        </w:rPr>
        <w:t>Articolul 19</w:t>
      </w:r>
    </w:p>
    <w:p>
      <w:pPr>
        <w:rPr>
          <w:noProof/>
        </w:rPr>
      </w:pPr>
      <w:r>
        <w:rPr>
          <w:noProof/>
        </w:rPr>
        <w:t xml:space="preserve">Prezentul regulament intră în vigoare în a douăzecea zi de la data publicării în </w:t>
      </w:r>
      <w:r>
        <w:rPr>
          <w:i/>
          <w:noProof/>
        </w:rPr>
        <w:t>Jurnalul Oficial al Uniunii Europene</w:t>
      </w:r>
      <w:r>
        <w:rPr>
          <w:noProof/>
        </w:rPr>
        <w:t>.</w:t>
      </w:r>
    </w:p>
    <w:p>
      <w:pPr>
        <w:pStyle w:val="Applicationdirecte"/>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t>FIȘĂ FINANCIARĂ LEGISLATIVĂ</w:t>
      </w:r>
    </w:p>
    <w:p>
      <w:pPr>
        <w:pStyle w:val="ManualHeading1"/>
        <w:rPr>
          <w:noProof/>
        </w:rPr>
      </w:pPr>
      <w:r>
        <w:rPr>
          <w:noProof/>
        </w:rPr>
        <w:t>1.</w:t>
      </w:r>
      <w:r>
        <w:rPr>
          <w:noProof/>
        </w:rPr>
        <w:tab/>
        <w:t xml:space="preserve">CADRUL PROPUNERII/INIȚIATIVEI </w:t>
      </w:r>
    </w:p>
    <w:p>
      <w:pPr>
        <w:pStyle w:val="ManualHeading2"/>
        <w:rPr>
          <w:b w:val="0"/>
          <w:noProof/>
        </w:rPr>
      </w:pPr>
      <w:r>
        <w:rPr>
          <w:noProof/>
        </w:rPr>
        <w:tab/>
      </w:r>
      <w:r>
        <w:rPr>
          <w:b w:val="0"/>
          <w:noProof/>
        </w:rPr>
        <w:t>1.1.</w:t>
      </w:r>
      <w:r>
        <w:rPr>
          <w:noProof/>
        </w:rPr>
        <w:tab/>
      </w:r>
      <w:r>
        <w:rPr>
          <w:b w:val="0"/>
          <w:noProof/>
        </w:rPr>
        <w:t xml:space="preserve">Titlul propunerii/inițiativei </w:t>
      </w:r>
    </w:p>
    <w:p>
      <w:pPr>
        <w:pStyle w:val="ManualHeading2"/>
        <w:rPr>
          <w:b w:val="0"/>
          <w:noProof/>
        </w:rPr>
      </w:pPr>
      <w:r>
        <w:rPr>
          <w:noProof/>
        </w:rPr>
        <w:tab/>
      </w:r>
      <w:r>
        <w:rPr>
          <w:b w:val="0"/>
          <w:noProof/>
        </w:rPr>
        <w:t>1.2.</w:t>
      </w:r>
      <w:r>
        <w:rPr>
          <w:noProof/>
        </w:rPr>
        <w:tab/>
      </w:r>
      <w:r>
        <w:rPr>
          <w:b w:val="0"/>
          <w:noProof/>
        </w:rPr>
        <w:t>Domeniul (domeniile) de politică în cauză în structura ABM/ABB</w:t>
      </w:r>
    </w:p>
    <w:p>
      <w:pPr>
        <w:pStyle w:val="ManualHeading2"/>
        <w:rPr>
          <w:b w:val="0"/>
          <w:noProof/>
        </w:rPr>
      </w:pPr>
      <w:r>
        <w:rPr>
          <w:noProof/>
        </w:rPr>
        <w:tab/>
      </w:r>
      <w:r>
        <w:rPr>
          <w:b w:val="0"/>
          <w:noProof/>
        </w:rPr>
        <w:t>1.3.</w:t>
      </w:r>
      <w:r>
        <w:rPr>
          <w:noProof/>
        </w:rPr>
        <w:tab/>
      </w:r>
      <w:r>
        <w:rPr>
          <w:b w:val="0"/>
          <w:noProof/>
        </w:rPr>
        <w:t xml:space="preserve">Tipul propunerii/inițiativei </w:t>
      </w:r>
    </w:p>
    <w:p>
      <w:pPr>
        <w:pStyle w:val="ManualHeading2"/>
        <w:rPr>
          <w:b w:val="0"/>
          <w:noProof/>
        </w:rPr>
      </w:pPr>
      <w:r>
        <w:rPr>
          <w:noProof/>
        </w:rPr>
        <w:tab/>
      </w:r>
      <w:r>
        <w:rPr>
          <w:b w:val="0"/>
          <w:noProof/>
        </w:rPr>
        <w:t>1.4.</w:t>
      </w:r>
      <w:r>
        <w:rPr>
          <w:noProof/>
        </w:rPr>
        <w:tab/>
      </w:r>
      <w:r>
        <w:rPr>
          <w:b w:val="0"/>
          <w:noProof/>
        </w:rPr>
        <w:t xml:space="preserve">Obiectiv(e) </w:t>
      </w:r>
    </w:p>
    <w:p>
      <w:pPr>
        <w:pStyle w:val="ManualHeading2"/>
        <w:rPr>
          <w:b w:val="0"/>
          <w:noProof/>
        </w:rPr>
      </w:pPr>
      <w:r>
        <w:rPr>
          <w:noProof/>
        </w:rPr>
        <w:tab/>
      </w:r>
      <w:r>
        <w:rPr>
          <w:b w:val="0"/>
          <w:noProof/>
        </w:rPr>
        <w:t>1.5.</w:t>
      </w:r>
      <w:r>
        <w:rPr>
          <w:noProof/>
        </w:rPr>
        <w:tab/>
      </w:r>
      <w:r>
        <w:rPr>
          <w:b w:val="0"/>
          <w:noProof/>
        </w:rPr>
        <w:t xml:space="preserve">Motivele propunerii/inițiativei </w:t>
      </w:r>
    </w:p>
    <w:p>
      <w:pPr>
        <w:pStyle w:val="ManualHeading2"/>
        <w:rPr>
          <w:b w:val="0"/>
          <w:noProof/>
        </w:rPr>
      </w:pPr>
      <w:r>
        <w:rPr>
          <w:noProof/>
        </w:rPr>
        <w:tab/>
      </w:r>
      <w:r>
        <w:rPr>
          <w:b w:val="0"/>
          <w:noProof/>
        </w:rPr>
        <w:t>1.6.</w:t>
      </w:r>
      <w:r>
        <w:rPr>
          <w:noProof/>
        </w:rPr>
        <w:tab/>
      </w:r>
      <w:r>
        <w:rPr>
          <w:b w:val="0"/>
          <w:noProof/>
        </w:rPr>
        <w:t xml:space="preserve">Durata și impactul financiar </w:t>
      </w:r>
    </w:p>
    <w:p>
      <w:pPr>
        <w:pStyle w:val="ManualHeading2"/>
        <w:rPr>
          <w:b w:val="0"/>
          <w:noProof/>
        </w:rPr>
      </w:pPr>
      <w:r>
        <w:rPr>
          <w:noProof/>
        </w:rPr>
        <w:tab/>
      </w:r>
      <w:r>
        <w:rPr>
          <w:b w:val="0"/>
          <w:noProof/>
        </w:rPr>
        <w:t>1.7.</w:t>
      </w:r>
      <w:r>
        <w:rPr>
          <w:noProof/>
        </w:rPr>
        <w:tab/>
      </w:r>
      <w:r>
        <w:rPr>
          <w:b w:val="0"/>
          <w:noProof/>
        </w:rPr>
        <w:t xml:space="preserve">Modul (modurile) de gestiune preconizat(e) </w:t>
      </w:r>
    </w:p>
    <w:p>
      <w:pPr>
        <w:pStyle w:val="ManualHeading1"/>
        <w:rPr>
          <w:noProof/>
        </w:rPr>
      </w:pPr>
      <w:r>
        <w:rPr>
          <w:noProof/>
        </w:rPr>
        <w:t>2.</w:t>
      </w:r>
      <w:r>
        <w:rPr>
          <w:noProof/>
        </w:rPr>
        <w:tab/>
        <w:t xml:space="preserve">MĂSURI DE GESTIONARE </w:t>
      </w:r>
    </w:p>
    <w:p>
      <w:pPr>
        <w:pStyle w:val="ManualHeading2"/>
        <w:rPr>
          <w:b w:val="0"/>
          <w:noProof/>
        </w:rPr>
      </w:pPr>
      <w:r>
        <w:rPr>
          <w:noProof/>
        </w:rPr>
        <w:tab/>
      </w:r>
      <w:r>
        <w:rPr>
          <w:b w:val="0"/>
          <w:noProof/>
        </w:rPr>
        <w:t>2.1.</w:t>
      </w:r>
      <w:r>
        <w:rPr>
          <w:noProof/>
        </w:rPr>
        <w:tab/>
      </w:r>
      <w:r>
        <w:rPr>
          <w:b w:val="0"/>
          <w:noProof/>
        </w:rPr>
        <w:t xml:space="preserve">Norme de monitorizare și raportare </w:t>
      </w:r>
    </w:p>
    <w:p>
      <w:pPr>
        <w:pStyle w:val="ManualHeading2"/>
        <w:rPr>
          <w:b w:val="0"/>
          <w:noProof/>
        </w:rPr>
      </w:pPr>
      <w:r>
        <w:rPr>
          <w:noProof/>
        </w:rPr>
        <w:tab/>
      </w:r>
      <w:r>
        <w:rPr>
          <w:b w:val="0"/>
          <w:noProof/>
        </w:rPr>
        <w:t>2.2.</w:t>
      </w:r>
      <w:r>
        <w:rPr>
          <w:noProof/>
        </w:rPr>
        <w:tab/>
      </w:r>
      <w:r>
        <w:rPr>
          <w:b w:val="0"/>
          <w:noProof/>
        </w:rPr>
        <w:t xml:space="preserve">Sistemul de gestionare și control </w:t>
      </w:r>
    </w:p>
    <w:p>
      <w:pPr>
        <w:pStyle w:val="ManualHeading2"/>
        <w:rPr>
          <w:b w:val="0"/>
          <w:noProof/>
        </w:rPr>
      </w:pPr>
      <w:r>
        <w:rPr>
          <w:noProof/>
        </w:rPr>
        <w:tab/>
      </w:r>
      <w:r>
        <w:rPr>
          <w:b w:val="0"/>
          <w:noProof/>
        </w:rPr>
        <w:t>2.3.</w:t>
      </w:r>
      <w:r>
        <w:rPr>
          <w:noProof/>
        </w:rPr>
        <w:tab/>
      </w:r>
      <w:r>
        <w:rPr>
          <w:b w:val="0"/>
          <w:noProof/>
        </w:rPr>
        <w:t xml:space="preserve">Măsuri de prevenire a fraudelor și a neregulilor </w:t>
      </w:r>
    </w:p>
    <w:p>
      <w:pPr>
        <w:pStyle w:val="ManualHeading1"/>
        <w:rPr>
          <w:noProof/>
        </w:rPr>
      </w:pPr>
      <w:r>
        <w:rPr>
          <w:noProof/>
        </w:rPr>
        <w:t>3.</w:t>
      </w:r>
      <w:r>
        <w:rPr>
          <w:noProof/>
        </w:rPr>
        <w:tab/>
        <w:t xml:space="preserve">IMPACTUL FINANCIAR ESTIMAT AL PROPUNERII/INIȚIATIVEI </w:t>
      </w:r>
    </w:p>
    <w:p>
      <w:pPr>
        <w:pStyle w:val="ManualHeading2"/>
        <w:rPr>
          <w:b w:val="0"/>
          <w:noProof/>
        </w:rPr>
      </w:pPr>
      <w:r>
        <w:rPr>
          <w:noProof/>
        </w:rPr>
        <w:tab/>
      </w:r>
      <w:r>
        <w:rPr>
          <w:b w:val="0"/>
          <w:noProof/>
        </w:rPr>
        <w:t>3.1.</w:t>
      </w:r>
      <w:r>
        <w:rPr>
          <w:noProof/>
        </w:rPr>
        <w:tab/>
      </w:r>
      <w:r>
        <w:rPr>
          <w:b w:val="0"/>
          <w:noProof/>
        </w:rPr>
        <w:t xml:space="preserve">Rubrica (rubricile) din cadrul financiar multianual și linia (liniile) bugetară (bugetare) de cheltuieli afectată (afectate) </w:t>
      </w:r>
    </w:p>
    <w:p>
      <w:pPr>
        <w:pStyle w:val="ManualHeading2"/>
        <w:rPr>
          <w:noProof/>
        </w:rPr>
      </w:pPr>
      <w:r>
        <w:rPr>
          <w:noProof/>
        </w:rPr>
        <w:tab/>
      </w:r>
      <w:r>
        <w:rPr>
          <w:b w:val="0"/>
          <w:noProof/>
        </w:rPr>
        <w:t>3.2.</w:t>
      </w:r>
      <w:r>
        <w:rPr>
          <w:noProof/>
        </w:rPr>
        <w:tab/>
      </w:r>
      <w:r>
        <w:rPr>
          <w:b w:val="0"/>
          <w:noProof/>
        </w:rPr>
        <w:t>Impactul estimat asupra cheltuielilor</w:t>
      </w:r>
      <w:r>
        <w:rPr>
          <w:noProof/>
        </w:rPr>
        <w:t xml:space="preserve"> </w:t>
      </w:r>
    </w:p>
    <w:p>
      <w:pPr>
        <w:pStyle w:val="ManualHeading3"/>
        <w:rPr>
          <w:noProof/>
        </w:rPr>
      </w:pPr>
      <w:r>
        <w:rPr>
          <w:noProof/>
        </w:rPr>
        <w:tab/>
        <w:t>3.2.1.</w:t>
      </w:r>
      <w:r>
        <w:rPr>
          <w:noProof/>
        </w:rPr>
        <w:tab/>
        <w:t xml:space="preserve">Sinteza impactului estimat asupra cheltuielilor </w:t>
      </w:r>
    </w:p>
    <w:p>
      <w:pPr>
        <w:pStyle w:val="ManualHeading3"/>
        <w:rPr>
          <w:noProof/>
        </w:rPr>
      </w:pPr>
      <w:r>
        <w:rPr>
          <w:noProof/>
        </w:rPr>
        <w:tab/>
        <w:t>3.2.2.</w:t>
      </w:r>
      <w:r>
        <w:rPr>
          <w:noProof/>
        </w:rPr>
        <w:tab/>
        <w:t xml:space="preserve">Impactul estimat asupra creditelor operaționale </w:t>
      </w:r>
    </w:p>
    <w:p>
      <w:pPr>
        <w:pStyle w:val="ManualHeading3"/>
        <w:rPr>
          <w:noProof/>
        </w:rPr>
      </w:pPr>
      <w:r>
        <w:rPr>
          <w:noProof/>
        </w:rPr>
        <w:tab/>
        <w:t>3.2.3.</w:t>
      </w:r>
      <w:r>
        <w:rPr>
          <w:noProof/>
        </w:rPr>
        <w:tab/>
        <w:t>Impactul estimat asupra creditelor cu caracter administrativ</w:t>
      </w:r>
    </w:p>
    <w:p>
      <w:pPr>
        <w:pStyle w:val="ManualHeading3"/>
        <w:rPr>
          <w:noProof/>
        </w:rPr>
      </w:pPr>
      <w:r>
        <w:rPr>
          <w:noProof/>
        </w:rPr>
        <w:tab/>
        <w:t>3.2.4.</w:t>
      </w:r>
      <w:r>
        <w:rPr>
          <w:noProof/>
        </w:rPr>
        <w:tab/>
        <w:t>Compatibilitatea cu actualul cadru financiar multianual</w:t>
      </w:r>
    </w:p>
    <w:p>
      <w:pPr>
        <w:pStyle w:val="ManualHeading3"/>
        <w:rPr>
          <w:noProof/>
        </w:rPr>
      </w:pPr>
      <w:r>
        <w:rPr>
          <w:noProof/>
        </w:rPr>
        <w:tab/>
        <w:t>3.2.5.</w:t>
      </w:r>
      <w:r>
        <w:rPr>
          <w:noProof/>
        </w:rPr>
        <w:tab/>
        <w:t xml:space="preserve">Contribuția terților </w:t>
      </w:r>
    </w:p>
    <w:p>
      <w:pPr>
        <w:pStyle w:val="ManualHeading2"/>
        <w:jc w:val="left"/>
        <w:rPr>
          <w:b w:val="0"/>
          <w:noProof/>
        </w:rPr>
        <w:sectPr>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Impactul estimat asupra veniturilor</w:t>
      </w:r>
    </w:p>
    <w:p>
      <w:pPr>
        <w:jc w:val="center"/>
        <w:rPr>
          <w:b/>
          <w:noProof/>
          <w:u w:val="single"/>
        </w:rPr>
      </w:pPr>
      <w:r>
        <w:rPr>
          <w:b/>
          <w:noProof/>
          <w:u w:val="single"/>
        </w:rPr>
        <w:t>FIȘĂ FINANCIARĂ LEGISLATIVĂ</w:t>
      </w:r>
    </w:p>
    <w:p>
      <w:pPr>
        <w:pStyle w:val="ManualHeading1"/>
        <w:rPr>
          <w:noProof/>
        </w:rPr>
      </w:pPr>
      <w:r>
        <w:t>1.</w:t>
      </w:r>
      <w:r>
        <w:tab/>
      </w:r>
      <w:r>
        <w:rPr>
          <w:noProof/>
        </w:rPr>
        <w:t xml:space="preserve">CADRUL PROPUNERII/INIȚIATIVEI </w:t>
      </w:r>
    </w:p>
    <w:p>
      <w:pPr>
        <w:pStyle w:val="ManualHeading2"/>
        <w:rPr>
          <w:noProof/>
        </w:rPr>
      </w:pPr>
      <w:r>
        <w:t>1.1.</w:t>
      </w:r>
      <w:r>
        <w:tab/>
      </w:r>
      <w:r>
        <w:rPr>
          <w:noProof/>
        </w:rPr>
        <w:t xml:space="preserve">Titlul propunerii/inițiativei </w:t>
      </w:r>
    </w:p>
    <w:p>
      <w:pPr>
        <w:pStyle w:val="Text10"/>
        <w:rPr>
          <w:noProof/>
        </w:rPr>
      </w:pPr>
      <w:r>
        <w:rPr>
          <w:noProof/>
        </w:rPr>
        <w:t>Regulamentul Parlamentului European și al Consiliului de instituire a programului european de dezvoltare industrială în domeniul apărării, pentru sprijinirea competitivității și a capacității de inovare a industriei de apărare a UE.</w:t>
      </w:r>
    </w:p>
    <w:p>
      <w:pPr>
        <w:pStyle w:val="ManualHeading2"/>
        <w:rPr>
          <w:noProof/>
          <w:szCs w:val="24"/>
        </w:rPr>
      </w:pPr>
      <w:r>
        <w:t>1.2.</w:t>
      </w:r>
      <w:r>
        <w:tab/>
      </w:r>
      <w:r>
        <w:rPr>
          <w:noProof/>
        </w:rPr>
        <w:t>Domeniul (domeniile) de politică vizat(e)</w:t>
      </w:r>
      <w:r>
        <w:rPr>
          <w:i/>
          <w:noProof/>
        </w:rPr>
        <w:t xml:space="preserve"> </w:t>
      </w:r>
    </w:p>
    <w:p>
      <w:pPr>
        <w:pBdr>
          <w:top w:val="single" w:sz="4" w:space="1" w:color="auto"/>
          <w:left w:val="single" w:sz="4" w:space="4" w:color="auto"/>
          <w:bottom w:val="single" w:sz="4" w:space="0" w:color="auto"/>
          <w:right w:val="single" w:sz="4" w:space="4" w:color="auto"/>
        </w:pBdr>
        <w:ind w:left="850"/>
        <w:rPr>
          <w:noProof/>
        </w:rPr>
      </w:pPr>
      <w:r>
        <w:rPr>
          <w:noProof/>
        </w:rPr>
        <w:t>Titlul 02 - Piața internă, industrie, antreprenoriat și IMM-uri</w:t>
      </w:r>
    </w:p>
    <w:p>
      <w:pPr>
        <w:pBdr>
          <w:top w:val="single" w:sz="4" w:space="1" w:color="auto"/>
          <w:left w:val="single" w:sz="4" w:space="4" w:color="auto"/>
          <w:bottom w:val="single" w:sz="4" w:space="0" w:color="auto"/>
          <w:right w:val="single" w:sz="4" w:space="4" w:color="auto"/>
        </w:pBdr>
        <w:ind w:left="850"/>
        <w:rPr>
          <w:noProof/>
        </w:rPr>
      </w:pPr>
      <w:r>
        <w:rPr>
          <w:noProof/>
        </w:rPr>
        <w:t>Capitolul 02.07: Programul european de dezvoltare a industriei de apărare</w:t>
      </w:r>
    </w:p>
    <w:p>
      <w:pPr>
        <w:pBdr>
          <w:top w:val="single" w:sz="4" w:space="1" w:color="auto"/>
          <w:left w:val="single" w:sz="4" w:space="4" w:color="auto"/>
          <w:bottom w:val="single" w:sz="4" w:space="0" w:color="auto"/>
          <w:right w:val="single" w:sz="4" w:space="4" w:color="auto"/>
        </w:pBdr>
        <w:ind w:left="850"/>
        <w:rPr>
          <w:noProof/>
        </w:rPr>
      </w:pPr>
    </w:p>
    <w:p>
      <w:pPr>
        <w:pStyle w:val="ManualHeading2"/>
        <w:rPr>
          <w:noProof/>
          <w:szCs w:val="24"/>
        </w:rPr>
      </w:pPr>
      <w:r>
        <w:t>1.3.</w:t>
      </w:r>
      <w:r>
        <w:tab/>
      </w:r>
      <w:r>
        <w:rPr>
          <w:noProof/>
        </w:rPr>
        <w:t xml:space="preserve">Tipul propunerii/inițiativei </w:t>
      </w:r>
    </w:p>
    <w:p>
      <w:pPr>
        <w:ind w:left="850"/>
        <w:rPr>
          <w:b/>
          <w:noProof/>
          <w:sz w:val="22"/>
        </w:rPr>
      </w:pPr>
      <w:r>
        <w:rPr>
          <w:noProof/>
          <w:sz w:val="22"/>
        </w:rPr>
        <w:sym w:font="Wingdings" w:char="F0FE"/>
      </w:r>
      <w:r>
        <w:rPr>
          <w:b/>
          <w:i/>
          <w:noProof/>
          <w:sz w:val="22"/>
        </w:rPr>
        <w:t xml:space="preserve"> </w:t>
      </w:r>
      <w:r>
        <w:rPr>
          <w:noProof/>
        </w:rPr>
        <w:t xml:space="preserve">Propunerea/inițiativa se referă </w:t>
      </w:r>
      <w:r>
        <w:rPr>
          <w:b/>
          <w:noProof/>
        </w:rPr>
        <w:t>la o acțiune nouă</w:t>
      </w:r>
      <w:r>
        <w:rPr>
          <w:b/>
          <w:noProof/>
          <w:sz w:val="22"/>
        </w:rPr>
        <w:t xml:space="preserve"> </w:t>
      </w:r>
    </w:p>
    <w:p>
      <w:pPr>
        <w:ind w:left="850"/>
        <w:rPr>
          <w:noProof/>
          <w:sz w:val="22"/>
        </w:rPr>
      </w:pPr>
      <w:r>
        <w:rPr>
          <w:noProof/>
          <w:sz w:val="22"/>
        </w:rPr>
        <w:sym w:font="Wingdings" w:char="F0A8"/>
      </w:r>
      <w:r>
        <w:rPr>
          <w:noProof/>
        </w:rPr>
        <w:t xml:space="preserve"> Propunerea/inițiativa se referă la </w:t>
      </w:r>
      <w:r>
        <w:rPr>
          <w:b/>
          <w:noProof/>
        </w:rPr>
        <w:t>o acțiune nouă ca urmare a unui proiect</w:t>
      </w:r>
      <w:r>
        <w:rPr>
          <w:b/>
          <w:noProof/>
        </w:rPr>
        <w:noBreakHyphen/>
        <w:t>pilot/a unei acțiuni pregătitoare</w:t>
      </w:r>
      <w:r>
        <w:rPr>
          <w:rStyle w:val="FootnoteReference"/>
          <w:noProof/>
        </w:rPr>
        <w:footnoteReference w:id="11"/>
      </w:r>
      <w:r>
        <w:rPr>
          <w:noProof/>
          <w:sz w:val="22"/>
        </w:rPr>
        <w:t xml:space="preserve"> </w:t>
      </w:r>
    </w:p>
    <w:p>
      <w:pPr>
        <w:ind w:left="850"/>
        <w:rPr>
          <w:noProof/>
          <w:sz w:val="22"/>
        </w:rPr>
      </w:pPr>
      <w:r>
        <w:rPr>
          <w:noProof/>
          <w:sz w:val="22"/>
        </w:rPr>
        <w:sym w:font="Wingdings" w:char="F0A8"/>
      </w:r>
      <w:r>
        <w:rPr>
          <w:noProof/>
        </w:rPr>
        <w:t xml:space="preserve"> Propunerea/inițiativa se referă la </w:t>
      </w:r>
      <w:r>
        <w:rPr>
          <w:b/>
          <w:noProof/>
        </w:rPr>
        <w:t>prelungirea unei acțiuni existente</w:t>
      </w:r>
      <w:r>
        <w:rPr>
          <w:noProof/>
          <w:sz w:val="22"/>
        </w:rPr>
        <w:t xml:space="preserve"> </w:t>
      </w:r>
    </w:p>
    <w:p>
      <w:pPr>
        <w:ind w:left="850"/>
        <w:rPr>
          <w:noProof/>
        </w:rPr>
      </w:pPr>
      <w:r>
        <w:rPr>
          <w:noProof/>
          <w:sz w:val="22"/>
        </w:rPr>
        <w:sym w:font="Wingdings" w:char="F0A8"/>
      </w:r>
      <w:r>
        <w:rPr>
          <w:noProof/>
        </w:rPr>
        <w:t xml:space="preserve"> Propunerea/inițiativa se referă la</w:t>
      </w:r>
      <w:r>
        <w:rPr>
          <w:b/>
          <w:noProof/>
        </w:rPr>
        <w:t xml:space="preserve"> o acțiune reorientată către o acțiune nouă</w:t>
      </w:r>
      <w:r>
        <w:rPr>
          <w:noProof/>
        </w:rPr>
        <w:t xml:space="preserve"> </w:t>
      </w:r>
    </w:p>
    <w:p>
      <w:pPr>
        <w:pStyle w:val="ManualHeading2"/>
        <w:rPr>
          <w:noProof/>
          <w:szCs w:val="24"/>
        </w:rPr>
      </w:pPr>
      <w:r>
        <w:t>1.4.</w:t>
      </w:r>
      <w:r>
        <w:tab/>
      </w:r>
      <w:r>
        <w:rPr>
          <w:noProof/>
        </w:rPr>
        <w:t>Obiectiv(e)</w:t>
      </w:r>
    </w:p>
    <w:p>
      <w:pPr>
        <w:pStyle w:val="ManualHeading3"/>
        <w:rPr>
          <w:noProof/>
        </w:rPr>
      </w:pPr>
      <w:r>
        <w:t>1.4.1.</w:t>
      </w:r>
      <w:r>
        <w:tab/>
      </w:r>
      <w:r>
        <w:rPr>
          <w:noProof/>
        </w:rPr>
        <w:t xml:space="preserve">Obiectiv(e) strategic(e) multianual(e) al(e) Comisiei vizat(e) de propunere/inițiativă </w:t>
      </w:r>
    </w:p>
    <w:p>
      <w:pPr>
        <w:pBdr>
          <w:top w:val="single" w:sz="4" w:space="1" w:color="auto"/>
          <w:left w:val="single" w:sz="4" w:space="4" w:color="auto"/>
          <w:bottom w:val="single" w:sz="4" w:space="1" w:color="auto"/>
          <w:right w:val="single" w:sz="4" w:space="4" w:color="auto"/>
        </w:pBdr>
        <w:ind w:left="850"/>
        <w:rPr>
          <w:noProof/>
        </w:rPr>
      </w:pPr>
      <w:r>
        <w:rPr>
          <w:noProof/>
        </w:rPr>
        <w:t>Industria de apărare este un element important al economiei Uniunii Europene, iar programul european de dezvoltare industrială în domeniul apărării urmărește să consolideze competitivitatea și capacitatea de inovare ale acesteia.</w:t>
      </w:r>
    </w:p>
    <w:p>
      <w:pPr>
        <w:pBdr>
          <w:top w:val="single" w:sz="4" w:space="1" w:color="auto"/>
          <w:left w:val="single" w:sz="4" w:space="4" w:color="auto"/>
          <w:bottom w:val="single" w:sz="4" w:space="1" w:color="auto"/>
          <w:right w:val="single" w:sz="4" w:space="4" w:color="auto"/>
        </w:pBdr>
        <w:ind w:left="850"/>
        <w:rPr>
          <w:noProof/>
        </w:rPr>
      </w:pPr>
    </w:p>
    <w:p>
      <w:pPr>
        <w:pStyle w:val="ManualHeading3"/>
        <w:rPr>
          <w:noProof/>
          <w:szCs w:val="24"/>
        </w:rPr>
      </w:pPr>
      <w:r>
        <w:t>1.4.2.</w:t>
      </w:r>
      <w:r>
        <w:tab/>
      </w:r>
      <w:r>
        <w:rPr>
          <w:noProof/>
        </w:rPr>
        <w:t>Obiectiv(e) specific(e)</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Obiectivul specific nr. 1</w:t>
      </w:r>
    </w:p>
    <w:p>
      <w:pPr>
        <w:pBdr>
          <w:top w:val="single" w:sz="4" w:space="1" w:color="auto"/>
          <w:left w:val="single" w:sz="4" w:space="4" w:color="auto"/>
          <w:bottom w:val="single" w:sz="4" w:space="1" w:color="auto"/>
          <w:right w:val="single" w:sz="4" w:space="4" w:color="auto"/>
        </w:pBdr>
        <w:ind w:left="850"/>
        <w:rPr>
          <w:noProof/>
        </w:rPr>
      </w:pPr>
      <w:r>
        <w:rPr>
          <w:noProof/>
        </w:rPr>
        <w:t>Favorizarea competitivității industriei de apărare.</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Obiectivul specific nr. 2</w:t>
      </w:r>
    </w:p>
    <w:p>
      <w:pPr>
        <w:pBdr>
          <w:top w:val="single" w:sz="4" w:space="1" w:color="auto"/>
          <w:left w:val="single" w:sz="4" w:space="4" w:color="auto"/>
          <w:bottom w:val="single" w:sz="4" w:space="1" w:color="auto"/>
          <w:right w:val="single" w:sz="4" w:space="4" w:color="auto"/>
        </w:pBdr>
        <w:ind w:left="850"/>
        <w:rPr>
          <w:noProof/>
        </w:rPr>
      </w:pPr>
      <w:r>
        <w:rPr>
          <w:noProof/>
        </w:rPr>
        <w:t>Sprijinirea și stimularea cooperării dintre întreprinderi în ceea ce privește dezvoltarea de produse și de tehnologii în materie de apărare.</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noProof/>
        </w:rPr>
      </w:pPr>
      <w:r>
        <w:rPr>
          <w:noProof/>
          <w:u w:val="single"/>
        </w:rPr>
        <w:t>Obiectivul specific nr. 3</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Eliminarea decalajului dintre cercetare și inovare și promovarea tuturor formelor de inovare.</w:t>
      </w:r>
    </w:p>
    <w:p>
      <w:pPr>
        <w:pStyle w:val="ManualHeading3"/>
        <w:rPr>
          <w:noProof/>
          <w:szCs w:val="24"/>
        </w:rPr>
      </w:pPr>
      <w:r>
        <w:t>1.4.3.</w:t>
      </w:r>
      <w:r>
        <w:tab/>
      </w:r>
      <w:r>
        <w:rPr>
          <w:noProof/>
        </w:rPr>
        <w:t>Rezultatul (rezultatele) și impactul preconizate</w:t>
      </w:r>
    </w:p>
    <w:p>
      <w:pPr>
        <w:ind w:left="850"/>
        <w:rPr>
          <w:i/>
          <w:noProof/>
          <w:sz w:val="20"/>
        </w:rPr>
      </w:pPr>
      <w:r>
        <w:rPr>
          <w:i/>
          <w:noProof/>
          <w:sz w:val="20"/>
        </w:rPr>
        <w:t>A se preciza efectele pe care propunerea/inițiativa ar trebui să le aibă asupra beneficiarilor vizați/ grupurilor vizate.</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Rezultate preconizate:</w:t>
      </w:r>
    </w:p>
    <w:p>
      <w:pPr>
        <w:pBdr>
          <w:top w:val="single" w:sz="4" w:space="1" w:color="auto"/>
          <w:left w:val="single" w:sz="4" w:space="4" w:color="auto"/>
          <w:bottom w:val="single" w:sz="4" w:space="1" w:color="auto"/>
          <w:right w:val="single" w:sz="4" w:space="4" w:color="auto"/>
        </w:pBdr>
        <w:ind w:left="850"/>
        <w:rPr>
          <w:noProof/>
        </w:rPr>
      </w:pPr>
      <w:r>
        <w:rPr>
          <w:noProof/>
        </w:rPr>
        <w:t>Programul va contribui la crearea unei abordări bazate pe colaborare între principalii actori din industria de apărare din statele membre. Contribuția financiară a UE ar trebui să ajute la deblocarea unei serii de proiecte de dezvoltare care, în caz contrar, nu ar fi demarate din cauza nevoilor lor de finanțare sau a riscurilor tehnologice suplimentare implicate și ar trebui să conducă la o colaborare în materie de proiecte de dezvoltare.</w:t>
      </w:r>
    </w:p>
    <w:p>
      <w:pPr>
        <w:pBdr>
          <w:top w:val="single" w:sz="4" w:space="1" w:color="auto"/>
          <w:left w:val="single" w:sz="4" w:space="4" w:color="auto"/>
          <w:bottom w:val="single" w:sz="4" w:space="1" w:color="auto"/>
          <w:right w:val="single" w:sz="4" w:space="4" w:color="auto"/>
        </w:pBdr>
        <w:ind w:left="850"/>
        <w:rPr>
          <w:noProof/>
        </w:rPr>
      </w:pPr>
      <w:r>
        <w:rPr>
          <w:noProof/>
        </w:rPr>
        <w:t>Cooperarea sporită ar trebui să reducă suprapunerile inutile și dispersiile și să creeze economii de scară. Acest lucru va duce, în cele din urmă, la costuri unitare mai mici, în beneficiul statelor membre și cu un efect pozitiv asupra exporturilor.</w:t>
      </w:r>
    </w:p>
    <w:p>
      <w:pPr>
        <w:pBdr>
          <w:top w:val="single" w:sz="4" w:space="1" w:color="auto"/>
          <w:left w:val="single" w:sz="4" w:space="4" w:color="auto"/>
          <w:bottom w:val="single" w:sz="4" w:space="1" w:color="auto"/>
          <w:right w:val="single" w:sz="4" w:space="4" w:color="auto"/>
        </w:pBdr>
        <w:ind w:left="850"/>
        <w:rPr>
          <w:noProof/>
          <w:u w:val="single"/>
        </w:rPr>
      </w:pP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Efecte preconizate:</w:t>
      </w:r>
    </w:p>
    <w:p>
      <w:pPr>
        <w:pBdr>
          <w:top w:val="single" w:sz="4" w:space="1" w:color="auto"/>
          <w:left w:val="single" w:sz="4" w:space="4" w:color="auto"/>
          <w:bottom w:val="single" w:sz="4" w:space="1" w:color="auto"/>
          <w:right w:val="single" w:sz="4" w:space="4" w:color="auto"/>
        </w:pBdr>
        <w:ind w:left="850"/>
        <w:rPr>
          <w:noProof/>
        </w:rPr>
      </w:pPr>
      <w:r>
        <w:rPr>
          <w:noProof/>
        </w:rPr>
        <w:t xml:space="preserve">Se așteaptă ca dezvoltarea proiectelor de apărare, direct sau indirect sprijinite de program, să aibă un impact pozitiv asupra economiei europene. Studiile arată că investițiile în sectorul apărării au un efect multiplicator pozitiv semnificativ asupra PIB-ului, a ocupării forței de muncă și asupra impozitelor, în comparație cu cele din alte categorii-cheie ale cheltuielilor publice (transport, educație, sănătate). Cercetarea și dezvoltarea în domeniul apărării sunt, de asemenea, la originea unor întreprinderi de tip </w:t>
      </w:r>
      <w:r>
        <w:rPr>
          <w:i/>
          <w:noProof/>
        </w:rPr>
        <w:t>spin-off</w:t>
      </w:r>
      <w:r>
        <w:rPr>
          <w:noProof/>
        </w:rPr>
        <w:t xml:space="preserve"> importante, de care ar putea beneficia atât apărarea, cât și sectoarele civile.</w:t>
      </w:r>
    </w:p>
    <w:p>
      <w:pPr>
        <w:pBdr>
          <w:top w:val="single" w:sz="4" w:space="1" w:color="auto"/>
          <w:left w:val="single" w:sz="4" w:space="4" w:color="auto"/>
          <w:bottom w:val="single" w:sz="4" w:space="1" w:color="auto"/>
          <w:right w:val="single" w:sz="4" w:space="4" w:color="auto"/>
        </w:pBdr>
        <w:ind w:left="850"/>
        <w:rPr>
          <w:noProof/>
        </w:rPr>
      </w:pPr>
      <w:r>
        <w:rPr>
          <w:noProof/>
        </w:rPr>
        <w:t>Lanțul de aprovizionare al sectorului de apărare este compus în mare parte din IMM</w:t>
      </w:r>
      <w:r>
        <w:rPr>
          <w:noProof/>
        </w:rPr>
        <w:noBreakHyphen/>
        <w:t>uri, în special prin intermediul lanțului de aprovizionare a principalilor integratori de sisteme. Estomparea progresivă a graniței dintre sectorul civil și cel al apărării va permite, de asemenea, ca IMM-urile care nu sunt în mod tradițional active în sectorul apărării să participe în special în domeniul electronicii și al programelor informatice.</w:t>
      </w:r>
    </w:p>
    <w:p>
      <w:pPr>
        <w:pBdr>
          <w:top w:val="single" w:sz="4" w:space="1" w:color="auto"/>
          <w:left w:val="single" w:sz="4" w:space="4" w:color="auto"/>
          <w:bottom w:val="single" w:sz="4" w:space="1" w:color="auto"/>
          <w:right w:val="single" w:sz="4" w:space="4" w:color="auto"/>
        </w:pBdr>
        <w:ind w:left="850"/>
        <w:rPr>
          <w:noProof/>
        </w:rPr>
      </w:pPr>
      <w:r>
        <w:rPr>
          <w:noProof/>
        </w:rPr>
        <w:t xml:space="preserve">Pe termen mai lung, se estimează că proiectele în materie de apărare aduc beneficii în ceea ce privește crearea de locuri de muncă și competențele. </w:t>
      </w:r>
    </w:p>
    <w:p>
      <w:pPr>
        <w:pBdr>
          <w:top w:val="single" w:sz="4" w:space="1" w:color="auto"/>
          <w:left w:val="single" w:sz="4" w:space="4" w:color="auto"/>
          <w:bottom w:val="single" w:sz="4" w:space="1" w:color="auto"/>
          <w:right w:val="single" w:sz="4" w:space="4" w:color="auto"/>
        </w:pBdr>
        <w:ind w:left="850"/>
        <w:rPr>
          <w:noProof/>
        </w:rPr>
      </w:pPr>
    </w:p>
    <w:p>
      <w:pPr>
        <w:pStyle w:val="ManualHeading3"/>
        <w:rPr>
          <w:noProof/>
          <w:szCs w:val="24"/>
        </w:rPr>
      </w:pPr>
      <w:r>
        <w:t>1.4.4.</w:t>
      </w:r>
      <w:r>
        <w:tab/>
      </w:r>
      <w:r>
        <w:rPr>
          <w:noProof/>
        </w:rPr>
        <w:t xml:space="preserve">Indicatori de rezultat și de impact </w:t>
      </w:r>
    </w:p>
    <w:p>
      <w:pPr>
        <w:ind w:left="850"/>
        <w:rPr>
          <w:i/>
          <w:noProof/>
          <w:sz w:val="20"/>
        </w:rPr>
      </w:pPr>
      <w:r>
        <w:rPr>
          <w:i/>
          <w:noProof/>
          <w:sz w:val="20"/>
        </w:rPr>
        <w:t>A se preciza indicatorii care permit monitorizarea punerii în aplicare a propunerii/inițiativei.</w:t>
      </w:r>
    </w:p>
    <w:p>
      <w:pPr>
        <w:pBdr>
          <w:top w:val="single" w:sz="4" w:space="1" w:color="auto"/>
          <w:left w:val="single" w:sz="4" w:space="4" w:color="auto"/>
          <w:bottom w:val="single" w:sz="4" w:space="1" w:color="auto"/>
          <w:right w:val="single" w:sz="4" w:space="4" w:color="auto"/>
        </w:pBdr>
        <w:ind w:left="850"/>
        <w:rPr>
          <w:noProof/>
        </w:rPr>
      </w:pPr>
      <w:r>
        <w:rPr>
          <w:noProof/>
        </w:rPr>
        <w:t>Având în vedere perioada scurtă de implementare, rezultatele și impacturile programului vor fi evaluate în cadrul unei evaluări retrospective la sfârșitul perioadei de punere în aplicare a programului.</w:t>
      </w:r>
    </w:p>
    <w:p>
      <w:pPr>
        <w:pBdr>
          <w:top w:val="single" w:sz="4" w:space="1" w:color="auto"/>
          <w:left w:val="single" w:sz="4" w:space="4" w:color="auto"/>
          <w:bottom w:val="single" w:sz="4" w:space="1" w:color="auto"/>
          <w:right w:val="single" w:sz="4" w:space="4" w:color="auto"/>
        </w:pBdr>
        <w:ind w:left="850"/>
        <w:rPr>
          <w:noProof/>
        </w:rPr>
      </w:pPr>
      <w:r>
        <w:rPr>
          <w:noProof/>
        </w:rPr>
        <w:t>Comisia se va asigura că indicatorii utilizați pentru monitorizarea punerii în aplicare a programului vor fi instituiți de către entitatea însărcinată cu punerea în aplicare a programului. Aceștia vor include:</w:t>
      </w:r>
    </w:p>
    <w:p>
      <w:pPr>
        <w:pBdr>
          <w:top w:val="single" w:sz="4" w:space="1" w:color="auto"/>
          <w:left w:val="single" w:sz="4" w:space="4" w:color="auto"/>
          <w:bottom w:val="single" w:sz="4" w:space="1" w:color="auto"/>
          <w:right w:val="single" w:sz="4" w:space="4" w:color="auto"/>
        </w:pBdr>
        <w:ind w:left="850"/>
        <w:rPr>
          <w:noProof/>
          <w:highlight w:val="yellow"/>
        </w:rPr>
      </w:pPr>
      <w:r>
        <w:rPr>
          <w:noProof/>
        </w:rPr>
        <w:t>- numărul de proiecte de cooperare puse în aplicare;</w:t>
      </w:r>
    </w:p>
    <w:p>
      <w:pPr>
        <w:pBdr>
          <w:top w:val="single" w:sz="4" w:space="1" w:color="auto"/>
          <w:left w:val="single" w:sz="4" w:space="4" w:color="auto"/>
          <w:bottom w:val="single" w:sz="4" w:space="1" w:color="auto"/>
          <w:right w:val="single" w:sz="4" w:space="4" w:color="auto"/>
        </w:pBdr>
        <w:ind w:left="850"/>
        <w:rPr>
          <w:noProof/>
        </w:rPr>
      </w:pPr>
      <w:r>
        <w:rPr>
          <w:noProof/>
        </w:rPr>
        <w:t>- valoarea totală a proiectelor de cooperare puse în aplicare și nivelul de cofinanțare;</w:t>
      </w:r>
    </w:p>
    <w:p>
      <w:pPr>
        <w:pStyle w:val="Text1"/>
        <w:pBdr>
          <w:top w:val="single" w:sz="4" w:space="1" w:color="auto"/>
          <w:left w:val="single" w:sz="4" w:space="4" w:color="auto"/>
          <w:bottom w:val="single" w:sz="4" w:space="1" w:color="auto"/>
          <w:right w:val="single" w:sz="4" w:space="4" w:color="auto"/>
        </w:pBdr>
        <w:rPr>
          <w:noProof/>
          <w:highlight w:val="yellow"/>
        </w:rPr>
      </w:pPr>
      <w:r>
        <w:rPr>
          <w:noProof/>
        </w:rPr>
        <w:t>- numărul întreprinderilor implicate ca membri de consorțiu și dimensiunea acestora (pentru a monitoriza participarea IMM-urilor);</w:t>
      </w:r>
    </w:p>
    <w:p>
      <w:pPr>
        <w:pBdr>
          <w:top w:val="single" w:sz="4" w:space="1" w:color="auto"/>
          <w:left w:val="single" w:sz="4" w:space="4" w:color="auto"/>
          <w:bottom w:val="single" w:sz="4" w:space="1" w:color="auto"/>
          <w:right w:val="single" w:sz="4" w:space="4" w:color="auto"/>
        </w:pBdr>
        <w:ind w:left="850"/>
        <w:rPr>
          <w:noProof/>
        </w:rPr>
      </w:pPr>
      <w:r>
        <w:rPr>
          <w:noProof/>
        </w:rPr>
        <w:t>- numărul de state membre implicate;</w:t>
      </w:r>
      <w:r>
        <w:rPr>
          <w:noProof/>
          <w:highlight w:val="yellow"/>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 numărul de IMM-uri implicate în proiectele din cadrul programului.</w:t>
      </w:r>
    </w:p>
    <w:p>
      <w:pPr>
        <w:pStyle w:val="ManualHeading2"/>
        <w:rPr>
          <w:noProof/>
          <w:szCs w:val="24"/>
        </w:rPr>
      </w:pPr>
      <w:r>
        <w:t>1.5.</w:t>
      </w:r>
      <w:r>
        <w:tab/>
      </w:r>
      <w:r>
        <w:rPr>
          <w:noProof/>
        </w:rPr>
        <w:t xml:space="preserve">Motivele propunerii/inițiativei </w:t>
      </w:r>
    </w:p>
    <w:p>
      <w:pPr>
        <w:pStyle w:val="ManualHeading3"/>
        <w:rPr>
          <w:noProof/>
        </w:rPr>
      </w:pPr>
      <w:r>
        <w:t>1.5.1.</w:t>
      </w:r>
      <w:r>
        <w:tab/>
      </w:r>
      <w:r>
        <w:rPr>
          <w:noProof/>
        </w:rPr>
        <w:t xml:space="preserve">Cerință (cerințe) de îndeplinit pe termen scurt sau lung </w:t>
      </w:r>
    </w:p>
    <w:p>
      <w:pPr>
        <w:pBdr>
          <w:top w:val="single" w:sz="4" w:space="1" w:color="auto"/>
          <w:left w:val="single" w:sz="4" w:space="4" w:color="auto"/>
          <w:bottom w:val="single" w:sz="4" w:space="1" w:color="auto"/>
          <w:right w:val="single" w:sz="4" w:space="4" w:color="auto"/>
        </w:pBdr>
        <w:ind w:left="850"/>
        <w:rPr>
          <w:noProof/>
        </w:rPr>
      </w:pPr>
      <w:r>
        <w:rPr>
          <w:noProof/>
        </w:rPr>
        <w:t>Sarcinile prezentei propuneri care trebuie efectuate vor necesita crearea unui consorțiu prin intermediul unui acord intern în conformitate cu articolul 9 din prezentul regulament, împreună cu numirea unui membru al acestui consorțiu în calitate de coordonator.</w:t>
      </w:r>
    </w:p>
    <w:p>
      <w:pPr>
        <w:pBdr>
          <w:top w:val="single" w:sz="4" w:space="1" w:color="auto"/>
          <w:left w:val="single" w:sz="4" w:space="4" w:color="auto"/>
          <w:bottom w:val="single" w:sz="4" w:space="1" w:color="auto"/>
          <w:right w:val="single" w:sz="4" w:space="4" w:color="auto"/>
        </w:pBdr>
        <w:ind w:left="850"/>
        <w:rPr>
          <w:noProof/>
          <w:highlight w:val="yellow"/>
        </w:rPr>
      </w:pPr>
      <w:r>
        <w:rPr>
          <w:noProof/>
        </w:rPr>
        <w:t>Membrii consorțiului vor trebui să demonstreze capacitatea lor tehnică de a gestiona în mod eficient acțiunile care le sunt încredințate, în special datorită duratei limitate (2 ani) a programului.</w:t>
      </w:r>
    </w:p>
    <w:p>
      <w:pPr>
        <w:pBdr>
          <w:top w:val="single" w:sz="4" w:space="1" w:color="auto"/>
          <w:left w:val="single" w:sz="4" w:space="4" w:color="auto"/>
          <w:bottom w:val="single" w:sz="4" w:space="1" w:color="auto"/>
          <w:right w:val="single" w:sz="4" w:space="4" w:color="auto"/>
        </w:pBdr>
        <w:ind w:left="850"/>
        <w:rPr>
          <w:noProof/>
        </w:rPr>
      </w:pPr>
      <w:r>
        <w:rPr>
          <w:noProof/>
        </w:rPr>
        <w:t>Organismul de punere în aplicare va trebui să fie format din experți din domeniile tehnic, financiar și juridic, pentru a pregăti selecția granturilor, a administra monitorizarea acestora, a controla activitățile externalizate și pentru a pregăti rapoarte de înaltă calitate pentru conducerea Comisiei.</w:t>
      </w:r>
    </w:p>
    <w:p>
      <w:pPr>
        <w:pBdr>
          <w:top w:val="single" w:sz="4" w:space="1" w:color="auto"/>
          <w:left w:val="single" w:sz="4" w:space="4" w:color="auto"/>
          <w:bottom w:val="single" w:sz="4" w:space="1" w:color="auto"/>
          <w:right w:val="single" w:sz="4" w:space="4" w:color="auto"/>
        </w:pBdr>
        <w:ind w:left="850"/>
        <w:rPr>
          <w:noProof/>
        </w:rPr>
      </w:pPr>
      <w:r>
        <w:rPr>
          <w:noProof/>
        </w:rPr>
        <w:t>De asemenea, Comisia va trebui să dispună de personal alcătuit din experți adecvați pentru a monitoriza în mod eficace activitatea organismului de punere în aplicare.</w:t>
      </w:r>
    </w:p>
    <w:p>
      <w:pPr>
        <w:pStyle w:val="ManualHeading3"/>
        <w:rPr>
          <w:noProof/>
          <w:szCs w:val="24"/>
        </w:rPr>
      </w:pPr>
      <w:r>
        <w:t>1.5.2.</w:t>
      </w:r>
      <w:r>
        <w:tab/>
      </w:r>
      <w:r>
        <w:rPr>
          <w:noProof/>
        </w:rPr>
        <w:t>Valoarea adăugată a implicării Uniunii (aceasta poate rezulta din diferiți factori, precum câștigurile de coordonare, certitudinea juridică, o mai mare eficacitate sau complementaritate). În sensul prezentului punct, „valoarea adăugată a implicării Uniunii” reprezintă valoarea rezultată din intervenția Uniunii, care este suplimentară față de valoarea care ar fi fost altfel creată numai de statele membre.</w:t>
      </w:r>
    </w:p>
    <w:p>
      <w:pPr>
        <w:pBdr>
          <w:top w:val="single" w:sz="4" w:space="1" w:color="auto"/>
          <w:left w:val="single" w:sz="4" w:space="4" w:color="auto"/>
          <w:bottom w:val="single" w:sz="4" w:space="1" w:color="auto"/>
          <w:right w:val="single" w:sz="4" w:space="4" w:color="auto"/>
        </w:pBdr>
        <w:ind w:left="850"/>
        <w:rPr>
          <w:noProof/>
        </w:rPr>
      </w:pPr>
      <w:r>
        <w:rPr>
          <w:noProof/>
        </w:rPr>
        <w:t>Dreptul UE de a acționa se bazează pe articolul 173 din Tratatul privind funcționarea Uniunii Europene.</w:t>
      </w:r>
    </w:p>
    <w:p>
      <w:pPr>
        <w:pBdr>
          <w:top w:val="single" w:sz="4" w:space="1" w:color="auto"/>
          <w:left w:val="single" w:sz="4" w:space="4" w:color="auto"/>
          <w:bottom w:val="single" w:sz="4" w:space="1" w:color="auto"/>
          <w:right w:val="single" w:sz="4" w:space="4" w:color="auto"/>
        </w:pBdr>
        <w:ind w:left="850"/>
        <w:rPr>
          <w:noProof/>
        </w:rPr>
      </w:pPr>
      <w:r>
        <w:rPr>
          <w:noProof/>
        </w:rPr>
        <w:t>Proiectele din industria de apărare sunt gestionate la nivel național, iar faza de dezvoltare este cea mai riscantă. Sectorul european al apărării suferă din cauza unui nivel scăzut al investițiilor și este caracterizat de fragmentare de-a lungul frontierelor naționale, ceea ce a condus la suprapuneri persistente. În plus, o examinare a industriilor de apărare disponibile în UE arată că există deficiențe din ce în ce mai mari, tehnologii învechite și o lipsă de programe noi, în special programe de colaborare. Cooperarea transfrontalieră poate ajuta la o mai bună identificare a efectelor de scară prin reducerea suprapunerilor și prin faptul că permite dezvoltarea produselor și a tehnologiilor necesare.</w:t>
      </w:r>
    </w:p>
    <w:p>
      <w:pPr>
        <w:pBdr>
          <w:top w:val="single" w:sz="4" w:space="1" w:color="auto"/>
          <w:left w:val="single" w:sz="4" w:space="4" w:color="auto"/>
          <w:bottom w:val="single" w:sz="4" w:space="1" w:color="auto"/>
          <w:right w:val="single" w:sz="4" w:space="4" w:color="auto"/>
        </w:pBdr>
        <w:ind w:left="850"/>
        <w:rPr>
          <w:noProof/>
        </w:rPr>
      </w:pPr>
      <w:r>
        <w:rPr>
          <w:noProof/>
        </w:rPr>
        <w:t>De asemenea, lipsa de coordonare și de coerență dintre statele membre reprezintă o sursă de dezavantaje concurențiale pentru industria europeană de apărare față de partenerii săi internaționali, în timp ce rămâne o sursă majoră de costuri pentru bugetul statului și constituie un impediment important pentru punerea în aplicare a politicii de securitate și apărare comune (PSAC).</w:t>
      </w:r>
    </w:p>
    <w:p>
      <w:pPr>
        <w:pBdr>
          <w:top w:val="single" w:sz="4" w:space="1" w:color="auto"/>
          <w:left w:val="single" w:sz="4" w:space="4" w:color="auto"/>
          <w:bottom w:val="single" w:sz="4" w:space="1" w:color="auto"/>
          <w:right w:val="single" w:sz="4" w:space="4" w:color="auto"/>
        </w:pBdr>
        <w:ind w:left="850"/>
        <w:rPr>
          <w:noProof/>
        </w:rPr>
      </w:pPr>
      <w:r>
        <w:rPr>
          <w:noProof/>
        </w:rPr>
        <w:t>Acțiunea la nivelul UE va aduce valoare adăugată prin stimularea în continuare a cooperării industriale în materie de apărare, utilizând stimulente pozitive pentru a sprijini proiecte în faza de dezvoltare a unor produse și tehnologii în materie de apărare care nu pot fi realizate cu succes la nivel pur național din cauza costurilor și a riscurilor asociate.</w:t>
      </w:r>
    </w:p>
    <w:p>
      <w:pPr>
        <w:pBdr>
          <w:top w:val="single" w:sz="4" w:space="1" w:color="auto"/>
          <w:left w:val="single" w:sz="4" w:space="4" w:color="auto"/>
          <w:bottom w:val="single" w:sz="4" w:space="1" w:color="auto"/>
          <w:right w:val="single" w:sz="4" w:space="4" w:color="auto"/>
        </w:pBdr>
        <w:ind w:left="850"/>
        <w:rPr>
          <w:noProof/>
        </w:rPr>
      </w:pPr>
      <w:r>
        <w:rPr>
          <w:noProof/>
        </w:rPr>
        <w:t>Sprijinul din partea Uniunii Europene va permite industriei de apărare să aloce fondurile necesare pentru proiectele care depășesc în mod frecvent posibilitățile unei singure țări: natura proiectelor, precum și costurile acestora fac necesară cooperarea transnațională.</w:t>
      </w:r>
    </w:p>
    <w:p>
      <w:pPr>
        <w:pBdr>
          <w:top w:val="single" w:sz="4" w:space="1" w:color="auto"/>
          <w:left w:val="single" w:sz="4" w:space="4" w:color="auto"/>
          <w:bottom w:val="single" w:sz="4" w:space="1" w:color="auto"/>
          <w:right w:val="single" w:sz="4" w:space="4" w:color="auto"/>
        </w:pBdr>
        <w:ind w:left="850"/>
        <w:rPr>
          <w:noProof/>
        </w:rPr>
      </w:pPr>
      <w:r>
        <w:rPr>
          <w:noProof/>
        </w:rPr>
        <w:t>Specificațiile tehnice comune care vor fi obligatorii din punct de vedere juridic în temeiul regulamentului vor stimula statele membre și industria de apărare a acestora să stabilească standarde comune, ceea ce va conduce la o colaborare mai bună și mai eficientă.</w:t>
      </w:r>
    </w:p>
    <w:p>
      <w:pPr>
        <w:pStyle w:val="ManualHeading3"/>
        <w:rPr>
          <w:noProof/>
          <w:szCs w:val="24"/>
        </w:rPr>
      </w:pPr>
      <w:r>
        <w:t>1.5.3.</w:t>
      </w:r>
      <w:r>
        <w:tab/>
      </w:r>
      <w:r>
        <w:rPr>
          <w:noProof/>
        </w:rPr>
        <w:t>Învățăminte desprinse din experiențe anterioare similare</w:t>
      </w:r>
    </w:p>
    <w:p>
      <w:pPr>
        <w:pBdr>
          <w:top w:val="single" w:sz="4" w:space="1" w:color="auto"/>
          <w:left w:val="single" w:sz="4" w:space="4" w:color="auto"/>
          <w:bottom w:val="single" w:sz="4" w:space="1" w:color="auto"/>
          <w:right w:val="single" w:sz="4" w:space="4" w:color="auto"/>
        </w:pBdr>
        <w:ind w:left="850"/>
        <w:rPr>
          <w:noProof/>
        </w:rPr>
      </w:pPr>
      <w:r>
        <w:rPr>
          <w:noProof/>
        </w:rPr>
        <w:t xml:space="preserve">Proiectul pilot și acțiunea pregătitoare privind cercetarea în domeniul apărării cu AEA sunt programe care pot fi considerate similare: experiența dobândită în urma acestor programe, în special în ceea ce privește guvernanța, va fi utilizată pentru a defini gestionarea și monitorizarea programului european de dezvoltare a industriei de apărare. </w:t>
      </w:r>
    </w:p>
    <w:p>
      <w:pPr>
        <w:pStyle w:val="ManualHeading3"/>
        <w:rPr>
          <w:noProof/>
          <w:szCs w:val="24"/>
        </w:rPr>
      </w:pPr>
      <w:r>
        <w:t>1.5.4.</w:t>
      </w:r>
      <w:r>
        <w:tab/>
      </w:r>
      <w:r>
        <w:rPr>
          <w:noProof/>
        </w:rPr>
        <w:t>Compatibilitatea și posibila sinergie cu alte instrumente corespunzătoare</w:t>
      </w:r>
    </w:p>
    <w:p>
      <w:pPr>
        <w:pBdr>
          <w:top w:val="single" w:sz="4" w:space="1" w:color="auto"/>
          <w:left w:val="single" w:sz="4" w:space="4" w:color="auto"/>
          <w:bottom w:val="single" w:sz="4" w:space="1" w:color="auto"/>
          <w:right w:val="single" w:sz="4" w:space="4" w:color="auto"/>
        </w:pBdr>
        <w:ind w:left="850"/>
        <w:rPr>
          <w:noProof/>
          <w:szCs w:val="24"/>
        </w:rPr>
      </w:pPr>
      <w:r>
        <w:rPr>
          <w:noProof/>
        </w:rPr>
        <w:t>Sunt posibile o serie de sinergii cu alte elemente ale proiectului de apărare (de exemplu, acțiunea pregătitoare cu Agenția Europeană de Apărare).</w:t>
      </w:r>
    </w:p>
    <w:p>
      <w:pPr>
        <w:pBdr>
          <w:top w:val="single" w:sz="4" w:space="1" w:color="auto"/>
          <w:left w:val="single" w:sz="4" w:space="4" w:color="auto"/>
          <w:bottom w:val="single" w:sz="4" w:space="1" w:color="auto"/>
          <w:right w:val="single" w:sz="4" w:space="4" w:color="auto"/>
        </w:pBdr>
        <w:ind w:left="850"/>
        <w:rPr>
          <w:noProof/>
          <w:szCs w:val="24"/>
        </w:rPr>
      </w:pPr>
      <w:r>
        <w:rPr>
          <w:noProof/>
        </w:rPr>
        <w:t>De asemenea, se va urmări stabilirea de sinergii cu celelalte direcții ale Comisiei Europene în materie de cercetare și de inovare. Proiectele care urmează să fie finanțate în sprijinul programului european de dezvoltare industrială în domeniul apărării pot avea, printre altele, un impact asupra transporturilor, a comunicațiilor și a domeniului energetic.</w:t>
      </w:r>
    </w:p>
    <w:p>
      <w:pPr>
        <w:pBdr>
          <w:top w:val="single" w:sz="4" w:space="1" w:color="auto"/>
          <w:left w:val="single" w:sz="4" w:space="4" w:color="auto"/>
          <w:bottom w:val="single" w:sz="4" w:space="1" w:color="auto"/>
          <w:right w:val="single" w:sz="4" w:space="4" w:color="auto"/>
        </w:pBdr>
        <w:ind w:left="850"/>
        <w:rPr>
          <w:noProof/>
        </w:rPr>
      </w:pPr>
      <w:r>
        <w:rPr>
          <w:noProof/>
        </w:rPr>
        <w:t xml:space="preserve">Este important să se asigure că programele de cercetare și de inovare sunt coordonate la nivelul Comisiei în vederea optimizării rentabilității investiției. </w:t>
      </w:r>
    </w:p>
    <w:p>
      <w:pPr>
        <w:pStyle w:val="ManualHeading2"/>
        <w:rPr>
          <w:noProof/>
          <w:szCs w:val="24"/>
        </w:rPr>
      </w:pPr>
      <w:r>
        <w:t>1.6.</w:t>
      </w:r>
      <w:r>
        <w:tab/>
      </w:r>
      <w:r>
        <w:rPr>
          <w:noProof/>
        </w:rPr>
        <w:t xml:space="preserve">Durata și impactul financiar </w:t>
      </w:r>
    </w:p>
    <w:p>
      <w:pPr>
        <w:ind w:left="850"/>
        <w:rPr>
          <w:noProof/>
        </w:rPr>
      </w:pPr>
      <w:r>
        <w:rPr>
          <w:noProof/>
        </w:rPr>
        <w:sym w:font="Wingdings" w:char="F0A8"/>
      </w:r>
      <w:r>
        <w:rPr>
          <w:noProof/>
        </w:rPr>
        <w:t xml:space="preserve"> Propunere/inițiativă </w:t>
      </w:r>
      <w:r>
        <w:rPr>
          <w:b/>
          <w:noProof/>
        </w:rPr>
        <w:t xml:space="preserve">pe durată determinată </w:t>
      </w:r>
    </w:p>
    <w:p>
      <w:pPr>
        <w:pStyle w:val="ListDash2"/>
        <w:rPr>
          <w:noProof/>
        </w:rPr>
      </w:pPr>
      <w:r>
        <w:rPr>
          <w:noProof/>
        </w:rPr>
        <w:sym w:font="Wingdings" w:char="F0FE"/>
      </w:r>
      <w:r>
        <w:rPr>
          <w:noProof/>
        </w:rPr>
        <w:t xml:space="preserve">Propunere/inițiativă în vigoare de la 1.1.2019 până la 31.12.2020 </w:t>
      </w:r>
    </w:p>
    <w:p>
      <w:pPr>
        <w:pStyle w:val="ListDash2"/>
        <w:rPr>
          <w:noProof/>
        </w:rPr>
      </w:pPr>
      <w:r>
        <w:rPr>
          <w:noProof/>
        </w:rPr>
        <w:sym w:font="Wingdings" w:char="F0FE"/>
      </w:r>
      <w:r>
        <w:rPr>
          <w:noProof/>
        </w:rPr>
        <w:t xml:space="preserve"> Impact financiar de la 1.1.2018 până la 31.12.2023</w:t>
      </w:r>
    </w:p>
    <w:p>
      <w:pPr>
        <w:ind w:left="850"/>
        <w:rPr>
          <w:noProof/>
        </w:rPr>
      </w:pPr>
      <w:r>
        <w:rPr>
          <w:noProof/>
        </w:rPr>
        <w:sym w:font="Wingdings" w:char="F0A8"/>
      </w:r>
      <w:r>
        <w:rPr>
          <w:noProof/>
        </w:rPr>
        <w:t xml:space="preserve"> Propunere/inițiativă </w:t>
      </w:r>
      <w:r>
        <w:rPr>
          <w:b/>
          <w:noProof/>
        </w:rPr>
        <w:t>pe durată nedeterminată</w:t>
      </w:r>
    </w:p>
    <w:p>
      <w:pPr>
        <w:pStyle w:val="ListDash1"/>
        <w:rPr>
          <w:noProof/>
        </w:rPr>
      </w:pPr>
      <w:r>
        <w:rPr>
          <w:noProof/>
        </w:rPr>
        <w:t>Punere în aplicare cu o perioadă de creștere în intensitate din AAAA până în AAAA,</w:t>
      </w:r>
    </w:p>
    <w:p>
      <w:pPr>
        <w:pStyle w:val="ListDash1"/>
        <w:rPr>
          <w:noProof/>
        </w:rPr>
      </w:pPr>
      <w:r>
        <w:rPr>
          <w:noProof/>
        </w:rPr>
        <w:t>urmată de o perioadă de funcționare la capacitate maximă.</w:t>
      </w:r>
    </w:p>
    <w:p>
      <w:pPr>
        <w:pStyle w:val="ManualHeading2"/>
        <w:rPr>
          <w:noProof/>
          <w:szCs w:val="24"/>
        </w:rPr>
      </w:pPr>
      <w:r>
        <w:t>1.7.</w:t>
      </w:r>
      <w:r>
        <w:tab/>
      </w:r>
      <w:r>
        <w:rPr>
          <w:noProof/>
        </w:rPr>
        <w:t>Modul (modurile) de gestiune preconizat(e)</w:t>
      </w:r>
      <w:r>
        <w:rPr>
          <w:rStyle w:val="FootnoteReference"/>
          <w:noProof/>
        </w:rPr>
        <w:footnoteReference w:id="12"/>
      </w:r>
      <w:r>
        <w:rPr>
          <w:noProof/>
          <w:vertAlign w:val="superscript"/>
        </w:rPr>
        <w:t xml:space="preserve"> </w:t>
      </w:r>
    </w:p>
    <w:p>
      <w:pPr>
        <w:ind w:left="850"/>
        <w:rPr>
          <w:noProof/>
        </w:rPr>
      </w:pPr>
      <w:r>
        <w:rPr>
          <w:noProof/>
        </w:rPr>
        <w:sym w:font="Wingdings" w:char="F0A8"/>
      </w:r>
      <w:r>
        <w:rPr>
          <w:b/>
          <w:noProof/>
        </w:rPr>
        <w:t>Gestiune directă</w:t>
      </w:r>
      <w:r>
        <w:rPr>
          <w:noProof/>
        </w:rPr>
        <w:t xml:space="preserve"> asigurată de către Comisie</w:t>
      </w:r>
    </w:p>
    <w:p>
      <w:pPr>
        <w:pStyle w:val="ListDash2"/>
        <w:rPr>
          <w:rFonts w:cs="EUAlbertina"/>
          <w:noProof/>
        </w:rPr>
      </w:pPr>
      <w:r>
        <w:rPr>
          <w:noProof/>
        </w:rPr>
        <w:sym w:font="Wingdings" w:char="F0A8"/>
      </w:r>
      <w:r>
        <w:rPr>
          <w:noProof/>
        </w:rPr>
        <w:t xml:space="preserve">prin intermediul serviciilor sale, inclusiv al personalului din delegațiile Uniunii; </w:t>
      </w:r>
    </w:p>
    <w:p>
      <w:pPr>
        <w:pStyle w:val="ListDash2"/>
        <w:rPr>
          <w:noProof/>
        </w:rPr>
      </w:pPr>
      <w:r>
        <w:rPr>
          <w:noProof/>
        </w:rPr>
        <w:sym w:font="Wingdings" w:char="F0A8"/>
      </w:r>
      <w:r>
        <w:rPr>
          <w:noProof/>
        </w:rPr>
        <w:t xml:space="preserve"> prin intermediul agențiilor executive; </w:t>
      </w:r>
    </w:p>
    <w:p>
      <w:pPr>
        <w:ind w:left="850"/>
        <w:rPr>
          <w:noProof/>
        </w:rPr>
      </w:pPr>
      <w:r>
        <w:rPr>
          <w:noProof/>
        </w:rPr>
        <w:sym w:font="Wingdings" w:char="F0A8"/>
      </w:r>
      <w:r>
        <w:rPr>
          <w:b/>
          <w:noProof/>
        </w:rPr>
        <w:t>Gestiune partajată</w:t>
      </w:r>
      <w:r>
        <w:rPr>
          <w:noProof/>
        </w:rPr>
        <w:t xml:space="preserve"> cu statele membre </w:t>
      </w:r>
    </w:p>
    <w:p>
      <w:pPr>
        <w:ind w:left="850"/>
        <w:rPr>
          <w:noProof/>
        </w:rPr>
      </w:pPr>
      <w:r>
        <w:rPr>
          <w:noProof/>
        </w:rPr>
        <w:sym w:font="Wingdings" w:char="F0FE"/>
      </w:r>
      <w:r>
        <w:rPr>
          <w:b/>
          <w:noProof/>
        </w:rPr>
        <w:t>Gestiune indirectă</w:t>
      </w:r>
      <w:r>
        <w:rPr>
          <w:noProof/>
        </w:rPr>
        <w:t>, cu delegarea sarcinilor de execuție bugetară:</w:t>
      </w:r>
    </w:p>
    <w:p>
      <w:pPr>
        <w:pStyle w:val="ListDash2"/>
        <w:rPr>
          <w:noProof/>
        </w:rPr>
      </w:pPr>
      <w:r>
        <w:rPr>
          <w:noProof/>
        </w:rPr>
        <w:sym w:font="Wingdings" w:char="F0A8"/>
      </w:r>
      <w:r>
        <w:rPr>
          <w:noProof/>
        </w:rPr>
        <w:t>țărilor terțe sau organismelor pe care le-au desemnat acestea;</w:t>
      </w:r>
    </w:p>
    <w:p>
      <w:pPr>
        <w:pStyle w:val="ListDash2"/>
        <w:rPr>
          <w:noProof/>
        </w:rPr>
      </w:pPr>
      <w:r>
        <w:rPr>
          <w:noProof/>
        </w:rPr>
        <w:sym w:font="Wingdings" w:char="F0A8"/>
      </w:r>
      <w:r>
        <w:rPr>
          <w:noProof/>
        </w:rPr>
        <w:t>organizațiilor internaționale și agențiilor acestora (a se preciza);</w:t>
      </w:r>
    </w:p>
    <w:p>
      <w:pPr>
        <w:pStyle w:val="ListDash2"/>
        <w:rPr>
          <w:noProof/>
        </w:rPr>
      </w:pPr>
      <w:r>
        <w:rPr>
          <w:noProof/>
        </w:rPr>
        <w:sym w:font="Wingdings" w:char="F0A8"/>
      </w:r>
      <w:r>
        <w:rPr>
          <w:noProof/>
        </w:rPr>
        <w:t>BEI și Fondului european de investiții;</w:t>
      </w:r>
    </w:p>
    <w:p>
      <w:pPr>
        <w:pStyle w:val="ListDash2"/>
        <w:rPr>
          <w:noProof/>
        </w:rPr>
      </w:pPr>
      <w:r>
        <w:rPr>
          <w:noProof/>
        </w:rPr>
        <w:sym w:font="Wingdings" w:char="F0A8"/>
      </w:r>
      <w:r>
        <w:rPr>
          <w:noProof/>
        </w:rPr>
        <w:t>organismelor menționate la articolele 208 și 209 din Regulamentul financiar;</w:t>
      </w:r>
    </w:p>
    <w:p>
      <w:pPr>
        <w:pStyle w:val="ListDash2"/>
        <w:rPr>
          <w:noProof/>
        </w:rPr>
      </w:pPr>
      <w:r>
        <w:rPr>
          <w:noProof/>
        </w:rPr>
        <w:sym w:font="Wingdings" w:char="F0FE"/>
      </w:r>
      <w:r>
        <w:rPr>
          <w:noProof/>
        </w:rPr>
        <w:t>organismelor de drept public;</w:t>
      </w:r>
    </w:p>
    <w:p>
      <w:pPr>
        <w:pStyle w:val="ListDash2"/>
        <w:rPr>
          <w:noProof/>
        </w:rPr>
      </w:pPr>
      <w:r>
        <w:rPr>
          <w:noProof/>
        </w:rPr>
        <w:sym w:font="Wingdings" w:char="F0A8"/>
      </w:r>
      <w:r>
        <w:rPr>
          <w:noProof/>
        </w:rPr>
        <w:t>organismelor de drept privat cu misiune de serviciu public, cu condiția să prezinte garanții financiare adecvate;</w:t>
      </w:r>
    </w:p>
    <w:p>
      <w:pPr>
        <w:pStyle w:val="ListDash2"/>
        <w:rPr>
          <w:noProof/>
        </w:rPr>
      </w:pPr>
      <w:r>
        <w:rPr>
          <w:noProof/>
        </w:rPr>
        <w:sym w:font="Wingdings" w:char="F0A8"/>
      </w:r>
      <w:r>
        <w:rPr>
          <w:noProof/>
        </w:rPr>
        <w:t>organismelor de drept privat dintr-un stat membru care sunt responsabile cu punerea în aplicare a unui parteneriat public-privat și care prezintă garanții financiare adecvate;</w:t>
      </w:r>
    </w:p>
    <w:p>
      <w:pPr>
        <w:pStyle w:val="ListDash2"/>
        <w:rPr>
          <w:noProof/>
        </w:rPr>
      </w:pPr>
      <w:r>
        <w:rPr>
          <w:noProof/>
        </w:rPr>
        <w:sym w:font="Wingdings" w:char="F0A8"/>
      </w:r>
      <w:r>
        <w:rPr>
          <w:noProof/>
        </w:rPr>
        <w:t>persoanelor cărora li se încredințează executarea unor acțiuni specifice în cadrul PESC, în temeiul titlului V din TUE, identificate în actul de bază relevant.</w:t>
      </w:r>
    </w:p>
    <w:p>
      <w:pPr>
        <w:pStyle w:val="ListDash2"/>
        <w:rPr>
          <w:i/>
          <w:noProof/>
          <w:sz w:val="18"/>
          <w:szCs w:val="18"/>
          <w:u w:val="single"/>
        </w:rPr>
      </w:pPr>
      <w:r>
        <w:rPr>
          <w:i/>
          <w:noProof/>
          <w:sz w:val="18"/>
        </w:rPr>
        <w:t>Dacă se indică mai multe moduri de gestiune, a se furniza detalii suplimentare în secțiunea „Observații“.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r>
        <w:rPr>
          <w:noProof/>
        </w:rPr>
        <w:t>Modul de gestiune indirectă este preferat în vederea maximizării flexibilității programului Comisiei Europene, oferind, în același timp, toate mijloacele de control și de monitorizare a programului și a utilizării resurselor.</w:t>
      </w:r>
    </w:p>
    <w:p>
      <w:pPr>
        <w:pStyle w:val="ManualHeading1"/>
        <w:rPr>
          <w:noProof/>
          <w:szCs w:val="24"/>
        </w:rPr>
      </w:pPr>
      <w:r>
        <w:t>2.</w:t>
      </w:r>
      <w:r>
        <w:tab/>
      </w:r>
      <w:r>
        <w:rPr>
          <w:noProof/>
        </w:rPr>
        <w:t xml:space="preserve">MĂSURI DE GESTIONARE </w:t>
      </w:r>
    </w:p>
    <w:p>
      <w:pPr>
        <w:pStyle w:val="ManualHeading2"/>
        <w:rPr>
          <w:noProof/>
        </w:rPr>
      </w:pPr>
      <w:r>
        <w:t>2.1.</w:t>
      </w:r>
      <w:r>
        <w:tab/>
      </w:r>
      <w:r>
        <w:rPr>
          <w:noProof/>
        </w:rPr>
        <w:t xml:space="preserve">Norme de monitorizare și raportare </w:t>
      </w:r>
    </w:p>
    <w:p>
      <w:pPr>
        <w:ind w:left="850"/>
        <w:rPr>
          <w:i/>
          <w:noProof/>
          <w:sz w:val="20"/>
          <w:u w:val="single"/>
        </w:rPr>
      </w:pPr>
      <w:r>
        <w:rPr>
          <w:i/>
          <w:noProof/>
          <w:sz w:val="20"/>
        </w:rPr>
        <w:t>A se preciza frecvența și condițiile aferente acestor dispoziții.</w:t>
      </w:r>
    </w:p>
    <w:p>
      <w:pPr>
        <w:pBdr>
          <w:top w:val="single" w:sz="4" w:space="1" w:color="auto"/>
          <w:left w:val="single" w:sz="4" w:space="4" w:color="auto"/>
          <w:bottom w:val="single" w:sz="4" w:space="1" w:color="auto"/>
          <w:right w:val="single" w:sz="4" w:space="4" w:color="auto"/>
        </w:pBdr>
        <w:ind w:left="850"/>
        <w:rPr>
          <w:b/>
          <w:bCs/>
          <w:noProof/>
        </w:rPr>
      </w:pPr>
      <w:r>
        <w:rPr>
          <w:noProof/>
        </w:rPr>
        <w:t>În conformitate cu articolul 17 din Regulamentul privind programul european de dezvoltare industrială în domeniul apărării, Comisia va monitoriza periodic punerea în aplicare a programului și va prezenta un raport anual cu privire la progresele înregistrate prin examinarea activităților financiare și evaluarea rezultatelor obținute.</w:t>
      </w:r>
      <w:r>
        <w:rPr>
          <w:b/>
          <w:noProof/>
        </w:rPr>
        <w:t xml:space="preserve"> </w:t>
      </w:r>
    </w:p>
    <w:p>
      <w:pPr>
        <w:pBdr>
          <w:top w:val="single" w:sz="4" w:space="1" w:color="auto"/>
          <w:left w:val="single" w:sz="4" w:space="4" w:color="auto"/>
          <w:bottom w:val="single" w:sz="4" w:space="1" w:color="auto"/>
          <w:right w:val="single" w:sz="4" w:space="4" w:color="auto"/>
        </w:pBdr>
        <w:ind w:left="850"/>
        <w:rPr>
          <w:b/>
          <w:bCs/>
          <w:noProof/>
          <w:u w:val="single"/>
        </w:rPr>
      </w:pPr>
      <w:r>
        <w:rPr>
          <w:noProof/>
        </w:rPr>
        <w:t xml:space="preserve">În acest scop, Comisia va pune în aplicare măsurile de monitorizare necesare pentru a se asigura că datele relevante din partea entităților însărcinate cu punerea în aplicare a programului, a statelor membre sau a părților terțe sunt colectate în mod fiabil și fără probleme. </w:t>
      </w:r>
    </w:p>
    <w:p>
      <w:pPr>
        <w:pBdr>
          <w:top w:val="single" w:sz="4" w:space="1" w:color="auto"/>
          <w:left w:val="single" w:sz="4" w:space="4" w:color="auto"/>
          <w:bottom w:val="single" w:sz="4" w:space="1" w:color="auto"/>
          <w:right w:val="single" w:sz="4" w:space="4" w:color="auto"/>
        </w:pBdr>
        <w:ind w:left="850"/>
        <w:rPr>
          <w:noProof/>
        </w:rPr>
      </w:pPr>
      <w:r>
        <w:rPr>
          <w:noProof/>
        </w:rPr>
        <w:t xml:space="preserve">În ceea ce privește sarcinile puse în aplicare în cadrul gestiunii indirecte, Comisia se va asigura că monitorizarea eficientă și eficace și procedurile de raportare sunt incluse în cadrul acordului de delegare și în contractele/acordurile semnate cu beneficiarii selectați de către entitatea responsabilă. </w:t>
      </w:r>
    </w:p>
    <w:p>
      <w:pPr>
        <w:pBdr>
          <w:top w:val="single" w:sz="4" w:space="1" w:color="auto"/>
          <w:left w:val="single" w:sz="4" w:space="4" w:color="auto"/>
          <w:bottom w:val="single" w:sz="4" w:space="1" w:color="auto"/>
          <w:right w:val="single" w:sz="4" w:space="4" w:color="auto"/>
        </w:pBdr>
        <w:ind w:left="850"/>
        <w:rPr>
          <w:noProof/>
        </w:rPr>
      </w:pPr>
      <w:r>
        <w:rPr>
          <w:noProof/>
        </w:rPr>
        <w:t>Datele colectate ar trebui să permită Comisiei să raporteze cu privire la progresele înregistrate, în conformitate cu articolul 38 alineatul (3) litera (e) din Regulamentul 966/2012 și în funcție de obiectivele specifice menționate la punctul 1.4.2 de mai sus.</w:t>
      </w:r>
    </w:p>
    <w:p>
      <w:pPr>
        <w:pBdr>
          <w:top w:val="single" w:sz="4" w:space="1" w:color="auto"/>
          <w:left w:val="single" w:sz="4" w:space="4" w:color="auto"/>
          <w:bottom w:val="single" w:sz="4" w:space="1" w:color="auto"/>
          <w:right w:val="single" w:sz="4" w:space="4" w:color="auto"/>
        </w:pBdr>
        <w:ind w:left="850"/>
        <w:rPr>
          <w:noProof/>
        </w:rPr>
      </w:pPr>
    </w:p>
    <w:p>
      <w:pPr>
        <w:pStyle w:val="ManualHeading2"/>
        <w:rPr>
          <w:noProof/>
          <w:szCs w:val="24"/>
        </w:rPr>
      </w:pPr>
      <w:r>
        <w:t>2.2.</w:t>
      </w:r>
      <w:r>
        <w:tab/>
      </w:r>
      <w:r>
        <w:rPr>
          <w:noProof/>
        </w:rPr>
        <w:t xml:space="preserve">Sistemul de gestionare și control </w:t>
      </w:r>
    </w:p>
    <w:p>
      <w:pPr>
        <w:pStyle w:val="ManualHeading3"/>
        <w:rPr>
          <w:noProof/>
        </w:rPr>
      </w:pPr>
      <w:r>
        <w:t>2.2.1.</w:t>
      </w:r>
      <w:r>
        <w:tab/>
      </w:r>
      <w:r>
        <w:rPr>
          <w:noProof/>
        </w:rPr>
        <w:t xml:space="preserve">Riscul (riscurile) identificat(e). </w:t>
      </w:r>
    </w:p>
    <w:p>
      <w:pPr>
        <w:pBdr>
          <w:top w:val="single" w:sz="4" w:space="1" w:color="auto"/>
          <w:left w:val="single" w:sz="4" w:space="4" w:color="auto"/>
          <w:bottom w:val="single" w:sz="4" w:space="1" w:color="auto"/>
          <w:right w:val="single" w:sz="4" w:space="4" w:color="auto"/>
        </w:pBdr>
        <w:ind w:left="850"/>
        <w:rPr>
          <w:noProof/>
        </w:rPr>
      </w:pPr>
      <w:r>
        <w:rPr>
          <w:noProof/>
        </w:rPr>
        <w:t>Riscurile identificate sunt:</w:t>
      </w:r>
    </w:p>
    <w:p>
      <w:pPr>
        <w:pBdr>
          <w:top w:val="single" w:sz="4" w:space="1" w:color="auto"/>
          <w:left w:val="single" w:sz="4" w:space="4" w:color="auto"/>
          <w:bottom w:val="single" w:sz="4" w:space="1" w:color="auto"/>
          <w:right w:val="single" w:sz="4" w:space="4" w:color="auto"/>
        </w:pBdr>
        <w:ind w:left="850"/>
        <w:rPr>
          <w:noProof/>
        </w:rPr>
      </w:pPr>
      <w:r>
        <w:rPr>
          <w:noProof/>
        </w:rPr>
        <w:t>Risc referitor la calendar: calendar, întârzieri în punerea în aplicare.</w:t>
      </w:r>
    </w:p>
    <w:p>
      <w:pPr>
        <w:pBdr>
          <w:top w:val="single" w:sz="4" w:space="1" w:color="auto"/>
          <w:left w:val="single" w:sz="4" w:space="4" w:color="auto"/>
          <w:bottom w:val="single" w:sz="4" w:space="1" w:color="auto"/>
          <w:right w:val="single" w:sz="4" w:space="4" w:color="auto"/>
        </w:pBdr>
        <w:ind w:left="850"/>
        <w:rPr>
          <w:noProof/>
        </w:rPr>
      </w:pPr>
      <w:r>
        <w:rPr>
          <w:noProof/>
        </w:rPr>
        <w:t>Risc de guvernanță: lipsa de cooperare între statele membre și/sau întreprinderile naționale.</w:t>
      </w:r>
    </w:p>
    <w:p>
      <w:pPr>
        <w:pBdr>
          <w:top w:val="single" w:sz="4" w:space="1" w:color="auto"/>
          <w:left w:val="single" w:sz="4" w:space="4" w:color="auto"/>
          <w:bottom w:val="single" w:sz="4" w:space="1" w:color="auto"/>
          <w:right w:val="single" w:sz="4" w:space="4" w:color="auto"/>
        </w:pBdr>
        <w:ind w:left="850"/>
        <w:rPr>
          <w:noProof/>
        </w:rPr>
      </w:pPr>
      <w:r>
        <w:rPr>
          <w:noProof/>
        </w:rPr>
        <w:t>Risc financiar: gestionarea costurilor, absorbția scăzută (întârzieri), cheltuieli neeligibile etc.</w:t>
      </w:r>
    </w:p>
    <w:p>
      <w:pPr>
        <w:pBdr>
          <w:top w:val="single" w:sz="4" w:space="1" w:color="auto"/>
          <w:left w:val="single" w:sz="4" w:space="4" w:color="auto"/>
          <w:bottom w:val="single" w:sz="4" w:space="1" w:color="auto"/>
          <w:right w:val="single" w:sz="4" w:space="4" w:color="auto"/>
        </w:pBdr>
        <w:ind w:left="850"/>
        <w:rPr>
          <w:noProof/>
        </w:rPr>
      </w:pPr>
      <w:r>
        <w:rPr>
          <w:noProof/>
        </w:rPr>
        <w:t>Riscuri de ordin tehnic: dificultăți în ceea ce privește dezvoltarea specifică; aspecte tehnice; un nivel mai scăzut de performanță.</w:t>
      </w:r>
    </w:p>
    <w:p>
      <w:pPr>
        <w:pStyle w:val="ManualHeading3"/>
        <w:rPr>
          <w:noProof/>
          <w:szCs w:val="24"/>
        </w:rPr>
      </w:pPr>
      <w:r>
        <w:t>2.2.2.</w:t>
      </w:r>
      <w:r>
        <w:tab/>
      </w:r>
      <w:r>
        <w:rPr>
          <w:noProof/>
        </w:rPr>
        <w:t>Informații privind sistemul de control intern instituit</w:t>
      </w:r>
    </w:p>
    <w:p>
      <w:pPr>
        <w:pBdr>
          <w:top w:val="single" w:sz="4" w:space="1" w:color="auto"/>
          <w:left w:val="single" w:sz="4" w:space="4" w:color="auto"/>
          <w:bottom w:val="single" w:sz="4" w:space="1" w:color="auto"/>
          <w:right w:val="single" w:sz="4" w:space="4" w:color="auto"/>
        </w:pBdr>
        <w:ind w:left="850"/>
        <w:rPr>
          <w:noProof/>
        </w:rPr>
      </w:pPr>
      <w:r>
        <w:rPr>
          <w:noProof/>
        </w:rPr>
        <w:t>Fondurile vor fi gestionate în mod indirect, prin intermediul unui acord de delegare.</w:t>
      </w:r>
    </w:p>
    <w:p>
      <w:pPr>
        <w:pBdr>
          <w:top w:val="single" w:sz="4" w:space="1" w:color="auto"/>
          <w:left w:val="single" w:sz="4" w:space="4" w:color="auto"/>
          <w:bottom w:val="single" w:sz="4" w:space="1" w:color="auto"/>
          <w:right w:val="single" w:sz="4" w:space="4" w:color="auto"/>
        </w:pBdr>
        <w:ind w:left="850"/>
        <w:rPr>
          <w:noProof/>
        </w:rPr>
      </w:pPr>
      <w:r>
        <w:rPr>
          <w:noProof/>
        </w:rPr>
        <w:t>Cea mai mare parte a fondurilor sunt alocate prin intermediul granturilor (al doilea strat).</w:t>
      </w:r>
    </w:p>
    <w:p>
      <w:pPr>
        <w:pBdr>
          <w:top w:val="single" w:sz="4" w:space="1" w:color="auto"/>
          <w:left w:val="single" w:sz="4" w:space="4" w:color="auto"/>
          <w:bottom w:val="single" w:sz="4" w:space="1" w:color="auto"/>
          <w:right w:val="single" w:sz="4" w:space="4" w:color="auto"/>
        </w:pBdr>
        <w:ind w:left="850"/>
        <w:rPr>
          <w:noProof/>
        </w:rPr>
      </w:pPr>
      <w:r>
        <w:rPr>
          <w:noProof/>
        </w:rPr>
        <w:t>Organismul de punere în aplicare va lega atribuirea acestor granturi de întocmirea de rapoarte periodice care trebuie furnizate de către beneficiari prin intermediul coordonatorului consorțiului (articolul 9 din regulament).</w:t>
      </w:r>
    </w:p>
    <w:p>
      <w:pPr>
        <w:pBdr>
          <w:top w:val="single" w:sz="4" w:space="1" w:color="auto"/>
          <w:left w:val="single" w:sz="4" w:space="4" w:color="auto"/>
          <w:bottom w:val="single" w:sz="4" w:space="1" w:color="auto"/>
          <w:right w:val="single" w:sz="4" w:space="4" w:color="auto"/>
        </w:pBdr>
        <w:ind w:left="850"/>
        <w:rPr>
          <w:noProof/>
        </w:rPr>
      </w:pPr>
      <w:r>
        <w:rPr>
          <w:noProof/>
        </w:rPr>
        <w:t>Contractul sau contractele care vor fi semnate cu coordonatorul consorțiului vor prezenta în mod detaliat obligațiile consorțiului și în special, în caz de absență sau de punere în aplicare necorespunzătoare a acțiunilor sau de întârzieri, dreptul Comisiei de a reduce, de a reține sau de a înceta contribuția sa financiară.</w:t>
      </w:r>
    </w:p>
    <w:p>
      <w:pPr>
        <w:pBdr>
          <w:top w:val="single" w:sz="4" w:space="1" w:color="auto"/>
          <w:left w:val="single" w:sz="4" w:space="4" w:color="auto"/>
          <w:bottom w:val="single" w:sz="4" w:space="1" w:color="auto"/>
          <w:right w:val="single" w:sz="4" w:space="4" w:color="auto"/>
        </w:pBdr>
        <w:ind w:left="850"/>
        <w:rPr>
          <w:noProof/>
        </w:rPr>
      </w:pPr>
      <w:r>
        <w:rPr>
          <w:noProof/>
        </w:rPr>
        <w:t>Comisia va conveni, prin intermediul acordului de delegare, cu privire la natura și la frecvența raportării:</w:t>
      </w:r>
    </w:p>
    <w:p>
      <w:pPr>
        <w:pBdr>
          <w:top w:val="single" w:sz="4" w:space="1" w:color="auto"/>
          <w:left w:val="single" w:sz="4" w:space="4" w:color="auto"/>
          <w:bottom w:val="single" w:sz="4" w:space="1" w:color="auto"/>
          <w:right w:val="single" w:sz="4" w:space="4" w:color="auto"/>
        </w:pBdr>
        <w:ind w:left="850"/>
        <w:rPr>
          <w:noProof/>
        </w:rPr>
      </w:pPr>
      <w:r>
        <w:rPr>
          <w:noProof/>
        </w:rPr>
        <w:t>- raportare obligatorie de către beneficiari;</w:t>
      </w:r>
    </w:p>
    <w:p>
      <w:pPr>
        <w:pBdr>
          <w:top w:val="single" w:sz="4" w:space="1" w:color="auto"/>
          <w:left w:val="single" w:sz="4" w:space="4" w:color="auto"/>
          <w:bottom w:val="single" w:sz="4" w:space="1" w:color="auto"/>
          <w:right w:val="single" w:sz="4" w:space="4" w:color="auto"/>
        </w:pBdr>
        <w:ind w:left="850"/>
        <w:rPr>
          <w:noProof/>
        </w:rPr>
      </w:pPr>
      <w:r>
        <w:rPr>
          <w:noProof/>
        </w:rPr>
        <w:t>- controale privind cheltuielile;</w:t>
      </w:r>
    </w:p>
    <w:p>
      <w:pPr>
        <w:pBdr>
          <w:top w:val="single" w:sz="4" w:space="1" w:color="auto"/>
          <w:left w:val="single" w:sz="4" w:space="4" w:color="auto"/>
          <w:bottom w:val="single" w:sz="4" w:space="1" w:color="auto"/>
          <w:right w:val="single" w:sz="4" w:space="4" w:color="auto"/>
        </w:pBdr>
        <w:ind w:left="850"/>
        <w:rPr>
          <w:noProof/>
        </w:rPr>
      </w:pPr>
      <w:r>
        <w:rPr>
          <w:noProof/>
        </w:rPr>
        <w:t>- participarea la reuniuni periodice de monitorizare (tehnice și de management).</w:t>
      </w:r>
    </w:p>
    <w:p>
      <w:pPr>
        <w:pBdr>
          <w:top w:val="single" w:sz="4" w:space="1" w:color="auto"/>
          <w:left w:val="single" w:sz="4" w:space="4" w:color="auto"/>
          <w:bottom w:val="single" w:sz="4" w:space="1" w:color="auto"/>
          <w:right w:val="single" w:sz="4" w:space="4" w:color="auto"/>
        </w:pBdr>
        <w:ind w:left="850"/>
        <w:rPr>
          <w:noProof/>
        </w:rPr>
      </w:pPr>
      <w:r>
        <w:rPr>
          <w:noProof/>
        </w:rPr>
        <w:t>După caz, se va solicita asistența unor experți tehnici externi pentru monitorizarea punerii în aplicare a programelor. Pe baza rezultatelor controalelor la fața locului, după caz, Comisia se asigură că volumul sau condițiile de acordare a contribuției financiare aprobate inițial, precum și calendarul plăților, sunt adaptate.</w:t>
      </w:r>
    </w:p>
    <w:p>
      <w:pPr>
        <w:pBdr>
          <w:top w:val="single" w:sz="4" w:space="1" w:color="auto"/>
          <w:left w:val="single" w:sz="4" w:space="4" w:color="auto"/>
          <w:bottom w:val="single" w:sz="4" w:space="1" w:color="auto"/>
          <w:right w:val="single" w:sz="4" w:space="4" w:color="auto"/>
        </w:pBdr>
        <w:ind w:left="850"/>
        <w:rPr>
          <w:noProof/>
        </w:rPr>
      </w:pPr>
      <w:r>
        <w:rPr>
          <w:noProof/>
        </w:rPr>
        <w:t xml:space="preserve">În plus, se va pune în aplicare o strategie de audit pentru a monitoriza îndeaproape costurile proiectului. </w:t>
      </w:r>
    </w:p>
    <w:p>
      <w:pPr>
        <w:pStyle w:val="ManualHeading3"/>
        <w:rPr>
          <w:noProof/>
        </w:rPr>
      </w:pPr>
      <w:r>
        <w:t>2.2.3.</w:t>
      </w:r>
      <w:r>
        <w:tab/>
      </w:r>
      <w:r>
        <w:rPr>
          <w:noProof/>
        </w:rPr>
        <w:t xml:space="preserve">Estimarea costurilor și a beneficiilor controalelor și evaluarea nivelului estimat al riscului de eroare </w:t>
      </w:r>
    </w:p>
    <w:p>
      <w:pPr>
        <w:pBdr>
          <w:top w:val="single" w:sz="4" w:space="1" w:color="auto"/>
          <w:left w:val="single" w:sz="4" w:space="4" w:color="auto"/>
          <w:bottom w:val="single" w:sz="4" w:space="1" w:color="auto"/>
          <w:right w:val="single" w:sz="4" w:space="4" w:color="auto"/>
        </w:pBdr>
        <w:ind w:left="850"/>
        <w:rPr>
          <w:noProof/>
        </w:rPr>
      </w:pPr>
      <w:r>
        <w:rPr>
          <w:noProof/>
        </w:rPr>
        <w:t>Personalul inclus la punctul 3.2.3.2 ar trebui să fie suficient pentru a controla punerea în aplicare a acestor fonduri.</w:t>
      </w:r>
    </w:p>
    <w:p>
      <w:pPr>
        <w:pStyle w:val="ManualHeading2"/>
        <w:rPr>
          <w:noProof/>
          <w:szCs w:val="24"/>
        </w:rPr>
      </w:pPr>
      <w:r>
        <w:t>2.3.</w:t>
      </w:r>
      <w:r>
        <w:tab/>
      </w:r>
      <w:r>
        <w:rPr>
          <w:noProof/>
        </w:rPr>
        <w:t xml:space="preserve">Măsuri de prevenire a fraudelor și a neregulilor </w:t>
      </w:r>
    </w:p>
    <w:p>
      <w:pPr>
        <w:ind w:left="850"/>
        <w:rPr>
          <w:i/>
          <w:noProof/>
          <w:sz w:val="20"/>
        </w:rPr>
      </w:pPr>
      <w:r>
        <w:rPr>
          <w:i/>
          <w:noProof/>
          <w:sz w:val="20"/>
        </w:rPr>
        <w:t>A se preciza măsurile de prevenire și de protecție existente sau preconizate.</w:t>
      </w:r>
    </w:p>
    <w:p>
      <w:pPr>
        <w:pBdr>
          <w:top w:val="single" w:sz="4" w:space="1" w:color="auto"/>
          <w:left w:val="single" w:sz="4" w:space="4" w:color="auto"/>
          <w:bottom w:val="single" w:sz="4" w:space="1" w:color="auto"/>
          <w:right w:val="single" w:sz="4" w:space="4" w:color="auto"/>
        </w:pBdr>
        <w:ind w:left="850"/>
        <w:rPr>
          <w:noProof/>
        </w:rPr>
      </w:pPr>
      <w:r>
        <w:rPr>
          <w:noProof/>
        </w:rPr>
        <w:t xml:space="preserve">Articolul 18 din propunere definește competența Oficiului European de Luptă Antifraudă (OLAF) de a efectua investigații privind operațiunile sprijinite prin prezenta inițiativă. </w:t>
      </w:r>
    </w:p>
    <w:p>
      <w:pPr>
        <w:pBdr>
          <w:top w:val="single" w:sz="4" w:space="1" w:color="auto"/>
          <w:left w:val="single" w:sz="4" w:space="4" w:color="auto"/>
          <w:bottom w:val="single" w:sz="4" w:space="1" w:color="auto"/>
          <w:right w:val="single" w:sz="4" w:space="4" w:color="auto"/>
        </w:pBdr>
        <w:ind w:left="850"/>
        <w:rPr>
          <w:noProof/>
        </w:rPr>
      </w:pPr>
      <w:r>
        <w:rPr>
          <w:noProof/>
        </w:rPr>
        <w:t>Acordurile care decurg din prezentul regulament, inclusiv acordurile încheiate cu țările terțe și cu organizațiile internaționale participante, prevăd urmărirea și controlul financiar exercitate de Comisie sau de orice reprezentant abilitat de aceasta, precum și audituri desfășurate de Curtea de Conturi sau de OLAF, dacă este cazul la fața locului.</w:t>
      </w:r>
    </w:p>
    <w:p>
      <w:pPr>
        <w:pStyle w:val="ManualHeading1"/>
        <w:rPr>
          <w:noProof/>
          <w:szCs w:val="24"/>
        </w:rPr>
      </w:pPr>
      <w:r>
        <w:t>3.</w:t>
      </w:r>
      <w:r>
        <w:tab/>
      </w:r>
      <w:r>
        <w:rPr>
          <w:noProof/>
        </w:rPr>
        <w:t xml:space="preserve">IMPACTUL FINANCIAR ESTIMAT AL PROPUNERII/INIȚIATIVEI </w:t>
      </w:r>
    </w:p>
    <w:p>
      <w:pPr>
        <w:pStyle w:val="ManualHeading2"/>
        <w:rPr>
          <w:noProof/>
        </w:rPr>
      </w:pPr>
      <w:r>
        <w:t>3.1.</w:t>
      </w:r>
      <w:r>
        <w:tab/>
      </w:r>
      <w:r>
        <w:rPr>
          <w:noProof/>
        </w:rPr>
        <w:t xml:space="preserve">Rubrica (rubricile) din cadrul financiar multianual și linia (liniile) bugetară (bugetare) de cheltuieli afectată (afectate) </w:t>
      </w:r>
    </w:p>
    <w:p>
      <w:pPr>
        <w:pStyle w:val="ListBullet1"/>
        <w:rPr>
          <w:noProof/>
        </w:rPr>
      </w:pPr>
      <w:r>
        <w:rPr>
          <w:noProof/>
        </w:rPr>
        <w:t xml:space="preserve">Linii bugetare existente </w:t>
      </w:r>
    </w:p>
    <w:p>
      <w:pPr>
        <w:ind w:left="850"/>
        <w:rPr>
          <w:noProof/>
        </w:rPr>
      </w:pPr>
      <w:r>
        <w:rPr>
          <w:noProof/>
          <w:u w:val="single"/>
        </w:rPr>
        <w:t>În ordinea</w:t>
      </w:r>
      <w:r>
        <w:rPr>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rPr>
              <w:t>Rubrica din cadrul financiar multianual</w:t>
            </w:r>
          </w:p>
        </w:tc>
        <w:tc>
          <w:tcPr>
            <w:tcW w:w="3960" w:type="dxa"/>
            <w:vAlign w:val="center"/>
          </w:tcPr>
          <w:p>
            <w:pPr>
              <w:spacing w:before="60" w:after="60"/>
              <w:jc w:val="center"/>
              <w:rPr>
                <w:noProof/>
              </w:rPr>
            </w:pPr>
            <w:r>
              <w:rPr>
                <w:noProof/>
                <w:sz w:val="20"/>
              </w:rPr>
              <w:t>Linia bugetară</w:t>
            </w:r>
          </w:p>
        </w:tc>
        <w:tc>
          <w:tcPr>
            <w:tcW w:w="1080" w:type="dxa"/>
            <w:vAlign w:val="center"/>
          </w:tcPr>
          <w:p>
            <w:pPr>
              <w:spacing w:before="60" w:after="60"/>
              <w:jc w:val="center"/>
              <w:rPr>
                <w:noProof/>
              </w:rPr>
            </w:pPr>
            <w:r>
              <w:rPr>
                <w:noProof/>
                <w:sz w:val="18"/>
              </w:rPr>
              <w:t xml:space="preserve">Tip de </w:t>
            </w:r>
            <w:r>
              <w:rPr>
                <w:noProof/>
                <w:sz w:val="22"/>
              </w:rPr>
              <w:br/>
            </w:r>
            <w:r>
              <w:rPr>
                <w:noProof/>
                <w:sz w:val="18"/>
              </w:rPr>
              <w:t>cheltuieli</w:t>
            </w:r>
          </w:p>
        </w:tc>
        <w:tc>
          <w:tcPr>
            <w:tcW w:w="4440" w:type="dxa"/>
            <w:gridSpan w:val="4"/>
            <w:vAlign w:val="center"/>
          </w:tcPr>
          <w:p>
            <w:pPr>
              <w:spacing w:before="60" w:after="60"/>
              <w:jc w:val="center"/>
              <w:rPr>
                <w:noProof/>
              </w:rPr>
            </w:pPr>
            <w:r>
              <w:rPr>
                <w:noProof/>
                <w:sz w:val="20"/>
              </w:rPr>
              <w:t xml:space="preserve">Contribuție </w:t>
            </w:r>
          </w:p>
        </w:tc>
      </w:tr>
      <w:tr>
        <w:tc>
          <w:tcPr>
            <w:tcW w:w="1080" w:type="dxa"/>
            <w:vMerge/>
            <w:vAlign w:val="center"/>
          </w:tcPr>
          <w:p>
            <w:pPr>
              <w:jc w:val="center"/>
              <w:rPr>
                <w:noProof/>
              </w:rPr>
            </w:pPr>
          </w:p>
        </w:tc>
        <w:tc>
          <w:tcPr>
            <w:tcW w:w="3960" w:type="dxa"/>
            <w:vAlign w:val="center"/>
          </w:tcPr>
          <w:p>
            <w:pPr>
              <w:rPr>
                <w:noProof/>
              </w:rPr>
            </w:pPr>
            <w:r>
              <w:rPr>
                <w:noProof/>
                <w:sz w:val="22"/>
              </w:rPr>
              <w:br/>
            </w:r>
          </w:p>
        </w:tc>
        <w:tc>
          <w:tcPr>
            <w:tcW w:w="1080" w:type="dxa"/>
            <w:vAlign w:val="center"/>
          </w:tcPr>
          <w:p>
            <w:pPr>
              <w:jc w:val="center"/>
              <w:rPr>
                <w:noProof/>
              </w:rPr>
            </w:pPr>
            <w:r>
              <w:rPr>
                <w:noProof/>
                <w:sz w:val="18"/>
                <w:szCs w:val="18"/>
              </w:rPr>
              <w:t>Dif./Nedif.</w:t>
            </w:r>
            <w:r>
              <w:rPr>
                <w:rStyle w:val="FootnoteReference"/>
                <w:noProof/>
              </w:rPr>
              <w:footnoteReference w:id="13"/>
            </w:r>
          </w:p>
        </w:tc>
        <w:tc>
          <w:tcPr>
            <w:tcW w:w="956" w:type="dxa"/>
            <w:vAlign w:val="center"/>
          </w:tcPr>
          <w:p>
            <w:pPr>
              <w:jc w:val="center"/>
              <w:rPr>
                <w:noProof/>
              </w:rPr>
            </w:pPr>
            <w:r>
              <w:rPr>
                <w:noProof/>
                <w:sz w:val="18"/>
              </w:rPr>
              <w:t>Țări AELS</w:t>
            </w:r>
            <w:r>
              <w:rPr>
                <w:rStyle w:val="FootnoteReference"/>
                <w:noProof/>
              </w:rPr>
              <w:footnoteReference w:id="14"/>
            </w:r>
          </w:p>
          <w:p>
            <w:pPr>
              <w:spacing w:before="0" w:after="0"/>
              <w:jc w:val="center"/>
              <w:rPr>
                <w:b/>
                <w:noProof/>
                <w:sz w:val="18"/>
              </w:rPr>
            </w:pPr>
          </w:p>
        </w:tc>
        <w:tc>
          <w:tcPr>
            <w:tcW w:w="1080" w:type="dxa"/>
            <w:vAlign w:val="center"/>
          </w:tcPr>
          <w:p>
            <w:pPr>
              <w:jc w:val="center"/>
              <w:rPr>
                <w:noProof/>
              </w:rPr>
            </w:pPr>
            <w:r>
              <w:rPr>
                <w:noProof/>
                <w:sz w:val="18"/>
              </w:rPr>
              <w:t>Țări candidate</w:t>
            </w:r>
            <w:r>
              <w:rPr>
                <w:rStyle w:val="FootnoteReference"/>
                <w:noProof/>
              </w:rPr>
              <w:footnoteReference w:id="15"/>
            </w:r>
          </w:p>
          <w:p>
            <w:pPr>
              <w:spacing w:before="0" w:after="0"/>
              <w:jc w:val="center"/>
              <w:rPr>
                <w:noProof/>
                <w:sz w:val="18"/>
              </w:rPr>
            </w:pPr>
          </w:p>
        </w:tc>
        <w:tc>
          <w:tcPr>
            <w:tcW w:w="956" w:type="dxa"/>
            <w:vAlign w:val="center"/>
          </w:tcPr>
          <w:p>
            <w:pPr>
              <w:jc w:val="center"/>
              <w:rPr>
                <w:noProof/>
                <w:sz w:val="18"/>
              </w:rPr>
            </w:pPr>
            <w:r>
              <w:rPr>
                <w:noProof/>
                <w:sz w:val="18"/>
              </w:rPr>
              <w:t>Țări terțe</w:t>
            </w:r>
          </w:p>
        </w:tc>
        <w:tc>
          <w:tcPr>
            <w:tcW w:w="1448" w:type="dxa"/>
            <w:vAlign w:val="center"/>
          </w:tcPr>
          <w:p>
            <w:pPr>
              <w:jc w:val="center"/>
              <w:rPr>
                <w:noProof/>
              </w:rPr>
            </w:pPr>
            <w:r>
              <w:rPr>
                <w:noProof/>
                <w:sz w:val="16"/>
              </w:rPr>
              <w:t xml:space="preserve">În sensul articolului 21 alineatul (2) litera (b) din Regulamentul financiar </w:t>
            </w:r>
          </w:p>
        </w:tc>
      </w:tr>
      <w:tr>
        <w:tc>
          <w:tcPr>
            <w:tcW w:w="1080" w:type="dxa"/>
            <w:vAlign w:val="center"/>
          </w:tcPr>
          <w:p>
            <w:pPr>
              <w:jc w:val="left"/>
              <w:rPr>
                <w:noProof/>
                <w:color w:val="0000FF"/>
              </w:rPr>
            </w:pPr>
          </w:p>
        </w:tc>
        <w:tc>
          <w:tcPr>
            <w:tcW w:w="3960" w:type="dxa"/>
            <w:vAlign w:val="center"/>
          </w:tcPr>
          <w:p>
            <w:pPr>
              <w:spacing w:before="60"/>
              <w:jc w:val="left"/>
              <w:rPr>
                <w:noProof/>
              </w:rPr>
            </w:pPr>
          </w:p>
        </w:tc>
        <w:tc>
          <w:tcPr>
            <w:tcW w:w="1080" w:type="dxa"/>
            <w:vAlign w:val="center"/>
          </w:tcPr>
          <w:p>
            <w:pPr>
              <w:jc w:val="center"/>
              <w:rPr>
                <w:noProof/>
                <w:color w:val="0000FF"/>
              </w:rPr>
            </w:pPr>
            <w:r>
              <w:rPr>
                <w:noProof/>
                <w:sz w:val="22"/>
              </w:rPr>
              <w:t>Dif.</w:t>
            </w:r>
          </w:p>
        </w:tc>
        <w:tc>
          <w:tcPr>
            <w:tcW w:w="956" w:type="dxa"/>
            <w:vAlign w:val="center"/>
          </w:tcPr>
          <w:p>
            <w:pPr>
              <w:jc w:val="center"/>
              <w:rPr>
                <w:noProof/>
              </w:rPr>
            </w:pPr>
            <w:r>
              <w:rPr>
                <w:noProof/>
                <w:sz w:val="22"/>
              </w:rPr>
              <w:t>DA/NU</w:t>
            </w:r>
          </w:p>
        </w:tc>
        <w:tc>
          <w:tcPr>
            <w:tcW w:w="1080" w:type="dxa"/>
            <w:vAlign w:val="center"/>
          </w:tcPr>
          <w:p>
            <w:pPr>
              <w:jc w:val="center"/>
              <w:rPr>
                <w:noProof/>
              </w:rPr>
            </w:pPr>
            <w:r>
              <w:rPr>
                <w:noProof/>
                <w:sz w:val="22"/>
              </w:rPr>
              <w:t>DA/NU</w:t>
            </w:r>
          </w:p>
        </w:tc>
        <w:tc>
          <w:tcPr>
            <w:tcW w:w="956" w:type="dxa"/>
            <w:vAlign w:val="center"/>
          </w:tcPr>
          <w:p>
            <w:pPr>
              <w:jc w:val="center"/>
              <w:rPr>
                <w:noProof/>
              </w:rPr>
            </w:pPr>
            <w:r>
              <w:rPr>
                <w:noProof/>
                <w:sz w:val="22"/>
              </w:rPr>
              <w:t>DA/NU</w:t>
            </w:r>
          </w:p>
        </w:tc>
        <w:tc>
          <w:tcPr>
            <w:tcW w:w="1448" w:type="dxa"/>
            <w:vAlign w:val="center"/>
          </w:tcPr>
          <w:p>
            <w:pPr>
              <w:jc w:val="center"/>
              <w:rPr>
                <w:noProof/>
              </w:rPr>
            </w:pPr>
            <w:r>
              <w:rPr>
                <w:noProof/>
                <w:sz w:val="22"/>
              </w:rPr>
              <w:t>DA/NU</w:t>
            </w:r>
          </w:p>
        </w:tc>
      </w:tr>
      <w:tr>
        <w:tc>
          <w:tcPr>
            <w:tcW w:w="1080" w:type="dxa"/>
            <w:vAlign w:val="center"/>
          </w:tcPr>
          <w:p>
            <w:pPr>
              <w:jc w:val="left"/>
              <w:rPr>
                <w:noProof/>
                <w:color w:val="0000FF"/>
              </w:rPr>
            </w:pPr>
          </w:p>
        </w:tc>
        <w:tc>
          <w:tcPr>
            <w:tcW w:w="3960" w:type="dxa"/>
            <w:vAlign w:val="center"/>
          </w:tcPr>
          <w:p>
            <w:pPr>
              <w:spacing w:before="60"/>
              <w:jc w:val="left"/>
              <w:rPr>
                <w:noProof/>
                <w:color w:val="0000FF"/>
                <w:sz w:val="22"/>
              </w:rPr>
            </w:pPr>
          </w:p>
        </w:tc>
        <w:tc>
          <w:tcPr>
            <w:tcW w:w="1080" w:type="dxa"/>
            <w:vAlign w:val="center"/>
          </w:tcPr>
          <w:p>
            <w:pPr>
              <w:jc w:val="center"/>
              <w:rPr>
                <w:noProof/>
                <w:sz w:val="22"/>
              </w:rPr>
            </w:pPr>
            <w:r>
              <w:rPr>
                <w:noProof/>
                <w:sz w:val="22"/>
              </w:rPr>
              <w:t>Nedif.</w:t>
            </w:r>
          </w:p>
        </w:tc>
        <w:tc>
          <w:tcPr>
            <w:tcW w:w="956" w:type="dxa"/>
            <w:vAlign w:val="center"/>
          </w:tcPr>
          <w:p>
            <w:pPr>
              <w:jc w:val="center"/>
              <w:rPr>
                <w:noProof/>
                <w:sz w:val="22"/>
              </w:rPr>
            </w:pPr>
            <w:r>
              <w:rPr>
                <w:noProof/>
                <w:sz w:val="22"/>
              </w:rPr>
              <w:t>DA/NU</w:t>
            </w:r>
          </w:p>
        </w:tc>
        <w:tc>
          <w:tcPr>
            <w:tcW w:w="1080" w:type="dxa"/>
            <w:vAlign w:val="center"/>
          </w:tcPr>
          <w:p>
            <w:pPr>
              <w:jc w:val="center"/>
              <w:rPr>
                <w:noProof/>
                <w:sz w:val="22"/>
              </w:rPr>
            </w:pPr>
            <w:r>
              <w:rPr>
                <w:noProof/>
                <w:sz w:val="22"/>
              </w:rPr>
              <w:t>DA/NU</w:t>
            </w:r>
          </w:p>
        </w:tc>
        <w:tc>
          <w:tcPr>
            <w:tcW w:w="956" w:type="dxa"/>
            <w:vAlign w:val="center"/>
          </w:tcPr>
          <w:p>
            <w:pPr>
              <w:jc w:val="center"/>
              <w:rPr>
                <w:noProof/>
                <w:sz w:val="22"/>
              </w:rPr>
            </w:pPr>
            <w:r>
              <w:rPr>
                <w:noProof/>
                <w:sz w:val="22"/>
              </w:rPr>
              <w:t>DA/NU</w:t>
            </w:r>
          </w:p>
        </w:tc>
        <w:tc>
          <w:tcPr>
            <w:tcW w:w="1448" w:type="dxa"/>
            <w:vAlign w:val="center"/>
          </w:tcPr>
          <w:p>
            <w:pPr>
              <w:jc w:val="center"/>
              <w:rPr>
                <w:noProof/>
                <w:sz w:val="22"/>
              </w:rPr>
            </w:pPr>
            <w:r>
              <w:rPr>
                <w:noProof/>
                <w:sz w:val="22"/>
              </w:rPr>
              <w:t>DA/NU</w:t>
            </w:r>
          </w:p>
        </w:tc>
      </w:tr>
    </w:tbl>
    <w:p>
      <w:pPr>
        <w:pStyle w:val="ListBullet1"/>
        <w:rPr>
          <w:noProof/>
        </w:rPr>
      </w:pPr>
      <w:r>
        <w:rPr>
          <w:noProof/>
        </w:rPr>
        <w:t>Noile linii bugetare solicitate</w:t>
      </w:r>
    </w:p>
    <w:p>
      <w:pPr>
        <w:ind w:left="850"/>
        <w:rPr>
          <w:i/>
          <w:noProof/>
          <w:sz w:val="20"/>
        </w:rPr>
      </w:pPr>
      <w:r>
        <w:rPr>
          <w:i/>
          <w:noProof/>
          <w:u w:val="single"/>
        </w:rPr>
        <w:t>În ordinea</w:t>
      </w:r>
      <w:r>
        <w:rPr>
          <w:i/>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Rubrica din cadrul financiar multianual</w:t>
            </w:r>
          </w:p>
        </w:tc>
        <w:tc>
          <w:tcPr>
            <w:tcW w:w="3960" w:type="dxa"/>
            <w:vAlign w:val="center"/>
          </w:tcPr>
          <w:p>
            <w:pPr>
              <w:spacing w:before="60" w:after="60"/>
              <w:jc w:val="center"/>
              <w:rPr>
                <w:noProof/>
              </w:rPr>
            </w:pPr>
            <w:r>
              <w:rPr>
                <w:noProof/>
                <w:sz w:val="20"/>
              </w:rPr>
              <w:t>Linia bugetară</w:t>
            </w:r>
          </w:p>
        </w:tc>
        <w:tc>
          <w:tcPr>
            <w:tcW w:w="1080" w:type="dxa"/>
            <w:vAlign w:val="center"/>
          </w:tcPr>
          <w:p>
            <w:pPr>
              <w:spacing w:before="60" w:after="60"/>
              <w:jc w:val="center"/>
              <w:rPr>
                <w:noProof/>
              </w:rPr>
            </w:pPr>
            <w:r>
              <w:rPr>
                <w:noProof/>
                <w:sz w:val="18"/>
              </w:rPr>
              <w:t xml:space="preserve">Tip de </w:t>
            </w:r>
            <w:r>
              <w:rPr>
                <w:noProof/>
                <w:sz w:val="22"/>
              </w:rPr>
              <w:br/>
            </w:r>
            <w:r>
              <w:rPr>
                <w:noProof/>
                <w:sz w:val="18"/>
              </w:rPr>
              <w:t>cheltuieli</w:t>
            </w:r>
          </w:p>
        </w:tc>
        <w:tc>
          <w:tcPr>
            <w:tcW w:w="4440" w:type="dxa"/>
            <w:gridSpan w:val="4"/>
            <w:vAlign w:val="center"/>
          </w:tcPr>
          <w:p>
            <w:pPr>
              <w:spacing w:before="60" w:after="60"/>
              <w:jc w:val="center"/>
              <w:rPr>
                <w:noProof/>
              </w:rPr>
            </w:pPr>
            <w:r>
              <w:rPr>
                <w:noProof/>
                <w:sz w:val="20"/>
              </w:rPr>
              <w:t xml:space="preserve">Contribuție </w:t>
            </w:r>
          </w:p>
        </w:tc>
      </w:tr>
      <w:tr>
        <w:tc>
          <w:tcPr>
            <w:tcW w:w="1080" w:type="dxa"/>
            <w:vMerge/>
            <w:vAlign w:val="center"/>
          </w:tcPr>
          <w:p>
            <w:pPr>
              <w:jc w:val="center"/>
              <w:rPr>
                <w:noProof/>
              </w:rPr>
            </w:pPr>
          </w:p>
        </w:tc>
        <w:tc>
          <w:tcPr>
            <w:tcW w:w="3960" w:type="dxa"/>
            <w:vAlign w:val="center"/>
          </w:tcPr>
          <w:p>
            <w:pPr>
              <w:rPr>
                <w:noProof/>
              </w:rPr>
            </w:pPr>
          </w:p>
        </w:tc>
        <w:tc>
          <w:tcPr>
            <w:tcW w:w="1080" w:type="dxa"/>
            <w:vAlign w:val="center"/>
          </w:tcPr>
          <w:p>
            <w:pPr>
              <w:jc w:val="center"/>
              <w:rPr>
                <w:noProof/>
              </w:rPr>
            </w:pPr>
            <w:r>
              <w:rPr>
                <w:noProof/>
                <w:sz w:val="18"/>
              </w:rPr>
              <w:t>Dif./Nedif.</w:t>
            </w:r>
          </w:p>
        </w:tc>
        <w:tc>
          <w:tcPr>
            <w:tcW w:w="956" w:type="dxa"/>
            <w:vAlign w:val="center"/>
          </w:tcPr>
          <w:p>
            <w:pPr>
              <w:jc w:val="center"/>
              <w:rPr>
                <w:noProof/>
                <w:sz w:val="18"/>
              </w:rPr>
            </w:pPr>
            <w:r>
              <w:rPr>
                <w:noProof/>
                <w:sz w:val="18"/>
              </w:rPr>
              <w:t>Țări AELS</w:t>
            </w:r>
          </w:p>
        </w:tc>
        <w:tc>
          <w:tcPr>
            <w:tcW w:w="1080" w:type="dxa"/>
            <w:vAlign w:val="center"/>
          </w:tcPr>
          <w:p>
            <w:pPr>
              <w:jc w:val="center"/>
              <w:rPr>
                <w:noProof/>
                <w:sz w:val="18"/>
              </w:rPr>
            </w:pPr>
            <w:r>
              <w:rPr>
                <w:noProof/>
                <w:sz w:val="18"/>
              </w:rPr>
              <w:t>Țări candidate</w:t>
            </w:r>
          </w:p>
        </w:tc>
        <w:tc>
          <w:tcPr>
            <w:tcW w:w="956" w:type="dxa"/>
            <w:vAlign w:val="center"/>
          </w:tcPr>
          <w:p>
            <w:pPr>
              <w:jc w:val="center"/>
              <w:rPr>
                <w:noProof/>
                <w:sz w:val="18"/>
              </w:rPr>
            </w:pPr>
            <w:r>
              <w:rPr>
                <w:noProof/>
                <w:sz w:val="18"/>
              </w:rPr>
              <w:t>Țări terțe</w:t>
            </w:r>
          </w:p>
        </w:tc>
        <w:tc>
          <w:tcPr>
            <w:tcW w:w="1448" w:type="dxa"/>
            <w:vAlign w:val="center"/>
          </w:tcPr>
          <w:p>
            <w:pPr>
              <w:jc w:val="center"/>
              <w:rPr>
                <w:noProof/>
              </w:rPr>
            </w:pPr>
            <w:r>
              <w:rPr>
                <w:noProof/>
                <w:sz w:val="16"/>
              </w:rPr>
              <w:t xml:space="preserve">În sensul articolului 21 alineatul (2) litera (b) din Regulamentul financiar </w:t>
            </w:r>
          </w:p>
        </w:tc>
      </w:tr>
      <w:tr>
        <w:tc>
          <w:tcPr>
            <w:tcW w:w="1080" w:type="dxa"/>
            <w:vAlign w:val="center"/>
          </w:tcPr>
          <w:p>
            <w:pPr>
              <w:jc w:val="center"/>
              <w:rPr>
                <w:noProof/>
                <w:color w:val="0000FF"/>
              </w:rPr>
            </w:pPr>
          </w:p>
        </w:tc>
        <w:tc>
          <w:tcPr>
            <w:tcW w:w="3960" w:type="dxa"/>
            <w:vAlign w:val="center"/>
          </w:tcPr>
          <w:p>
            <w:pPr>
              <w:spacing w:before="60"/>
              <w:rPr>
                <w:noProof/>
                <w:highlight w:val="yellow"/>
              </w:rPr>
            </w:pPr>
            <w:r>
              <w:rPr>
                <w:noProof/>
              </w:rPr>
              <w:t>02.0701 Programul european de dezvoltare industrială în domeniul apărării</w:t>
            </w:r>
          </w:p>
        </w:tc>
        <w:tc>
          <w:tcPr>
            <w:tcW w:w="1080" w:type="dxa"/>
            <w:vAlign w:val="center"/>
          </w:tcPr>
          <w:p>
            <w:pPr>
              <w:jc w:val="center"/>
              <w:rPr>
                <w:noProof/>
              </w:rPr>
            </w:pPr>
            <w:r>
              <w:rPr>
                <w:noProof/>
                <w:sz w:val="22"/>
              </w:rPr>
              <w:t>DIF.</w:t>
            </w:r>
          </w:p>
        </w:tc>
        <w:tc>
          <w:tcPr>
            <w:tcW w:w="956" w:type="dxa"/>
            <w:vAlign w:val="center"/>
          </w:tcPr>
          <w:p>
            <w:pPr>
              <w:jc w:val="center"/>
              <w:rPr>
                <w:noProof/>
                <w:highlight w:val="yellow"/>
              </w:rPr>
            </w:pPr>
            <w:r>
              <w:rPr>
                <w:noProof/>
                <w:sz w:val="22"/>
              </w:rPr>
              <w:t>NU</w:t>
            </w:r>
          </w:p>
        </w:tc>
        <w:tc>
          <w:tcPr>
            <w:tcW w:w="1080" w:type="dxa"/>
            <w:vAlign w:val="center"/>
          </w:tcPr>
          <w:p>
            <w:pPr>
              <w:jc w:val="center"/>
              <w:rPr>
                <w:noProof/>
                <w:sz w:val="18"/>
                <w:highlight w:val="yellow"/>
              </w:rPr>
            </w:pPr>
            <w:r>
              <w:rPr>
                <w:noProof/>
                <w:sz w:val="22"/>
              </w:rPr>
              <w:t>NU</w:t>
            </w:r>
          </w:p>
        </w:tc>
        <w:tc>
          <w:tcPr>
            <w:tcW w:w="956" w:type="dxa"/>
            <w:vAlign w:val="center"/>
          </w:tcPr>
          <w:p>
            <w:pPr>
              <w:jc w:val="center"/>
              <w:rPr>
                <w:noProof/>
                <w:sz w:val="18"/>
                <w:highlight w:val="yellow"/>
              </w:rPr>
            </w:pPr>
            <w:r>
              <w:rPr>
                <w:noProof/>
                <w:sz w:val="22"/>
              </w:rPr>
              <w:t>NU</w:t>
            </w:r>
          </w:p>
        </w:tc>
        <w:tc>
          <w:tcPr>
            <w:tcW w:w="1448" w:type="dxa"/>
            <w:vAlign w:val="center"/>
          </w:tcPr>
          <w:p>
            <w:pPr>
              <w:jc w:val="center"/>
              <w:rPr>
                <w:noProof/>
                <w:highlight w:val="yellow"/>
              </w:rPr>
            </w:pPr>
            <w:r>
              <w:rPr>
                <w:noProof/>
                <w:sz w:val="22"/>
              </w:rPr>
              <w:t>NU</w:t>
            </w:r>
          </w:p>
        </w:tc>
      </w:tr>
      <w:tr>
        <w:tc>
          <w:tcPr>
            <w:tcW w:w="1080" w:type="dxa"/>
            <w:vAlign w:val="center"/>
          </w:tcPr>
          <w:p>
            <w:pPr>
              <w:jc w:val="center"/>
              <w:rPr>
                <w:noProof/>
                <w:color w:val="0000FF"/>
              </w:rPr>
            </w:pPr>
          </w:p>
        </w:tc>
        <w:tc>
          <w:tcPr>
            <w:tcW w:w="3960" w:type="dxa"/>
            <w:vAlign w:val="center"/>
          </w:tcPr>
          <w:p>
            <w:pPr>
              <w:spacing w:before="60"/>
              <w:jc w:val="center"/>
              <w:rPr>
                <w:noProof/>
                <w:sz w:val="22"/>
              </w:rPr>
            </w:pPr>
            <w:r>
              <w:rPr>
                <w:noProof/>
              </w:rPr>
              <w:t>02.010405 – Cheltuieli de sprijin pentru programul european de dezvoltare industrială în domeniul apărării</w:t>
            </w:r>
          </w:p>
        </w:tc>
        <w:tc>
          <w:tcPr>
            <w:tcW w:w="1080" w:type="dxa"/>
            <w:vAlign w:val="center"/>
          </w:tcPr>
          <w:p>
            <w:pPr>
              <w:jc w:val="center"/>
              <w:rPr>
                <w:noProof/>
              </w:rPr>
            </w:pPr>
            <w:r>
              <w:rPr>
                <w:noProof/>
                <w:sz w:val="22"/>
              </w:rPr>
              <w:t>NEDIF.</w:t>
            </w:r>
          </w:p>
        </w:tc>
        <w:tc>
          <w:tcPr>
            <w:tcW w:w="956" w:type="dxa"/>
            <w:vAlign w:val="center"/>
          </w:tcPr>
          <w:p>
            <w:pPr>
              <w:jc w:val="center"/>
              <w:rPr>
                <w:noProof/>
                <w:sz w:val="22"/>
                <w:highlight w:val="yellow"/>
              </w:rPr>
            </w:pPr>
            <w:r>
              <w:rPr>
                <w:noProof/>
                <w:sz w:val="22"/>
              </w:rPr>
              <w:t>NU</w:t>
            </w:r>
          </w:p>
        </w:tc>
        <w:tc>
          <w:tcPr>
            <w:tcW w:w="1080" w:type="dxa"/>
            <w:vAlign w:val="center"/>
          </w:tcPr>
          <w:p>
            <w:pPr>
              <w:jc w:val="center"/>
              <w:rPr>
                <w:noProof/>
                <w:sz w:val="22"/>
                <w:highlight w:val="yellow"/>
              </w:rPr>
            </w:pPr>
            <w:r>
              <w:rPr>
                <w:noProof/>
                <w:sz w:val="22"/>
              </w:rPr>
              <w:t>NU</w:t>
            </w:r>
          </w:p>
        </w:tc>
        <w:tc>
          <w:tcPr>
            <w:tcW w:w="956" w:type="dxa"/>
            <w:vAlign w:val="center"/>
          </w:tcPr>
          <w:p>
            <w:pPr>
              <w:jc w:val="center"/>
              <w:rPr>
                <w:noProof/>
                <w:sz w:val="22"/>
                <w:highlight w:val="yellow"/>
              </w:rPr>
            </w:pPr>
            <w:r>
              <w:rPr>
                <w:noProof/>
                <w:sz w:val="22"/>
              </w:rPr>
              <w:t>NU</w:t>
            </w:r>
          </w:p>
        </w:tc>
        <w:tc>
          <w:tcPr>
            <w:tcW w:w="1448" w:type="dxa"/>
            <w:vAlign w:val="center"/>
          </w:tcPr>
          <w:p>
            <w:pPr>
              <w:jc w:val="center"/>
              <w:rPr>
                <w:noProof/>
                <w:sz w:val="22"/>
                <w:highlight w:val="yellow"/>
              </w:rPr>
            </w:pPr>
            <w:r>
              <w:rPr>
                <w:noProof/>
                <w:sz w:val="22"/>
              </w:rPr>
              <w:t>NU</w:t>
            </w:r>
          </w:p>
        </w:tc>
      </w:tr>
    </w:tbl>
    <w:p>
      <w:pPr>
        <w:rPr>
          <w:noProof/>
        </w:rPr>
        <w:sectPr>
          <w:pgSz w:w="11907" w:h="16840" w:code="1"/>
          <w:pgMar w:top="1134" w:right="1418" w:bottom="1134" w:left="1418" w:header="709" w:footer="709" w:gutter="0"/>
          <w:cols w:space="708"/>
          <w:docGrid w:linePitch="360"/>
        </w:sectPr>
      </w:pPr>
    </w:p>
    <w:p>
      <w:pPr>
        <w:pStyle w:val="ManualHeading2"/>
        <w:rPr>
          <w:noProof/>
          <w:szCs w:val="24"/>
        </w:rPr>
      </w:pPr>
      <w:r>
        <w:t>3.2.</w:t>
      </w:r>
      <w:r>
        <w:tab/>
      </w:r>
      <w:r>
        <w:rPr>
          <w:noProof/>
        </w:rPr>
        <w:t xml:space="preserve">Impactul estimat asupra cheltuielilor </w:t>
      </w:r>
    </w:p>
    <w:p>
      <w:pPr>
        <w:ind w:left="850"/>
        <w:rPr>
          <w:noProof/>
        </w:rPr>
      </w:pPr>
      <w:r>
        <w:rPr>
          <w:noProof/>
        </w:rPr>
        <w:t>Propunerea nu va duce la creșterea nivelului total al cheltuielilor programate în cadrul rubricii 1A din cadrul financiar multianual 2014</w:t>
      </w:r>
      <w:r>
        <w:rPr>
          <w:noProof/>
        </w:rPr>
        <w:noBreakHyphen/>
        <w:t>2020, deoarece pachetele financiare ale Mecanismului pentru interconectarea Europei, ale programelor europene de radionavigație prin satelit, ale Programului european de observare a Pământului, ale Programului ITER și marja nealocată vor fi reduse pentru a finanța contribuția de la bugetul UE pentru Programul european de dezvoltare industrială în domeniul apărării.</w:t>
      </w:r>
    </w:p>
    <w:p>
      <w:pPr>
        <w:ind w:left="850"/>
        <w:rPr>
          <w:noProof/>
        </w:rPr>
      </w:pPr>
    </w:p>
    <w:p>
      <w:pPr>
        <w:jc w:val="right"/>
        <w:rPr>
          <w:noProof/>
          <w:sz w:val="20"/>
        </w:rPr>
      </w:pPr>
      <w:r>
        <w:rPr>
          <w:noProof/>
          <w:sz w:val="20"/>
        </w:rPr>
        <w:t>milioane EUR (cu trei zecimale)</w:t>
      </w:r>
    </w:p>
    <w:tbl>
      <w:tblPr>
        <w:tblW w:w="0" w:type="auto"/>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1251"/>
        <w:gridCol w:w="1245"/>
        <w:gridCol w:w="1167"/>
      </w:tblGrid>
      <w:tr>
        <w:tc>
          <w:tcPr>
            <w:tcW w:w="4570" w:type="dxa"/>
            <w:shd w:val="clear" w:color="auto" w:fill="auto"/>
          </w:tcPr>
          <w:p>
            <w:pPr>
              <w:rPr>
                <w:noProof/>
                <w:sz w:val="18"/>
                <w:szCs w:val="18"/>
              </w:rPr>
            </w:pPr>
            <w:r>
              <w:rPr>
                <w:noProof/>
                <w:sz w:val="18"/>
              </w:rPr>
              <w:t>Surse de finanțare pentru Programul european de dezvoltare industrială în domeniul apărării</w:t>
            </w:r>
          </w:p>
        </w:tc>
        <w:tc>
          <w:tcPr>
            <w:tcW w:w="1251" w:type="dxa"/>
            <w:shd w:val="clear" w:color="auto" w:fill="auto"/>
          </w:tcPr>
          <w:p>
            <w:pPr>
              <w:jc w:val="center"/>
              <w:rPr>
                <w:noProof/>
                <w:sz w:val="18"/>
                <w:szCs w:val="18"/>
              </w:rPr>
            </w:pPr>
            <w:r>
              <w:rPr>
                <w:noProof/>
                <w:sz w:val="18"/>
              </w:rPr>
              <w:t>2019</w:t>
            </w:r>
          </w:p>
        </w:tc>
        <w:tc>
          <w:tcPr>
            <w:tcW w:w="1245" w:type="dxa"/>
            <w:shd w:val="clear" w:color="auto" w:fill="auto"/>
          </w:tcPr>
          <w:p>
            <w:pPr>
              <w:jc w:val="center"/>
              <w:rPr>
                <w:noProof/>
                <w:sz w:val="18"/>
                <w:szCs w:val="18"/>
              </w:rPr>
            </w:pPr>
            <w:r>
              <w:rPr>
                <w:noProof/>
                <w:sz w:val="18"/>
              </w:rPr>
              <w:t>2020</w:t>
            </w:r>
          </w:p>
        </w:tc>
        <w:tc>
          <w:tcPr>
            <w:tcW w:w="1167" w:type="dxa"/>
            <w:shd w:val="clear" w:color="auto" w:fill="auto"/>
          </w:tcPr>
          <w:p>
            <w:pPr>
              <w:jc w:val="center"/>
              <w:rPr>
                <w:noProof/>
                <w:sz w:val="18"/>
                <w:szCs w:val="18"/>
              </w:rPr>
            </w:pPr>
            <w:r>
              <w:rPr>
                <w:noProof/>
                <w:sz w:val="18"/>
              </w:rPr>
              <w:t>Total</w:t>
            </w:r>
          </w:p>
        </w:tc>
      </w:tr>
      <w:tr>
        <w:tc>
          <w:tcPr>
            <w:tcW w:w="4570" w:type="dxa"/>
            <w:shd w:val="clear" w:color="auto" w:fill="auto"/>
          </w:tcPr>
          <w:p>
            <w:pPr>
              <w:jc w:val="left"/>
              <w:rPr>
                <w:noProof/>
                <w:sz w:val="18"/>
                <w:szCs w:val="18"/>
              </w:rPr>
            </w:pPr>
            <w:r>
              <w:rPr>
                <w:noProof/>
                <w:sz w:val="18"/>
              </w:rPr>
              <w:t>MECANISMUL PENTRU INTERCONECTAREA EUROPEI, din care</w:t>
            </w:r>
          </w:p>
        </w:tc>
        <w:tc>
          <w:tcPr>
            <w:tcW w:w="1251" w:type="dxa"/>
            <w:shd w:val="clear" w:color="auto" w:fill="auto"/>
          </w:tcPr>
          <w:p>
            <w:pPr>
              <w:jc w:val="right"/>
              <w:rPr>
                <w:noProof/>
                <w:sz w:val="18"/>
                <w:szCs w:val="18"/>
              </w:rPr>
            </w:pPr>
          </w:p>
        </w:tc>
        <w:tc>
          <w:tcPr>
            <w:tcW w:w="1245" w:type="dxa"/>
            <w:shd w:val="clear" w:color="auto" w:fill="auto"/>
          </w:tcPr>
          <w:p>
            <w:pPr>
              <w:jc w:val="right"/>
              <w:rPr>
                <w:noProof/>
                <w:sz w:val="18"/>
                <w:szCs w:val="18"/>
              </w:rPr>
            </w:pPr>
          </w:p>
        </w:tc>
        <w:tc>
          <w:tcPr>
            <w:tcW w:w="1167" w:type="dxa"/>
            <w:shd w:val="clear" w:color="auto" w:fill="auto"/>
          </w:tcPr>
          <w:p>
            <w:pPr>
              <w:jc w:val="right"/>
              <w:rPr>
                <w:noProof/>
                <w:sz w:val="18"/>
                <w:szCs w:val="18"/>
              </w:rPr>
            </w:pPr>
            <w:r>
              <w:rPr>
                <w:noProof/>
                <w:sz w:val="18"/>
              </w:rPr>
              <w:t>145</w:t>
            </w:r>
          </w:p>
        </w:tc>
      </w:tr>
      <w:tr>
        <w:tc>
          <w:tcPr>
            <w:tcW w:w="4570" w:type="dxa"/>
            <w:shd w:val="clear" w:color="auto" w:fill="auto"/>
            <w:vAlign w:val="center"/>
          </w:tcPr>
          <w:p>
            <w:pPr>
              <w:spacing w:before="60"/>
              <w:rPr>
                <w:noProof/>
                <w:sz w:val="18"/>
                <w:szCs w:val="18"/>
              </w:rPr>
            </w:pPr>
            <w:r>
              <w:rPr>
                <w:noProof/>
                <w:sz w:val="18"/>
              </w:rPr>
              <w:t>32.020101 – O mai bună integrare a pieței interne a energiei și interoperabilitatea transfrontalieră a rețelelor de energie electrică și gaze</w:t>
            </w:r>
            <w:r>
              <w:rPr>
                <w:noProof/>
                <w:sz w:val="18"/>
              </w:rPr>
              <w:tab/>
            </w:r>
            <w:r>
              <w:rPr>
                <w:noProof/>
                <w:sz w:val="18"/>
                <w:szCs w:val="18"/>
              </w:rPr>
              <w:br/>
            </w:r>
            <w:r>
              <w:rPr>
                <w:noProof/>
                <w:sz w:val="18"/>
                <w:szCs w:val="18"/>
              </w:rPr>
              <w:br/>
            </w:r>
            <w:r>
              <w:rPr>
                <w:noProof/>
                <w:sz w:val="18"/>
              </w:rPr>
              <w:t>32.020102 - Sporirea nivelului de securitate a aprovizionării cu energie în Uniune</w:t>
            </w:r>
          </w:p>
          <w:p>
            <w:pPr>
              <w:spacing w:before="60"/>
              <w:rPr>
                <w:noProof/>
                <w:sz w:val="18"/>
                <w:szCs w:val="18"/>
              </w:rPr>
            </w:pPr>
          </w:p>
          <w:p>
            <w:pPr>
              <w:spacing w:before="60"/>
              <w:rPr>
                <w:noProof/>
                <w:sz w:val="18"/>
                <w:szCs w:val="18"/>
              </w:rPr>
            </w:pPr>
            <w:r>
              <w:rPr>
                <w:noProof/>
                <w:sz w:val="18"/>
              </w:rPr>
              <w:t>32.020103 - Contribuția la dezvoltarea durabilă și la protecția mediului</w:t>
            </w:r>
            <w:r>
              <w:rPr>
                <w:noProof/>
                <w:sz w:val="18"/>
              </w:rPr>
              <w:tab/>
              <w:t xml:space="preserve"> </w:t>
            </w:r>
            <w:r>
              <w:rPr>
                <w:noProof/>
                <w:sz w:val="18"/>
                <w:szCs w:val="18"/>
              </w:rPr>
              <w:br/>
            </w:r>
          </w:p>
          <w:p>
            <w:pPr>
              <w:spacing w:before="60"/>
              <w:jc w:val="left"/>
              <w:rPr>
                <w:noProof/>
                <w:sz w:val="18"/>
                <w:szCs w:val="18"/>
              </w:rPr>
            </w:pPr>
            <w:r>
              <w:rPr>
                <w:noProof/>
                <w:sz w:val="18"/>
              </w:rPr>
              <w:t>09.0303 - Promovarea interoperabilității, a dezvoltării durabile, a operării și a modernizării infrastructurilor de servicii digitale transeuropene, precum și a coordonării la nivel european</w:t>
            </w:r>
          </w:p>
        </w:tc>
        <w:tc>
          <w:tcPr>
            <w:tcW w:w="1251" w:type="dxa"/>
            <w:shd w:val="clear" w:color="auto" w:fill="auto"/>
          </w:tcPr>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p>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p>
          <w:p>
            <w:pPr>
              <w:jc w:val="right"/>
              <w:rPr>
                <w:noProof/>
                <w:sz w:val="18"/>
                <w:szCs w:val="18"/>
              </w:rPr>
            </w:pPr>
            <w:r>
              <w:rPr>
                <w:noProof/>
                <w:sz w:val="18"/>
              </w:rPr>
              <w:t>10</w:t>
            </w:r>
          </w:p>
        </w:tc>
        <w:tc>
          <w:tcPr>
            <w:tcW w:w="1245" w:type="dxa"/>
            <w:shd w:val="clear" w:color="auto" w:fill="auto"/>
          </w:tcPr>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p>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p>
          <w:p>
            <w:pPr>
              <w:jc w:val="right"/>
              <w:rPr>
                <w:noProof/>
                <w:sz w:val="18"/>
                <w:szCs w:val="18"/>
              </w:rPr>
            </w:pPr>
            <w:r>
              <w:rPr>
                <w:noProof/>
                <w:sz w:val="18"/>
              </w:rPr>
              <w:t>15</w:t>
            </w:r>
          </w:p>
        </w:tc>
        <w:tc>
          <w:tcPr>
            <w:tcW w:w="1167" w:type="dxa"/>
            <w:shd w:val="clear" w:color="auto" w:fill="auto"/>
          </w:tcPr>
          <w:p>
            <w:pPr>
              <w:pStyle w:val="Text1"/>
              <w:ind w:left="0"/>
              <w:jc w:val="right"/>
              <w:rPr>
                <w:noProof/>
                <w:sz w:val="18"/>
                <w:szCs w:val="18"/>
              </w:rPr>
            </w:pPr>
            <w:r>
              <w:rPr>
                <w:noProof/>
                <w:sz w:val="18"/>
              </w:rPr>
              <w:t>40</w:t>
            </w:r>
          </w:p>
          <w:p>
            <w:pPr>
              <w:pStyle w:val="Text1"/>
              <w:ind w:left="0"/>
              <w:jc w:val="right"/>
              <w:rPr>
                <w:noProof/>
                <w:sz w:val="18"/>
                <w:szCs w:val="18"/>
              </w:rPr>
            </w:pPr>
          </w:p>
          <w:p>
            <w:pPr>
              <w:pStyle w:val="Text1"/>
              <w:ind w:left="0"/>
              <w:jc w:val="right"/>
              <w:rPr>
                <w:noProof/>
                <w:sz w:val="18"/>
                <w:szCs w:val="18"/>
              </w:rPr>
            </w:pPr>
          </w:p>
          <w:p>
            <w:pPr>
              <w:pStyle w:val="Text1"/>
              <w:ind w:left="0"/>
              <w:jc w:val="right"/>
              <w:rPr>
                <w:noProof/>
                <w:sz w:val="18"/>
                <w:szCs w:val="18"/>
              </w:rPr>
            </w:pPr>
            <w:r>
              <w:rPr>
                <w:noProof/>
                <w:sz w:val="18"/>
              </w:rPr>
              <w:t>40</w:t>
            </w:r>
          </w:p>
          <w:p>
            <w:pPr>
              <w:pStyle w:val="Text1"/>
              <w:ind w:left="0"/>
              <w:jc w:val="right"/>
              <w:rPr>
                <w:noProof/>
                <w:sz w:val="18"/>
                <w:szCs w:val="18"/>
              </w:rPr>
            </w:pPr>
          </w:p>
          <w:p>
            <w:pPr>
              <w:pStyle w:val="Text1"/>
              <w:ind w:left="0"/>
              <w:jc w:val="right"/>
              <w:rPr>
                <w:noProof/>
                <w:sz w:val="18"/>
                <w:szCs w:val="18"/>
              </w:rPr>
            </w:pPr>
            <w:r>
              <w:rPr>
                <w:noProof/>
                <w:sz w:val="18"/>
              </w:rPr>
              <w:t>40</w:t>
            </w:r>
          </w:p>
          <w:p>
            <w:pPr>
              <w:pStyle w:val="Text1"/>
              <w:ind w:left="0"/>
              <w:jc w:val="right"/>
              <w:rPr>
                <w:noProof/>
                <w:sz w:val="18"/>
                <w:szCs w:val="18"/>
              </w:rPr>
            </w:pPr>
          </w:p>
          <w:p>
            <w:pPr>
              <w:pStyle w:val="Text1"/>
              <w:ind w:left="0"/>
              <w:jc w:val="right"/>
              <w:rPr>
                <w:noProof/>
                <w:sz w:val="18"/>
                <w:szCs w:val="18"/>
              </w:rPr>
            </w:pPr>
          </w:p>
          <w:p>
            <w:pPr>
              <w:jc w:val="right"/>
              <w:rPr>
                <w:noProof/>
                <w:sz w:val="18"/>
                <w:szCs w:val="18"/>
              </w:rPr>
            </w:pPr>
            <w:r>
              <w:rPr>
                <w:noProof/>
                <w:sz w:val="18"/>
              </w:rPr>
              <w:t>25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pStyle w:val="Default"/>
              <w:spacing w:before="60" w:after="60"/>
              <w:jc w:val="both"/>
              <w:rPr>
                <w:noProof/>
                <w:sz w:val="16"/>
                <w:szCs w:val="16"/>
              </w:rPr>
            </w:pPr>
            <w:r>
              <w:rPr>
                <w:noProof/>
                <w:sz w:val="16"/>
              </w:rPr>
              <w:t>PROGRAME EUROPENE DE RADIONAVIGAȚIE PRIN SATELIT (EGNOS și Galileo)</w:t>
            </w:r>
          </w:p>
          <w:p>
            <w:pPr>
              <w:spacing w:before="60"/>
              <w:rPr>
                <w:noProof/>
                <w:sz w:val="18"/>
                <w:szCs w:val="18"/>
              </w:rPr>
            </w:pPr>
            <w:r>
              <w:rPr>
                <w:noProof/>
                <w:sz w:val="18"/>
              </w:rPr>
              <w:t>din care</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135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 xml:space="preserve">02.0501 - Dezvoltarea și furnizarea de infrastructuri și servicii globale de radionavigație prin satelit (Galileo) până în 2020 </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80</w:t>
            </w: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50</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130</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6"/>
                <w:szCs w:val="16"/>
              </w:rPr>
            </w:pPr>
            <w:r>
              <w:rPr>
                <w:noProof/>
                <w:sz w:val="18"/>
              </w:rPr>
              <w:t>02.0502 - Furnizarea de servicii prin satelit care îmbunătățesc performanțele GPS pentru a acoperi treptat întreaga regiune a Conferinței Europene a Aviației Civile (CEAC) până în 2020 (EGNOS)</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PROGRAMUL EUROPEAN DE OBSERVARE A PĂMÂNTULUI, din care</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 xml:space="preserve">02.0601 Furnizarea de servicii operaționale care se bazează pe observații spațiale și date </w:t>
            </w:r>
            <w:r>
              <w:rPr>
                <w:i/>
                <w:noProof/>
                <w:sz w:val="18"/>
              </w:rPr>
              <w:t>in situ</w:t>
            </w:r>
            <w:r>
              <w:rPr>
                <w:noProof/>
                <w:sz w:val="18"/>
              </w:rPr>
              <w:t xml:space="preserve"> (Copernicus)</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10</w:t>
            </w: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ITER, din care</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80</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32.050102 Construirea, operarea și exploatarea instalațiilor ITER — Întreprinderea comună europeană pentru ITER — Fuziune pentru Energie (F4E)</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30</w:t>
            </w: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50</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80</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Marja nealocată, din care</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125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 xml:space="preserve">Marja nealocată </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55</w:t>
            </w: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70</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125</w:t>
            </w:r>
          </w:p>
        </w:tc>
      </w:tr>
    </w:tbl>
    <w:p>
      <w:pPr>
        <w:pStyle w:val="ManualHeading3"/>
        <w:rPr>
          <w:noProof/>
          <w:u w:val="single"/>
        </w:rPr>
      </w:pPr>
      <w:r>
        <w:t>3.2.1.</w:t>
      </w:r>
      <w:r>
        <w:tab/>
      </w:r>
      <w:r>
        <w:rPr>
          <w:noProof/>
        </w:rPr>
        <w:t xml:space="preserve">Sinteza impactului estimat asupra cheltuielilor </w:t>
      </w:r>
    </w:p>
    <w:p>
      <w:pPr>
        <w:jc w:val="right"/>
        <w:rPr>
          <w:noProof/>
          <w:sz w:val="20"/>
        </w:rPr>
      </w:pPr>
      <w:r>
        <w:rPr>
          <w:noProof/>
          <w:sz w:val="20"/>
        </w:rPr>
        <w:t>milioane EUR (cu trei zecimale)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rPr>
              <w:t>Rubrica din cadrul financiar</w:t>
            </w:r>
            <w:r>
              <w:rPr>
                <w:noProof/>
                <w:sz w:val="22"/>
              </w:rPr>
              <w:br/>
            </w:r>
            <w:r>
              <w:rPr>
                <w:b/>
                <w:noProof/>
                <w:sz w:val="22"/>
              </w:rPr>
              <w:t xml:space="preserve">multianual </w:t>
            </w:r>
          </w:p>
        </w:tc>
        <w:tc>
          <w:tcPr>
            <w:tcW w:w="1080" w:type="dxa"/>
            <w:vAlign w:val="center"/>
          </w:tcPr>
          <w:p>
            <w:pPr>
              <w:spacing w:before="60" w:after="60"/>
              <w:jc w:val="center"/>
              <w:rPr>
                <w:noProof/>
              </w:rPr>
            </w:pPr>
            <w:r>
              <w:rPr>
                <w:noProof/>
                <w:sz w:val="22"/>
              </w:rPr>
              <w:t>1A</w:t>
            </w:r>
          </w:p>
        </w:tc>
        <w:tc>
          <w:tcPr>
            <w:tcW w:w="7817" w:type="dxa"/>
            <w:vAlign w:val="center"/>
          </w:tcPr>
          <w:p>
            <w:pPr>
              <w:spacing w:before="60" w:after="60"/>
              <w:jc w:val="left"/>
              <w:rPr>
                <w:noProof/>
              </w:rPr>
            </w:pPr>
            <w:r>
              <w:rPr>
                <w:noProof/>
              </w:rPr>
              <w:t>Competitivitate pentru creștere economică și ocuparea forței de muncă</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1777"/>
      </w:tblGrid>
      <w:tr>
        <w:tc>
          <w:tcPr>
            <w:tcW w:w="3960" w:type="dxa"/>
            <w:vAlign w:val="center"/>
          </w:tcPr>
          <w:p>
            <w:pPr>
              <w:jc w:val="center"/>
              <w:rPr>
                <w:noProof/>
              </w:rPr>
            </w:pPr>
            <w:r>
              <w:rPr>
                <w:noProof/>
                <w:sz w:val="22"/>
              </w:rPr>
              <w:t>DG: GROW</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2019</w:t>
            </w:r>
          </w:p>
        </w:tc>
        <w:tc>
          <w:tcPr>
            <w:tcW w:w="868" w:type="dxa"/>
            <w:vAlign w:val="center"/>
          </w:tcPr>
          <w:p>
            <w:pPr>
              <w:jc w:val="center"/>
              <w:rPr>
                <w:noProof/>
                <w:sz w:val="20"/>
              </w:rPr>
            </w:pPr>
            <w:r>
              <w:rPr>
                <w:noProof/>
                <w:sz w:val="20"/>
              </w:rPr>
              <w:t>2020</w:t>
            </w:r>
          </w:p>
        </w:tc>
        <w:tc>
          <w:tcPr>
            <w:tcW w:w="868" w:type="dxa"/>
            <w:vAlign w:val="center"/>
          </w:tcPr>
          <w:p>
            <w:pPr>
              <w:jc w:val="center"/>
              <w:rPr>
                <w:noProof/>
                <w:sz w:val="20"/>
              </w:rPr>
            </w:pPr>
            <w:r>
              <w:rPr>
                <w:noProof/>
                <w:sz w:val="20"/>
              </w:rPr>
              <w:t>2021</w:t>
            </w:r>
          </w:p>
        </w:tc>
        <w:tc>
          <w:tcPr>
            <w:tcW w:w="868" w:type="dxa"/>
            <w:vAlign w:val="center"/>
          </w:tcPr>
          <w:p>
            <w:pPr>
              <w:jc w:val="center"/>
              <w:rPr>
                <w:noProof/>
                <w:sz w:val="20"/>
              </w:rPr>
            </w:pPr>
            <w:r>
              <w:rPr>
                <w:noProof/>
                <w:sz w:val="20"/>
              </w:rPr>
              <w:t>2022</w:t>
            </w:r>
          </w:p>
        </w:tc>
        <w:tc>
          <w:tcPr>
            <w:tcW w:w="868" w:type="dxa"/>
            <w:vAlign w:val="center"/>
          </w:tcPr>
          <w:p>
            <w:pPr>
              <w:jc w:val="center"/>
              <w:rPr>
                <w:b/>
                <w:noProof/>
                <w:sz w:val="18"/>
              </w:rPr>
            </w:pPr>
            <w:r>
              <w:rPr>
                <w:noProof/>
                <w:sz w:val="18"/>
              </w:rPr>
              <w:t>2023</w:t>
            </w:r>
          </w:p>
        </w:tc>
        <w:tc>
          <w:tcPr>
            <w:tcW w:w="1777" w:type="dxa"/>
            <w:vAlign w:val="center"/>
          </w:tcPr>
          <w:p>
            <w:pPr>
              <w:jc w:val="center"/>
              <w:rPr>
                <w:b/>
                <w:noProof/>
                <w:sz w:val="20"/>
              </w:rPr>
            </w:pPr>
            <w:r>
              <w:rPr>
                <w:b/>
                <w:noProof/>
                <w:sz w:val="20"/>
              </w:rPr>
              <w:t>TOTAL</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Credite operaționale </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rPr>
            </w:pPr>
            <w:r>
              <w:rPr>
                <w:noProof/>
                <w:sz w:val="20"/>
              </w:rPr>
              <w:t>02.07 01</w:t>
            </w:r>
          </w:p>
        </w:tc>
        <w:tc>
          <w:tcPr>
            <w:tcW w:w="1440" w:type="dxa"/>
            <w:vAlign w:val="center"/>
          </w:tcPr>
          <w:p>
            <w:pPr>
              <w:spacing w:before="20" w:after="20"/>
              <w:rPr>
                <w:noProof/>
                <w:sz w:val="18"/>
              </w:rPr>
            </w:pPr>
            <w:r>
              <w:rPr>
                <w:noProof/>
                <w:sz w:val="18"/>
              </w:rPr>
              <w:t>Angajamente</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rPr>
            </w:pPr>
            <w:r>
              <w:rPr>
                <w:noProof/>
                <w:sz w:val="20"/>
              </w:rPr>
              <w:t>244,7</w:t>
            </w:r>
          </w:p>
        </w:tc>
        <w:tc>
          <w:tcPr>
            <w:tcW w:w="868" w:type="dxa"/>
            <w:vAlign w:val="center"/>
          </w:tcPr>
          <w:p>
            <w:pPr>
              <w:spacing w:before="20" w:after="20"/>
              <w:jc w:val="right"/>
              <w:rPr>
                <w:noProof/>
                <w:sz w:val="20"/>
              </w:rPr>
            </w:pPr>
            <w:r>
              <w:rPr>
                <w:noProof/>
                <w:sz w:val="20"/>
              </w:rPr>
              <w:t>254,5</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vAlign w:val="center"/>
          </w:tcPr>
          <w:p>
            <w:pPr>
              <w:spacing w:before="20" w:after="20"/>
              <w:jc w:val="right"/>
              <w:rPr>
                <w:b/>
                <w:noProof/>
                <w:sz w:val="20"/>
              </w:rPr>
            </w:pPr>
            <w:r>
              <w:rPr>
                <w:b/>
                <w:noProof/>
                <w:sz w:val="20"/>
              </w:rPr>
              <w:t>499,2</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r>
              <w:rPr>
                <w:noProof/>
                <w:sz w:val="20"/>
              </w:rPr>
              <w:t>146,7</w:t>
            </w:r>
          </w:p>
        </w:tc>
        <w:tc>
          <w:tcPr>
            <w:tcW w:w="868" w:type="dxa"/>
            <w:vAlign w:val="center"/>
          </w:tcPr>
          <w:p>
            <w:pPr>
              <w:spacing w:before="20" w:after="20"/>
              <w:jc w:val="right"/>
              <w:rPr>
                <w:noProof/>
                <w:sz w:val="20"/>
              </w:rPr>
            </w:pPr>
            <w:r>
              <w:rPr>
                <w:noProof/>
                <w:sz w:val="20"/>
              </w:rPr>
              <w:t>201,5</w:t>
            </w:r>
          </w:p>
        </w:tc>
        <w:tc>
          <w:tcPr>
            <w:tcW w:w="868" w:type="dxa"/>
            <w:vAlign w:val="center"/>
          </w:tcPr>
          <w:p>
            <w:pPr>
              <w:spacing w:before="20" w:after="20"/>
              <w:jc w:val="right"/>
              <w:rPr>
                <w:noProof/>
                <w:sz w:val="20"/>
              </w:rPr>
            </w:pPr>
            <w:r>
              <w:rPr>
                <w:noProof/>
                <w:sz w:val="20"/>
              </w:rPr>
              <w:t>100</w:t>
            </w:r>
          </w:p>
        </w:tc>
        <w:tc>
          <w:tcPr>
            <w:tcW w:w="868" w:type="dxa"/>
            <w:vAlign w:val="center"/>
          </w:tcPr>
          <w:p>
            <w:pPr>
              <w:spacing w:before="20" w:after="20"/>
              <w:jc w:val="right"/>
              <w:rPr>
                <w:noProof/>
                <w:sz w:val="20"/>
              </w:rPr>
            </w:pPr>
            <w:r>
              <w:rPr>
                <w:noProof/>
                <w:sz w:val="20"/>
              </w:rPr>
              <w:t>51</w:t>
            </w:r>
          </w:p>
        </w:tc>
        <w:tc>
          <w:tcPr>
            <w:tcW w:w="868" w:type="dxa"/>
            <w:vAlign w:val="center"/>
          </w:tcPr>
          <w:p>
            <w:pPr>
              <w:spacing w:before="20" w:after="20"/>
              <w:jc w:val="right"/>
              <w:rPr>
                <w:noProof/>
                <w:sz w:val="20"/>
              </w:rPr>
            </w:pPr>
            <w:r>
              <w:rPr>
                <w:noProof/>
                <w:sz w:val="20"/>
              </w:rPr>
              <w:t>p.m.</w:t>
            </w:r>
          </w:p>
        </w:tc>
        <w:tc>
          <w:tcPr>
            <w:tcW w:w="1777" w:type="dxa"/>
            <w:vAlign w:val="center"/>
          </w:tcPr>
          <w:p>
            <w:pPr>
              <w:spacing w:before="20" w:after="20"/>
              <w:jc w:val="right"/>
              <w:rPr>
                <w:b/>
                <w:noProof/>
                <w:sz w:val="20"/>
              </w:rPr>
            </w:pPr>
            <w:r>
              <w:rPr>
                <w:b/>
                <w:noProof/>
                <w:sz w:val="20"/>
              </w:rPr>
              <w:t>499,2</w:t>
            </w:r>
          </w:p>
        </w:tc>
      </w:tr>
      <w:tr>
        <w:trPr>
          <w:trHeight w:val="231"/>
        </w:trPr>
        <w:tc>
          <w:tcPr>
            <w:tcW w:w="6054" w:type="dxa"/>
            <w:gridSpan w:val="4"/>
            <w:vAlign w:val="bottom"/>
          </w:tcPr>
          <w:p>
            <w:pPr>
              <w:spacing w:before="20" w:after="20"/>
              <w:jc w:val="center"/>
              <w:rPr>
                <w:noProof/>
                <w:sz w:val="21"/>
              </w:rPr>
            </w:pPr>
          </w:p>
          <w:p>
            <w:pPr>
              <w:spacing w:before="20" w:after="20"/>
              <w:jc w:val="center"/>
              <w:rPr>
                <w:noProof/>
              </w:rPr>
            </w:pPr>
            <w:r>
              <w:rPr>
                <w:noProof/>
                <w:sz w:val="21"/>
              </w:rPr>
              <w:sym w:font="Wingdings" w:char="F09F"/>
            </w:r>
            <w:r>
              <w:rPr>
                <w:noProof/>
                <w:sz w:val="21"/>
              </w:rPr>
              <w:t xml:space="preserve"> Credite cu caracter administrativ finanțate din bugetul anumitor programe</w:t>
            </w:r>
            <w:r>
              <w:rPr>
                <w:rStyle w:val="FootnoteReference"/>
                <w:noProof/>
              </w:rPr>
              <w:footnoteReference w:id="16"/>
            </w: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rPr>
            </w:pPr>
            <w:r>
              <w:rPr>
                <w:noProof/>
                <w:sz w:val="20"/>
              </w:rPr>
              <w:t>02.01 04 05</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noProof/>
                <w:sz w:val="20"/>
              </w:rPr>
            </w:pPr>
            <w:r>
              <w:rPr>
                <w:noProof/>
                <w:sz w:val="20"/>
              </w:rPr>
              <w:t>0,3</w:t>
            </w:r>
          </w:p>
        </w:tc>
        <w:tc>
          <w:tcPr>
            <w:tcW w:w="868" w:type="dxa"/>
            <w:vAlign w:val="center"/>
          </w:tcPr>
          <w:p>
            <w:pPr>
              <w:spacing w:before="40" w:after="40"/>
              <w:jc w:val="right"/>
              <w:rPr>
                <w:noProof/>
                <w:sz w:val="20"/>
              </w:rPr>
            </w:pPr>
            <w:r>
              <w:rPr>
                <w:noProof/>
                <w:sz w:val="20"/>
              </w:rPr>
              <w:t>0,5</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r>
              <w:rPr>
                <w:b/>
                <w:noProof/>
                <w:sz w:val="20"/>
              </w:rPr>
              <w:t>0,8</w:t>
            </w:r>
          </w:p>
        </w:tc>
      </w:tr>
      <w:tr>
        <w:tc>
          <w:tcPr>
            <w:tcW w:w="3960" w:type="dxa"/>
            <w:vMerge w:val="restart"/>
            <w:vAlign w:val="center"/>
          </w:tcPr>
          <w:p>
            <w:pPr>
              <w:jc w:val="center"/>
              <w:rPr>
                <w:b/>
                <w:noProof/>
              </w:rPr>
            </w:pPr>
            <w:r>
              <w:rPr>
                <w:b/>
                <w:noProof/>
                <w:sz w:val="22"/>
              </w:rPr>
              <w:t xml:space="preserve">TOTAL credite </w:t>
            </w:r>
            <w:r>
              <w:rPr>
                <w:noProof/>
                <w:sz w:val="22"/>
              </w:rPr>
              <w:br/>
            </w:r>
            <w:r>
              <w:rPr>
                <w:b/>
                <w:noProof/>
                <w:sz w:val="22"/>
              </w:rPr>
              <w:t>pentru DG GROW</w:t>
            </w:r>
          </w:p>
        </w:tc>
        <w:tc>
          <w:tcPr>
            <w:tcW w:w="1440" w:type="dxa"/>
            <w:vAlign w:val="center"/>
          </w:tcPr>
          <w:p>
            <w:pPr>
              <w:rPr>
                <w:noProof/>
                <w:sz w:val="18"/>
              </w:rPr>
            </w:pPr>
            <w:r>
              <w:rPr>
                <w:noProof/>
                <w:sz w:val="18"/>
              </w:rPr>
              <w:t>Angajamente</w:t>
            </w:r>
          </w:p>
        </w:tc>
        <w:tc>
          <w:tcPr>
            <w:tcW w:w="654" w:type="dxa"/>
            <w:gridSpan w:val="2"/>
            <w:vAlign w:val="center"/>
          </w:tcPr>
          <w:p>
            <w:pPr>
              <w:jc w:val="center"/>
              <w:rPr>
                <w:noProof/>
                <w:sz w:val="14"/>
              </w:rPr>
            </w:pPr>
            <w:r>
              <w:rPr>
                <w:noProof/>
                <w:sz w:val="14"/>
              </w:rPr>
              <w:t>=1+1a +3</w:t>
            </w:r>
          </w:p>
        </w:tc>
        <w:tc>
          <w:tcPr>
            <w:tcW w:w="868" w:type="dxa"/>
            <w:vAlign w:val="center"/>
          </w:tcPr>
          <w:p>
            <w:pPr>
              <w:spacing w:before="20" w:after="20"/>
              <w:jc w:val="right"/>
              <w:rPr>
                <w:noProof/>
                <w:sz w:val="20"/>
              </w:rPr>
            </w:pPr>
            <w:r>
              <w:rPr>
                <w:noProof/>
                <w:sz w:val="20"/>
              </w:rPr>
              <w:t>245</w:t>
            </w:r>
          </w:p>
        </w:tc>
        <w:tc>
          <w:tcPr>
            <w:tcW w:w="868" w:type="dxa"/>
            <w:vAlign w:val="center"/>
          </w:tcPr>
          <w:p>
            <w:pPr>
              <w:spacing w:before="20" w:after="20"/>
              <w:jc w:val="right"/>
              <w:rPr>
                <w:noProof/>
                <w:sz w:val="20"/>
              </w:rPr>
            </w:pPr>
            <w:r>
              <w:rPr>
                <w:noProof/>
                <w:sz w:val="20"/>
              </w:rPr>
              <w:t>255</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vAlign w:val="center"/>
          </w:tcPr>
          <w:p>
            <w:pPr>
              <w:spacing w:before="20" w:after="20"/>
              <w:jc w:val="right"/>
              <w:rPr>
                <w:b/>
                <w:noProof/>
                <w:sz w:val="20"/>
              </w:rPr>
            </w:pPr>
            <w:r>
              <w:rPr>
                <w:b/>
                <w:noProof/>
                <w:sz w:val="20"/>
              </w:rPr>
              <w:t>500</w:t>
            </w:r>
          </w:p>
        </w:tc>
      </w:tr>
      <w:tr>
        <w:tc>
          <w:tcPr>
            <w:tcW w:w="3960" w:type="dxa"/>
            <w:vMerge/>
          </w:tcPr>
          <w:p>
            <w:pPr>
              <w:rPr>
                <w:noProof/>
                <w:sz w:val="20"/>
              </w:rPr>
            </w:pPr>
          </w:p>
        </w:tc>
        <w:tc>
          <w:tcPr>
            <w:tcW w:w="1440" w:type="dxa"/>
            <w:vAlign w:val="center"/>
          </w:tcPr>
          <w:p>
            <w:pPr>
              <w:rPr>
                <w:noProof/>
                <w:sz w:val="18"/>
              </w:rPr>
            </w:pPr>
            <w:r>
              <w:rPr>
                <w:noProof/>
                <w:sz w:val="18"/>
              </w:rPr>
              <w:t>Plăți</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147</w:t>
            </w:r>
          </w:p>
        </w:tc>
        <w:tc>
          <w:tcPr>
            <w:tcW w:w="868" w:type="dxa"/>
            <w:vAlign w:val="center"/>
          </w:tcPr>
          <w:p>
            <w:pPr>
              <w:spacing w:before="20" w:after="20"/>
              <w:jc w:val="right"/>
              <w:rPr>
                <w:noProof/>
                <w:sz w:val="20"/>
              </w:rPr>
            </w:pPr>
            <w:r>
              <w:rPr>
                <w:noProof/>
                <w:sz w:val="20"/>
              </w:rPr>
              <w:t>202</w:t>
            </w:r>
          </w:p>
        </w:tc>
        <w:tc>
          <w:tcPr>
            <w:tcW w:w="868" w:type="dxa"/>
            <w:vAlign w:val="center"/>
          </w:tcPr>
          <w:p>
            <w:pPr>
              <w:spacing w:before="20" w:after="20"/>
              <w:jc w:val="right"/>
              <w:rPr>
                <w:noProof/>
                <w:sz w:val="20"/>
              </w:rPr>
            </w:pPr>
            <w:r>
              <w:rPr>
                <w:noProof/>
                <w:sz w:val="20"/>
              </w:rPr>
              <w:t>100</w:t>
            </w:r>
          </w:p>
        </w:tc>
        <w:tc>
          <w:tcPr>
            <w:tcW w:w="868" w:type="dxa"/>
            <w:vAlign w:val="center"/>
          </w:tcPr>
          <w:p>
            <w:pPr>
              <w:spacing w:before="20" w:after="20"/>
              <w:jc w:val="right"/>
              <w:rPr>
                <w:noProof/>
                <w:sz w:val="20"/>
              </w:rPr>
            </w:pPr>
            <w:r>
              <w:rPr>
                <w:noProof/>
                <w:sz w:val="20"/>
              </w:rPr>
              <w:t>51</w:t>
            </w:r>
          </w:p>
        </w:tc>
        <w:tc>
          <w:tcPr>
            <w:tcW w:w="868" w:type="dxa"/>
            <w:vAlign w:val="center"/>
          </w:tcPr>
          <w:p>
            <w:pPr>
              <w:spacing w:before="20" w:after="20"/>
              <w:jc w:val="right"/>
              <w:rPr>
                <w:noProof/>
                <w:sz w:val="20"/>
              </w:rPr>
            </w:pPr>
            <w:r>
              <w:rPr>
                <w:noProof/>
                <w:sz w:val="20"/>
              </w:rPr>
              <w:t>p.m.</w:t>
            </w:r>
          </w:p>
        </w:tc>
        <w:tc>
          <w:tcPr>
            <w:tcW w:w="1777" w:type="dxa"/>
            <w:vAlign w:val="center"/>
          </w:tcPr>
          <w:p>
            <w:pPr>
              <w:spacing w:before="20" w:after="20"/>
              <w:jc w:val="right"/>
              <w:rPr>
                <w:b/>
                <w:noProof/>
                <w:sz w:val="20"/>
              </w:rPr>
            </w:pPr>
            <w:r>
              <w:rPr>
                <w:b/>
                <w:noProof/>
                <w:sz w:val="20"/>
              </w:rPr>
              <w:t>500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1777"/>
      </w:tblGrid>
      <w:tr>
        <w:trPr>
          <w:trHeight w:val="277"/>
        </w:trPr>
        <w:tc>
          <w:tcPr>
            <w:tcW w:w="3960" w:type="dxa"/>
            <w:vMerge w:val="restart"/>
            <w:vAlign w:val="center"/>
          </w:tcPr>
          <w:p>
            <w:pPr>
              <w:spacing w:before="20" w:after="20"/>
              <w:rPr>
                <w:noProof/>
                <w:sz w:val="21"/>
                <w:szCs w:val="21"/>
              </w:rPr>
            </w:pPr>
            <w:r>
              <w:rPr>
                <w:noProof/>
              </w:rPr>
              <w:br w:type="page"/>
            </w:r>
            <w:r>
              <w:rPr>
                <w:noProof/>
                <w:sz w:val="21"/>
                <w:szCs w:val="21"/>
              </w:rPr>
              <w:sym w:font="Wingdings" w:char="F09F"/>
            </w:r>
            <w:r>
              <w:rPr>
                <w:noProof/>
                <w:sz w:val="21"/>
                <w:szCs w:val="21"/>
              </w:rPr>
              <w:t xml:space="preserve"> TOTAL credite operaționale</w:t>
            </w:r>
          </w:p>
        </w:tc>
        <w:tc>
          <w:tcPr>
            <w:tcW w:w="1440" w:type="dxa"/>
            <w:vAlign w:val="center"/>
          </w:tcPr>
          <w:p>
            <w:pPr>
              <w:spacing w:beforeLines="20" w:before="48" w:afterLines="20" w:after="48"/>
              <w:rPr>
                <w:noProof/>
                <w:sz w:val="18"/>
              </w:rPr>
            </w:pPr>
            <w:r>
              <w:rPr>
                <w:noProof/>
                <w:sz w:val="18"/>
              </w:rPr>
              <w:t>Angajamente</w:t>
            </w:r>
          </w:p>
        </w:tc>
        <w:tc>
          <w:tcPr>
            <w:tcW w:w="654" w:type="dxa"/>
            <w:vAlign w:val="center"/>
          </w:tcPr>
          <w:p>
            <w:pPr>
              <w:spacing w:beforeLines="20" w:before="48" w:afterLines="20" w:after="48"/>
              <w:jc w:val="center"/>
              <w:rPr>
                <w:noProof/>
                <w:sz w:val="14"/>
              </w:rPr>
            </w:pPr>
            <w:r>
              <w:rPr>
                <w:noProof/>
                <w:sz w:val="14"/>
              </w:rPr>
              <w:t>(4)</w:t>
            </w:r>
          </w:p>
        </w:tc>
        <w:tc>
          <w:tcPr>
            <w:tcW w:w="868" w:type="dxa"/>
            <w:vAlign w:val="center"/>
          </w:tcPr>
          <w:p>
            <w:pPr>
              <w:spacing w:before="20" w:after="20"/>
              <w:jc w:val="right"/>
              <w:rPr>
                <w:noProof/>
                <w:sz w:val="20"/>
              </w:rPr>
            </w:pPr>
            <w:r>
              <w:rPr>
                <w:noProof/>
                <w:sz w:val="20"/>
              </w:rPr>
              <w:t>244,7</w:t>
            </w:r>
          </w:p>
        </w:tc>
        <w:tc>
          <w:tcPr>
            <w:tcW w:w="868" w:type="dxa"/>
            <w:vAlign w:val="center"/>
          </w:tcPr>
          <w:p>
            <w:pPr>
              <w:spacing w:before="20" w:after="20"/>
              <w:jc w:val="right"/>
              <w:rPr>
                <w:noProof/>
                <w:sz w:val="20"/>
              </w:rPr>
            </w:pPr>
            <w:r>
              <w:rPr>
                <w:noProof/>
                <w:sz w:val="20"/>
              </w:rPr>
              <w:t>254,5</w:t>
            </w:r>
          </w:p>
        </w:tc>
        <w:tc>
          <w:tcPr>
            <w:tcW w:w="868" w:type="dxa"/>
            <w:vAlign w:val="center"/>
          </w:tcPr>
          <w:p>
            <w:pPr>
              <w:spacing w:before="20" w:after="20"/>
              <w:jc w:val="right"/>
              <w:rPr>
                <w:noProof/>
                <w:sz w:val="20"/>
              </w:rPr>
            </w:pPr>
            <w:r>
              <w:rPr>
                <w:noProof/>
                <w:sz w:val="20"/>
              </w:rPr>
              <w:t> </w:t>
            </w:r>
          </w:p>
        </w:tc>
        <w:tc>
          <w:tcPr>
            <w:tcW w:w="868" w:type="dxa"/>
            <w:vAlign w:val="center"/>
          </w:tcPr>
          <w:p>
            <w:pPr>
              <w:spacing w:before="20" w:after="20"/>
              <w:jc w:val="right"/>
              <w:rPr>
                <w:noProof/>
                <w:sz w:val="20"/>
              </w:rPr>
            </w:pPr>
            <w:r>
              <w:rPr>
                <w:noProof/>
                <w:sz w:val="20"/>
              </w:rPr>
              <w:t> </w:t>
            </w:r>
          </w:p>
        </w:tc>
        <w:tc>
          <w:tcPr>
            <w:tcW w:w="868" w:type="dxa"/>
            <w:vAlign w:val="center"/>
          </w:tcPr>
          <w:p>
            <w:pPr>
              <w:spacing w:before="20" w:after="20"/>
              <w:jc w:val="right"/>
              <w:rPr>
                <w:noProof/>
                <w:sz w:val="20"/>
              </w:rPr>
            </w:pPr>
          </w:p>
        </w:tc>
        <w:tc>
          <w:tcPr>
            <w:tcW w:w="1777" w:type="dxa"/>
            <w:vAlign w:val="center"/>
          </w:tcPr>
          <w:p>
            <w:pPr>
              <w:spacing w:before="20" w:after="20"/>
              <w:jc w:val="right"/>
              <w:rPr>
                <w:b/>
                <w:noProof/>
                <w:sz w:val="20"/>
              </w:rPr>
            </w:pPr>
            <w:r>
              <w:rPr>
                <w:b/>
                <w:noProof/>
                <w:sz w:val="20"/>
              </w:rPr>
              <w:t>499,2</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Plăți</w:t>
            </w:r>
          </w:p>
        </w:tc>
        <w:tc>
          <w:tcPr>
            <w:tcW w:w="654" w:type="dxa"/>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r>
              <w:rPr>
                <w:noProof/>
                <w:sz w:val="20"/>
              </w:rPr>
              <w:t>146,7</w:t>
            </w:r>
          </w:p>
        </w:tc>
        <w:tc>
          <w:tcPr>
            <w:tcW w:w="868" w:type="dxa"/>
            <w:vAlign w:val="center"/>
          </w:tcPr>
          <w:p>
            <w:pPr>
              <w:spacing w:before="20" w:after="20"/>
              <w:jc w:val="right"/>
              <w:rPr>
                <w:noProof/>
                <w:sz w:val="20"/>
              </w:rPr>
            </w:pPr>
            <w:r>
              <w:rPr>
                <w:noProof/>
                <w:sz w:val="20"/>
              </w:rPr>
              <w:t>201,5</w:t>
            </w:r>
          </w:p>
        </w:tc>
        <w:tc>
          <w:tcPr>
            <w:tcW w:w="868" w:type="dxa"/>
            <w:vAlign w:val="center"/>
          </w:tcPr>
          <w:p>
            <w:pPr>
              <w:spacing w:before="20" w:after="20"/>
              <w:jc w:val="right"/>
              <w:rPr>
                <w:noProof/>
                <w:sz w:val="20"/>
              </w:rPr>
            </w:pPr>
            <w:r>
              <w:rPr>
                <w:noProof/>
                <w:sz w:val="20"/>
              </w:rPr>
              <w:t>100</w:t>
            </w:r>
          </w:p>
        </w:tc>
        <w:tc>
          <w:tcPr>
            <w:tcW w:w="868" w:type="dxa"/>
            <w:vAlign w:val="center"/>
          </w:tcPr>
          <w:p>
            <w:pPr>
              <w:spacing w:before="20" w:after="20"/>
              <w:jc w:val="right"/>
              <w:rPr>
                <w:noProof/>
                <w:sz w:val="20"/>
              </w:rPr>
            </w:pPr>
            <w:r>
              <w:rPr>
                <w:noProof/>
                <w:sz w:val="20"/>
              </w:rPr>
              <w:t>51</w:t>
            </w:r>
          </w:p>
        </w:tc>
        <w:tc>
          <w:tcPr>
            <w:tcW w:w="868" w:type="dxa"/>
            <w:vAlign w:val="center"/>
          </w:tcPr>
          <w:p>
            <w:pPr>
              <w:spacing w:before="20" w:after="20"/>
              <w:jc w:val="right"/>
              <w:rPr>
                <w:noProof/>
                <w:sz w:val="20"/>
              </w:rPr>
            </w:pPr>
            <w:r>
              <w:rPr>
                <w:noProof/>
                <w:sz w:val="20"/>
              </w:rPr>
              <w:t>p.m.</w:t>
            </w:r>
          </w:p>
        </w:tc>
        <w:tc>
          <w:tcPr>
            <w:tcW w:w="1777" w:type="dxa"/>
            <w:vAlign w:val="center"/>
          </w:tcPr>
          <w:p>
            <w:pPr>
              <w:spacing w:before="20" w:after="20"/>
              <w:jc w:val="right"/>
              <w:rPr>
                <w:b/>
                <w:noProof/>
                <w:sz w:val="20"/>
              </w:rPr>
            </w:pPr>
            <w:r>
              <w:rPr>
                <w:b/>
                <w:noProof/>
                <w:sz w:val="20"/>
              </w:rPr>
              <w:t>499,2</w:t>
            </w:r>
          </w:p>
        </w:tc>
      </w:tr>
      <w:tr>
        <w:trPr>
          <w:trHeight w:val="533"/>
        </w:trPr>
        <w:tc>
          <w:tcPr>
            <w:tcW w:w="5400" w:type="dxa"/>
            <w:gridSpan w:val="2"/>
            <w:vAlign w:val="center"/>
          </w:tcPr>
          <w:p>
            <w:pPr>
              <w:spacing w:beforeLines="20" w:before="48" w:afterLines="20" w:after="48"/>
              <w:rPr>
                <w:noProof/>
                <w:sz w:val="21"/>
                <w:szCs w:val="21"/>
              </w:rPr>
            </w:pPr>
            <w:r>
              <w:rPr>
                <w:noProof/>
                <w:sz w:val="21"/>
                <w:szCs w:val="21"/>
              </w:rPr>
              <w:sym w:font="Wingdings" w:char="F09F"/>
            </w:r>
            <w:r>
              <w:rPr>
                <w:noProof/>
                <w:sz w:val="21"/>
                <w:szCs w:val="21"/>
              </w:rPr>
              <w:t xml:space="preserve"> TOTAL credite cu caracter administrativ finanțate din bugetul anumitor programe</w:t>
            </w:r>
          </w:p>
        </w:tc>
        <w:tc>
          <w:tcPr>
            <w:tcW w:w="654" w:type="dxa"/>
            <w:vAlign w:val="center"/>
          </w:tcPr>
          <w:p>
            <w:pPr>
              <w:spacing w:beforeLines="20" w:before="48" w:afterLines="20" w:after="48"/>
              <w:jc w:val="center"/>
              <w:rPr>
                <w:noProof/>
                <w:sz w:val="14"/>
              </w:rPr>
            </w:pPr>
            <w:r>
              <w:rPr>
                <w:noProof/>
                <w:sz w:val="14"/>
              </w:rPr>
              <w:t>(6)</w:t>
            </w:r>
          </w:p>
        </w:tc>
        <w:tc>
          <w:tcPr>
            <w:tcW w:w="868" w:type="dxa"/>
            <w:shd w:val="clear" w:color="auto" w:fill="auto"/>
            <w:vAlign w:val="center"/>
          </w:tcPr>
          <w:p>
            <w:pPr>
              <w:spacing w:before="20" w:after="20"/>
              <w:jc w:val="right"/>
              <w:rPr>
                <w:b/>
                <w:noProof/>
                <w:sz w:val="20"/>
              </w:rPr>
            </w:pPr>
            <w:r>
              <w:rPr>
                <w:noProof/>
                <w:sz w:val="20"/>
              </w:rPr>
              <w:t>0,3</w:t>
            </w:r>
          </w:p>
        </w:tc>
        <w:tc>
          <w:tcPr>
            <w:tcW w:w="868" w:type="dxa"/>
            <w:shd w:val="clear" w:color="auto" w:fill="auto"/>
            <w:vAlign w:val="center"/>
          </w:tcPr>
          <w:p>
            <w:pPr>
              <w:spacing w:before="20" w:after="20"/>
              <w:jc w:val="right"/>
              <w:rPr>
                <w:b/>
                <w:noProof/>
                <w:sz w:val="20"/>
              </w:rPr>
            </w:pPr>
            <w:r>
              <w:rPr>
                <w:noProof/>
                <w:sz w:val="20"/>
              </w:rPr>
              <w:t>0,5</w:t>
            </w:r>
          </w:p>
        </w:tc>
        <w:tc>
          <w:tcPr>
            <w:tcW w:w="868" w:type="dxa"/>
            <w:shd w:val="clear" w:color="auto" w:fill="auto"/>
            <w:vAlign w:val="center"/>
          </w:tcPr>
          <w:p>
            <w:pPr>
              <w:spacing w:before="20" w:after="20"/>
              <w:jc w:val="right"/>
              <w:rPr>
                <w:b/>
                <w:noProof/>
                <w:sz w:val="20"/>
              </w:rPr>
            </w:pPr>
          </w:p>
        </w:tc>
        <w:tc>
          <w:tcPr>
            <w:tcW w:w="868" w:type="dxa"/>
            <w:shd w:val="clear" w:color="auto" w:fill="auto"/>
            <w:vAlign w:val="center"/>
          </w:tcPr>
          <w:p>
            <w:pPr>
              <w:spacing w:before="20" w:after="20"/>
              <w:jc w:val="right"/>
              <w:rPr>
                <w:b/>
                <w:noProof/>
                <w:sz w:val="20"/>
              </w:rPr>
            </w:pPr>
          </w:p>
        </w:tc>
        <w:tc>
          <w:tcPr>
            <w:tcW w:w="868" w:type="dxa"/>
            <w:shd w:val="clear" w:color="auto" w:fill="auto"/>
            <w:vAlign w:val="center"/>
          </w:tcPr>
          <w:p>
            <w:pPr>
              <w:spacing w:before="20" w:after="20"/>
              <w:jc w:val="right"/>
              <w:rPr>
                <w:b/>
                <w:noProof/>
                <w:sz w:val="20"/>
              </w:rPr>
            </w:pPr>
          </w:p>
        </w:tc>
        <w:tc>
          <w:tcPr>
            <w:tcW w:w="1777" w:type="dxa"/>
            <w:shd w:val="clear" w:color="auto" w:fill="auto"/>
            <w:vAlign w:val="center"/>
          </w:tcPr>
          <w:p>
            <w:pPr>
              <w:spacing w:before="20" w:after="20"/>
              <w:jc w:val="right"/>
              <w:rPr>
                <w:b/>
                <w:noProof/>
                <w:sz w:val="20"/>
              </w:rPr>
            </w:pPr>
            <w:r>
              <w:rPr>
                <w:b/>
                <w:noProof/>
                <w:sz w:val="20"/>
              </w:rPr>
              <w:t>0,8</w:t>
            </w:r>
          </w:p>
        </w:tc>
      </w:tr>
      <w:tr>
        <w:tc>
          <w:tcPr>
            <w:tcW w:w="3960" w:type="dxa"/>
            <w:vMerge w:val="restart"/>
            <w:shd w:val="thinDiagStripe" w:color="C0C0C0" w:fill="auto"/>
            <w:vAlign w:val="center"/>
          </w:tcPr>
          <w:p>
            <w:pPr>
              <w:jc w:val="center"/>
              <w:rPr>
                <w:b/>
                <w:noProof/>
              </w:rPr>
            </w:pPr>
            <w:r>
              <w:rPr>
                <w:b/>
                <w:noProof/>
                <w:sz w:val="22"/>
              </w:rPr>
              <w:t xml:space="preserve">TOTAL credite </w:t>
            </w:r>
            <w:r>
              <w:rPr>
                <w:noProof/>
                <w:sz w:val="22"/>
              </w:rPr>
              <w:br/>
            </w:r>
            <w:r>
              <w:rPr>
                <w:b/>
                <w:noProof/>
                <w:sz w:val="22"/>
              </w:rPr>
              <w:t>în cadrul RUBRICII 1</w:t>
            </w:r>
            <w:r>
              <w:rPr>
                <w:noProof/>
                <w:sz w:val="22"/>
              </w:rPr>
              <w:br/>
              <w:t>din cadrul financiar multianual</w:t>
            </w:r>
          </w:p>
        </w:tc>
        <w:tc>
          <w:tcPr>
            <w:tcW w:w="1440" w:type="dxa"/>
            <w:vAlign w:val="center"/>
          </w:tcPr>
          <w:p>
            <w:pPr>
              <w:rPr>
                <w:noProof/>
                <w:sz w:val="18"/>
              </w:rPr>
            </w:pPr>
            <w:r>
              <w:rPr>
                <w:noProof/>
                <w:sz w:val="18"/>
              </w:rPr>
              <w:t>Angajamente</w:t>
            </w:r>
          </w:p>
        </w:tc>
        <w:tc>
          <w:tcPr>
            <w:tcW w:w="654" w:type="dxa"/>
            <w:vAlign w:val="center"/>
          </w:tcPr>
          <w:p>
            <w:pPr>
              <w:jc w:val="center"/>
              <w:rPr>
                <w:noProof/>
                <w:sz w:val="14"/>
              </w:rPr>
            </w:pPr>
            <w:r>
              <w:rPr>
                <w:noProof/>
                <w:sz w:val="14"/>
              </w:rPr>
              <w:t>=4+ 6</w:t>
            </w:r>
          </w:p>
        </w:tc>
        <w:tc>
          <w:tcPr>
            <w:tcW w:w="868" w:type="dxa"/>
            <w:shd w:val="clear" w:color="auto" w:fill="auto"/>
            <w:vAlign w:val="center"/>
          </w:tcPr>
          <w:p>
            <w:pPr>
              <w:spacing w:before="20" w:after="20"/>
              <w:jc w:val="right"/>
              <w:rPr>
                <w:noProof/>
                <w:sz w:val="20"/>
              </w:rPr>
            </w:pPr>
            <w:r>
              <w:rPr>
                <w:noProof/>
                <w:sz w:val="20"/>
              </w:rPr>
              <w:t>245</w:t>
            </w:r>
          </w:p>
        </w:tc>
        <w:tc>
          <w:tcPr>
            <w:tcW w:w="868" w:type="dxa"/>
            <w:shd w:val="clear" w:color="auto" w:fill="auto"/>
            <w:vAlign w:val="center"/>
          </w:tcPr>
          <w:p>
            <w:pPr>
              <w:spacing w:before="20" w:after="20"/>
              <w:jc w:val="right"/>
              <w:rPr>
                <w:noProof/>
                <w:sz w:val="20"/>
              </w:rPr>
            </w:pPr>
            <w:r>
              <w:rPr>
                <w:noProof/>
                <w:sz w:val="20"/>
              </w:rPr>
              <w:t>255</w:t>
            </w:r>
          </w:p>
        </w:tc>
        <w:tc>
          <w:tcPr>
            <w:tcW w:w="868" w:type="dxa"/>
            <w:shd w:val="clear" w:color="auto" w:fill="auto"/>
            <w:vAlign w:val="center"/>
          </w:tcPr>
          <w:p>
            <w:pPr>
              <w:spacing w:before="20" w:after="20"/>
              <w:jc w:val="right"/>
              <w:rPr>
                <w:noProof/>
                <w:sz w:val="20"/>
              </w:rPr>
            </w:pPr>
            <w:r>
              <w:rPr>
                <w:noProof/>
                <w:sz w:val="20"/>
              </w:rPr>
              <w:t> </w:t>
            </w:r>
          </w:p>
        </w:tc>
        <w:tc>
          <w:tcPr>
            <w:tcW w:w="868" w:type="dxa"/>
            <w:shd w:val="clear" w:color="auto" w:fill="auto"/>
            <w:vAlign w:val="center"/>
          </w:tcPr>
          <w:p>
            <w:pPr>
              <w:spacing w:before="20" w:after="20"/>
              <w:jc w:val="right"/>
              <w:rPr>
                <w:noProof/>
                <w:sz w:val="20"/>
              </w:rPr>
            </w:pPr>
            <w:r>
              <w:rPr>
                <w:noProof/>
                <w:sz w:val="20"/>
              </w:rPr>
              <w:t> </w:t>
            </w:r>
          </w:p>
        </w:tc>
        <w:tc>
          <w:tcPr>
            <w:tcW w:w="868" w:type="dxa"/>
            <w:shd w:val="clear" w:color="auto" w:fill="auto"/>
            <w:vAlign w:val="center"/>
          </w:tcPr>
          <w:p>
            <w:pPr>
              <w:spacing w:before="20" w:after="20"/>
              <w:jc w:val="right"/>
              <w:rPr>
                <w:noProof/>
                <w:sz w:val="20"/>
              </w:rPr>
            </w:pPr>
          </w:p>
        </w:tc>
        <w:tc>
          <w:tcPr>
            <w:tcW w:w="1777" w:type="dxa"/>
            <w:shd w:val="clear" w:color="auto" w:fill="auto"/>
            <w:vAlign w:val="center"/>
          </w:tcPr>
          <w:p>
            <w:pPr>
              <w:spacing w:before="20" w:after="20"/>
              <w:jc w:val="right"/>
              <w:rPr>
                <w:b/>
                <w:noProof/>
                <w:sz w:val="20"/>
              </w:rPr>
            </w:pPr>
            <w:r>
              <w:rPr>
                <w:b/>
                <w:noProof/>
                <w:sz w:val="20"/>
              </w:rPr>
              <w:t>500</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Plăți</w:t>
            </w:r>
          </w:p>
        </w:tc>
        <w:tc>
          <w:tcPr>
            <w:tcW w:w="654" w:type="dxa"/>
            <w:vAlign w:val="center"/>
          </w:tcPr>
          <w:p>
            <w:pPr>
              <w:jc w:val="center"/>
              <w:rPr>
                <w:noProof/>
                <w:sz w:val="14"/>
              </w:rPr>
            </w:pPr>
            <w:r>
              <w:rPr>
                <w:noProof/>
                <w:sz w:val="14"/>
              </w:rPr>
              <w:t>=5+ 6</w:t>
            </w:r>
          </w:p>
        </w:tc>
        <w:tc>
          <w:tcPr>
            <w:tcW w:w="868" w:type="dxa"/>
            <w:shd w:val="clear" w:color="auto" w:fill="auto"/>
            <w:vAlign w:val="center"/>
          </w:tcPr>
          <w:p>
            <w:pPr>
              <w:spacing w:before="20" w:after="20"/>
              <w:jc w:val="right"/>
              <w:rPr>
                <w:noProof/>
                <w:sz w:val="20"/>
              </w:rPr>
            </w:pPr>
            <w:r>
              <w:rPr>
                <w:noProof/>
                <w:sz w:val="20"/>
              </w:rPr>
              <w:t>147</w:t>
            </w:r>
          </w:p>
        </w:tc>
        <w:tc>
          <w:tcPr>
            <w:tcW w:w="868" w:type="dxa"/>
            <w:shd w:val="clear" w:color="auto" w:fill="auto"/>
            <w:vAlign w:val="center"/>
          </w:tcPr>
          <w:p>
            <w:pPr>
              <w:spacing w:before="20" w:after="20"/>
              <w:jc w:val="right"/>
              <w:rPr>
                <w:noProof/>
                <w:sz w:val="20"/>
              </w:rPr>
            </w:pPr>
            <w:r>
              <w:rPr>
                <w:noProof/>
                <w:sz w:val="20"/>
              </w:rPr>
              <w:t>202</w:t>
            </w:r>
          </w:p>
        </w:tc>
        <w:tc>
          <w:tcPr>
            <w:tcW w:w="868" w:type="dxa"/>
            <w:shd w:val="clear" w:color="auto" w:fill="auto"/>
            <w:vAlign w:val="center"/>
          </w:tcPr>
          <w:p>
            <w:pPr>
              <w:spacing w:before="20" w:after="20"/>
              <w:jc w:val="right"/>
              <w:rPr>
                <w:noProof/>
                <w:sz w:val="20"/>
              </w:rPr>
            </w:pPr>
            <w:r>
              <w:rPr>
                <w:noProof/>
                <w:sz w:val="20"/>
              </w:rPr>
              <w:t>100</w:t>
            </w:r>
          </w:p>
        </w:tc>
        <w:tc>
          <w:tcPr>
            <w:tcW w:w="868" w:type="dxa"/>
            <w:shd w:val="clear" w:color="auto" w:fill="auto"/>
            <w:vAlign w:val="center"/>
          </w:tcPr>
          <w:p>
            <w:pPr>
              <w:spacing w:before="20" w:after="20"/>
              <w:jc w:val="right"/>
              <w:rPr>
                <w:noProof/>
                <w:sz w:val="20"/>
              </w:rPr>
            </w:pPr>
            <w:r>
              <w:rPr>
                <w:noProof/>
                <w:sz w:val="20"/>
              </w:rPr>
              <w:t>51</w:t>
            </w:r>
          </w:p>
        </w:tc>
        <w:tc>
          <w:tcPr>
            <w:tcW w:w="868" w:type="dxa"/>
            <w:shd w:val="clear" w:color="auto" w:fill="auto"/>
            <w:vAlign w:val="center"/>
          </w:tcPr>
          <w:p>
            <w:pPr>
              <w:spacing w:before="20" w:after="20"/>
              <w:jc w:val="right"/>
              <w:rPr>
                <w:noProof/>
                <w:sz w:val="20"/>
              </w:rPr>
            </w:pPr>
            <w:r>
              <w:rPr>
                <w:noProof/>
                <w:sz w:val="20"/>
              </w:rPr>
              <w:t>p.m.</w:t>
            </w:r>
          </w:p>
        </w:tc>
        <w:tc>
          <w:tcPr>
            <w:tcW w:w="1777" w:type="dxa"/>
            <w:shd w:val="clear" w:color="auto" w:fill="auto"/>
            <w:vAlign w:val="center"/>
          </w:tcPr>
          <w:p>
            <w:pPr>
              <w:spacing w:before="20" w:after="20"/>
              <w:jc w:val="right"/>
              <w:rPr>
                <w:b/>
                <w:noProof/>
                <w:sz w:val="20"/>
              </w:rPr>
            </w:pPr>
            <w:r>
              <w:rPr>
                <w:b/>
                <w:noProof/>
                <w:sz w:val="20"/>
              </w:rPr>
              <w:t>500</w:t>
            </w:r>
          </w:p>
        </w:tc>
      </w:tr>
    </w:tbl>
    <w:p>
      <w:pPr>
        <w:spacing w:after="40"/>
        <w:rPr>
          <w:b/>
          <w:noProof/>
          <w:sz w:val="22"/>
          <w:u w:val="single"/>
        </w:rPr>
      </w:pPr>
      <w:r>
        <w:rPr>
          <w:b/>
          <w:noProof/>
          <w:sz w:val="22"/>
          <w:u w:val="single"/>
        </w:rPr>
        <w:t>În cazul în care propunerea/inițiativa afectează mai multe rubrici:</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1777"/>
      </w:tblGrid>
      <w:tr>
        <w:trPr>
          <w:trHeight w:val="277"/>
        </w:trPr>
        <w:tc>
          <w:tcPr>
            <w:tcW w:w="3960" w:type="dxa"/>
            <w:vMerge w:val="restart"/>
            <w:tcBorders>
              <w:top w:val="single" w:sz="4" w:space="0" w:color="FF0000"/>
              <w:left w:val="single" w:sz="4" w:space="0" w:color="auto"/>
              <w:bottom w:val="single" w:sz="4" w:space="0" w:color="FF0000"/>
            </w:tcBorders>
            <w:vAlign w:val="center"/>
          </w:tcPr>
          <w:p>
            <w:pPr>
              <w:spacing w:before="20" w:after="20"/>
              <w:rPr>
                <w:noProof/>
                <w:sz w:val="21"/>
                <w:szCs w:val="21"/>
              </w:rPr>
            </w:pPr>
            <w:r>
              <w:rPr>
                <w:noProof/>
                <w:sz w:val="21"/>
                <w:szCs w:val="21"/>
              </w:rPr>
              <w:sym w:font="Wingdings" w:char="F09F"/>
            </w:r>
            <w:r>
              <w:rPr>
                <w:noProof/>
                <w:sz w:val="21"/>
                <w:szCs w:val="21"/>
              </w:rPr>
              <w:t xml:space="preserve"> TOTAL credite operaționale</w:t>
            </w:r>
          </w:p>
        </w:tc>
        <w:tc>
          <w:tcPr>
            <w:tcW w:w="1440" w:type="dxa"/>
            <w:tcBorders>
              <w:top w:val="single" w:sz="4" w:space="0" w:color="FF0000"/>
            </w:tcBorders>
            <w:vAlign w:val="center"/>
          </w:tcPr>
          <w:p>
            <w:pPr>
              <w:spacing w:beforeLines="20" w:before="48" w:afterLines="20" w:after="48"/>
              <w:rPr>
                <w:noProof/>
                <w:sz w:val="18"/>
              </w:rPr>
            </w:pPr>
            <w:r>
              <w:rPr>
                <w:noProof/>
                <w:sz w:val="18"/>
              </w:rPr>
              <w:t>Angajamente</w:t>
            </w:r>
          </w:p>
        </w:tc>
        <w:tc>
          <w:tcPr>
            <w:tcW w:w="654" w:type="dxa"/>
            <w:tcBorders>
              <w:top w:val="single" w:sz="4" w:space="0" w:color="FF0000"/>
            </w:tcBorders>
            <w:vAlign w:val="center"/>
          </w:tcPr>
          <w:p>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pPr>
              <w:spacing w:before="20" w:after="20"/>
              <w:jc w:val="right"/>
              <w:rPr>
                <w:noProof/>
                <w:sz w:val="20"/>
              </w:rPr>
            </w:pPr>
          </w:p>
        </w:tc>
        <w:tc>
          <w:tcPr>
            <w:tcW w:w="868" w:type="dxa"/>
            <w:tcBorders>
              <w:top w:val="single" w:sz="4" w:space="0" w:color="FF0000"/>
            </w:tcBorders>
            <w:vAlign w:val="center"/>
          </w:tcPr>
          <w:p>
            <w:pPr>
              <w:spacing w:before="20" w:after="20"/>
              <w:jc w:val="right"/>
              <w:rPr>
                <w:noProof/>
                <w:sz w:val="20"/>
              </w:rPr>
            </w:pPr>
          </w:p>
        </w:tc>
        <w:tc>
          <w:tcPr>
            <w:tcW w:w="868" w:type="dxa"/>
            <w:tcBorders>
              <w:top w:val="single" w:sz="4" w:space="0" w:color="FF0000"/>
            </w:tcBorders>
            <w:vAlign w:val="center"/>
          </w:tcPr>
          <w:p>
            <w:pPr>
              <w:spacing w:before="20" w:after="20"/>
              <w:jc w:val="right"/>
              <w:rPr>
                <w:noProof/>
                <w:sz w:val="20"/>
              </w:rPr>
            </w:pPr>
          </w:p>
        </w:tc>
        <w:tc>
          <w:tcPr>
            <w:tcW w:w="868" w:type="dxa"/>
            <w:tcBorders>
              <w:top w:val="single" w:sz="4" w:space="0" w:color="FF0000"/>
            </w:tcBorders>
            <w:vAlign w:val="center"/>
          </w:tcPr>
          <w:p>
            <w:pPr>
              <w:spacing w:before="20" w:after="20"/>
              <w:jc w:val="right"/>
              <w:rPr>
                <w:noProof/>
                <w:sz w:val="20"/>
              </w:rPr>
            </w:pPr>
          </w:p>
        </w:tc>
        <w:tc>
          <w:tcPr>
            <w:tcW w:w="868" w:type="dxa"/>
            <w:tcBorders>
              <w:top w:val="single" w:sz="4" w:space="0" w:color="FF0000"/>
            </w:tcBorders>
            <w:vAlign w:val="center"/>
          </w:tcPr>
          <w:p>
            <w:pPr>
              <w:spacing w:before="20" w:after="20"/>
              <w:jc w:val="right"/>
              <w:rPr>
                <w:noProof/>
                <w:sz w:val="20"/>
              </w:rPr>
            </w:pPr>
          </w:p>
        </w:tc>
        <w:tc>
          <w:tcPr>
            <w:tcW w:w="1777" w:type="dxa"/>
            <w:tcBorders>
              <w:top w:val="single" w:sz="4" w:space="0" w:color="FF0000"/>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tcPr>
          <w:p>
            <w:pPr>
              <w:jc w:val="center"/>
              <w:rPr>
                <w:noProof/>
                <w:sz w:val="20"/>
              </w:rPr>
            </w:pPr>
          </w:p>
        </w:tc>
        <w:tc>
          <w:tcPr>
            <w:tcW w:w="1440" w:type="dxa"/>
            <w:vAlign w:val="center"/>
          </w:tcPr>
          <w:p>
            <w:pPr>
              <w:spacing w:beforeLines="20" w:before="48" w:afterLines="20" w:after="48"/>
              <w:rPr>
                <w:noProof/>
                <w:sz w:val="18"/>
              </w:rPr>
            </w:pPr>
            <w:r>
              <w:rPr>
                <w:noProof/>
                <w:sz w:val="18"/>
              </w:rPr>
              <w:t>Plăți</w:t>
            </w:r>
          </w:p>
        </w:tc>
        <w:tc>
          <w:tcPr>
            <w:tcW w:w="654" w:type="dxa"/>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Borders>
              <w:right w:val="single" w:sz="4" w:space="0" w:color="auto"/>
            </w:tcBorders>
            <w:vAlign w:val="center"/>
          </w:tcPr>
          <w:p>
            <w:pPr>
              <w:spacing w:before="20" w:after="20"/>
              <w:jc w:val="right"/>
              <w:rPr>
                <w:b/>
                <w:noProof/>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noProof/>
                <w:sz w:val="21"/>
                <w:szCs w:val="21"/>
              </w:rPr>
            </w:pPr>
            <w:r>
              <w:rPr>
                <w:noProof/>
                <w:sz w:val="21"/>
                <w:szCs w:val="21"/>
              </w:rPr>
              <w:sym w:font="Wingdings" w:char="F09F"/>
            </w:r>
            <w:r>
              <w:rPr>
                <w:noProof/>
                <w:sz w:val="21"/>
                <w:szCs w:val="21"/>
              </w:rPr>
              <w:t xml:space="preserve"> TOTAL credite cu caracter administrativ finanțate din bugetul anumitor programe</w:t>
            </w:r>
          </w:p>
        </w:tc>
        <w:tc>
          <w:tcPr>
            <w:tcW w:w="654" w:type="dxa"/>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rPr>
            </w:pPr>
            <w:r>
              <w:rPr>
                <w:b/>
                <w:noProof/>
                <w:sz w:val="22"/>
              </w:rPr>
              <w:t xml:space="preserve">TOTAL credite </w:t>
            </w:r>
            <w:r>
              <w:rPr>
                <w:noProof/>
                <w:sz w:val="22"/>
              </w:rPr>
              <w:br/>
            </w:r>
            <w:r>
              <w:rPr>
                <w:b/>
                <w:noProof/>
                <w:sz w:val="22"/>
              </w:rPr>
              <w:t>în cadrul RUBRICILOR 1-4</w:t>
            </w:r>
            <w:r>
              <w:rPr>
                <w:noProof/>
                <w:sz w:val="22"/>
              </w:rPr>
              <w:br/>
              <w:t>din cadrul financiar multianual</w:t>
            </w:r>
            <w:r>
              <w:rPr>
                <w:noProof/>
                <w:sz w:val="22"/>
              </w:rPr>
              <w:br/>
            </w:r>
            <w:r>
              <w:rPr>
                <w:noProof/>
                <w:sz w:val="20"/>
              </w:rPr>
              <w:t>(suma de referință)</w:t>
            </w:r>
          </w:p>
        </w:tc>
        <w:tc>
          <w:tcPr>
            <w:tcW w:w="1440" w:type="dxa"/>
            <w:vAlign w:val="center"/>
          </w:tcPr>
          <w:p>
            <w:pPr>
              <w:rPr>
                <w:noProof/>
                <w:sz w:val="18"/>
              </w:rPr>
            </w:pPr>
            <w:r>
              <w:rPr>
                <w:noProof/>
                <w:sz w:val="18"/>
              </w:rPr>
              <w:t>Angajamente</w:t>
            </w:r>
          </w:p>
        </w:tc>
        <w:tc>
          <w:tcPr>
            <w:tcW w:w="654" w:type="dxa"/>
            <w:vAlign w:val="center"/>
          </w:tcPr>
          <w:p>
            <w:pPr>
              <w:jc w:val="center"/>
              <w:rPr>
                <w:noProof/>
                <w:sz w:val="14"/>
              </w:rPr>
            </w:pPr>
            <w:r>
              <w:rPr>
                <w:noProof/>
                <w:sz w:val="14"/>
              </w:rPr>
              <w:t>=4+ 6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Borders>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shd w:val="thinDiagStripe" w:color="C0C0C0" w:fill="auto"/>
          </w:tcPr>
          <w:p>
            <w:pPr>
              <w:rPr>
                <w:noProof/>
                <w:sz w:val="20"/>
              </w:rPr>
            </w:pPr>
          </w:p>
        </w:tc>
        <w:tc>
          <w:tcPr>
            <w:tcW w:w="1440" w:type="dxa"/>
            <w:tcBorders>
              <w:bottom w:val="single" w:sz="4" w:space="0" w:color="FF0000"/>
            </w:tcBorders>
            <w:vAlign w:val="center"/>
          </w:tcPr>
          <w:p>
            <w:pPr>
              <w:rPr>
                <w:noProof/>
                <w:sz w:val="18"/>
              </w:rPr>
            </w:pPr>
            <w:r>
              <w:rPr>
                <w:noProof/>
                <w:sz w:val="18"/>
              </w:rPr>
              <w:t>Plăți</w:t>
            </w:r>
          </w:p>
        </w:tc>
        <w:tc>
          <w:tcPr>
            <w:tcW w:w="654" w:type="dxa"/>
            <w:tcBorders>
              <w:bottom w:val="single" w:sz="4" w:space="0" w:color="FF0000"/>
            </w:tcBorders>
            <w:vAlign w:val="center"/>
          </w:tcPr>
          <w:p>
            <w:pPr>
              <w:jc w:val="center"/>
              <w:rPr>
                <w:noProof/>
                <w:sz w:val="14"/>
              </w:rPr>
            </w:pPr>
            <w:r>
              <w:rPr>
                <w:noProof/>
                <w:sz w:val="14"/>
              </w:rPr>
              <w:t>=5+ 6</w:t>
            </w:r>
          </w:p>
        </w:tc>
        <w:tc>
          <w:tcPr>
            <w:tcW w:w="868" w:type="dxa"/>
            <w:tcBorders>
              <w:bottom w:val="single" w:sz="4" w:space="0" w:color="FF0000"/>
            </w:tcBorders>
            <w:vAlign w:val="center"/>
          </w:tcPr>
          <w:p>
            <w:pPr>
              <w:spacing w:before="20" w:after="20"/>
              <w:jc w:val="right"/>
              <w:rPr>
                <w:noProof/>
                <w:sz w:val="20"/>
              </w:rPr>
            </w:pPr>
          </w:p>
        </w:tc>
        <w:tc>
          <w:tcPr>
            <w:tcW w:w="868" w:type="dxa"/>
            <w:tcBorders>
              <w:bottom w:val="single" w:sz="4" w:space="0" w:color="FF0000"/>
            </w:tcBorders>
            <w:vAlign w:val="center"/>
          </w:tcPr>
          <w:p>
            <w:pPr>
              <w:spacing w:before="20" w:after="20"/>
              <w:jc w:val="right"/>
              <w:rPr>
                <w:noProof/>
                <w:sz w:val="20"/>
              </w:rPr>
            </w:pPr>
          </w:p>
        </w:tc>
        <w:tc>
          <w:tcPr>
            <w:tcW w:w="868" w:type="dxa"/>
            <w:tcBorders>
              <w:bottom w:val="single" w:sz="4" w:space="0" w:color="FF0000"/>
            </w:tcBorders>
            <w:vAlign w:val="center"/>
          </w:tcPr>
          <w:p>
            <w:pPr>
              <w:spacing w:before="20" w:after="20"/>
              <w:jc w:val="right"/>
              <w:rPr>
                <w:noProof/>
                <w:sz w:val="20"/>
              </w:rPr>
            </w:pPr>
          </w:p>
        </w:tc>
        <w:tc>
          <w:tcPr>
            <w:tcW w:w="868" w:type="dxa"/>
            <w:tcBorders>
              <w:bottom w:val="single" w:sz="4" w:space="0" w:color="FF0000"/>
            </w:tcBorders>
            <w:vAlign w:val="center"/>
          </w:tcPr>
          <w:p>
            <w:pPr>
              <w:spacing w:before="20" w:after="20"/>
              <w:jc w:val="right"/>
              <w:rPr>
                <w:noProof/>
                <w:sz w:val="20"/>
              </w:rPr>
            </w:pPr>
          </w:p>
        </w:tc>
        <w:tc>
          <w:tcPr>
            <w:tcW w:w="868" w:type="dxa"/>
            <w:tcBorders>
              <w:bottom w:val="single" w:sz="4" w:space="0" w:color="FF0000"/>
            </w:tcBorders>
            <w:vAlign w:val="center"/>
          </w:tcPr>
          <w:p>
            <w:pPr>
              <w:spacing w:before="20" w:after="20"/>
              <w:jc w:val="right"/>
              <w:rPr>
                <w:noProof/>
                <w:sz w:val="20"/>
              </w:rPr>
            </w:pPr>
          </w:p>
        </w:tc>
        <w:tc>
          <w:tcPr>
            <w:tcW w:w="1777" w:type="dxa"/>
            <w:tcBorders>
              <w:bottom w:val="single" w:sz="4" w:space="0" w:color="FF0000"/>
              <w:right w:val="single" w:sz="4" w:space="0" w:color="auto"/>
            </w:tcBorders>
            <w:vAlign w:val="center"/>
          </w:tcPr>
          <w:p>
            <w:pPr>
              <w:spacing w:before="20" w:after="20"/>
              <w:jc w:val="right"/>
              <w:rPr>
                <w:b/>
                <w:noProof/>
                <w:sz w:val="20"/>
              </w:rPr>
            </w:pPr>
          </w:p>
        </w:tc>
      </w:tr>
    </w:tbl>
    <w:p>
      <w:pPr>
        <w:rPr>
          <w:noProof/>
        </w:rPr>
      </w:pP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br w:type="page"/>
            </w:r>
            <w:r>
              <w:rPr>
                <w:b/>
                <w:noProof/>
              </w:rPr>
              <w:t>Rubrica din cadrul financiar</w:t>
            </w:r>
            <w:r>
              <w:rPr>
                <w:noProof/>
                <w:sz w:val="22"/>
              </w:rPr>
              <w:br/>
            </w:r>
            <w:r>
              <w:rPr>
                <w:b/>
                <w:noProof/>
                <w:sz w:val="22"/>
              </w:rPr>
              <w:t xml:space="preserve">multianual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noProof/>
              </w:rPr>
            </w:pPr>
            <w:r>
              <w:rPr>
                <w:noProof/>
                <w:sz w:val="22"/>
              </w:rPr>
              <w:t>„Cheltuieli administrative”</w:t>
            </w:r>
          </w:p>
        </w:tc>
      </w:tr>
    </w:tbl>
    <w:p>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10"/>
        <w:gridCol w:w="868"/>
        <w:gridCol w:w="24"/>
        <w:gridCol w:w="868"/>
        <w:gridCol w:w="868"/>
        <w:gridCol w:w="868"/>
        <w:gridCol w:w="868"/>
        <w:gridCol w:w="1165"/>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10" w:type="dxa"/>
            <w:tcBorders>
              <w:top w:val="nil"/>
              <w:left w:val="nil"/>
            </w:tcBorders>
          </w:tcPr>
          <w:p>
            <w:pPr>
              <w:jc w:val="center"/>
              <w:rPr>
                <w:noProof/>
                <w:sz w:val="20"/>
              </w:rPr>
            </w:pPr>
          </w:p>
        </w:tc>
        <w:tc>
          <w:tcPr>
            <w:tcW w:w="892" w:type="dxa"/>
            <w:gridSpan w:val="2"/>
            <w:vAlign w:val="center"/>
          </w:tcPr>
          <w:p>
            <w:pPr>
              <w:jc w:val="center"/>
              <w:rPr>
                <w:noProof/>
                <w:sz w:val="20"/>
              </w:rPr>
            </w:pPr>
            <w:r>
              <w:rPr>
                <w:noProof/>
                <w:sz w:val="20"/>
              </w:rPr>
              <w:t>2018</w:t>
            </w:r>
          </w:p>
        </w:tc>
        <w:tc>
          <w:tcPr>
            <w:tcW w:w="868" w:type="dxa"/>
            <w:vAlign w:val="center"/>
          </w:tcPr>
          <w:p>
            <w:pPr>
              <w:jc w:val="center"/>
              <w:rPr>
                <w:noProof/>
                <w:sz w:val="20"/>
              </w:rPr>
            </w:pPr>
            <w:r>
              <w:rPr>
                <w:noProof/>
                <w:sz w:val="20"/>
              </w:rPr>
              <w:t>2019</w:t>
            </w:r>
          </w:p>
        </w:tc>
        <w:tc>
          <w:tcPr>
            <w:tcW w:w="868" w:type="dxa"/>
            <w:vAlign w:val="center"/>
          </w:tcPr>
          <w:p>
            <w:pPr>
              <w:jc w:val="center"/>
              <w:rPr>
                <w:noProof/>
                <w:sz w:val="20"/>
              </w:rPr>
            </w:pPr>
            <w:r>
              <w:rPr>
                <w:noProof/>
                <w:sz w:val="20"/>
              </w:rPr>
              <w:t>2020</w:t>
            </w:r>
          </w:p>
        </w:tc>
        <w:tc>
          <w:tcPr>
            <w:tcW w:w="868" w:type="dxa"/>
            <w:vAlign w:val="center"/>
          </w:tcPr>
          <w:p>
            <w:pPr>
              <w:jc w:val="center"/>
              <w:rPr>
                <w:noProof/>
                <w:sz w:val="20"/>
              </w:rPr>
            </w:pPr>
            <w:r>
              <w:rPr>
                <w:noProof/>
                <w:sz w:val="20"/>
              </w:rPr>
              <w:t>2021</w:t>
            </w:r>
          </w:p>
        </w:tc>
        <w:tc>
          <w:tcPr>
            <w:tcW w:w="868" w:type="dxa"/>
            <w:vAlign w:val="center"/>
          </w:tcPr>
          <w:p>
            <w:pPr>
              <w:jc w:val="center"/>
              <w:rPr>
                <w:noProof/>
                <w:sz w:val="20"/>
              </w:rPr>
            </w:pPr>
            <w:r>
              <w:rPr>
                <w:noProof/>
                <w:sz w:val="20"/>
              </w:rPr>
              <w:t>2022</w:t>
            </w:r>
          </w:p>
        </w:tc>
        <w:tc>
          <w:tcPr>
            <w:tcW w:w="1165" w:type="dxa"/>
            <w:vAlign w:val="center"/>
          </w:tcPr>
          <w:p>
            <w:pPr>
              <w:jc w:val="center"/>
              <w:rPr>
                <w:noProof/>
                <w:sz w:val="20"/>
              </w:rPr>
            </w:pPr>
            <w:r>
              <w:rPr>
                <w:noProof/>
                <w:sz w:val="20"/>
              </w:rPr>
              <w:t>2023</w:t>
            </w:r>
          </w:p>
        </w:tc>
        <w:tc>
          <w:tcPr>
            <w:tcW w:w="1777" w:type="dxa"/>
            <w:vAlign w:val="center"/>
          </w:tcPr>
          <w:p>
            <w:pPr>
              <w:jc w:val="center"/>
              <w:rPr>
                <w:b/>
                <w:noProof/>
                <w:sz w:val="20"/>
              </w:rPr>
            </w:pPr>
            <w:r>
              <w:rPr>
                <w:b/>
                <w:noProof/>
                <w:sz w:val="20"/>
              </w:rPr>
              <w:t>TOTAL</w:t>
            </w:r>
          </w:p>
        </w:tc>
      </w:tr>
      <w:tr>
        <w:trPr>
          <w:gridAfter w:val="7"/>
          <w:wAfter w:w="6438" w:type="dxa"/>
        </w:trPr>
        <w:tc>
          <w:tcPr>
            <w:tcW w:w="3960" w:type="dxa"/>
            <w:vAlign w:val="center"/>
          </w:tcPr>
          <w:p>
            <w:pPr>
              <w:spacing w:before="60" w:after="60"/>
              <w:jc w:val="center"/>
              <w:rPr>
                <w:noProof/>
              </w:rPr>
            </w:pPr>
            <w:r>
              <w:rPr>
                <w:noProof/>
                <w:sz w:val="22"/>
              </w:rPr>
              <w:t>DG: GROW</w:t>
            </w:r>
          </w:p>
        </w:tc>
        <w:tc>
          <w:tcPr>
            <w:tcW w:w="2070" w:type="dxa"/>
            <w:gridSpan w:val="2"/>
          </w:tcPr>
          <w:p>
            <w:pPr>
              <w:spacing w:before="60" w:after="60"/>
              <w:jc w:val="center"/>
              <w:rPr>
                <w:noProof/>
                <w:sz w:val="22"/>
              </w:rPr>
            </w:pPr>
          </w:p>
        </w:tc>
        <w:tc>
          <w:tcPr>
            <w:tcW w:w="868" w:type="dxa"/>
          </w:tcPr>
          <w:p>
            <w:pPr>
              <w:spacing w:before="60" w:after="60"/>
              <w:jc w:val="center"/>
              <w:rPr>
                <w:noProof/>
                <w:sz w:val="22"/>
              </w:rPr>
            </w:pPr>
          </w:p>
        </w:tc>
      </w:tr>
      <w:tr>
        <w:trPr>
          <w:trHeight w:val="313"/>
        </w:trPr>
        <w:tc>
          <w:tcPr>
            <w:tcW w:w="6030" w:type="dxa"/>
            <w:gridSpan w:val="3"/>
            <w:vAlign w:val="center"/>
          </w:tcPr>
          <w:p>
            <w:pPr>
              <w:spacing w:before="20" w:after="20"/>
              <w:rPr>
                <w:noProof/>
                <w:sz w:val="22"/>
              </w:rPr>
            </w:pPr>
            <w:r>
              <w:rPr>
                <w:noProof/>
                <w:sz w:val="22"/>
              </w:rPr>
              <w:sym w:font="Wingdings" w:char="F09F"/>
            </w:r>
            <w:r>
              <w:rPr>
                <w:noProof/>
                <w:sz w:val="22"/>
              </w:rPr>
              <w:t xml:space="preserve"> Resurse umane</w:t>
            </w:r>
          </w:p>
        </w:tc>
        <w:tc>
          <w:tcPr>
            <w:tcW w:w="892" w:type="dxa"/>
            <w:gridSpan w:val="2"/>
            <w:vAlign w:val="center"/>
          </w:tcPr>
          <w:p>
            <w:pPr>
              <w:spacing w:before="20" w:after="20"/>
              <w:jc w:val="center"/>
              <w:rPr>
                <w:noProof/>
                <w:sz w:val="20"/>
              </w:rPr>
            </w:pPr>
            <w:r>
              <w:rPr>
                <w:noProof/>
                <w:sz w:val="20"/>
              </w:rPr>
              <w:t>0,966</w:t>
            </w:r>
          </w:p>
        </w:tc>
        <w:tc>
          <w:tcPr>
            <w:tcW w:w="868" w:type="dxa"/>
            <w:vAlign w:val="center"/>
          </w:tcPr>
          <w:p>
            <w:pPr>
              <w:spacing w:before="20" w:after="20"/>
              <w:jc w:val="center"/>
              <w:rPr>
                <w:noProof/>
                <w:sz w:val="20"/>
              </w:rPr>
            </w:pPr>
            <w:r>
              <w:rPr>
                <w:noProof/>
                <w:sz w:val="20"/>
              </w:rPr>
              <w:t>0,985</w:t>
            </w:r>
          </w:p>
        </w:tc>
        <w:tc>
          <w:tcPr>
            <w:tcW w:w="868" w:type="dxa"/>
          </w:tcPr>
          <w:p>
            <w:pPr>
              <w:spacing w:before="20" w:after="20"/>
              <w:jc w:val="center"/>
              <w:rPr>
                <w:noProof/>
                <w:sz w:val="20"/>
                <w:szCs w:val="20"/>
              </w:rPr>
            </w:pPr>
            <w:r>
              <w:rPr>
                <w:noProof/>
                <w:sz w:val="20"/>
              </w:rPr>
              <w:t>1,005</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1165" w:type="dxa"/>
            <w:vAlign w:val="center"/>
          </w:tcPr>
          <w:p>
            <w:pPr>
              <w:spacing w:before="20" w:after="20"/>
              <w:jc w:val="center"/>
              <w:rPr>
                <w:noProof/>
                <w:sz w:val="20"/>
              </w:rPr>
            </w:pPr>
          </w:p>
        </w:tc>
        <w:tc>
          <w:tcPr>
            <w:tcW w:w="1777" w:type="dxa"/>
            <w:vAlign w:val="center"/>
          </w:tcPr>
          <w:p>
            <w:pPr>
              <w:spacing w:before="20" w:after="20"/>
              <w:jc w:val="right"/>
              <w:rPr>
                <w:b/>
                <w:noProof/>
                <w:sz w:val="20"/>
              </w:rPr>
            </w:pPr>
            <w:r>
              <w:rPr>
                <w:b/>
                <w:noProof/>
                <w:sz w:val="20"/>
              </w:rPr>
              <w:t>2,956</w:t>
            </w:r>
          </w:p>
        </w:tc>
      </w:tr>
      <w:tr>
        <w:trPr>
          <w:trHeight w:val="351"/>
        </w:trPr>
        <w:tc>
          <w:tcPr>
            <w:tcW w:w="6030" w:type="dxa"/>
            <w:gridSpan w:val="3"/>
            <w:vAlign w:val="center"/>
          </w:tcPr>
          <w:p>
            <w:pPr>
              <w:spacing w:before="20" w:after="20"/>
              <w:rPr>
                <w:noProof/>
                <w:sz w:val="22"/>
              </w:rPr>
            </w:pPr>
            <w:r>
              <w:rPr>
                <w:noProof/>
                <w:sz w:val="22"/>
              </w:rPr>
              <w:sym w:font="Wingdings" w:char="F09F"/>
            </w:r>
            <w:r>
              <w:rPr>
                <w:noProof/>
                <w:sz w:val="22"/>
              </w:rPr>
              <w:t xml:space="preserve"> Alte cheltuieli administrative</w:t>
            </w:r>
          </w:p>
        </w:tc>
        <w:tc>
          <w:tcPr>
            <w:tcW w:w="892" w:type="dxa"/>
            <w:gridSpan w:val="2"/>
            <w:vAlign w:val="center"/>
          </w:tcPr>
          <w:p>
            <w:pPr>
              <w:spacing w:before="20" w:after="20"/>
              <w:jc w:val="center"/>
              <w:rPr>
                <w:noProof/>
                <w:sz w:val="20"/>
              </w:rPr>
            </w:pPr>
            <w:r>
              <w:rPr>
                <w:noProof/>
                <w:sz w:val="20"/>
              </w:rPr>
              <w:t>0,199</w:t>
            </w:r>
          </w:p>
        </w:tc>
        <w:tc>
          <w:tcPr>
            <w:tcW w:w="868" w:type="dxa"/>
            <w:vAlign w:val="center"/>
          </w:tcPr>
          <w:p>
            <w:pPr>
              <w:spacing w:before="20" w:after="20"/>
              <w:jc w:val="center"/>
              <w:rPr>
                <w:noProof/>
                <w:sz w:val="20"/>
              </w:rPr>
            </w:pPr>
            <w:r>
              <w:rPr>
                <w:noProof/>
                <w:sz w:val="20"/>
              </w:rPr>
              <w:t>0,249</w:t>
            </w:r>
          </w:p>
        </w:tc>
        <w:tc>
          <w:tcPr>
            <w:tcW w:w="868" w:type="dxa"/>
            <w:vAlign w:val="center"/>
          </w:tcPr>
          <w:p>
            <w:pPr>
              <w:spacing w:before="20" w:after="20"/>
              <w:jc w:val="center"/>
              <w:rPr>
                <w:bCs/>
                <w:noProof/>
                <w:sz w:val="20"/>
                <w:szCs w:val="20"/>
              </w:rPr>
            </w:pPr>
            <w:r>
              <w:rPr>
                <w:noProof/>
                <w:sz w:val="20"/>
              </w:rPr>
              <w:t>0,249</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1165" w:type="dxa"/>
            <w:vAlign w:val="center"/>
          </w:tcPr>
          <w:p>
            <w:pPr>
              <w:spacing w:before="20" w:after="20"/>
              <w:jc w:val="center"/>
              <w:rPr>
                <w:noProof/>
                <w:sz w:val="20"/>
              </w:rPr>
            </w:pPr>
          </w:p>
        </w:tc>
        <w:tc>
          <w:tcPr>
            <w:tcW w:w="1777" w:type="dxa"/>
            <w:vAlign w:val="center"/>
          </w:tcPr>
          <w:p>
            <w:pPr>
              <w:spacing w:before="20" w:after="20"/>
              <w:jc w:val="right"/>
              <w:rPr>
                <w:b/>
                <w:noProof/>
                <w:sz w:val="20"/>
              </w:rPr>
            </w:pPr>
            <w:r>
              <w:rPr>
                <w:b/>
                <w:noProof/>
                <w:sz w:val="20"/>
              </w:rPr>
              <w:t>0,697</w:t>
            </w:r>
          </w:p>
        </w:tc>
      </w:tr>
      <w:tr>
        <w:tc>
          <w:tcPr>
            <w:tcW w:w="3960" w:type="dxa"/>
            <w:vAlign w:val="center"/>
          </w:tcPr>
          <w:p>
            <w:pPr>
              <w:jc w:val="center"/>
              <w:rPr>
                <w:b/>
                <w:noProof/>
                <w:sz w:val="22"/>
              </w:rPr>
            </w:pPr>
            <w:r>
              <w:rPr>
                <w:b/>
                <w:noProof/>
                <w:sz w:val="22"/>
              </w:rPr>
              <w:t>TOTAL DG</w:t>
            </w:r>
            <w:r>
              <w:rPr>
                <w:noProof/>
                <w:sz w:val="22"/>
              </w:rPr>
              <w:t xml:space="preserve"> GROW</w:t>
            </w:r>
          </w:p>
        </w:tc>
        <w:tc>
          <w:tcPr>
            <w:tcW w:w="2070" w:type="dxa"/>
            <w:gridSpan w:val="2"/>
            <w:vAlign w:val="center"/>
          </w:tcPr>
          <w:p>
            <w:pPr>
              <w:rPr>
                <w:noProof/>
                <w:sz w:val="14"/>
              </w:rPr>
            </w:pPr>
            <w:r>
              <w:rPr>
                <w:noProof/>
                <w:sz w:val="18"/>
              </w:rPr>
              <w:t xml:space="preserve">Credite </w:t>
            </w:r>
          </w:p>
        </w:tc>
        <w:tc>
          <w:tcPr>
            <w:tcW w:w="892" w:type="dxa"/>
            <w:gridSpan w:val="2"/>
            <w:vAlign w:val="center"/>
          </w:tcPr>
          <w:p>
            <w:pPr>
              <w:spacing w:before="20" w:after="20"/>
              <w:jc w:val="center"/>
              <w:rPr>
                <w:bCs/>
                <w:noProof/>
                <w:sz w:val="20"/>
                <w:szCs w:val="20"/>
              </w:rPr>
            </w:pPr>
            <w:r>
              <w:rPr>
                <w:noProof/>
                <w:sz w:val="20"/>
              </w:rPr>
              <w:t>1,165</w:t>
            </w:r>
          </w:p>
        </w:tc>
        <w:tc>
          <w:tcPr>
            <w:tcW w:w="868" w:type="dxa"/>
            <w:vAlign w:val="center"/>
          </w:tcPr>
          <w:p>
            <w:pPr>
              <w:spacing w:before="20" w:after="20"/>
              <w:jc w:val="center"/>
              <w:rPr>
                <w:bCs/>
                <w:noProof/>
                <w:sz w:val="20"/>
                <w:szCs w:val="20"/>
              </w:rPr>
            </w:pPr>
            <w:r>
              <w:rPr>
                <w:noProof/>
                <w:sz w:val="20"/>
              </w:rPr>
              <w:t>1,234</w:t>
            </w:r>
          </w:p>
        </w:tc>
        <w:tc>
          <w:tcPr>
            <w:tcW w:w="868" w:type="dxa"/>
            <w:vAlign w:val="center"/>
          </w:tcPr>
          <w:p>
            <w:pPr>
              <w:spacing w:before="20" w:after="20"/>
              <w:jc w:val="center"/>
              <w:rPr>
                <w:bCs/>
                <w:noProof/>
                <w:sz w:val="20"/>
                <w:szCs w:val="20"/>
              </w:rPr>
            </w:pPr>
            <w:r>
              <w:rPr>
                <w:noProof/>
                <w:sz w:val="20"/>
              </w:rPr>
              <w:t>1,254</w:t>
            </w:r>
          </w:p>
        </w:tc>
        <w:tc>
          <w:tcPr>
            <w:tcW w:w="868" w:type="dxa"/>
            <w:vAlign w:val="center"/>
          </w:tcPr>
          <w:p>
            <w:pPr>
              <w:spacing w:before="20" w:after="20"/>
              <w:jc w:val="center"/>
              <w:rPr>
                <w:bCs/>
                <w:noProof/>
                <w:sz w:val="20"/>
                <w:szCs w:val="20"/>
              </w:rPr>
            </w:pPr>
          </w:p>
        </w:tc>
        <w:tc>
          <w:tcPr>
            <w:tcW w:w="868" w:type="dxa"/>
            <w:vAlign w:val="center"/>
          </w:tcPr>
          <w:p>
            <w:pPr>
              <w:spacing w:before="20" w:after="20"/>
              <w:jc w:val="center"/>
              <w:rPr>
                <w:bCs/>
                <w:noProof/>
                <w:sz w:val="20"/>
                <w:szCs w:val="20"/>
              </w:rPr>
            </w:pPr>
          </w:p>
        </w:tc>
        <w:tc>
          <w:tcPr>
            <w:tcW w:w="1165" w:type="dxa"/>
            <w:vAlign w:val="center"/>
          </w:tcPr>
          <w:p>
            <w:pPr>
              <w:spacing w:before="20" w:after="20"/>
              <w:jc w:val="center"/>
              <w:rPr>
                <w:noProof/>
                <w:sz w:val="20"/>
              </w:rPr>
            </w:pPr>
          </w:p>
        </w:tc>
        <w:tc>
          <w:tcPr>
            <w:tcW w:w="1777" w:type="dxa"/>
            <w:vAlign w:val="center"/>
          </w:tcPr>
          <w:p>
            <w:pPr>
              <w:spacing w:before="20" w:after="20"/>
              <w:jc w:val="right"/>
              <w:rPr>
                <w:b/>
                <w:noProof/>
                <w:sz w:val="20"/>
              </w:rPr>
            </w:pPr>
            <w:r>
              <w:rPr>
                <w:b/>
                <w:noProof/>
                <w:sz w:val="20"/>
              </w:rPr>
              <w:t>3,653</w:t>
            </w:r>
          </w:p>
        </w:tc>
      </w:tr>
    </w:tbl>
    <w:p>
      <w:pPr>
        <w:rPr>
          <w:i/>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1165"/>
        <w:gridCol w:w="1777"/>
      </w:tblGrid>
      <w:tr>
        <w:tc>
          <w:tcPr>
            <w:tcW w:w="3960" w:type="dxa"/>
            <w:shd w:val="thinDiagStripe" w:color="C0C0C0" w:fill="auto"/>
            <w:vAlign w:val="center"/>
          </w:tcPr>
          <w:p>
            <w:pPr>
              <w:jc w:val="center"/>
              <w:rPr>
                <w:b/>
                <w:noProof/>
              </w:rPr>
            </w:pPr>
            <w:r>
              <w:rPr>
                <w:b/>
                <w:noProof/>
                <w:sz w:val="22"/>
              </w:rPr>
              <w:t xml:space="preserve">TOTAL credite </w:t>
            </w:r>
            <w:r>
              <w:rPr>
                <w:noProof/>
                <w:sz w:val="22"/>
              </w:rPr>
              <w:br/>
            </w:r>
            <w:r>
              <w:rPr>
                <w:b/>
                <w:noProof/>
                <w:sz w:val="22"/>
              </w:rPr>
              <w:t>în cadrul RUBRICII 5</w:t>
            </w:r>
            <w:r>
              <w:rPr>
                <w:noProof/>
                <w:sz w:val="22"/>
              </w:rPr>
              <w:br/>
              <w:t>din cadrul financiar multianual</w:t>
            </w:r>
            <w:r>
              <w:rPr>
                <w:b/>
                <w:noProof/>
                <w:sz w:val="22"/>
              </w:rPr>
              <w:t xml:space="preserve"> </w:t>
            </w:r>
          </w:p>
        </w:tc>
        <w:tc>
          <w:tcPr>
            <w:tcW w:w="2094" w:type="dxa"/>
            <w:vAlign w:val="center"/>
          </w:tcPr>
          <w:p>
            <w:pPr>
              <w:spacing w:before="40" w:after="40"/>
              <w:rPr>
                <w:noProof/>
              </w:rPr>
            </w:pPr>
            <w:r>
              <w:rPr>
                <w:noProof/>
                <w:sz w:val="18"/>
              </w:rPr>
              <w:t>(Total angajamente = Total plăți)</w:t>
            </w:r>
          </w:p>
        </w:tc>
        <w:tc>
          <w:tcPr>
            <w:tcW w:w="868" w:type="dxa"/>
            <w:vAlign w:val="center"/>
          </w:tcPr>
          <w:p>
            <w:pPr>
              <w:spacing w:before="20" w:after="20"/>
              <w:jc w:val="center"/>
              <w:rPr>
                <w:rFonts w:ascii="Arial Narrow" w:hAnsi="Arial Narrow" w:cs="Arial"/>
                <w:bCs/>
                <w:noProof/>
                <w:sz w:val="20"/>
                <w:szCs w:val="20"/>
              </w:rPr>
            </w:pPr>
            <w:r>
              <w:rPr>
                <w:noProof/>
                <w:sz w:val="20"/>
              </w:rPr>
              <w:t>1,165</w:t>
            </w:r>
          </w:p>
        </w:tc>
        <w:tc>
          <w:tcPr>
            <w:tcW w:w="868" w:type="dxa"/>
            <w:vAlign w:val="center"/>
          </w:tcPr>
          <w:p>
            <w:pPr>
              <w:spacing w:before="20" w:after="20"/>
              <w:jc w:val="center"/>
              <w:rPr>
                <w:rFonts w:ascii="Arial Narrow" w:hAnsi="Arial Narrow" w:cs="Arial"/>
                <w:bCs/>
                <w:noProof/>
                <w:sz w:val="20"/>
                <w:szCs w:val="20"/>
              </w:rPr>
            </w:pPr>
            <w:r>
              <w:rPr>
                <w:noProof/>
                <w:sz w:val="20"/>
              </w:rPr>
              <w:t>1,234</w:t>
            </w:r>
          </w:p>
        </w:tc>
        <w:tc>
          <w:tcPr>
            <w:tcW w:w="868" w:type="dxa"/>
            <w:vAlign w:val="center"/>
          </w:tcPr>
          <w:p>
            <w:pPr>
              <w:spacing w:before="20" w:after="20"/>
              <w:jc w:val="center"/>
              <w:rPr>
                <w:rFonts w:ascii="Arial Narrow" w:hAnsi="Arial Narrow" w:cs="Arial"/>
                <w:bCs/>
                <w:noProof/>
                <w:sz w:val="20"/>
                <w:szCs w:val="20"/>
              </w:rPr>
            </w:pPr>
            <w:r>
              <w:rPr>
                <w:noProof/>
                <w:sz w:val="20"/>
              </w:rPr>
              <w:t>1,254</w:t>
            </w:r>
          </w:p>
        </w:tc>
        <w:tc>
          <w:tcPr>
            <w:tcW w:w="868" w:type="dxa"/>
            <w:vAlign w:val="center"/>
          </w:tcPr>
          <w:p>
            <w:pPr>
              <w:spacing w:before="20" w:after="20"/>
              <w:jc w:val="center"/>
              <w:rPr>
                <w:rFonts w:ascii="Arial Narrow" w:hAnsi="Arial Narrow" w:cs="Arial"/>
                <w:bCs/>
                <w:noProof/>
                <w:sz w:val="20"/>
                <w:szCs w:val="20"/>
              </w:rPr>
            </w:pPr>
          </w:p>
        </w:tc>
        <w:tc>
          <w:tcPr>
            <w:tcW w:w="868" w:type="dxa"/>
            <w:vAlign w:val="center"/>
          </w:tcPr>
          <w:p>
            <w:pPr>
              <w:spacing w:before="20" w:after="20"/>
              <w:jc w:val="center"/>
              <w:rPr>
                <w:rFonts w:ascii="Arial Narrow" w:hAnsi="Arial Narrow" w:cs="Arial"/>
                <w:bCs/>
                <w:noProof/>
                <w:sz w:val="20"/>
                <w:szCs w:val="20"/>
              </w:rPr>
            </w:pPr>
          </w:p>
        </w:tc>
        <w:tc>
          <w:tcPr>
            <w:tcW w:w="1165" w:type="dxa"/>
            <w:vAlign w:val="center"/>
          </w:tcPr>
          <w:p>
            <w:pPr>
              <w:spacing w:before="20" w:after="20"/>
              <w:jc w:val="center"/>
              <w:rPr>
                <w:noProof/>
                <w:sz w:val="20"/>
              </w:rPr>
            </w:pPr>
          </w:p>
        </w:tc>
        <w:tc>
          <w:tcPr>
            <w:tcW w:w="1777" w:type="dxa"/>
            <w:vAlign w:val="center"/>
          </w:tcPr>
          <w:p>
            <w:pPr>
              <w:spacing w:before="20" w:after="20"/>
              <w:jc w:val="right"/>
              <w:rPr>
                <w:b/>
                <w:noProof/>
                <w:sz w:val="20"/>
              </w:rPr>
            </w:pPr>
            <w:r>
              <w:rPr>
                <w:b/>
                <w:noProof/>
                <w:sz w:val="20"/>
              </w:rPr>
              <w:t>3,653</w:t>
            </w:r>
          </w:p>
        </w:tc>
      </w:tr>
    </w:tbl>
    <w:p>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951"/>
        <w:gridCol w:w="992"/>
        <w:gridCol w:w="868"/>
        <w:gridCol w:w="868"/>
        <w:gridCol w:w="1165"/>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2018</w:t>
            </w:r>
          </w:p>
        </w:tc>
        <w:tc>
          <w:tcPr>
            <w:tcW w:w="951" w:type="dxa"/>
            <w:vAlign w:val="center"/>
          </w:tcPr>
          <w:p>
            <w:pPr>
              <w:jc w:val="center"/>
              <w:rPr>
                <w:noProof/>
                <w:sz w:val="20"/>
              </w:rPr>
            </w:pPr>
            <w:r>
              <w:rPr>
                <w:noProof/>
                <w:sz w:val="20"/>
              </w:rPr>
              <w:t>2019</w:t>
            </w:r>
          </w:p>
        </w:tc>
        <w:tc>
          <w:tcPr>
            <w:tcW w:w="992" w:type="dxa"/>
            <w:vAlign w:val="center"/>
          </w:tcPr>
          <w:p>
            <w:pPr>
              <w:jc w:val="center"/>
              <w:rPr>
                <w:noProof/>
                <w:sz w:val="20"/>
              </w:rPr>
            </w:pPr>
            <w:r>
              <w:rPr>
                <w:noProof/>
                <w:sz w:val="20"/>
              </w:rPr>
              <w:t>2020</w:t>
            </w:r>
          </w:p>
        </w:tc>
        <w:tc>
          <w:tcPr>
            <w:tcW w:w="868" w:type="dxa"/>
            <w:vAlign w:val="center"/>
          </w:tcPr>
          <w:p>
            <w:pPr>
              <w:jc w:val="center"/>
              <w:rPr>
                <w:noProof/>
                <w:sz w:val="20"/>
              </w:rPr>
            </w:pPr>
            <w:r>
              <w:rPr>
                <w:noProof/>
                <w:sz w:val="20"/>
              </w:rPr>
              <w:t>2021</w:t>
            </w:r>
          </w:p>
        </w:tc>
        <w:tc>
          <w:tcPr>
            <w:tcW w:w="868" w:type="dxa"/>
            <w:vAlign w:val="center"/>
          </w:tcPr>
          <w:p>
            <w:pPr>
              <w:jc w:val="center"/>
              <w:rPr>
                <w:noProof/>
                <w:sz w:val="20"/>
              </w:rPr>
            </w:pPr>
            <w:r>
              <w:rPr>
                <w:noProof/>
                <w:sz w:val="20"/>
              </w:rPr>
              <w:t>2022</w:t>
            </w:r>
          </w:p>
        </w:tc>
        <w:tc>
          <w:tcPr>
            <w:tcW w:w="1165" w:type="dxa"/>
            <w:vAlign w:val="center"/>
          </w:tcPr>
          <w:p>
            <w:pPr>
              <w:jc w:val="center"/>
              <w:rPr>
                <w:b/>
                <w:noProof/>
                <w:sz w:val="20"/>
              </w:rPr>
            </w:pPr>
            <w:r>
              <w:rPr>
                <w:noProof/>
                <w:sz w:val="20"/>
              </w:rPr>
              <w:t>2023</w:t>
            </w:r>
          </w:p>
        </w:tc>
        <w:tc>
          <w:tcPr>
            <w:tcW w:w="1777"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rPr>
            </w:pPr>
            <w:r>
              <w:rPr>
                <w:b/>
                <w:noProof/>
                <w:sz w:val="22"/>
              </w:rPr>
              <w:t xml:space="preserve">TOTAL credite </w:t>
            </w:r>
            <w:r>
              <w:rPr>
                <w:noProof/>
                <w:sz w:val="22"/>
              </w:rPr>
              <w:br/>
            </w:r>
            <w:r>
              <w:rPr>
                <w:b/>
                <w:noProof/>
                <w:sz w:val="22"/>
              </w:rPr>
              <w:t>în cadrul RUBRICILOR 1-5</w:t>
            </w:r>
            <w:r>
              <w:rPr>
                <w:noProof/>
                <w:sz w:val="22"/>
              </w:rPr>
              <w:br/>
              <w:t>din cadrul financiar multianual</w:t>
            </w:r>
            <w:r>
              <w:rPr>
                <w:b/>
                <w:noProof/>
                <w:sz w:val="22"/>
              </w:rPr>
              <w:t xml:space="preserve"> </w:t>
            </w:r>
          </w:p>
        </w:tc>
        <w:tc>
          <w:tcPr>
            <w:tcW w:w="2094" w:type="dxa"/>
            <w:gridSpan w:val="2"/>
            <w:vAlign w:val="center"/>
          </w:tcPr>
          <w:p>
            <w:pPr>
              <w:rPr>
                <w:noProof/>
                <w:sz w:val="14"/>
              </w:rPr>
            </w:pPr>
            <w:r>
              <w:rPr>
                <w:noProof/>
                <w:sz w:val="18"/>
              </w:rPr>
              <w:t>Angajamente</w:t>
            </w:r>
          </w:p>
        </w:tc>
        <w:tc>
          <w:tcPr>
            <w:tcW w:w="868" w:type="dxa"/>
            <w:vAlign w:val="center"/>
          </w:tcPr>
          <w:p>
            <w:pPr>
              <w:spacing w:before="20" w:after="20"/>
              <w:jc w:val="center"/>
              <w:rPr>
                <w:bCs/>
                <w:noProof/>
                <w:sz w:val="20"/>
                <w:szCs w:val="20"/>
              </w:rPr>
            </w:pPr>
            <w:r>
              <w:rPr>
                <w:noProof/>
                <w:sz w:val="20"/>
              </w:rPr>
              <w:t>1,165</w:t>
            </w:r>
          </w:p>
        </w:tc>
        <w:tc>
          <w:tcPr>
            <w:tcW w:w="951" w:type="dxa"/>
            <w:vAlign w:val="center"/>
          </w:tcPr>
          <w:p>
            <w:pPr>
              <w:spacing w:before="20" w:after="20"/>
              <w:jc w:val="center"/>
              <w:rPr>
                <w:bCs/>
                <w:noProof/>
                <w:sz w:val="20"/>
                <w:szCs w:val="20"/>
              </w:rPr>
            </w:pPr>
            <w:r>
              <w:rPr>
                <w:noProof/>
                <w:sz w:val="20"/>
              </w:rPr>
              <w:t>246,234</w:t>
            </w:r>
          </w:p>
        </w:tc>
        <w:tc>
          <w:tcPr>
            <w:tcW w:w="992" w:type="dxa"/>
            <w:vAlign w:val="center"/>
          </w:tcPr>
          <w:p>
            <w:pPr>
              <w:spacing w:before="20" w:after="20"/>
              <w:jc w:val="center"/>
              <w:rPr>
                <w:bCs/>
                <w:noProof/>
                <w:sz w:val="20"/>
                <w:szCs w:val="20"/>
              </w:rPr>
            </w:pPr>
            <w:r>
              <w:rPr>
                <w:noProof/>
                <w:sz w:val="20"/>
              </w:rPr>
              <w:t>256,254</w:t>
            </w:r>
          </w:p>
        </w:tc>
        <w:tc>
          <w:tcPr>
            <w:tcW w:w="868" w:type="dxa"/>
            <w:vAlign w:val="center"/>
          </w:tcPr>
          <w:p>
            <w:pPr>
              <w:spacing w:before="20" w:after="20"/>
              <w:jc w:val="center"/>
              <w:rPr>
                <w:bCs/>
                <w:noProof/>
                <w:sz w:val="20"/>
                <w:szCs w:val="20"/>
              </w:rPr>
            </w:pPr>
          </w:p>
        </w:tc>
        <w:tc>
          <w:tcPr>
            <w:tcW w:w="868" w:type="dxa"/>
            <w:vAlign w:val="center"/>
          </w:tcPr>
          <w:p>
            <w:pPr>
              <w:spacing w:before="20" w:after="20"/>
              <w:jc w:val="center"/>
              <w:rPr>
                <w:bCs/>
                <w:noProof/>
                <w:sz w:val="20"/>
                <w:szCs w:val="20"/>
              </w:rPr>
            </w:pPr>
          </w:p>
        </w:tc>
        <w:tc>
          <w:tcPr>
            <w:tcW w:w="1165" w:type="dxa"/>
            <w:vAlign w:val="center"/>
          </w:tcPr>
          <w:p>
            <w:pPr>
              <w:spacing w:before="20" w:after="20"/>
              <w:jc w:val="center"/>
              <w:rPr>
                <w:bCs/>
                <w:noProof/>
                <w:sz w:val="20"/>
                <w:szCs w:val="20"/>
              </w:rPr>
            </w:pPr>
          </w:p>
        </w:tc>
        <w:tc>
          <w:tcPr>
            <w:tcW w:w="1777" w:type="dxa"/>
            <w:vAlign w:val="center"/>
          </w:tcPr>
          <w:p>
            <w:pPr>
              <w:spacing w:before="60" w:after="60"/>
              <w:jc w:val="right"/>
              <w:rPr>
                <w:b/>
                <w:noProof/>
                <w:sz w:val="20"/>
              </w:rPr>
            </w:pPr>
            <w:r>
              <w:rPr>
                <w:b/>
                <w:noProof/>
                <w:sz w:val="20"/>
              </w:rPr>
              <w:t>503,653</w:t>
            </w: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Plăți</w:t>
            </w:r>
          </w:p>
        </w:tc>
        <w:tc>
          <w:tcPr>
            <w:tcW w:w="868" w:type="dxa"/>
            <w:vAlign w:val="center"/>
          </w:tcPr>
          <w:p>
            <w:pPr>
              <w:spacing w:before="20" w:after="20"/>
              <w:jc w:val="center"/>
              <w:rPr>
                <w:bCs/>
                <w:noProof/>
                <w:sz w:val="20"/>
                <w:szCs w:val="20"/>
              </w:rPr>
            </w:pPr>
            <w:r>
              <w:rPr>
                <w:noProof/>
                <w:sz w:val="20"/>
              </w:rPr>
              <w:t>1,165</w:t>
            </w:r>
          </w:p>
        </w:tc>
        <w:tc>
          <w:tcPr>
            <w:tcW w:w="951" w:type="dxa"/>
            <w:vAlign w:val="center"/>
          </w:tcPr>
          <w:p>
            <w:pPr>
              <w:spacing w:before="20" w:after="20"/>
              <w:jc w:val="center"/>
              <w:rPr>
                <w:bCs/>
                <w:noProof/>
                <w:sz w:val="20"/>
                <w:szCs w:val="20"/>
              </w:rPr>
            </w:pPr>
            <w:r>
              <w:rPr>
                <w:noProof/>
                <w:sz w:val="20"/>
              </w:rPr>
              <w:t>148,234</w:t>
            </w:r>
          </w:p>
        </w:tc>
        <w:tc>
          <w:tcPr>
            <w:tcW w:w="992" w:type="dxa"/>
            <w:vAlign w:val="center"/>
          </w:tcPr>
          <w:p>
            <w:pPr>
              <w:spacing w:before="20" w:after="20"/>
              <w:jc w:val="center"/>
              <w:rPr>
                <w:bCs/>
                <w:noProof/>
                <w:sz w:val="20"/>
                <w:szCs w:val="20"/>
              </w:rPr>
            </w:pPr>
            <w:r>
              <w:rPr>
                <w:noProof/>
                <w:sz w:val="20"/>
              </w:rPr>
              <w:t>203,254</w:t>
            </w:r>
          </w:p>
        </w:tc>
        <w:tc>
          <w:tcPr>
            <w:tcW w:w="868" w:type="dxa"/>
            <w:vAlign w:val="center"/>
          </w:tcPr>
          <w:p>
            <w:pPr>
              <w:spacing w:before="20" w:after="20"/>
              <w:jc w:val="center"/>
              <w:rPr>
                <w:bCs/>
                <w:noProof/>
                <w:sz w:val="20"/>
                <w:szCs w:val="20"/>
              </w:rPr>
            </w:pPr>
            <w:r>
              <w:rPr>
                <w:noProof/>
                <w:sz w:val="20"/>
              </w:rPr>
              <w:t>100</w:t>
            </w:r>
          </w:p>
        </w:tc>
        <w:tc>
          <w:tcPr>
            <w:tcW w:w="868" w:type="dxa"/>
            <w:vAlign w:val="center"/>
          </w:tcPr>
          <w:p>
            <w:pPr>
              <w:spacing w:before="20" w:after="20"/>
              <w:jc w:val="center"/>
              <w:rPr>
                <w:bCs/>
                <w:noProof/>
                <w:sz w:val="20"/>
                <w:szCs w:val="20"/>
              </w:rPr>
            </w:pPr>
            <w:r>
              <w:rPr>
                <w:noProof/>
                <w:sz w:val="20"/>
              </w:rPr>
              <w:t>51</w:t>
            </w:r>
          </w:p>
        </w:tc>
        <w:tc>
          <w:tcPr>
            <w:tcW w:w="1165" w:type="dxa"/>
            <w:vAlign w:val="center"/>
          </w:tcPr>
          <w:p>
            <w:pPr>
              <w:spacing w:before="20" w:after="20"/>
              <w:jc w:val="center"/>
              <w:rPr>
                <w:bCs/>
                <w:noProof/>
                <w:sz w:val="20"/>
                <w:szCs w:val="20"/>
              </w:rPr>
            </w:pPr>
          </w:p>
        </w:tc>
        <w:tc>
          <w:tcPr>
            <w:tcW w:w="1777" w:type="dxa"/>
            <w:vAlign w:val="center"/>
          </w:tcPr>
          <w:p>
            <w:pPr>
              <w:spacing w:before="60" w:after="60"/>
              <w:jc w:val="right"/>
              <w:rPr>
                <w:b/>
                <w:noProof/>
                <w:sz w:val="20"/>
              </w:rPr>
            </w:pPr>
            <w:r>
              <w:rPr>
                <w:b/>
                <w:noProof/>
                <w:sz w:val="20"/>
              </w:rPr>
              <w:t>503,653</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noProof/>
          <w:szCs w:val="24"/>
        </w:rPr>
      </w:pPr>
      <w:r>
        <w:t>3.2.2.</w:t>
      </w:r>
      <w:r>
        <w:tab/>
      </w:r>
      <w:r>
        <w:rPr>
          <w:noProof/>
        </w:rPr>
        <w:t xml:space="preserve">Impactul estimat asupra creditelor operaționale </w:t>
      </w:r>
    </w:p>
    <w:p>
      <w:pPr>
        <w:pStyle w:val="ListDash1"/>
        <w:rPr>
          <w:noProof/>
        </w:rPr>
      </w:pPr>
      <w:r>
        <w:rPr>
          <w:noProof/>
        </w:rPr>
        <w:sym w:font="Wingdings" w:char="F0A8"/>
      </w:r>
      <w:r>
        <w:rPr>
          <w:noProof/>
        </w:rPr>
        <w:t xml:space="preserve"> Propunerea/inițiativa nu implică utilizarea de credite operaționale </w:t>
      </w:r>
    </w:p>
    <w:p>
      <w:pPr>
        <w:pStyle w:val="ListDash1"/>
        <w:rPr>
          <w:noProof/>
        </w:rPr>
      </w:pPr>
      <w:r>
        <w:rPr>
          <w:noProof/>
        </w:rPr>
        <w:sym w:font="Wingdings" w:char="F0FE"/>
      </w:r>
      <w:r>
        <w:rPr>
          <w:noProof/>
        </w:rPr>
        <w:t xml:space="preserve"> Propunerea/inițiativa implică utilizarea de credite operaționale, conform explicațiilor de mai jos:</w:t>
      </w:r>
    </w:p>
    <w:p>
      <w:pPr>
        <w:jc w:val="right"/>
        <w:rPr>
          <w:noProof/>
          <w:sz w:val="20"/>
        </w:rPr>
      </w:pPr>
      <w:r>
        <w:rPr>
          <w:noProof/>
          <w:sz w:val="20"/>
        </w:rPr>
        <w:t>Credite de angajament în milioane EUR (cu trei zecimale)</w:t>
      </w:r>
    </w:p>
    <w:tbl>
      <w:tblPr>
        <w:tblW w:w="6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932"/>
      </w:tblGrid>
      <w:tr>
        <w:trPr>
          <w:jc w:val="center"/>
        </w:trPr>
        <w:tc>
          <w:tcPr>
            <w:tcW w:w="1423" w:type="dxa"/>
            <w:vMerge w:val="restart"/>
            <w:vAlign w:val="center"/>
          </w:tcPr>
          <w:p>
            <w:pPr>
              <w:ind w:right="-29"/>
              <w:jc w:val="center"/>
              <w:rPr>
                <w:b/>
                <w:noProof/>
                <w:sz w:val="18"/>
                <w:szCs w:val="18"/>
              </w:rPr>
            </w:pPr>
            <w:r>
              <w:rPr>
                <w:b/>
                <w:noProof/>
                <w:sz w:val="18"/>
              </w:rPr>
              <w:t xml:space="preserve">A se indica obiectivele și realizările </w:t>
            </w:r>
          </w:p>
          <w:p>
            <w:pPr>
              <w:ind w:right="-29"/>
              <w:jc w:val="center"/>
              <w:rPr>
                <w:b/>
                <w:noProof/>
                <w:sz w:val="18"/>
                <w:szCs w:val="18"/>
              </w:rPr>
            </w:pPr>
          </w:p>
          <w:p>
            <w:pPr>
              <w:ind w:right="-29"/>
              <w:jc w:val="center"/>
              <w:rPr>
                <w:noProof/>
                <w:sz w:val="18"/>
                <w:szCs w:val="18"/>
              </w:rPr>
            </w:pPr>
            <w:r>
              <w:rPr>
                <w:noProof/>
                <w:sz w:val="18"/>
              </w:rPr>
              <w:sym w:font="Wingdings" w:char="F0F2"/>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2019</w:t>
            </w:r>
          </w:p>
        </w:tc>
        <w:tc>
          <w:tcPr>
            <w:tcW w:w="1260" w:type="dxa"/>
            <w:gridSpan w:val="2"/>
            <w:vAlign w:val="center"/>
          </w:tcPr>
          <w:p>
            <w:pPr>
              <w:ind w:right="-29"/>
              <w:jc w:val="center"/>
              <w:rPr>
                <w:noProof/>
                <w:sz w:val="18"/>
                <w:szCs w:val="18"/>
              </w:rPr>
            </w:pPr>
            <w:r>
              <w:rPr>
                <w:noProof/>
                <w:sz w:val="18"/>
              </w:rPr>
              <w:t>2020</w:t>
            </w:r>
          </w:p>
        </w:tc>
        <w:tc>
          <w:tcPr>
            <w:tcW w:w="1652"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5557" w:type="dxa"/>
            <w:gridSpan w:val="8"/>
            <w:vAlign w:val="center"/>
          </w:tcPr>
          <w:p>
            <w:pPr>
              <w:spacing w:before="60" w:after="60"/>
              <w:ind w:right="-29"/>
              <w:jc w:val="center"/>
              <w:rPr>
                <w:noProof/>
                <w:sz w:val="18"/>
                <w:szCs w:val="18"/>
              </w:rPr>
            </w:pPr>
            <w:r>
              <w:rPr>
                <w:b/>
                <w:noProof/>
                <w:sz w:val="18"/>
              </w:rPr>
              <w:t>REALIZĂRI</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Tip</w:t>
            </w:r>
            <w:r>
              <w:rPr>
                <w:rStyle w:val="FootnoteReference"/>
                <w:noProof/>
              </w:rPr>
              <w:footnoteReference w:id="17"/>
            </w:r>
          </w:p>
          <w:p>
            <w:pPr>
              <w:spacing w:before="0" w:after="0"/>
              <w:jc w:val="center"/>
              <w:rPr>
                <w:noProof/>
                <w:sz w:val="18"/>
                <w:szCs w:val="18"/>
              </w:rPr>
            </w:pPr>
          </w:p>
        </w:tc>
        <w:tc>
          <w:tcPr>
            <w:tcW w:w="701" w:type="dxa"/>
            <w:vAlign w:val="center"/>
          </w:tcPr>
          <w:p>
            <w:pPr>
              <w:jc w:val="center"/>
              <w:rPr>
                <w:noProof/>
                <w:sz w:val="18"/>
                <w:szCs w:val="18"/>
              </w:rPr>
            </w:pPr>
            <w:r>
              <w:rPr>
                <w:noProof/>
                <w:sz w:val="18"/>
              </w:rPr>
              <w:t>Cost mediu</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Costuri</w:t>
            </w:r>
          </w:p>
        </w:tc>
        <w:tc>
          <w:tcPr>
            <w:tcW w:w="720" w:type="dxa"/>
            <w:tcBorders>
              <w:right w:val="dashSmallGap" w:sz="4" w:space="0" w:color="auto"/>
            </w:tcBorders>
            <w:shd w:val="pct10" w:color="auto" w:fill="auto"/>
            <w:vAlign w:val="center"/>
          </w:tcPr>
          <w:p>
            <w:pPr>
              <w:jc w:val="center"/>
              <w:rPr>
                <w:b/>
                <w:noProof/>
                <w:sz w:val="18"/>
                <w:szCs w:val="18"/>
              </w:rPr>
            </w:pPr>
            <w:r>
              <w:rPr>
                <w:b/>
                <w:noProof/>
                <w:sz w:val="18"/>
              </w:rPr>
              <w:t>Nr. total</w:t>
            </w:r>
          </w:p>
        </w:tc>
        <w:tc>
          <w:tcPr>
            <w:tcW w:w="932" w:type="dxa"/>
            <w:tcBorders>
              <w:left w:val="dashSmallGap" w:sz="4" w:space="0" w:color="auto"/>
            </w:tcBorders>
            <w:shd w:val="pct10" w:color="auto" w:fill="auto"/>
            <w:vAlign w:val="center"/>
          </w:tcPr>
          <w:p>
            <w:pPr>
              <w:jc w:val="center"/>
              <w:rPr>
                <w:b/>
                <w:noProof/>
                <w:sz w:val="18"/>
                <w:szCs w:val="18"/>
              </w:rPr>
            </w:pPr>
            <w:r>
              <w:rPr>
                <w:b/>
                <w:noProof/>
                <w:sz w:val="18"/>
              </w:rPr>
              <w:t>Cost total</w:t>
            </w:r>
          </w:p>
        </w:tc>
      </w:tr>
      <w:tr>
        <w:trPr>
          <w:jc w:val="center"/>
        </w:trPr>
        <w:tc>
          <w:tcPr>
            <w:tcW w:w="6980" w:type="dxa"/>
            <w:gridSpan w:val="9"/>
            <w:vAlign w:val="center"/>
          </w:tcPr>
          <w:p>
            <w:pPr>
              <w:spacing w:before="60" w:after="60"/>
              <w:ind w:right="-29"/>
              <w:jc w:val="left"/>
              <w:rPr>
                <w:noProof/>
                <w:sz w:val="18"/>
              </w:rPr>
            </w:pPr>
            <w:r>
              <w:rPr>
                <w:noProof/>
                <w:sz w:val="18"/>
              </w:rPr>
              <w:t>OBIECTIVE SPECIFICE</w:t>
            </w:r>
            <w:r>
              <w:rPr>
                <w:rStyle w:val="FootnoteReference"/>
                <w:noProof/>
              </w:rPr>
              <w:footnoteReference w:id="18"/>
            </w:r>
            <w:r>
              <w:rPr>
                <w:noProof/>
                <w:sz w:val="18"/>
              </w:rPr>
              <w:t xml:space="preserve"> </w:t>
            </w:r>
          </w:p>
          <w:p>
            <w:pPr>
              <w:spacing w:before="60" w:after="60"/>
              <w:ind w:right="-29"/>
              <w:jc w:val="left"/>
              <w:rPr>
                <w:noProof/>
                <w:sz w:val="18"/>
              </w:rPr>
            </w:pPr>
            <w:r>
              <w:rPr>
                <w:noProof/>
                <w:sz w:val="18"/>
              </w:rPr>
              <w:t>1 - Favorizarea competitivității industriei de apărare</w:t>
            </w:r>
          </w:p>
          <w:p>
            <w:pPr>
              <w:spacing w:before="60" w:after="60"/>
              <w:ind w:right="-29"/>
              <w:jc w:val="left"/>
              <w:rPr>
                <w:noProof/>
                <w:sz w:val="18"/>
              </w:rPr>
            </w:pPr>
            <w:r>
              <w:rPr>
                <w:noProof/>
                <w:sz w:val="18"/>
              </w:rPr>
              <w:t>2 - Sprijinirea și stimularea cooperării dintre întreprinderi în ceea ce privește dezvoltarea de produse și de tehnologii în materie de apărare</w:t>
            </w:r>
          </w:p>
          <w:p>
            <w:pPr>
              <w:spacing w:before="60" w:after="60"/>
              <w:ind w:right="-29"/>
              <w:rPr>
                <w:noProof/>
                <w:sz w:val="18"/>
                <w:szCs w:val="18"/>
              </w:rPr>
            </w:pPr>
            <w:r>
              <w:rPr>
                <w:noProof/>
                <w:sz w:val="18"/>
              </w:rPr>
              <w:t>3 - Eliminarea decalajului dintre cercetare și inovare și promovarea tuturor formelor de inovare</w:t>
            </w:r>
          </w:p>
        </w:tc>
      </w:tr>
      <w:tr>
        <w:trPr>
          <w:trHeight w:hRule="exact" w:val="369"/>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2</w:t>
            </w:r>
          </w:p>
        </w:tc>
        <w:tc>
          <w:tcPr>
            <w:tcW w:w="720" w:type="dxa"/>
            <w:tcBorders>
              <w:left w:val="dashSmallGap" w:sz="4" w:space="0" w:color="auto"/>
            </w:tcBorders>
          </w:tcPr>
          <w:p>
            <w:pPr>
              <w:ind w:right="-29"/>
              <w:jc w:val="center"/>
              <w:rPr>
                <w:noProof/>
                <w:sz w:val="18"/>
                <w:szCs w:val="18"/>
              </w:rPr>
            </w:pPr>
            <w:r>
              <w:rPr>
                <w:noProof/>
                <w:sz w:val="18"/>
              </w:rPr>
              <w:t>244,7</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254,5</w:t>
            </w:r>
          </w:p>
        </w:tc>
        <w:tc>
          <w:tcPr>
            <w:tcW w:w="720" w:type="dxa"/>
          </w:tcPr>
          <w:p>
            <w:pPr>
              <w:ind w:right="-29"/>
              <w:jc w:val="center"/>
              <w:rPr>
                <w:b/>
                <w:noProof/>
                <w:sz w:val="18"/>
                <w:szCs w:val="18"/>
              </w:rPr>
            </w:pPr>
            <w:r>
              <w:rPr>
                <w:b/>
                <w:noProof/>
                <w:sz w:val="18"/>
              </w:rPr>
              <w:t>3</w:t>
            </w:r>
          </w:p>
        </w:tc>
        <w:tc>
          <w:tcPr>
            <w:tcW w:w="932" w:type="dxa"/>
          </w:tcPr>
          <w:p>
            <w:pPr>
              <w:ind w:right="-29"/>
              <w:jc w:val="center"/>
              <w:rPr>
                <w:b/>
                <w:noProof/>
                <w:sz w:val="18"/>
                <w:szCs w:val="18"/>
              </w:rPr>
            </w:pPr>
            <w:r>
              <w:rPr>
                <w:b/>
                <w:noProof/>
                <w:sz w:val="18"/>
              </w:rPr>
              <w:t>499,2</w:t>
            </w:r>
          </w:p>
        </w:tc>
      </w:tr>
      <w:tr>
        <w:trPr>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Subtotal pentru obiectivul specific nr. 1</w:t>
            </w:r>
          </w:p>
        </w:tc>
        <w:tc>
          <w:tcPr>
            <w:tcW w:w="504" w:type="dxa"/>
            <w:tcBorders>
              <w:bottom w:val="single" w:sz="12" w:space="0" w:color="auto"/>
            </w:tcBorders>
          </w:tcPr>
          <w:p>
            <w:pPr>
              <w:ind w:right="-29"/>
              <w:jc w:val="center"/>
              <w:rPr>
                <w:noProof/>
                <w:sz w:val="18"/>
                <w:szCs w:val="18"/>
              </w:rPr>
            </w:pPr>
            <w:r>
              <w:rPr>
                <w:noProof/>
                <w:sz w:val="18"/>
              </w:rPr>
              <w:t>2</w:t>
            </w:r>
          </w:p>
        </w:tc>
        <w:tc>
          <w:tcPr>
            <w:tcW w:w="720" w:type="dxa"/>
            <w:tcBorders>
              <w:bottom w:val="single" w:sz="12" w:space="0" w:color="auto"/>
            </w:tcBorders>
          </w:tcPr>
          <w:p>
            <w:pPr>
              <w:ind w:right="-29"/>
              <w:jc w:val="center"/>
              <w:rPr>
                <w:noProof/>
                <w:sz w:val="18"/>
                <w:szCs w:val="18"/>
              </w:rPr>
            </w:pPr>
            <w:r>
              <w:rPr>
                <w:noProof/>
                <w:sz w:val="18"/>
              </w:rPr>
              <w:t>244,7</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254,5</w:t>
            </w:r>
          </w:p>
        </w:tc>
        <w:tc>
          <w:tcPr>
            <w:tcW w:w="720" w:type="dxa"/>
            <w:tcBorders>
              <w:bottom w:val="single" w:sz="12" w:space="0" w:color="auto"/>
            </w:tcBorders>
          </w:tcPr>
          <w:p>
            <w:pPr>
              <w:ind w:right="-29"/>
              <w:jc w:val="center"/>
              <w:rPr>
                <w:b/>
                <w:noProof/>
                <w:sz w:val="18"/>
                <w:szCs w:val="18"/>
              </w:rPr>
            </w:pPr>
            <w:r>
              <w:rPr>
                <w:b/>
                <w:noProof/>
                <w:sz w:val="18"/>
              </w:rPr>
              <w:t>3</w:t>
            </w:r>
          </w:p>
        </w:tc>
        <w:tc>
          <w:tcPr>
            <w:tcW w:w="932" w:type="dxa"/>
            <w:tcBorders>
              <w:bottom w:val="single" w:sz="12" w:space="0" w:color="auto"/>
            </w:tcBorders>
          </w:tcPr>
          <w:p>
            <w:pPr>
              <w:ind w:right="-29"/>
              <w:jc w:val="center"/>
              <w:rPr>
                <w:b/>
                <w:noProof/>
                <w:sz w:val="18"/>
                <w:szCs w:val="18"/>
              </w:rPr>
            </w:pPr>
            <w:r>
              <w:rPr>
                <w:b/>
                <w:noProof/>
                <w:sz w:val="18"/>
              </w:rPr>
              <w:t>499,2</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COSTURI TOTALE</w:t>
            </w:r>
          </w:p>
        </w:tc>
        <w:tc>
          <w:tcPr>
            <w:tcW w:w="504" w:type="dxa"/>
            <w:tcBorders>
              <w:top w:val="single" w:sz="12" w:space="0" w:color="auto"/>
              <w:bottom w:val="single" w:sz="12" w:space="0" w:color="auto"/>
            </w:tcBorders>
          </w:tcPr>
          <w:p>
            <w:pPr>
              <w:spacing w:before="180" w:after="180"/>
              <w:ind w:right="-29"/>
              <w:jc w:val="center"/>
              <w:rPr>
                <w:b/>
                <w:noProof/>
                <w:sz w:val="18"/>
                <w:szCs w:val="18"/>
              </w:rPr>
            </w:pPr>
            <w:r>
              <w:rPr>
                <w:b/>
                <w:noProof/>
                <w:sz w:val="18"/>
              </w:rPr>
              <w:t>2</w:t>
            </w:r>
          </w:p>
        </w:tc>
        <w:tc>
          <w:tcPr>
            <w:tcW w:w="720" w:type="dxa"/>
            <w:tcBorders>
              <w:top w:val="single" w:sz="12" w:space="0" w:color="auto"/>
              <w:bottom w:val="single" w:sz="12" w:space="0" w:color="auto"/>
            </w:tcBorders>
          </w:tcPr>
          <w:p>
            <w:pPr>
              <w:spacing w:before="180" w:after="180"/>
              <w:ind w:right="-29"/>
              <w:jc w:val="center"/>
              <w:rPr>
                <w:b/>
                <w:noProof/>
                <w:sz w:val="18"/>
                <w:szCs w:val="18"/>
              </w:rPr>
            </w:pPr>
            <w:r>
              <w:rPr>
                <w:b/>
                <w:noProof/>
                <w:sz w:val="18"/>
              </w:rPr>
              <w:t>244,7</w:t>
            </w:r>
          </w:p>
        </w:tc>
        <w:tc>
          <w:tcPr>
            <w:tcW w:w="540" w:type="dxa"/>
            <w:tcBorders>
              <w:top w:val="single" w:sz="12" w:space="0" w:color="auto"/>
              <w:bottom w:val="single" w:sz="12" w:space="0" w:color="auto"/>
            </w:tcBorders>
          </w:tcPr>
          <w:p>
            <w:pPr>
              <w:spacing w:before="180" w:after="180"/>
              <w:ind w:right="-29"/>
              <w:jc w:val="center"/>
              <w:rPr>
                <w:b/>
                <w:noProof/>
                <w:sz w:val="18"/>
                <w:szCs w:val="18"/>
              </w:rPr>
            </w:pPr>
            <w:r>
              <w:rPr>
                <w:b/>
                <w:noProof/>
                <w:sz w:val="18"/>
              </w:rPr>
              <w:t>1</w:t>
            </w:r>
          </w:p>
        </w:tc>
        <w:tc>
          <w:tcPr>
            <w:tcW w:w="720" w:type="dxa"/>
            <w:tcBorders>
              <w:top w:val="single" w:sz="12" w:space="0" w:color="auto"/>
              <w:bottom w:val="single" w:sz="12" w:space="0" w:color="auto"/>
            </w:tcBorders>
          </w:tcPr>
          <w:p>
            <w:pPr>
              <w:spacing w:before="180" w:after="180"/>
              <w:ind w:right="-29"/>
              <w:jc w:val="center"/>
              <w:rPr>
                <w:b/>
                <w:noProof/>
                <w:sz w:val="18"/>
                <w:szCs w:val="18"/>
              </w:rPr>
            </w:pPr>
            <w:r>
              <w:rPr>
                <w:b/>
                <w:noProof/>
                <w:sz w:val="18"/>
              </w:rPr>
              <w:t>254,5</w:t>
            </w:r>
          </w:p>
        </w:tc>
        <w:tc>
          <w:tcPr>
            <w:tcW w:w="720" w:type="dxa"/>
            <w:tcBorders>
              <w:top w:val="single" w:sz="12" w:space="0" w:color="auto"/>
              <w:bottom w:val="single" w:sz="12" w:space="0" w:color="auto"/>
            </w:tcBorders>
          </w:tcPr>
          <w:p>
            <w:pPr>
              <w:spacing w:before="180" w:after="180"/>
              <w:ind w:right="-29"/>
              <w:jc w:val="center"/>
              <w:rPr>
                <w:b/>
                <w:noProof/>
                <w:sz w:val="18"/>
                <w:szCs w:val="18"/>
              </w:rPr>
            </w:pPr>
            <w:r>
              <w:rPr>
                <w:b/>
                <w:noProof/>
                <w:sz w:val="18"/>
              </w:rPr>
              <w:t>3</w:t>
            </w:r>
          </w:p>
        </w:tc>
        <w:tc>
          <w:tcPr>
            <w:tcW w:w="932" w:type="dxa"/>
            <w:tcBorders>
              <w:top w:val="single" w:sz="12" w:space="0" w:color="auto"/>
              <w:bottom w:val="single" w:sz="12" w:space="0" w:color="auto"/>
              <w:right w:val="single" w:sz="12" w:space="0" w:color="auto"/>
            </w:tcBorders>
          </w:tcPr>
          <w:p>
            <w:pPr>
              <w:spacing w:before="180" w:after="180"/>
              <w:ind w:right="-29"/>
              <w:jc w:val="center"/>
              <w:rPr>
                <w:b/>
                <w:noProof/>
                <w:sz w:val="18"/>
                <w:szCs w:val="18"/>
              </w:rPr>
            </w:pPr>
            <w:r>
              <w:rPr>
                <w:b/>
                <w:noProof/>
                <w:sz w:val="18"/>
              </w:rPr>
              <w:t>499,2</w:t>
            </w:r>
          </w:p>
        </w:tc>
      </w:tr>
    </w:tbl>
    <w:p>
      <w:pPr>
        <w:rPr>
          <w:noProof/>
        </w:rPr>
        <w:sectPr>
          <w:pgSz w:w="16840" w:h="11907" w:orient="landscape" w:code="9"/>
          <w:pgMar w:top="1134" w:right="1418" w:bottom="567" w:left="1418" w:header="709" w:footer="709" w:gutter="0"/>
          <w:cols w:space="708"/>
          <w:docGrid w:linePitch="360"/>
        </w:sectPr>
      </w:pPr>
    </w:p>
    <w:p>
      <w:pPr>
        <w:pStyle w:val="ManualHeading3"/>
        <w:rPr>
          <w:noProof/>
          <w:szCs w:val="24"/>
        </w:rPr>
      </w:pPr>
      <w:r>
        <w:t>3.2.3.</w:t>
      </w:r>
      <w:r>
        <w:tab/>
      </w:r>
      <w:r>
        <w:rPr>
          <w:noProof/>
        </w:rPr>
        <w:t>Impactul estimat asupra creditelor cu caracter administrativ</w:t>
      </w:r>
    </w:p>
    <w:p>
      <w:pPr>
        <w:pStyle w:val="ManualHeading4"/>
        <w:rPr>
          <w:noProof/>
        </w:rPr>
      </w:pPr>
      <w:r>
        <w:t>3.2.3.1.</w:t>
      </w:r>
      <w:r>
        <w:tab/>
      </w:r>
      <w:r>
        <w:rPr>
          <w:noProof/>
        </w:rPr>
        <w:t xml:space="preserve">Sinteză </w:t>
      </w:r>
    </w:p>
    <w:p>
      <w:pPr>
        <w:pStyle w:val="ListDash1"/>
        <w:rPr>
          <w:noProof/>
        </w:rPr>
      </w:pPr>
      <w:r>
        <w:rPr>
          <w:noProof/>
        </w:rPr>
        <w:sym w:font="Wingdings" w:char="F0A8"/>
      </w:r>
      <w:r>
        <w:rPr>
          <w:noProof/>
        </w:rPr>
        <w:t xml:space="preserve"> Propunerea/inițiativa nu implică utilizarea de credite cu caracter administrativ </w:t>
      </w:r>
    </w:p>
    <w:p>
      <w:pPr>
        <w:pStyle w:val="ListDash1"/>
        <w:rPr>
          <w:noProof/>
        </w:rPr>
      </w:pPr>
      <w:r>
        <w:rPr>
          <w:noProof/>
        </w:rPr>
        <w:sym w:font="Wingdings" w:char="F0FE"/>
      </w:r>
      <w:r>
        <w:rPr>
          <w:noProof/>
        </w:rPr>
        <w:t xml:space="preserve"> Propunerea/inițiativa implică utilizarea de credite cu caracter administrativ, conform explicațiilor de mai jos:</w:t>
      </w:r>
    </w:p>
    <w:p>
      <w:pPr>
        <w:rPr>
          <w:noProof/>
          <w:sz w:val="20"/>
        </w:rPr>
      </w:pPr>
      <w:r>
        <w:rPr>
          <w:noProof/>
          <w:sz w:val="20"/>
        </w:rPr>
        <w:t>milioane EUR (cu trei zecimale)</w:t>
      </w:r>
    </w:p>
    <w:tbl>
      <w:tblPr>
        <w:tblW w:w="954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b/>
                <w:noProof/>
                <w:sz w:val="16"/>
                <w:szCs w:val="16"/>
              </w:rPr>
            </w:pPr>
            <w:r>
              <w:rPr>
                <w:b/>
                <w:noProof/>
                <w:sz w:val="16"/>
              </w:rPr>
              <w:t>2018</w:t>
            </w:r>
          </w:p>
        </w:tc>
        <w:tc>
          <w:tcPr>
            <w:tcW w:w="1080" w:type="dxa"/>
            <w:vAlign w:val="center"/>
          </w:tcPr>
          <w:p>
            <w:pPr>
              <w:spacing w:before="60" w:after="60" w:line="200" w:lineRule="exact"/>
              <w:jc w:val="center"/>
              <w:rPr>
                <w:b/>
                <w:noProof/>
                <w:sz w:val="16"/>
                <w:szCs w:val="16"/>
              </w:rPr>
            </w:pPr>
            <w:r>
              <w:rPr>
                <w:b/>
                <w:noProof/>
                <w:sz w:val="16"/>
              </w:rPr>
              <w:t>2019</w:t>
            </w:r>
          </w:p>
        </w:tc>
        <w:tc>
          <w:tcPr>
            <w:tcW w:w="1080" w:type="dxa"/>
            <w:vAlign w:val="center"/>
          </w:tcPr>
          <w:p>
            <w:pPr>
              <w:spacing w:before="60" w:after="60" w:line="200" w:lineRule="exact"/>
              <w:jc w:val="center"/>
              <w:rPr>
                <w:b/>
                <w:noProof/>
                <w:sz w:val="16"/>
              </w:rPr>
            </w:pPr>
            <w:r>
              <w:rPr>
                <w:b/>
                <w:noProof/>
                <w:sz w:val="16"/>
              </w:rPr>
              <w:t>2020</w:t>
            </w:r>
          </w:p>
        </w:tc>
        <w:tc>
          <w:tcPr>
            <w:tcW w:w="1080" w:type="dxa"/>
            <w:vAlign w:val="center"/>
          </w:tcPr>
          <w:p>
            <w:pPr>
              <w:spacing w:before="60" w:after="60" w:line="200" w:lineRule="exact"/>
              <w:jc w:val="center"/>
              <w:rPr>
                <w:b/>
                <w:noProof/>
                <w:sz w:val="16"/>
              </w:rPr>
            </w:pPr>
            <w:r>
              <w:rPr>
                <w:b/>
                <w:noProof/>
                <w:sz w:val="16"/>
              </w:rPr>
              <w:t>2021</w:t>
            </w:r>
          </w:p>
        </w:tc>
        <w:tc>
          <w:tcPr>
            <w:tcW w:w="1080" w:type="dxa"/>
            <w:vAlign w:val="center"/>
          </w:tcPr>
          <w:p>
            <w:pPr>
              <w:spacing w:before="60" w:after="60" w:line="200" w:lineRule="exact"/>
              <w:jc w:val="center"/>
              <w:rPr>
                <w:b/>
                <w:noProof/>
                <w:sz w:val="16"/>
              </w:rPr>
            </w:pPr>
            <w:r>
              <w:rPr>
                <w:b/>
                <w:noProof/>
                <w:sz w:val="16"/>
              </w:rPr>
              <w:t>2022</w:t>
            </w:r>
          </w:p>
        </w:tc>
        <w:tc>
          <w:tcPr>
            <w:tcW w:w="1080" w:type="dxa"/>
            <w:vAlign w:val="center"/>
          </w:tcPr>
          <w:p>
            <w:pPr>
              <w:spacing w:before="60" w:after="60" w:line="200" w:lineRule="exact"/>
              <w:jc w:val="center"/>
              <w:rPr>
                <w:b/>
                <w:noProof/>
                <w:sz w:val="16"/>
              </w:rPr>
            </w:pPr>
            <w:r>
              <w:rPr>
                <w:b/>
                <w:noProof/>
                <w:sz w:val="16"/>
              </w:rPr>
              <w:t>2023</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954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RUBRICA 5</w:t>
            </w:r>
            <w:r>
              <w:rPr>
                <w:noProof/>
                <w:sz w:val="22"/>
              </w:rPr>
              <w:br/>
            </w:r>
            <w:r>
              <w:rPr>
                <w:b/>
                <w:noProof/>
                <w:sz w:val="16"/>
              </w:rPr>
              <w:t>din cadrul financiar multianual</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b/>
                <w:noProof/>
                <w:sz w:val="16"/>
                <w:szCs w:val="16"/>
              </w:rPr>
            </w:pPr>
          </w:p>
        </w:tc>
        <w:tc>
          <w:tcPr>
            <w:tcW w:w="1080" w:type="dxa"/>
          </w:tcPr>
          <w:p>
            <w:pPr>
              <w:spacing w:before="60" w:after="60" w:line="200" w:lineRule="exact"/>
              <w:jc w:val="right"/>
              <w:rPr>
                <w:b/>
                <w:noProof/>
                <w:sz w:val="16"/>
                <w:szCs w:val="16"/>
              </w:rPr>
            </w:pPr>
          </w:p>
        </w:tc>
        <w:tc>
          <w:tcPr>
            <w:tcW w:w="1080" w:type="dxa"/>
          </w:tcPr>
          <w:p>
            <w:pPr>
              <w:spacing w:before="60" w:after="60" w:line="200" w:lineRule="exact"/>
              <w:jc w:val="right"/>
              <w:rPr>
                <w:b/>
                <w:noProof/>
                <w:sz w:val="16"/>
                <w:szCs w:val="16"/>
              </w:rPr>
            </w:pPr>
          </w:p>
        </w:tc>
        <w:tc>
          <w:tcPr>
            <w:tcW w:w="1080" w:type="dxa"/>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Resurse umane </w:t>
            </w:r>
          </w:p>
        </w:tc>
        <w:tc>
          <w:tcPr>
            <w:tcW w:w="1080" w:type="dxa"/>
            <w:vAlign w:val="center"/>
          </w:tcPr>
          <w:p>
            <w:pPr>
              <w:spacing w:before="60" w:after="60" w:line="200" w:lineRule="exact"/>
              <w:jc w:val="center"/>
              <w:rPr>
                <w:noProof/>
                <w:sz w:val="16"/>
                <w:szCs w:val="16"/>
              </w:rPr>
            </w:pPr>
            <w:r>
              <w:rPr>
                <w:noProof/>
                <w:sz w:val="20"/>
              </w:rPr>
              <w:t>0,966</w:t>
            </w:r>
          </w:p>
        </w:tc>
        <w:tc>
          <w:tcPr>
            <w:tcW w:w="1080" w:type="dxa"/>
            <w:vAlign w:val="center"/>
          </w:tcPr>
          <w:p>
            <w:pPr>
              <w:spacing w:before="60" w:after="60" w:line="200" w:lineRule="exact"/>
              <w:jc w:val="center"/>
              <w:rPr>
                <w:noProof/>
                <w:sz w:val="16"/>
                <w:szCs w:val="16"/>
              </w:rPr>
            </w:pPr>
            <w:r>
              <w:rPr>
                <w:noProof/>
                <w:sz w:val="20"/>
              </w:rPr>
              <w:t>0,985</w:t>
            </w:r>
          </w:p>
        </w:tc>
        <w:tc>
          <w:tcPr>
            <w:tcW w:w="1080" w:type="dxa"/>
            <w:vAlign w:val="center"/>
          </w:tcPr>
          <w:p>
            <w:pPr>
              <w:spacing w:before="60" w:after="60" w:line="200" w:lineRule="exact"/>
              <w:jc w:val="center"/>
              <w:rPr>
                <w:noProof/>
                <w:sz w:val="16"/>
                <w:szCs w:val="16"/>
              </w:rPr>
            </w:pPr>
            <w:r>
              <w:rPr>
                <w:noProof/>
                <w:sz w:val="20"/>
              </w:rPr>
              <w:t>1,005</w:t>
            </w: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center"/>
              <w:rPr>
                <w:b/>
                <w:noProof/>
                <w:sz w:val="16"/>
                <w:szCs w:val="16"/>
              </w:rPr>
            </w:pPr>
          </w:p>
        </w:tc>
        <w:tc>
          <w:tcPr>
            <w:tcW w:w="1080" w:type="dxa"/>
            <w:vAlign w:val="center"/>
          </w:tcPr>
          <w:p>
            <w:pPr>
              <w:spacing w:before="60" w:after="60" w:line="200" w:lineRule="exact"/>
              <w:jc w:val="right"/>
              <w:rPr>
                <w:b/>
                <w:noProof/>
                <w:sz w:val="16"/>
                <w:szCs w:val="16"/>
              </w:rPr>
            </w:pPr>
            <w:r>
              <w:rPr>
                <w:b/>
                <w:noProof/>
                <w:sz w:val="20"/>
              </w:rPr>
              <w:t>2,956</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Alte cheltuieli administrative </w:t>
            </w:r>
          </w:p>
        </w:tc>
        <w:tc>
          <w:tcPr>
            <w:tcW w:w="1080" w:type="dxa"/>
            <w:vAlign w:val="center"/>
          </w:tcPr>
          <w:p>
            <w:pPr>
              <w:spacing w:before="60" w:after="60" w:line="200" w:lineRule="exact"/>
              <w:jc w:val="center"/>
              <w:rPr>
                <w:noProof/>
                <w:sz w:val="16"/>
                <w:szCs w:val="16"/>
              </w:rPr>
            </w:pPr>
            <w:r>
              <w:rPr>
                <w:noProof/>
                <w:sz w:val="20"/>
              </w:rPr>
              <w:t>0,199</w:t>
            </w:r>
          </w:p>
        </w:tc>
        <w:tc>
          <w:tcPr>
            <w:tcW w:w="1080" w:type="dxa"/>
            <w:vAlign w:val="center"/>
          </w:tcPr>
          <w:p>
            <w:pPr>
              <w:spacing w:before="60" w:after="60" w:line="200" w:lineRule="exact"/>
              <w:jc w:val="center"/>
              <w:rPr>
                <w:noProof/>
                <w:sz w:val="16"/>
                <w:szCs w:val="16"/>
              </w:rPr>
            </w:pPr>
            <w:r>
              <w:rPr>
                <w:noProof/>
                <w:sz w:val="20"/>
              </w:rPr>
              <w:t>0,249</w:t>
            </w:r>
          </w:p>
        </w:tc>
        <w:tc>
          <w:tcPr>
            <w:tcW w:w="1080" w:type="dxa"/>
            <w:vAlign w:val="center"/>
          </w:tcPr>
          <w:p>
            <w:pPr>
              <w:spacing w:before="60" w:after="60" w:line="200" w:lineRule="exact"/>
              <w:jc w:val="center"/>
              <w:rPr>
                <w:rFonts w:ascii="Arial Narrow" w:hAnsi="Arial Narrow" w:cs="Arial"/>
                <w:bCs/>
                <w:noProof/>
                <w:sz w:val="16"/>
                <w:szCs w:val="16"/>
              </w:rPr>
            </w:pPr>
            <w:r>
              <w:rPr>
                <w:noProof/>
                <w:sz w:val="20"/>
              </w:rPr>
              <w:t>0,249</w:t>
            </w: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right"/>
              <w:rPr>
                <w:b/>
                <w:noProof/>
                <w:sz w:val="16"/>
                <w:szCs w:val="16"/>
              </w:rPr>
            </w:pPr>
            <w:r>
              <w:rPr>
                <w:b/>
                <w:noProof/>
                <w:sz w:val="20"/>
              </w:rPr>
              <w:t>0,697</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RUBRICA 5</w:t>
            </w:r>
            <w:r>
              <w:rPr>
                <w:noProof/>
                <w:sz w:val="16"/>
                <w:szCs w:val="16"/>
              </w:rPr>
              <w:br/>
            </w:r>
            <w:r>
              <w:rPr>
                <w:b/>
                <w:noProof/>
                <w:sz w:val="16"/>
              </w:rPr>
              <w:t xml:space="preserve">din cadrul financiar multianual </w:t>
            </w:r>
          </w:p>
        </w:tc>
        <w:tc>
          <w:tcPr>
            <w:tcW w:w="1080" w:type="dxa"/>
            <w:vAlign w:val="center"/>
          </w:tcPr>
          <w:p>
            <w:pPr>
              <w:spacing w:before="60" w:after="60" w:line="200" w:lineRule="exact"/>
              <w:jc w:val="center"/>
              <w:rPr>
                <w:b/>
                <w:noProof/>
                <w:sz w:val="16"/>
                <w:szCs w:val="16"/>
              </w:rPr>
            </w:pPr>
            <w:r>
              <w:rPr>
                <w:noProof/>
                <w:sz w:val="20"/>
              </w:rPr>
              <w:t>1,165</w:t>
            </w:r>
          </w:p>
        </w:tc>
        <w:tc>
          <w:tcPr>
            <w:tcW w:w="1080" w:type="dxa"/>
            <w:vAlign w:val="center"/>
          </w:tcPr>
          <w:p>
            <w:pPr>
              <w:spacing w:before="60" w:after="60" w:line="200" w:lineRule="exact"/>
              <w:jc w:val="center"/>
              <w:rPr>
                <w:b/>
                <w:noProof/>
                <w:sz w:val="16"/>
                <w:szCs w:val="16"/>
              </w:rPr>
            </w:pPr>
            <w:r>
              <w:rPr>
                <w:noProof/>
                <w:sz w:val="20"/>
              </w:rPr>
              <w:t>1,234</w:t>
            </w:r>
          </w:p>
        </w:tc>
        <w:tc>
          <w:tcPr>
            <w:tcW w:w="1080" w:type="dxa"/>
            <w:vAlign w:val="center"/>
          </w:tcPr>
          <w:p>
            <w:pPr>
              <w:spacing w:before="60" w:after="60" w:line="200" w:lineRule="exact"/>
              <w:jc w:val="center"/>
              <w:rPr>
                <w:b/>
                <w:noProof/>
                <w:sz w:val="16"/>
                <w:szCs w:val="16"/>
              </w:rPr>
            </w:pPr>
            <w:r>
              <w:rPr>
                <w:noProof/>
                <w:sz w:val="20"/>
              </w:rPr>
              <w:t>1,254</w:t>
            </w:r>
          </w:p>
        </w:tc>
        <w:tc>
          <w:tcPr>
            <w:tcW w:w="1080" w:type="dxa"/>
            <w:vAlign w:val="center"/>
          </w:tcPr>
          <w:p>
            <w:pPr>
              <w:spacing w:before="60" w:after="60" w:line="200" w:lineRule="exact"/>
              <w:jc w:val="center"/>
              <w:rPr>
                <w:b/>
                <w:noProof/>
                <w:sz w:val="16"/>
                <w:szCs w:val="16"/>
              </w:rPr>
            </w:pPr>
          </w:p>
        </w:tc>
        <w:tc>
          <w:tcPr>
            <w:tcW w:w="1080" w:type="dxa"/>
            <w:vAlign w:val="center"/>
          </w:tcPr>
          <w:p>
            <w:pPr>
              <w:spacing w:before="60" w:after="60" w:line="200" w:lineRule="exact"/>
              <w:jc w:val="center"/>
              <w:rPr>
                <w:b/>
                <w:noProof/>
                <w:sz w:val="16"/>
                <w:szCs w:val="16"/>
              </w:rPr>
            </w:pP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right"/>
              <w:rPr>
                <w:b/>
                <w:noProof/>
                <w:sz w:val="16"/>
                <w:szCs w:val="16"/>
              </w:rPr>
            </w:pPr>
            <w:r>
              <w:rPr>
                <w:b/>
                <w:noProof/>
                <w:sz w:val="20"/>
              </w:rPr>
              <w:t>3,653</w:t>
            </w:r>
          </w:p>
        </w:tc>
      </w:tr>
    </w:tbl>
    <w:p>
      <w:pPr>
        <w:spacing w:line="200" w:lineRule="exact"/>
        <w:rPr>
          <w:noProof/>
          <w:sz w:val="16"/>
          <w:szCs w:val="16"/>
        </w:rPr>
      </w:pPr>
    </w:p>
    <w:tbl>
      <w:tblPr>
        <w:tblW w:w="954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În afara RUBRICII 5</w:t>
            </w:r>
            <w:r>
              <w:rPr>
                <w:rStyle w:val="FootnoteReference"/>
                <w:noProof/>
              </w:rPr>
              <w:footnoteReference w:id="19"/>
            </w:r>
            <w:r>
              <w:rPr>
                <w:noProof/>
                <w:sz w:val="16"/>
                <w:szCs w:val="16"/>
              </w:rPr>
              <w:br/>
            </w:r>
            <w:r>
              <w:rPr>
                <w:b/>
                <w:noProof/>
                <w:sz w:val="16"/>
              </w:rPr>
              <w:t xml:space="preserve">din cadrul financiar multianual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Resurse umane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Alte cheltuieli </w:t>
            </w:r>
            <w:r>
              <w:rPr>
                <w:noProof/>
                <w:sz w:val="16"/>
                <w:szCs w:val="16"/>
              </w:rPr>
              <w:br/>
            </w:r>
            <w:r>
              <w:rPr>
                <w:noProof/>
                <w:sz w:val="16"/>
              </w:rPr>
              <w:t>cu caracter administrativ</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sz w:val="16"/>
                <w:szCs w:val="16"/>
              </w:rPr>
              <w:br/>
            </w:r>
            <w:r>
              <w:rPr>
                <w:b/>
                <w:noProof/>
                <w:sz w:val="16"/>
              </w:rPr>
              <w:t>în afara RUBRICII 5</w:t>
            </w:r>
            <w:r>
              <w:rPr>
                <w:noProof/>
                <w:sz w:val="16"/>
                <w:szCs w:val="16"/>
              </w:rPr>
              <w:br/>
            </w:r>
            <w:r>
              <w:rPr>
                <w:b/>
                <w:noProof/>
                <w:sz w:val="16"/>
              </w:rPr>
              <w:t xml:space="preserve">din cadrul financiar multianual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r>
    </w:tbl>
    <w:p>
      <w:pPr>
        <w:spacing w:line="200" w:lineRule="exact"/>
        <w:rPr>
          <w:noProof/>
          <w:sz w:val="16"/>
          <w:szCs w:val="16"/>
        </w:rPr>
      </w:pPr>
    </w:p>
    <w:tbl>
      <w:tblPr>
        <w:tblW w:w="954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r>
              <w:rPr>
                <w:noProof/>
                <w:sz w:val="20"/>
              </w:rPr>
              <w:t>1,165</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r>
              <w:rPr>
                <w:noProof/>
                <w:sz w:val="20"/>
              </w:rPr>
              <w:t>1,234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rFonts w:ascii="Arial Narrow" w:hAnsi="Arial Narrow" w:cs="Arial"/>
                <w:b/>
                <w:bCs/>
                <w:noProof/>
                <w:sz w:val="16"/>
                <w:szCs w:val="16"/>
              </w:rPr>
            </w:pPr>
            <w:r>
              <w:rPr>
                <w:noProof/>
                <w:sz w:val="20"/>
              </w:rPr>
              <w:t>1,254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r>
              <w:rPr>
                <w:b/>
                <w:noProof/>
                <w:sz w:val="20"/>
              </w:rPr>
              <w:t>3,653</w:t>
            </w:r>
          </w:p>
        </w:tc>
      </w:tr>
    </w:tbl>
    <w:p>
      <w:pPr>
        <w:rPr>
          <w:noProof/>
          <w:sz w:val="18"/>
        </w:rPr>
      </w:pPr>
      <w:r>
        <w:rPr>
          <w:noProof/>
          <w:sz w:val="18"/>
        </w:rPr>
        <w:t>Necesarul de credite în materie de resurse umane și de alte cheltuieli de natură administrativă va fi acoperit de creditele DG</w:t>
      </w:r>
      <w:r>
        <w:rPr>
          <w:noProof/>
          <w:sz w:val="18"/>
        </w:rPr>
        <w:noBreakHyphen/>
        <w:t>ului care sunt deja alocate pentru gestionarea acțiunii și/sau realocate intern în cadrul DG-ului, completate, după caz, prin resurse suplimentare ce ar putea fi alocate DG-ului care gestionează acțiunea în cadrul procedurii de alocare anuală și în lumina constrângerilor bugetare.</w:t>
      </w:r>
    </w:p>
    <w:p>
      <w:pPr>
        <w:rPr>
          <w:noProof/>
          <w:sz w:val="18"/>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4"/>
        <w:rPr>
          <w:noProof/>
          <w:szCs w:val="24"/>
        </w:rPr>
      </w:pPr>
      <w:r>
        <w:t>3.2.3.2.</w:t>
      </w:r>
      <w:r>
        <w:tab/>
      </w:r>
      <w:r>
        <w:rPr>
          <w:noProof/>
        </w:rPr>
        <w:t>Necesarul de resurse umane estimat</w:t>
      </w:r>
    </w:p>
    <w:p>
      <w:pPr>
        <w:pStyle w:val="ListDash1"/>
        <w:rPr>
          <w:noProof/>
        </w:rPr>
      </w:pPr>
      <w:r>
        <w:rPr>
          <w:noProof/>
        </w:rPr>
        <w:sym w:font="Wingdings" w:char="F0A8"/>
      </w:r>
      <w:r>
        <w:rPr>
          <w:noProof/>
        </w:rPr>
        <w:t xml:space="preserve"> Propunerea/inițiativa nu implică utilizarea de resurse umane. </w:t>
      </w:r>
    </w:p>
    <w:p>
      <w:pPr>
        <w:pStyle w:val="ListDash1"/>
        <w:rPr>
          <w:noProof/>
        </w:rPr>
      </w:pPr>
      <w:r>
        <w:rPr>
          <w:noProof/>
        </w:rPr>
        <w:sym w:font="Wingdings" w:char="F0FE"/>
      </w:r>
      <w:r>
        <w:rPr>
          <w:noProof/>
        </w:rPr>
        <w:t xml:space="preserve"> Propunerea/inițiativa implică utilizarea de resurse umane, conform explicațiilor de mai jos:</w:t>
      </w:r>
    </w:p>
    <w:p>
      <w:pPr>
        <w:spacing w:after="60"/>
        <w:jc w:val="right"/>
        <w:rPr>
          <w:i/>
          <w:noProof/>
          <w:sz w:val="20"/>
        </w:rPr>
      </w:pPr>
      <w:r>
        <w:rPr>
          <w:i/>
          <w:noProof/>
          <w:sz w:val="20"/>
        </w:rPr>
        <w:t>Estimări în echivalent normă întreagă</w:t>
      </w:r>
    </w:p>
    <w:tbl>
      <w:tblPr>
        <w:tblW w:w="439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
        <w:gridCol w:w="1954"/>
        <w:gridCol w:w="1955"/>
        <w:gridCol w:w="653"/>
        <w:gridCol w:w="724"/>
        <w:gridCol w:w="720"/>
        <w:gridCol w:w="720"/>
        <w:gridCol w:w="717"/>
        <w:gridCol w:w="714"/>
      </w:tblGrid>
      <w:tr>
        <w:trPr>
          <w:gridBefore w:val="1"/>
          <w:wBefore w:w="6" w:type="pct"/>
          <w:trHeight w:val="289"/>
        </w:trPr>
        <w:tc>
          <w:tcPr>
            <w:tcW w:w="2393" w:type="pct"/>
            <w:gridSpan w:val="2"/>
            <w:shd w:val="clear" w:color="auto" w:fill="auto"/>
          </w:tcPr>
          <w:p>
            <w:pPr>
              <w:spacing w:before="40" w:after="40"/>
              <w:jc w:val="center"/>
              <w:rPr>
                <w:i/>
                <w:noProof/>
                <w:sz w:val="16"/>
                <w:szCs w:val="16"/>
              </w:rPr>
            </w:pPr>
          </w:p>
        </w:tc>
        <w:tc>
          <w:tcPr>
            <w:tcW w:w="400" w:type="pct"/>
            <w:shd w:val="clear" w:color="auto" w:fill="auto"/>
            <w:vAlign w:val="center"/>
          </w:tcPr>
          <w:p>
            <w:pPr>
              <w:spacing w:before="20" w:after="20"/>
              <w:jc w:val="center"/>
              <w:rPr>
                <w:b/>
                <w:noProof/>
                <w:sz w:val="16"/>
                <w:szCs w:val="16"/>
              </w:rPr>
            </w:pPr>
            <w:r>
              <w:rPr>
                <w:b/>
                <w:noProof/>
                <w:sz w:val="16"/>
              </w:rPr>
              <w:t>2018</w:t>
            </w:r>
          </w:p>
        </w:tc>
        <w:tc>
          <w:tcPr>
            <w:tcW w:w="443" w:type="pct"/>
            <w:shd w:val="clear" w:color="auto" w:fill="auto"/>
            <w:vAlign w:val="center"/>
          </w:tcPr>
          <w:p>
            <w:pPr>
              <w:spacing w:before="20" w:after="20"/>
              <w:jc w:val="center"/>
              <w:rPr>
                <w:b/>
                <w:noProof/>
                <w:sz w:val="16"/>
                <w:szCs w:val="16"/>
              </w:rPr>
            </w:pPr>
            <w:r>
              <w:rPr>
                <w:b/>
                <w:noProof/>
                <w:sz w:val="16"/>
              </w:rPr>
              <w:t>2019</w:t>
            </w:r>
          </w:p>
        </w:tc>
        <w:tc>
          <w:tcPr>
            <w:tcW w:w="441" w:type="pct"/>
            <w:vAlign w:val="center"/>
          </w:tcPr>
          <w:p>
            <w:pPr>
              <w:spacing w:before="20" w:after="20"/>
              <w:jc w:val="center"/>
              <w:rPr>
                <w:b/>
                <w:noProof/>
                <w:sz w:val="16"/>
              </w:rPr>
            </w:pPr>
            <w:r>
              <w:rPr>
                <w:b/>
                <w:noProof/>
                <w:sz w:val="16"/>
              </w:rPr>
              <w:t>2020</w:t>
            </w:r>
          </w:p>
        </w:tc>
        <w:tc>
          <w:tcPr>
            <w:tcW w:w="441" w:type="pct"/>
            <w:vAlign w:val="center"/>
          </w:tcPr>
          <w:p>
            <w:pPr>
              <w:spacing w:before="20" w:after="20"/>
              <w:jc w:val="center"/>
              <w:rPr>
                <w:b/>
                <w:noProof/>
                <w:sz w:val="16"/>
              </w:rPr>
            </w:pPr>
            <w:r>
              <w:rPr>
                <w:b/>
                <w:noProof/>
                <w:sz w:val="16"/>
              </w:rPr>
              <w:t>2021</w:t>
            </w:r>
          </w:p>
        </w:tc>
        <w:tc>
          <w:tcPr>
            <w:tcW w:w="439" w:type="pct"/>
            <w:vAlign w:val="center"/>
          </w:tcPr>
          <w:p>
            <w:pPr>
              <w:spacing w:before="20" w:after="20"/>
              <w:jc w:val="center"/>
              <w:rPr>
                <w:b/>
                <w:noProof/>
                <w:sz w:val="16"/>
              </w:rPr>
            </w:pPr>
            <w:r>
              <w:rPr>
                <w:b/>
                <w:noProof/>
                <w:sz w:val="16"/>
              </w:rPr>
              <w:t>2022</w:t>
            </w:r>
          </w:p>
        </w:tc>
        <w:tc>
          <w:tcPr>
            <w:tcW w:w="437" w:type="pct"/>
            <w:vAlign w:val="center"/>
          </w:tcPr>
          <w:p>
            <w:pPr>
              <w:spacing w:before="20" w:after="20"/>
              <w:jc w:val="center"/>
              <w:rPr>
                <w:b/>
                <w:noProof/>
                <w:sz w:val="16"/>
              </w:rPr>
            </w:pPr>
            <w:r>
              <w:rPr>
                <w:b/>
                <w:noProof/>
                <w:sz w:val="16"/>
              </w:rPr>
              <w:t>2023</w:t>
            </w:r>
          </w:p>
        </w:tc>
      </w:tr>
      <w:tr>
        <w:trPr>
          <w:gridBefore w:val="1"/>
          <w:wBefore w:w="6" w:type="pct"/>
          <w:trHeight w:val="289"/>
        </w:trPr>
        <w:tc>
          <w:tcPr>
            <w:tcW w:w="4994" w:type="pct"/>
            <w:gridSpan w:val="8"/>
            <w:shd w:val="clear" w:color="auto" w:fill="auto"/>
          </w:tcPr>
          <w:p>
            <w:pPr>
              <w:spacing w:before="20" w:after="20"/>
              <w:rPr>
                <w:b/>
                <w:noProof/>
                <w:sz w:val="16"/>
                <w:szCs w:val="16"/>
              </w:rPr>
            </w:pPr>
            <w:r>
              <w:rPr>
                <w:b/>
                <w:noProof/>
                <w:sz w:val="16"/>
                <w:szCs w:val="16"/>
              </w:rPr>
              <w:sym w:font="Wingdings" w:char="F09F"/>
            </w:r>
            <w:r>
              <w:rPr>
                <w:noProof/>
                <w:sz w:val="16"/>
                <w:szCs w:val="16"/>
              </w:rPr>
              <w:t xml:space="preserve"> </w:t>
            </w:r>
            <w:r>
              <w:rPr>
                <w:b/>
                <w:noProof/>
                <w:sz w:val="16"/>
                <w:szCs w:val="16"/>
              </w:rPr>
              <w:t>Posturi din schema de personal (funcționari și agenți temporari)</w:t>
            </w:r>
          </w:p>
        </w:tc>
      </w:tr>
      <w:tr>
        <w:trPr>
          <w:gridBefore w:val="1"/>
          <w:wBefore w:w="6" w:type="pct"/>
          <w:trHeight w:val="289"/>
        </w:trPr>
        <w:tc>
          <w:tcPr>
            <w:tcW w:w="2393" w:type="pct"/>
            <w:gridSpan w:val="2"/>
            <w:shd w:val="clear" w:color="auto" w:fill="auto"/>
            <w:vAlign w:val="center"/>
          </w:tcPr>
          <w:p>
            <w:pPr>
              <w:spacing w:beforeLines="20" w:before="48" w:afterLines="20" w:after="48"/>
              <w:ind w:left="134"/>
              <w:jc w:val="left"/>
              <w:rPr>
                <w:b/>
                <w:noProof/>
                <w:sz w:val="16"/>
                <w:szCs w:val="16"/>
              </w:rPr>
            </w:pPr>
            <w:r>
              <w:rPr>
                <w:noProof/>
                <w:sz w:val="16"/>
              </w:rPr>
              <w:t>02 01 01 01 (la sediu și în birourile de reprezentare ale Comisiei)</w:t>
            </w:r>
          </w:p>
        </w:tc>
        <w:tc>
          <w:tcPr>
            <w:tcW w:w="400" w:type="pct"/>
            <w:shd w:val="clear" w:color="auto" w:fill="auto"/>
            <w:vAlign w:val="center"/>
          </w:tcPr>
          <w:p>
            <w:pPr>
              <w:spacing w:beforeLines="20" w:before="48" w:afterLines="20" w:after="48"/>
              <w:jc w:val="center"/>
              <w:rPr>
                <w:noProof/>
                <w:sz w:val="16"/>
                <w:szCs w:val="16"/>
              </w:rPr>
            </w:pPr>
            <w:r>
              <w:rPr>
                <w:noProof/>
                <w:sz w:val="16"/>
              </w:rPr>
              <w:t>7</w:t>
            </w:r>
          </w:p>
        </w:tc>
        <w:tc>
          <w:tcPr>
            <w:tcW w:w="443" w:type="pct"/>
            <w:shd w:val="clear" w:color="auto" w:fill="auto"/>
            <w:vAlign w:val="center"/>
          </w:tcPr>
          <w:p>
            <w:pPr>
              <w:spacing w:beforeLines="20" w:before="48" w:afterLines="20" w:after="48"/>
              <w:jc w:val="center"/>
              <w:rPr>
                <w:noProof/>
                <w:sz w:val="16"/>
                <w:szCs w:val="16"/>
              </w:rPr>
            </w:pPr>
            <w:r>
              <w:rPr>
                <w:noProof/>
                <w:sz w:val="16"/>
              </w:rPr>
              <w:t>7</w:t>
            </w:r>
          </w:p>
        </w:tc>
        <w:tc>
          <w:tcPr>
            <w:tcW w:w="441" w:type="pct"/>
            <w:vAlign w:val="center"/>
          </w:tcPr>
          <w:p>
            <w:pPr>
              <w:spacing w:beforeLines="20" w:before="48" w:afterLines="20" w:after="48"/>
              <w:jc w:val="center"/>
              <w:rPr>
                <w:noProof/>
                <w:sz w:val="16"/>
                <w:szCs w:val="16"/>
              </w:rPr>
            </w:pPr>
            <w:r>
              <w:rPr>
                <w:noProof/>
                <w:sz w:val="16"/>
              </w:rPr>
              <w:t>7</w:t>
            </w:r>
          </w:p>
        </w:tc>
        <w:tc>
          <w:tcPr>
            <w:tcW w:w="441" w:type="pct"/>
            <w:vAlign w:val="center"/>
          </w:tcPr>
          <w:p>
            <w:pPr>
              <w:spacing w:beforeLines="20" w:before="48" w:afterLines="20" w:after="48"/>
              <w:jc w:val="center"/>
              <w:rPr>
                <w:noProof/>
                <w:sz w:val="16"/>
                <w:szCs w:val="16"/>
              </w:rPr>
            </w:pPr>
          </w:p>
        </w:tc>
        <w:tc>
          <w:tcPr>
            <w:tcW w:w="439" w:type="pct"/>
            <w:vAlign w:val="center"/>
          </w:tcPr>
          <w:p>
            <w:pPr>
              <w:spacing w:beforeLines="20" w:before="48" w:afterLines="20" w:after="48"/>
              <w:jc w:val="center"/>
              <w:rPr>
                <w:noProof/>
                <w:sz w:val="16"/>
                <w:szCs w:val="16"/>
              </w:rPr>
            </w:pPr>
          </w:p>
        </w:tc>
        <w:tc>
          <w:tcPr>
            <w:tcW w:w="437" w:type="pct"/>
            <w:vAlign w:val="center"/>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4"/>
              <w:jc w:val="left"/>
              <w:rPr>
                <w:noProof/>
                <w:sz w:val="16"/>
                <w:szCs w:val="16"/>
              </w:rPr>
            </w:pPr>
            <w:r>
              <w:rPr>
                <w:noProof/>
                <w:sz w:val="16"/>
              </w:rPr>
              <w:t>XX 01 01 02 (în delegații)</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4"/>
              <w:jc w:val="left"/>
              <w:rPr>
                <w:noProof/>
                <w:sz w:val="16"/>
                <w:szCs w:val="16"/>
              </w:rPr>
            </w:pPr>
            <w:r>
              <w:rPr>
                <w:noProof/>
                <w:sz w:val="16"/>
              </w:rPr>
              <w:t>XX 01 05 01 (cercetare indirectă)</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4"/>
              <w:jc w:val="left"/>
              <w:rPr>
                <w:noProof/>
                <w:sz w:val="16"/>
                <w:szCs w:val="16"/>
              </w:rPr>
            </w:pPr>
            <w:r>
              <w:rPr>
                <w:noProof/>
                <w:sz w:val="16"/>
              </w:rPr>
              <w:t>10 01 05 01 (cercetare directă)</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trHeight w:val="248"/>
        </w:trPr>
        <w:tc>
          <w:tcPr>
            <w:tcW w:w="5000" w:type="pct"/>
            <w:gridSpan w:val="9"/>
            <w:shd w:val="clear" w:color="auto" w:fill="auto"/>
            <w:vAlign w:val="center"/>
          </w:tcPr>
          <w:p>
            <w:pPr>
              <w:spacing w:before="60" w:after="60"/>
              <w:jc w:val="left"/>
              <w:rPr>
                <w:b/>
                <w:noProof/>
                <w:sz w:val="16"/>
                <w:szCs w:val="16"/>
              </w:rPr>
            </w:pPr>
            <w:r>
              <w:rPr>
                <w:b/>
                <w:noProof/>
                <w:sz w:val="16"/>
                <w:szCs w:val="16"/>
              </w:rPr>
              <w:sym w:font="Wingdings" w:char="F09F"/>
            </w:r>
            <w:r>
              <w:rPr>
                <w:noProof/>
                <w:sz w:val="16"/>
                <w:szCs w:val="16"/>
              </w:rPr>
              <w:t xml:space="preserve"> </w:t>
            </w:r>
            <w:r>
              <w:rPr>
                <w:b/>
                <w:noProof/>
                <w:sz w:val="16"/>
                <w:szCs w:val="16"/>
              </w:rPr>
              <w:t>Personal extern (în echivalent normă întreagă: ENI)</w:t>
            </w:r>
            <w:r>
              <w:rPr>
                <w:rStyle w:val="FootnoteReference"/>
                <w:noProof/>
                <w:szCs w:val="24"/>
              </w:rPr>
              <w:footnoteReference w:id="20"/>
            </w:r>
          </w:p>
          <w:p>
            <w:pPr>
              <w:spacing w:before="60" w:after="60"/>
              <w:jc w:val="left"/>
              <w:rPr>
                <w:b/>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6"/>
              <w:jc w:val="left"/>
              <w:rPr>
                <w:b/>
                <w:noProof/>
                <w:sz w:val="16"/>
                <w:szCs w:val="16"/>
              </w:rPr>
            </w:pPr>
            <w:r>
              <w:rPr>
                <w:noProof/>
                <w:sz w:val="16"/>
              </w:rPr>
              <w:t>XX 01 02 01 (AC, END, INT din „pachetul global”)</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6"/>
              <w:jc w:val="left"/>
              <w:rPr>
                <w:noProof/>
                <w:sz w:val="16"/>
                <w:szCs w:val="16"/>
              </w:rPr>
            </w:pPr>
            <w:r>
              <w:rPr>
                <w:noProof/>
                <w:sz w:val="16"/>
              </w:rPr>
              <w:t>XX 01 02 02 (AC, AL, END, INT și JED în delegații)</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1196" w:type="pct"/>
            <w:vMerge w:val="restart"/>
            <w:shd w:val="clear" w:color="auto" w:fill="auto"/>
            <w:vAlign w:val="center"/>
          </w:tcPr>
          <w:p>
            <w:pPr>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aa</w:t>
            </w:r>
            <w:r>
              <w:rPr>
                <w:b/>
                <w:i/>
                <w:noProof/>
                <w:sz w:val="16"/>
              </w:rPr>
              <w:t xml:space="preserve"> </w:t>
            </w:r>
            <w:r>
              <w:rPr>
                <w:rStyle w:val="FootnoteReference"/>
                <w:noProof/>
              </w:rPr>
              <w:footnoteReference w:id="21"/>
            </w:r>
          </w:p>
          <w:p>
            <w:pPr>
              <w:spacing w:beforeLines="20" w:before="48" w:afterLines="20" w:after="48"/>
              <w:ind w:left="136"/>
              <w:jc w:val="left"/>
              <w:rPr>
                <w:b/>
                <w:noProof/>
                <w:sz w:val="16"/>
                <w:szCs w:val="16"/>
              </w:rPr>
            </w:pPr>
          </w:p>
        </w:tc>
        <w:tc>
          <w:tcPr>
            <w:tcW w:w="1197" w:type="pct"/>
            <w:shd w:val="clear" w:color="auto" w:fill="auto"/>
            <w:vAlign w:val="center"/>
          </w:tcPr>
          <w:p>
            <w:pPr>
              <w:spacing w:beforeLines="20" w:before="48" w:afterLines="20" w:after="48"/>
              <w:ind w:left="136"/>
              <w:jc w:val="left"/>
              <w:rPr>
                <w:b/>
                <w:noProof/>
                <w:sz w:val="16"/>
                <w:szCs w:val="16"/>
              </w:rPr>
            </w:pPr>
            <w:r>
              <w:rPr>
                <w:noProof/>
                <w:sz w:val="16"/>
              </w:rPr>
              <w:t>- la sediu</w:t>
            </w:r>
          </w:p>
          <w:p>
            <w:pPr>
              <w:spacing w:beforeLines="20" w:before="48" w:afterLines="20" w:after="48"/>
              <w:ind w:left="136"/>
              <w:jc w:val="left"/>
              <w:rPr>
                <w:b/>
                <w:noProof/>
                <w:sz w:val="16"/>
                <w:szCs w:val="16"/>
              </w:rPr>
            </w:pPr>
          </w:p>
        </w:tc>
        <w:tc>
          <w:tcPr>
            <w:tcW w:w="400" w:type="pct"/>
            <w:shd w:val="clear" w:color="auto" w:fill="auto"/>
            <w:vAlign w:val="center"/>
          </w:tcPr>
          <w:p>
            <w:pPr>
              <w:spacing w:beforeLines="20" w:before="48" w:afterLines="20" w:after="48"/>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1196" w:type="pct"/>
            <w:vMerge/>
            <w:shd w:val="clear" w:color="auto" w:fill="auto"/>
            <w:vAlign w:val="center"/>
          </w:tcPr>
          <w:p>
            <w:pPr>
              <w:spacing w:beforeLines="20" w:before="48" w:afterLines="20" w:after="48"/>
              <w:ind w:left="136"/>
              <w:jc w:val="left"/>
              <w:rPr>
                <w:b/>
                <w:noProof/>
                <w:sz w:val="16"/>
                <w:szCs w:val="16"/>
              </w:rPr>
            </w:pPr>
          </w:p>
        </w:tc>
        <w:tc>
          <w:tcPr>
            <w:tcW w:w="1197" w:type="pct"/>
            <w:shd w:val="clear" w:color="auto" w:fill="auto"/>
            <w:vAlign w:val="center"/>
          </w:tcPr>
          <w:p>
            <w:pPr>
              <w:spacing w:beforeLines="20" w:before="48" w:afterLines="20" w:after="48"/>
              <w:ind w:left="136"/>
              <w:jc w:val="left"/>
              <w:rPr>
                <w:b/>
                <w:noProof/>
                <w:sz w:val="16"/>
                <w:szCs w:val="16"/>
              </w:rPr>
            </w:pPr>
            <w:r>
              <w:rPr>
                <w:noProof/>
                <w:sz w:val="16"/>
              </w:rPr>
              <w:t xml:space="preserve">- în delegații </w:t>
            </w:r>
          </w:p>
        </w:tc>
        <w:tc>
          <w:tcPr>
            <w:tcW w:w="400" w:type="pct"/>
            <w:shd w:val="clear" w:color="auto" w:fill="auto"/>
            <w:vAlign w:val="center"/>
          </w:tcPr>
          <w:p>
            <w:pPr>
              <w:spacing w:beforeLines="20" w:before="48" w:afterLines="20" w:after="48"/>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6"/>
              <w:jc w:val="left"/>
              <w:rPr>
                <w:noProof/>
                <w:sz w:val="16"/>
                <w:szCs w:val="16"/>
              </w:rPr>
            </w:pPr>
            <w:r>
              <w:rPr>
                <w:b/>
                <w:noProof/>
                <w:sz w:val="16"/>
                <w:szCs w:val="16"/>
              </w:rPr>
              <w:t>XX</w:t>
            </w:r>
            <w:r>
              <w:rPr>
                <w:noProof/>
                <w:sz w:val="16"/>
                <w:szCs w:val="16"/>
              </w:rPr>
              <w:t xml:space="preserve"> </w:t>
            </w:r>
            <w:r>
              <w:rPr>
                <w:noProof/>
                <w:sz w:val="16"/>
              </w:rPr>
              <w:t>01 05 02 (AC, END, INT - cercetare indirectă)</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6"/>
              <w:jc w:val="left"/>
              <w:rPr>
                <w:noProof/>
                <w:sz w:val="16"/>
                <w:szCs w:val="16"/>
              </w:rPr>
            </w:pPr>
            <w:r>
              <w:rPr>
                <w:noProof/>
                <w:sz w:val="16"/>
              </w:rPr>
              <w:t>10 01 05 02 (AC, END, INT - cercetare directă)</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tcBorders>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Alte linii bugetare (a se preciza)</w:t>
            </w:r>
          </w:p>
        </w:tc>
        <w:tc>
          <w:tcPr>
            <w:tcW w:w="400"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43"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41" w:type="pct"/>
            <w:tcBorders>
              <w:bottom w:val="double" w:sz="4" w:space="0" w:color="auto"/>
            </w:tcBorders>
          </w:tcPr>
          <w:p>
            <w:pPr>
              <w:spacing w:beforeLines="20" w:before="48" w:afterLines="20" w:after="48"/>
              <w:jc w:val="center"/>
              <w:rPr>
                <w:noProof/>
                <w:sz w:val="16"/>
                <w:szCs w:val="16"/>
              </w:rPr>
            </w:pPr>
          </w:p>
        </w:tc>
        <w:tc>
          <w:tcPr>
            <w:tcW w:w="441" w:type="pct"/>
            <w:tcBorders>
              <w:bottom w:val="double" w:sz="4" w:space="0" w:color="auto"/>
            </w:tcBorders>
          </w:tcPr>
          <w:p>
            <w:pPr>
              <w:spacing w:beforeLines="20" w:before="48" w:afterLines="20" w:after="48"/>
              <w:jc w:val="center"/>
              <w:rPr>
                <w:noProof/>
                <w:sz w:val="16"/>
                <w:szCs w:val="16"/>
              </w:rPr>
            </w:pPr>
          </w:p>
        </w:tc>
        <w:tc>
          <w:tcPr>
            <w:tcW w:w="439" w:type="pct"/>
            <w:tcBorders>
              <w:bottom w:val="double" w:sz="4" w:space="0" w:color="auto"/>
            </w:tcBorders>
          </w:tcPr>
          <w:p>
            <w:pPr>
              <w:spacing w:beforeLines="20" w:before="48" w:afterLines="20" w:after="48"/>
              <w:jc w:val="center"/>
              <w:rPr>
                <w:noProof/>
                <w:sz w:val="16"/>
                <w:szCs w:val="16"/>
              </w:rPr>
            </w:pPr>
          </w:p>
        </w:tc>
        <w:tc>
          <w:tcPr>
            <w:tcW w:w="437" w:type="pct"/>
            <w:tcBorders>
              <w:bottom w:val="double" w:sz="4" w:space="0" w:color="auto"/>
            </w:tcBorders>
          </w:tcPr>
          <w:p>
            <w:pPr>
              <w:spacing w:beforeLines="20" w:before="48" w:afterLines="20" w:after="48"/>
              <w:jc w:val="center"/>
              <w:rPr>
                <w:noProof/>
                <w:sz w:val="16"/>
                <w:szCs w:val="16"/>
              </w:rPr>
            </w:pPr>
          </w:p>
        </w:tc>
      </w:tr>
      <w:tr>
        <w:trPr>
          <w:gridBefore w:val="1"/>
          <w:wBefore w:w="6" w:type="pct"/>
          <w:trHeight w:val="289"/>
        </w:trPr>
        <w:tc>
          <w:tcPr>
            <w:tcW w:w="2393" w:type="pct"/>
            <w:gridSpan w:val="2"/>
            <w:tcBorders>
              <w:top w:val="double" w:sz="4" w:space="0" w:color="auto"/>
            </w:tcBorders>
            <w:shd w:val="clear" w:color="auto" w:fill="auto"/>
            <w:vAlign w:val="center"/>
          </w:tcPr>
          <w:p>
            <w:pPr>
              <w:spacing w:beforeLines="20" w:before="48" w:afterLines="20" w:after="48"/>
              <w:ind w:left="136"/>
              <w:jc w:val="left"/>
              <w:rPr>
                <w:noProof/>
                <w:sz w:val="16"/>
                <w:szCs w:val="16"/>
              </w:rPr>
            </w:pPr>
            <w:r>
              <w:rPr>
                <w:b/>
                <w:noProof/>
                <w:sz w:val="16"/>
              </w:rPr>
              <w:t>TOTAL</w:t>
            </w:r>
          </w:p>
        </w:tc>
        <w:tc>
          <w:tcPr>
            <w:tcW w:w="400"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7</w:t>
            </w:r>
          </w:p>
        </w:tc>
        <w:tc>
          <w:tcPr>
            <w:tcW w:w="443"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7</w:t>
            </w:r>
          </w:p>
        </w:tc>
        <w:tc>
          <w:tcPr>
            <w:tcW w:w="441" w:type="pct"/>
            <w:tcBorders>
              <w:top w:val="double" w:sz="4" w:space="0" w:color="auto"/>
            </w:tcBorders>
          </w:tcPr>
          <w:p>
            <w:pPr>
              <w:spacing w:beforeLines="20" w:before="48" w:afterLines="20" w:after="48"/>
              <w:jc w:val="center"/>
              <w:rPr>
                <w:b/>
                <w:noProof/>
                <w:sz w:val="16"/>
                <w:szCs w:val="16"/>
              </w:rPr>
            </w:pPr>
            <w:r>
              <w:rPr>
                <w:b/>
                <w:noProof/>
                <w:sz w:val="16"/>
              </w:rPr>
              <w:t>7</w:t>
            </w:r>
          </w:p>
        </w:tc>
        <w:tc>
          <w:tcPr>
            <w:tcW w:w="441" w:type="pct"/>
            <w:tcBorders>
              <w:top w:val="double" w:sz="4" w:space="0" w:color="auto"/>
            </w:tcBorders>
          </w:tcPr>
          <w:p>
            <w:pPr>
              <w:spacing w:beforeLines="20" w:before="48" w:afterLines="20" w:after="48"/>
              <w:jc w:val="center"/>
              <w:rPr>
                <w:b/>
                <w:noProof/>
                <w:sz w:val="16"/>
                <w:szCs w:val="16"/>
              </w:rPr>
            </w:pPr>
          </w:p>
        </w:tc>
        <w:tc>
          <w:tcPr>
            <w:tcW w:w="439" w:type="pct"/>
            <w:tcBorders>
              <w:top w:val="double" w:sz="4" w:space="0" w:color="auto"/>
            </w:tcBorders>
          </w:tcPr>
          <w:p>
            <w:pPr>
              <w:spacing w:beforeLines="20" w:before="48" w:afterLines="20" w:after="48"/>
              <w:jc w:val="center"/>
              <w:rPr>
                <w:b/>
                <w:noProof/>
                <w:sz w:val="16"/>
                <w:szCs w:val="16"/>
              </w:rPr>
            </w:pPr>
          </w:p>
        </w:tc>
        <w:tc>
          <w:tcPr>
            <w:tcW w:w="437" w:type="pct"/>
            <w:tcBorders>
              <w:top w:val="double" w:sz="4" w:space="0" w:color="auto"/>
            </w:tcBorders>
          </w:tcPr>
          <w:p>
            <w:pPr>
              <w:spacing w:beforeLines="20" w:before="48" w:afterLines="20" w:after="48"/>
              <w:jc w:val="center"/>
              <w:rPr>
                <w:b/>
                <w:noProof/>
                <w:sz w:val="16"/>
                <w:szCs w:val="16"/>
              </w:rPr>
            </w:pPr>
          </w:p>
        </w:tc>
      </w:tr>
    </w:tbl>
    <w:p>
      <w:pPr>
        <w:spacing w:before="60" w:after="60"/>
        <w:ind w:left="851"/>
        <w:rPr>
          <w:noProof/>
          <w:sz w:val="18"/>
          <w:szCs w:val="18"/>
        </w:rPr>
      </w:pPr>
      <w:r>
        <w:rPr>
          <w:b/>
          <w:noProof/>
          <w:sz w:val="18"/>
          <w:szCs w:val="18"/>
        </w:rPr>
        <w:t>XX</w:t>
      </w:r>
      <w:r>
        <w:rPr>
          <w:noProof/>
          <w:sz w:val="18"/>
        </w:rPr>
        <w:t xml:space="preserve"> este domeniul de politică sau titlul din buget în cauză.</w:t>
      </w:r>
    </w:p>
    <w:p>
      <w:pPr>
        <w:ind w:left="850"/>
        <w:rPr>
          <w:noProof/>
          <w:sz w:val="18"/>
          <w:szCs w:val="18"/>
        </w:rPr>
      </w:pPr>
      <w:r>
        <w:rPr>
          <w:noProof/>
          <w:sz w:val="18"/>
        </w:rPr>
        <w:t>Necesarul de resurse umane va fi asigurat din efectivele de personal ale DG-ului în cauză alocate deja pentru gestionarea acțiunii și/sau realocate intern în cadrul DG-ului, completate, după caz, prin resurse suplimentare ce ar putea fi alocate DG-ului care gestionează acțiunea în cadrul procedurii de alocare anuală și în lumina constrângerilor bugetare.</w:t>
      </w:r>
    </w:p>
    <w:p>
      <w:pPr>
        <w:rPr>
          <w:noProof/>
          <w:sz w:val="20"/>
        </w:rPr>
      </w:pPr>
      <w:r>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Funcționari și personal temporar</w:t>
            </w:r>
          </w:p>
        </w:tc>
        <w:tc>
          <w:tcPr>
            <w:tcW w:w="7200" w:type="dxa"/>
          </w:tcPr>
          <w:p>
            <w:pPr>
              <w:rPr>
                <w:noProof/>
                <w:sz w:val="20"/>
              </w:rPr>
            </w:pPr>
            <w:r>
              <w:rPr>
                <w:noProof/>
                <w:sz w:val="20"/>
              </w:rPr>
              <w:t xml:space="preserve">Să definească nevoile și propunerile funcționale din punct de vedere conceptual </w:t>
            </w:r>
          </w:p>
          <w:p>
            <w:pPr>
              <w:rPr>
                <w:noProof/>
                <w:sz w:val="20"/>
              </w:rPr>
            </w:pPr>
            <w:r>
              <w:rPr>
                <w:noProof/>
                <w:sz w:val="20"/>
              </w:rPr>
              <w:t>Să asigure clasificarea de securitate a datelor, să instituie și să administreze sistemele necesare pentru tratarea informațiilor confidențiale</w:t>
            </w:r>
          </w:p>
          <w:p>
            <w:pPr>
              <w:rPr>
                <w:noProof/>
                <w:sz w:val="20"/>
              </w:rPr>
            </w:pPr>
            <w:r>
              <w:rPr>
                <w:noProof/>
                <w:sz w:val="20"/>
              </w:rPr>
              <w:t>Să asigure redactarea de texte juridice, să pregătească evaluările necesare ale impactului, propunerile de programe și decizii ale Comisiei</w:t>
            </w:r>
          </w:p>
          <w:p>
            <w:pPr>
              <w:rPr>
                <w:noProof/>
                <w:sz w:val="20"/>
              </w:rPr>
            </w:pPr>
            <w:r>
              <w:rPr>
                <w:noProof/>
                <w:sz w:val="20"/>
              </w:rPr>
              <w:t xml:space="preserve">Să asigure buna gestionare a programului și stabilirea programelor de lucru </w:t>
            </w:r>
          </w:p>
          <w:p>
            <w:pPr>
              <w:rPr>
                <w:noProof/>
                <w:sz w:val="20"/>
              </w:rPr>
            </w:pPr>
            <w:r>
              <w:rPr>
                <w:noProof/>
                <w:sz w:val="20"/>
              </w:rPr>
              <w:t>Să sprijine evaluarea și selectarea de granturi</w:t>
            </w:r>
          </w:p>
          <w:p>
            <w:pPr>
              <w:rPr>
                <w:noProof/>
                <w:sz w:val="20"/>
              </w:rPr>
            </w:pPr>
            <w:r>
              <w:rPr>
                <w:noProof/>
                <w:sz w:val="20"/>
              </w:rPr>
              <w:t>Să asigure monitorizarea și analiza financiară a cheltuielilor</w:t>
            </w:r>
          </w:p>
          <w:p>
            <w:pPr>
              <w:rPr>
                <w:noProof/>
                <w:sz w:val="20"/>
              </w:rPr>
            </w:pPr>
            <w:r>
              <w:rPr>
                <w:noProof/>
                <w:sz w:val="20"/>
              </w:rPr>
              <w:t>Să monitorizeze acțiunea și să analizeze progresul tehnic</w:t>
            </w:r>
          </w:p>
          <w:p>
            <w:pPr>
              <w:rPr>
                <w:noProof/>
                <w:sz w:val="20"/>
              </w:rPr>
            </w:pPr>
            <w:r>
              <w:rPr>
                <w:noProof/>
                <w:sz w:val="20"/>
              </w:rPr>
              <w:t>Să participe la reuniunile majore ale proiectului</w:t>
            </w:r>
          </w:p>
          <w:p>
            <w:pPr>
              <w:rPr>
                <w:noProof/>
                <w:sz w:val="20"/>
              </w:rPr>
            </w:pPr>
            <w:r>
              <w:rPr>
                <w:noProof/>
                <w:sz w:val="20"/>
              </w:rPr>
              <w:t>Să raporteze conducerii</w:t>
            </w:r>
          </w:p>
        </w:tc>
      </w:tr>
      <w:tr>
        <w:tc>
          <w:tcPr>
            <w:tcW w:w="3240" w:type="dxa"/>
          </w:tcPr>
          <w:p>
            <w:pPr>
              <w:spacing w:before="60" w:after="60"/>
              <w:rPr>
                <w:noProof/>
                <w:sz w:val="20"/>
              </w:rPr>
            </w:pPr>
            <w:r>
              <w:rPr>
                <w:noProof/>
                <w:sz w:val="20"/>
              </w:rPr>
              <w:t>Personal extern</w:t>
            </w:r>
          </w:p>
        </w:tc>
        <w:tc>
          <w:tcPr>
            <w:tcW w:w="7200" w:type="dxa"/>
          </w:tcPr>
          <w:p>
            <w:pPr>
              <w:rPr>
                <w:noProof/>
                <w:sz w:val="20"/>
              </w:rPr>
            </w:pPr>
          </w:p>
        </w:tc>
      </w:tr>
    </w:tbl>
    <w:p>
      <w:pPr>
        <w:rPr>
          <w:noProof/>
        </w:rPr>
        <w:sectPr>
          <w:pgSz w:w="11907" w:h="16840"/>
          <w:pgMar w:top="1134" w:right="1418" w:bottom="1134" w:left="1418" w:header="709" w:footer="709" w:gutter="0"/>
          <w:cols w:space="708"/>
          <w:docGrid w:linePitch="360"/>
        </w:sectPr>
      </w:pPr>
    </w:p>
    <w:p>
      <w:pPr>
        <w:pStyle w:val="ManualHeading3"/>
        <w:rPr>
          <w:noProof/>
          <w:szCs w:val="24"/>
        </w:rPr>
      </w:pPr>
      <w:r>
        <w:t>3.2.4.</w:t>
      </w:r>
      <w:r>
        <w:tab/>
      </w:r>
      <w:r>
        <w:rPr>
          <w:noProof/>
        </w:rPr>
        <w:t xml:space="preserve">Compatibilitatea cu actualul cadru financiar multianual </w:t>
      </w:r>
    </w:p>
    <w:p>
      <w:pPr>
        <w:pStyle w:val="ListDash1"/>
        <w:rPr>
          <w:noProof/>
        </w:rPr>
      </w:pPr>
      <w:r>
        <w:rPr>
          <w:noProof/>
        </w:rPr>
        <w:sym w:font="Wingdings" w:char="F0A8"/>
      </w:r>
      <w:r>
        <w:rPr>
          <w:noProof/>
        </w:rPr>
        <w:t xml:space="preserve"> Propunerea/inițiativa este compatibilă cu cadrul financiar multianual existent.</w:t>
      </w:r>
    </w:p>
    <w:p>
      <w:pPr>
        <w:pStyle w:val="ListDash1"/>
        <w:rPr>
          <w:noProof/>
        </w:rPr>
      </w:pPr>
      <w:r>
        <w:rPr>
          <w:noProof/>
        </w:rPr>
        <w:sym w:font="Wingdings" w:char="F0FE"/>
      </w:r>
      <w:r>
        <w:rPr>
          <w:noProof/>
        </w:rPr>
        <w:t xml:space="preserve"> Propunerea/inițiativa necesită o reprogramare a rubricii corespunzătoare din cadrul financiar multianual.</w:t>
      </w:r>
    </w:p>
    <w:p>
      <w:pPr>
        <w:pBdr>
          <w:top w:val="single" w:sz="4" w:space="1" w:color="auto"/>
          <w:left w:val="single" w:sz="4" w:space="4" w:color="auto"/>
          <w:bottom w:val="single" w:sz="4" w:space="1" w:color="auto"/>
          <w:right w:val="single" w:sz="4" w:space="4" w:color="auto"/>
        </w:pBdr>
        <w:ind w:left="850"/>
        <w:rPr>
          <w:noProof/>
          <w:sz w:val="20"/>
        </w:rPr>
      </w:pPr>
      <w:r>
        <w:rPr>
          <w:noProof/>
          <w:sz w:val="20"/>
        </w:rPr>
        <w:t>Propunerea va fi finanțată de la liniile bugetare specifice:</w:t>
      </w:r>
    </w:p>
    <w:p>
      <w:pPr>
        <w:pBdr>
          <w:top w:val="single" w:sz="4" w:space="1" w:color="auto"/>
          <w:left w:val="single" w:sz="4" w:space="4" w:color="auto"/>
          <w:bottom w:val="single" w:sz="4" w:space="1" w:color="auto"/>
          <w:right w:val="single" w:sz="4" w:space="4" w:color="auto"/>
        </w:pBdr>
        <w:ind w:left="850"/>
        <w:rPr>
          <w:noProof/>
          <w:sz w:val="20"/>
        </w:rPr>
      </w:pPr>
      <w:r>
        <w:rPr>
          <w:noProof/>
          <w:sz w:val="20"/>
        </w:rPr>
        <w:t>02.0501 - Dezvoltarea și furnizarea de infrastructuri și servicii globale de radionavigație prin satelit (Galileo) până în 2020</w:t>
      </w:r>
    </w:p>
    <w:p>
      <w:pPr>
        <w:pBdr>
          <w:top w:val="single" w:sz="4" w:space="1" w:color="auto"/>
          <w:left w:val="single" w:sz="4" w:space="4" w:color="auto"/>
          <w:bottom w:val="single" w:sz="4" w:space="1" w:color="auto"/>
          <w:right w:val="single" w:sz="4" w:space="4" w:color="auto"/>
        </w:pBdr>
        <w:ind w:left="850"/>
        <w:rPr>
          <w:noProof/>
          <w:sz w:val="20"/>
        </w:rPr>
      </w:pPr>
      <w:r>
        <w:rPr>
          <w:noProof/>
          <w:sz w:val="20"/>
        </w:rPr>
        <w:t>02.0502 - Furnizarea de servicii prin satelit care îmbunătățesc performanțele GPS pentru a acoperi treptat întreaga regiune a Conferinței Europene a Aviației Civile (CEAC) până în 2020 (EGNOS)</w:t>
      </w:r>
    </w:p>
    <w:p>
      <w:pPr>
        <w:pBdr>
          <w:top w:val="single" w:sz="4" w:space="1" w:color="auto"/>
          <w:left w:val="single" w:sz="4" w:space="4" w:color="auto"/>
          <w:bottom w:val="single" w:sz="4" w:space="1" w:color="auto"/>
          <w:right w:val="single" w:sz="4" w:space="4" w:color="auto"/>
        </w:pBdr>
        <w:ind w:left="850"/>
        <w:rPr>
          <w:noProof/>
          <w:sz w:val="20"/>
        </w:rPr>
      </w:pPr>
      <w:r>
        <w:rPr>
          <w:noProof/>
          <w:sz w:val="20"/>
        </w:rPr>
        <w:t xml:space="preserve">02.0601 Furnizarea de servicii operaționale care se bazează pe observații spațiale și date </w:t>
      </w:r>
      <w:r>
        <w:rPr>
          <w:i/>
          <w:noProof/>
          <w:sz w:val="20"/>
        </w:rPr>
        <w:t>in situ</w:t>
      </w:r>
      <w:r>
        <w:rPr>
          <w:noProof/>
          <w:sz w:val="20"/>
        </w:rPr>
        <w:t xml:space="preserve"> (Copernicus)</w:t>
      </w:r>
    </w:p>
    <w:p>
      <w:pPr>
        <w:pBdr>
          <w:top w:val="single" w:sz="4" w:space="1" w:color="auto"/>
          <w:left w:val="single" w:sz="4" w:space="4" w:color="auto"/>
          <w:bottom w:val="single" w:sz="4" w:space="1" w:color="auto"/>
          <w:right w:val="single" w:sz="4" w:space="4" w:color="auto"/>
        </w:pBdr>
        <w:ind w:left="850"/>
        <w:rPr>
          <w:noProof/>
          <w:sz w:val="20"/>
        </w:rPr>
      </w:pPr>
      <w:r>
        <w:rPr>
          <w:noProof/>
          <w:sz w:val="20"/>
        </w:rPr>
        <w:t>32.050102 Construirea, operarea și exploatarea instalațiilor ITER — Întreprinderea comună europeană pentru ITER — Fuziune pentru Energie (F4E)</w:t>
      </w:r>
    </w:p>
    <w:p>
      <w:pPr>
        <w:pBdr>
          <w:top w:val="single" w:sz="4" w:space="1" w:color="auto"/>
          <w:left w:val="single" w:sz="4" w:space="4" w:color="auto"/>
          <w:bottom w:val="single" w:sz="4" w:space="1" w:color="auto"/>
          <w:right w:val="single" w:sz="4" w:space="4" w:color="auto"/>
        </w:pBdr>
        <w:ind w:left="850"/>
        <w:rPr>
          <w:noProof/>
          <w:sz w:val="20"/>
        </w:rPr>
      </w:pPr>
      <w:r>
        <w:rPr>
          <w:noProof/>
          <w:sz w:val="20"/>
        </w:rPr>
        <w:t>32.020101 – O mai bună integrare a pieței interne a energiei și interoperabilitatea transfrontalieră a rețelelor de energie electrică și gaze</w:t>
      </w:r>
    </w:p>
    <w:p>
      <w:pPr>
        <w:pBdr>
          <w:top w:val="single" w:sz="4" w:space="1" w:color="auto"/>
          <w:left w:val="single" w:sz="4" w:space="4" w:color="auto"/>
          <w:bottom w:val="single" w:sz="4" w:space="1" w:color="auto"/>
          <w:right w:val="single" w:sz="4" w:space="4" w:color="auto"/>
        </w:pBdr>
        <w:ind w:left="850"/>
        <w:rPr>
          <w:noProof/>
          <w:sz w:val="20"/>
        </w:rPr>
      </w:pPr>
      <w:r>
        <w:rPr>
          <w:noProof/>
          <w:sz w:val="20"/>
        </w:rPr>
        <w:t>32.020102 - Sporirea nivelului de securitate a aprovizionării cu energie în Uniune</w:t>
      </w:r>
    </w:p>
    <w:p>
      <w:pPr>
        <w:pBdr>
          <w:top w:val="single" w:sz="4" w:space="1" w:color="auto"/>
          <w:left w:val="single" w:sz="4" w:space="4" w:color="auto"/>
          <w:bottom w:val="single" w:sz="4" w:space="1" w:color="auto"/>
          <w:right w:val="single" w:sz="4" w:space="4" w:color="auto"/>
        </w:pBdr>
        <w:ind w:left="850"/>
        <w:rPr>
          <w:noProof/>
          <w:sz w:val="20"/>
        </w:rPr>
      </w:pPr>
      <w:r>
        <w:rPr>
          <w:noProof/>
          <w:sz w:val="20"/>
        </w:rPr>
        <w:t xml:space="preserve">32.020103 - Contribuția la dezvoltarea durabilă și la protecția mediului </w:t>
      </w:r>
    </w:p>
    <w:p>
      <w:pPr>
        <w:pBdr>
          <w:top w:val="single" w:sz="4" w:space="1" w:color="auto"/>
          <w:left w:val="single" w:sz="4" w:space="4" w:color="auto"/>
          <w:bottom w:val="single" w:sz="4" w:space="1" w:color="auto"/>
          <w:right w:val="single" w:sz="4" w:space="4" w:color="auto"/>
        </w:pBdr>
        <w:ind w:left="850"/>
        <w:rPr>
          <w:noProof/>
          <w:sz w:val="20"/>
        </w:rPr>
      </w:pPr>
      <w:r>
        <w:rPr>
          <w:noProof/>
          <w:sz w:val="20"/>
        </w:rPr>
        <w:t xml:space="preserve">09.0303 - Promovarea interoperabilității, a dezvoltării durabile, a operării și a modernizării infrastructurilor de servicii digitale transeuropene, precum și a coordonării la nivel european </w:t>
      </w:r>
    </w:p>
    <w:p>
      <w:pPr>
        <w:pBdr>
          <w:top w:val="single" w:sz="4" w:space="1" w:color="auto"/>
          <w:left w:val="single" w:sz="4" w:space="4" w:color="auto"/>
          <w:bottom w:val="single" w:sz="4" w:space="1" w:color="auto"/>
          <w:right w:val="single" w:sz="4" w:space="4" w:color="auto"/>
        </w:pBdr>
        <w:ind w:left="850"/>
        <w:rPr>
          <w:noProof/>
          <w:sz w:val="20"/>
        </w:rPr>
      </w:pPr>
      <w:r>
        <w:rPr>
          <w:noProof/>
          <w:sz w:val="20"/>
        </w:rPr>
        <w:t>marja nealocată</w:t>
      </w:r>
    </w:p>
    <w:p>
      <w:pPr>
        <w:pStyle w:val="ListDash1"/>
        <w:rPr>
          <w:noProof/>
        </w:rPr>
      </w:pPr>
      <w:r>
        <w:rPr>
          <w:noProof/>
        </w:rPr>
        <w:sym w:font="Wingdings" w:char="F0A8"/>
      </w:r>
      <w:r>
        <w:rPr>
          <w:noProof/>
        </w:rPr>
        <w:t xml:space="preserve"> Propunerea/inițiativa necesită recurgerea la instrumentul de flexibilitate sau la revizuirea cadrului financiar multianual.</w:t>
      </w:r>
    </w:p>
    <w:p>
      <w:pPr>
        <w:pBdr>
          <w:top w:val="single" w:sz="4" w:space="1" w:color="auto"/>
          <w:left w:val="single" w:sz="4" w:space="4" w:color="auto"/>
          <w:bottom w:val="single" w:sz="4" w:space="1" w:color="auto"/>
          <w:right w:val="single" w:sz="4" w:space="4" w:color="auto"/>
        </w:pBdr>
        <w:ind w:left="850"/>
        <w:rPr>
          <w:noProof/>
        </w:rPr>
      </w:pPr>
    </w:p>
    <w:p>
      <w:pPr>
        <w:pStyle w:val="ManualHeading3"/>
        <w:rPr>
          <w:noProof/>
          <w:szCs w:val="24"/>
        </w:rPr>
      </w:pPr>
      <w:r>
        <w:t>3.2.5.</w:t>
      </w:r>
      <w:r>
        <w:tab/>
      </w:r>
      <w:r>
        <w:rPr>
          <w:noProof/>
        </w:rPr>
        <w:t xml:space="preserve">Contribuția terților </w:t>
      </w:r>
    </w:p>
    <w:p>
      <w:pPr>
        <w:pStyle w:val="ListDash1"/>
        <w:rPr>
          <w:noProof/>
        </w:rPr>
      </w:pPr>
      <w:r>
        <w:rPr>
          <w:noProof/>
        </w:rPr>
        <w:sym w:font="Wingdings" w:char="F0FE"/>
      </w:r>
      <w:r>
        <w:rPr>
          <w:noProof/>
        </w:rPr>
        <w:t xml:space="preserve"> Propunerea/inițiativa nu prevede cofinanțare din partea terților. </w:t>
      </w:r>
    </w:p>
    <w:p>
      <w:pPr>
        <w:pStyle w:val="ListDash1"/>
        <w:rPr>
          <w:noProof/>
        </w:rPr>
      </w:pPr>
      <w:r>
        <w:rPr>
          <w:noProof/>
        </w:rPr>
        <w:sym w:font="Wingdings" w:char="F0A8"/>
      </w:r>
      <w:r>
        <w:rPr>
          <w:noProof/>
        </w:rPr>
        <w:t xml:space="preserve"> Propunerea/inițiativa prevede cofinanțare, estimată în cele ce urmează:</w:t>
      </w:r>
    </w:p>
    <w:p>
      <w:pPr>
        <w:jc w:val="right"/>
        <w:rPr>
          <w:noProof/>
          <w:sz w:val="20"/>
        </w:rPr>
      </w:pPr>
      <w:r>
        <w:rPr>
          <w:noProof/>
          <w:sz w:val="20"/>
        </w:rPr>
        <w:t>Credite în milioane EUR (cu 3 zecimale)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Anul</w:t>
            </w:r>
            <w:r>
              <w:rPr>
                <w:noProof/>
                <w:sz w:val="22"/>
              </w:rPr>
              <w:br/>
            </w:r>
            <w:r>
              <w:rPr>
                <w:b/>
                <w:noProof/>
                <w:sz w:val="20"/>
              </w:rPr>
              <w:t>N</w:t>
            </w:r>
          </w:p>
        </w:tc>
        <w:tc>
          <w:tcPr>
            <w:tcW w:w="964" w:type="dxa"/>
            <w:vAlign w:val="center"/>
          </w:tcPr>
          <w:p>
            <w:pPr>
              <w:jc w:val="center"/>
              <w:rPr>
                <w:noProof/>
                <w:sz w:val="20"/>
              </w:rPr>
            </w:pPr>
            <w:r>
              <w:rPr>
                <w:noProof/>
                <w:sz w:val="20"/>
              </w:rPr>
              <w:t>Anul</w:t>
            </w:r>
            <w:r>
              <w:rPr>
                <w:noProof/>
                <w:sz w:val="22"/>
              </w:rPr>
              <w:br/>
            </w:r>
            <w:r>
              <w:rPr>
                <w:b/>
                <w:noProof/>
                <w:sz w:val="20"/>
              </w:rPr>
              <w:t>N+1</w:t>
            </w:r>
          </w:p>
        </w:tc>
        <w:tc>
          <w:tcPr>
            <w:tcW w:w="964" w:type="dxa"/>
            <w:vAlign w:val="center"/>
          </w:tcPr>
          <w:p>
            <w:pPr>
              <w:jc w:val="center"/>
              <w:rPr>
                <w:noProof/>
                <w:sz w:val="20"/>
              </w:rPr>
            </w:pPr>
            <w:r>
              <w:rPr>
                <w:noProof/>
                <w:sz w:val="20"/>
              </w:rPr>
              <w:t>Anul</w:t>
            </w:r>
            <w:r>
              <w:rPr>
                <w:noProof/>
                <w:sz w:val="22"/>
              </w:rPr>
              <w:br/>
            </w:r>
            <w:r>
              <w:rPr>
                <w:b/>
                <w:noProof/>
                <w:sz w:val="20"/>
              </w:rPr>
              <w:t>N+2</w:t>
            </w:r>
          </w:p>
        </w:tc>
        <w:tc>
          <w:tcPr>
            <w:tcW w:w="964" w:type="dxa"/>
            <w:vAlign w:val="center"/>
          </w:tcPr>
          <w:p>
            <w:pPr>
              <w:jc w:val="center"/>
              <w:rPr>
                <w:noProof/>
                <w:sz w:val="20"/>
              </w:rPr>
            </w:pPr>
            <w:r>
              <w:rPr>
                <w:noProof/>
                <w:sz w:val="20"/>
              </w:rPr>
              <w:t>Anul</w:t>
            </w:r>
            <w:r>
              <w:rPr>
                <w:noProof/>
                <w:sz w:val="22"/>
              </w:rPr>
              <w:br/>
            </w:r>
            <w:r>
              <w:rPr>
                <w:b/>
                <w:noProof/>
                <w:sz w:val="20"/>
              </w:rPr>
              <w:t>N+3</w:t>
            </w:r>
          </w:p>
        </w:tc>
        <w:tc>
          <w:tcPr>
            <w:tcW w:w="2892" w:type="dxa"/>
            <w:gridSpan w:val="3"/>
            <w:vAlign w:val="center"/>
          </w:tcPr>
          <w:p>
            <w:pPr>
              <w:jc w:val="center"/>
              <w:rPr>
                <w:b/>
                <w:noProof/>
                <w:sz w:val="20"/>
              </w:rPr>
            </w:pPr>
            <w:r>
              <w:rPr>
                <w:noProof/>
                <w:sz w:val="20"/>
              </w:rPr>
              <w:t>A se introduce atâția ani câți sunt considerați necesari pentru a reflecta durata impactului (conform punctului 1.6)</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rPr>
            </w:pPr>
            <w:r>
              <w:rPr>
                <w:noProof/>
                <w:sz w:val="20"/>
              </w:rPr>
              <w:t>A se preciza organismul care asigură cofinanțarea</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credite cofinanțate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p>
    <w:p>
      <w:pPr>
        <w:pStyle w:val="ManualHeading2"/>
        <w:rPr>
          <w:noProof/>
          <w:szCs w:val="24"/>
        </w:rPr>
      </w:pPr>
      <w:r>
        <w:rPr>
          <w:noProof/>
        </w:rPr>
        <w:br w:type="page"/>
      </w:r>
      <w:r>
        <w:t>3.3.</w:t>
      </w:r>
      <w:r>
        <w:tab/>
      </w:r>
      <w:r>
        <w:rPr>
          <w:noProof/>
        </w:rPr>
        <w:t xml:space="preserve">Impactul estimat asupra veniturilor </w:t>
      </w:r>
    </w:p>
    <w:p>
      <w:pPr>
        <w:pStyle w:val="ListDash1"/>
        <w:rPr>
          <w:noProof/>
        </w:rPr>
      </w:pPr>
      <w:r>
        <w:rPr>
          <w:noProof/>
        </w:rPr>
        <w:sym w:font="Wingdings" w:char="F0FE"/>
      </w:r>
      <w:r>
        <w:rPr>
          <w:noProof/>
        </w:rPr>
        <w:t xml:space="preserve"> Propunerea/inițiativa nu are impact financiar asupra veniturilor.</w:t>
      </w:r>
    </w:p>
    <w:p>
      <w:pPr>
        <w:pStyle w:val="ListDash1"/>
        <w:rPr>
          <w:noProof/>
        </w:rPr>
      </w:pPr>
      <w:r>
        <w:rPr>
          <w:noProof/>
        </w:rPr>
        <w:sym w:font="Wingdings" w:char="F0A8"/>
      </w:r>
      <w:r>
        <w:rPr>
          <w:noProof/>
        </w:rPr>
        <w:t xml:space="preserve"> Propunerea/inițiativa are următorul impact financiar:</w:t>
      </w:r>
    </w:p>
    <w:p>
      <w:pPr>
        <w:pStyle w:val="ListNumberLevel3"/>
        <w:rPr>
          <w:noProof/>
        </w:rPr>
      </w:pPr>
      <w:r>
        <w:rPr>
          <w:noProof/>
        </w:rPr>
        <w:sym w:font="Wingdings" w:char="F0A8"/>
      </w:r>
      <w:r>
        <w:rPr>
          <w:noProof/>
        </w:rPr>
        <w:t xml:space="preserve"> asupra resurselor proprii </w:t>
      </w:r>
    </w:p>
    <w:p>
      <w:pPr>
        <w:pStyle w:val="ListNumberLevel3"/>
        <w:rPr>
          <w:noProof/>
        </w:rPr>
      </w:pPr>
      <w:r>
        <w:rPr>
          <w:noProof/>
        </w:rPr>
        <w:sym w:font="Wingdings" w:char="F0A8"/>
      </w:r>
      <w:r>
        <w:rPr>
          <w:noProof/>
        </w:rPr>
        <w:t xml:space="preserve"> asupra diverselor venituri </w:t>
      </w:r>
    </w:p>
    <w:p>
      <w:pPr>
        <w:jc w:val="right"/>
        <w:rPr>
          <w:i/>
          <w:noProof/>
          <w:sz w:val="20"/>
        </w:rPr>
      </w:pPr>
      <w:r>
        <w:rPr>
          <w:noProof/>
        </w:rPr>
        <w:t>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400"/>
        <w:gridCol w:w="956"/>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Linia bugetară pentru venituri:</w:t>
            </w:r>
          </w:p>
        </w:tc>
        <w:tc>
          <w:tcPr>
            <w:tcW w:w="1400" w:type="dxa"/>
            <w:vMerge w:val="restart"/>
            <w:vAlign w:val="center"/>
          </w:tcPr>
          <w:p>
            <w:pPr>
              <w:jc w:val="center"/>
              <w:rPr>
                <w:noProof/>
                <w:sz w:val="18"/>
              </w:rPr>
            </w:pPr>
            <w:r>
              <w:rPr>
                <w:noProof/>
                <w:sz w:val="18"/>
              </w:rPr>
              <w:t>Credite disponibile pentru exercițiul financiar în curs</w:t>
            </w:r>
          </w:p>
        </w:tc>
        <w:tc>
          <w:tcPr>
            <w:tcW w:w="7076" w:type="dxa"/>
            <w:gridSpan w:val="7"/>
            <w:vAlign w:val="center"/>
          </w:tcPr>
          <w:p>
            <w:pPr>
              <w:jc w:val="center"/>
              <w:rPr>
                <w:noProof/>
                <w:sz w:val="18"/>
              </w:rPr>
            </w:pPr>
            <w:r>
              <w:rPr>
                <w:noProof/>
                <w:sz w:val="18"/>
              </w:rPr>
              <w:t>Impactul propunerii/inițiativei</w:t>
            </w:r>
            <w:r>
              <w:rPr>
                <w:rStyle w:val="FootnoteReference"/>
                <w:noProof/>
              </w:rPr>
              <w:footnoteReference w:id="22"/>
            </w:r>
          </w:p>
        </w:tc>
      </w:tr>
      <w:tr>
        <w:trPr>
          <w:trHeight w:val="388"/>
        </w:trPr>
        <w:tc>
          <w:tcPr>
            <w:tcW w:w="2144" w:type="dxa"/>
            <w:vMerge/>
          </w:tcPr>
          <w:p>
            <w:pPr>
              <w:spacing w:before="40" w:after="40"/>
              <w:rPr>
                <w:noProof/>
                <w:sz w:val="18"/>
              </w:rPr>
            </w:pPr>
          </w:p>
        </w:tc>
        <w:tc>
          <w:tcPr>
            <w:tcW w:w="1400" w:type="dxa"/>
            <w:vMerge/>
          </w:tcPr>
          <w:p>
            <w:pPr>
              <w:spacing w:beforeLines="40" w:before="96" w:afterLines="40" w:after="96"/>
              <w:rPr>
                <w:i/>
                <w:noProof/>
                <w:sz w:val="18"/>
              </w:rPr>
            </w:pPr>
          </w:p>
        </w:tc>
        <w:tc>
          <w:tcPr>
            <w:tcW w:w="956" w:type="dxa"/>
            <w:vAlign w:val="center"/>
          </w:tcPr>
          <w:p>
            <w:pPr>
              <w:jc w:val="center"/>
              <w:rPr>
                <w:noProof/>
                <w:sz w:val="18"/>
              </w:rPr>
            </w:pPr>
            <w:r>
              <w:rPr>
                <w:noProof/>
                <w:sz w:val="18"/>
              </w:rPr>
              <w:t>Anul</w:t>
            </w:r>
            <w:r>
              <w:rPr>
                <w:noProof/>
                <w:sz w:val="22"/>
              </w:rPr>
              <w:br/>
            </w:r>
            <w:r>
              <w:rPr>
                <w:b/>
                <w:noProof/>
                <w:sz w:val="18"/>
              </w:rPr>
              <w:t>N</w:t>
            </w:r>
          </w:p>
        </w:tc>
        <w:tc>
          <w:tcPr>
            <w:tcW w:w="900" w:type="dxa"/>
            <w:vAlign w:val="center"/>
          </w:tcPr>
          <w:p>
            <w:pPr>
              <w:jc w:val="center"/>
              <w:rPr>
                <w:noProof/>
                <w:sz w:val="18"/>
              </w:rPr>
            </w:pPr>
            <w:r>
              <w:rPr>
                <w:noProof/>
                <w:sz w:val="18"/>
              </w:rPr>
              <w:t>Anul</w:t>
            </w:r>
            <w:r>
              <w:rPr>
                <w:noProof/>
                <w:sz w:val="22"/>
              </w:rPr>
              <w:br/>
            </w:r>
            <w:r>
              <w:rPr>
                <w:b/>
                <w:noProof/>
                <w:sz w:val="18"/>
              </w:rPr>
              <w:t>N+1</w:t>
            </w:r>
          </w:p>
        </w:tc>
        <w:tc>
          <w:tcPr>
            <w:tcW w:w="900" w:type="dxa"/>
            <w:vAlign w:val="center"/>
          </w:tcPr>
          <w:p>
            <w:pPr>
              <w:jc w:val="center"/>
              <w:rPr>
                <w:noProof/>
                <w:sz w:val="18"/>
              </w:rPr>
            </w:pPr>
            <w:r>
              <w:rPr>
                <w:noProof/>
                <w:sz w:val="18"/>
              </w:rPr>
              <w:t>Anul</w:t>
            </w:r>
            <w:r>
              <w:rPr>
                <w:noProof/>
                <w:sz w:val="22"/>
              </w:rPr>
              <w:br/>
            </w:r>
            <w:r>
              <w:rPr>
                <w:b/>
                <w:noProof/>
                <w:sz w:val="18"/>
              </w:rPr>
              <w:t>N+2</w:t>
            </w:r>
          </w:p>
        </w:tc>
        <w:tc>
          <w:tcPr>
            <w:tcW w:w="1080" w:type="dxa"/>
            <w:vAlign w:val="center"/>
          </w:tcPr>
          <w:p>
            <w:pPr>
              <w:jc w:val="center"/>
              <w:rPr>
                <w:noProof/>
                <w:sz w:val="18"/>
              </w:rPr>
            </w:pPr>
            <w:r>
              <w:rPr>
                <w:noProof/>
                <w:sz w:val="18"/>
              </w:rPr>
              <w:t>Anul</w:t>
            </w:r>
            <w:r>
              <w:rPr>
                <w:noProof/>
                <w:sz w:val="22"/>
              </w:rPr>
              <w:br/>
            </w:r>
            <w:r>
              <w:rPr>
                <w:b/>
                <w:noProof/>
                <w:sz w:val="18"/>
              </w:rPr>
              <w:t>N+3</w:t>
            </w:r>
          </w:p>
        </w:tc>
        <w:tc>
          <w:tcPr>
            <w:tcW w:w="3240" w:type="dxa"/>
            <w:gridSpan w:val="3"/>
            <w:vAlign w:val="center"/>
          </w:tcPr>
          <w:p>
            <w:pPr>
              <w:jc w:val="center"/>
              <w:rPr>
                <w:b/>
                <w:noProof/>
                <w:sz w:val="18"/>
              </w:rPr>
            </w:pPr>
            <w:r>
              <w:rPr>
                <w:noProof/>
                <w:sz w:val="18"/>
              </w:rPr>
              <w:t>A se introduce atâția ani câți sunt considerați necesari pentru a reflecta durata impactului (conform punctului 1.6)</w:t>
            </w:r>
          </w:p>
        </w:tc>
      </w:tr>
      <w:tr>
        <w:trPr>
          <w:trHeight w:val="388"/>
        </w:trPr>
        <w:tc>
          <w:tcPr>
            <w:tcW w:w="2144" w:type="dxa"/>
            <w:vAlign w:val="center"/>
          </w:tcPr>
          <w:p>
            <w:pPr>
              <w:spacing w:before="40" w:after="40"/>
              <w:rPr>
                <w:noProof/>
                <w:sz w:val="18"/>
              </w:rPr>
            </w:pPr>
            <w:r>
              <w:rPr>
                <w:noProof/>
                <w:sz w:val="18"/>
              </w:rPr>
              <w:t>Articol ….</w:t>
            </w:r>
          </w:p>
        </w:tc>
        <w:tc>
          <w:tcPr>
            <w:tcW w:w="1400" w:type="dxa"/>
          </w:tcPr>
          <w:p>
            <w:pPr>
              <w:spacing w:beforeLines="40" w:before="96" w:afterLines="40" w:after="96"/>
              <w:jc w:val="center"/>
              <w:rPr>
                <w:i/>
                <w:noProof/>
                <w:sz w:val="18"/>
              </w:rPr>
            </w:pPr>
          </w:p>
        </w:tc>
        <w:tc>
          <w:tcPr>
            <w:tcW w:w="956"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ind w:left="850"/>
        <w:rPr>
          <w:noProof/>
          <w:sz w:val="20"/>
        </w:rPr>
      </w:pPr>
      <w:r>
        <w:rPr>
          <w:noProof/>
          <w:sz w:val="20"/>
        </w:rPr>
        <w:t>Pentru diversele venituri alocate, a se preciza linia bugetară (liniile bugetare) de cheltuieli afectată (afectate).</w:t>
      </w:r>
    </w:p>
    <w:p>
      <w:pPr>
        <w:pBdr>
          <w:top w:val="single" w:sz="4" w:space="1" w:color="auto"/>
          <w:left w:val="single" w:sz="4" w:space="4" w:color="auto"/>
          <w:bottom w:val="single" w:sz="4" w:space="1" w:color="auto"/>
          <w:right w:val="single" w:sz="4" w:space="4" w:color="auto"/>
        </w:pBdr>
        <w:ind w:left="850"/>
        <w:rPr>
          <w:noProof/>
        </w:rPr>
      </w:pPr>
    </w:p>
    <w:p>
      <w:pPr>
        <w:ind w:left="850"/>
        <w:rPr>
          <w:noProof/>
          <w:sz w:val="20"/>
        </w:rPr>
      </w:pPr>
      <w:r>
        <w:rPr>
          <w:noProof/>
          <w:sz w:val="20"/>
        </w:rPr>
        <w:t>A se preciza metoda de calcul a impactului asupra veniturilor.</w:t>
      </w:r>
    </w:p>
    <w:p>
      <w:pPr>
        <w:pBdr>
          <w:top w:val="single" w:sz="4" w:space="1" w:color="auto"/>
          <w:left w:val="single" w:sz="4" w:space="4" w:color="auto"/>
          <w:bottom w:val="single" w:sz="4" w:space="1" w:color="auto"/>
          <w:right w:val="single" w:sz="4" w:space="4" w:color="auto"/>
        </w:pBdr>
        <w:ind w:left="850"/>
        <w:rPr>
          <w:noProof/>
        </w:rPr>
      </w:pPr>
    </w:p>
    <w:p>
      <w:pPr>
        <w:jc w:val="center"/>
        <w:rPr>
          <w:noProof/>
        </w:rPr>
      </w:pPr>
    </w:p>
    <w:sectPr>
      <w:pgSz w:w="11907" w:h="16840" w:code="1"/>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Cambri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Concluziile Consiliului Afaceri Externe, 15.11.2016.</w:t>
      </w:r>
    </w:p>
  </w:footnote>
  <w:footnote w:id="2">
    <w:p>
      <w:pPr>
        <w:pStyle w:val="FootnoteText"/>
      </w:pPr>
      <w:r>
        <w:rPr>
          <w:rStyle w:val="FootnoteReference"/>
        </w:rPr>
        <w:footnoteRef/>
      </w:r>
      <w:r>
        <w:tab/>
        <w:t>A se vedea, de asemenea, pagina 12 din documentul de lucru al serviciilor Comisiei care însoțește regulamentul.</w:t>
      </w:r>
    </w:p>
  </w:footnote>
  <w:footnote w:id="3">
    <w:p>
      <w:pPr>
        <w:pStyle w:val="FootnoteText"/>
      </w:pPr>
      <w:r>
        <w:rPr>
          <w:rStyle w:val="FootnoteReference"/>
        </w:rPr>
        <w:footnoteRef/>
      </w:r>
      <w:r>
        <w:tab/>
        <w:t>Concluziile Consiliului Afaceri Externe, 15.11.2016.</w:t>
      </w:r>
    </w:p>
  </w:footnote>
  <w:footnote w:id="4">
    <w:p>
      <w:pPr>
        <w:pStyle w:val="FootnoteText"/>
      </w:pPr>
      <w:r>
        <w:rPr>
          <w:rStyle w:val="FootnoteReference"/>
        </w:rPr>
        <w:footnoteRef/>
      </w:r>
      <w:r>
        <w:tab/>
        <w:t>JO C […], […], p. […].</w:t>
      </w:r>
    </w:p>
  </w:footnote>
  <w:footnote w:id="5">
    <w:p>
      <w:pPr>
        <w:pStyle w:val="FootnoteText"/>
      </w:pPr>
      <w:r>
        <w:rPr>
          <w:rStyle w:val="FootnoteReference"/>
        </w:rPr>
        <w:footnoteRef/>
      </w:r>
      <w:r>
        <w:tab/>
        <w:t>JO C […], […], p. […].</w:t>
      </w:r>
    </w:p>
  </w:footnote>
  <w:footnote w:id="6">
    <w:p>
      <w:pPr>
        <w:pStyle w:val="FootnoteText"/>
      </w:pPr>
      <w:r>
        <w:rPr>
          <w:rStyle w:val="FootnoteReference"/>
        </w:rPr>
        <w:footnoteRef/>
      </w:r>
      <w:r>
        <w:tab/>
        <w:t>Regulamentul (UE, Euratom) nr. 966/2012 al Parlamentului European și al Consiliului din 25 octombrie 2012 privind normele financiare aplicabile bugetului general al Uniunii și de abrogare a Regulamentului (CE, Euratom) nr. 1605/2002 al Consiliului, JO L 298, 26.10.2012, p. 1.</w:t>
      </w:r>
    </w:p>
  </w:footnote>
  <w:footnote w:id="7">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w:t>
      </w:r>
    </w:p>
  </w:footnote>
  <w:footnote w:id="8">
    <w:p>
      <w:pPr>
        <w:pStyle w:val="FootnoteText"/>
      </w:pPr>
      <w:r>
        <w:rPr>
          <w:rStyle w:val="FootnoteReference"/>
        </w:rPr>
        <w:footnoteRef/>
      </w:r>
      <w:r>
        <w:tab/>
        <w:t>Regulamentul delegat (UE) nr. 1268/2012 al Comisiei din 29 octombrie 2012 privind normele de aplicare a Regulamentului (UE, Euratom) nr. 966/2012 al Parlamentului European și al Consiliului privind normele financiare aplicabile bugetului general al Uniunii (JO L 362, 31.12.2012, p. 1).</w:t>
      </w:r>
    </w:p>
  </w:footnote>
  <w:footnote w:id="9">
    <w:p>
      <w:pPr>
        <w:pStyle w:val="FootnoteText"/>
      </w:pPr>
      <w:r>
        <w:rPr>
          <w:rStyle w:val="FootnoteReference"/>
        </w:rPr>
        <w:footnoteRef/>
      </w:r>
      <w: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10">
    <w:p>
      <w:pPr>
        <w:pStyle w:val="FootnoteText"/>
      </w:pPr>
      <w:r>
        <w:rPr>
          <w:rStyle w:val="FootnoteReference"/>
        </w:rPr>
        <w:footnoteRef/>
      </w:r>
      <w:r>
        <w:tab/>
        <w:t xml:space="preserve">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 </w:t>
      </w:r>
    </w:p>
    <w:p>
      <w:pPr>
        <w:pStyle w:val="FootnoteText"/>
      </w:pPr>
    </w:p>
  </w:footnote>
  <w:footnote w:id="11">
    <w:p>
      <w:pPr>
        <w:pStyle w:val="FootnoteText"/>
        <w:rPr>
          <w:szCs w:val="24"/>
        </w:rPr>
      </w:pPr>
      <w:r>
        <w:rPr>
          <w:rStyle w:val="FootnoteReference"/>
        </w:rPr>
        <w:footnoteRef/>
      </w:r>
      <w:r>
        <w:tab/>
        <w:t>Astfel cum se menționează la articolul 54 alineatul (2) litera (a) sau (b) din Regulamentul financiar.</w:t>
      </w:r>
    </w:p>
  </w:footnote>
  <w:footnote w:id="12">
    <w:p>
      <w:pPr>
        <w:pStyle w:val="FootnoteText"/>
        <w:jc w:val="left"/>
        <w:rPr>
          <w:szCs w:val="24"/>
        </w:rPr>
      </w:pPr>
      <w:r>
        <w:rPr>
          <w:rStyle w:val="FootnoteReference"/>
        </w:rPr>
        <w:footnoteRef/>
      </w:r>
      <w:r>
        <w:tab/>
        <w:t xml:space="preserve">Explicațiile privind modurile de gestiune, precum și trimiterile la Regulamentul financiar sunt disponibile pe site-ul BudgWeb: </w:t>
      </w:r>
      <w:hyperlink r:id="rId1">
        <w:r>
          <w:rPr>
            <w:rStyle w:val="Hyperlink"/>
            <w:color w:val="auto"/>
          </w:rPr>
          <w:t>https://myintracomm.ec.europa.eu/budgweb/EN/man/budgmanag/Pages/budgmanag.aspx</w:t>
        </w:r>
      </w:hyperlink>
      <w:r>
        <w:t xml:space="preserve"> </w:t>
      </w:r>
    </w:p>
  </w:footnote>
  <w:footnote w:id="13">
    <w:p>
      <w:pPr>
        <w:pStyle w:val="FootnoteText"/>
        <w:rPr>
          <w:szCs w:val="24"/>
        </w:rPr>
      </w:pPr>
      <w:r>
        <w:rPr>
          <w:rStyle w:val="FootnoteReference"/>
        </w:rPr>
        <w:footnoteRef/>
      </w:r>
      <w:r>
        <w:tab/>
        <w:t>Dif. = credite diferențiate / Nedif. = credite nediferențiate.</w:t>
      </w:r>
    </w:p>
  </w:footnote>
  <w:footnote w:id="14">
    <w:p>
      <w:pPr>
        <w:pStyle w:val="FootnoteText"/>
        <w:rPr>
          <w:szCs w:val="24"/>
        </w:rPr>
      </w:pPr>
      <w:r>
        <w:rPr>
          <w:rStyle w:val="FootnoteReference"/>
        </w:rPr>
        <w:footnoteRef/>
      </w:r>
      <w:r>
        <w:tab/>
        <w:t xml:space="preserve">AELS: Asociația Europeană a Liberului Schimb. </w:t>
      </w:r>
    </w:p>
  </w:footnote>
  <w:footnote w:id="15">
    <w:p>
      <w:pPr>
        <w:pStyle w:val="FootnoteText"/>
        <w:rPr>
          <w:szCs w:val="24"/>
        </w:rPr>
      </w:pPr>
      <w:r>
        <w:rPr>
          <w:rStyle w:val="FootnoteReference"/>
        </w:rPr>
        <w:footnoteRef/>
      </w:r>
      <w:r>
        <w:tab/>
        <w:t>Țările candidate și, după caz, țările potențial candidate din Balcanii de Vest.</w:t>
      </w:r>
    </w:p>
  </w:footnote>
  <w:footnote w:id="16">
    <w:p>
      <w:pPr>
        <w:pStyle w:val="FootnoteText"/>
        <w:rPr>
          <w:szCs w:val="24"/>
        </w:rPr>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17">
    <w:p>
      <w:pPr>
        <w:pStyle w:val="FootnoteText"/>
        <w:rPr>
          <w:szCs w:val="24"/>
        </w:rPr>
      </w:pPr>
      <w:r>
        <w:rPr>
          <w:rStyle w:val="FootnoteReference"/>
        </w:rPr>
        <w:footnoteRef/>
      </w:r>
      <w:r>
        <w:tab/>
        <w:t>Realizările se referă la produsele și serviciile care vor fi furnizate (de ex.: numărul de schimburi de studenți finanțate, numărul de km de străzi construiți etc.).</w:t>
      </w:r>
    </w:p>
  </w:footnote>
  <w:footnote w:id="18">
    <w:p>
      <w:pPr>
        <w:pStyle w:val="FootnoteText"/>
        <w:rPr>
          <w:szCs w:val="24"/>
        </w:rPr>
      </w:pPr>
      <w:r>
        <w:rPr>
          <w:rStyle w:val="FootnoteReference"/>
        </w:rPr>
        <w:footnoteRef/>
      </w:r>
      <w:r>
        <w:tab/>
        <w:t xml:space="preserve">Conform descrierii de la punctul 1.4.2. „Obiectiv(e) specific(e)…” </w:t>
      </w:r>
    </w:p>
  </w:footnote>
  <w:footnote w:id="19">
    <w:p>
      <w:pPr>
        <w:pStyle w:val="FootnoteText"/>
        <w:rPr>
          <w:szCs w:val="24"/>
        </w:rPr>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20">
    <w:p>
      <w:pPr>
        <w:pStyle w:val="FootnoteText"/>
        <w:rPr>
          <w:szCs w:val="24"/>
        </w:rPr>
      </w:pPr>
      <w:r>
        <w:rPr>
          <w:rStyle w:val="FootnoteReference"/>
        </w:rPr>
        <w:footnoteRef/>
      </w:r>
      <w:r>
        <w:tab/>
        <w:t xml:space="preserve">AC = agent contractual; AL = agent local; END = expert național detașat; INT = personal temporar; JED = expert tânăr în delegații. </w:t>
      </w:r>
    </w:p>
  </w:footnote>
  <w:footnote w:id="21">
    <w:p>
      <w:pPr>
        <w:pStyle w:val="FootnoteText"/>
        <w:rPr>
          <w:szCs w:val="24"/>
        </w:rPr>
      </w:pPr>
      <w:r>
        <w:rPr>
          <w:rStyle w:val="FootnoteReference"/>
        </w:rPr>
        <w:footnoteRef/>
      </w:r>
      <w:r>
        <w:tab/>
        <w:t>Subplafonul pentru personal extern acoperit din creditele operaționale (fostele linii „BA”).</w:t>
      </w:r>
    </w:p>
  </w:footnote>
  <w:footnote w:id="22">
    <w:p>
      <w:pPr>
        <w:pStyle w:val="FootnoteText"/>
        <w:rPr>
          <w:szCs w:val="24"/>
        </w:rPr>
      </w:pPr>
      <w:r>
        <w:rPr>
          <w:rStyle w:val="FootnoteReference"/>
        </w:rPr>
        <w:footnoteRef/>
      </w:r>
      <w:r>
        <w:tab/>
        <w:t>În ceea ce privește resursele proprii tradiționale (taxe vamale, cotizații pentru zahăr), sumele indicate trebuie să fie sume nete, și anume sume brute după deducerea unei cote de 25 %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AC4763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56E719E"/>
    <w:lvl w:ilvl="0">
      <w:start w:val="1"/>
      <w:numFmt w:val="decimal"/>
      <w:pStyle w:val="ListNumber3"/>
      <w:lvlText w:val="%1."/>
      <w:lvlJc w:val="left"/>
      <w:pPr>
        <w:tabs>
          <w:tab w:val="num" w:pos="926"/>
        </w:tabs>
        <w:ind w:left="926" w:hanging="360"/>
      </w:pPr>
    </w:lvl>
  </w:abstractNum>
  <w:abstractNum w:abstractNumId="2">
    <w:nsid w:val="FFFFFF7F"/>
    <w:multiLevelType w:val="singleLevel"/>
    <w:tmpl w:val="5FF6F966"/>
    <w:lvl w:ilvl="0">
      <w:start w:val="1"/>
      <w:numFmt w:val="decimal"/>
      <w:pStyle w:val="ListNumber2"/>
      <w:lvlText w:val="%1."/>
      <w:lvlJc w:val="left"/>
      <w:pPr>
        <w:tabs>
          <w:tab w:val="num" w:pos="643"/>
        </w:tabs>
        <w:ind w:left="643" w:hanging="360"/>
      </w:pPr>
    </w:lvl>
  </w:abstractNum>
  <w:abstractNum w:abstractNumId="3">
    <w:nsid w:val="FFFFFF81"/>
    <w:multiLevelType w:val="singleLevel"/>
    <w:tmpl w:val="F4C6129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DF46AB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0"/>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0"/>
  </w:num>
  <w:num w:numId="19">
    <w:abstractNumId w:val="21"/>
  </w:num>
  <w:num w:numId="20">
    <w:abstractNumId w:val="9"/>
  </w:num>
  <w:num w:numId="21">
    <w:abstractNumId w:val="11"/>
  </w:num>
  <w:num w:numId="22">
    <w:abstractNumId w:val="7"/>
  </w:num>
  <w:num w:numId="23">
    <w:abstractNumId w:val="20"/>
  </w:num>
  <w:num w:numId="24">
    <w:abstractNumId w:val="6"/>
  </w:num>
  <w:num w:numId="25">
    <w:abstractNumId w:val="12"/>
  </w:num>
  <w:num w:numId="26">
    <w:abstractNumId w:val="16"/>
  </w:num>
  <w:num w:numId="27">
    <w:abstractNumId w:val="17"/>
  </w:num>
  <w:num w:numId="28">
    <w:abstractNumId w:val="8"/>
  </w:num>
  <w:num w:numId="29">
    <w:abstractNumId w:val="15"/>
  </w:num>
  <w:num w:numId="30">
    <w:abstractNumId w:val="24"/>
  </w:num>
  <w:num w:numId="31">
    <w:abstractNumId w:val="18"/>
  </w:num>
  <w:num w:numId="32">
    <w:abstractNumId w:val="10"/>
  </w:num>
  <w:num w:numId="33">
    <w:abstractNumId w:val="21"/>
  </w:num>
  <w:num w:numId="34">
    <w:abstractNumId w:val="9"/>
  </w:num>
  <w:num w:numId="35">
    <w:abstractNumId w:val="11"/>
  </w:num>
  <w:num w:numId="36">
    <w:abstractNumId w:val="7"/>
  </w:num>
  <w:num w:numId="37">
    <w:abstractNumId w:val="20"/>
  </w:num>
  <w:num w:numId="38">
    <w:abstractNumId w:val="6"/>
  </w:num>
  <w:num w:numId="39">
    <w:abstractNumId w:val="12"/>
  </w:num>
  <w:num w:numId="40">
    <w:abstractNumId w:val="16"/>
  </w:num>
  <w:num w:numId="41">
    <w:abstractNumId w:val="17"/>
  </w:num>
  <w:num w:numId="42">
    <w:abstractNumId w:val="8"/>
  </w:num>
  <w:num w:numId="43">
    <w:abstractNumId w:val="15"/>
  </w:num>
  <w:num w:numId="44">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hideSpellingErrors/>
  <w:hideGrammaticalErrors/>
  <w:attachedTemplate r:id="rId1"/>
  <w:revisionView w:markup="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6-12 11:16:3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9"/>
    <w:docVar w:name="DQCResult_ModifiedMarkers" w:val="0;0"/>
    <w:docVar w:name="DQCResult_ModifiedNumbering" w:val="0;0"/>
    <w:docVar w:name="DQCResult_Objects" w:val="0;0"/>
    <w:docVar w:name="DQCResult_Sections" w:val="0;0"/>
    <w:docVar w:name="DQCResult_StructureCheck" w:val="0;0"/>
    <w:docVar w:name="DQCResult_SuperfluousWhitespace" w:val="0;15"/>
    <w:docVar w:name="DQCResult_UnknownFonts" w:val="0;0"/>
    <w:docVar w:name="DQCResult_UnknownStyles" w:val="0;7"/>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39295E597A094A529EA6DAA2712E7200"/>
    <w:docVar w:name="LW_CROSSREFERENCE" w:val="{SWD(2017) 228 final}"/>
    <w:docVar w:name="LW_DocType" w:val="COM"/>
    <w:docVar w:name="LW_EMISSION" w:val="7.6.2017"/>
    <w:docVar w:name="LW_EMISSION_ISODATE" w:val="2017-06-07"/>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125"/>
    <w:docVar w:name="LW_REF.II.NEW.CP_YEAR" w:val="2017"/>
    <w:docVar w:name="LW_REF.INST.NEW" w:val="COM"/>
    <w:docVar w:name="LW_REF.INST.NEW_ADOPTED" w:val="final"/>
    <w:docVar w:name="LW_REF.INST.NEW_TEXT" w:val="(2017) 294"/>
    <w:docVar w:name="LW_REF.INTERNE" w:val="&lt;UNUSED&gt;"/>
    <w:docVar w:name="LW_SOUS.TITRE.OBJ.CP" w:val="&lt;UNUSED&gt;"/>
    <w:docVar w:name="LW_STATUT.CP" w:val="Propunere de"/>
    <w:docVar w:name="LW_SUPERTITRE" w:val="&lt;UNUSED&gt;"/>
    <w:docVar w:name="LW_TITRE.OBJ.CP" w:val="de instituire a programului european de dezvoltare industrial\u259? în domeniul ap\u259?r\u259?rii, pentru sprijinirea competitivit\u259?\u539?ii \u537?i a capacit\u259?\u539?ii de inovare a industriei de ap\u259?rare a UE"/>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NumPar10">
    <w:name w:val="NumPar1"/>
    <w:basedOn w:val="ManualNumPar1"/>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4"/>
      </w:numPr>
      <w:contextualSpacing/>
    </w:pPr>
  </w:style>
  <w:style w:type="paragraph" w:styleId="ListNumber3">
    <w:name w:val="List Number 3"/>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numbering" w:customStyle="1" w:styleId="NoList1">
    <w:name w:val="No List1"/>
    <w:next w:val="NoList"/>
    <w:uiPriority w:val="99"/>
    <w:semiHidden/>
    <w:unhideWhenUsed/>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ext10">
    <w:name w:val="Text1"/>
    <w:basedOn w:val="Normal"/>
    <w:pPr>
      <w:pBdr>
        <w:top w:val="single" w:sz="4" w:space="1" w:color="auto"/>
        <w:left w:val="single" w:sz="4" w:space="4" w:color="auto"/>
        <w:bottom w:val="single" w:sz="4" w:space="1" w:color="auto"/>
        <w:right w:val="single" w:sz="4" w:space="4" w:color="auto"/>
      </w:pBdr>
      <w:ind w:left="85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NumPar10">
    <w:name w:val="NumPar1"/>
    <w:basedOn w:val="ManualNumPar1"/>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4"/>
      </w:numPr>
      <w:contextualSpacing/>
    </w:pPr>
  </w:style>
  <w:style w:type="paragraph" w:styleId="ListNumber3">
    <w:name w:val="List Number 3"/>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numbering" w:customStyle="1" w:styleId="NoList1">
    <w:name w:val="No List1"/>
    <w:next w:val="NoList"/>
    <w:uiPriority w:val="99"/>
    <w:semiHidden/>
    <w:unhideWhenUsed/>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ext10">
    <w:name w:val="Text1"/>
    <w:basedOn w:val="Normal"/>
    <w:pPr>
      <w:pBdr>
        <w:top w:val="single" w:sz="4" w:space="1" w:color="auto"/>
        <w:left w:val="single" w:sz="4" w:space="4" w:color="auto"/>
        <w:bottom w:val="single" w:sz="4" w:space="1" w:color="auto"/>
        <w:right w:val="single" w:sz="4" w:space="4" w:color="auto"/>
      </w:pBdr>
      <w:ind w:left="85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8FC0F-922F-4FB1-A2FD-E766C6766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37</Pages>
  <Words>10315</Words>
  <Characters>61689</Characters>
  <Application>Microsoft Office Word</Application>
  <DocSecurity>0</DocSecurity>
  <Lines>1762</Lines>
  <Paragraphs>867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2017-06-01T14:40:00Z</cp:lastPrinted>
  <dcterms:created xsi:type="dcterms:W3CDTF">2017-06-08T12:31:00Z</dcterms:created>
  <dcterms:modified xsi:type="dcterms:W3CDTF">2017-06-12T09:16:00Z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ies>
</file>