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75F0" w:rsidRDefault="00AD6983">
      <w:pPr>
        <w:pStyle w:val="Pagedecouverture"/>
        <w:rPr>
          <w:noProof/>
        </w:rPr>
      </w:pPr>
      <w:bookmarkStart w:id="0" w:name="LW_BM_COVERPAGE"/>
      <w:bookmarkStart w:id="1" w:name="_GoBack"/>
      <w:bookmarkEnd w:id="1"/>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E4E61A6F31294812839D3CDA1CC43F1B" style="width:450.6pt;height:320.3pt">
            <v:imagedata r:id="rId9" o:title=""/>
          </v:shape>
        </w:pict>
      </w:r>
    </w:p>
    <w:bookmarkEnd w:id="0"/>
    <w:p w:rsidR="006575F0" w:rsidRDefault="006575F0">
      <w:pPr>
        <w:rPr>
          <w:noProof/>
        </w:rPr>
        <w:sectPr w:rsidR="006575F0">
          <w:headerReference w:type="even" r:id="rId10"/>
          <w:headerReference w:type="default" r:id="rId11"/>
          <w:footerReference w:type="even" r:id="rId12"/>
          <w:footerReference w:type="default" r:id="rId13"/>
          <w:headerReference w:type="first" r:id="rId14"/>
          <w:footerReference w:type="first" r:id="rId15"/>
          <w:pgSz w:w="11900" w:h="16840"/>
          <w:pgMar w:top="1134" w:right="1417" w:bottom="1134" w:left="1417" w:header="709" w:footer="709" w:gutter="0"/>
          <w:pgNumType w:start="1"/>
          <w:cols w:space="720"/>
          <w:docGrid w:linePitch="326"/>
        </w:sectPr>
      </w:pPr>
    </w:p>
    <w:p w:rsidR="006575F0" w:rsidRDefault="00AD6983">
      <w:pPr>
        <w:pStyle w:val="Body"/>
        <w:spacing w:after="120" w:line="240" w:lineRule="auto"/>
        <w:jc w:val="both"/>
        <w:rPr>
          <w:rFonts w:ascii="Times New Roman" w:eastAsia="Times New Roman" w:hAnsi="Times New Roman" w:cs="Times New Roman"/>
          <w:b/>
          <w:bCs/>
          <w:smallCaps/>
          <w:noProof/>
          <w:sz w:val="24"/>
          <w:szCs w:val="24"/>
        </w:rPr>
      </w:pPr>
      <w:r>
        <w:rPr>
          <w:rFonts w:ascii="Times New Roman" w:hAnsi="Times New Roman"/>
          <w:b/>
          <w:smallCaps/>
          <w:noProof/>
          <w:sz w:val="24"/>
        </w:rPr>
        <w:lastRenderedPageBreak/>
        <w:t>Introducere</w:t>
      </w:r>
    </w:p>
    <w:p w:rsidR="006575F0" w:rsidRDefault="00AD6983">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UE se confruntă cu creșterea instabilității și a numărului conflictelor din vecinătatea</w:t>
      </w:r>
      <w:r>
        <w:rPr>
          <w:rFonts w:ascii="Times New Roman" w:hAnsi="Times New Roman"/>
          <w:noProof/>
          <w:sz w:val="24"/>
        </w:rPr>
        <w:t xml:space="preserve"> sa și apar noi amenințări la adresa securității. Este puțin probabil ca această situație să se schimbe în viitorul apropiat. Tot mai mulți cetățeni își îndreaptă privirile către Europa pentru protecție în interiorul și în afara frontierelor sale, întrucât</w:t>
      </w:r>
      <w:r>
        <w:rPr>
          <w:rFonts w:ascii="Times New Roman" w:hAnsi="Times New Roman"/>
          <w:noProof/>
          <w:sz w:val="24"/>
        </w:rPr>
        <w:t xml:space="preserve"> amploarea acestor provocări este de așa natură încât niciun stat membru nu le poate aborda cu succes pe cont propriu.</w:t>
      </w:r>
    </w:p>
    <w:p w:rsidR="006575F0" w:rsidRDefault="00AD6983">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Securitatea cetățenilor europeni este, în primul rând, o responsabilitate europeană. Recunoscând acest fapt, statele membre reinvestesc î</w:t>
      </w:r>
      <w:r>
        <w:rPr>
          <w:rFonts w:ascii="Times New Roman" w:hAnsi="Times New Roman"/>
          <w:noProof/>
          <w:sz w:val="24"/>
        </w:rPr>
        <w:t xml:space="preserve">n apărare. Cele 28 de state membre ale UE cheltuiesc 1,34 % din PIB pentru apărare (pentru UE27, cifra este de 1,32 %), însă există o nevoie clară de a face mai mult în această privință. </w:t>
      </w:r>
    </w:p>
    <w:p w:rsidR="006575F0" w:rsidRDefault="00AD6983">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Pentru a fi pregătită să facă față amenințărilor de mâine și pentru </w:t>
      </w:r>
      <w:r>
        <w:rPr>
          <w:rFonts w:ascii="Times New Roman" w:hAnsi="Times New Roman"/>
          <w:noProof/>
          <w:sz w:val="24"/>
        </w:rPr>
        <w:t xml:space="preserve">a-și proteja cetățenii, Europa trebuie să își consolideze autonomia strategică. Acest lucru necesită dezvoltarea de tehnologii cheie în domenii critice și de capabilități strategice pentru a asigura o poziție de lider în domeniul tehnologic. Cooperarea la </w:t>
      </w:r>
      <w:r>
        <w:rPr>
          <w:rFonts w:ascii="Times New Roman" w:hAnsi="Times New Roman"/>
          <w:noProof/>
          <w:sz w:val="24"/>
        </w:rPr>
        <w:t>toate nivelurile reprezintă singura modalitate de a satisface așteptările cetățenilor UE. Prin încurajarea cooperării, Uniunea Europeană poate contribui la maximizarea producției și a calității investițiilor statelor membre în domeniul apărării.</w:t>
      </w:r>
    </w:p>
    <w:p w:rsidR="006575F0" w:rsidRDefault="00AD6983">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Din acest </w:t>
      </w:r>
      <w:r>
        <w:rPr>
          <w:rFonts w:ascii="Times New Roman" w:hAnsi="Times New Roman"/>
          <w:noProof/>
          <w:sz w:val="24"/>
        </w:rPr>
        <w:t>motiv, politica de apărare a fost identificată ca fiind unul dintre domeniile de acțiune prioritare în orientările politice ale președintelui Juncker. În 2016, Uniunea Europeană a pus bazele unei politici europene de apărare mai puternice. În cadrul unui a</w:t>
      </w:r>
      <w:r>
        <w:rPr>
          <w:rFonts w:ascii="Times New Roman" w:hAnsi="Times New Roman"/>
          <w:noProof/>
          <w:sz w:val="24"/>
        </w:rPr>
        <w:t>mplu pachet de măsuri în domeniul apărării, ca urmare a Strategiei globale a UE în domeniul securității și apărării, Comisia a adoptat Planul de acțiune european în domeniul apărării (EDAP)</w:t>
      </w:r>
      <w:r>
        <w:rPr>
          <w:rFonts w:ascii="Times New Roman" w:hAnsi="Times New Roman"/>
          <w:noProof/>
          <w:sz w:val="24"/>
          <w:vertAlign w:val="superscript"/>
        </w:rPr>
        <w:footnoteReference w:id="2"/>
      </w:r>
      <w:r>
        <w:rPr>
          <w:rFonts w:ascii="Times New Roman" w:hAnsi="Times New Roman"/>
          <w:noProof/>
          <w:sz w:val="24"/>
        </w:rPr>
        <w:t xml:space="preserve">. </w:t>
      </w:r>
    </w:p>
    <w:p w:rsidR="006575F0" w:rsidRDefault="00AD6983">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Acest plan de acțiune stabilește măsurile necesare pentru a ati</w:t>
      </w:r>
      <w:r>
        <w:rPr>
          <w:rFonts w:ascii="Times New Roman" w:hAnsi="Times New Roman"/>
          <w:noProof/>
          <w:sz w:val="24"/>
        </w:rPr>
        <w:t>nge un nivel mai ridicat de cooperare europeană în domeniul apărării și pentru a sprijini competitivitatea industriei europene de apărare. El a propus instituirea unui Fond european de apărare. Fondul ar trebui să sprijine statele membre pentru a generaliz</w:t>
      </w:r>
      <w:r>
        <w:rPr>
          <w:rFonts w:ascii="Times New Roman" w:hAnsi="Times New Roman"/>
          <w:noProof/>
          <w:sz w:val="24"/>
        </w:rPr>
        <w:t>a cooperarea și, astfel, pentru a dezvolta și a obține capabilități de apărare strategice cheie. Consiliul European a salutat inițiativa, precum și intenția Comisiei de a prezenta propuneri pentru crearea unui Fond european de apărare în prima jumătate a a</w:t>
      </w:r>
      <w:r>
        <w:rPr>
          <w:rFonts w:ascii="Times New Roman" w:hAnsi="Times New Roman"/>
          <w:noProof/>
          <w:sz w:val="24"/>
        </w:rPr>
        <w:t>nului 2017</w:t>
      </w:r>
      <w:r>
        <w:rPr>
          <w:rFonts w:ascii="Times New Roman" w:hAnsi="Times New Roman"/>
          <w:noProof/>
          <w:sz w:val="24"/>
          <w:vertAlign w:val="superscript"/>
        </w:rPr>
        <w:footnoteReference w:id="3"/>
      </w:r>
      <w:r>
        <w:rPr>
          <w:rFonts w:ascii="Times New Roman" w:hAnsi="Times New Roman"/>
          <w:noProof/>
          <w:sz w:val="24"/>
        </w:rPr>
        <w:t>.</w:t>
      </w:r>
    </w:p>
    <w:p w:rsidR="006575F0" w:rsidRDefault="00AD6983">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Acum este momentul să se acționeze cu privire la mandatul respectiv. Timpul trece foarte repede. Implementarea Fondului european de apărare trebuie avansată ca prioritate. </w:t>
      </w:r>
    </w:p>
    <w:p w:rsidR="006575F0" w:rsidRDefault="00AD6983">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Lucrările progresează în ceea ce privește pregătirea componentei de ce</w:t>
      </w:r>
      <w:r>
        <w:rPr>
          <w:rFonts w:ascii="Times New Roman" w:hAnsi="Times New Roman"/>
          <w:noProof/>
          <w:sz w:val="24"/>
        </w:rPr>
        <w:t>rcetare a Fondului european de apărare. Comisia înaintează astăzi o propunere legislativă privind un Program european de dezvoltare industrială în domeniul apărării. Propunerea este rezultatul unui dialog intens cu toate părțile interesate, în special cu s</w:t>
      </w:r>
      <w:r>
        <w:rPr>
          <w:rFonts w:ascii="Times New Roman" w:hAnsi="Times New Roman"/>
          <w:noProof/>
          <w:sz w:val="24"/>
        </w:rPr>
        <w:t>tatele membre. Cooperarea cu Înaltul Reprezentant și cu AEA a fost strânsă. Comunicarea de față prezintă, de asemenea, instrumente pentru a promova achiziționarea în comun a capabilităților de apărare de către statele membre. Vor fi luate noi măsuri în faz</w:t>
      </w:r>
      <w:r>
        <w:rPr>
          <w:rFonts w:ascii="Times New Roman" w:hAnsi="Times New Roman"/>
          <w:noProof/>
          <w:sz w:val="24"/>
        </w:rPr>
        <w:t>ele ulterioare de instituire a fondului.</w:t>
      </w:r>
    </w:p>
    <w:p w:rsidR="006575F0" w:rsidRDefault="00AD6983">
      <w:pPr>
        <w:pStyle w:val="Body"/>
        <w:spacing w:after="120" w:line="240" w:lineRule="auto"/>
        <w:jc w:val="both"/>
        <w:rPr>
          <w:rFonts w:ascii="Times New Roman" w:eastAsia="Times New Roman" w:hAnsi="Times New Roman" w:cs="Times New Roman"/>
          <w:noProof/>
          <w:sz w:val="24"/>
          <w:szCs w:val="24"/>
          <w:vertAlign w:val="superscript"/>
        </w:rPr>
      </w:pPr>
      <w:r>
        <w:rPr>
          <w:rFonts w:ascii="Times New Roman" w:hAnsi="Times New Roman"/>
          <w:noProof/>
          <w:sz w:val="24"/>
        </w:rPr>
        <w:t xml:space="preserve">Fondul european de apărare trebuie să devină un factor cheie pentru viitorul sistemului de apărare european. El va sprijini nivelul ambițiilor asupra căruia va conveni Uniunea atunci </w:t>
      </w:r>
      <w:r>
        <w:rPr>
          <w:rFonts w:ascii="Times New Roman" w:hAnsi="Times New Roman"/>
          <w:noProof/>
          <w:sz w:val="24"/>
        </w:rPr>
        <w:lastRenderedPageBreak/>
        <w:t>când analizează diferite scenari</w:t>
      </w:r>
      <w:r>
        <w:rPr>
          <w:rFonts w:ascii="Times New Roman" w:hAnsi="Times New Roman"/>
          <w:noProof/>
          <w:sz w:val="24"/>
        </w:rPr>
        <w:t>i pentru o Uniune Europeană a Securității și a Apărării, astfel cum figurează în documentul de reflecție privind viitorul sistemului de apărare european</w:t>
      </w:r>
      <w:r>
        <w:rPr>
          <w:rFonts w:ascii="Times New Roman" w:hAnsi="Times New Roman"/>
          <w:noProof/>
          <w:sz w:val="24"/>
          <w:vertAlign w:val="superscript"/>
        </w:rPr>
        <w:footnoteReference w:id="4"/>
      </w:r>
      <w:r>
        <w:rPr>
          <w:rFonts w:ascii="Times New Roman" w:hAnsi="Times New Roman"/>
          <w:noProof/>
          <w:sz w:val="24"/>
        </w:rPr>
        <w:t>.</w:t>
      </w:r>
    </w:p>
    <w:p w:rsidR="006575F0" w:rsidRDefault="00AD6983">
      <w:pPr>
        <w:pStyle w:val="ListParagraph"/>
        <w:numPr>
          <w:ilvl w:val="0"/>
          <w:numId w:val="2"/>
        </w:numPr>
        <w:spacing w:after="120" w:line="240" w:lineRule="auto"/>
        <w:rPr>
          <w:rFonts w:ascii="Times New Roman" w:eastAsia="Times New Roman" w:hAnsi="Times New Roman" w:cs="Times New Roman"/>
          <w:b/>
          <w:bCs/>
          <w:noProof/>
          <w:sz w:val="24"/>
          <w:szCs w:val="24"/>
        </w:rPr>
      </w:pPr>
      <w:bookmarkStart w:id="2" w:name="_Hlk481908467"/>
      <w:r>
        <w:rPr>
          <w:rFonts w:ascii="Times New Roman" w:hAnsi="Times New Roman"/>
          <w:b/>
          <w:noProof/>
          <w:sz w:val="24"/>
        </w:rPr>
        <w:t>De ce avem nevoie de un Fond european de apărare?</w:t>
      </w:r>
      <w:bookmarkEnd w:id="2"/>
    </w:p>
    <w:p w:rsidR="006575F0" w:rsidRDefault="00AD6983">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În pofida mai multor inițiative în ultimii ani, </w:t>
      </w:r>
      <w:r>
        <w:rPr>
          <w:rFonts w:ascii="Times New Roman" w:hAnsi="Times New Roman"/>
          <w:noProof/>
          <w:sz w:val="24"/>
        </w:rPr>
        <w:t xml:space="preserve">peisajul din industria de apărare europeană este caracterizat de niveluri insuficiente și de o calitate scăzută a investițiilor în dezvoltarea și în achiziționarea în comun de viitoare capabilități. Statele membre nu sunt suficient de cooperante, mai mult </w:t>
      </w:r>
      <w:r>
        <w:rPr>
          <w:rFonts w:ascii="Times New Roman" w:hAnsi="Times New Roman"/>
          <w:noProof/>
          <w:sz w:val="24"/>
        </w:rPr>
        <w:t>de 80 % din procedurile de achiziții publice și peste 90 % din activitățile legate de cercetare și de tehnologie desfășurându-se la nivel național. Gradul de fragmentare rămâne ridicat. În Europa există 178 de tipuri diferite de sisteme de armament în comp</w:t>
      </w:r>
      <w:r>
        <w:rPr>
          <w:rFonts w:ascii="Times New Roman" w:hAnsi="Times New Roman"/>
          <w:noProof/>
          <w:sz w:val="24"/>
        </w:rPr>
        <w:t>arație cu 30 în Statele Unite ale Americii. Prea puțină coordonare în planificarea în domeniul apărării duce la o utilizare ineficientă a banilor contribuabililor, la duplicarea inutilă și la desfășurarea ineficientă a forțelor de apărare. Există mari dife</w:t>
      </w:r>
      <w:r>
        <w:rPr>
          <w:rFonts w:ascii="Times New Roman" w:hAnsi="Times New Roman"/>
          <w:noProof/>
          <w:sz w:val="24"/>
        </w:rPr>
        <w:t>rențe în ceea ce privește nivelul cheltuielilor în materie de apărare între statele membre. O solidaritate consolidată, inclusiv prin implicarea bugetului Uniunii, este necesară pentru a furniza capabilități de apărare comune.</w:t>
      </w:r>
    </w:p>
    <w:p w:rsidR="006575F0" w:rsidRDefault="00AD6983">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La nivelul UE: Comisia, Înalt</w:t>
      </w:r>
      <w:r>
        <w:rPr>
          <w:rFonts w:ascii="Times New Roman" w:hAnsi="Times New Roman"/>
          <w:noProof/>
          <w:sz w:val="24"/>
        </w:rPr>
        <w:t xml:space="preserve">ul Reprezentant/Vicepreședintele și Agenția Europeană de Apărare (AEA) pot să ajute în mod semnificativ statele membre în ceea ce privește planificarea coordonată și dezvoltarea în comun a capabilităților viitoare. Următoarele etape vor fi semnificative: </w:t>
      </w:r>
    </w:p>
    <w:p w:rsidR="006575F0" w:rsidRDefault="00AD6983">
      <w:pPr>
        <w:pStyle w:val="ListParagraph"/>
        <w:numPr>
          <w:ilvl w:val="0"/>
          <w:numId w:val="4"/>
        </w:num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Identificarea sistematică a priorităților în ceea ce privește capabilitățile de apărare europene, pe baza noului nivel de ambiție al UE în materie de securitate și de apărare. Acest nivel de ambiție s-a bazat pe strategia globală a UE și a fost aprobat de </w:t>
      </w:r>
      <w:r>
        <w:rPr>
          <w:rFonts w:ascii="Times New Roman" w:hAnsi="Times New Roman"/>
          <w:noProof/>
          <w:sz w:val="24"/>
        </w:rPr>
        <w:t>Consiliul European</w:t>
      </w:r>
      <w:r>
        <w:rPr>
          <w:rStyle w:val="FootnoteReference"/>
          <w:rFonts w:ascii="Times New Roman" w:hAnsi="Times New Roman"/>
          <w:noProof/>
          <w:sz w:val="24"/>
        </w:rPr>
        <w:footnoteReference w:id="5"/>
      </w:r>
      <w:r>
        <w:rPr>
          <w:rFonts w:ascii="Times New Roman" w:hAnsi="Times New Roman"/>
          <w:noProof/>
          <w:sz w:val="24"/>
        </w:rPr>
        <w:t xml:space="preserve">. Planul de dezvoltare a capabilităților, astfel cum a fost revizuit în 2018, va fi cheia de referință la nivelul UE. Dacă este cazul, vor fi luate în considerare și inițiative de cooperare regionale și internaționale care contribuie la </w:t>
      </w:r>
      <w:r>
        <w:rPr>
          <w:rFonts w:ascii="Times New Roman" w:hAnsi="Times New Roman"/>
          <w:noProof/>
          <w:sz w:val="24"/>
        </w:rPr>
        <w:t xml:space="preserve">punerea în aplicare a priorităților UE. </w:t>
      </w:r>
    </w:p>
    <w:p w:rsidR="006575F0" w:rsidRDefault="00AD6983">
      <w:pPr>
        <w:pStyle w:val="ListParagraph"/>
        <w:numPr>
          <w:ilvl w:val="0"/>
          <w:numId w:val="4"/>
        </w:num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O mai mare transparență și orientare politică în ceea ce privește planificarea capabilităților naționale. Procesul anual coordonat de revizuire privind apărarea (CARD) va favoriza o mai bună coordonare pentru planif</w:t>
      </w:r>
      <w:r>
        <w:rPr>
          <w:rFonts w:ascii="Times New Roman" w:hAnsi="Times New Roman"/>
          <w:noProof/>
          <w:sz w:val="24"/>
        </w:rPr>
        <w:t>icarea apărării la nivel național și o consolidare a cooperării europene în materie de apărare.</w:t>
      </w:r>
    </w:p>
    <w:p w:rsidR="006575F0" w:rsidRDefault="00AD6983">
      <w:pPr>
        <w:pStyle w:val="ListParagraph"/>
        <w:numPr>
          <w:ilvl w:val="0"/>
          <w:numId w:val="4"/>
        </w:num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Mecanismele de finanțare comună, astfel cum sunt prevăzute în cadrul Fondului european de apărare, ar trebui să realizeze o trecere structurală la o cooperare m</w:t>
      </w:r>
      <w:r>
        <w:rPr>
          <w:rFonts w:ascii="Times New Roman" w:hAnsi="Times New Roman"/>
          <w:noProof/>
          <w:sz w:val="24"/>
        </w:rPr>
        <w:t>ai amplă în domeniul apărării.</w:t>
      </w:r>
    </w:p>
    <w:p w:rsidR="006575F0" w:rsidRDefault="00AD6983">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Coordonarea deciziilor de investiții necesită o definiție comună a necesităților și priorităților. Acestea vor rămâne de competența statelor membre. Unele dintre aceste priorități au fost deja identificate, cum ar fi sistemel</w:t>
      </w:r>
      <w:r>
        <w:rPr>
          <w:rFonts w:ascii="Times New Roman" w:hAnsi="Times New Roman"/>
          <w:noProof/>
          <w:sz w:val="24"/>
        </w:rPr>
        <w:t>e de aeronave pilotate de la distanță (dronele), capacitatea de alimentare în zbor, comunicarea prin satelit și securitatea cibernetică</w:t>
      </w:r>
      <w:r>
        <w:rPr>
          <w:rFonts w:ascii="Times New Roman" w:hAnsi="Times New Roman"/>
          <w:noProof/>
          <w:sz w:val="24"/>
          <w:vertAlign w:val="superscript"/>
        </w:rPr>
        <w:footnoteReference w:id="6"/>
      </w:r>
      <w:r>
        <w:rPr>
          <w:rFonts w:ascii="Times New Roman" w:hAnsi="Times New Roman"/>
          <w:noProof/>
          <w:sz w:val="24"/>
        </w:rPr>
        <w:t>. Aceste axe au fost confirmate prin Strategia globală a UE, care a identificat domeniile prioritare ale capabilităților</w:t>
      </w:r>
      <w:r>
        <w:rPr>
          <w:rFonts w:ascii="Times New Roman" w:hAnsi="Times New Roman"/>
          <w:noProof/>
          <w:sz w:val="24"/>
        </w:rPr>
        <w:t xml:space="preserve"> suplimentare în care Europa trebuie să investească și să promoveze dezvoltarea colaborativă, inclusiv: recunoaștere, informații și supraveghere, accesul autonom la spațiu și observarea permanentă a Pământului, precum și securitatea maritimă. </w:t>
      </w:r>
    </w:p>
    <w:p w:rsidR="006575F0" w:rsidRDefault="00AD6983">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lastRenderedPageBreak/>
        <w:t>O mai bună c</w:t>
      </w:r>
      <w:r>
        <w:rPr>
          <w:rFonts w:ascii="Times New Roman" w:hAnsi="Times New Roman"/>
          <w:noProof/>
          <w:sz w:val="24"/>
        </w:rPr>
        <w:t>oordonare a investițiilor între statele membre pe parcursul întregului ciclu industrial este crucială, de la cercetare la dezvoltarea de prototipuri și la achiziția de capabilități de apărare. Acest lucru ar contribui la o eficiență sporită a cheltuielilor</w:t>
      </w:r>
      <w:r>
        <w:rPr>
          <w:rFonts w:ascii="Times New Roman" w:hAnsi="Times New Roman"/>
          <w:noProof/>
          <w:sz w:val="24"/>
        </w:rPr>
        <w:t xml:space="preserve"> naționale pentru apărare, ar maximiza inovarea prin obținerea unor economii de scară, ar reduce riscul de suprapunere, ar promova interoperabilitatea între forțele armate și ar încuraja o standardizare a echipamentului la un nivel mai mare. De asemenea, a</w:t>
      </w:r>
      <w:r>
        <w:rPr>
          <w:rFonts w:ascii="Times New Roman" w:hAnsi="Times New Roman"/>
          <w:noProof/>
          <w:sz w:val="24"/>
        </w:rPr>
        <w:t xml:space="preserve">ceastă abordare ar permite partajarea costurilor și a riscurilor. </w:t>
      </w:r>
    </w:p>
    <w:p w:rsidR="006575F0" w:rsidRDefault="00AD6983">
      <w:pPr>
        <w:pStyle w:val="Body"/>
        <w:spacing w:after="120" w:line="240" w:lineRule="auto"/>
        <w:jc w:val="both"/>
        <w:rPr>
          <w:rFonts w:ascii="Times New Roman" w:hAnsi="Times New Roman"/>
          <w:noProof/>
          <w:sz w:val="24"/>
          <w:szCs w:val="24"/>
        </w:rPr>
      </w:pPr>
      <w:r>
        <w:rPr>
          <w:rFonts w:ascii="Times New Roman" w:hAnsi="Times New Roman"/>
          <w:noProof/>
          <w:sz w:val="24"/>
        </w:rPr>
        <w:t>Acesta este motivul pentru care Fondul european de apărare își propune să ofere stimulentele necesare în fiecare etapă a ciclului industrial. Prin urmare, principala măsură a succesului său</w:t>
      </w:r>
      <w:r>
        <w:rPr>
          <w:rFonts w:ascii="Times New Roman" w:hAnsi="Times New Roman"/>
          <w:noProof/>
          <w:sz w:val="24"/>
        </w:rPr>
        <w:t xml:space="preserve"> va fi o creștere semnificativă a procentului de proiecte de cooperare în domeniul apărării în cheltuielile totale de apărare</w:t>
      </w:r>
      <w:r>
        <w:rPr>
          <w:rFonts w:ascii="Times New Roman" w:hAnsi="Times New Roman"/>
          <w:noProof/>
          <w:sz w:val="24"/>
          <w:vertAlign w:val="superscript"/>
        </w:rPr>
        <w:footnoteReference w:id="7"/>
      </w:r>
      <w:r>
        <w:rPr>
          <w:rFonts w:ascii="Times New Roman" w:hAnsi="Times New Roman"/>
          <w:noProof/>
          <w:sz w:val="24"/>
        </w:rPr>
        <w:t>. Fondul trebuie să contribuie la dezvoltarea de competențe tehnologice și să ofere stimulente pentru construirea de lanțuri de ap</w:t>
      </w:r>
      <w:r>
        <w:rPr>
          <w:rFonts w:ascii="Times New Roman" w:hAnsi="Times New Roman"/>
          <w:noProof/>
          <w:sz w:val="24"/>
        </w:rPr>
        <w:t>rovizionare transfrontaliere integrate și competitive. Posibilele complementarități cu utilizarea civilă și cu programele de sprijin civil europene corespunzătoare vor fi examinate pe parcursul întregului ciclu de planificare și de furnizare. Acest lucru v</w:t>
      </w:r>
      <w:r>
        <w:rPr>
          <w:rFonts w:ascii="Times New Roman" w:hAnsi="Times New Roman"/>
          <w:noProof/>
          <w:sz w:val="24"/>
        </w:rPr>
        <w:t>a asigura cea mai eficientă utilizare și complementaritatea resurselor europene pentru cercetarea în scopuri civile și militare și pentru eforturile de inovare și de dezvoltare. O importanță deosebită va avea, de asemenea, complementaritatea cu alte politi</w:t>
      </w:r>
      <w:r>
        <w:rPr>
          <w:rFonts w:ascii="Times New Roman" w:hAnsi="Times New Roman"/>
          <w:noProof/>
          <w:sz w:val="24"/>
        </w:rPr>
        <w:t>ci ale UE în materie de securitate, inclusiv în materie de securitate cibernetică.</w:t>
      </w:r>
    </w:p>
    <w:p w:rsidR="006575F0" w:rsidRDefault="006575F0">
      <w:pPr>
        <w:pStyle w:val="Body"/>
        <w:spacing w:after="120" w:line="240" w:lineRule="auto"/>
        <w:jc w:val="both"/>
        <w:rPr>
          <w:rFonts w:ascii="Times New Roman" w:eastAsia="Times New Roman" w:hAnsi="Times New Roman" w:cs="Times New Roman"/>
          <w:noProof/>
          <w:sz w:val="24"/>
          <w:szCs w:val="24"/>
        </w:rPr>
      </w:pPr>
    </w:p>
    <w:p w:rsidR="006575F0" w:rsidRDefault="00AD6983">
      <w:pPr>
        <w:pStyle w:val="ListParagraph"/>
        <w:numPr>
          <w:ilvl w:val="0"/>
          <w:numId w:val="5"/>
        </w:numPr>
        <w:spacing w:after="120" w:line="240" w:lineRule="auto"/>
        <w:rPr>
          <w:rFonts w:ascii="Times New Roman" w:eastAsia="Times New Roman" w:hAnsi="Times New Roman" w:cs="Times New Roman"/>
          <w:b/>
          <w:bCs/>
          <w:noProof/>
          <w:sz w:val="24"/>
          <w:szCs w:val="24"/>
        </w:rPr>
      </w:pPr>
      <w:r>
        <w:rPr>
          <w:rFonts w:ascii="Times New Roman" w:hAnsi="Times New Roman"/>
          <w:b/>
          <w:noProof/>
          <w:sz w:val="24"/>
        </w:rPr>
        <w:t>Ce este Fondul european de apărare?</w:t>
      </w:r>
    </w:p>
    <w:p w:rsidR="006575F0" w:rsidRDefault="00AD6983">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Fondul european de apărare este alcătuit din două componente distincte, dar complementare din punct de vedere juridic (a se vedea figura</w:t>
      </w:r>
      <w:r>
        <w:rPr>
          <w:rFonts w:ascii="Times New Roman" w:hAnsi="Times New Roman"/>
          <w:noProof/>
          <w:sz w:val="24"/>
        </w:rPr>
        <w:t xml:space="preserve"> 1). Ambele sunt puse în aplicare în mod treptat. Componentele vor fi coordonate de un comitet de coordonare, care reunește Comisia, Înaltul Reprezentant, statele membre, Agenția Europeană de Apărare, precum și industria, după caz. Sprijinul oferit de buge</w:t>
      </w:r>
      <w:r>
        <w:rPr>
          <w:rFonts w:ascii="Times New Roman" w:hAnsi="Times New Roman"/>
          <w:noProof/>
          <w:sz w:val="24"/>
        </w:rPr>
        <w:t xml:space="preserve">tul UE va fi adaptat în funcție de faza ciclului industrial în cauză. </w:t>
      </w:r>
    </w:p>
    <w:p w:rsidR="006575F0" w:rsidRDefault="00AD6983">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Diferitele programe și instrumente dezvoltate în cadrul componentei de cercetare și al celei de capabilități vor fi favorabile incluziunii și deschise pentru participarea beneficiarilor</w:t>
      </w:r>
      <w:r>
        <w:rPr>
          <w:rFonts w:ascii="Times New Roman" w:hAnsi="Times New Roman"/>
          <w:noProof/>
          <w:sz w:val="24"/>
        </w:rPr>
        <w:t xml:space="preserve"> din toate statele membre. Este esențial ca toate întreprinderile, indiferent de dimensiunea lor și de locul în care se află în Uniune, să poată beneficia de instrumentele disponibile. IMM-urile, aflate în centrul inovării în Europa și fiind esențiale pent</w:t>
      </w:r>
      <w:r>
        <w:rPr>
          <w:rFonts w:ascii="Times New Roman" w:hAnsi="Times New Roman"/>
          <w:noProof/>
          <w:sz w:val="24"/>
        </w:rPr>
        <w:t xml:space="preserve">ru lanțurile de aprovizionare, ar trebui să beneficieze în mod special de cele descrise mai sus. </w:t>
      </w:r>
    </w:p>
    <w:p w:rsidR="00AD6983" w:rsidRDefault="00AD6983">
      <w:pPr>
        <w:rPr>
          <w:rFonts w:eastAsia="Calibri" w:cs="Calibri"/>
          <w:b/>
          <w:noProof/>
          <w:color w:val="000000"/>
          <w:szCs w:val="22"/>
          <w:u w:color="000000"/>
        </w:rPr>
      </w:pPr>
      <w:r>
        <w:rPr>
          <w:b/>
          <w:noProof/>
        </w:rPr>
        <w:br w:type="page"/>
      </w:r>
    </w:p>
    <w:p w:rsidR="006575F0" w:rsidRDefault="00AD6983">
      <w:pPr>
        <w:pStyle w:val="Body"/>
        <w:spacing w:after="120" w:line="240" w:lineRule="auto"/>
        <w:jc w:val="both"/>
        <w:rPr>
          <w:rFonts w:ascii="Times New Roman" w:hAnsi="Times New Roman"/>
          <w:b/>
          <w:bCs/>
          <w:noProof/>
          <w:sz w:val="24"/>
          <w:szCs w:val="24"/>
        </w:rPr>
      </w:pPr>
      <w:r>
        <w:rPr>
          <w:rFonts w:ascii="Times New Roman" w:hAnsi="Times New Roman"/>
          <w:b/>
          <w:noProof/>
          <w:sz w:val="24"/>
        </w:rPr>
        <w:t>Figura 1: Fondul european de apărare</w:t>
      </w:r>
    </w:p>
    <w:p w:rsidR="006575F0" w:rsidRDefault="00AD6983">
      <w:pPr>
        <w:pStyle w:val="Body"/>
        <w:spacing w:after="120" w:line="240" w:lineRule="auto"/>
        <w:jc w:val="center"/>
        <w:rPr>
          <w:rFonts w:ascii="Times New Roman" w:hAnsi="Times New Roman"/>
          <w:b/>
          <w:bCs/>
          <w:noProof/>
          <w:sz w:val="24"/>
          <w:szCs w:val="24"/>
        </w:rPr>
      </w:pPr>
      <w:r>
        <w:rPr>
          <w:noProof/>
          <w:lang w:val="en-GB" w:eastAsia="en-GB" w:bidi="ar-SA"/>
        </w:rPr>
        <w:drawing>
          <wp:inline distT="0" distB="0" distL="0" distR="0">
            <wp:extent cx="5756910" cy="3113481"/>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5756910" cy="3113481"/>
                    </a:xfrm>
                    <a:prstGeom prst="rect">
                      <a:avLst/>
                    </a:prstGeom>
                  </pic:spPr>
                </pic:pic>
              </a:graphicData>
            </a:graphic>
          </wp:inline>
        </w:drawing>
      </w:r>
    </w:p>
    <w:p w:rsidR="006575F0" w:rsidRDefault="00AD6983">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Componenta de cercetare începe deja să finanțeze cercetarea colaborativă în materie de produse și de tehnologii inovato</w:t>
      </w:r>
      <w:r>
        <w:rPr>
          <w:rFonts w:ascii="Times New Roman" w:hAnsi="Times New Roman"/>
          <w:noProof/>
          <w:sz w:val="24"/>
        </w:rPr>
        <w:t>are în domeniul apărării la nivelul UE. Primii pași către viitorul program au fost deja făcuți odată cu lansarea proiectului-pilot și cu lansarea acțiunii pregătitoare, cu un buget total preconizat de 90 de milioane EUR pe o perioadă de trei ani</w:t>
      </w:r>
      <w:r>
        <w:rPr>
          <w:rFonts w:ascii="Times New Roman" w:hAnsi="Times New Roman"/>
          <w:noProof/>
          <w:sz w:val="24"/>
          <w:vertAlign w:val="superscript"/>
        </w:rPr>
        <w:footnoteReference w:id="8"/>
      </w:r>
      <w:r>
        <w:rPr>
          <w:rFonts w:ascii="Times New Roman" w:hAnsi="Times New Roman"/>
          <w:noProof/>
          <w:sz w:val="24"/>
        </w:rPr>
        <w:t>. Proiecte</w:t>
      </w:r>
      <w:r>
        <w:rPr>
          <w:rFonts w:ascii="Times New Roman" w:hAnsi="Times New Roman"/>
          <w:noProof/>
          <w:sz w:val="24"/>
        </w:rPr>
        <w:t>le pe care le finanțează, care pot include proiecte dezvoltate în cadrul cooperării structurate permanente (PESCO), iau în considerare prioritățile convenite în materie de capabilități de apărare de către statele membre în cadrul UE. Finanțarea va fi integ</w:t>
      </w:r>
      <w:r>
        <w:rPr>
          <w:rFonts w:ascii="Times New Roman" w:hAnsi="Times New Roman"/>
          <w:noProof/>
          <w:sz w:val="24"/>
        </w:rPr>
        <w:t>ral din bugetul UE prin intermediul unui program specific al UE în contextul următorului cadru financiar multianual (CFM). Bugetul estimat va fi de aproximativ 500 de milioane EUR pe an. Propunerea care a stat la baza acestui program de cercetare în domeni</w:t>
      </w:r>
      <w:r>
        <w:rPr>
          <w:rFonts w:ascii="Times New Roman" w:hAnsi="Times New Roman"/>
          <w:noProof/>
          <w:sz w:val="24"/>
        </w:rPr>
        <w:t>ul apărării va fi prezentată în cursul anului 2018, pentru a fi operațională la 1 ianuarie 2021. Viitorul program de cercetare în domeniul apărării va beneficia de o structură de guvernanță personalizată, care să reflecte particularitățile sectorului apără</w:t>
      </w:r>
      <w:r>
        <w:rPr>
          <w:rFonts w:ascii="Times New Roman" w:hAnsi="Times New Roman"/>
          <w:noProof/>
          <w:sz w:val="24"/>
        </w:rPr>
        <w:t xml:space="preserve">rii. Aceasta va fi concepută în lumina experienței dobândite în urma proiectului-pilot, a acțiunii pregătitoare și a structurilor de guvernanță din cadrul programului Orizont 2020. </w:t>
      </w:r>
    </w:p>
    <w:p w:rsidR="006575F0" w:rsidRDefault="00AD6983">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Componenta de capabilități, care trebuie să vizeze o sumă de referință de </w:t>
      </w:r>
      <w:r>
        <w:rPr>
          <w:rFonts w:ascii="Times New Roman" w:hAnsi="Times New Roman"/>
          <w:noProof/>
          <w:sz w:val="24"/>
        </w:rPr>
        <w:t>5 miliarde EUR pe an pe termen mediu, va sprijini dezvoltarea și achiziționarea în comun a capabilităților de apărare esențiale. Acestea vor respecta prioritățile convenite în materie de capabilități de apărare de către statele membre în cadrul UE. Deși co</w:t>
      </w:r>
      <w:r>
        <w:rPr>
          <w:rFonts w:ascii="Times New Roman" w:hAnsi="Times New Roman"/>
          <w:noProof/>
          <w:sz w:val="24"/>
        </w:rPr>
        <w:t>ntribuțiile pentru componenta de capabilități provin în principal de la statele membre, bugetul UE va încuraja cooperarea în domeniul apărării prin reducerea riscului de la începutul ciclului de dezvoltare industrială. Astfel de contribuții, furnizate prin</w:t>
      </w:r>
      <w:r>
        <w:rPr>
          <w:rFonts w:ascii="Times New Roman" w:hAnsi="Times New Roman"/>
          <w:noProof/>
          <w:sz w:val="24"/>
        </w:rPr>
        <w:t xml:space="preserve"> intermediul Programului de dezvoltare industrială în domeniul apărării, vor sprijini competitivitatea industriei europene de apărare. Ele vor atrage finanțare din partea statelor membre în sprijinul industriei europene de apărare care lansează și execută </w:t>
      </w:r>
      <w:r>
        <w:rPr>
          <w:rFonts w:ascii="Times New Roman" w:hAnsi="Times New Roman"/>
          <w:noProof/>
          <w:sz w:val="24"/>
        </w:rPr>
        <w:t>proiecte de dezvoltare în cooperare. Cerința referitoare la un angajament de finanțare comună pentru dezvoltarea în continuare și achiziționarea produsului sau tehnologiei finale de către statele membre va direcționa finanțarea și investițiile UE către pro</w:t>
      </w:r>
      <w:r>
        <w:rPr>
          <w:rFonts w:ascii="Times New Roman" w:hAnsi="Times New Roman"/>
          <w:noProof/>
          <w:sz w:val="24"/>
        </w:rPr>
        <w:t>iecte viabile în domenii prioritare. Un set de instrumente financiare flexibile va oferi o serie de opțiuni pentru a ține seama de diversele nevoi ale statelor membre în ceea ce privește lansarea de programe de dezvoltare colaborativă după faza de prototip</w:t>
      </w:r>
      <w:r>
        <w:rPr>
          <w:rFonts w:ascii="Times New Roman" w:hAnsi="Times New Roman"/>
          <w:noProof/>
          <w:sz w:val="24"/>
        </w:rPr>
        <w:t xml:space="preserve">, precum și în vederea achizițiilor în comun. </w:t>
      </w:r>
    </w:p>
    <w:p w:rsidR="006575F0" w:rsidRDefault="00AD6983">
      <w:pPr>
        <w:pStyle w:val="Body"/>
        <w:spacing w:after="120" w:line="240" w:lineRule="auto"/>
        <w:jc w:val="both"/>
        <w:rPr>
          <w:rFonts w:ascii="Times New Roman" w:hAnsi="Times New Roman"/>
          <w:b/>
          <w:bCs/>
          <w:noProof/>
          <w:sz w:val="24"/>
          <w:szCs w:val="24"/>
        </w:rPr>
      </w:pPr>
      <w:r>
        <w:rPr>
          <w:rFonts w:ascii="Times New Roman" w:hAnsi="Times New Roman"/>
          <w:b/>
          <w:noProof/>
          <w:sz w:val="24"/>
        </w:rPr>
        <w:t>Figura 2: Guvernanța Fondului european de apărare până în 2020</w:t>
      </w:r>
    </w:p>
    <w:p w:rsidR="006575F0" w:rsidRDefault="00AD6983">
      <w:pPr>
        <w:pStyle w:val="Body"/>
        <w:spacing w:after="120" w:line="240" w:lineRule="auto"/>
        <w:jc w:val="center"/>
        <w:rPr>
          <w:rFonts w:ascii="Times New Roman" w:eastAsia="Times New Roman" w:hAnsi="Times New Roman" w:cs="Times New Roman"/>
          <w:b/>
          <w:bCs/>
          <w:noProof/>
          <w:sz w:val="24"/>
          <w:szCs w:val="24"/>
        </w:rPr>
      </w:pPr>
      <w:r>
        <w:rPr>
          <w:noProof/>
          <w:lang w:val="en-GB" w:eastAsia="en-GB" w:bidi="ar-SA"/>
        </w:rPr>
        <w:drawing>
          <wp:inline distT="0" distB="0" distL="0" distR="0">
            <wp:extent cx="4781550" cy="69056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4780953" cy="6904763"/>
                    </a:xfrm>
                    <a:prstGeom prst="rect">
                      <a:avLst/>
                    </a:prstGeom>
                  </pic:spPr>
                </pic:pic>
              </a:graphicData>
            </a:graphic>
          </wp:inline>
        </w:drawing>
      </w:r>
    </w:p>
    <w:p w:rsidR="006575F0" w:rsidRDefault="00AD6983">
      <w:pPr>
        <w:pStyle w:val="ListParagraph"/>
        <w:numPr>
          <w:ilvl w:val="0"/>
          <w:numId w:val="2"/>
        </w:numPr>
        <w:spacing w:after="120" w:line="240" w:lineRule="auto"/>
        <w:rPr>
          <w:rFonts w:ascii="Times New Roman" w:eastAsia="Times New Roman" w:hAnsi="Times New Roman" w:cs="Times New Roman"/>
          <w:b/>
          <w:bCs/>
          <w:noProof/>
          <w:sz w:val="24"/>
          <w:szCs w:val="24"/>
        </w:rPr>
      </w:pPr>
      <w:r>
        <w:rPr>
          <w:rFonts w:ascii="Times New Roman" w:hAnsi="Times New Roman"/>
          <w:b/>
          <w:noProof/>
          <w:sz w:val="24"/>
        </w:rPr>
        <w:t>Către componenta de cercetare a fondului: sprijinirea cercetării în materie de produse și de tehnologii de apărare</w:t>
      </w:r>
    </w:p>
    <w:p w:rsidR="006575F0" w:rsidRDefault="00AD6983">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Cercetarea în domeniul </w:t>
      </w:r>
      <w:r>
        <w:rPr>
          <w:rFonts w:ascii="Times New Roman" w:hAnsi="Times New Roman"/>
          <w:noProof/>
          <w:sz w:val="24"/>
        </w:rPr>
        <w:t>apărării este esențială pentru dezvoltarea viitoarelor capabilități</w:t>
      </w:r>
      <w:r>
        <w:rPr>
          <w:rFonts w:ascii="Times New Roman" w:hAnsi="Times New Roman"/>
          <w:noProof/>
          <w:sz w:val="24"/>
        </w:rPr>
        <w:noBreakHyphen/>
        <w:t>cheie și, prin urmare, pentru reducerea decalajelor tehnologice emergente și a viitoarelor amenințări la adresa securității cu care se confruntă Europa. Ea contribuie la dezvoltarea cunoșt</w:t>
      </w:r>
      <w:r>
        <w:rPr>
          <w:rFonts w:ascii="Times New Roman" w:hAnsi="Times New Roman"/>
          <w:noProof/>
          <w:sz w:val="24"/>
        </w:rPr>
        <w:t xml:space="preserve">ințelor tehnologice și a competențelor de bază. </w:t>
      </w:r>
    </w:p>
    <w:p w:rsidR="006575F0" w:rsidRDefault="00AD6983">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Comisia va mobiliza fonduri ale UE pentru a valorifica și a completa programele naționale de cercetare în domeniul apărării. Accentul se va pune pe cercetarea colaborativă în domeniul apărării, pe activități</w:t>
      </w:r>
      <w:r>
        <w:rPr>
          <w:rFonts w:ascii="Times New Roman" w:hAnsi="Times New Roman"/>
          <w:noProof/>
          <w:sz w:val="24"/>
        </w:rPr>
        <w:t>le de dezvoltare tehnologică și pe stimularea cooperării între actorii din domeniul cercetării și tehnologiei din întreaga Europă, luând în considerare prioritățile în materie de capabilități de apărare convenite de statele membre în cadrul UE. Se va urmăr</w:t>
      </w:r>
      <w:r>
        <w:rPr>
          <w:rFonts w:ascii="Times New Roman" w:hAnsi="Times New Roman"/>
          <w:noProof/>
          <w:sz w:val="24"/>
        </w:rPr>
        <w:t>i o abordare în două etape: acțiunea pregătitoare inițială privind cercetarea în domeniul apărării va duce la un program UE de cercetare în domeniul apărării mai substanțial în contextul următorului CFM.</w:t>
      </w:r>
    </w:p>
    <w:p w:rsidR="006575F0" w:rsidRDefault="00AD6983">
      <w:pPr>
        <w:pStyle w:val="ListParagraph"/>
        <w:numPr>
          <w:ilvl w:val="0"/>
          <w:numId w:val="7"/>
        </w:numPr>
        <w:spacing w:after="120" w:line="240" w:lineRule="auto"/>
        <w:jc w:val="both"/>
        <w:rPr>
          <w:rFonts w:ascii="Times New Roman" w:eastAsia="Times New Roman" w:hAnsi="Times New Roman" w:cs="Times New Roman"/>
          <w:b/>
          <w:bCs/>
          <w:i/>
          <w:iCs/>
          <w:noProof/>
          <w:sz w:val="24"/>
          <w:szCs w:val="24"/>
        </w:rPr>
      </w:pPr>
      <w:r>
        <w:rPr>
          <w:rFonts w:ascii="Times New Roman" w:hAnsi="Times New Roman"/>
          <w:b/>
          <w:i/>
          <w:noProof/>
          <w:sz w:val="24"/>
        </w:rPr>
        <w:t>Acțiune pregătitoare privind cercetarea în materie d</w:t>
      </w:r>
      <w:r>
        <w:rPr>
          <w:rFonts w:ascii="Times New Roman" w:hAnsi="Times New Roman"/>
          <w:b/>
          <w:i/>
          <w:noProof/>
          <w:sz w:val="24"/>
        </w:rPr>
        <w:t>e apărare</w:t>
      </w:r>
    </w:p>
    <w:p w:rsidR="006575F0" w:rsidRDefault="00AD6983">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Decizia de finanțare privind acțiunea pregătitoare pentru cercetarea în domeniul apărării a fost adoptată la 11 aprilie</w:t>
      </w:r>
      <w:r>
        <w:rPr>
          <w:rFonts w:ascii="Times New Roman" w:hAnsi="Times New Roman"/>
          <w:noProof/>
          <w:sz w:val="24"/>
          <w:vertAlign w:val="superscript"/>
        </w:rPr>
        <w:footnoteReference w:id="9"/>
      </w:r>
      <w:r>
        <w:rPr>
          <w:rFonts w:ascii="Times New Roman" w:hAnsi="Times New Roman"/>
          <w:noProof/>
          <w:sz w:val="24"/>
        </w:rPr>
        <w:t xml:space="preserve">. Împreună cu acest proiect-pilot, bugetul UE va sprijini pentru prima dată acțiuni în domeniul cercetării și tehnologiei în materie de apărare. </w:t>
      </w:r>
    </w:p>
    <w:p w:rsidR="006575F0" w:rsidRDefault="00AD6983">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Un buget de 25 de milioane EUR a fost convenit pentru 2017. Comisia a propus un buget de 40 de milioane EUR pe</w:t>
      </w:r>
      <w:r>
        <w:rPr>
          <w:rFonts w:ascii="Times New Roman" w:hAnsi="Times New Roman"/>
          <w:noProof/>
          <w:sz w:val="24"/>
        </w:rPr>
        <w:t>ntru 2018 și de 25 de milioane EUR pentru 2019 (90 de milioane EUR în total). Acțiunea pregătitoare va viza domenii de cercetare</w:t>
      </w:r>
      <w:r>
        <w:rPr>
          <w:rFonts w:ascii="Times New Roman" w:hAnsi="Times New Roman"/>
          <w:noProof/>
          <w:sz w:val="24"/>
          <w:vertAlign w:val="superscript"/>
        </w:rPr>
        <w:footnoteReference w:id="10"/>
      </w:r>
      <w:r>
        <w:rPr>
          <w:rFonts w:ascii="Times New Roman" w:hAnsi="Times New Roman"/>
          <w:noProof/>
          <w:sz w:val="24"/>
        </w:rPr>
        <w:t xml:space="preserve"> care sunt critice pentru realizarea de progrese în dezvoltarea sistemelor de apărare esențiale. Pe baza priorităților stabilit</w:t>
      </w:r>
      <w:r>
        <w:rPr>
          <w:rFonts w:ascii="Times New Roman" w:hAnsi="Times New Roman"/>
          <w:noProof/>
          <w:sz w:val="24"/>
        </w:rPr>
        <w:t>e de statele membre, inclusiv prin intermediul AEA, acestea sunt: un proiect de cercetare în domeniul apărării prin demonstrator tehnologic și o serie de acțiuni în domeniul tehnologiilor critice pentru apărare, în domeniul tehnologiilor disruptive viitoar</w:t>
      </w:r>
      <w:r>
        <w:rPr>
          <w:rFonts w:ascii="Times New Roman" w:hAnsi="Times New Roman"/>
          <w:noProof/>
          <w:sz w:val="24"/>
        </w:rPr>
        <w:t xml:space="preserve">e și emergente, al standardizării și al interoperabilității. Previziunea tehnologică strategică va fi, de asemenea, finanțată. </w:t>
      </w:r>
    </w:p>
    <w:p w:rsidR="006575F0" w:rsidRDefault="00AD6983">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AEA gestionează punerea în aplicare a programelor anuale de lucru ale acțiunii pregătitoare în numele Comisiei, în conformitate </w:t>
      </w:r>
      <w:r>
        <w:rPr>
          <w:rFonts w:ascii="Times New Roman" w:hAnsi="Times New Roman"/>
          <w:noProof/>
          <w:sz w:val="24"/>
        </w:rPr>
        <w:t>cu acordul de delegare semnat la 31 mai. Agenția dispune de expertiză și experiență valoroasă pentru organizarea și gestionarea proiectelor de cercetare în domeniul apărării. În plus, AEA a sprijinit statele membre și Comisia în definirea temelor de cercet</w:t>
      </w:r>
      <w:r>
        <w:rPr>
          <w:rFonts w:ascii="Times New Roman" w:hAnsi="Times New Roman"/>
          <w:noProof/>
          <w:sz w:val="24"/>
        </w:rPr>
        <w:t xml:space="preserve">are și va sprijini exploatarea rezultatelor activităților de cercetare. </w:t>
      </w:r>
    </w:p>
    <w:p w:rsidR="006575F0" w:rsidRDefault="00AD6983">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La punerea în aplicare a acțiunii pregătitoare, Comisia va fi asistată de un grup de experți din statele membre și de către un grup consultativ care reunește experți din partea indust</w:t>
      </w:r>
      <w:r>
        <w:rPr>
          <w:rFonts w:ascii="Times New Roman" w:hAnsi="Times New Roman"/>
          <w:noProof/>
          <w:sz w:val="24"/>
        </w:rPr>
        <w:t xml:space="preserve">riei, a mediului academic, a organizațiilor de cercetare și tehnologie, a AEA și a SEAE. </w:t>
      </w:r>
    </w:p>
    <w:p w:rsidR="006575F0" w:rsidRDefault="00AD6983">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Modalitățile de punere în aplicare specifice au fost elaborate în strânsă colaborare cu statele membre și cu industria de apărare, pentru a reflecta particularitățile</w:t>
      </w:r>
      <w:r>
        <w:rPr>
          <w:rFonts w:ascii="Times New Roman" w:hAnsi="Times New Roman"/>
          <w:noProof/>
          <w:sz w:val="24"/>
        </w:rPr>
        <w:t xml:space="preserve"> activităților de cercetare în domeniul apărării. Sprijinul UE va fi în principal sub formă de granturi. Primele cereri de propuneri sunt publicate astăzi. Propunerile vor fi evaluate pe baza următoarelor criterii: excelența, impactul, precum și calitatea </w:t>
      </w:r>
      <w:r>
        <w:rPr>
          <w:rFonts w:ascii="Times New Roman" w:hAnsi="Times New Roman"/>
          <w:noProof/>
          <w:sz w:val="24"/>
        </w:rPr>
        <w:t>ș</w:t>
      </w:r>
      <w:r>
        <w:rPr>
          <w:rFonts w:ascii="Times New Roman" w:hAnsi="Times New Roman"/>
          <w:noProof/>
          <w:sz w:val="24"/>
        </w:rPr>
        <w:t xml:space="preserve">i eficiența punerii în aplicare. Acestea vor fi revizuite, în ceea ce privește implicațiile etice, juridice sau aspectele societale, de către un grup de experți în aspectele etice și juridice din domeniul apărării. </w:t>
      </w:r>
    </w:p>
    <w:p w:rsidR="006575F0" w:rsidRDefault="00AD6983">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Semnarea primelor acorduri de subvențio</w:t>
      </w:r>
      <w:r>
        <w:rPr>
          <w:rFonts w:ascii="Times New Roman" w:hAnsi="Times New Roman"/>
          <w:noProof/>
          <w:sz w:val="24"/>
        </w:rPr>
        <w:t>nare este prevăzută să aibă loc până la sfârșitul anului 2017. Comisia va revizui anual progresele înregistrate în punerea în aplicare a acțiunii pregătitoare.</w:t>
      </w:r>
    </w:p>
    <w:p w:rsidR="006575F0" w:rsidRDefault="00AD6983">
      <w:pPr>
        <w:pStyle w:val="Body"/>
        <w:keepNext/>
        <w:pBdr>
          <w:top w:val="single" w:sz="4" w:space="0" w:color="000000"/>
          <w:left w:val="single" w:sz="4" w:space="0" w:color="000000"/>
          <w:bottom w:val="single" w:sz="4" w:space="0" w:color="000000"/>
          <w:right w:val="single" w:sz="4" w:space="0" w:color="000000"/>
        </w:pBdr>
        <w:shd w:val="clear" w:color="auto" w:fill="D9D9D9" w:themeFill="background1" w:themeFillShade="D9"/>
        <w:spacing w:after="120" w:line="240" w:lineRule="auto"/>
        <w:jc w:val="both"/>
        <w:rPr>
          <w:rFonts w:ascii="Times New Roman" w:eastAsia="Times New Roman" w:hAnsi="Times New Roman" w:cs="Times New Roman"/>
          <w:noProof/>
          <w:sz w:val="24"/>
          <w:szCs w:val="24"/>
        </w:rPr>
      </w:pPr>
      <w:r>
        <w:rPr>
          <w:rFonts w:ascii="Times New Roman" w:hAnsi="Times New Roman"/>
          <w:b/>
          <w:noProof/>
          <w:sz w:val="24"/>
        </w:rPr>
        <w:t>Obiectivele atinse:</w:t>
      </w:r>
    </w:p>
    <w:p w:rsidR="006575F0" w:rsidRDefault="00AD6983">
      <w:pPr>
        <w:pStyle w:val="Body"/>
        <w:pBdr>
          <w:top w:val="single" w:sz="4" w:space="0" w:color="000000"/>
          <w:left w:val="single" w:sz="4" w:space="0" w:color="000000"/>
          <w:bottom w:val="single" w:sz="4" w:space="0" w:color="000000"/>
          <w:right w:val="single" w:sz="4" w:space="0" w:color="000000"/>
        </w:pBdr>
        <w:shd w:val="clear" w:color="auto" w:fill="D9D9D9" w:themeFill="background1" w:themeFillShade="D9"/>
        <w:spacing w:after="120" w:line="240" w:lineRule="auto"/>
        <w:ind w:left="720" w:hanging="720"/>
        <w:jc w:val="both"/>
        <w:rPr>
          <w:rFonts w:ascii="Times New Roman" w:eastAsia="Times New Roman" w:hAnsi="Times New Roman" w:cs="Times New Roman"/>
          <w:noProof/>
          <w:sz w:val="24"/>
          <w:szCs w:val="24"/>
        </w:rPr>
      </w:pPr>
      <w:r>
        <w:rPr>
          <w:rFonts w:ascii="Times New Roman" w:hAnsi="Times New Roman"/>
          <w:noProof/>
          <w:sz w:val="24"/>
        </w:rPr>
        <w:t>-</w:t>
      </w:r>
      <w:r>
        <w:rPr>
          <w:noProof/>
        </w:rPr>
        <w:tab/>
        <w:t>a</w:t>
      </w:r>
      <w:r>
        <w:rPr>
          <w:rFonts w:ascii="Times New Roman" w:hAnsi="Times New Roman"/>
          <w:noProof/>
          <w:sz w:val="24"/>
        </w:rPr>
        <w:t>cord cu Parlamentul European și cu Consiliul cu privire la 25 de milioane</w:t>
      </w:r>
      <w:r>
        <w:rPr>
          <w:rFonts w:ascii="Times New Roman" w:hAnsi="Times New Roman"/>
          <w:noProof/>
          <w:sz w:val="24"/>
        </w:rPr>
        <w:t xml:space="preserve"> EUR pentru acțiunea pregătitoare pentru 2017;</w:t>
      </w:r>
    </w:p>
    <w:p w:rsidR="006575F0" w:rsidRDefault="00AD6983">
      <w:pPr>
        <w:pStyle w:val="Body"/>
        <w:pBdr>
          <w:top w:val="single" w:sz="4" w:space="0" w:color="000000"/>
          <w:left w:val="single" w:sz="4" w:space="0" w:color="000000"/>
          <w:bottom w:val="single" w:sz="4" w:space="0" w:color="000000"/>
          <w:right w:val="single" w:sz="4" w:space="0" w:color="000000"/>
        </w:pBdr>
        <w:shd w:val="clear" w:color="auto" w:fill="D9D9D9" w:themeFill="background1" w:themeFillShade="D9"/>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w:t>
      </w:r>
      <w:r>
        <w:rPr>
          <w:noProof/>
        </w:rPr>
        <w:tab/>
        <w:t>a</w:t>
      </w:r>
      <w:r>
        <w:rPr>
          <w:rFonts w:ascii="Times New Roman" w:hAnsi="Times New Roman"/>
          <w:noProof/>
          <w:sz w:val="24"/>
        </w:rPr>
        <w:t>doptarea unor decizii de finanțare pentru lansarea acțiunii pregătitoare;</w:t>
      </w:r>
    </w:p>
    <w:p w:rsidR="006575F0" w:rsidRDefault="00AD6983">
      <w:pPr>
        <w:pStyle w:val="Body"/>
        <w:pBdr>
          <w:top w:val="single" w:sz="4" w:space="0" w:color="000000"/>
          <w:left w:val="single" w:sz="4" w:space="0" w:color="000000"/>
          <w:bottom w:val="single" w:sz="4" w:space="0" w:color="000000"/>
          <w:right w:val="single" w:sz="4" w:space="0" w:color="000000"/>
        </w:pBdr>
        <w:shd w:val="clear" w:color="auto" w:fill="D9D9D9" w:themeFill="background1" w:themeFillShade="D9"/>
        <w:spacing w:after="120" w:line="240" w:lineRule="auto"/>
        <w:ind w:left="720" w:hanging="720"/>
        <w:jc w:val="both"/>
        <w:rPr>
          <w:rFonts w:ascii="Times New Roman" w:eastAsia="Times New Roman" w:hAnsi="Times New Roman" w:cs="Times New Roman"/>
          <w:noProof/>
          <w:sz w:val="24"/>
          <w:szCs w:val="24"/>
        </w:rPr>
      </w:pPr>
      <w:r>
        <w:rPr>
          <w:rFonts w:ascii="Times New Roman" w:hAnsi="Times New Roman"/>
          <w:noProof/>
          <w:sz w:val="24"/>
        </w:rPr>
        <w:t>-</w:t>
      </w:r>
      <w:r>
        <w:rPr>
          <w:noProof/>
        </w:rPr>
        <w:tab/>
        <w:t>a</w:t>
      </w:r>
      <w:r>
        <w:rPr>
          <w:rFonts w:ascii="Times New Roman" w:hAnsi="Times New Roman"/>
          <w:noProof/>
          <w:sz w:val="24"/>
        </w:rPr>
        <w:t xml:space="preserve">cordul privind programul de lucru și condițiile de participare (reflectate în cadrul cererilor de propuneri și în modelul de acord de finanțare); </w:t>
      </w:r>
    </w:p>
    <w:p w:rsidR="006575F0" w:rsidRDefault="00AD6983">
      <w:pPr>
        <w:pStyle w:val="Body"/>
        <w:pBdr>
          <w:top w:val="single" w:sz="4" w:space="0" w:color="000000"/>
          <w:left w:val="single" w:sz="4" w:space="0" w:color="000000"/>
          <w:bottom w:val="single" w:sz="4" w:space="0" w:color="000000"/>
          <w:right w:val="single" w:sz="4" w:space="0" w:color="000000"/>
        </w:pBdr>
        <w:shd w:val="clear" w:color="auto" w:fill="D9D9D9" w:themeFill="background1" w:themeFillShade="D9"/>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w:t>
      </w:r>
      <w:r>
        <w:rPr>
          <w:noProof/>
        </w:rPr>
        <w:tab/>
      </w:r>
      <w:r>
        <w:rPr>
          <w:rFonts w:ascii="Times New Roman" w:hAnsi="Times New Roman"/>
          <w:noProof/>
          <w:sz w:val="24"/>
        </w:rPr>
        <w:t>semnarea acordului de delegare cu Agenția Europeană de Apărare;</w:t>
      </w:r>
    </w:p>
    <w:p w:rsidR="006575F0" w:rsidRDefault="00AD6983">
      <w:pPr>
        <w:pStyle w:val="Body"/>
        <w:pBdr>
          <w:top w:val="single" w:sz="4" w:space="0" w:color="000000"/>
          <w:left w:val="single" w:sz="4" w:space="0" w:color="000000"/>
          <w:bottom w:val="single" w:sz="4" w:space="0" w:color="000000"/>
          <w:right w:val="single" w:sz="4" w:space="0" w:color="000000"/>
        </w:pBdr>
        <w:shd w:val="clear" w:color="auto" w:fill="D9D9D9" w:themeFill="background1" w:themeFillShade="D9"/>
        <w:spacing w:after="120" w:line="240" w:lineRule="auto"/>
        <w:ind w:left="720" w:hanging="720"/>
        <w:jc w:val="both"/>
        <w:rPr>
          <w:rFonts w:ascii="Times New Roman" w:eastAsia="Times New Roman" w:hAnsi="Times New Roman" w:cs="Times New Roman"/>
          <w:noProof/>
          <w:sz w:val="24"/>
          <w:szCs w:val="24"/>
        </w:rPr>
      </w:pPr>
      <w:r>
        <w:rPr>
          <w:rFonts w:ascii="Times New Roman" w:hAnsi="Times New Roman"/>
          <w:noProof/>
          <w:sz w:val="24"/>
        </w:rPr>
        <w:t>-</w:t>
      </w:r>
      <w:r>
        <w:rPr>
          <w:noProof/>
        </w:rPr>
        <w:tab/>
        <w:t>p</w:t>
      </w:r>
      <w:r>
        <w:rPr>
          <w:rFonts w:ascii="Times New Roman" w:hAnsi="Times New Roman"/>
          <w:noProof/>
          <w:sz w:val="24"/>
        </w:rPr>
        <w:t xml:space="preserve">ublicarea primelor cereri de propuneri. </w:t>
      </w:r>
      <w:r>
        <w:rPr>
          <w:rFonts w:ascii="Times New Roman" w:hAnsi="Times New Roman"/>
          <w:noProof/>
          <w:sz w:val="24"/>
        </w:rPr>
        <w:t>Cererile se concentrează în primul rând pe un demonstrator tehnologic pentru sisteme fără personal într-un mediu naval și pe protecția forțelor și sisteme de echipamente pentru soldați.</w:t>
      </w:r>
    </w:p>
    <w:p w:rsidR="006575F0" w:rsidRDefault="00AD6983">
      <w:pPr>
        <w:pStyle w:val="Body"/>
        <w:pBdr>
          <w:top w:val="single" w:sz="4" w:space="0" w:color="000000"/>
          <w:left w:val="single" w:sz="4" w:space="0" w:color="000000"/>
          <w:bottom w:val="single" w:sz="4" w:space="0" w:color="000000"/>
          <w:right w:val="single" w:sz="4" w:space="0" w:color="000000"/>
        </w:pBdr>
        <w:shd w:val="clear" w:color="auto" w:fill="D9D9D9" w:themeFill="background1" w:themeFillShade="D9"/>
        <w:spacing w:after="120" w:line="240" w:lineRule="auto"/>
        <w:jc w:val="both"/>
        <w:rPr>
          <w:rFonts w:ascii="Times New Roman" w:eastAsia="Times New Roman" w:hAnsi="Times New Roman" w:cs="Times New Roman"/>
          <w:b/>
          <w:bCs/>
          <w:noProof/>
          <w:sz w:val="24"/>
          <w:szCs w:val="24"/>
        </w:rPr>
      </w:pPr>
      <w:r>
        <w:rPr>
          <w:rFonts w:ascii="Times New Roman" w:hAnsi="Times New Roman"/>
          <w:b/>
          <w:noProof/>
          <w:sz w:val="24"/>
        </w:rPr>
        <w:t>Etapele următoare:</w:t>
      </w:r>
    </w:p>
    <w:p w:rsidR="006575F0" w:rsidRDefault="00AD6983">
      <w:pPr>
        <w:pStyle w:val="Body"/>
        <w:pBdr>
          <w:top w:val="single" w:sz="4" w:space="0" w:color="000000"/>
          <w:left w:val="single" w:sz="4" w:space="0" w:color="000000"/>
          <w:bottom w:val="single" w:sz="4" w:space="0" w:color="000000"/>
          <w:right w:val="single" w:sz="4" w:space="0" w:color="000000"/>
        </w:pBdr>
        <w:shd w:val="clear" w:color="auto" w:fill="D9D9D9" w:themeFill="background1" w:themeFillShade="D9"/>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w:t>
      </w:r>
      <w:r>
        <w:rPr>
          <w:noProof/>
        </w:rPr>
        <w:tab/>
        <w:t>s</w:t>
      </w:r>
      <w:r>
        <w:rPr>
          <w:rFonts w:ascii="Times New Roman" w:hAnsi="Times New Roman"/>
          <w:noProof/>
          <w:sz w:val="24"/>
        </w:rPr>
        <w:t>emnarea primelor acorduri de grant - decembrie 2</w:t>
      </w:r>
      <w:r>
        <w:rPr>
          <w:rFonts w:ascii="Times New Roman" w:hAnsi="Times New Roman"/>
          <w:noProof/>
          <w:sz w:val="24"/>
        </w:rPr>
        <w:t>017;</w:t>
      </w:r>
    </w:p>
    <w:p w:rsidR="006575F0" w:rsidRDefault="00AD6983">
      <w:pPr>
        <w:pStyle w:val="Body"/>
        <w:pBdr>
          <w:top w:val="single" w:sz="4" w:space="0" w:color="000000"/>
          <w:left w:val="single" w:sz="4" w:space="0" w:color="000000"/>
          <w:bottom w:val="single" w:sz="4" w:space="0" w:color="000000"/>
          <w:right w:val="single" w:sz="4" w:space="0" w:color="000000"/>
        </w:pBdr>
        <w:shd w:val="clear" w:color="auto" w:fill="D9D9D9" w:themeFill="background1" w:themeFillShade="D9"/>
        <w:spacing w:after="120" w:line="240" w:lineRule="auto"/>
        <w:ind w:left="709" w:hanging="709"/>
        <w:jc w:val="both"/>
        <w:rPr>
          <w:rFonts w:ascii="Times New Roman" w:hAnsi="Times New Roman"/>
          <w:noProof/>
          <w:sz w:val="24"/>
          <w:szCs w:val="24"/>
        </w:rPr>
      </w:pPr>
      <w:r>
        <w:rPr>
          <w:rFonts w:ascii="Times New Roman" w:hAnsi="Times New Roman"/>
          <w:noProof/>
          <w:sz w:val="24"/>
        </w:rPr>
        <w:t>-</w:t>
      </w:r>
      <w:r>
        <w:rPr>
          <w:noProof/>
        </w:rPr>
        <w:tab/>
      </w:r>
      <w:r>
        <w:rPr>
          <w:rFonts w:ascii="Times New Roman" w:hAnsi="Times New Roman"/>
          <w:noProof/>
          <w:sz w:val="24"/>
        </w:rPr>
        <w:t>asigurarea bugetului pentru anii 2018 și 2019, pentru a atinge 90 de milioane EUR în total în perioada 2017-2019.</w:t>
      </w:r>
    </w:p>
    <w:p w:rsidR="006575F0" w:rsidRDefault="006575F0">
      <w:pPr>
        <w:pStyle w:val="Body"/>
        <w:pBdr>
          <w:top w:val="single" w:sz="4" w:space="0" w:color="000000"/>
          <w:left w:val="single" w:sz="4" w:space="0" w:color="000000"/>
          <w:bottom w:val="single" w:sz="4" w:space="0" w:color="000000"/>
          <w:right w:val="single" w:sz="4" w:space="0" w:color="000000"/>
        </w:pBdr>
        <w:shd w:val="clear" w:color="auto" w:fill="D9D9D9" w:themeFill="background1" w:themeFillShade="D9"/>
        <w:spacing w:after="120" w:line="240" w:lineRule="auto"/>
        <w:ind w:left="709" w:hanging="709"/>
        <w:jc w:val="both"/>
        <w:rPr>
          <w:rFonts w:ascii="Times New Roman" w:eastAsia="Times New Roman" w:hAnsi="Times New Roman" w:cs="Times New Roman"/>
          <w:noProof/>
          <w:sz w:val="24"/>
          <w:szCs w:val="24"/>
        </w:rPr>
      </w:pPr>
    </w:p>
    <w:p w:rsidR="006575F0" w:rsidRDefault="00AD6983">
      <w:pPr>
        <w:pStyle w:val="ListParagraph"/>
        <w:numPr>
          <w:ilvl w:val="0"/>
          <w:numId w:val="7"/>
        </w:numPr>
        <w:spacing w:after="120" w:line="240" w:lineRule="auto"/>
        <w:jc w:val="both"/>
        <w:rPr>
          <w:rFonts w:ascii="Times New Roman" w:eastAsia="Times New Roman" w:hAnsi="Times New Roman" w:cs="Times New Roman"/>
          <w:b/>
          <w:bCs/>
          <w:i/>
          <w:iCs/>
          <w:noProof/>
          <w:sz w:val="24"/>
          <w:szCs w:val="24"/>
        </w:rPr>
      </w:pPr>
      <w:r>
        <w:rPr>
          <w:rFonts w:ascii="Times New Roman" w:hAnsi="Times New Roman"/>
          <w:b/>
          <w:i/>
          <w:noProof/>
          <w:sz w:val="24"/>
        </w:rPr>
        <w:t xml:space="preserve">Calea către un program dedicat al UE de cercetare în domeniul apărării </w:t>
      </w:r>
    </w:p>
    <w:p w:rsidR="006575F0" w:rsidRDefault="00AD6983">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Deși este un prim pas esențial, acțiunea pregătitoare va rămâne limitată în timp și în ceea ce privește domeniul de aplicare. Obiectivul său va fi acela de a demonstra valoarea adăugată a cercetării și tehnologiei în materie de apărare finanțate de UE și d</w:t>
      </w:r>
      <w:r>
        <w:rPr>
          <w:rFonts w:ascii="Times New Roman" w:hAnsi="Times New Roman"/>
          <w:noProof/>
          <w:sz w:val="24"/>
        </w:rPr>
        <w:t>e a deschide calea către un program dedicat al UE de cercetare în domeniul apărării în contextul următorului CFM (după 2020). O consultare amplă cu toate părțile interesate, inclusiv cu instituțiile europene, trebuie să însoțească această tranziție. Pentru</w:t>
      </w:r>
      <w:r>
        <w:rPr>
          <w:rFonts w:ascii="Times New Roman" w:hAnsi="Times New Roman"/>
          <w:noProof/>
          <w:sz w:val="24"/>
        </w:rPr>
        <w:t xml:space="preserve"> a sprijini acest dialog, Comisia va consulta grupul de experți instituit în contextul acțiunii pregătitoare cu privire la principalele elemente ale viitorului program de cercetare în domeniul apărării. </w:t>
      </w:r>
    </w:p>
    <w:p w:rsidR="006575F0" w:rsidRDefault="00AD6983">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Viitorul program de cercetare în domeniul apărării s</w:t>
      </w:r>
      <w:r>
        <w:rPr>
          <w:rFonts w:ascii="Times New Roman" w:hAnsi="Times New Roman"/>
          <w:noProof/>
          <w:sz w:val="24"/>
        </w:rPr>
        <w:t>e va concentra pe activități de cercetare direcționate care sprijină dezvoltarea de tehnologii inovatoare și de produse din domeniul apărării. Programul trebuie să acționeze pe bază de capabilități și să se concentreze pe tehnologiile critice pentru apărar</w:t>
      </w:r>
      <w:r>
        <w:rPr>
          <w:rFonts w:ascii="Times New Roman" w:hAnsi="Times New Roman"/>
          <w:noProof/>
          <w:sz w:val="24"/>
        </w:rPr>
        <w:t>e, precum și pe cercetarea de explorare și disruptivă, care au potențialul de a consolida poziția de lider tehnologic a industriei europene de apărare. Statele membre vor identifica, cu sprijinul AEA, prioritățile în materie de capabilități de apărare, pre</w:t>
      </w:r>
      <w:r>
        <w:rPr>
          <w:rFonts w:ascii="Times New Roman" w:hAnsi="Times New Roman"/>
          <w:noProof/>
          <w:sz w:val="24"/>
        </w:rPr>
        <w:t>cum și prioritățile privind cercetarea și tehnologia. Comisia va lua în considerare aceste două tipuri de priorități în cadrul viitorului program de cercetare în domeniul apărării. Proiectele vor fi selectate cu ajutorul unor experți, pe baza unor criterii</w:t>
      </w:r>
      <w:r>
        <w:rPr>
          <w:rFonts w:ascii="Times New Roman" w:hAnsi="Times New Roman"/>
          <w:noProof/>
          <w:sz w:val="24"/>
        </w:rPr>
        <w:t xml:space="preserve"> definite, cum ar fi excelența și impactul, și de regulă necesită colaborare transnațională. Viitorul program ar trebui să atragă o largă participare a diferitelor părți interesate, inclusiv a IMM-urilor. </w:t>
      </w:r>
    </w:p>
    <w:p w:rsidR="006575F0" w:rsidRDefault="00AD6983">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Va trebui stabilită relația cu succesorul programu</w:t>
      </w:r>
      <w:r>
        <w:rPr>
          <w:rFonts w:ascii="Times New Roman" w:hAnsi="Times New Roman"/>
          <w:noProof/>
          <w:sz w:val="24"/>
        </w:rPr>
        <w:t>lui Orizont 2020. Finanțarea programului de cercetare în domeniul apărării ar trebui să fie distinctă și să nu aducă atingere programului de cercetare civilă.</w:t>
      </w:r>
    </w:p>
    <w:p w:rsidR="006575F0" w:rsidRDefault="00AD6983">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Pentru a satisface așteptările cetățenilor și pentru a reflecta nivelul înalt de ambiție, viitoru</w:t>
      </w:r>
      <w:r>
        <w:rPr>
          <w:rFonts w:ascii="Times New Roman" w:hAnsi="Times New Roman"/>
          <w:noProof/>
          <w:sz w:val="24"/>
        </w:rPr>
        <w:t>l program de cercetare în domeniul apărării are nevoie de un buget ambițios. În ceea ce privește planul european de acțiune în domeniul apărării, Comisia a indicat o sumă de referință de 500 de milioane EUR pe an. Acest lucru ar face din UE unul din cei ma</w:t>
      </w:r>
      <w:r>
        <w:rPr>
          <w:rFonts w:ascii="Times New Roman" w:hAnsi="Times New Roman"/>
          <w:noProof/>
          <w:sz w:val="24"/>
        </w:rPr>
        <w:t>i mari investitori în cercetarea și tehnologia de apărare din Europa, precum și cel mai mare investitor în colaborarea în materie de cercetare.</w:t>
      </w:r>
    </w:p>
    <w:p w:rsidR="006575F0" w:rsidRDefault="00AD6983">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Experiența în gestionarea proiectului-pilot și a acțiunii pregătitoare vor furniza orientări cu privire la viito</w:t>
      </w:r>
      <w:r>
        <w:rPr>
          <w:rFonts w:ascii="Times New Roman" w:hAnsi="Times New Roman"/>
          <w:noProof/>
          <w:sz w:val="24"/>
        </w:rPr>
        <w:t>rul rol al AEA și la guvernanța globală a viitorului program în cadrul programului ulterior de monitorizare a rezultatelor. Deși se va ține seama de structurile și de expertiza existente, vor fi examinate totuși diverse opțiuni cu scopul de a asocia părțil</w:t>
      </w:r>
      <w:r>
        <w:rPr>
          <w:rFonts w:ascii="Times New Roman" w:hAnsi="Times New Roman"/>
          <w:noProof/>
          <w:sz w:val="24"/>
        </w:rPr>
        <w:t xml:space="preserve">e interesate din industrie la pregătirea și punerea în aplicare a programului. </w:t>
      </w:r>
    </w:p>
    <w:p w:rsidR="006575F0" w:rsidRDefault="00AD6983">
      <w:pPr>
        <w:pStyle w:val="Body"/>
        <w:pBdr>
          <w:top w:val="single" w:sz="4" w:space="0" w:color="000000"/>
          <w:left w:val="single" w:sz="4" w:space="0" w:color="000000"/>
          <w:bottom w:val="single" w:sz="4" w:space="0" w:color="000000"/>
          <w:right w:val="single" w:sz="4" w:space="0" w:color="000000"/>
        </w:pBdr>
        <w:shd w:val="clear" w:color="auto" w:fill="D9D9D9" w:themeFill="background1" w:themeFillShade="D9"/>
        <w:spacing w:after="120" w:line="240" w:lineRule="auto"/>
        <w:jc w:val="both"/>
        <w:rPr>
          <w:rFonts w:ascii="Times New Roman" w:eastAsia="Times New Roman" w:hAnsi="Times New Roman" w:cs="Times New Roman"/>
          <w:noProof/>
          <w:sz w:val="24"/>
          <w:szCs w:val="24"/>
        </w:rPr>
      </w:pPr>
      <w:r>
        <w:rPr>
          <w:rFonts w:ascii="Times New Roman" w:hAnsi="Times New Roman"/>
          <w:b/>
          <w:noProof/>
          <w:sz w:val="24"/>
        </w:rPr>
        <w:t>Etapele următoare</w:t>
      </w:r>
      <w:r>
        <w:rPr>
          <w:rFonts w:ascii="Times New Roman" w:hAnsi="Times New Roman"/>
          <w:noProof/>
          <w:sz w:val="24"/>
        </w:rPr>
        <w:t xml:space="preserve">: </w:t>
      </w:r>
    </w:p>
    <w:p w:rsidR="006575F0" w:rsidRDefault="00AD6983">
      <w:pPr>
        <w:pStyle w:val="Body"/>
        <w:pBdr>
          <w:top w:val="single" w:sz="4" w:space="0" w:color="000000"/>
          <w:left w:val="single" w:sz="4" w:space="0" w:color="000000"/>
          <w:bottom w:val="single" w:sz="4" w:space="0" w:color="000000"/>
          <w:right w:val="single" w:sz="4" w:space="0" w:color="000000"/>
        </w:pBdr>
        <w:shd w:val="clear" w:color="auto" w:fill="D9D9D9" w:themeFill="background1" w:themeFillShade="D9"/>
        <w:spacing w:after="120" w:line="240" w:lineRule="auto"/>
        <w:ind w:left="720" w:hanging="720"/>
        <w:jc w:val="both"/>
        <w:rPr>
          <w:rFonts w:ascii="Times New Roman" w:eastAsia="Times New Roman" w:hAnsi="Times New Roman" w:cs="Times New Roman"/>
          <w:noProof/>
          <w:sz w:val="24"/>
          <w:szCs w:val="24"/>
        </w:rPr>
      </w:pPr>
      <w:r>
        <w:rPr>
          <w:rFonts w:ascii="Times New Roman" w:hAnsi="Times New Roman"/>
          <w:noProof/>
          <w:sz w:val="24"/>
        </w:rPr>
        <w:t>-</w:t>
      </w:r>
      <w:r>
        <w:rPr>
          <w:noProof/>
        </w:rPr>
        <w:tab/>
        <w:t>m</w:t>
      </w:r>
      <w:r>
        <w:rPr>
          <w:rFonts w:ascii="Times New Roman" w:hAnsi="Times New Roman"/>
          <w:noProof/>
          <w:sz w:val="24"/>
        </w:rPr>
        <w:t>enținerea dialogului cu statele membre, Parlamentul European, Consiliul, Agenția Europeană de Apărare, industria, organizațiile din domeniul cercetării ș</w:t>
      </w:r>
      <w:r>
        <w:rPr>
          <w:rFonts w:ascii="Times New Roman" w:hAnsi="Times New Roman"/>
          <w:noProof/>
          <w:sz w:val="24"/>
        </w:rPr>
        <w:t>i tehnologiei și alte părți interesate să contribuie la pregătirea programului;</w:t>
      </w:r>
    </w:p>
    <w:p w:rsidR="006575F0" w:rsidRDefault="00AD6983">
      <w:pPr>
        <w:pStyle w:val="Body"/>
        <w:pBdr>
          <w:top w:val="single" w:sz="4" w:space="0" w:color="000000"/>
          <w:left w:val="single" w:sz="4" w:space="0" w:color="000000"/>
          <w:bottom w:val="single" w:sz="4" w:space="0" w:color="000000"/>
          <w:right w:val="single" w:sz="4" w:space="0" w:color="000000"/>
        </w:pBdr>
        <w:shd w:val="clear" w:color="auto" w:fill="D9D9D9" w:themeFill="background1" w:themeFillShade="D9"/>
        <w:spacing w:after="120" w:line="240" w:lineRule="auto"/>
        <w:ind w:left="720" w:hanging="720"/>
        <w:jc w:val="both"/>
        <w:rPr>
          <w:rFonts w:ascii="Times New Roman" w:eastAsia="Times New Roman" w:hAnsi="Times New Roman" w:cs="Times New Roman"/>
          <w:noProof/>
          <w:sz w:val="24"/>
          <w:szCs w:val="24"/>
        </w:rPr>
      </w:pPr>
      <w:r>
        <w:rPr>
          <w:rFonts w:ascii="Times New Roman" w:hAnsi="Times New Roman"/>
          <w:noProof/>
          <w:sz w:val="24"/>
        </w:rPr>
        <w:t>-</w:t>
      </w:r>
      <w:r>
        <w:rPr>
          <w:noProof/>
        </w:rPr>
        <w:tab/>
        <w:t>a</w:t>
      </w:r>
      <w:r>
        <w:rPr>
          <w:rFonts w:ascii="Times New Roman" w:hAnsi="Times New Roman"/>
          <w:noProof/>
          <w:sz w:val="24"/>
        </w:rPr>
        <w:t>doptarea propunerii, însoțită de o evaluare a impactului, în 2018, având în vedere următorul CFM;</w:t>
      </w:r>
    </w:p>
    <w:p w:rsidR="006575F0" w:rsidRDefault="006575F0">
      <w:pPr>
        <w:pStyle w:val="ListParagraph"/>
        <w:spacing w:after="120" w:line="240" w:lineRule="auto"/>
        <w:rPr>
          <w:rFonts w:ascii="Times New Roman" w:eastAsia="Times New Roman" w:hAnsi="Times New Roman" w:cs="Times New Roman"/>
          <w:b/>
          <w:bCs/>
          <w:noProof/>
          <w:sz w:val="24"/>
          <w:szCs w:val="24"/>
        </w:rPr>
      </w:pPr>
    </w:p>
    <w:p w:rsidR="006575F0" w:rsidRDefault="00AD6983">
      <w:pPr>
        <w:pStyle w:val="ListParagraph"/>
        <w:numPr>
          <w:ilvl w:val="0"/>
          <w:numId w:val="8"/>
        </w:numPr>
        <w:spacing w:after="120" w:line="240" w:lineRule="auto"/>
        <w:rPr>
          <w:rFonts w:ascii="Times New Roman" w:eastAsia="Times New Roman" w:hAnsi="Times New Roman" w:cs="Times New Roman"/>
          <w:b/>
          <w:bCs/>
          <w:noProof/>
          <w:sz w:val="24"/>
          <w:szCs w:val="24"/>
        </w:rPr>
      </w:pPr>
      <w:r>
        <w:rPr>
          <w:rFonts w:ascii="Times New Roman" w:hAnsi="Times New Roman"/>
          <w:b/>
          <w:noProof/>
          <w:sz w:val="24"/>
        </w:rPr>
        <w:t>Către componenta de capabilități a fondului: promovarea dezvoltării comune</w:t>
      </w:r>
      <w:r>
        <w:rPr>
          <w:rFonts w:ascii="Times New Roman" w:hAnsi="Times New Roman"/>
          <w:b/>
          <w:noProof/>
          <w:sz w:val="24"/>
        </w:rPr>
        <w:t xml:space="preserve"> și a achiziționării în comun a capabilităților de apărare esențiale</w:t>
      </w:r>
    </w:p>
    <w:p w:rsidR="006575F0" w:rsidRDefault="00AD6983">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Argumentele economice pentru dezvoltarea și achizițiile în comun sunt puternice, dar la fel sunt și provocările. Cooperarea în materie de dezvoltare și de achiziții necesită o evaluare co</w:t>
      </w:r>
      <w:r>
        <w:rPr>
          <w:rFonts w:ascii="Times New Roman" w:hAnsi="Times New Roman"/>
          <w:noProof/>
          <w:sz w:val="24"/>
        </w:rPr>
        <w:t>mună a amenințărilor și a necesităților, precum și un parteneriat eficace între statele membre și industria de profil. Investițiile comune, în stadiul de dezvoltare sau de achiziție, necesită de asemenea un nivel de sincronizare între ciclurile bugetare și</w:t>
      </w:r>
      <w:r>
        <w:rPr>
          <w:rFonts w:ascii="Times New Roman" w:hAnsi="Times New Roman"/>
          <w:noProof/>
          <w:sz w:val="24"/>
        </w:rPr>
        <w:t xml:space="preserve"> cele de planificare a apărării la nivel național. Costurile inițiale ridicate și termenele lungi ale proiectelor pot descuraja unele decizii importante legate de investiții. </w:t>
      </w:r>
    </w:p>
    <w:p w:rsidR="006575F0" w:rsidRDefault="00AD6983">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Unele proiecte de dezvoltare în domeniul apărării care sunt esențiale pentru fur</w:t>
      </w:r>
      <w:r>
        <w:rPr>
          <w:rFonts w:ascii="Times New Roman" w:hAnsi="Times New Roman"/>
          <w:noProof/>
          <w:sz w:val="24"/>
        </w:rPr>
        <w:t>nizarea unor capabilități-cheie în viitor nu au fost desfășurate, în pofida etapelor inițiale de cercetare și tehnologie deja finanțate. Prin urmare, este deosebit de important să se reducă distanța dintre cercetare și dezvoltare, adică să se asigure că re</w:t>
      </w:r>
      <w:r>
        <w:rPr>
          <w:rFonts w:ascii="Times New Roman" w:hAnsi="Times New Roman"/>
          <w:noProof/>
          <w:sz w:val="24"/>
        </w:rPr>
        <w:t>zultatele cercetării sunt transformate în capabilitatea necesară. Într-adevăr, această fază a ciclului presupune riscuri de ordin tehnic și financiar semnificative pe care este posibil ca statele membre să nu dorească sau să nu fie capabile să și le asume.</w:t>
      </w:r>
      <w:r>
        <w:rPr>
          <w:rFonts w:ascii="Times New Roman" w:hAnsi="Times New Roman"/>
          <w:noProof/>
          <w:sz w:val="24"/>
        </w:rPr>
        <w:t xml:space="preserve"> Dezvoltarea și testarea de prototipuri, în special, implică costuri inițiale mari, în timp ce riscurile tehnologice în această etapă rămân semnificative. În programele colaborative, aceste provocări sunt mai ușor de depășit, ceea ce conduce adesea la impl</w:t>
      </w:r>
      <w:r>
        <w:rPr>
          <w:rFonts w:ascii="Times New Roman" w:hAnsi="Times New Roman"/>
          <w:noProof/>
          <w:sz w:val="24"/>
        </w:rPr>
        <w:t xml:space="preserve">ementarea cu succes a capabilităților de ultimă oră care sunt utilizate în prezent în cadrul forțelor armate ale statelor membre. </w:t>
      </w:r>
    </w:p>
    <w:p w:rsidR="006575F0" w:rsidRDefault="00AD6983">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Colaborarea europeană în domeniul tehnologiei rachetelor este un exemplu elocvent: investiții precum rachetele de croazieră S</w:t>
      </w:r>
      <w:r>
        <w:rPr>
          <w:rFonts w:ascii="Times New Roman" w:hAnsi="Times New Roman"/>
          <w:noProof/>
          <w:sz w:val="24"/>
        </w:rPr>
        <w:t>torm Shadow / SCALP sau rachetele aer-aer Meteor și IRIS</w:t>
      </w:r>
      <w:r>
        <w:rPr>
          <w:rFonts w:ascii="Times New Roman" w:hAnsi="Times New Roman"/>
          <w:noProof/>
          <w:sz w:val="24"/>
        </w:rPr>
        <w:noBreakHyphen/>
        <w:t xml:space="preserve">T arată că programele colaborative pot contribui în mod semnificativ la realizarea de economii de scară, la standardizare și la interoperabilitate. </w:t>
      </w:r>
    </w:p>
    <w:p w:rsidR="006575F0" w:rsidRDefault="00AD6983">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Rachetele Meteor, care au intrat în exploatare în </w:t>
      </w:r>
      <w:r>
        <w:rPr>
          <w:rFonts w:ascii="Times New Roman" w:hAnsi="Times New Roman"/>
          <w:noProof/>
          <w:sz w:val="24"/>
        </w:rPr>
        <w:t>forțele armate aeriene suedeze în 2016, sunt considerate ca fiind unele dintre cele mai capabile rachete aer-aer cu raza de acțiune dincolo de raza vizuală. Acestea au fost dezvoltate pentru a răspunde nevoilor din șase state membre (Regatul Unit, Germania</w:t>
      </w:r>
      <w:r>
        <w:rPr>
          <w:rFonts w:ascii="Times New Roman" w:hAnsi="Times New Roman"/>
          <w:noProof/>
          <w:sz w:val="24"/>
        </w:rPr>
        <w:t>, Franța, Italia, Spania și Suedia) și vor echipa cel puțin trei platforme europene</w:t>
      </w:r>
      <w:r>
        <w:rPr>
          <w:rFonts w:ascii="Times New Roman" w:hAnsi="Times New Roman"/>
          <w:noProof/>
          <w:sz w:val="24"/>
          <w:vertAlign w:val="superscript"/>
        </w:rPr>
        <w:footnoteReference w:id="11"/>
      </w:r>
      <w:r>
        <w:rPr>
          <w:rFonts w:ascii="Times New Roman" w:hAnsi="Times New Roman"/>
          <w:noProof/>
          <w:sz w:val="24"/>
        </w:rPr>
        <w:t>.</w:t>
      </w:r>
    </w:p>
    <w:p w:rsidR="006575F0" w:rsidRDefault="00AD6983">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Proiectele precum Eurofighter Typhoon arată, de asemenea, că programele europene colaborative în domeniul apărării pot genera beneficii economice mai mari. Un studiu cu p</w:t>
      </w:r>
      <w:r>
        <w:rPr>
          <w:rFonts w:ascii="Times New Roman" w:hAnsi="Times New Roman"/>
          <w:noProof/>
          <w:sz w:val="24"/>
        </w:rPr>
        <w:t>rivire la programul Typhoon</w:t>
      </w:r>
      <w:r>
        <w:rPr>
          <w:rFonts w:ascii="Times New Roman" w:hAnsi="Times New Roman"/>
          <w:noProof/>
          <w:sz w:val="24"/>
          <w:vertAlign w:val="superscript"/>
        </w:rPr>
        <w:footnoteReference w:id="12"/>
      </w:r>
      <w:r>
        <w:rPr>
          <w:rFonts w:ascii="Times New Roman" w:hAnsi="Times New Roman"/>
          <w:noProof/>
          <w:sz w:val="24"/>
        </w:rPr>
        <w:t xml:space="preserve"> estimează că acesta a sprijinit aproximativ 100 000 de locuri de muncă în statele membre participante, cu un procent ridicat de lucrători cu înaltă calificare. Programul a generat beneficii tehnologice și conexe importante, pre</w:t>
      </w:r>
      <w:r>
        <w:rPr>
          <w:rFonts w:ascii="Times New Roman" w:hAnsi="Times New Roman"/>
          <w:noProof/>
          <w:sz w:val="24"/>
        </w:rPr>
        <w:t xml:space="preserve">cum și competențe care sunt în mare măsură transferabile către alte sectoare și chiar a contribuit la introducerea unor practici comerciale moderne în industrie. </w:t>
      </w:r>
    </w:p>
    <w:p w:rsidR="006575F0" w:rsidRDefault="00AD6983">
      <w:pPr>
        <w:pStyle w:val="Body"/>
        <w:pBdr>
          <w:top w:val="single" w:sz="4" w:space="0" w:color="000000"/>
          <w:left w:val="single" w:sz="4" w:space="0" w:color="000000"/>
          <w:bottom w:val="single" w:sz="4" w:space="0" w:color="000000"/>
          <w:right w:val="single" w:sz="4" w:space="0" w:color="000000"/>
        </w:pBdr>
        <w:shd w:val="clear" w:color="auto" w:fill="D9D9D9" w:themeFill="background1" w:themeFillShade="D9"/>
        <w:spacing w:after="120" w:line="240" w:lineRule="auto"/>
        <w:jc w:val="both"/>
        <w:rPr>
          <w:rFonts w:ascii="Times New Roman" w:eastAsia="Times New Roman" w:hAnsi="Times New Roman" w:cs="Times New Roman"/>
          <w:b/>
          <w:bCs/>
          <w:noProof/>
          <w:sz w:val="24"/>
          <w:szCs w:val="24"/>
        </w:rPr>
      </w:pPr>
      <w:r>
        <w:rPr>
          <w:rFonts w:ascii="Times New Roman" w:hAnsi="Times New Roman"/>
          <w:b/>
          <w:noProof/>
          <w:sz w:val="24"/>
        </w:rPr>
        <w:t>Impactul componentei de capabilități asupra competitivității industriei europene de apărare:</w:t>
      </w:r>
    </w:p>
    <w:p w:rsidR="006575F0" w:rsidRDefault="00AD6983">
      <w:pPr>
        <w:pStyle w:val="Body"/>
        <w:pBdr>
          <w:top w:val="single" w:sz="4" w:space="0" w:color="000000"/>
          <w:left w:val="single" w:sz="4" w:space="0" w:color="000000"/>
          <w:bottom w:val="single" w:sz="4" w:space="0" w:color="000000"/>
          <w:right w:val="single" w:sz="4" w:space="0" w:color="000000"/>
        </w:pBdr>
        <w:shd w:val="clear" w:color="auto" w:fill="D9D9D9" w:themeFill="background1" w:themeFillShade="D9"/>
        <w:spacing w:after="120" w:line="240" w:lineRule="auto"/>
        <w:ind w:left="720" w:hanging="720"/>
        <w:jc w:val="both"/>
        <w:rPr>
          <w:rFonts w:ascii="Times New Roman" w:eastAsia="Times New Roman" w:hAnsi="Times New Roman" w:cs="Times New Roman"/>
          <w:noProof/>
          <w:sz w:val="24"/>
          <w:szCs w:val="24"/>
        </w:rPr>
      </w:pPr>
      <w:r>
        <w:rPr>
          <w:rFonts w:ascii="Times New Roman" w:hAnsi="Times New Roman"/>
          <w:noProof/>
          <w:sz w:val="24"/>
        </w:rPr>
        <w:t>-</w:t>
      </w:r>
      <w:r>
        <w:rPr>
          <w:noProof/>
        </w:rPr>
        <w:tab/>
      </w:r>
      <w:r>
        <w:rPr>
          <w:rFonts w:ascii="Times New Roman" w:hAnsi="Times New Roman"/>
          <w:noProof/>
          <w:sz w:val="24"/>
        </w:rPr>
        <w:t>Identificarea priorităților strategice, în special prin Planul de dezvoltare a capabilităților, combinată cu un sistem de finanțare multianual, ar trebui să încurajeze întreprinderile să investească în inovare.</w:t>
      </w:r>
    </w:p>
    <w:p w:rsidR="006575F0" w:rsidRDefault="00AD6983">
      <w:pPr>
        <w:pStyle w:val="Body"/>
        <w:pBdr>
          <w:top w:val="single" w:sz="4" w:space="0" w:color="000000"/>
          <w:left w:val="single" w:sz="4" w:space="0" w:color="000000"/>
          <w:bottom w:val="single" w:sz="4" w:space="0" w:color="000000"/>
          <w:right w:val="single" w:sz="4" w:space="0" w:color="000000"/>
        </w:pBdr>
        <w:shd w:val="clear" w:color="auto" w:fill="D9D9D9" w:themeFill="background1" w:themeFillShade="D9"/>
        <w:spacing w:after="120" w:line="240" w:lineRule="auto"/>
        <w:ind w:left="720" w:hanging="720"/>
        <w:jc w:val="both"/>
        <w:rPr>
          <w:rFonts w:ascii="Times New Roman" w:eastAsia="Times New Roman" w:hAnsi="Times New Roman" w:cs="Times New Roman"/>
          <w:noProof/>
          <w:sz w:val="24"/>
          <w:szCs w:val="24"/>
        </w:rPr>
      </w:pPr>
      <w:r>
        <w:rPr>
          <w:rFonts w:ascii="Times New Roman" w:hAnsi="Times New Roman"/>
          <w:noProof/>
          <w:sz w:val="24"/>
        </w:rPr>
        <w:t>-</w:t>
      </w:r>
      <w:r>
        <w:rPr>
          <w:noProof/>
        </w:rPr>
        <w:tab/>
      </w:r>
      <w:r>
        <w:rPr>
          <w:rFonts w:ascii="Times New Roman" w:hAnsi="Times New Roman"/>
          <w:noProof/>
          <w:sz w:val="24"/>
        </w:rPr>
        <w:t xml:space="preserve">Componenta de capabilități ar facilita </w:t>
      </w:r>
      <w:r>
        <w:rPr>
          <w:rFonts w:ascii="Times New Roman" w:hAnsi="Times New Roman"/>
          <w:noProof/>
          <w:sz w:val="24"/>
        </w:rPr>
        <w:t>luarea deciziilor politice de a lansa programe de cooperare, ar accelera executarea acestora și promovarea inovării în lanțurile de aprovizionare europene în materie de apărare.</w:t>
      </w:r>
    </w:p>
    <w:p w:rsidR="006575F0" w:rsidRDefault="00AD6983">
      <w:pPr>
        <w:pStyle w:val="Body"/>
        <w:pBdr>
          <w:top w:val="single" w:sz="4" w:space="0" w:color="000000"/>
          <w:left w:val="single" w:sz="4" w:space="0" w:color="000000"/>
          <w:bottom w:val="single" w:sz="4" w:space="0" w:color="000000"/>
          <w:right w:val="single" w:sz="4" w:space="0" w:color="000000"/>
        </w:pBdr>
        <w:shd w:val="clear" w:color="auto" w:fill="D9D9D9" w:themeFill="background1" w:themeFillShade="D9"/>
        <w:spacing w:after="120" w:line="240" w:lineRule="auto"/>
        <w:ind w:left="720" w:hanging="720"/>
        <w:jc w:val="both"/>
        <w:rPr>
          <w:rFonts w:ascii="Times New Roman" w:eastAsia="Times New Roman" w:hAnsi="Times New Roman" w:cs="Times New Roman"/>
          <w:noProof/>
          <w:sz w:val="24"/>
          <w:szCs w:val="24"/>
        </w:rPr>
      </w:pPr>
      <w:r>
        <w:rPr>
          <w:rFonts w:ascii="Times New Roman" w:hAnsi="Times New Roman"/>
          <w:noProof/>
          <w:sz w:val="24"/>
        </w:rPr>
        <w:t>-</w:t>
      </w:r>
      <w:r>
        <w:rPr>
          <w:noProof/>
        </w:rPr>
        <w:tab/>
      </w:r>
      <w:r>
        <w:rPr>
          <w:rFonts w:ascii="Times New Roman" w:hAnsi="Times New Roman"/>
          <w:noProof/>
          <w:sz w:val="24"/>
        </w:rPr>
        <w:t>Componenta de capabilități ar trebui să încurajeze punerea în comun a cereri</w:t>
      </w:r>
      <w:r>
        <w:rPr>
          <w:rFonts w:ascii="Times New Roman" w:hAnsi="Times New Roman"/>
          <w:noProof/>
          <w:sz w:val="24"/>
        </w:rPr>
        <w:t>i care va conduce în cele din urmă la întreprinderi comune în industrie și la consolidarea potențială a peisajului industrial european.</w:t>
      </w:r>
    </w:p>
    <w:p w:rsidR="006575F0" w:rsidRDefault="00AD6983">
      <w:pPr>
        <w:pStyle w:val="Body"/>
        <w:pBdr>
          <w:top w:val="single" w:sz="4" w:space="0" w:color="000000"/>
          <w:left w:val="single" w:sz="4" w:space="0" w:color="000000"/>
          <w:bottom w:val="single" w:sz="4" w:space="0" w:color="000000"/>
          <w:right w:val="single" w:sz="4" w:space="0" w:color="000000"/>
        </w:pBdr>
        <w:shd w:val="clear" w:color="auto" w:fill="D9D9D9" w:themeFill="background1" w:themeFillShade="D9"/>
        <w:spacing w:after="120" w:line="240" w:lineRule="auto"/>
        <w:ind w:left="720" w:hanging="720"/>
        <w:jc w:val="both"/>
        <w:rPr>
          <w:rFonts w:ascii="Times New Roman" w:eastAsia="Times New Roman" w:hAnsi="Times New Roman" w:cs="Times New Roman"/>
          <w:noProof/>
          <w:sz w:val="24"/>
          <w:szCs w:val="24"/>
        </w:rPr>
      </w:pPr>
      <w:r>
        <w:rPr>
          <w:rFonts w:ascii="Times New Roman" w:hAnsi="Times New Roman"/>
          <w:noProof/>
          <w:sz w:val="24"/>
        </w:rPr>
        <w:t>-</w:t>
      </w:r>
      <w:r>
        <w:rPr>
          <w:noProof/>
        </w:rPr>
        <w:tab/>
      </w:r>
      <w:r>
        <w:rPr>
          <w:rFonts w:ascii="Times New Roman" w:hAnsi="Times New Roman"/>
          <w:noProof/>
          <w:sz w:val="24"/>
        </w:rPr>
        <w:t>Componenta de capabilități ar trebui să încurajeze achiziționarea în comun, care va permite industriei europene de apă</w:t>
      </w:r>
      <w:r>
        <w:rPr>
          <w:rFonts w:ascii="Times New Roman" w:hAnsi="Times New Roman"/>
          <w:noProof/>
          <w:sz w:val="24"/>
        </w:rPr>
        <w:t>rare să realizeze economii de scară și, prin urmare, va spori competitivitatea globală a industriei europene de apărare.</w:t>
      </w:r>
    </w:p>
    <w:p w:rsidR="006575F0" w:rsidRDefault="00AD6983">
      <w:pPr>
        <w:pStyle w:val="ListParagraph"/>
        <w:numPr>
          <w:ilvl w:val="0"/>
          <w:numId w:val="10"/>
        </w:numPr>
        <w:spacing w:after="120" w:line="240" w:lineRule="auto"/>
        <w:jc w:val="both"/>
        <w:rPr>
          <w:rFonts w:ascii="Times New Roman" w:eastAsia="Times New Roman" w:hAnsi="Times New Roman" w:cs="Times New Roman"/>
          <w:b/>
          <w:bCs/>
          <w:i/>
          <w:iCs/>
          <w:noProof/>
          <w:sz w:val="24"/>
          <w:szCs w:val="24"/>
        </w:rPr>
      </w:pPr>
      <w:r>
        <w:rPr>
          <w:rFonts w:ascii="Times New Roman" w:hAnsi="Times New Roman"/>
          <w:b/>
          <w:i/>
          <w:noProof/>
          <w:sz w:val="24"/>
        </w:rPr>
        <w:t xml:space="preserve">Promovarea dezvoltării comune prin programul european de dezvoltare industrială în domeniul apărării </w:t>
      </w:r>
    </w:p>
    <w:p w:rsidR="006575F0" w:rsidRDefault="00AD6983">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Componenta de capabilități va fi </w:t>
      </w:r>
      <w:r>
        <w:rPr>
          <w:rFonts w:ascii="Times New Roman" w:hAnsi="Times New Roman"/>
          <w:noProof/>
          <w:sz w:val="24"/>
        </w:rPr>
        <w:t>ghidată de statele membre și de nevoile și resursele acestora. Cu toate acestea, UE poate completa programele naționale de finanțare și poate oferi stimulente pentru lansarea proiectelor colaborative de dezvoltare. Propunerea de astăzi de regulament al Par</w:t>
      </w:r>
      <w:r>
        <w:rPr>
          <w:rFonts w:ascii="Times New Roman" w:hAnsi="Times New Roman"/>
          <w:noProof/>
          <w:sz w:val="24"/>
        </w:rPr>
        <w:t xml:space="preserve">lamentului European și Consiliului de instituire a unui program european de dezvoltare industrială în domeniul apărării reprezintă un pas important în această direcție. Comisia prevede un buget de 500 de milioane EUR pentru doi ani, cu 245 de milioane EUR </w:t>
      </w:r>
      <w:r>
        <w:rPr>
          <w:rFonts w:ascii="Times New Roman" w:hAnsi="Times New Roman"/>
          <w:noProof/>
          <w:sz w:val="24"/>
        </w:rPr>
        <w:t xml:space="preserve">pentru 2019 și 255 de milioane EUR pentru 2020. </w:t>
      </w:r>
    </w:p>
    <w:p w:rsidR="006575F0" w:rsidRDefault="00AD6983">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Programul european de dezvoltare industrială în domeniul apărării va cofinanța o parte din costurile de dezvoltare. O sumă de 500 de milioane EUR din cadrul programului ar putea, prin urmare, să conducă la o</w:t>
      </w:r>
      <w:r>
        <w:rPr>
          <w:rFonts w:ascii="Times New Roman" w:hAnsi="Times New Roman"/>
          <w:noProof/>
          <w:sz w:val="24"/>
        </w:rPr>
        <w:t xml:space="preserve"> investiție totală de cel puțin 2,5 miliarde EUR pe parcursul celor doi ani de colaborare în faza de dezvoltare a capabilităților de apărare. </w:t>
      </w:r>
    </w:p>
    <w:p w:rsidR="006575F0" w:rsidRDefault="00AD6983">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Programul european de dezvoltare industrială în domeniul apărării va sprijini industria în faza de dezvoltare pen</w:t>
      </w:r>
      <w:r>
        <w:rPr>
          <w:rFonts w:ascii="Times New Roman" w:hAnsi="Times New Roman"/>
          <w:noProof/>
          <w:sz w:val="24"/>
        </w:rPr>
        <w:t xml:space="preserve">tru investiții colective în produse și tehnologii de vârf. Programul ar putea sprijini, de asemenea, extinderea inovării comerciale în proiectele de apărare viitoare, cum ar fi volumele mari de date, inteligența artificială, robotica, apărarea cibernetică </w:t>
      </w:r>
      <w:r>
        <w:rPr>
          <w:rFonts w:ascii="Times New Roman" w:hAnsi="Times New Roman"/>
          <w:noProof/>
          <w:sz w:val="24"/>
        </w:rPr>
        <w:t>ș</w:t>
      </w:r>
      <w:r>
        <w:rPr>
          <w:rFonts w:ascii="Times New Roman" w:hAnsi="Times New Roman"/>
          <w:noProof/>
          <w:sz w:val="24"/>
        </w:rPr>
        <w:t xml:space="preserve">i </w:t>
      </w:r>
      <w:r>
        <w:rPr>
          <w:rFonts w:ascii="Times New Roman" w:hAnsi="Times New Roman"/>
          <w:i/>
          <w:noProof/>
          <w:sz w:val="24"/>
        </w:rPr>
        <w:t>supercomputing</w:t>
      </w:r>
      <w:r>
        <w:rPr>
          <w:rFonts w:ascii="Times New Roman" w:hAnsi="Times New Roman"/>
          <w:noProof/>
          <w:sz w:val="24"/>
        </w:rPr>
        <w:t>.</w:t>
      </w:r>
    </w:p>
    <w:p w:rsidR="006575F0" w:rsidRDefault="00AD6983">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Proiectele dezvoltate în cooperare cu beneficiarii programului vor contribui la îndeplinirea intereselor de securitate și de apărare ale statelor UE, în special având în vedere prioritățile legate de capabilități stabilite de comun acord</w:t>
      </w:r>
      <w:r>
        <w:rPr>
          <w:rFonts w:ascii="Times New Roman" w:hAnsi="Times New Roman"/>
          <w:noProof/>
          <w:sz w:val="24"/>
        </w:rPr>
        <w:t xml:space="preserve"> de către statele membre la nivelul UE (prin intermediul Planului de dezvoltare a capabilităților), ținând cont, de asemenea, de cooperarea regională sau multilaterală europeană care corespunde priorităților strategice ale UE. Având drept obiectiv creștere</w:t>
      </w:r>
      <w:r>
        <w:rPr>
          <w:rFonts w:ascii="Times New Roman" w:hAnsi="Times New Roman"/>
          <w:noProof/>
          <w:sz w:val="24"/>
        </w:rPr>
        <w:t>a competitivității industriei noastre de apărare, acestea ar trebui să contribuie la atingerea nivelului de ambiție în materie de securitate și de apărare, așa cum reiese din strategia globală a UE privind politica externă și de securitate în ceea ce prive</w:t>
      </w:r>
      <w:r>
        <w:rPr>
          <w:rFonts w:ascii="Times New Roman" w:hAnsi="Times New Roman"/>
          <w:noProof/>
          <w:sz w:val="24"/>
        </w:rPr>
        <w:t>ș</w:t>
      </w:r>
      <w:r>
        <w:rPr>
          <w:rFonts w:ascii="Times New Roman" w:hAnsi="Times New Roman"/>
          <w:noProof/>
          <w:sz w:val="24"/>
        </w:rPr>
        <w:t xml:space="preserve">te gestionarea situațiilor de criză și protecția în Europa. </w:t>
      </w:r>
    </w:p>
    <w:p w:rsidR="006575F0" w:rsidRDefault="00AD6983">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Programul va veni în completarea componentei de cercetare prin sprijinirea acțiunilor care se concentrează asupra activităților post-cercetare, pe baza unor cerințe tehnice comune. El va ajuta i</w:t>
      </w:r>
      <w:r>
        <w:rPr>
          <w:rFonts w:ascii="Times New Roman" w:hAnsi="Times New Roman"/>
          <w:noProof/>
          <w:sz w:val="24"/>
        </w:rPr>
        <w:t>ndustria să lanseze programe colaborative de dezvoltare sau să le actualizeze pe cele existente prin acțiuni care sprijină definirea unor cerințe tehnice, studiile de fezabilitate și dezvoltarea de prototipuri și testarea. Programul poate fi de asemenea ut</w:t>
      </w:r>
      <w:r>
        <w:rPr>
          <w:rFonts w:ascii="Times New Roman" w:hAnsi="Times New Roman"/>
          <w:noProof/>
          <w:sz w:val="24"/>
        </w:rPr>
        <w:t>ilizat pentru provocările tehnologice și industriale la nivelul UE, pentru a profita de diversitatea bazei tehnologice și industriale europene. El ar trebui să sprijine IMM-urile inovatoare și să faciliteze integrarea acestora în lanțurile de aprovizionare</w:t>
      </w:r>
      <w:r>
        <w:rPr>
          <w:rFonts w:ascii="Times New Roman" w:hAnsi="Times New Roman"/>
          <w:noProof/>
          <w:sz w:val="24"/>
        </w:rPr>
        <w:t xml:space="preserve"> europene. Ar trebui să reducă fragmentarea, care poate împiedica dezvoltarea economiilor de scară și utilizarea la nivel transfrontalier. În special, sprijinul financiar poate fi sub formă de granturi sau de instrumente financiare. Programul european de d</w:t>
      </w:r>
      <w:r>
        <w:rPr>
          <w:rFonts w:ascii="Times New Roman" w:hAnsi="Times New Roman"/>
          <w:noProof/>
          <w:sz w:val="24"/>
        </w:rPr>
        <w:t xml:space="preserve">ezvoltare industrială în domeniul apărării va cofinanța doar o parte din costurile de dezvoltare. </w:t>
      </w:r>
    </w:p>
    <w:p w:rsidR="006575F0" w:rsidRDefault="00AD6983">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Inițial, programul va acoperi perioada 2019-2020. Doar proiectele la care participă cel puțin trei întreprinderi din cel puțin două state membre vor fi </w:t>
      </w:r>
      <w:r>
        <w:rPr>
          <w:rFonts w:ascii="Times New Roman" w:hAnsi="Times New Roman"/>
          <w:noProof/>
          <w:sz w:val="24"/>
        </w:rPr>
        <w:t>eligibile. Proiectele colaborative pot fi gestionate de un responsabil de proiect selectat de către statele membre care cofinanțează proiectul. Programul va acoperi diferite tipuri de proiecte. El ar trebui să aducă beneficii atât pentru întreprinderile ma</w:t>
      </w:r>
      <w:r>
        <w:rPr>
          <w:rFonts w:ascii="Times New Roman" w:hAnsi="Times New Roman"/>
          <w:noProof/>
          <w:sz w:val="24"/>
        </w:rPr>
        <w:t>ri, cât și pentru IMM-urile din sectorul apărării, asigurând incluziunea în ceea ce privește întreprinderile și statele membre. Astfel, programul va consolida cooperarea transfrontalieră dintre industrie și va contribui la competitivitatea întregului secto</w:t>
      </w:r>
      <w:r>
        <w:rPr>
          <w:rFonts w:ascii="Times New Roman" w:hAnsi="Times New Roman"/>
          <w:noProof/>
          <w:sz w:val="24"/>
        </w:rPr>
        <w:t>r industrial de apărare. Din acest motiv, o parte din bugetul general ar trebui să vină în sprijinul acțiunilor care permit participarea transfrontalieră a IMM-urilor.</w:t>
      </w:r>
    </w:p>
    <w:p w:rsidR="006575F0" w:rsidRDefault="00AD6983">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Un program mai substanțial va fi pregătit în contextul următorului CFM, ținând seama de </w:t>
      </w:r>
      <w:r>
        <w:rPr>
          <w:rFonts w:ascii="Times New Roman" w:hAnsi="Times New Roman"/>
          <w:noProof/>
          <w:sz w:val="24"/>
        </w:rPr>
        <w:t xml:space="preserve">experiența inițială. Viitorul program poate permite includerea unei game mai largi de proiecte față de situația din cadrul programului actual, având în vedere domeniul de aplicare și durata limitate. </w:t>
      </w:r>
    </w:p>
    <w:p w:rsidR="006575F0" w:rsidRDefault="00AD6983">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În ceea ce privește guvernanța, Comisia va fi responsab</w:t>
      </w:r>
      <w:r>
        <w:rPr>
          <w:rFonts w:ascii="Times New Roman" w:hAnsi="Times New Roman"/>
          <w:noProof/>
          <w:sz w:val="24"/>
        </w:rPr>
        <w:t>ilă de execuția generală a programului. Aceasta poate totuși să încredințeze anumite sarcini organismelor de execuție. Agenția Europeană de Apărare va juca un rol esențial în identificarea priorităților privind capabilitățile, precum și în ceea ce privește</w:t>
      </w:r>
      <w:r>
        <w:rPr>
          <w:rFonts w:ascii="Times New Roman" w:hAnsi="Times New Roman"/>
          <w:noProof/>
          <w:sz w:val="24"/>
        </w:rPr>
        <w:t xml:space="preserve"> armonizarea cerințelor tehnice. Ea va participa în calitate de observator la comitetul programului, compus din reprezentanți ai statelor membre, precum și în cadrul unui grup consultativ format din reprezentanți ai industriei și experți din sectorul apără</w:t>
      </w:r>
      <w:r>
        <w:rPr>
          <w:rFonts w:ascii="Times New Roman" w:hAnsi="Times New Roman"/>
          <w:noProof/>
          <w:sz w:val="24"/>
        </w:rPr>
        <w:t>rii. În plus, Serviciul European de Acțiune Externă (SEAE) va fi implicat în program, inclusiv în activitatea comitetului programului, în conformitate cu normele aplicabile. Comitetul programului va prezenta un aviz referitor la programul anual de lucru și</w:t>
      </w:r>
      <w:r>
        <w:rPr>
          <w:rFonts w:ascii="Times New Roman" w:hAnsi="Times New Roman"/>
          <w:noProof/>
          <w:sz w:val="24"/>
        </w:rPr>
        <w:t xml:space="preserve"> la acordarea de finanțare pentru acțiunile de cooperare selectate de Comisie. </w:t>
      </w:r>
    </w:p>
    <w:p w:rsidR="006575F0" w:rsidRDefault="00AD6983">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Programul asigură sinergii cu pilonul privind capabilitatea al cooperării structurate permanente (PESCO). PESCO este unul dintre instrumentele-cheie din tratat care contribuie </w:t>
      </w:r>
      <w:r>
        <w:rPr>
          <w:rFonts w:ascii="Times New Roman" w:hAnsi="Times New Roman"/>
          <w:noProof/>
          <w:sz w:val="24"/>
        </w:rPr>
        <w:t xml:space="preserve">la realizarea nivelului de ambiție al UE în domeniul securității și apărării și la consolidarea capacității operaționale a UE și sprijină o mai bună cooperare și eficiență în dezvoltarea capabilităților de apărare. Proiectele dezvoltate în cadrul PESCO ar </w:t>
      </w:r>
      <w:r>
        <w:rPr>
          <w:rFonts w:ascii="Times New Roman" w:hAnsi="Times New Roman"/>
          <w:noProof/>
          <w:sz w:val="24"/>
        </w:rPr>
        <w:t xml:space="preserve">asigura o cooperare consolidată continuă între întreprinderile din diferite state membre și ar contribui în mod direct la obiectivele programului, care prevede o rată mai ridicată de finanțare pentru astfel de proiecte. </w:t>
      </w:r>
    </w:p>
    <w:p w:rsidR="006575F0" w:rsidRDefault="00AD6983">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Cu toate acestea, întrucât programu</w:t>
      </w:r>
      <w:r>
        <w:rPr>
          <w:rFonts w:ascii="Times New Roman" w:hAnsi="Times New Roman"/>
          <w:noProof/>
          <w:sz w:val="24"/>
        </w:rPr>
        <w:t>l vizează o gamă mai largă de proiecte, o participare la PESCO nu va fi o condiție prealabilă pentru obținerea de sprijin în cadrul programului. Alte proiecte care contribuie la dezvoltarea de priorități în materie de capabilități convenite de comun acord,</w:t>
      </w:r>
      <w:r>
        <w:rPr>
          <w:rFonts w:ascii="Times New Roman" w:hAnsi="Times New Roman"/>
          <w:noProof/>
          <w:sz w:val="24"/>
        </w:rPr>
        <w:t xml:space="preserve"> inclusiv proiecte desfășurate în cadrul AEA sau pe baza cooperării regionale, în concordanță cu interesele de securitate și de apărare ale UE pot fi, de asemenea, luate în considerare pentru acordarea de sprijin. </w:t>
      </w:r>
    </w:p>
    <w:p w:rsidR="006575F0" w:rsidRDefault="00AD6983">
      <w:pPr>
        <w:pStyle w:val="Body"/>
        <w:pBdr>
          <w:top w:val="single" w:sz="4" w:space="0" w:color="000000"/>
          <w:left w:val="single" w:sz="4" w:space="0" w:color="000000"/>
          <w:bottom w:val="single" w:sz="4" w:space="0" w:color="000000"/>
          <w:right w:val="single" w:sz="4" w:space="0" w:color="000000"/>
        </w:pBdr>
        <w:shd w:val="clear" w:color="auto" w:fill="D9D9D9" w:themeFill="background1" w:themeFillShade="D9"/>
        <w:spacing w:after="120" w:line="240" w:lineRule="auto"/>
        <w:jc w:val="both"/>
        <w:rPr>
          <w:rFonts w:ascii="Times New Roman" w:eastAsia="Times New Roman" w:hAnsi="Times New Roman" w:cs="Times New Roman"/>
          <w:b/>
          <w:bCs/>
          <w:noProof/>
          <w:sz w:val="24"/>
          <w:szCs w:val="24"/>
        </w:rPr>
      </w:pPr>
      <w:r>
        <w:rPr>
          <w:rFonts w:ascii="Times New Roman" w:hAnsi="Times New Roman"/>
          <w:b/>
          <w:noProof/>
          <w:sz w:val="24"/>
        </w:rPr>
        <w:t>Etapele următoare:</w:t>
      </w:r>
    </w:p>
    <w:p w:rsidR="006575F0" w:rsidRDefault="00AD6983">
      <w:pPr>
        <w:pStyle w:val="Body"/>
        <w:pBdr>
          <w:top w:val="single" w:sz="4" w:space="0" w:color="000000"/>
          <w:left w:val="single" w:sz="4" w:space="0" w:color="000000"/>
          <w:bottom w:val="single" w:sz="4" w:space="0" w:color="000000"/>
          <w:right w:val="single" w:sz="4" w:space="0" w:color="000000"/>
        </w:pBdr>
        <w:shd w:val="clear" w:color="auto" w:fill="D9D9D9" w:themeFill="background1" w:themeFillShade="D9"/>
        <w:spacing w:after="120" w:line="240" w:lineRule="auto"/>
        <w:ind w:left="720" w:hanging="720"/>
        <w:jc w:val="both"/>
        <w:rPr>
          <w:rFonts w:ascii="Times New Roman" w:eastAsia="Times New Roman" w:hAnsi="Times New Roman" w:cs="Times New Roman"/>
          <w:noProof/>
          <w:sz w:val="24"/>
          <w:szCs w:val="24"/>
        </w:rPr>
      </w:pPr>
      <w:r>
        <w:rPr>
          <w:rFonts w:ascii="Times New Roman" w:hAnsi="Times New Roman"/>
          <w:noProof/>
          <w:sz w:val="24"/>
        </w:rPr>
        <w:t>-</w:t>
      </w:r>
      <w:r>
        <w:rPr>
          <w:noProof/>
        </w:rPr>
        <w:tab/>
        <w:t>D</w:t>
      </w:r>
      <w:r>
        <w:rPr>
          <w:rFonts w:ascii="Times New Roman" w:hAnsi="Times New Roman"/>
          <w:noProof/>
          <w:sz w:val="24"/>
        </w:rPr>
        <w:t xml:space="preserve">iscuții cu statele </w:t>
      </w:r>
      <w:r>
        <w:rPr>
          <w:rFonts w:ascii="Times New Roman" w:hAnsi="Times New Roman"/>
          <w:noProof/>
          <w:sz w:val="24"/>
        </w:rPr>
        <w:t>membre pentru a începe pregătirea de conducte de posibile proiecte care ar putea beneficia de sprijin în temeiul programului european de dezvoltare industrială în domeniul apărării.</w:t>
      </w:r>
    </w:p>
    <w:p w:rsidR="006575F0" w:rsidRDefault="00AD6983">
      <w:pPr>
        <w:pStyle w:val="Body"/>
        <w:pBdr>
          <w:top w:val="single" w:sz="4" w:space="0" w:color="000000"/>
          <w:left w:val="single" w:sz="4" w:space="0" w:color="000000"/>
          <w:bottom w:val="single" w:sz="4" w:space="0" w:color="000000"/>
          <w:right w:val="single" w:sz="4" w:space="0" w:color="000000"/>
        </w:pBdr>
        <w:shd w:val="clear" w:color="auto" w:fill="D9D9D9" w:themeFill="background1" w:themeFillShade="D9"/>
        <w:spacing w:after="120" w:line="240" w:lineRule="auto"/>
        <w:ind w:left="720" w:hanging="720"/>
        <w:jc w:val="both"/>
        <w:rPr>
          <w:rFonts w:ascii="Times New Roman" w:eastAsia="Times New Roman" w:hAnsi="Times New Roman" w:cs="Times New Roman"/>
          <w:noProof/>
          <w:sz w:val="24"/>
          <w:szCs w:val="24"/>
        </w:rPr>
      </w:pPr>
      <w:r>
        <w:rPr>
          <w:rFonts w:ascii="Times New Roman" w:hAnsi="Times New Roman"/>
          <w:noProof/>
          <w:sz w:val="24"/>
        </w:rPr>
        <w:t>-</w:t>
      </w:r>
      <w:r>
        <w:rPr>
          <w:noProof/>
        </w:rPr>
        <w:tab/>
      </w:r>
      <w:r>
        <w:rPr>
          <w:rFonts w:ascii="Times New Roman" w:hAnsi="Times New Roman"/>
          <w:noProof/>
          <w:sz w:val="24"/>
        </w:rPr>
        <w:t>O examinare și o adoptare rapidă de către colegiuitori. Pentru a realiza</w:t>
      </w:r>
      <w:r>
        <w:rPr>
          <w:rFonts w:ascii="Times New Roman" w:hAnsi="Times New Roman"/>
          <w:noProof/>
          <w:sz w:val="24"/>
        </w:rPr>
        <w:t xml:space="preserve"> acest lucru, este necesar sprijinul puternic al Parlamentului European și al Consiliului. Prin urmare, Comisia va propune includerea programului european de dezvoltare industrială în domeniul apărării printre prioritățile legislative care trebuie tratate </w:t>
      </w:r>
      <w:r>
        <w:rPr>
          <w:rFonts w:ascii="Times New Roman" w:hAnsi="Times New Roman"/>
          <w:noProof/>
          <w:sz w:val="24"/>
        </w:rPr>
        <w:t>cu prioritate de către cele trei instituții. Un acord cu Parlamentul European și cu Consiliul, obținut până la începutul anului 2018, ar permite ca primele proiecte să fie finanțate în 2019.</w:t>
      </w:r>
    </w:p>
    <w:p w:rsidR="006575F0" w:rsidRDefault="00AD6983">
      <w:pPr>
        <w:pStyle w:val="Body"/>
        <w:pBdr>
          <w:top w:val="single" w:sz="4" w:space="0" w:color="000000"/>
          <w:left w:val="single" w:sz="4" w:space="0" w:color="000000"/>
          <w:bottom w:val="single" w:sz="4" w:space="0" w:color="000000"/>
          <w:right w:val="single" w:sz="4" w:space="0" w:color="000000"/>
        </w:pBdr>
        <w:shd w:val="clear" w:color="auto" w:fill="D9D9D9" w:themeFill="background1" w:themeFillShade="D9"/>
        <w:spacing w:after="120" w:line="240" w:lineRule="auto"/>
        <w:ind w:left="709" w:hanging="709"/>
        <w:jc w:val="both"/>
        <w:rPr>
          <w:rFonts w:ascii="Times New Roman" w:eastAsia="Times New Roman" w:hAnsi="Times New Roman" w:cs="Times New Roman"/>
          <w:noProof/>
          <w:sz w:val="24"/>
          <w:szCs w:val="24"/>
        </w:rPr>
      </w:pPr>
      <w:r>
        <w:rPr>
          <w:rFonts w:ascii="Times New Roman" w:hAnsi="Times New Roman"/>
          <w:noProof/>
          <w:sz w:val="24"/>
        </w:rPr>
        <w:t>-</w:t>
      </w:r>
      <w:r>
        <w:rPr>
          <w:noProof/>
        </w:rPr>
        <w:tab/>
      </w:r>
      <w:r>
        <w:rPr>
          <w:rFonts w:ascii="Times New Roman" w:hAnsi="Times New Roman"/>
          <w:noProof/>
          <w:sz w:val="24"/>
        </w:rPr>
        <w:t xml:space="preserve">Elaborarea unui program european de dezvoltare industrială în </w:t>
      </w:r>
      <w:r>
        <w:rPr>
          <w:rFonts w:ascii="Times New Roman" w:hAnsi="Times New Roman"/>
          <w:noProof/>
          <w:sz w:val="24"/>
        </w:rPr>
        <w:t xml:space="preserve">domeniul apărării mai ambițios în următorul cadru financiar multianual, însoțit de o evaluare a impactului, cu o sumă de referință de 1 miliard EUR în fiecare an, cu scopul de a permite o investiție totală anuală semnificativă în capabilitățile de apărare </w:t>
      </w:r>
      <w:r>
        <w:rPr>
          <w:rFonts w:ascii="Times New Roman" w:hAnsi="Times New Roman"/>
          <w:noProof/>
          <w:sz w:val="24"/>
        </w:rPr>
        <w:t>colaborativă în Europa.</w:t>
      </w:r>
    </w:p>
    <w:p w:rsidR="006575F0" w:rsidRDefault="00AD6983">
      <w:pPr>
        <w:pStyle w:val="ListParagraph"/>
        <w:numPr>
          <w:ilvl w:val="0"/>
          <w:numId w:val="10"/>
        </w:numPr>
        <w:spacing w:after="120" w:line="240" w:lineRule="auto"/>
        <w:jc w:val="both"/>
        <w:rPr>
          <w:rFonts w:ascii="Times New Roman" w:eastAsia="Times New Roman" w:hAnsi="Times New Roman" w:cs="Times New Roman"/>
          <w:b/>
          <w:bCs/>
          <w:i/>
          <w:iCs/>
          <w:noProof/>
          <w:sz w:val="24"/>
          <w:szCs w:val="24"/>
        </w:rPr>
      </w:pPr>
      <w:r>
        <w:rPr>
          <w:rFonts w:ascii="Times New Roman" w:hAnsi="Times New Roman"/>
          <w:b/>
          <w:i/>
          <w:noProof/>
          <w:sz w:val="24"/>
        </w:rPr>
        <w:t xml:space="preserve">Perspective: pregătirea terenului pentru achiziția în comun de capabilități </w:t>
      </w:r>
    </w:p>
    <w:p w:rsidR="006575F0" w:rsidRDefault="00AD6983">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Dezvoltarea și achiziția de capabilități de apărare sunt inerent legate, în special când este vorba despre finanțare. Pentru a beneficia de sprijin în cadr</w:t>
      </w:r>
      <w:r>
        <w:rPr>
          <w:rFonts w:ascii="Times New Roman" w:hAnsi="Times New Roman"/>
          <w:noProof/>
          <w:sz w:val="24"/>
        </w:rPr>
        <w:t>ul programului european de dezvoltare industrială în domeniul apărării, industria va trebui să demonstreze că statele membre s-au angajat să finanțeze dezvoltarea în continuare a acțiunii eligibile și să achiziționeze produsul sau tehnologia finală într-un</w:t>
      </w:r>
      <w:r>
        <w:rPr>
          <w:rFonts w:ascii="Times New Roman" w:hAnsi="Times New Roman"/>
          <w:noProof/>
          <w:sz w:val="24"/>
        </w:rPr>
        <w:t xml:space="preserve"> mod coordonat, inclusiv printr-o procedură comună de achiziții publice, dacă este cazul. Un astfel de angajament ar asigura faptul că o contribuție din bugetul UE este acordată numai pentru proiectele unde, pe de o parte, există motive rezonabile de a con</w:t>
      </w:r>
      <w:r>
        <w:rPr>
          <w:rFonts w:ascii="Times New Roman" w:hAnsi="Times New Roman"/>
          <w:noProof/>
          <w:sz w:val="24"/>
        </w:rPr>
        <w:t xml:space="preserve">sidera că dezvoltarea va avea ca rezultat o achiziție și, pe de altă parte, în cazul în care acest lucru se realizează într-un mod cooperativ, în vederea optimizării investițiilor și pentru a asigura sinergii. </w:t>
      </w:r>
    </w:p>
    <w:p w:rsidR="006575F0" w:rsidRDefault="00AD6983">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Achizițiile vor rămâne de competența statelor</w:t>
      </w:r>
      <w:r>
        <w:rPr>
          <w:rFonts w:ascii="Times New Roman" w:hAnsi="Times New Roman"/>
          <w:noProof/>
          <w:sz w:val="24"/>
        </w:rPr>
        <w:t xml:space="preserve"> membre. În consecință, este necesară o explorare mai amplă a unor noi stimulente pentru a încuraja achiziționarea colaborativă de echipamente de apărare, cu o serie de avantaje în ceea ce privește interoperabilitatea, economiile de scară, sprijinirea unei</w:t>
      </w:r>
      <w:r>
        <w:rPr>
          <w:rFonts w:ascii="Times New Roman" w:hAnsi="Times New Roman"/>
          <w:noProof/>
          <w:sz w:val="24"/>
        </w:rPr>
        <w:t xml:space="preserve"> baze industriale europene viabile, economiile bazate pe ciclul de viață în ceea ce privește întreținerea, sprijinul logistic, facilitățile de formare și structura de comandă. Aceste măsuri de stimulare ar putea facilita, de asemenea, soluții multinațional</w:t>
      </w:r>
      <w:r>
        <w:rPr>
          <w:rFonts w:ascii="Times New Roman" w:hAnsi="Times New Roman"/>
          <w:noProof/>
          <w:sz w:val="24"/>
        </w:rPr>
        <w:t>e legate de echipamente și de proprietatea comună, care pot fi în mod special potrivite pentru capabilitățile care nu sunt în uz permanent (de exemplu, capabilități de transport aerian strategic).</w:t>
      </w:r>
    </w:p>
    <w:p w:rsidR="006575F0" w:rsidRDefault="00AD6983">
      <w:pPr>
        <w:pStyle w:val="Body"/>
        <w:spacing w:after="120" w:line="240" w:lineRule="auto"/>
        <w:jc w:val="both"/>
        <w:rPr>
          <w:rFonts w:ascii="Times New Roman" w:eastAsia="Times New Roman" w:hAnsi="Times New Roman" w:cs="Times New Roman"/>
          <w:b/>
          <w:bCs/>
          <w:i/>
          <w:iCs/>
          <w:noProof/>
          <w:sz w:val="24"/>
          <w:szCs w:val="24"/>
        </w:rPr>
      </w:pPr>
      <w:r>
        <w:rPr>
          <w:rFonts w:ascii="Times New Roman" w:hAnsi="Times New Roman"/>
          <w:b/>
          <w:i/>
          <w:noProof/>
          <w:sz w:val="24"/>
        </w:rPr>
        <w:t xml:space="preserve">Setul de instrumente financiare </w:t>
      </w:r>
    </w:p>
    <w:p w:rsidR="006575F0" w:rsidRDefault="00AD6983">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Deși rolul bugetului UE es</w:t>
      </w:r>
      <w:r>
        <w:rPr>
          <w:rFonts w:ascii="Times New Roman" w:hAnsi="Times New Roman"/>
          <w:noProof/>
          <w:sz w:val="24"/>
        </w:rPr>
        <w:t>te în mod necesar limitat în ceea ce privește achiziționarea capabilităților de apărare, Comisia poate sprijini statele membre în multe privințe, în special acordându-le asistență pentru a mobiliza cele mai adecvate și eficiente modalități financiare pentr</w:t>
      </w:r>
      <w:r>
        <w:rPr>
          <w:rFonts w:ascii="Times New Roman" w:hAnsi="Times New Roman"/>
          <w:noProof/>
          <w:sz w:val="24"/>
        </w:rPr>
        <w:t>u achiziționarea în comun a capabilităților de apărare. În momentul de față, proiectele de achiziții colaborative sunt, în cea mai mare parte, negociate și puse în aplicare pe o bază ad</w:t>
      </w:r>
      <w:r>
        <w:rPr>
          <w:rFonts w:ascii="Times New Roman" w:hAnsi="Times New Roman"/>
          <w:noProof/>
          <w:sz w:val="24"/>
        </w:rPr>
        <w:noBreakHyphen/>
        <w:t>hoc de către statele membre implicate. Cunoștințele și bunele practici</w:t>
      </w:r>
      <w:r>
        <w:rPr>
          <w:rFonts w:ascii="Times New Roman" w:hAnsi="Times New Roman"/>
          <w:noProof/>
          <w:sz w:val="24"/>
        </w:rPr>
        <w:t xml:space="preserve"> privind posibilele aranjamente financiare nu sunt înregistrate, standardizate și partajate în mod sistematic în beneficiul tuturor statelor membre. În plus, deși statele membre au un grad ridicat de cunoștințe și expertiză cu privire la modalitățile de de</w:t>
      </w:r>
      <w:r>
        <w:rPr>
          <w:rFonts w:ascii="Times New Roman" w:hAnsi="Times New Roman"/>
          <w:noProof/>
          <w:sz w:val="24"/>
        </w:rPr>
        <w:t>sfășurare a achizițiilor publice în domeniul apărării naționale, ele se confruntă cu un decalaj în ceea ce privește expertiza și instrumentele în cazul proiectelor colaborative. Instrumentele și informațiile legate de dispozițiile financiare optime nu sunt</w:t>
      </w:r>
      <w:r>
        <w:rPr>
          <w:rFonts w:ascii="Times New Roman" w:hAnsi="Times New Roman"/>
          <w:noProof/>
          <w:sz w:val="24"/>
        </w:rPr>
        <w:t xml:space="preserve"> disponibile într-un singur loc. Fiecare proiect colaborativ de dezvoltare și de achiziții publice are cerințele și caracteristicile sale unice și, prin urmare, nu ar fi oportun să se aplice o abordare unică. Cu toate acestea, o serie de provocări cu care </w:t>
      </w:r>
      <w:r>
        <w:rPr>
          <w:rFonts w:ascii="Times New Roman" w:hAnsi="Times New Roman"/>
          <w:noProof/>
          <w:sz w:val="24"/>
        </w:rPr>
        <w:t>se confruntă proiectele colaborative sunt recurente și, prin urmare, ar exista avantaje pentru un astfel de set de instrumente, precum și competențele pentru a consilia cu privire la utilizarea lor în contextul proiectelor specifice, disponibile la cerere.</w:t>
      </w:r>
      <w:r>
        <w:rPr>
          <w:rFonts w:ascii="Times New Roman" w:hAnsi="Times New Roman"/>
          <w:noProof/>
          <w:sz w:val="24"/>
        </w:rPr>
        <w:t xml:space="preserve"> Comisia, în colaborare cu statele membre, a identificat unele dintre cele mai frecvente probleme și posibile metode de rezolvare a acestora. </w:t>
      </w:r>
    </w:p>
    <w:p w:rsidR="006575F0" w:rsidRDefault="00AD6983">
      <w:pPr>
        <w:pStyle w:val="ListParagraph"/>
        <w:numPr>
          <w:ilvl w:val="0"/>
          <w:numId w:val="18"/>
        </w:num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O primă provocare constă în creșterea sinergiilor și sincronizarea cheltuielilor bugetare: colaborarea dintre sta</w:t>
      </w:r>
      <w:r>
        <w:rPr>
          <w:rFonts w:ascii="Times New Roman" w:hAnsi="Times New Roman"/>
          <w:noProof/>
          <w:sz w:val="24"/>
        </w:rPr>
        <w:t>tele membre poate conduce la sinergii și la economii de scară, dar valorificarea acestor sinergii este adesea împiedicată de lipsa de sincronizare în planificarea de contribuții bugetare, care, la rândul său, poate duce la întârzieri în punerea la dispoziț</w:t>
      </w:r>
      <w:r>
        <w:rPr>
          <w:rFonts w:ascii="Times New Roman" w:hAnsi="Times New Roman"/>
          <w:noProof/>
          <w:sz w:val="24"/>
        </w:rPr>
        <w:t>ie a resurselor bugetare pentru proiecte colaborative. O posibilă modalitate de abordare a acestei provocări este punerea în comun a resurselor naționale specifice pentru finanțarea proiectelor colaborative</w:t>
      </w:r>
      <w:r>
        <w:rPr>
          <w:rStyle w:val="FootnoteReference"/>
          <w:rFonts w:ascii="Times New Roman" w:hAnsi="Times New Roman"/>
          <w:noProof/>
          <w:sz w:val="24"/>
        </w:rPr>
        <w:footnoteReference w:id="13"/>
      </w:r>
      <w:r>
        <w:rPr>
          <w:rFonts w:ascii="Times New Roman" w:hAnsi="Times New Roman"/>
          <w:noProof/>
          <w:sz w:val="24"/>
        </w:rPr>
        <w:t>, ceea ce ar permite gradul necesar de coordonare</w:t>
      </w:r>
      <w:r>
        <w:rPr>
          <w:rFonts w:ascii="Times New Roman" w:hAnsi="Times New Roman"/>
          <w:noProof/>
          <w:sz w:val="24"/>
        </w:rPr>
        <w:t xml:space="preserve"> și de sincronizare bugetară de-a lungul unor perioade de timp îndelungate și ar evita indisponibilitatea fondurilor într-un anumit an.</w:t>
      </w:r>
    </w:p>
    <w:p w:rsidR="006575F0" w:rsidRDefault="00AD6983">
      <w:pPr>
        <w:pStyle w:val="ListParagraph"/>
        <w:numPr>
          <w:ilvl w:val="0"/>
          <w:numId w:val="18"/>
        </w:num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O a doua provocare constă în riscul echitabil și împărțirea costurilor: costul de dezvoltare a capabilităților poate fi </w:t>
      </w:r>
      <w:r>
        <w:rPr>
          <w:rFonts w:ascii="Times New Roman" w:hAnsi="Times New Roman"/>
          <w:noProof/>
          <w:sz w:val="24"/>
        </w:rPr>
        <w:t xml:space="preserve">inițial „restrâns” la numărul (potențial mic) de state membre participante, în pofida faptului că ulterior ar putea crea un avantaj față de altele (de exemplu, achiziționarea de echipamente disponibile în comerț). Este posibil să se elaboreze mecanisme cu </w:t>
      </w:r>
      <w:r>
        <w:rPr>
          <w:rFonts w:ascii="Times New Roman" w:hAnsi="Times New Roman"/>
          <w:noProof/>
          <w:sz w:val="24"/>
        </w:rPr>
        <w:t>ajutorul cărora aceste state membre sunt „compensate” prin intermediul unui mecanism de recuperare a costurilor de dezvoltare de alte state membre care participă la achiziționarea de capabilități. Aceasta include posibilitatea de a crea instrumente financi</w:t>
      </w:r>
      <w:r>
        <w:rPr>
          <w:rFonts w:ascii="Times New Roman" w:hAnsi="Times New Roman"/>
          <w:noProof/>
          <w:sz w:val="24"/>
        </w:rPr>
        <w:t>are legate de proiect. În cazul în care acest lucru se justifică, aceste vehicule ar putea fi, de asemenea, utilizate pentru o emisiune de instrumente de capital (datorie sau capital propriu), cu scopul de a permite o structură mai flexibilă și de a asigur</w:t>
      </w:r>
      <w:r>
        <w:rPr>
          <w:rFonts w:ascii="Times New Roman" w:hAnsi="Times New Roman"/>
          <w:noProof/>
          <w:sz w:val="24"/>
        </w:rPr>
        <w:t>a disponibilitatea deplină a resurselor atunci când acestea sunt necesare.</w:t>
      </w:r>
    </w:p>
    <w:p w:rsidR="006575F0" w:rsidRDefault="00AD6983">
      <w:pPr>
        <w:pStyle w:val="ListParagraph"/>
        <w:numPr>
          <w:ilvl w:val="0"/>
          <w:numId w:val="18"/>
        </w:numPr>
        <w:spacing w:after="120" w:line="240" w:lineRule="auto"/>
        <w:jc w:val="both"/>
        <w:rPr>
          <w:rFonts w:ascii="Times New Roman" w:eastAsia="Times New Roman" w:hAnsi="Times New Roman" w:cs="Times New Roman"/>
          <w:noProof/>
          <w:color w:val="1F497D"/>
          <w:sz w:val="24"/>
          <w:szCs w:val="24"/>
          <w:u w:color="1F497D"/>
        </w:rPr>
      </w:pPr>
      <w:r>
        <w:rPr>
          <w:rFonts w:ascii="Times New Roman" w:hAnsi="Times New Roman"/>
          <w:noProof/>
          <w:sz w:val="24"/>
        </w:rPr>
        <w:t>O a treia provocare constă în evitarea constrângerilor în materie de finanțare în cadrul lanțului de aprovizionare: dezvoltarea capabilităților este efectuată în cadrul unor diferit</w:t>
      </w:r>
      <w:r>
        <w:rPr>
          <w:rFonts w:ascii="Times New Roman" w:hAnsi="Times New Roman"/>
          <w:noProof/>
          <w:sz w:val="24"/>
        </w:rPr>
        <w:t xml:space="preserve">e părți din lanțul de aprovizionare pentru apărare — marii furnizori de sisteme acționează în calitate de contractanți principali, iar IMM-urile și societățile intermediare în calitate de subcontractanți. Acestea din urmă ar putea avea dificultăți în ceea </w:t>
      </w:r>
      <w:r>
        <w:rPr>
          <w:rFonts w:ascii="Times New Roman" w:hAnsi="Times New Roman"/>
          <w:noProof/>
          <w:sz w:val="24"/>
        </w:rPr>
        <w:t xml:space="preserve">ce privește accesul la finanțarea necesară. Pentru a depăși aceste dificultăți, ar putea fi utilizate instrumente financiare bine orientate, cum ar fi garanțiile, pentru a acoperi împrumuturile acordate (sub)contractanților din domeniul apărării. </w:t>
      </w:r>
    </w:p>
    <w:p w:rsidR="006575F0" w:rsidRDefault="00AD6983">
      <w:pPr>
        <w:pStyle w:val="ListParagraph"/>
        <w:numPr>
          <w:ilvl w:val="0"/>
          <w:numId w:val="18"/>
        </w:num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În cele </w:t>
      </w:r>
      <w:r>
        <w:rPr>
          <w:rFonts w:ascii="Times New Roman" w:hAnsi="Times New Roman"/>
          <w:noProof/>
          <w:sz w:val="24"/>
        </w:rPr>
        <w:t>din urmă, o sporire a optimizării și a valorii adăugate a cooperării dintre statele membre se poate realiza prin explorarea unor forme alternative de structuri cu proprietar final ale capabilităților (de exemplu, coproprietatea sau structurile de leasing).</w:t>
      </w:r>
      <w:r>
        <w:rPr>
          <w:rFonts w:ascii="Times New Roman" w:hAnsi="Times New Roman"/>
          <w:noProof/>
          <w:sz w:val="24"/>
        </w:rPr>
        <w:t xml:space="preserve"> </w:t>
      </w:r>
    </w:p>
    <w:p w:rsidR="006575F0" w:rsidRDefault="00AD6983">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Împreună, instrumentele menționate anterior vor face parte din setul de instrumente financiare ale Fondului european de apărare. Setul de instrumente financiare va oferi diferite tipuri de regimuri pe care statele membre le pot utiliza pentru a răspunde </w:t>
      </w:r>
      <w:r>
        <w:rPr>
          <w:rFonts w:ascii="Times New Roman" w:hAnsi="Times New Roman"/>
          <w:noProof/>
          <w:sz w:val="24"/>
        </w:rPr>
        <w:t xml:space="preserve">provocărilor ridicate de dezvoltarea și de achizițiile în comun dintr-o perspectivă de finanțare. Setul de instrumente financiare, a cărui utilizare este facultativă pentru statele membre, va furniza în special un set de instrumente financiare predefinite </w:t>
      </w:r>
      <w:r>
        <w:rPr>
          <w:rFonts w:ascii="Times New Roman" w:hAnsi="Times New Roman"/>
          <w:noProof/>
          <w:sz w:val="24"/>
        </w:rPr>
        <w:t>standardizate care pot fi utilizate într-o manieră flexibilă de către statele membre, astfel încât să se poată finanța în comun proiecte care beneficiază de sprijin de la bugetul UE în faza de prototip, dar fără a se limita la acestea.</w:t>
      </w:r>
    </w:p>
    <w:p w:rsidR="006575F0" w:rsidRDefault="00AD6983">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Pe termen scurt, se </w:t>
      </w:r>
      <w:r>
        <w:rPr>
          <w:rFonts w:ascii="Times New Roman" w:hAnsi="Times New Roman"/>
          <w:noProof/>
          <w:sz w:val="24"/>
        </w:rPr>
        <w:t>va înființa un comitet ad-hoc cu statele membre pentru a dezvolta instrumente standardizate, gata de utilizare, care vor permite setului de instrumente financiare să fie pus în practică rapid în cazul în care statele membre decid să îl utilizeze. Printre a</w:t>
      </w:r>
      <w:r>
        <w:rPr>
          <w:rFonts w:ascii="Times New Roman" w:hAnsi="Times New Roman"/>
          <w:noProof/>
          <w:sz w:val="24"/>
        </w:rPr>
        <w:t>ltele, acest lucru ar putea include elemente cum ar fi modele standardizate, propunerea de liste de termeni, instrumente standard pentru a crea instrumente financiare legate de proiect sau modele pentru acordurile-cadru necesare. Acest comitet ad-hoc va cu</w:t>
      </w:r>
      <w:r>
        <w:rPr>
          <w:rFonts w:ascii="Times New Roman" w:hAnsi="Times New Roman"/>
          <w:noProof/>
          <w:sz w:val="24"/>
        </w:rPr>
        <w:t>prinde reprezentanți din partea ministerelor apărării și al economiei/de finanțe, reprezentanți ai SEAE, AEA</w:t>
      </w:r>
      <w:r>
        <w:rPr>
          <w:rFonts w:ascii="Times New Roman" w:hAnsi="Times New Roman"/>
          <w:noProof/>
          <w:sz w:val="24"/>
          <w:vertAlign w:val="superscript"/>
        </w:rPr>
        <w:footnoteReference w:id="14"/>
      </w:r>
      <w:r>
        <w:rPr>
          <w:rFonts w:ascii="Times New Roman" w:hAnsi="Times New Roman"/>
          <w:noProof/>
          <w:sz w:val="24"/>
        </w:rPr>
        <w:t xml:space="preserve"> și alte părți interesate relevante. Structurile, mecanismele existente și experiența acumulată de statele membre în finanțarea proiectelor colabor</w:t>
      </w:r>
      <w:r>
        <w:rPr>
          <w:rFonts w:ascii="Times New Roman" w:hAnsi="Times New Roman"/>
          <w:noProof/>
          <w:sz w:val="24"/>
        </w:rPr>
        <w:t>ative din domeniul apărării vor fi folosite în cea mai mare măsură posibilă pentru a garanta cele mai bune practici și pentru a evita suprapunerile. Comisia va sprijini această activitate, se va baza pe experiența sa în utilizarea unor instrumente similare</w:t>
      </w:r>
      <w:r>
        <w:rPr>
          <w:rFonts w:ascii="Times New Roman" w:hAnsi="Times New Roman"/>
          <w:noProof/>
          <w:sz w:val="24"/>
        </w:rPr>
        <w:t xml:space="preserve"> în alte domenii de politică și va contribui la adaptarea acestor instrumente în contextul apărării. </w:t>
      </w:r>
    </w:p>
    <w:p w:rsidR="006575F0" w:rsidRDefault="00AD6983">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În plus, Comisia va înființa un grup operativ care va sprijini statele membre, la cerere, pentru aplicarea setului de instrumente financiare în cazul anum</w:t>
      </w:r>
      <w:r>
        <w:rPr>
          <w:rFonts w:ascii="Times New Roman" w:hAnsi="Times New Roman"/>
          <w:noProof/>
          <w:sz w:val="24"/>
        </w:rPr>
        <w:t>itor proiecte colaborative de achiziții. De exemplu, acesta va oferi consiliere cu privire la avantajul utilizării diferitelor forme de instrumente de finanțare pentru vehicule financiare legate de proiect, inclusiv plățile în avans a capitalului propriu ș</w:t>
      </w:r>
      <w:r>
        <w:rPr>
          <w:rFonts w:ascii="Times New Roman" w:hAnsi="Times New Roman"/>
          <w:noProof/>
          <w:sz w:val="24"/>
        </w:rPr>
        <w:t>i finanțarea provizorie (</w:t>
      </w:r>
      <w:r>
        <w:rPr>
          <w:rFonts w:ascii="Times New Roman" w:hAnsi="Times New Roman"/>
          <w:i/>
          <w:noProof/>
          <w:sz w:val="24"/>
        </w:rPr>
        <w:t>bridge financing</w:t>
      </w:r>
      <w:r>
        <w:rPr>
          <w:rFonts w:ascii="Times New Roman" w:hAnsi="Times New Roman"/>
          <w:noProof/>
          <w:sz w:val="24"/>
        </w:rPr>
        <w:t>), prin emiterea de instrumente de pe piața de capital. În plus, grupul operativ va fi disponibil ca un punct de contact unic care va putea recurge la experiența Comisiei în alte domenii relevante pentru achiziții c</w:t>
      </w:r>
      <w:r>
        <w:rPr>
          <w:rFonts w:ascii="Times New Roman" w:hAnsi="Times New Roman"/>
          <w:noProof/>
          <w:sz w:val="24"/>
        </w:rPr>
        <w:t>olaborative, cum ar fi, de exemplu, respectarea regulilor de concurență ale dreptului UE al contractelor de achiziții publice și apărarea sau tratamentul statistic în conturile bugetare. Ca atare, grupul operativ intern ar oferi un ghișeu unic în domeniile</w:t>
      </w:r>
      <w:r>
        <w:rPr>
          <w:rFonts w:ascii="Times New Roman" w:hAnsi="Times New Roman"/>
          <w:noProof/>
          <w:sz w:val="24"/>
        </w:rPr>
        <w:t xml:space="preserve"> de expertiză ale Comisiei, oferind consultanță și servicii administrative și, dacă este cazul, servicii financiare, la cererea statelor membre care doresc să desfășoare proiecte colaborative de achiziții</w:t>
      </w:r>
      <w:r>
        <w:rPr>
          <w:rFonts w:ascii="Times New Roman" w:hAnsi="Times New Roman"/>
          <w:noProof/>
          <w:sz w:val="24"/>
          <w:vertAlign w:val="superscript"/>
        </w:rPr>
        <w:footnoteReference w:id="15"/>
      </w:r>
      <w:r>
        <w:rPr>
          <w:rFonts w:ascii="Times New Roman" w:hAnsi="Times New Roman"/>
          <w:noProof/>
          <w:sz w:val="24"/>
        </w:rPr>
        <w:t>. În acest mod, Comisia poate să acționeze ca un pa</w:t>
      </w:r>
      <w:r>
        <w:rPr>
          <w:rFonts w:ascii="Times New Roman" w:hAnsi="Times New Roman"/>
          <w:noProof/>
          <w:sz w:val="24"/>
        </w:rPr>
        <w:t xml:space="preserve">rtener de încredere pentru statele membre în stabilirea achizițiilor în comun a capabilităților de apărare. </w:t>
      </w:r>
    </w:p>
    <w:p w:rsidR="006575F0" w:rsidRDefault="00AD6983">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Raportându-ne la viitor, vor fi examinate și beneficiile aferente creării unei structuri financiare permanente dincolo de contextul specific al pro</w:t>
      </w:r>
      <w:r>
        <w:rPr>
          <w:rFonts w:ascii="Times New Roman" w:hAnsi="Times New Roman"/>
          <w:noProof/>
          <w:sz w:val="24"/>
        </w:rPr>
        <w:t>iectului. În funcție de conceptul și de profilul său financiar, o astfel de structură permanentă ar putea oferi stimulente financiare suplimentare pentru dezvoltarea colaborativă a capabilităților și pentru achiziții publice colaborative între statele memb</w:t>
      </w:r>
      <w:r>
        <w:rPr>
          <w:rFonts w:ascii="Times New Roman" w:hAnsi="Times New Roman"/>
          <w:noProof/>
          <w:sz w:val="24"/>
        </w:rPr>
        <w:t>re, inclusiv tratarea acesteia în cadrul bugetar general</w:t>
      </w:r>
      <w:r>
        <w:rPr>
          <w:rStyle w:val="FootnoteReference"/>
          <w:rFonts w:ascii="Times New Roman" w:hAnsi="Times New Roman"/>
          <w:noProof/>
          <w:sz w:val="24"/>
        </w:rPr>
        <w:footnoteReference w:id="16"/>
      </w:r>
      <w:r>
        <w:rPr>
          <w:rFonts w:ascii="Times New Roman" w:hAnsi="Times New Roman"/>
          <w:noProof/>
          <w:sz w:val="24"/>
        </w:rPr>
        <w:t xml:space="preserve">. Sub rezerva formei finale a posibilei cooperări structurate permanente viitoare (PESCO) și având în vedere caracterul favorabil incluziunii, posibilitatea de a reuni principalele aspecte legate de </w:t>
      </w:r>
      <w:r>
        <w:rPr>
          <w:rFonts w:ascii="Times New Roman" w:hAnsi="Times New Roman"/>
          <w:noProof/>
          <w:sz w:val="24"/>
        </w:rPr>
        <w:t xml:space="preserve">setul de instrumente financiare în cadrul PESCO va fi, de asemenea, luată în considerare. </w:t>
      </w:r>
    </w:p>
    <w:p w:rsidR="006575F0" w:rsidRDefault="00AD6983">
      <w:pPr>
        <w:pStyle w:val="Body"/>
        <w:pBdr>
          <w:top w:val="single" w:sz="4" w:space="0" w:color="000000"/>
          <w:left w:val="single" w:sz="4" w:space="0" w:color="000000"/>
          <w:bottom w:val="single" w:sz="4" w:space="0" w:color="000000"/>
          <w:right w:val="single" w:sz="4" w:space="0" w:color="000000"/>
        </w:pBdr>
        <w:shd w:val="clear" w:color="auto" w:fill="D9D9D9" w:themeFill="background1" w:themeFillShade="D9"/>
        <w:spacing w:after="120" w:line="240" w:lineRule="auto"/>
        <w:jc w:val="both"/>
        <w:rPr>
          <w:rFonts w:ascii="Times New Roman" w:eastAsia="Times New Roman" w:hAnsi="Times New Roman" w:cs="Times New Roman"/>
          <w:b/>
          <w:bCs/>
          <w:noProof/>
          <w:sz w:val="24"/>
          <w:szCs w:val="24"/>
        </w:rPr>
      </w:pPr>
      <w:r>
        <w:rPr>
          <w:rFonts w:ascii="Times New Roman" w:hAnsi="Times New Roman"/>
          <w:b/>
          <w:noProof/>
          <w:sz w:val="24"/>
        </w:rPr>
        <w:t>Etapele următoare:</w:t>
      </w:r>
    </w:p>
    <w:p w:rsidR="006575F0" w:rsidRDefault="00AD6983">
      <w:pPr>
        <w:pStyle w:val="Body"/>
        <w:pBdr>
          <w:top w:val="single" w:sz="4" w:space="0" w:color="000000"/>
          <w:left w:val="single" w:sz="4" w:space="0" w:color="000000"/>
          <w:bottom w:val="single" w:sz="4" w:space="0" w:color="000000"/>
          <w:right w:val="single" w:sz="4" w:space="0" w:color="000000"/>
        </w:pBdr>
        <w:shd w:val="clear" w:color="auto" w:fill="D9D9D9" w:themeFill="background1" w:themeFillShade="D9"/>
        <w:spacing w:after="120" w:line="240" w:lineRule="auto"/>
        <w:ind w:left="720" w:hanging="720"/>
        <w:jc w:val="both"/>
        <w:rPr>
          <w:rFonts w:ascii="Times New Roman" w:eastAsia="Times New Roman" w:hAnsi="Times New Roman" w:cs="Times New Roman"/>
          <w:noProof/>
          <w:sz w:val="24"/>
          <w:szCs w:val="24"/>
        </w:rPr>
      </w:pPr>
      <w:r>
        <w:rPr>
          <w:rFonts w:ascii="Times New Roman" w:hAnsi="Times New Roman"/>
          <w:noProof/>
          <w:sz w:val="24"/>
        </w:rPr>
        <w:t>-</w:t>
      </w:r>
      <w:r>
        <w:rPr>
          <w:noProof/>
        </w:rPr>
        <w:tab/>
      </w:r>
      <w:r>
        <w:rPr>
          <w:rFonts w:ascii="Times New Roman" w:hAnsi="Times New Roman"/>
          <w:noProof/>
          <w:sz w:val="24"/>
        </w:rPr>
        <w:t>Crearea unui comitet ad-hoc, cu statele membre și cu părțile interesate relevante, cu obiectivul de a dezvolta o primă serie de instrumente care</w:t>
      </w:r>
      <w:r>
        <w:rPr>
          <w:rFonts w:ascii="Times New Roman" w:hAnsi="Times New Roman"/>
          <w:noProof/>
          <w:sz w:val="24"/>
        </w:rPr>
        <w:t xml:space="preserve"> ar putea face parte din setul de instrumente financiare.</w:t>
      </w:r>
    </w:p>
    <w:p w:rsidR="006575F0" w:rsidRDefault="00AD6983">
      <w:pPr>
        <w:pStyle w:val="Body"/>
        <w:pBdr>
          <w:top w:val="single" w:sz="4" w:space="0" w:color="000000"/>
          <w:left w:val="single" w:sz="4" w:space="0" w:color="000000"/>
          <w:bottom w:val="single" w:sz="4" w:space="0" w:color="000000"/>
          <w:right w:val="single" w:sz="4" w:space="0" w:color="000000"/>
        </w:pBdr>
        <w:shd w:val="clear" w:color="auto" w:fill="D9D9D9" w:themeFill="background1" w:themeFillShade="D9"/>
        <w:spacing w:after="120" w:line="240" w:lineRule="auto"/>
        <w:ind w:left="720" w:hanging="720"/>
        <w:jc w:val="both"/>
        <w:rPr>
          <w:rFonts w:ascii="Times New Roman" w:eastAsia="Times New Roman" w:hAnsi="Times New Roman" w:cs="Times New Roman"/>
          <w:noProof/>
          <w:sz w:val="24"/>
          <w:szCs w:val="24"/>
        </w:rPr>
      </w:pPr>
      <w:r>
        <w:rPr>
          <w:rFonts w:ascii="Times New Roman" w:hAnsi="Times New Roman"/>
          <w:noProof/>
          <w:sz w:val="24"/>
        </w:rPr>
        <w:t>-</w:t>
      </w:r>
      <w:r>
        <w:rPr>
          <w:noProof/>
        </w:rPr>
        <w:tab/>
      </w:r>
      <w:r>
        <w:rPr>
          <w:rFonts w:ascii="Times New Roman" w:hAnsi="Times New Roman"/>
          <w:noProof/>
          <w:sz w:val="24"/>
        </w:rPr>
        <w:t xml:space="preserve">Crearea unui grup operativ intern al Comisiei care să acționeze ca un ghișeu unic care oferă sprijin statelor membre cu privire la anumite proiecte de achiziții colaborative, inclusiv mobilizarea </w:t>
      </w:r>
      <w:r>
        <w:rPr>
          <w:rFonts w:ascii="Times New Roman" w:hAnsi="Times New Roman"/>
          <w:noProof/>
          <w:sz w:val="24"/>
        </w:rPr>
        <w:t>setului de instrumente financiare și alte tipuri de consultanță și servicii financiare și administrative.</w:t>
      </w:r>
    </w:p>
    <w:p w:rsidR="006575F0" w:rsidRDefault="00AD6983">
      <w:pPr>
        <w:pStyle w:val="Body"/>
        <w:pBdr>
          <w:top w:val="single" w:sz="4" w:space="0" w:color="000000"/>
          <w:left w:val="single" w:sz="4" w:space="0" w:color="000000"/>
          <w:bottom w:val="single" w:sz="4" w:space="0" w:color="000000"/>
          <w:right w:val="single" w:sz="4" w:space="0" w:color="000000"/>
        </w:pBdr>
        <w:shd w:val="clear" w:color="auto" w:fill="D9D9D9" w:themeFill="background1" w:themeFillShade="D9"/>
        <w:spacing w:after="120" w:line="240" w:lineRule="auto"/>
        <w:ind w:left="720" w:hanging="720"/>
        <w:jc w:val="both"/>
        <w:rPr>
          <w:rFonts w:ascii="Times New Roman" w:eastAsia="Times New Roman" w:hAnsi="Times New Roman" w:cs="Times New Roman"/>
          <w:noProof/>
          <w:sz w:val="24"/>
          <w:szCs w:val="24"/>
        </w:rPr>
      </w:pPr>
      <w:r>
        <w:rPr>
          <w:rFonts w:ascii="Times New Roman" w:hAnsi="Times New Roman"/>
          <w:noProof/>
          <w:sz w:val="24"/>
        </w:rPr>
        <w:t>-</w:t>
      </w:r>
      <w:r>
        <w:rPr>
          <w:noProof/>
        </w:rPr>
        <w:tab/>
      </w:r>
      <w:r>
        <w:rPr>
          <w:rFonts w:ascii="Times New Roman" w:hAnsi="Times New Roman"/>
          <w:noProof/>
          <w:sz w:val="24"/>
        </w:rPr>
        <w:t>Continuarea examinării unei posibilități de stabilire a unei structuri financiare permanente dincolo de contextul proiectului pentru a oferi stimule</w:t>
      </w:r>
      <w:r>
        <w:rPr>
          <w:rFonts w:ascii="Times New Roman" w:hAnsi="Times New Roman"/>
          <w:noProof/>
          <w:sz w:val="24"/>
        </w:rPr>
        <w:t>nte financiare suplimentare pentru dezvoltarea concertată a capabilităților.</w:t>
      </w:r>
    </w:p>
    <w:p w:rsidR="006575F0" w:rsidRDefault="006575F0">
      <w:pPr>
        <w:spacing w:after="120"/>
        <w:rPr>
          <w:rFonts w:eastAsia="Times New Roman"/>
          <w:b/>
          <w:bCs/>
          <w:noProof/>
        </w:rPr>
      </w:pPr>
    </w:p>
    <w:p w:rsidR="006575F0" w:rsidRDefault="00AD6983">
      <w:pPr>
        <w:pStyle w:val="ListParagraph"/>
        <w:numPr>
          <w:ilvl w:val="0"/>
          <w:numId w:val="13"/>
        </w:numPr>
        <w:spacing w:after="120" w:line="240" w:lineRule="auto"/>
        <w:rPr>
          <w:rFonts w:ascii="Times New Roman" w:eastAsia="Times New Roman" w:hAnsi="Times New Roman" w:cs="Times New Roman"/>
          <w:b/>
          <w:bCs/>
          <w:noProof/>
          <w:sz w:val="24"/>
          <w:szCs w:val="24"/>
        </w:rPr>
      </w:pPr>
      <w:r>
        <w:rPr>
          <w:rFonts w:ascii="Times New Roman" w:hAnsi="Times New Roman"/>
          <w:b/>
          <w:noProof/>
          <w:sz w:val="24"/>
        </w:rPr>
        <w:t>Sprijinirea lanțurilor de aprovizionare europene integrate și a IMM-urilor competitive</w:t>
      </w:r>
    </w:p>
    <w:p w:rsidR="006575F0" w:rsidRDefault="00AD6983">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În timp ce dezvoltarea capabilităților este în mod normal finanțată cu mijloace publice, in</w:t>
      </w:r>
      <w:r>
        <w:rPr>
          <w:rFonts w:ascii="Times New Roman" w:hAnsi="Times New Roman"/>
          <w:noProof/>
          <w:sz w:val="24"/>
        </w:rPr>
        <w:t>dustria suportă o parte importantă a riscului. Aceasta reprezintă o provocare deosebită pentru furnizorii mici, care adesea trebuie să se adapteze și să își modernizeze periodic capacitatea de producție în funcție de diferite interese, menținându-se, în ac</w:t>
      </w:r>
      <w:r>
        <w:rPr>
          <w:rFonts w:ascii="Times New Roman" w:hAnsi="Times New Roman"/>
          <w:noProof/>
          <w:sz w:val="24"/>
        </w:rPr>
        <w:t>elași timp, la marginea curbei inovării. Acești actori reprezintă o parte esențială din lanțul de aprovizionare pentru apărare și provocările cu care se confruntă ar putea afecta derularea cu succes a programelor de dezvoltare. De asemenea, astfel de probl</w:t>
      </w:r>
      <w:r>
        <w:rPr>
          <w:rFonts w:ascii="Times New Roman" w:hAnsi="Times New Roman"/>
          <w:noProof/>
          <w:sz w:val="24"/>
        </w:rPr>
        <w:t>eme pot apărea nu doar în faza de dezvoltare, ci și în cadrul achizițiilor publice ulterioare.</w:t>
      </w:r>
    </w:p>
    <w:p w:rsidR="006575F0" w:rsidRDefault="00AD6983">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Dezvoltarea capabilităților este efectuată nu doar de către marii furnizori de sisteme care acționează în calitate de contractanți principali, ci și de IMM-urile</w:t>
      </w:r>
      <w:r>
        <w:rPr>
          <w:rFonts w:ascii="Times New Roman" w:hAnsi="Times New Roman"/>
          <w:noProof/>
          <w:sz w:val="24"/>
        </w:rPr>
        <w:t xml:space="preserve"> și de societățile intermediare în calitate de subcontractanți. Prin urmare, adesea va exista un întreg lanț de întreprinderi interconectate care sunt implicate în acest proces. În cazul în care un element individual în cadrul lanțului se confruntă cu cons</w:t>
      </w:r>
      <w:r>
        <w:rPr>
          <w:rFonts w:ascii="Times New Roman" w:hAnsi="Times New Roman"/>
          <w:noProof/>
          <w:sz w:val="24"/>
        </w:rPr>
        <w:t>trângeri de finanțare pentru realizarea investițiilor sau pentru obținerea de capital de lucru suficient, atunci acest lucru ar putea antrena creșterea costurilor globale de dezvoltare și/sau a costurilor marginale de producție. De asemenea, ar putea cauza</w:t>
      </w:r>
      <w:r>
        <w:rPr>
          <w:rFonts w:ascii="Times New Roman" w:hAnsi="Times New Roman"/>
          <w:noProof/>
          <w:sz w:val="24"/>
        </w:rPr>
        <w:t xml:space="preserve"> întârzieri în materie de dezvoltare a capabilităților sau de achiziții publice. </w:t>
      </w:r>
    </w:p>
    <w:p w:rsidR="006575F0" w:rsidRDefault="00AD6983">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În același timp, având în vedere noile provocări tehnologice din sector (de la inteligența artificială la robotizare), inovarea în domeniul tehnologiilor de apărare vine în g</w:t>
      </w:r>
      <w:r>
        <w:rPr>
          <w:rFonts w:ascii="Times New Roman" w:hAnsi="Times New Roman"/>
          <w:noProof/>
          <w:sz w:val="24"/>
        </w:rPr>
        <w:t>eneral de la întreprinderile nou-înființate care, în unele cazuri, nu se concentrează neapărat pe apărare. Instrumentele financiare adecvate, cum ar fi capitalul de risc sau capitalurile proprii, ar putea contribui la dezvoltarea tehnologiilor europene com</w:t>
      </w:r>
      <w:r>
        <w:rPr>
          <w:rFonts w:ascii="Times New Roman" w:hAnsi="Times New Roman"/>
          <w:noProof/>
          <w:sz w:val="24"/>
        </w:rPr>
        <w:t>petitive, care au o importanță deosebită pentru securitatea și autonomia strategică a Europei.</w:t>
      </w:r>
    </w:p>
    <w:p w:rsidR="006575F0" w:rsidRDefault="00AD6983">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În vederea valorificării potențialului IMM-urilor și al subcontractanților mai mici, toate instrumentele din Fondul european de apărare vor fi mobilizate atât în</w:t>
      </w:r>
      <w:r>
        <w:rPr>
          <w:rFonts w:ascii="Times New Roman" w:hAnsi="Times New Roman"/>
          <w:noProof/>
          <w:sz w:val="24"/>
        </w:rPr>
        <w:t xml:space="preserve"> componenta de cercetare, cât și în componenta de capabilități. Atât acțiunea pregătitoare, cât și viitorul program de cercetare în domeniul apărării la nivelul UE vor atrage o participare largă de actori, inclusiv IMM-uri. Programul european de dezvoltare</w:t>
      </w:r>
      <w:r>
        <w:rPr>
          <w:rFonts w:ascii="Times New Roman" w:hAnsi="Times New Roman"/>
          <w:noProof/>
          <w:sz w:val="24"/>
        </w:rPr>
        <w:t xml:space="preserve"> industrială în domeniul apărării asigură faptul că o parte credibilă din bugetul general va veni în sprijinul proiectelor care permit participarea transfrontalieră a IMM-urilor. În acest fel, programul va sprijini includerea IMM-urilor în lanțurile de apr</w:t>
      </w:r>
      <w:r>
        <w:rPr>
          <w:rFonts w:ascii="Times New Roman" w:hAnsi="Times New Roman"/>
          <w:noProof/>
          <w:sz w:val="24"/>
        </w:rPr>
        <w:t xml:space="preserve">ovizionare europene. </w:t>
      </w:r>
    </w:p>
    <w:p w:rsidR="006575F0" w:rsidRDefault="00AD6983">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Deși cea mai mare parte a activităților au fost inițiate în sprijinul accesului transfrontalier la piață pentru IMM-uri și subfurnizori, precum și pentru a facilita integrarea acestora în lanțurile de aprovizionare existente sau noi, </w:t>
      </w:r>
      <w:r>
        <w:rPr>
          <w:rFonts w:ascii="Times New Roman" w:hAnsi="Times New Roman"/>
          <w:noProof/>
          <w:sz w:val="24"/>
        </w:rPr>
        <w:t>mai rămân multe lucruri de făcut, atât la nivel european, cât și la nivel național. Este nevoie de o serie de măsuri de sprijinire a accesului la piața transfrontalieră, inclusiv de măsuri vizând:</w:t>
      </w:r>
    </w:p>
    <w:p w:rsidR="006575F0" w:rsidRDefault="00AD6983">
      <w:pPr>
        <w:pStyle w:val="ListParagraph"/>
        <w:numPr>
          <w:ilvl w:val="0"/>
          <w:numId w:val="21"/>
        </w:num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reducerea fragmentării și îmbunătățirea funcționării pieței</w:t>
      </w:r>
      <w:r>
        <w:rPr>
          <w:rFonts w:ascii="Times New Roman" w:hAnsi="Times New Roman"/>
          <w:noProof/>
          <w:sz w:val="24"/>
        </w:rPr>
        <w:t xml:space="preserve"> unice în domeniul apărării; </w:t>
      </w:r>
    </w:p>
    <w:p w:rsidR="006575F0" w:rsidRDefault="00AD6983">
      <w:pPr>
        <w:pStyle w:val="ListParagraph"/>
        <w:numPr>
          <w:ilvl w:val="0"/>
          <w:numId w:val="21"/>
        </w:num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sprijinul în cadrul fondurilor structurale și de investiții europene sau al programelor UE gestionate la nivel central; </w:t>
      </w:r>
    </w:p>
    <w:p w:rsidR="006575F0" w:rsidRDefault="00AD6983">
      <w:pPr>
        <w:pStyle w:val="ListParagraph"/>
        <w:numPr>
          <w:ilvl w:val="0"/>
          <w:numId w:val="21"/>
        </w:num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facilitarea în continuare a accesului la finanțare de la Banca Europeană de Investiții, Fondul European de Investiții și alte părți interesate, inclusiv băncile naționale de promovare, care își urmează politica de acordare de credite cu un accent special a</w:t>
      </w:r>
      <w:r>
        <w:rPr>
          <w:rFonts w:ascii="Times New Roman" w:hAnsi="Times New Roman"/>
          <w:noProof/>
          <w:sz w:val="24"/>
        </w:rPr>
        <w:t xml:space="preserve">supra inovării prin intermediul unor instrumente de capital propriu și de capital de risc; și </w:t>
      </w:r>
    </w:p>
    <w:p w:rsidR="006575F0" w:rsidRDefault="00AD6983">
      <w:pPr>
        <w:pStyle w:val="ListParagraph"/>
        <w:numPr>
          <w:ilvl w:val="0"/>
          <w:numId w:val="21"/>
        </w:num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sprijinirea dezvoltării de grupări regionale prin intermediul Rețelei europene a regiunilor din domeniul apărării</w:t>
      </w:r>
      <w:r>
        <w:rPr>
          <w:rStyle w:val="FootnoteReference"/>
          <w:rFonts w:ascii="Times New Roman" w:hAnsi="Times New Roman"/>
          <w:noProof/>
          <w:sz w:val="24"/>
        </w:rPr>
        <w:footnoteReference w:id="17"/>
      </w:r>
      <w:r>
        <w:rPr>
          <w:rFonts w:ascii="Times New Roman" w:hAnsi="Times New Roman"/>
          <w:noProof/>
          <w:sz w:val="24"/>
        </w:rPr>
        <w:t>.</w:t>
      </w:r>
    </w:p>
    <w:p w:rsidR="006575F0" w:rsidRDefault="00AD6983">
      <w:pPr>
        <w:pStyle w:val="Body"/>
        <w:spacing w:after="120" w:line="240" w:lineRule="auto"/>
        <w:jc w:val="both"/>
        <w:rPr>
          <w:rFonts w:ascii="Times New Roman" w:eastAsia="Times New Roman" w:hAnsi="Times New Roman" w:cs="Times New Roman"/>
          <w:b/>
          <w:bCs/>
          <w:i/>
          <w:iCs/>
          <w:noProof/>
          <w:sz w:val="24"/>
          <w:szCs w:val="24"/>
        </w:rPr>
      </w:pPr>
      <w:r>
        <w:rPr>
          <w:rFonts w:ascii="Times New Roman" w:hAnsi="Times New Roman"/>
          <w:b/>
          <w:i/>
          <w:noProof/>
          <w:sz w:val="24"/>
        </w:rPr>
        <w:t>Instrumente financiare pentru sprijinirea IMM</w:t>
      </w:r>
      <w:r>
        <w:rPr>
          <w:rFonts w:ascii="Times New Roman" w:hAnsi="Times New Roman"/>
          <w:b/>
          <w:i/>
          <w:noProof/>
          <w:sz w:val="24"/>
        </w:rPr>
        <w:t>-urilor și a întreprinderilor cu capitalizare medie</w:t>
      </w:r>
    </w:p>
    <w:p w:rsidR="006575F0" w:rsidRDefault="00AD6983">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Programul de dezvoltare a industriei de apărare propus de Comisie prevede posibilitatea unor instrumente financiare pentru sprijinirea IMM-urilor și a întreprinderilor cu capitalizare medie în ceea ce pri</w:t>
      </w:r>
      <w:r>
        <w:rPr>
          <w:rFonts w:ascii="Times New Roman" w:hAnsi="Times New Roman"/>
          <w:noProof/>
          <w:sz w:val="24"/>
        </w:rPr>
        <w:t>vește eliminarea decalajului dintre cercetare și dezvoltare. Aceste instrumente financiare ar putea fi puse în aplicare cu grupul BEI (inclusiv FEI pentru IMM-urile inovatoare și întreprinderile nou-înființate) sau cu alți parteneri relevanți.</w:t>
      </w:r>
    </w:p>
    <w:p w:rsidR="006575F0" w:rsidRDefault="00AD6983">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Pentru a aju</w:t>
      </w:r>
      <w:r>
        <w:rPr>
          <w:rFonts w:ascii="Times New Roman" w:hAnsi="Times New Roman"/>
          <w:noProof/>
          <w:sz w:val="24"/>
        </w:rPr>
        <w:t>ta la exploatarea unor noi posibilități pentru diferite părți ale lanțului de aprovizionare și în conformitate cu limitările sale interne, grupul BEI sprijină deja investițiile în domeniul securității și al apărării, în special în trei domenii: (i) CDI pen</w:t>
      </w:r>
      <w:r>
        <w:rPr>
          <w:rFonts w:ascii="Times New Roman" w:hAnsi="Times New Roman"/>
          <w:noProof/>
          <w:sz w:val="24"/>
        </w:rPr>
        <w:t>tru tehnologiile cu utilizare dublă, inclusiv securitatea cibernetică și vaccinurile, în măsura în care aceste investiții pot fi motivate de comercializarea lor în scopuri civile; (ii) protecția infrastructurilor fizice, cum ar fi supravegherea, și control</w:t>
      </w:r>
      <w:r>
        <w:rPr>
          <w:rFonts w:ascii="Times New Roman" w:hAnsi="Times New Roman"/>
          <w:noProof/>
          <w:sz w:val="24"/>
        </w:rPr>
        <w:t>ul accesului în sectoarele energiei, transporturilor și în sectorul urban; și (iii) infrastructura de telecomunicații și informații, inclusiv rețele în bandă largă (fixe, mobile și prin satelit), centre de date și sisteme informatice. Fondul European de In</w:t>
      </w:r>
      <w:r>
        <w:rPr>
          <w:rFonts w:ascii="Times New Roman" w:hAnsi="Times New Roman"/>
          <w:noProof/>
          <w:sz w:val="24"/>
        </w:rPr>
        <w:t>vestiții a elaborat recent acorduri în domeniul capitalului de risc pentru sprijinirea întreprinderilor nou-înființate în domeniul securității și al apărării. BEI va continua să își intensifice contribuția la agenda UE în materie de securitate și de apărar</w:t>
      </w:r>
      <w:r>
        <w:rPr>
          <w:rFonts w:ascii="Times New Roman" w:hAnsi="Times New Roman"/>
          <w:noProof/>
          <w:sz w:val="24"/>
        </w:rPr>
        <w:t>e. Aceasta include, ca un prim pas, un sprijin sporit pentru tehnologiile cu utilizare dublă, finanțarea sporită a măsurilor de protecție civilă, precum și consolidarea infrastructurii fizice, a bioapărării cibernetice și prelungirea schemelor de sprijin p</w:t>
      </w:r>
      <w:r>
        <w:rPr>
          <w:rFonts w:ascii="Times New Roman" w:hAnsi="Times New Roman"/>
          <w:noProof/>
          <w:sz w:val="24"/>
        </w:rPr>
        <w:t>entru investițiile care au un caracter accesoriu în raport cu activitățile de securitate și de apărare. Într-o a doua etapă, având în vedere modificările necesare la elaborarea politicilor globale, Banca va elabora un sistem de diligență necesară solid pen</w:t>
      </w:r>
      <w:r>
        <w:rPr>
          <w:rFonts w:ascii="Times New Roman" w:hAnsi="Times New Roman"/>
          <w:noProof/>
          <w:sz w:val="24"/>
        </w:rPr>
        <w:t xml:space="preserve">tru a sprijini investițiile în sectorul de securitate în cadrul Uniunii. </w:t>
      </w:r>
    </w:p>
    <w:p w:rsidR="006575F0" w:rsidRDefault="00AD6983">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În cazul în care accesul la finanțare ar putea fi limitat pentru anumite activități din domeniul apărării, având în vedere restricțiile de creditare, rolul băncilor naționale sau reg</w:t>
      </w:r>
      <w:r>
        <w:rPr>
          <w:rFonts w:ascii="Times New Roman" w:hAnsi="Times New Roman"/>
          <w:noProof/>
          <w:sz w:val="24"/>
        </w:rPr>
        <w:t>ionale în utilizarea instrumentelor financiare relevante și, în acest mod, în îmbunătățirea accesului IMM-urilor la lanțurile de aprovizionare pentru a obține finanțarea necesară va fi explorat în continuare. Câteva dintre băncile de promovare respective p</w:t>
      </w:r>
      <w:r>
        <w:rPr>
          <w:rFonts w:ascii="Times New Roman" w:hAnsi="Times New Roman"/>
          <w:noProof/>
          <w:sz w:val="24"/>
        </w:rPr>
        <w:t>ot și sprijină deja activ proiecte în contextul apărării la nivel național. Exemple de proiecte sprijinite pornesc de la structurile de parteneriat public-privat pentru servicii militare și merg până la capabilități militare, cum ar fi vehicule blindate. C</w:t>
      </w:r>
      <w:r>
        <w:rPr>
          <w:rFonts w:ascii="Times New Roman" w:hAnsi="Times New Roman"/>
          <w:noProof/>
          <w:sz w:val="24"/>
        </w:rPr>
        <w:t>omisia va examina cele mai bune modalități de mobilizare a instrumentelor financiare relevante în contextul următorului CFM.</w:t>
      </w:r>
    </w:p>
    <w:p w:rsidR="006575F0" w:rsidRDefault="00AD6983">
      <w:pPr>
        <w:pStyle w:val="Body"/>
        <w:spacing w:after="120" w:line="240" w:lineRule="auto"/>
        <w:jc w:val="both"/>
        <w:rPr>
          <w:rFonts w:ascii="Times New Roman" w:eastAsia="Times New Roman" w:hAnsi="Times New Roman" w:cs="Times New Roman"/>
          <w:b/>
          <w:bCs/>
          <w:i/>
          <w:iCs/>
          <w:noProof/>
          <w:sz w:val="24"/>
          <w:szCs w:val="24"/>
        </w:rPr>
      </w:pPr>
      <w:r>
        <w:rPr>
          <w:rFonts w:ascii="Times New Roman" w:hAnsi="Times New Roman"/>
          <w:b/>
          <w:i/>
          <w:noProof/>
          <w:sz w:val="24"/>
        </w:rPr>
        <w:t>Utilizarea fondurilor structurale și a specializării inteligente</w:t>
      </w:r>
    </w:p>
    <w:p w:rsidR="006575F0" w:rsidRDefault="00AD6983">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Programele de finanțare ale Uniunii, în special fondurile structur</w:t>
      </w:r>
      <w:r>
        <w:rPr>
          <w:rFonts w:ascii="Times New Roman" w:hAnsi="Times New Roman"/>
          <w:noProof/>
          <w:sz w:val="24"/>
        </w:rPr>
        <w:t>ale și de investiții europene, pot juca, de asemenea, un rol important în promovarea unor lanțuri de aprovizionare integrate. Astfel cum este prevăzut în planul de acțiune pentru apărarea europeană, Comisia Europeană face eforturi pentru a promova oportuni</w:t>
      </w:r>
      <w:r>
        <w:rPr>
          <w:rFonts w:ascii="Times New Roman" w:hAnsi="Times New Roman"/>
          <w:noProof/>
          <w:sz w:val="24"/>
        </w:rPr>
        <w:t xml:space="preserve">tățile de finanțare oferite de fondurile structurale, care pot fi utilizate de statele membre în sectorul apărării în măsura în care acestea contribuie la obiectivele fondului în cauză: </w:t>
      </w:r>
    </w:p>
    <w:p w:rsidR="006575F0" w:rsidRDefault="00AD6983">
      <w:pPr>
        <w:pStyle w:val="Body"/>
        <w:spacing w:after="120" w:line="240" w:lineRule="auto"/>
        <w:ind w:left="720"/>
        <w:jc w:val="both"/>
        <w:rPr>
          <w:rFonts w:ascii="Times New Roman" w:eastAsia="Times New Roman" w:hAnsi="Times New Roman" w:cs="Times New Roman"/>
          <w:noProof/>
          <w:sz w:val="24"/>
          <w:szCs w:val="24"/>
        </w:rPr>
      </w:pPr>
      <w:r>
        <w:rPr>
          <w:rFonts w:ascii="Times New Roman" w:hAnsi="Times New Roman"/>
          <w:noProof/>
          <w:sz w:val="24"/>
        </w:rPr>
        <w:t xml:space="preserve">(i) cofinanțarea proiectelor de investiții în producție; și </w:t>
      </w:r>
    </w:p>
    <w:p w:rsidR="006575F0" w:rsidRDefault="00AD6983">
      <w:pPr>
        <w:pStyle w:val="Body"/>
        <w:spacing w:after="120" w:line="240" w:lineRule="auto"/>
        <w:ind w:left="720"/>
        <w:jc w:val="both"/>
        <w:rPr>
          <w:rFonts w:ascii="Times New Roman" w:eastAsia="Times New Roman" w:hAnsi="Times New Roman" w:cs="Times New Roman"/>
          <w:noProof/>
          <w:sz w:val="24"/>
          <w:szCs w:val="24"/>
        </w:rPr>
      </w:pPr>
      <w:r>
        <w:rPr>
          <w:rFonts w:ascii="Times New Roman" w:hAnsi="Times New Roman"/>
          <w:noProof/>
          <w:sz w:val="24"/>
        </w:rPr>
        <w:t>(ii) spr</w:t>
      </w:r>
      <w:r>
        <w:rPr>
          <w:rFonts w:ascii="Times New Roman" w:hAnsi="Times New Roman"/>
          <w:noProof/>
          <w:sz w:val="24"/>
        </w:rPr>
        <w:t xml:space="preserve">ijinirea procesului de modernizare a lanțurilor de aprovizionare pentru apărare. </w:t>
      </w:r>
    </w:p>
    <w:p w:rsidR="006575F0" w:rsidRDefault="00AD6983">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Industriile de apărare pot contribui la realizarea scopurilor și obiectivelor stabilite în cadrul fondurilor structurale și de investiții europene, cum ar fi promovarea dezvoltării economiilor regionale, care reprezintă un multiplicator de investiții semni</w:t>
      </w:r>
      <w:r>
        <w:rPr>
          <w:rFonts w:ascii="Times New Roman" w:hAnsi="Times New Roman"/>
          <w:noProof/>
          <w:sz w:val="24"/>
        </w:rPr>
        <w:t xml:space="preserve">ficativ pentru competențe, locuri de muncă, dezvoltarea tehnologică și economică. </w:t>
      </w:r>
    </w:p>
    <w:p w:rsidR="006575F0" w:rsidRDefault="00AD6983">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Fondul european de dezvoltare regională (FEDER) poate sprijini investițiile pentru IMM-urile care își desfășoară activitatea în sau legătură cu sectorul apărării, atât timp </w:t>
      </w:r>
      <w:r>
        <w:rPr>
          <w:rFonts w:ascii="Times New Roman" w:hAnsi="Times New Roman"/>
          <w:noProof/>
          <w:sz w:val="24"/>
        </w:rPr>
        <w:t>cât acestea urmăresc obiectivul predominant al Uniunii de consolidare a coeziunii economice, sociale și teritoriale, în conformitate cu domeniul de aplicare al sprijinului din partea FEDR, și contribuie la obiectivele tematice existente</w:t>
      </w:r>
      <w:r>
        <w:rPr>
          <w:rFonts w:ascii="Times New Roman" w:hAnsi="Times New Roman"/>
          <w:noProof/>
          <w:sz w:val="24"/>
          <w:vertAlign w:val="superscript"/>
        </w:rPr>
        <w:footnoteReference w:id="18"/>
      </w:r>
      <w:r>
        <w:rPr>
          <w:rFonts w:ascii="Times New Roman" w:hAnsi="Times New Roman"/>
          <w:noProof/>
          <w:sz w:val="24"/>
        </w:rPr>
        <w:t xml:space="preserve">. </w:t>
      </w:r>
    </w:p>
    <w:p w:rsidR="006575F0" w:rsidRDefault="00AD6983">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De exemplu, inve</w:t>
      </w:r>
      <w:r>
        <w:rPr>
          <w:rFonts w:ascii="Times New Roman" w:hAnsi="Times New Roman"/>
          <w:noProof/>
          <w:sz w:val="24"/>
        </w:rPr>
        <w:t>stițiile în domeniul apărării, activitățile de cercetare și inovare pentru dezvoltarea și introducerea de noi tehnologii sunt eligibile pentru finanțare din FEDER, în special în cazul în care acestea sunt legate de punerea în aplicare a specializării intel</w:t>
      </w:r>
      <w:r>
        <w:rPr>
          <w:rFonts w:ascii="Times New Roman" w:hAnsi="Times New Roman"/>
          <w:noProof/>
          <w:sz w:val="24"/>
        </w:rPr>
        <w:t xml:space="preserve">igente, în cazul în care obiectivul predominant al investiției este de a contribui la coeziunea economică, socială și teritorială. </w:t>
      </w:r>
    </w:p>
    <w:p w:rsidR="006575F0" w:rsidRDefault="00AD6983">
      <w:pPr>
        <w:pStyle w:val="Body"/>
        <w:spacing w:after="120" w:line="240" w:lineRule="auto"/>
        <w:jc w:val="both"/>
        <w:rPr>
          <w:rFonts w:ascii="Times New Roman" w:eastAsia="Times New Roman" w:hAnsi="Times New Roman" w:cs="Times New Roman"/>
          <w:i/>
          <w:iCs/>
          <w:noProof/>
          <w:sz w:val="24"/>
          <w:szCs w:val="24"/>
        </w:rPr>
      </w:pPr>
      <w:r>
        <w:rPr>
          <w:rFonts w:ascii="Times New Roman" w:hAnsi="Times New Roman"/>
          <w:b/>
          <w:i/>
          <w:noProof/>
          <w:sz w:val="24"/>
        </w:rPr>
        <w:t>Noi acțiuni pentru a sprijini IMM-urile din sectorul apărării</w:t>
      </w:r>
    </w:p>
    <w:p w:rsidR="006575F0" w:rsidRDefault="00AD6983">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Comisia va continua să monitorizeze Raportul Grupului consulta</w:t>
      </w:r>
      <w:r>
        <w:rPr>
          <w:rFonts w:ascii="Times New Roman" w:hAnsi="Times New Roman"/>
          <w:noProof/>
          <w:sz w:val="24"/>
        </w:rPr>
        <w:t>tiv de experți privind accesul transfrontalier al IMM-urilor la contracte în domeniul apărării și al securității, publicat la 30 noiembrie 2016. Comisia va adopta recomandări, adresate statelor membre și autorităților lor contractante, pentru a sprijini IM</w:t>
      </w:r>
      <w:r>
        <w:rPr>
          <w:rFonts w:ascii="Times New Roman" w:hAnsi="Times New Roman"/>
          <w:noProof/>
          <w:sz w:val="24"/>
        </w:rPr>
        <w:t>M-urile și subfurnizorii într-o serie de domenii, inclusiv:</w:t>
      </w:r>
    </w:p>
    <w:p w:rsidR="006575F0" w:rsidRDefault="00AD6983">
      <w:pPr>
        <w:pStyle w:val="ListParagraph"/>
        <w:numPr>
          <w:ilvl w:val="0"/>
          <w:numId w:val="22"/>
        </w:numPr>
        <w:spacing w:after="120" w:line="240" w:lineRule="auto"/>
        <w:ind w:left="714" w:hanging="357"/>
        <w:jc w:val="both"/>
        <w:rPr>
          <w:rFonts w:ascii="Times New Roman" w:eastAsia="Times New Roman" w:hAnsi="Times New Roman" w:cs="Times New Roman"/>
          <w:noProof/>
          <w:sz w:val="24"/>
          <w:szCs w:val="24"/>
        </w:rPr>
      </w:pPr>
      <w:r>
        <w:rPr>
          <w:rFonts w:ascii="Times New Roman" w:hAnsi="Times New Roman"/>
          <w:noProof/>
          <w:sz w:val="24"/>
        </w:rPr>
        <w:t>Acțiunile concrete cu privire la modul în care autoritățile de achiziții publice ar putea facilita participarea transfrontalieră a IMM-urilor și a întreprinderilor cu capitalizare medie la procedu</w:t>
      </w:r>
      <w:r>
        <w:rPr>
          <w:rFonts w:ascii="Times New Roman" w:hAnsi="Times New Roman"/>
          <w:noProof/>
          <w:sz w:val="24"/>
        </w:rPr>
        <w:t>rile de achiziții în domeniul apărării. Astfel de măsuri ar putea include furnizarea timpurie de informații cu privire la planurile și prioritățile pe termen lung, prin publicitate premergătoare achizițiilor, desemnarea procedurilor de achiziții publice pe</w:t>
      </w:r>
      <w:r>
        <w:rPr>
          <w:rFonts w:ascii="Times New Roman" w:hAnsi="Times New Roman"/>
          <w:noProof/>
          <w:sz w:val="24"/>
        </w:rPr>
        <w:t>ntru a facilita participarea transfrontalieră și a IMM-urilor, acțiuni de formare pentru furnizori etc.</w:t>
      </w:r>
    </w:p>
    <w:p w:rsidR="006575F0" w:rsidRDefault="00AD6983">
      <w:pPr>
        <w:pStyle w:val="ListParagraph"/>
        <w:numPr>
          <w:ilvl w:val="0"/>
          <w:numId w:val="22"/>
        </w:numPr>
        <w:spacing w:after="120" w:line="240" w:lineRule="auto"/>
        <w:ind w:left="714" w:hanging="357"/>
        <w:jc w:val="both"/>
        <w:rPr>
          <w:rFonts w:ascii="Times New Roman" w:eastAsia="Times New Roman" w:hAnsi="Times New Roman" w:cs="Times New Roman"/>
          <w:noProof/>
          <w:sz w:val="24"/>
          <w:szCs w:val="24"/>
        </w:rPr>
      </w:pPr>
      <w:r>
        <w:rPr>
          <w:rFonts w:ascii="Times New Roman" w:hAnsi="Times New Roman"/>
          <w:noProof/>
          <w:sz w:val="24"/>
        </w:rPr>
        <w:t>Măsurile de politică industrială, cum ar fi dezvoltarea de sisteme de finanțare ținând seama de necesitățile IMM-urilor în materie de apărare, furnizând</w:t>
      </w:r>
      <w:r>
        <w:rPr>
          <w:rFonts w:ascii="Times New Roman" w:hAnsi="Times New Roman"/>
          <w:noProof/>
          <w:sz w:val="24"/>
        </w:rPr>
        <w:t xml:space="preserve"> informații asupra IMM-urilor și a capacităților acestora, prin sprijinirea dezvoltării de clustere în domeniul apărării, dezvoltarea competențelor, sprijinirea și realizarea de proiecte de cercetare și tehnologie cu sprijin pentru implicarea IMM-urilor.</w:t>
      </w:r>
    </w:p>
    <w:p w:rsidR="006575F0" w:rsidRDefault="00AD6983">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A</w:t>
      </w:r>
      <w:r>
        <w:rPr>
          <w:rFonts w:ascii="Times New Roman" w:hAnsi="Times New Roman"/>
          <w:noProof/>
          <w:sz w:val="24"/>
        </w:rPr>
        <w:t>ceste recomandări ar trebui să fie adoptate până la sfârșitul anului 2017, iar discuțiile cu statele membre au început deja. Recomandările vor fi puse în aplicare prin colaborarea cu industria de profil la elaborarea unui set de bune practici pe tot cuprin</w:t>
      </w:r>
      <w:r>
        <w:rPr>
          <w:rFonts w:ascii="Times New Roman" w:hAnsi="Times New Roman"/>
          <w:noProof/>
          <w:sz w:val="24"/>
        </w:rPr>
        <w:t>sul lanțurilor de aprovizionare care trebuie să fie urmate de întreprinderi pentru a fi competitive și a avea cele mai bune produse, oferind în același timp oportunități pentru subfurnizori în întreaga Europă, indiferent de locul unde sunt situați. Comisia</w:t>
      </w:r>
      <w:r>
        <w:rPr>
          <w:rFonts w:ascii="Times New Roman" w:hAnsi="Times New Roman"/>
          <w:noProof/>
          <w:sz w:val="24"/>
        </w:rPr>
        <w:t xml:space="preserve"> contează pe implicarea activă a industriei în acest proces, în special a contractanților principali.</w:t>
      </w:r>
    </w:p>
    <w:p w:rsidR="006575F0" w:rsidRDefault="00AD6983">
      <w:pPr>
        <w:pStyle w:val="Body"/>
        <w:pBdr>
          <w:top w:val="single" w:sz="4" w:space="0" w:color="000000"/>
          <w:left w:val="single" w:sz="4" w:space="0" w:color="000000"/>
          <w:bottom w:val="single" w:sz="4" w:space="0" w:color="000000"/>
          <w:right w:val="single" w:sz="4" w:space="0" w:color="000000"/>
        </w:pBdr>
        <w:shd w:val="clear" w:color="auto" w:fill="D9D9D9" w:themeFill="background1" w:themeFillShade="D9"/>
        <w:spacing w:after="120" w:line="240" w:lineRule="auto"/>
        <w:jc w:val="both"/>
        <w:rPr>
          <w:rFonts w:ascii="Times New Roman" w:eastAsia="Times New Roman" w:hAnsi="Times New Roman" w:cs="Times New Roman"/>
          <w:b/>
          <w:bCs/>
          <w:noProof/>
          <w:sz w:val="24"/>
          <w:szCs w:val="24"/>
        </w:rPr>
      </w:pPr>
      <w:r>
        <w:rPr>
          <w:rFonts w:ascii="Times New Roman" w:hAnsi="Times New Roman"/>
          <w:b/>
          <w:noProof/>
          <w:sz w:val="24"/>
        </w:rPr>
        <w:t>Etapele următoare:</w:t>
      </w:r>
    </w:p>
    <w:p w:rsidR="006575F0" w:rsidRDefault="00AD6983">
      <w:pPr>
        <w:pStyle w:val="Body"/>
        <w:pBdr>
          <w:top w:val="single" w:sz="4" w:space="0" w:color="000000"/>
          <w:left w:val="single" w:sz="4" w:space="0" w:color="000000"/>
          <w:bottom w:val="single" w:sz="4" w:space="0" w:color="000000"/>
          <w:right w:val="single" w:sz="4" w:space="0" w:color="000000"/>
        </w:pBdr>
        <w:shd w:val="clear" w:color="auto" w:fill="D9D9D9" w:themeFill="background1" w:themeFillShade="D9"/>
        <w:spacing w:after="120" w:line="240" w:lineRule="auto"/>
        <w:ind w:left="720" w:hanging="720"/>
        <w:jc w:val="both"/>
        <w:rPr>
          <w:rFonts w:ascii="Times New Roman" w:eastAsia="Times New Roman" w:hAnsi="Times New Roman" w:cs="Times New Roman"/>
          <w:noProof/>
          <w:sz w:val="24"/>
          <w:szCs w:val="24"/>
        </w:rPr>
      </w:pPr>
      <w:r>
        <w:rPr>
          <w:rFonts w:ascii="Times New Roman" w:hAnsi="Times New Roman"/>
          <w:noProof/>
          <w:sz w:val="24"/>
        </w:rPr>
        <w:t>-</w:t>
      </w:r>
      <w:r>
        <w:rPr>
          <w:noProof/>
        </w:rPr>
        <w:tab/>
      </w:r>
      <w:r>
        <w:rPr>
          <w:rFonts w:ascii="Times New Roman" w:hAnsi="Times New Roman"/>
          <w:noProof/>
          <w:sz w:val="24"/>
        </w:rPr>
        <w:t xml:space="preserve">Procentul din bugetul programului european de dezvoltare industrială în domeniul apărării pentru proiecte care să permită </w:t>
      </w:r>
      <w:r>
        <w:rPr>
          <w:rFonts w:ascii="Times New Roman" w:hAnsi="Times New Roman"/>
          <w:noProof/>
          <w:sz w:val="24"/>
        </w:rPr>
        <w:t>participarea transfrontalieră a IMM-urilor.</w:t>
      </w:r>
    </w:p>
    <w:p w:rsidR="006575F0" w:rsidRDefault="00AD6983">
      <w:pPr>
        <w:pStyle w:val="Body"/>
        <w:pBdr>
          <w:top w:val="single" w:sz="4" w:space="0" w:color="000000"/>
          <w:left w:val="single" w:sz="4" w:space="0" w:color="000000"/>
          <w:bottom w:val="single" w:sz="4" w:space="0" w:color="000000"/>
          <w:right w:val="single" w:sz="4" w:space="0" w:color="000000"/>
        </w:pBdr>
        <w:shd w:val="clear" w:color="auto" w:fill="D9D9D9" w:themeFill="background1" w:themeFillShade="D9"/>
        <w:spacing w:after="120" w:line="240" w:lineRule="auto"/>
        <w:ind w:left="720" w:hanging="720"/>
        <w:jc w:val="both"/>
        <w:rPr>
          <w:rFonts w:ascii="Times New Roman" w:eastAsia="Times New Roman" w:hAnsi="Times New Roman" w:cs="Times New Roman"/>
          <w:noProof/>
          <w:sz w:val="24"/>
          <w:szCs w:val="24"/>
        </w:rPr>
      </w:pPr>
      <w:r>
        <w:rPr>
          <w:rFonts w:ascii="Times New Roman" w:hAnsi="Times New Roman"/>
          <w:noProof/>
          <w:sz w:val="24"/>
        </w:rPr>
        <w:t>-</w:t>
      </w:r>
      <w:r>
        <w:rPr>
          <w:noProof/>
        </w:rPr>
        <w:tab/>
        <w:t>L</w:t>
      </w:r>
      <w:r>
        <w:rPr>
          <w:rFonts w:ascii="Times New Roman" w:hAnsi="Times New Roman"/>
          <w:noProof/>
          <w:sz w:val="24"/>
        </w:rPr>
        <w:t>uarea în considerare a participării transfrontaliere a IMM-urilor și a instrumentelor financiare dedicate în contextul elaborării propunerilor respective în contextul următorului CFM.</w:t>
      </w:r>
    </w:p>
    <w:p w:rsidR="006575F0" w:rsidRDefault="00AD6983">
      <w:pPr>
        <w:pStyle w:val="Body"/>
        <w:pBdr>
          <w:top w:val="single" w:sz="4" w:space="0" w:color="000000"/>
          <w:left w:val="single" w:sz="4" w:space="0" w:color="000000"/>
          <w:bottom w:val="single" w:sz="4" w:space="0" w:color="000000"/>
          <w:right w:val="single" w:sz="4" w:space="0" w:color="000000"/>
        </w:pBdr>
        <w:shd w:val="clear" w:color="auto" w:fill="D9D9D9" w:themeFill="background1" w:themeFillShade="D9"/>
        <w:spacing w:after="120" w:line="240" w:lineRule="auto"/>
        <w:ind w:left="720" w:hanging="720"/>
        <w:jc w:val="both"/>
        <w:rPr>
          <w:rFonts w:ascii="Times New Roman" w:eastAsia="Times New Roman" w:hAnsi="Times New Roman" w:cs="Times New Roman"/>
          <w:noProof/>
          <w:sz w:val="24"/>
          <w:szCs w:val="24"/>
          <w:shd w:val="clear" w:color="auto" w:fill="00FFFF"/>
        </w:rPr>
      </w:pPr>
      <w:r>
        <w:rPr>
          <w:rFonts w:ascii="Times New Roman" w:hAnsi="Times New Roman"/>
          <w:noProof/>
          <w:sz w:val="24"/>
        </w:rPr>
        <w:t>-</w:t>
      </w:r>
      <w:r>
        <w:rPr>
          <w:noProof/>
        </w:rPr>
        <w:tab/>
      </w:r>
      <w:r>
        <w:rPr>
          <w:rFonts w:ascii="Times New Roman" w:hAnsi="Times New Roman"/>
          <w:noProof/>
          <w:sz w:val="24"/>
        </w:rPr>
        <w:t>Grupul BEI își va inten</w:t>
      </w:r>
      <w:r>
        <w:rPr>
          <w:rFonts w:ascii="Times New Roman" w:hAnsi="Times New Roman"/>
          <w:noProof/>
          <w:sz w:val="24"/>
        </w:rPr>
        <w:t>sifica pe termen scurt sprijinul pentru tehnologiile cu dublă utilizare, finanțarea sporită a măsurilor de protecție civilă, precum și extinderea sprijinului pentru investițiile care au un caracter accesoriu în raport cu activitățile de securitate și de ap</w:t>
      </w:r>
      <w:r>
        <w:rPr>
          <w:rFonts w:ascii="Times New Roman" w:hAnsi="Times New Roman"/>
          <w:noProof/>
          <w:sz w:val="24"/>
        </w:rPr>
        <w:t xml:space="preserve">ărare. Într-o a doua etapă, având în vedere modificările necesare la elaborarea politicilor globale, banca va elabora un sistem de diligență necesară solid pentru a sprijini investițiile în sectorul de securitate în cadrul Uniunii. </w:t>
      </w:r>
    </w:p>
    <w:p w:rsidR="006575F0" w:rsidRDefault="00AD6983">
      <w:pPr>
        <w:pStyle w:val="Body"/>
        <w:pBdr>
          <w:top w:val="single" w:sz="4" w:space="0" w:color="000000"/>
          <w:left w:val="single" w:sz="4" w:space="0" w:color="000000"/>
          <w:bottom w:val="single" w:sz="4" w:space="0" w:color="000000"/>
          <w:right w:val="single" w:sz="4" w:space="0" w:color="000000"/>
        </w:pBdr>
        <w:shd w:val="clear" w:color="auto" w:fill="D9D9D9" w:themeFill="background1" w:themeFillShade="D9"/>
        <w:spacing w:after="120" w:line="240" w:lineRule="auto"/>
        <w:ind w:left="720" w:hanging="720"/>
        <w:jc w:val="both"/>
        <w:rPr>
          <w:rFonts w:ascii="Times New Roman" w:hAnsi="Times New Roman"/>
          <w:noProof/>
          <w:sz w:val="24"/>
          <w:szCs w:val="24"/>
        </w:rPr>
      </w:pPr>
      <w:r>
        <w:rPr>
          <w:rFonts w:ascii="Times New Roman" w:hAnsi="Times New Roman"/>
          <w:noProof/>
          <w:sz w:val="24"/>
        </w:rPr>
        <w:t>-</w:t>
      </w:r>
      <w:r>
        <w:rPr>
          <w:noProof/>
        </w:rPr>
        <w:tab/>
      </w:r>
      <w:r>
        <w:rPr>
          <w:rFonts w:ascii="Times New Roman" w:hAnsi="Times New Roman"/>
          <w:noProof/>
          <w:sz w:val="24"/>
        </w:rPr>
        <w:t>În cazul în care acce</w:t>
      </w:r>
      <w:r>
        <w:rPr>
          <w:rFonts w:ascii="Times New Roman" w:hAnsi="Times New Roman"/>
          <w:noProof/>
          <w:sz w:val="24"/>
        </w:rPr>
        <w:t>sul la finanțare ar putea fi limitat pentru anumite activități din domeniul apărării, având în vedere restricțiile de creditare, rolul băncilor naționale sau regionale în utilizarea instrumentelor financiare relevante și, în acest mod, în îmbunătățirea acc</w:t>
      </w:r>
      <w:r>
        <w:rPr>
          <w:rFonts w:ascii="Times New Roman" w:hAnsi="Times New Roman"/>
          <w:noProof/>
          <w:sz w:val="24"/>
        </w:rPr>
        <w:t>esului IMM-urilor la lanțurile de aprovizionare pentru a obține finanțarea necesară va fi explorat în contextul noului CFM.</w:t>
      </w:r>
    </w:p>
    <w:p w:rsidR="006575F0" w:rsidRDefault="00AD6983">
      <w:pPr>
        <w:pStyle w:val="Body"/>
        <w:pBdr>
          <w:top w:val="single" w:sz="4" w:space="0" w:color="000000"/>
          <w:left w:val="single" w:sz="4" w:space="0" w:color="000000"/>
          <w:bottom w:val="single" w:sz="4" w:space="0" w:color="000000"/>
          <w:right w:val="single" w:sz="4" w:space="0" w:color="000000"/>
        </w:pBdr>
        <w:shd w:val="clear" w:color="auto" w:fill="D9D9D9" w:themeFill="background1" w:themeFillShade="D9"/>
        <w:spacing w:after="120" w:line="240" w:lineRule="auto"/>
        <w:ind w:left="720" w:hanging="720"/>
        <w:jc w:val="both"/>
        <w:rPr>
          <w:rFonts w:ascii="Times New Roman" w:eastAsia="Times New Roman" w:hAnsi="Times New Roman" w:cs="Times New Roman"/>
          <w:noProof/>
          <w:sz w:val="24"/>
          <w:szCs w:val="24"/>
        </w:rPr>
      </w:pPr>
      <w:r>
        <w:rPr>
          <w:rFonts w:ascii="Times New Roman" w:hAnsi="Times New Roman"/>
          <w:noProof/>
          <w:sz w:val="24"/>
        </w:rPr>
        <w:t>-</w:t>
      </w:r>
      <w:r>
        <w:rPr>
          <w:noProof/>
        </w:rPr>
        <w:tab/>
      </w:r>
      <w:r>
        <w:rPr>
          <w:rFonts w:ascii="Times New Roman" w:hAnsi="Times New Roman"/>
          <w:noProof/>
          <w:sz w:val="24"/>
        </w:rPr>
        <w:t>Popularizarea posibilităților existente oferite de programele de finanțare ale UE, precum și de băncile naționale sau regionale de</w:t>
      </w:r>
      <w:r>
        <w:rPr>
          <w:rFonts w:ascii="Times New Roman" w:hAnsi="Times New Roman"/>
          <w:noProof/>
          <w:sz w:val="24"/>
        </w:rPr>
        <w:t xml:space="preserve"> promovare.</w:t>
      </w:r>
    </w:p>
    <w:p w:rsidR="006575F0" w:rsidRDefault="00AD6983">
      <w:pPr>
        <w:pStyle w:val="Body"/>
        <w:pBdr>
          <w:top w:val="single" w:sz="4" w:space="0" w:color="000000"/>
          <w:left w:val="single" w:sz="4" w:space="0" w:color="000000"/>
          <w:bottom w:val="single" w:sz="4" w:space="0" w:color="000000"/>
          <w:right w:val="single" w:sz="4" w:space="0" w:color="000000"/>
        </w:pBdr>
        <w:shd w:val="clear" w:color="auto" w:fill="D9D9D9" w:themeFill="background1" w:themeFillShade="D9"/>
        <w:spacing w:after="120" w:line="240" w:lineRule="auto"/>
        <w:ind w:left="720" w:hanging="720"/>
        <w:jc w:val="both"/>
        <w:rPr>
          <w:rFonts w:ascii="Times New Roman" w:eastAsia="Times New Roman" w:hAnsi="Times New Roman" w:cs="Times New Roman"/>
          <w:noProof/>
          <w:sz w:val="24"/>
          <w:szCs w:val="24"/>
        </w:rPr>
      </w:pPr>
      <w:r>
        <w:rPr>
          <w:rFonts w:ascii="Times New Roman" w:hAnsi="Times New Roman"/>
          <w:noProof/>
          <w:sz w:val="24"/>
        </w:rPr>
        <w:t>-</w:t>
      </w:r>
      <w:r>
        <w:rPr>
          <w:noProof/>
        </w:rPr>
        <w:tab/>
      </w:r>
      <w:r>
        <w:rPr>
          <w:rFonts w:ascii="Times New Roman" w:hAnsi="Times New Roman"/>
          <w:noProof/>
          <w:sz w:val="24"/>
        </w:rPr>
        <w:t>Dezvoltarea, împreună cu industria, a unui sector cu un set de bune practici la nivelul lanțurilor de aprovizionare.</w:t>
      </w:r>
    </w:p>
    <w:p w:rsidR="006575F0" w:rsidRDefault="006575F0">
      <w:pPr>
        <w:pStyle w:val="Body"/>
        <w:spacing w:after="120" w:line="240" w:lineRule="auto"/>
        <w:jc w:val="both"/>
        <w:rPr>
          <w:rFonts w:ascii="Times New Roman" w:hAnsi="Times New Roman"/>
          <w:b/>
          <w:bCs/>
          <w:smallCaps/>
          <w:noProof/>
          <w:sz w:val="24"/>
          <w:szCs w:val="24"/>
        </w:rPr>
      </w:pPr>
    </w:p>
    <w:p w:rsidR="006575F0" w:rsidRDefault="00AD6983">
      <w:pPr>
        <w:pStyle w:val="Body"/>
        <w:spacing w:after="120" w:line="240" w:lineRule="auto"/>
        <w:jc w:val="both"/>
        <w:rPr>
          <w:rFonts w:ascii="Times New Roman" w:eastAsia="Times New Roman" w:hAnsi="Times New Roman" w:cs="Times New Roman"/>
          <w:b/>
          <w:bCs/>
          <w:smallCaps/>
          <w:noProof/>
          <w:sz w:val="24"/>
          <w:szCs w:val="24"/>
        </w:rPr>
      </w:pPr>
      <w:r>
        <w:rPr>
          <w:rFonts w:ascii="Times New Roman" w:hAnsi="Times New Roman"/>
          <w:b/>
          <w:smallCaps/>
          <w:noProof/>
          <w:sz w:val="24"/>
        </w:rPr>
        <w:t>Concluzie</w:t>
      </w:r>
    </w:p>
    <w:p w:rsidR="006575F0" w:rsidRDefault="00AD6983">
      <w:pPr>
        <w:pStyle w:val="Body"/>
        <w:spacing w:after="120" w:line="240" w:lineRule="auto"/>
        <w:jc w:val="both"/>
        <w:rPr>
          <w:rFonts w:ascii="Times New Roman" w:hAnsi="Times New Roman"/>
          <w:noProof/>
          <w:sz w:val="24"/>
          <w:szCs w:val="24"/>
        </w:rPr>
      </w:pPr>
      <w:r>
        <w:rPr>
          <w:rFonts w:ascii="Times New Roman" w:hAnsi="Times New Roman"/>
          <w:noProof/>
          <w:sz w:val="24"/>
        </w:rPr>
        <w:t xml:space="preserve">Fondul european de apărare începe deja să dea rezultate. </w:t>
      </w:r>
    </w:p>
    <w:p w:rsidR="006575F0" w:rsidRDefault="00AD6983">
      <w:pPr>
        <w:pStyle w:val="Body"/>
        <w:spacing w:after="120" w:line="240" w:lineRule="auto"/>
        <w:jc w:val="both"/>
        <w:rPr>
          <w:rFonts w:ascii="Times New Roman" w:hAnsi="Times New Roman"/>
          <w:noProof/>
          <w:sz w:val="24"/>
          <w:szCs w:val="24"/>
        </w:rPr>
      </w:pPr>
      <w:r>
        <w:rPr>
          <w:rFonts w:ascii="Times New Roman" w:hAnsi="Times New Roman"/>
          <w:noProof/>
          <w:sz w:val="24"/>
        </w:rPr>
        <w:t>Acțiunea pregătitoare privind cercetarea în domeniul apă</w:t>
      </w:r>
      <w:r>
        <w:rPr>
          <w:rFonts w:ascii="Times New Roman" w:hAnsi="Times New Roman"/>
          <w:noProof/>
          <w:sz w:val="24"/>
        </w:rPr>
        <w:t>rării este operațională, oferind o sumă estimată la 90 de milioane EUR pe o perioadă de trei ani în cadrul componentei de cercetare. Propunerea prezentată astăzi privind un program european de dezvoltare industrială în domeniul apărării va adăuga 500 de mi</w:t>
      </w:r>
      <w:r>
        <w:rPr>
          <w:rFonts w:ascii="Times New Roman" w:hAnsi="Times New Roman"/>
          <w:noProof/>
          <w:sz w:val="24"/>
        </w:rPr>
        <w:t>lioane EUR până în anul 2020 în cadrul componentei de capabilități, cu potențialul de a genera investiții totale de cel puțin 2,5 miliarde EUR începând din 2019.</w:t>
      </w:r>
    </w:p>
    <w:p w:rsidR="006575F0" w:rsidRDefault="00AD6983">
      <w:pPr>
        <w:pStyle w:val="Body"/>
        <w:spacing w:after="120" w:line="240" w:lineRule="auto"/>
        <w:jc w:val="both"/>
        <w:rPr>
          <w:rFonts w:ascii="Times New Roman" w:hAnsi="Times New Roman"/>
          <w:noProof/>
          <w:sz w:val="24"/>
          <w:szCs w:val="24"/>
        </w:rPr>
      </w:pPr>
      <w:r>
        <w:rPr>
          <w:rFonts w:ascii="Times New Roman" w:hAnsi="Times New Roman"/>
          <w:noProof/>
          <w:sz w:val="24"/>
        </w:rPr>
        <w:t>În plus, Comisia lansează în prezent o serie de instrumente financiare care ar trebuie să ducă</w:t>
      </w:r>
      <w:r>
        <w:rPr>
          <w:rFonts w:ascii="Times New Roman" w:hAnsi="Times New Roman"/>
          <w:noProof/>
          <w:sz w:val="24"/>
        </w:rPr>
        <w:t xml:space="preserve"> rapid la proiecte colaborative între statele membre. Comisia este pregătită să sprijine statele membre cu privire la anumite proiecte de achiziții colaborative. </w:t>
      </w:r>
    </w:p>
    <w:p w:rsidR="006575F0" w:rsidRDefault="00AD6983">
      <w:pPr>
        <w:pStyle w:val="Body"/>
        <w:spacing w:after="120" w:line="240" w:lineRule="auto"/>
        <w:jc w:val="both"/>
        <w:rPr>
          <w:rFonts w:ascii="Times New Roman" w:hAnsi="Times New Roman"/>
          <w:noProof/>
          <w:sz w:val="24"/>
          <w:szCs w:val="24"/>
        </w:rPr>
      </w:pPr>
      <w:r>
        <w:rPr>
          <w:rFonts w:ascii="Times New Roman" w:hAnsi="Times New Roman"/>
          <w:noProof/>
          <w:sz w:val="24"/>
        </w:rPr>
        <w:t>Comisia își asumă partea sa de răspundere. Parlamentul European și Consiliul ar trebui să ado</w:t>
      </w:r>
      <w:r>
        <w:rPr>
          <w:rFonts w:ascii="Times New Roman" w:hAnsi="Times New Roman"/>
          <w:noProof/>
          <w:sz w:val="24"/>
        </w:rPr>
        <w:t xml:space="preserve">pte propunerea ca pe o chestiune prioritară. Statele membre ar trebui să folosească anul 2018 pentru identificarea și pregătirea de proiecte care să fie finanțate în regim de urgență. </w:t>
      </w:r>
    </w:p>
    <w:p w:rsidR="006575F0" w:rsidRDefault="00AD6983">
      <w:pPr>
        <w:pStyle w:val="Body"/>
        <w:spacing w:after="120" w:line="240" w:lineRule="auto"/>
        <w:jc w:val="both"/>
        <w:rPr>
          <w:rFonts w:ascii="Times New Roman" w:hAnsi="Times New Roman"/>
          <w:noProof/>
          <w:sz w:val="24"/>
          <w:szCs w:val="24"/>
        </w:rPr>
      </w:pPr>
      <w:r>
        <w:rPr>
          <w:rFonts w:ascii="Times New Roman" w:hAnsi="Times New Roman"/>
          <w:noProof/>
          <w:sz w:val="24"/>
        </w:rPr>
        <w:t>Aceste propuneri și acțiuni constituie un pas înainte către o cooperare</w:t>
      </w:r>
      <w:r>
        <w:rPr>
          <w:rFonts w:ascii="Times New Roman" w:hAnsi="Times New Roman"/>
          <w:noProof/>
          <w:sz w:val="24"/>
        </w:rPr>
        <w:t xml:space="preserve"> mai strânsă în domeniul apărării în Europa, care va fi consolidată în viitorul cadru financiar multianual post-2020, în care Fondul european de apărare va reprezenta jumătate din proiectele colaborative în domeniul apărării în Europa.</w:t>
      </w:r>
    </w:p>
    <w:p w:rsidR="006575F0" w:rsidRDefault="00AD6983">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Prin aceste propuner</w:t>
      </w:r>
      <w:r>
        <w:rPr>
          <w:rFonts w:ascii="Times New Roman" w:hAnsi="Times New Roman"/>
          <w:noProof/>
          <w:sz w:val="24"/>
        </w:rPr>
        <w:t>i, Comisia contribuie la crearea unei Uniuni Europene care protejează și apără. Un Fond european de apărare ambițios va veni în sprijinul competitivității industriei europene de apărare. Acesta va fi motorul care susține dezvoltarea unei piețe europene a s</w:t>
      </w:r>
      <w:r>
        <w:rPr>
          <w:rFonts w:ascii="Times New Roman" w:hAnsi="Times New Roman"/>
          <w:noProof/>
          <w:sz w:val="24"/>
        </w:rPr>
        <w:t xml:space="preserve">ecurității și a apărării. </w:t>
      </w:r>
    </w:p>
    <w:p w:rsidR="006575F0" w:rsidRDefault="006575F0">
      <w:pPr>
        <w:pStyle w:val="Body"/>
        <w:spacing w:after="120" w:line="240" w:lineRule="auto"/>
        <w:jc w:val="both"/>
        <w:rPr>
          <w:rFonts w:ascii="Times New Roman" w:eastAsia="Times New Roman" w:hAnsi="Times New Roman" w:cs="Times New Roman"/>
          <w:noProof/>
          <w:sz w:val="24"/>
          <w:szCs w:val="24"/>
        </w:rPr>
      </w:pPr>
    </w:p>
    <w:p w:rsidR="006575F0" w:rsidRDefault="00AD6983">
      <w:pPr>
        <w:pStyle w:val="Body"/>
        <w:rPr>
          <w:noProof/>
        </w:rPr>
      </w:pPr>
      <w:r>
        <w:rPr>
          <w:noProof/>
        </w:rPr>
        <w:br w:type="page"/>
      </w:r>
    </w:p>
    <w:p w:rsidR="006575F0" w:rsidRDefault="00AD6983">
      <w:pPr>
        <w:pStyle w:val="Body"/>
        <w:jc w:val="center"/>
        <w:rPr>
          <w:rFonts w:ascii="Times New Roman" w:eastAsia="Times New Roman" w:hAnsi="Times New Roman" w:cs="Times New Roman"/>
          <w:b/>
          <w:bCs/>
          <w:noProof/>
          <w:sz w:val="24"/>
          <w:szCs w:val="24"/>
        </w:rPr>
      </w:pPr>
      <w:r>
        <w:rPr>
          <w:rFonts w:ascii="Times New Roman" w:hAnsi="Times New Roman"/>
          <w:b/>
          <w:noProof/>
          <w:sz w:val="24"/>
        </w:rPr>
        <w:t>ANEXĂ</w:t>
      </w:r>
    </w:p>
    <w:p w:rsidR="006575F0" w:rsidRDefault="00AD6983">
      <w:pPr>
        <w:pStyle w:val="Body"/>
        <w:spacing w:after="120" w:line="240" w:lineRule="auto"/>
        <w:rPr>
          <w:rFonts w:ascii="Times New Roman" w:eastAsia="Times New Roman" w:hAnsi="Times New Roman" w:cs="Times New Roman"/>
          <w:b/>
          <w:bCs/>
          <w:i/>
          <w:iCs/>
          <w:noProof/>
          <w:sz w:val="24"/>
          <w:szCs w:val="24"/>
        </w:rPr>
      </w:pPr>
      <w:r>
        <w:rPr>
          <w:rFonts w:ascii="Times New Roman" w:hAnsi="Times New Roman"/>
          <w:b/>
          <w:i/>
          <w:noProof/>
          <w:sz w:val="24"/>
        </w:rPr>
        <w:t>Sprijinirea cooperării în domeniul apărării prin setul de instrumente financiare</w:t>
      </w:r>
    </w:p>
    <w:p w:rsidR="006575F0" w:rsidRDefault="00AD6983">
      <w:pPr>
        <w:pStyle w:val="Body"/>
        <w:spacing w:after="120" w:line="240" w:lineRule="auto"/>
        <w:jc w:val="both"/>
        <w:rPr>
          <w:rFonts w:ascii="Times New Roman" w:eastAsia="Times New Roman" w:hAnsi="Times New Roman" w:cs="Times New Roman"/>
          <w:noProof/>
          <w:sz w:val="24"/>
          <w:szCs w:val="24"/>
          <w:u w:val="single"/>
        </w:rPr>
      </w:pPr>
      <w:r>
        <w:rPr>
          <w:rFonts w:ascii="Times New Roman" w:hAnsi="Times New Roman"/>
          <w:noProof/>
          <w:sz w:val="24"/>
        </w:rPr>
        <w:t>Comisia va juca un rol activ în ceea ce privește setul de instrumente financiare. Comisia va institui un comitet ad-hoc format din statele membre și din părțile interesate relevante cu scopul de a standardiza setul de instrumente financiare, în măsura în c</w:t>
      </w:r>
      <w:r>
        <w:rPr>
          <w:rFonts w:ascii="Times New Roman" w:hAnsi="Times New Roman"/>
          <w:noProof/>
          <w:sz w:val="24"/>
        </w:rPr>
        <w:t>are este posibil, pentru a permite aplicarea rapidă a acestora în cadrul fiecărui proiect. În plus, Comisia va înființa un grup operativ care va sprijini statele membre, la cerere, în ceea ce privește aplicarea setului de instrumente financiare în cazul an</w:t>
      </w:r>
      <w:r>
        <w:rPr>
          <w:rFonts w:ascii="Times New Roman" w:hAnsi="Times New Roman"/>
          <w:noProof/>
          <w:sz w:val="24"/>
        </w:rPr>
        <w:t xml:space="preserve">umitor proiecte de achiziții comune. Prin urmare, Comisia va furniza o contribuție concretă la sprijinirea statelor membre în vederea realizării de proiecte de achiziții comune. </w:t>
      </w:r>
    </w:p>
    <w:p w:rsidR="006575F0" w:rsidRDefault="00AD6983">
      <w:pPr>
        <w:pStyle w:val="Body"/>
        <w:spacing w:after="120" w:line="240" w:lineRule="auto"/>
        <w:jc w:val="both"/>
        <w:rPr>
          <w:rFonts w:ascii="Times New Roman" w:eastAsia="Times New Roman" w:hAnsi="Times New Roman" w:cs="Times New Roman"/>
          <w:b/>
          <w:bCs/>
          <w:noProof/>
          <w:sz w:val="24"/>
          <w:szCs w:val="24"/>
          <w:u w:val="single"/>
        </w:rPr>
      </w:pPr>
      <w:r>
        <w:rPr>
          <w:rFonts w:ascii="Times New Roman" w:hAnsi="Times New Roman"/>
          <w:b/>
          <w:noProof/>
          <w:sz w:val="24"/>
          <w:u w:val="single"/>
        </w:rPr>
        <w:t>Standardizarea setului de instrumente financiare:</w:t>
      </w:r>
    </w:p>
    <w:p w:rsidR="006575F0" w:rsidRDefault="00AD6983">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Activitățile care urmează s</w:t>
      </w:r>
      <w:r>
        <w:rPr>
          <w:rFonts w:ascii="Times New Roman" w:hAnsi="Times New Roman"/>
          <w:noProof/>
          <w:sz w:val="24"/>
        </w:rPr>
        <w:t>ă fie desfășurate pentru a standardiza setul de instrumente financiare ar urma să țină cont de practici, concepte și exemple existente din contexte naționale, multinaționale și internaționale. Pentru a se evita orice suprapunere, structurile și mecanismele</w:t>
      </w:r>
      <w:r>
        <w:rPr>
          <w:rFonts w:ascii="Times New Roman" w:hAnsi="Times New Roman"/>
          <w:noProof/>
          <w:sz w:val="24"/>
        </w:rPr>
        <w:t xml:space="preserve"> existente ar trebui să fie corelate cu setul de instrumente financiare în cel mai bun mod cu putință, rămânând în același timp deschise către diferitele opțiuni pentru care sunt utilizate. </w:t>
      </w:r>
    </w:p>
    <w:p w:rsidR="006575F0" w:rsidRDefault="00AD6983">
      <w:pPr>
        <w:pStyle w:val="Body"/>
        <w:spacing w:after="120" w:line="240" w:lineRule="auto"/>
        <w:jc w:val="both"/>
        <w:rPr>
          <w:rFonts w:ascii="Times New Roman" w:eastAsia="Times New Roman" w:hAnsi="Times New Roman" w:cs="Times New Roman"/>
          <w:i/>
          <w:iCs/>
          <w:noProof/>
          <w:sz w:val="24"/>
          <w:szCs w:val="24"/>
        </w:rPr>
      </w:pPr>
      <w:r>
        <w:rPr>
          <w:rFonts w:ascii="Times New Roman" w:hAnsi="Times New Roman"/>
          <w:i/>
          <w:noProof/>
          <w:sz w:val="24"/>
        </w:rPr>
        <w:t>Punerea în comun a resurselor bugetare</w:t>
      </w:r>
    </w:p>
    <w:p w:rsidR="006575F0" w:rsidRDefault="00AD6983">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În cea mai simplă formă, p</w:t>
      </w:r>
      <w:r>
        <w:rPr>
          <w:rFonts w:ascii="Times New Roman" w:hAnsi="Times New Roman"/>
          <w:noProof/>
          <w:sz w:val="24"/>
        </w:rPr>
        <w:t xml:space="preserve">unerea în comun ar impune statelor membre care decid să coopereze cu privire la un proiect de apărare să contribuie cu o sumă de fonduri către un compartiment național (de exemplu, conturi bancare) al mecanismului de punere în comun a resurselor desemnat. </w:t>
      </w:r>
      <w:r>
        <w:rPr>
          <w:rFonts w:ascii="Times New Roman" w:hAnsi="Times New Roman"/>
          <w:noProof/>
          <w:sz w:val="24"/>
        </w:rPr>
        <w:t>Aceste fonduri ar putea fi utilizate ulterior pentru finanțarea unor proiecte de colaborare specifice împreună cu alte state membre. Există deja câteva exemple de punere în comun a resurselor care sunt instituite sau în curs de dezvoltare în domeniul apără</w:t>
      </w:r>
      <w:r>
        <w:rPr>
          <w:rFonts w:ascii="Times New Roman" w:hAnsi="Times New Roman"/>
          <w:noProof/>
          <w:sz w:val="24"/>
        </w:rPr>
        <w:t>rii și care oferă o idee asupra posibilităților potențiale. În special, Organizația de Cooperare Comună în materie de Armament (OCCAR) dispune de un mecanism simplu de punere în comun a resurselor, în timp ce Agenția Europeană de Apărare (AEA) este în prez</w:t>
      </w:r>
      <w:r>
        <w:rPr>
          <w:rFonts w:ascii="Times New Roman" w:hAnsi="Times New Roman"/>
          <w:noProof/>
          <w:sz w:val="24"/>
        </w:rPr>
        <w:t>ent în curs de creare a unui mecanism financiar de cooperare (CFM)</w:t>
      </w:r>
      <w:r>
        <w:rPr>
          <w:rFonts w:ascii="Times New Roman" w:hAnsi="Times New Roman"/>
          <w:noProof/>
          <w:sz w:val="24"/>
          <w:vertAlign w:val="superscript"/>
        </w:rPr>
        <w:footnoteReference w:id="19"/>
      </w:r>
      <w:r>
        <w:rPr>
          <w:rFonts w:ascii="Times New Roman" w:hAnsi="Times New Roman"/>
          <w:noProof/>
          <w:sz w:val="24"/>
        </w:rPr>
        <w:t>, o formă de mecanism de punere în comun a resurselor care, printre altele, ar permite, de asemenea, schimbul de „avansuri rambursabile” între statele membre. Comisia va face eforturi supli</w:t>
      </w:r>
      <w:r>
        <w:rPr>
          <w:rFonts w:ascii="Times New Roman" w:hAnsi="Times New Roman"/>
          <w:noProof/>
          <w:sz w:val="24"/>
        </w:rPr>
        <w:t xml:space="preserve">mentare, în special pentru a analiza și a evalua în ce măsură mecanismele existente vor fi combinate cu instrumente financiare mai sofisticate. </w:t>
      </w:r>
    </w:p>
    <w:p w:rsidR="006575F0" w:rsidRDefault="00AD6983">
      <w:pPr>
        <w:pStyle w:val="Body"/>
        <w:spacing w:after="120" w:line="240" w:lineRule="auto"/>
        <w:jc w:val="both"/>
        <w:rPr>
          <w:rFonts w:ascii="Times New Roman" w:eastAsia="Times New Roman" w:hAnsi="Times New Roman" w:cs="Times New Roman"/>
          <w:i/>
          <w:iCs/>
          <w:noProof/>
          <w:sz w:val="24"/>
          <w:szCs w:val="24"/>
        </w:rPr>
      </w:pPr>
      <w:r>
        <w:rPr>
          <w:rFonts w:ascii="Times New Roman" w:hAnsi="Times New Roman"/>
          <w:i/>
          <w:noProof/>
          <w:sz w:val="24"/>
        </w:rPr>
        <w:t>Mecanismele de recuperare a costurilor prin intermediul unei societăți vehicul investițional (SPV)</w:t>
      </w:r>
    </w:p>
    <w:p w:rsidR="006575F0" w:rsidRDefault="00AD6983">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Recuperarea </w:t>
      </w:r>
      <w:r>
        <w:rPr>
          <w:rFonts w:ascii="Times New Roman" w:hAnsi="Times New Roman"/>
          <w:noProof/>
          <w:sz w:val="24"/>
        </w:rPr>
        <w:t>costurilor ar produce o formă de „cvasivenituri” care s-ar întoarce la entitățile în care s-a investit inițial (și anume statele membre care au investit în dezvoltarea unei capabilități). În cazul în care acestea sunt puse în comun într-o societate vehicul</w:t>
      </w:r>
      <w:r>
        <w:rPr>
          <w:rFonts w:ascii="Times New Roman" w:hAnsi="Times New Roman"/>
          <w:noProof/>
          <w:sz w:val="24"/>
        </w:rPr>
        <w:t xml:space="preserve"> investițional (SPV), structura fluxului de lichidități ar fi asemănătoare cu cea a unui context de finanțare de proiect. Două structuri diferite de finanțare ar putea fi avute în vedere pentru un astfel de SPV: (i) finanțare prin participare la capital, p</w:t>
      </w:r>
      <w:r>
        <w:rPr>
          <w:rFonts w:ascii="Times New Roman" w:hAnsi="Times New Roman"/>
          <w:noProof/>
          <w:sz w:val="24"/>
        </w:rPr>
        <w:t>rin care fiecare stat membru care participă la dezvoltare face o plată forfetară egală la SPV pentru a acoperi costurile de dezvoltare, ceea ce ar reprezenta o participare la capital în cadrul SPV; sau (ii) finanțarea de tip „punte”, conform căreia statele</w:t>
      </w:r>
      <w:r>
        <w:rPr>
          <w:rFonts w:ascii="Times New Roman" w:hAnsi="Times New Roman"/>
          <w:noProof/>
          <w:sz w:val="24"/>
        </w:rPr>
        <w:t xml:space="preserve"> membre care participă la dezvoltare ar putea decide, de asemenea, să finanțeze o parte din costurile de dezvoltare prin emiterea de instrumente pe piața de capital (de exemplu, obligațiuni pentru finanțarea proiectelor), reducându-și prin urmare participa</w:t>
      </w:r>
      <w:r>
        <w:rPr>
          <w:rFonts w:ascii="Times New Roman" w:hAnsi="Times New Roman"/>
          <w:noProof/>
          <w:sz w:val="24"/>
        </w:rPr>
        <w:t>rea la capitalul social inițial în vehiculul investițional. Comisia va face eforturi suplimentare cu privire la diferitele aspecte juridice, instituționale și financiare necesare pentru punerea în aplicare a acestor structuri, inclusiv crearea de instrumen</w:t>
      </w:r>
      <w:r>
        <w:rPr>
          <w:rFonts w:ascii="Times New Roman" w:hAnsi="Times New Roman"/>
          <w:noProof/>
          <w:sz w:val="24"/>
        </w:rPr>
        <w:t xml:space="preserve">te financiare legate de proiect. Obiectivul ar fi de a facilita folosirea lor prin standardizare și prin schimbul de experiență și de cele mai bune practici. </w:t>
      </w:r>
    </w:p>
    <w:p w:rsidR="006575F0" w:rsidRDefault="00AD6983">
      <w:pPr>
        <w:pStyle w:val="Body"/>
        <w:spacing w:after="120" w:line="240" w:lineRule="auto"/>
        <w:jc w:val="both"/>
        <w:rPr>
          <w:rFonts w:ascii="Times New Roman" w:eastAsia="Times New Roman" w:hAnsi="Times New Roman" w:cs="Times New Roman"/>
          <w:i/>
          <w:iCs/>
          <w:noProof/>
          <w:sz w:val="24"/>
          <w:szCs w:val="24"/>
        </w:rPr>
      </w:pPr>
      <w:r>
        <w:rPr>
          <w:rFonts w:ascii="Times New Roman" w:hAnsi="Times New Roman"/>
          <w:i/>
          <w:noProof/>
          <w:sz w:val="24"/>
        </w:rPr>
        <w:t>Garanție privind finanțarea furnizorilor în legătură cu proiectul</w:t>
      </w:r>
    </w:p>
    <w:p w:rsidR="006575F0" w:rsidRDefault="00AD6983">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Ar putea fi utilizate garanții </w:t>
      </w:r>
      <w:r>
        <w:rPr>
          <w:rFonts w:ascii="Times New Roman" w:hAnsi="Times New Roman"/>
          <w:noProof/>
          <w:sz w:val="24"/>
        </w:rPr>
        <w:t>pentru a acoperi împrumuturile acordate (sub)contractanților din domeniul apărării.</w:t>
      </w:r>
      <w:r>
        <w:rPr>
          <w:noProof/>
          <w:sz w:val="24"/>
        </w:rPr>
        <w:t xml:space="preserve"> </w:t>
      </w:r>
      <w:r>
        <w:rPr>
          <w:rFonts w:ascii="Times New Roman" w:hAnsi="Times New Roman"/>
          <w:noProof/>
          <w:sz w:val="24"/>
        </w:rPr>
        <w:t>O modalitate de a oferi garanții ar fi ca statele membre care vor participa la achizițiile publice să formeze un vehicul de finanțare (de exemplu, vehicule investiționale -</w:t>
      </w:r>
      <w:r>
        <w:rPr>
          <w:rFonts w:ascii="Times New Roman" w:hAnsi="Times New Roman"/>
          <w:noProof/>
          <w:sz w:val="24"/>
        </w:rPr>
        <w:t xml:space="preserve"> SPV) și să pună în comun contribuții, creând un fond de garantare. O alternativă la prefinanțarea fondului de garantare ar impune statelor membre care participă să furnizeze supra-garanții pentru a asigura capacitatea de creștere a calității creditului</w:t>
      </w:r>
      <w:r>
        <w:rPr>
          <w:rFonts w:ascii="Times New Roman" w:hAnsi="Times New Roman"/>
          <w:noProof/>
          <w:color w:val="1F497D"/>
          <w:sz w:val="24"/>
          <w:u w:color="1F497D"/>
        </w:rPr>
        <w:t xml:space="preserve">. </w:t>
      </w:r>
      <w:r>
        <w:rPr>
          <w:rFonts w:ascii="Times New Roman" w:hAnsi="Times New Roman"/>
          <w:noProof/>
          <w:sz w:val="24"/>
        </w:rPr>
        <w:t>C</w:t>
      </w:r>
      <w:r>
        <w:rPr>
          <w:rFonts w:ascii="Times New Roman" w:hAnsi="Times New Roman"/>
          <w:noProof/>
          <w:sz w:val="24"/>
        </w:rPr>
        <w:t>omisia va face eforturi suplimentare, în special în ceea ce privește explorarea opțiunilor pentru o mai mare cooperare instituțională cu instituțiile financiare publice, cum ar fi băncile de promovare, în ceea ce privește punerea în aplicare a instrumentel</w:t>
      </w:r>
      <w:r>
        <w:rPr>
          <w:rFonts w:ascii="Times New Roman" w:hAnsi="Times New Roman"/>
          <w:noProof/>
          <w:sz w:val="24"/>
        </w:rPr>
        <w:t xml:space="preserve">or financiare precum garanțiile. </w:t>
      </w:r>
    </w:p>
    <w:p w:rsidR="006575F0" w:rsidRDefault="00AD6983">
      <w:pPr>
        <w:pStyle w:val="Body"/>
        <w:spacing w:after="120" w:line="240" w:lineRule="auto"/>
        <w:jc w:val="both"/>
        <w:rPr>
          <w:rFonts w:ascii="Times New Roman" w:eastAsia="Times New Roman" w:hAnsi="Times New Roman" w:cs="Times New Roman"/>
          <w:i/>
          <w:iCs/>
          <w:noProof/>
          <w:sz w:val="24"/>
          <w:szCs w:val="24"/>
        </w:rPr>
      </w:pPr>
      <w:r>
        <w:rPr>
          <w:rFonts w:ascii="Times New Roman" w:hAnsi="Times New Roman"/>
          <w:i/>
          <w:noProof/>
          <w:sz w:val="24"/>
        </w:rPr>
        <w:t>Alte instrumente posibile</w:t>
      </w:r>
    </w:p>
    <w:p w:rsidR="006575F0" w:rsidRDefault="00AD6983">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Exemple de implicare comună în sectorul apărării există deja, cum ar fi în contextul NATO (de exemplu, flotele de aeronave de alimentare multifuncționale multinaționale și capacitatea de transport</w:t>
      </w:r>
      <w:r>
        <w:rPr>
          <w:rFonts w:ascii="Times New Roman" w:hAnsi="Times New Roman"/>
          <w:noProof/>
          <w:sz w:val="24"/>
        </w:rPr>
        <w:t xml:space="preserve"> aerian strategic). Experiența dobândită până în prezent ar putea constitui o bază utilă pentru dezvoltarea în continuare a instrumentelor care să fie incluse în setul de instrumente financiare, ceea ce ar putea sprijini statele membre în solicitarea copro</w:t>
      </w:r>
      <w:r>
        <w:rPr>
          <w:rFonts w:ascii="Times New Roman" w:hAnsi="Times New Roman"/>
          <w:noProof/>
          <w:sz w:val="24"/>
        </w:rPr>
        <w:t>prietății. În plus, contractele de leasing ar putea, de asemenea, reprezenta o completare utilă a setului de instrumente financiare. O formă de leasing ar putea include, în special, leasing de către statul/statele membru(e) către sectorul privat și/sau o î</w:t>
      </w:r>
      <w:r>
        <w:rPr>
          <w:rFonts w:ascii="Times New Roman" w:hAnsi="Times New Roman"/>
          <w:noProof/>
          <w:sz w:val="24"/>
        </w:rPr>
        <w:t>ntreprindere de stat. Leasingul dintr-un alt stat membru/țară terță ar putea fi, de asemenea, avut în vedere, în special în cazul în care aceste țări sunt fie specializate în anumite capabilități de apărare și/sau au capabilități neutilizate. O altă posibi</w:t>
      </w:r>
      <w:r>
        <w:rPr>
          <w:rFonts w:ascii="Times New Roman" w:hAnsi="Times New Roman"/>
          <w:noProof/>
          <w:sz w:val="24"/>
        </w:rPr>
        <w:t>litate ar putea fi ca UE (de exemplu, Comisia sau o agenție) să închirieze (acolo unde este posibil în temeiul tratatului) capabilități (de exemplu, produse cu dublă utilizare) din sectorul privat.</w:t>
      </w:r>
    </w:p>
    <w:p w:rsidR="006575F0" w:rsidRDefault="00AD6983">
      <w:pPr>
        <w:pStyle w:val="Body"/>
        <w:spacing w:after="120" w:line="240" w:lineRule="auto"/>
        <w:jc w:val="both"/>
        <w:rPr>
          <w:rFonts w:ascii="Times New Roman" w:eastAsia="Times New Roman" w:hAnsi="Times New Roman" w:cs="Times New Roman"/>
          <w:b/>
          <w:bCs/>
          <w:noProof/>
          <w:sz w:val="24"/>
          <w:szCs w:val="24"/>
          <w:u w:val="single"/>
        </w:rPr>
      </w:pPr>
      <w:r>
        <w:rPr>
          <w:rFonts w:ascii="Times New Roman" w:hAnsi="Times New Roman"/>
          <w:b/>
          <w:noProof/>
          <w:sz w:val="24"/>
          <w:u w:val="single"/>
        </w:rPr>
        <w:t>Sprijin specific proiectului în ceea ce privește punerea î</w:t>
      </w:r>
      <w:r>
        <w:rPr>
          <w:rFonts w:ascii="Times New Roman" w:hAnsi="Times New Roman"/>
          <w:b/>
          <w:noProof/>
          <w:sz w:val="24"/>
          <w:u w:val="single"/>
        </w:rPr>
        <w:t>n aplicare a setului de instrumente financiare:</w:t>
      </w:r>
    </w:p>
    <w:p w:rsidR="006575F0" w:rsidRDefault="00AD6983">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Comisia va crea un grup operativ intern care urmează să fie pregătit să asiste statele membre în ceea ce privește aplicarea setului de instrumente financiare. Grupul operativ va fi în măsură să ofere asistenț</w:t>
      </w:r>
      <w:r>
        <w:rPr>
          <w:rFonts w:ascii="Times New Roman" w:hAnsi="Times New Roman"/>
          <w:noProof/>
          <w:sz w:val="24"/>
        </w:rPr>
        <w:t>ă concretă și informații specifice pentru fiecare proiect. Exemple de tipuri de sprijin pe care le-ar putea acorda grupul operativ intern sunt prezentate mai jos.</w:t>
      </w:r>
    </w:p>
    <w:p w:rsidR="006575F0" w:rsidRDefault="00AD6983">
      <w:pPr>
        <w:pStyle w:val="Body"/>
        <w:spacing w:after="120"/>
        <w:jc w:val="center"/>
        <w:rPr>
          <w:noProof/>
        </w:rPr>
      </w:pPr>
      <w:r>
        <w:rPr>
          <w:noProof/>
          <w:lang w:val="en-GB" w:eastAsia="en-GB" w:bidi="ar-SA"/>
        </w:rPr>
        <w:drawing>
          <wp:inline distT="0" distB="0" distL="0" distR="0">
            <wp:extent cx="4710023" cy="2751827"/>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712554" cy="2753306"/>
                    </a:xfrm>
                    <a:prstGeom prst="rect">
                      <a:avLst/>
                    </a:prstGeom>
                    <a:noFill/>
                    <a:ln>
                      <a:noFill/>
                    </a:ln>
                  </pic:spPr>
                </pic:pic>
              </a:graphicData>
            </a:graphic>
          </wp:inline>
        </w:drawing>
      </w:r>
    </w:p>
    <w:sectPr w:rsidR="006575F0">
      <w:headerReference w:type="even" r:id="rId19"/>
      <w:headerReference w:type="default" r:id="rId20"/>
      <w:footerReference w:type="even" r:id="rId21"/>
      <w:footerReference w:type="default" r:id="rId22"/>
      <w:headerReference w:type="first" r:id="rId23"/>
      <w:footerReference w:type="first" r:id="rId24"/>
      <w:pgSz w:w="11900" w:h="16840"/>
      <w:pgMar w:top="1417" w:right="1417" w:bottom="1417" w:left="1417" w:header="708" w:footer="708"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75F0" w:rsidRDefault="00AD6983">
      <w:r>
        <w:separator/>
      </w:r>
    </w:p>
  </w:endnote>
  <w:endnote w:type="continuationSeparator" w:id="0">
    <w:p w:rsidR="006575F0" w:rsidRDefault="00AD69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75F0" w:rsidRDefault="006575F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75F0" w:rsidRDefault="00AD6983">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75F0" w:rsidRDefault="006575F0">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75F0" w:rsidRDefault="006575F0">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75F0" w:rsidRDefault="00AD6983">
    <w:pPr>
      <w:pStyle w:val="Footer"/>
      <w:rPr>
        <w:rFonts w:ascii="Arial" w:hAnsi="Arial" w:cs="Arial"/>
        <w:b/>
        <w:sz w:val="48"/>
      </w:rPr>
    </w:pPr>
    <w:r>
      <w:rPr>
        <w:rFonts w:ascii="Arial" w:hAnsi="Arial"/>
        <w:b/>
        <w:sz w:val="48"/>
      </w:rPr>
      <w:t>RO</w:t>
    </w:r>
    <w:r>
      <w:tab/>
    </w:r>
    <w:r>
      <w:fldChar w:fldCharType="begin"/>
    </w:r>
    <w:r>
      <w:instrText xml:space="preserve"> PAGE  \* MERGEFORMAT </w:instrText>
    </w:r>
    <w:r>
      <w:fldChar w:fldCharType="separate"/>
    </w:r>
    <w:r>
      <w:rPr>
        <w:noProof/>
      </w:rPr>
      <w:t>8</w:t>
    </w:r>
    <w:r>
      <w:fldChar w:fldCharType="end"/>
    </w:r>
    <w:r>
      <w:tab/>
    </w:r>
    <w:r>
      <w:rPr>
        <w:rFonts w:ascii="Arial" w:hAnsi="Arial"/>
        <w:b/>
        <w:sz w:val="48"/>
      </w:rPr>
      <w:t>RO</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75F0" w:rsidRDefault="006575F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75F0" w:rsidRDefault="00AD6983">
      <w:r>
        <w:separator/>
      </w:r>
    </w:p>
  </w:footnote>
  <w:footnote w:type="continuationSeparator" w:id="0">
    <w:p w:rsidR="006575F0" w:rsidRDefault="00AD6983">
      <w:r>
        <w:continuationSeparator/>
      </w:r>
    </w:p>
  </w:footnote>
  <w:footnote w:type="continuationNotice" w:id="1">
    <w:p w:rsidR="006575F0" w:rsidRDefault="006575F0"/>
  </w:footnote>
  <w:footnote w:id="2">
    <w:p w:rsidR="006575F0" w:rsidRDefault="00AD6983">
      <w:pPr>
        <w:pStyle w:val="FootnoteText"/>
        <w:ind w:left="284" w:hanging="284"/>
      </w:pPr>
      <w:r>
        <w:rPr>
          <w:rFonts w:ascii="Times New Roman" w:hAnsi="Times New Roman"/>
          <w:sz w:val="24"/>
          <w:vertAlign w:val="superscript"/>
        </w:rPr>
        <w:footnoteRef/>
      </w:r>
      <w:r>
        <w:rPr>
          <w:rFonts w:ascii="Times New Roman" w:hAnsi="Times New Roman"/>
        </w:rPr>
        <w:t xml:space="preserve"> </w:t>
      </w:r>
      <w:r>
        <w:tab/>
      </w:r>
      <w:r>
        <w:rPr>
          <w:rFonts w:ascii="Times New Roman" w:hAnsi="Times New Roman"/>
        </w:rPr>
        <w:t xml:space="preserve">COM (2016) 950. </w:t>
      </w:r>
    </w:p>
  </w:footnote>
  <w:footnote w:id="3">
    <w:p w:rsidR="006575F0" w:rsidRDefault="00AD6983">
      <w:pPr>
        <w:pStyle w:val="FootnoteText"/>
        <w:ind w:left="284" w:hanging="284"/>
      </w:pPr>
      <w:r>
        <w:rPr>
          <w:rFonts w:ascii="Times New Roman" w:hAnsi="Times New Roman"/>
          <w:sz w:val="24"/>
          <w:vertAlign w:val="superscript"/>
        </w:rPr>
        <w:footnoteRef/>
      </w:r>
      <w:r>
        <w:rPr>
          <w:rFonts w:ascii="Times New Roman" w:hAnsi="Times New Roman"/>
        </w:rPr>
        <w:t xml:space="preserve"> </w:t>
      </w:r>
      <w:r>
        <w:tab/>
      </w:r>
      <w:r>
        <w:rPr>
          <w:rFonts w:ascii="Times New Roman" w:hAnsi="Times New Roman"/>
        </w:rPr>
        <w:t xml:space="preserve">A se vedea punctul 12 din Concluziile Consiliului European din 15 decembrie 2016. </w:t>
      </w:r>
    </w:p>
  </w:footnote>
  <w:footnote w:id="4">
    <w:p w:rsidR="006575F0" w:rsidRDefault="00AD6983">
      <w:pPr>
        <w:pStyle w:val="FootnoteText"/>
        <w:ind w:left="284" w:hanging="284"/>
        <w:jc w:val="both"/>
      </w:pPr>
      <w:r>
        <w:rPr>
          <w:rFonts w:ascii="Times New Roman" w:hAnsi="Times New Roman"/>
          <w:sz w:val="24"/>
          <w:vertAlign w:val="superscript"/>
        </w:rPr>
        <w:footnoteRef/>
      </w:r>
      <w:r>
        <w:rPr>
          <w:rFonts w:ascii="Times New Roman" w:hAnsi="Times New Roman"/>
        </w:rPr>
        <w:t xml:space="preserve"> </w:t>
      </w:r>
      <w:r>
        <w:tab/>
      </w:r>
      <w:r>
        <w:rPr>
          <w:rFonts w:ascii="Times New Roman" w:hAnsi="Times New Roman"/>
        </w:rPr>
        <w:t>A se vedea documentul de reflecție privind viitorul sistemului de apărare european, COM(2017)315.</w:t>
      </w:r>
    </w:p>
  </w:footnote>
  <w:footnote w:id="5">
    <w:p w:rsidR="006575F0" w:rsidRDefault="00AD6983">
      <w:pPr>
        <w:pStyle w:val="FootnoteText"/>
        <w:ind w:left="284" w:hanging="284"/>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Concluziile Consiliului European din 15 decembrie 2016 și concluziile</w:t>
      </w:r>
      <w:r>
        <w:rPr>
          <w:rFonts w:ascii="Times New Roman" w:hAnsi="Times New Roman"/>
        </w:rPr>
        <w:t xml:space="preserve"> Consiliului din 14 noiembrie 2016 privind punerea în aplicare a EUGS în domeniul securității și apărării.</w:t>
      </w:r>
    </w:p>
  </w:footnote>
  <w:footnote w:id="6">
    <w:p w:rsidR="006575F0" w:rsidRDefault="00AD6983">
      <w:pPr>
        <w:pStyle w:val="FootnoteText"/>
        <w:ind w:left="284" w:hanging="284"/>
      </w:pPr>
      <w:r>
        <w:rPr>
          <w:rFonts w:ascii="Times New Roman" w:hAnsi="Times New Roman"/>
          <w:vertAlign w:val="superscript"/>
        </w:rPr>
        <w:footnoteRef/>
      </w:r>
      <w:r>
        <w:rPr>
          <w:rFonts w:ascii="Times New Roman" w:hAnsi="Times New Roman"/>
        </w:rPr>
        <w:t xml:space="preserve"> </w:t>
      </w:r>
      <w:r>
        <w:tab/>
      </w:r>
      <w:r>
        <w:rPr>
          <w:rFonts w:ascii="Times New Roman" w:hAnsi="Times New Roman"/>
        </w:rPr>
        <w:t>A se vedea Concluziile Consiliului European din 20 decembrie 2013.</w:t>
      </w:r>
    </w:p>
  </w:footnote>
  <w:footnote w:id="7">
    <w:p w:rsidR="006575F0" w:rsidRDefault="00AD6983">
      <w:pPr>
        <w:pStyle w:val="FootnoteText"/>
        <w:ind w:left="284" w:hanging="284"/>
      </w:pPr>
      <w:r>
        <w:rPr>
          <w:rFonts w:ascii="Times New Roman" w:hAnsi="Times New Roman"/>
          <w:vertAlign w:val="superscript"/>
        </w:rPr>
        <w:footnoteRef/>
      </w:r>
      <w:r>
        <w:rPr>
          <w:rFonts w:ascii="Times New Roman" w:hAnsi="Times New Roman"/>
        </w:rPr>
        <w:t xml:space="preserve"> </w:t>
      </w:r>
      <w:r>
        <w:tab/>
      </w:r>
      <w:r>
        <w:rPr>
          <w:rFonts w:ascii="Times New Roman" w:hAnsi="Times New Roman"/>
        </w:rPr>
        <w:t>Ponderea actuală a achizițiilor europene de echipamente de apărare pentru pr</w:t>
      </w:r>
      <w:r>
        <w:rPr>
          <w:rFonts w:ascii="Times New Roman" w:hAnsi="Times New Roman"/>
        </w:rPr>
        <w:t>oiecte de colaborare este de aproximativ 22,1 %. Dintre aceste proiecte de colaborare, 90 % se desfășoară la nivel european, ceea ce corespunde unei investiții de 5,1 miliarde EUR.</w:t>
      </w:r>
    </w:p>
  </w:footnote>
  <w:footnote w:id="8">
    <w:p w:rsidR="006575F0" w:rsidRDefault="00AD6983">
      <w:pPr>
        <w:pStyle w:val="FootnoteText"/>
        <w:ind w:left="284" w:hanging="284"/>
        <w:rPr>
          <w:rFonts w:ascii="Times New Roman" w:hAnsi="Times New Roman" w:cs="Times New Roman"/>
        </w:rPr>
      </w:pPr>
      <w:r>
        <w:rPr>
          <w:rFonts w:ascii="Times New Roman" w:hAnsi="Times New Roman"/>
          <w:vertAlign w:val="superscript"/>
        </w:rPr>
        <w:footnoteRef/>
      </w:r>
      <w:r>
        <w:rPr>
          <w:rFonts w:ascii="Times New Roman" w:hAnsi="Times New Roman"/>
        </w:rPr>
        <w:t xml:space="preserve"> </w:t>
      </w:r>
      <w:r>
        <w:tab/>
      </w:r>
      <w:r>
        <w:rPr>
          <w:rFonts w:ascii="Times New Roman" w:hAnsi="Times New Roman"/>
        </w:rPr>
        <w:t>C(2017) 2262.</w:t>
      </w:r>
    </w:p>
  </w:footnote>
  <w:footnote w:id="9">
    <w:p w:rsidR="006575F0" w:rsidRDefault="00AD6983">
      <w:pPr>
        <w:pStyle w:val="FootnoteText"/>
        <w:ind w:left="284" w:hanging="284"/>
      </w:pPr>
      <w:r>
        <w:rPr>
          <w:rFonts w:ascii="Times New Roman" w:hAnsi="Times New Roman"/>
          <w:sz w:val="24"/>
          <w:vertAlign w:val="superscript"/>
        </w:rPr>
        <w:footnoteRef/>
      </w:r>
      <w:r>
        <w:rPr>
          <w:rFonts w:ascii="Times New Roman" w:hAnsi="Times New Roman"/>
        </w:rPr>
        <w:t xml:space="preserve"> </w:t>
      </w:r>
      <w:r>
        <w:tab/>
      </w:r>
      <w:r>
        <w:rPr>
          <w:rFonts w:ascii="Times New Roman" w:hAnsi="Times New Roman"/>
        </w:rPr>
        <w:t>C(2017) 2262.</w:t>
      </w:r>
    </w:p>
  </w:footnote>
  <w:footnote w:id="10">
    <w:p w:rsidR="006575F0" w:rsidRDefault="00AD6983">
      <w:pPr>
        <w:pStyle w:val="FootnoteText"/>
        <w:ind w:left="284" w:hanging="284"/>
        <w:jc w:val="both"/>
      </w:pPr>
      <w:r>
        <w:rPr>
          <w:rFonts w:ascii="Times New Roman" w:hAnsi="Times New Roman"/>
          <w:sz w:val="24"/>
          <w:vertAlign w:val="superscript"/>
        </w:rPr>
        <w:footnoteRef/>
      </w:r>
      <w:r>
        <w:rPr>
          <w:rFonts w:ascii="Times New Roman" w:hAnsi="Times New Roman"/>
        </w:rPr>
        <w:t xml:space="preserve"> </w:t>
      </w:r>
      <w:r>
        <w:tab/>
      </w:r>
      <w:r>
        <w:rPr>
          <w:rFonts w:ascii="Times New Roman" w:hAnsi="Times New Roman"/>
        </w:rPr>
        <w:t xml:space="preserve">Aceste acțiuni vor fi identificate în </w:t>
      </w:r>
      <w:r>
        <w:rPr>
          <w:rFonts w:ascii="Times New Roman" w:hAnsi="Times New Roman"/>
        </w:rPr>
        <w:t>cadrul unor grupuri tehnologice de platforme autonome, C4ISR (comandă, control, comunicații, computere, servicii de informații, supraveghere și recunoaștere), efecte, protecția forțelor și sistemele de echipamente pentru soldați (</w:t>
      </w:r>
      <w:r>
        <w:rPr>
          <w:rFonts w:ascii="Times New Roman" w:hAnsi="Times New Roman"/>
          <w:i/>
        </w:rPr>
        <w:t>Soldier Systems</w:t>
      </w:r>
      <w:r>
        <w:rPr>
          <w:rFonts w:ascii="Times New Roman" w:hAnsi="Times New Roman"/>
        </w:rPr>
        <w:t>).</w:t>
      </w:r>
    </w:p>
  </w:footnote>
  <w:footnote w:id="11">
    <w:p w:rsidR="006575F0" w:rsidRDefault="00AD6983">
      <w:pPr>
        <w:pStyle w:val="FootnoteText"/>
        <w:ind w:left="284" w:hanging="284"/>
      </w:pPr>
      <w:r>
        <w:rPr>
          <w:rFonts w:ascii="Times New Roman" w:hAnsi="Times New Roman"/>
          <w:sz w:val="24"/>
          <w:vertAlign w:val="superscript"/>
        </w:rPr>
        <w:footnoteRef/>
      </w:r>
      <w:r>
        <w:rPr>
          <w:rFonts w:ascii="Times New Roman" w:hAnsi="Times New Roman"/>
        </w:rPr>
        <w:t xml:space="preserve"> </w:t>
      </w:r>
      <w:r>
        <w:tab/>
      </w:r>
      <w:r>
        <w:rPr>
          <w:rFonts w:ascii="Times New Roman" w:hAnsi="Times New Roman"/>
        </w:rPr>
        <w:t>Eurofighter Typhoon, Dassault Rafale și Saab Gripen. Integrarea lor este, de asemenea, prevăzută pe Lockheed F-35 Lightning II.</w:t>
      </w:r>
    </w:p>
  </w:footnote>
  <w:footnote w:id="12">
    <w:p w:rsidR="006575F0" w:rsidRDefault="00AD6983">
      <w:pPr>
        <w:pStyle w:val="FootnoteText"/>
        <w:ind w:left="284" w:hanging="284"/>
      </w:pPr>
      <w:r>
        <w:rPr>
          <w:rFonts w:ascii="Times New Roman" w:hAnsi="Times New Roman"/>
          <w:sz w:val="24"/>
          <w:vertAlign w:val="superscript"/>
        </w:rPr>
        <w:footnoteRef/>
      </w:r>
      <w:r>
        <w:rPr>
          <w:rFonts w:ascii="Times New Roman" w:hAnsi="Times New Roman"/>
        </w:rPr>
        <w:t xml:space="preserve"> </w:t>
      </w:r>
      <w:r>
        <w:tab/>
      </w:r>
      <w:r>
        <w:rPr>
          <w:rFonts w:ascii="Times New Roman" w:hAnsi="Times New Roman"/>
        </w:rPr>
        <w:t xml:space="preserve">Hartley, </w:t>
      </w:r>
      <w:r>
        <w:rPr>
          <w:rFonts w:ascii="Times New Roman" w:hAnsi="Times New Roman"/>
          <w:i/>
        </w:rPr>
        <w:t>The industrial and economic benefits of Eurofighter Typhoon</w:t>
      </w:r>
      <w:r>
        <w:rPr>
          <w:rFonts w:ascii="Times New Roman" w:hAnsi="Times New Roman"/>
        </w:rPr>
        <w:t>, University of York, York, 2008.</w:t>
      </w:r>
    </w:p>
  </w:footnote>
  <w:footnote w:id="13">
    <w:p w:rsidR="006575F0" w:rsidRDefault="00AD6983">
      <w:pPr>
        <w:pStyle w:val="FootnoteText"/>
        <w:ind w:left="284" w:hanging="284"/>
        <w:jc w:val="both"/>
      </w:pPr>
      <w:r>
        <w:rPr>
          <w:rFonts w:ascii="Times New Roman" w:hAnsi="Times New Roman"/>
          <w:sz w:val="24"/>
          <w:vertAlign w:val="superscript"/>
        </w:rPr>
        <w:footnoteRef/>
      </w:r>
      <w:r>
        <w:rPr>
          <w:rFonts w:ascii="Times New Roman" w:hAnsi="Times New Roman"/>
          <w:vertAlign w:val="superscript"/>
        </w:rPr>
        <w:t xml:space="preserve"> </w:t>
      </w:r>
      <w:r>
        <w:tab/>
      </w:r>
      <w:r>
        <w:rPr>
          <w:rFonts w:ascii="Times New Roman" w:hAnsi="Times New Roman"/>
        </w:rPr>
        <w:t>Un exemplu de mecani</w:t>
      </w:r>
      <w:r>
        <w:rPr>
          <w:rFonts w:ascii="Times New Roman" w:hAnsi="Times New Roman"/>
        </w:rPr>
        <w:t xml:space="preserve">sm de punere în comun a resurselor este mecanismul financiar de cooperare al AEA, a cărui înființare a fost aprobată de Comitetul de conducere la nivel ministerial al AEA la 18 mai 2017. Negocierile cu statele membre privind un acord de program vor începe </w:t>
      </w:r>
      <w:r>
        <w:rPr>
          <w:rFonts w:ascii="Times New Roman" w:hAnsi="Times New Roman"/>
        </w:rPr>
        <w:t>în curând.</w:t>
      </w:r>
    </w:p>
  </w:footnote>
  <w:footnote w:id="14">
    <w:p w:rsidR="006575F0" w:rsidRDefault="00AD6983">
      <w:pPr>
        <w:pStyle w:val="FootnoteText"/>
        <w:ind w:left="284" w:hanging="284"/>
        <w:jc w:val="both"/>
      </w:pPr>
      <w:r>
        <w:rPr>
          <w:rFonts w:ascii="Times New Roman" w:hAnsi="Times New Roman"/>
          <w:sz w:val="24"/>
          <w:vertAlign w:val="superscript"/>
        </w:rPr>
        <w:footnoteRef/>
      </w:r>
      <w:r>
        <w:rPr>
          <w:rFonts w:ascii="Times New Roman" w:hAnsi="Times New Roman"/>
          <w:vertAlign w:val="superscript"/>
        </w:rPr>
        <w:t xml:space="preserve"> </w:t>
      </w:r>
      <w:r>
        <w:tab/>
      </w:r>
      <w:r>
        <w:rPr>
          <w:rFonts w:ascii="Times New Roman" w:hAnsi="Times New Roman"/>
        </w:rPr>
        <w:t xml:space="preserve">În special, va utiliza la maximum potențialul de expertiză al AEA obținut în urma instituirii mecanismului financiar pentru cooperare. </w:t>
      </w:r>
    </w:p>
  </w:footnote>
  <w:footnote w:id="15">
    <w:p w:rsidR="006575F0" w:rsidRDefault="00AD6983">
      <w:pPr>
        <w:pStyle w:val="FootnoteText"/>
        <w:ind w:left="284" w:hanging="284"/>
        <w:jc w:val="both"/>
      </w:pPr>
      <w:r>
        <w:rPr>
          <w:rFonts w:ascii="Times New Roman" w:hAnsi="Times New Roman"/>
          <w:sz w:val="24"/>
          <w:vertAlign w:val="superscript"/>
        </w:rPr>
        <w:footnoteRef/>
      </w:r>
      <w:r>
        <w:rPr>
          <w:rFonts w:ascii="Times New Roman" w:hAnsi="Times New Roman"/>
        </w:rPr>
        <w:t xml:space="preserve"> </w:t>
      </w:r>
      <w:r>
        <w:tab/>
      </w:r>
      <w:r>
        <w:rPr>
          <w:rFonts w:ascii="Times New Roman" w:hAnsi="Times New Roman"/>
        </w:rPr>
        <w:t>Ar trebui remarcat că furnizarea de către Comisie a anumitor servicii, cum ar fi serviciile financiare,</w:t>
      </w:r>
      <w:r>
        <w:rPr>
          <w:rFonts w:ascii="Times New Roman" w:hAnsi="Times New Roman"/>
        </w:rPr>
        <w:t xml:space="preserve"> ar necesita un mandat în conformitate cu jurisprudența relevantă a Curții de Justiție a Uniunii Europene. </w:t>
      </w:r>
    </w:p>
  </w:footnote>
  <w:footnote w:id="16">
    <w:p w:rsidR="006575F0" w:rsidRDefault="00AD6983">
      <w:pPr>
        <w:pStyle w:val="FootnoteText"/>
        <w:ind w:left="284" w:hanging="284"/>
        <w:jc w:val="both"/>
      </w:pPr>
      <w:r>
        <w:footnoteRef/>
      </w:r>
      <w:r>
        <w:rPr>
          <w:rFonts w:ascii="Times New Roman" w:hAnsi="Times New Roman"/>
        </w:rPr>
        <w:t xml:space="preserve"> </w:t>
      </w:r>
      <w:r>
        <w:tab/>
      </w:r>
      <w:r>
        <w:rPr>
          <w:rFonts w:ascii="Times New Roman" w:hAnsi="Times New Roman"/>
        </w:rPr>
        <w:t xml:space="preserve">După cum s-a menționat în Planul de acțiune european în domeniul apărării: „Contribuțiile naționale de capital la componenta de capabilități vor </w:t>
      </w:r>
      <w:r>
        <w:rPr>
          <w:rFonts w:ascii="Times New Roman" w:hAnsi="Times New Roman"/>
        </w:rPr>
        <w:t xml:space="preserve">fi tratate ca «măsuri cu caracter excepțional» în cadrul Pactului de stabilitate și de creștere, ceea ce înseamnă că acestea vor fi deduse din efortul bugetar structural care se preconizează că va fi realizate de către statele membre. Același tratament se </w:t>
      </w:r>
      <w:r>
        <w:rPr>
          <w:rFonts w:ascii="Times New Roman" w:hAnsi="Times New Roman"/>
        </w:rPr>
        <w:t>va aplica și în cazul garanțiilor, în măsura în care acestea au un impact asupra deficitului și/sau a datoriei”.</w:t>
      </w:r>
    </w:p>
    <w:p w:rsidR="006575F0" w:rsidRDefault="006575F0">
      <w:pPr>
        <w:pStyle w:val="FootnoteText"/>
      </w:pPr>
    </w:p>
  </w:footnote>
  <w:footnote w:id="17">
    <w:p w:rsidR="006575F0" w:rsidRDefault="00AD6983">
      <w:pPr>
        <w:pStyle w:val="FootnoteText"/>
        <w:ind w:left="284" w:hanging="284"/>
      </w:pPr>
      <w:r>
        <w:rPr>
          <w:rFonts w:ascii="Times New Roman" w:hAnsi="Times New Roman"/>
          <w:sz w:val="24"/>
          <w:vertAlign w:val="superscript"/>
        </w:rPr>
        <w:footnoteRef/>
      </w:r>
      <w:r>
        <w:rPr>
          <w:rFonts w:ascii="Times New Roman" w:hAnsi="Times New Roman"/>
        </w:rPr>
        <w:t xml:space="preserve"> </w:t>
      </w:r>
      <w:r>
        <w:tab/>
      </w:r>
      <w:hyperlink r:id="rId1">
        <w:r>
          <w:rPr>
            <w:rStyle w:val="Hyperlink0"/>
            <w:rFonts w:eastAsia="Calibri"/>
          </w:rPr>
          <w:t>https://www.endr.eu/</w:t>
        </w:r>
      </w:hyperlink>
      <w:r>
        <w:rPr>
          <w:rFonts w:ascii="Times New Roman" w:hAnsi="Times New Roman"/>
        </w:rPr>
        <w:t xml:space="preserve"> </w:t>
      </w:r>
    </w:p>
  </w:footnote>
  <w:footnote w:id="18">
    <w:p w:rsidR="006575F0" w:rsidRDefault="00AD6983">
      <w:pPr>
        <w:pStyle w:val="FootnoteText"/>
        <w:ind w:left="284" w:hanging="284"/>
      </w:pPr>
      <w:r>
        <w:rPr>
          <w:rFonts w:ascii="Times New Roman" w:hAnsi="Times New Roman"/>
          <w:sz w:val="24"/>
          <w:vertAlign w:val="superscript"/>
        </w:rPr>
        <w:footnoteRef/>
      </w:r>
      <w:r>
        <w:rPr>
          <w:rFonts w:ascii="Times New Roman" w:hAnsi="Times New Roman"/>
        </w:rPr>
        <w:t xml:space="preserve"> </w:t>
      </w:r>
      <w:r>
        <w:tab/>
      </w:r>
      <w:r>
        <w:rPr>
          <w:rFonts w:ascii="Times New Roman" w:hAnsi="Times New Roman"/>
        </w:rPr>
        <w:t>Conform definițiilor din Regulamentul (CE) nr. 1301/2013.</w:t>
      </w:r>
    </w:p>
  </w:footnote>
  <w:footnote w:id="19">
    <w:p w:rsidR="006575F0" w:rsidRDefault="00AD6983">
      <w:pPr>
        <w:pStyle w:val="FootnoteText"/>
        <w:ind w:left="284" w:hanging="284"/>
        <w:jc w:val="both"/>
      </w:pPr>
      <w:r>
        <w:rPr>
          <w:rFonts w:ascii="Times New Roman" w:hAnsi="Times New Roman"/>
          <w:sz w:val="24"/>
          <w:vertAlign w:val="superscript"/>
        </w:rPr>
        <w:footnoteRef/>
      </w:r>
      <w:r>
        <w:rPr>
          <w:rFonts w:ascii="Times New Roman" w:hAnsi="Times New Roman"/>
        </w:rPr>
        <w:t xml:space="preserve"> </w:t>
      </w:r>
      <w:r>
        <w:tab/>
      </w:r>
      <w:r>
        <w:rPr>
          <w:rFonts w:ascii="Times New Roman" w:hAnsi="Times New Roman"/>
        </w:rPr>
        <w:t>La 18 mai 201</w:t>
      </w:r>
      <w:r>
        <w:rPr>
          <w:rFonts w:ascii="Times New Roman" w:hAnsi="Times New Roman"/>
        </w:rPr>
        <w:t xml:space="preserve">7, Comitetul director al AEA a adoptat mecanismul financiar cooperatist ca program ad-hoc CAT A al AEA. Negocierile cu statele membre privind un acord de program vor începe în curând și se preconizează că se vor încheia în lunile următoare.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75F0" w:rsidRDefault="006575F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75F0" w:rsidRDefault="006575F0">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75F0" w:rsidRDefault="006575F0">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75F0" w:rsidRDefault="006575F0">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75F0" w:rsidRDefault="006575F0">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75F0" w:rsidRDefault="006575F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74E78"/>
    <w:multiLevelType w:val="hybridMultilevel"/>
    <w:tmpl w:val="555C073E"/>
    <w:numStyleLink w:val="ImportedStyle6"/>
  </w:abstractNum>
  <w:abstractNum w:abstractNumId="1">
    <w:nsid w:val="09A0748C"/>
    <w:multiLevelType w:val="hybridMultilevel"/>
    <w:tmpl w:val="F098B28A"/>
    <w:styleLink w:val="ImportedStyle1"/>
    <w:lvl w:ilvl="0" w:tplc="DA9293D6">
      <w:start w:val="1"/>
      <w:numFmt w:val="decimal"/>
      <w:lvlText w:val="%1."/>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208E5284">
      <w:start w:val="1"/>
      <w:numFmt w:val="lowerLetter"/>
      <w:lvlText w:val="%2."/>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F336E814">
      <w:start w:val="1"/>
      <w:numFmt w:val="lowerRoman"/>
      <w:lvlText w:val="%3."/>
      <w:lvlJc w:val="left"/>
      <w:pPr>
        <w:ind w:left="2160" w:hanging="282"/>
      </w:pPr>
      <w:rPr>
        <w:rFonts w:hAnsi="Arial Unicode MS"/>
        <w:b/>
        <w:bCs/>
        <w:caps w:val="0"/>
        <w:smallCaps w:val="0"/>
        <w:strike w:val="0"/>
        <w:dstrike w:val="0"/>
        <w:outline w:val="0"/>
        <w:emboss w:val="0"/>
        <w:imprint w:val="0"/>
        <w:spacing w:val="0"/>
        <w:w w:val="100"/>
        <w:kern w:val="0"/>
        <w:position w:val="0"/>
        <w:highlight w:val="none"/>
        <w:vertAlign w:val="baseline"/>
      </w:rPr>
    </w:lvl>
    <w:lvl w:ilvl="3" w:tplc="D0F0429A">
      <w:start w:val="1"/>
      <w:numFmt w:val="decimal"/>
      <w:lvlText w:val="%4."/>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9BACAC0E">
      <w:start w:val="1"/>
      <w:numFmt w:val="lowerLetter"/>
      <w:lvlText w:val="%5."/>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2F3EBBA8">
      <w:start w:val="1"/>
      <w:numFmt w:val="lowerRoman"/>
      <w:lvlText w:val="%6."/>
      <w:lvlJc w:val="left"/>
      <w:pPr>
        <w:ind w:left="4320" w:hanging="282"/>
      </w:pPr>
      <w:rPr>
        <w:rFonts w:hAnsi="Arial Unicode MS"/>
        <w:b/>
        <w:bCs/>
        <w:caps w:val="0"/>
        <w:smallCaps w:val="0"/>
        <w:strike w:val="0"/>
        <w:dstrike w:val="0"/>
        <w:outline w:val="0"/>
        <w:emboss w:val="0"/>
        <w:imprint w:val="0"/>
        <w:spacing w:val="0"/>
        <w:w w:val="100"/>
        <w:kern w:val="0"/>
        <w:position w:val="0"/>
        <w:highlight w:val="none"/>
        <w:vertAlign w:val="baseline"/>
      </w:rPr>
    </w:lvl>
    <w:lvl w:ilvl="6" w:tplc="B3320290">
      <w:start w:val="1"/>
      <w:numFmt w:val="decimal"/>
      <w:lvlText w:val="%7."/>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A0A8C00E">
      <w:start w:val="1"/>
      <w:numFmt w:val="lowerLetter"/>
      <w:lvlText w:val="%8."/>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8D522CA2">
      <w:start w:val="1"/>
      <w:numFmt w:val="lowerRoman"/>
      <w:lvlText w:val="%9."/>
      <w:lvlJc w:val="left"/>
      <w:pPr>
        <w:ind w:left="6480" w:hanging="282"/>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2">
    <w:nsid w:val="12C844FA"/>
    <w:multiLevelType w:val="hybridMultilevel"/>
    <w:tmpl w:val="D4EE690E"/>
    <w:numStyleLink w:val="ImportedStyle4"/>
  </w:abstractNum>
  <w:abstractNum w:abstractNumId="3">
    <w:nsid w:val="12DE03D3"/>
    <w:multiLevelType w:val="hybridMultilevel"/>
    <w:tmpl w:val="AB347A02"/>
    <w:numStyleLink w:val="ImportedStyle7"/>
  </w:abstractNum>
  <w:abstractNum w:abstractNumId="4">
    <w:nsid w:val="1CA816E3"/>
    <w:multiLevelType w:val="hybridMultilevel"/>
    <w:tmpl w:val="5EB84A5E"/>
    <w:styleLink w:val="ImportedStyle2"/>
    <w:lvl w:ilvl="0" w:tplc="6E460F36">
      <w:start w:val="1"/>
      <w:numFmt w:val="bullet"/>
      <w:lvlText w:val="-"/>
      <w:lvlJc w:val="left"/>
      <w:pPr>
        <w:ind w:left="72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1" w:tplc="CDACC1B6">
      <w:start w:val="1"/>
      <w:numFmt w:val="bullet"/>
      <w:lvlText w:val="o"/>
      <w:lvlJc w:val="left"/>
      <w:pPr>
        <w:ind w:left="144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2" w:tplc="FEDE321E">
      <w:start w:val="1"/>
      <w:numFmt w:val="bullet"/>
      <w:lvlText w:val="▪"/>
      <w:lvlJc w:val="left"/>
      <w:pPr>
        <w:ind w:left="216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3" w:tplc="2CAC414C">
      <w:start w:val="1"/>
      <w:numFmt w:val="bullet"/>
      <w:lvlText w:val="•"/>
      <w:lvlJc w:val="left"/>
      <w:pPr>
        <w:ind w:left="288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4" w:tplc="672C772A">
      <w:start w:val="1"/>
      <w:numFmt w:val="bullet"/>
      <w:lvlText w:val="o"/>
      <w:lvlJc w:val="left"/>
      <w:pPr>
        <w:ind w:left="360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5" w:tplc="1214FCCA">
      <w:start w:val="1"/>
      <w:numFmt w:val="bullet"/>
      <w:lvlText w:val="▪"/>
      <w:lvlJc w:val="left"/>
      <w:pPr>
        <w:ind w:left="432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6" w:tplc="83083470">
      <w:start w:val="1"/>
      <w:numFmt w:val="bullet"/>
      <w:lvlText w:val="•"/>
      <w:lvlJc w:val="left"/>
      <w:pPr>
        <w:ind w:left="504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7" w:tplc="F952510E">
      <w:start w:val="1"/>
      <w:numFmt w:val="bullet"/>
      <w:lvlText w:val="o"/>
      <w:lvlJc w:val="left"/>
      <w:pPr>
        <w:ind w:left="576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8" w:tplc="ED985E0A">
      <w:start w:val="1"/>
      <w:numFmt w:val="bullet"/>
      <w:lvlText w:val="▪"/>
      <w:lvlJc w:val="left"/>
      <w:pPr>
        <w:ind w:left="648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nsid w:val="1FA12E49"/>
    <w:multiLevelType w:val="hybridMultilevel"/>
    <w:tmpl w:val="D4EE690E"/>
    <w:styleLink w:val="ImportedStyle4"/>
    <w:lvl w:ilvl="0" w:tplc="B74C88A4">
      <w:start w:val="1"/>
      <w:numFmt w:val="lowerLetter"/>
      <w:lvlText w:val="%1."/>
      <w:lvlJc w:val="left"/>
      <w:pPr>
        <w:ind w:left="720" w:hanging="360"/>
      </w:pPr>
      <w:rPr>
        <w:rFonts w:hAnsi="Arial Unicode MS"/>
        <w:b/>
        <w:bCs/>
        <w:i/>
        <w:iCs/>
        <w:caps w:val="0"/>
        <w:smallCaps w:val="0"/>
        <w:strike w:val="0"/>
        <w:dstrike w:val="0"/>
        <w:outline w:val="0"/>
        <w:emboss w:val="0"/>
        <w:imprint w:val="0"/>
        <w:spacing w:val="0"/>
        <w:w w:val="100"/>
        <w:kern w:val="0"/>
        <w:position w:val="0"/>
        <w:highlight w:val="none"/>
        <w:vertAlign w:val="baseline"/>
      </w:rPr>
    </w:lvl>
    <w:lvl w:ilvl="1" w:tplc="848A34A0">
      <w:start w:val="1"/>
      <w:numFmt w:val="lowerLetter"/>
      <w:lvlText w:val="%2."/>
      <w:lvlJc w:val="left"/>
      <w:pPr>
        <w:ind w:left="1440" w:hanging="360"/>
      </w:pPr>
      <w:rPr>
        <w:rFonts w:hAnsi="Arial Unicode MS"/>
        <w:b/>
        <w:bCs/>
        <w:i/>
        <w:iCs/>
        <w:caps w:val="0"/>
        <w:smallCaps w:val="0"/>
        <w:strike w:val="0"/>
        <w:dstrike w:val="0"/>
        <w:outline w:val="0"/>
        <w:emboss w:val="0"/>
        <w:imprint w:val="0"/>
        <w:spacing w:val="0"/>
        <w:w w:val="100"/>
        <w:kern w:val="0"/>
        <w:position w:val="0"/>
        <w:highlight w:val="none"/>
        <w:vertAlign w:val="baseline"/>
      </w:rPr>
    </w:lvl>
    <w:lvl w:ilvl="2" w:tplc="4E00D468">
      <w:start w:val="1"/>
      <w:numFmt w:val="lowerRoman"/>
      <w:lvlText w:val="%3."/>
      <w:lvlJc w:val="left"/>
      <w:pPr>
        <w:ind w:left="2160" w:hanging="295"/>
      </w:pPr>
      <w:rPr>
        <w:rFonts w:hAnsi="Arial Unicode MS"/>
        <w:b/>
        <w:bCs/>
        <w:i/>
        <w:iCs/>
        <w:caps w:val="0"/>
        <w:smallCaps w:val="0"/>
        <w:strike w:val="0"/>
        <w:dstrike w:val="0"/>
        <w:outline w:val="0"/>
        <w:emboss w:val="0"/>
        <w:imprint w:val="0"/>
        <w:spacing w:val="0"/>
        <w:w w:val="100"/>
        <w:kern w:val="0"/>
        <w:position w:val="0"/>
        <w:highlight w:val="none"/>
        <w:vertAlign w:val="baseline"/>
      </w:rPr>
    </w:lvl>
    <w:lvl w:ilvl="3" w:tplc="264214D0">
      <w:start w:val="1"/>
      <w:numFmt w:val="decimal"/>
      <w:lvlText w:val="%4."/>
      <w:lvlJc w:val="left"/>
      <w:pPr>
        <w:ind w:left="2880" w:hanging="360"/>
      </w:pPr>
      <w:rPr>
        <w:rFonts w:hAnsi="Arial Unicode MS"/>
        <w:b/>
        <w:bCs/>
        <w:i/>
        <w:iCs/>
        <w:caps w:val="0"/>
        <w:smallCaps w:val="0"/>
        <w:strike w:val="0"/>
        <w:dstrike w:val="0"/>
        <w:outline w:val="0"/>
        <w:emboss w:val="0"/>
        <w:imprint w:val="0"/>
        <w:spacing w:val="0"/>
        <w:w w:val="100"/>
        <w:kern w:val="0"/>
        <w:position w:val="0"/>
        <w:highlight w:val="none"/>
        <w:vertAlign w:val="baseline"/>
      </w:rPr>
    </w:lvl>
    <w:lvl w:ilvl="4" w:tplc="D5C8EE34">
      <w:start w:val="1"/>
      <w:numFmt w:val="lowerLetter"/>
      <w:lvlText w:val="%5."/>
      <w:lvlJc w:val="left"/>
      <w:pPr>
        <w:ind w:left="3600" w:hanging="360"/>
      </w:pPr>
      <w:rPr>
        <w:rFonts w:hAnsi="Arial Unicode MS"/>
        <w:b/>
        <w:bCs/>
        <w:i/>
        <w:iCs/>
        <w:caps w:val="0"/>
        <w:smallCaps w:val="0"/>
        <w:strike w:val="0"/>
        <w:dstrike w:val="0"/>
        <w:outline w:val="0"/>
        <w:emboss w:val="0"/>
        <w:imprint w:val="0"/>
        <w:spacing w:val="0"/>
        <w:w w:val="100"/>
        <w:kern w:val="0"/>
        <w:position w:val="0"/>
        <w:highlight w:val="none"/>
        <w:vertAlign w:val="baseline"/>
      </w:rPr>
    </w:lvl>
    <w:lvl w:ilvl="5" w:tplc="E6D87252">
      <w:start w:val="1"/>
      <w:numFmt w:val="lowerRoman"/>
      <w:lvlText w:val="%6."/>
      <w:lvlJc w:val="left"/>
      <w:pPr>
        <w:ind w:left="4320" w:hanging="295"/>
      </w:pPr>
      <w:rPr>
        <w:rFonts w:hAnsi="Arial Unicode MS"/>
        <w:b/>
        <w:bCs/>
        <w:i/>
        <w:iCs/>
        <w:caps w:val="0"/>
        <w:smallCaps w:val="0"/>
        <w:strike w:val="0"/>
        <w:dstrike w:val="0"/>
        <w:outline w:val="0"/>
        <w:emboss w:val="0"/>
        <w:imprint w:val="0"/>
        <w:spacing w:val="0"/>
        <w:w w:val="100"/>
        <w:kern w:val="0"/>
        <w:position w:val="0"/>
        <w:highlight w:val="none"/>
        <w:vertAlign w:val="baseline"/>
      </w:rPr>
    </w:lvl>
    <w:lvl w:ilvl="6" w:tplc="22FA4990">
      <w:start w:val="1"/>
      <w:numFmt w:val="decimal"/>
      <w:lvlText w:val="%7."/>
      <w:lvlJc w:val="left"/>
      <w:pPr>
        <w:ind w:left="5040" w:hanging="360"/>
      </w:pPr>
      <w:rPr>
        <w:rFonts w:hAnsi="Arial Unicode MS"/>
        <w:b/>
        <w:bCs/>
        <w:i/>
        <w:iCs/>
        <w:caps w:val="0"/>
        <w:smallCaps w:val="0"/>
        <w:strike w:val="0"/>
        <w:dstrike w:val="0"/>
        <w:outline w:val="0"/>
        <w:emboss w:val="0"/>
        <w:imprint w:val="0"/>
        <w:spacing w:val="0"/>
        <w:w w:val="100"/>
        <w:kern w:val="0"/>
        <w:position w:val="0"/>
        <w:highlight w:val="none"/>
        <w:vertAlign w:val="baseline"/>
      </w:rPr>
    </w:lvl>
    <w:lvl w:ilvl="7" w:tplc="B0869F86">
      <w:start w:val="1"/>
      <w:numFmt w:val="lowerLetter"/>
      <w:lvlText w:val="%8."/>
      <w:lvlJc w:val="left"/>
      <w:pPr>
        <w:ind w:left="5760" w:hanging="360"/>
      </w:pPr>
      <w:rPr>
        <w:rFonts w:hAnsi="Arial Unicode MS"/>
        <w:b/>
        <w:bCs/>
        <w:i/>
        <w:iCs/>
        <w:caps w:val="0"/>
        <w:smallCaps w:val="0"/>
        <w:strike w:val="0"/>
        <w:dstrike w:val="0"/>
        <w:outline w:val="0"/>
        <w:emboss w:val="0"/>
        <w:imprint w:val="0"/>
        <w:spacing w:val="0"/>
        <w:w w:val="100"/>
        <w:kern w:val="0"/>
        <w:position w:val="0"/>
        <w:highlight w:val="none"/>
        <w:vertAlign w:val="baseline"/>
      </w:rPr>
    </w:lvl>
    <w:lvl w:ilvl="8" w:tplc="5890F020">
      <w:start w:val="1"/>
      <w:numFmt w:val="lowerRoman"/>
      <w:lvlText w:val="%9."/>
      <w:lvlJc w:val="left"/>
      <w:pPr>
        <w:ind w:left="6480" w:hanging="295"/>
      </w:pPr>
      <w:rPr>
        <w:rFonts w:hAnsi="Arial Unicode MS"/>
        <w:b/>
        <w:bCs/>
        <w:i/>
        <w:iCs/>
        <w:caps w:val="0"/>
        <w:smallCaps w:val="0"/>
        <w:strike w:val="0"/>
        <w:dstrike w:val="0"/>
        <w:outline w:val="0"/>
        <w:emboss w:val="0"/>
        <w:imprint w:val="0"/>
        <w:spacing w:val="0"/>
        <w:w w:val="100"/>
        <w:kern w:val="0"/>
        <w:position w:val="0"/>
        <w:highlight w:val="none"/>
        <w:vertAlign w:val="baseline"/>
      </w:rPr>
    </w:lvl>
  </w:abstractNum>
  <w:abstractNum w:abstractNumId="6">
    <w:nsid w:val="1FED02B9"/>
    <w:multiLevelType w:val="hybridMultilevel"/>
    <w:tmpl w:val="512ED7CC"/>
    <w:numStyleLink w:val="ImportedStyle3"/>
  </w:abstractNum>
  <w:abstractNum w:abstractNumId="7">
    <w:nsid w:val="239B2ACE"/>
    <w:multiLevelType w:val="hybridMultilevel"/>
    <w:tmpl w:val="AB347A02"/>
    <w:styleLink w:val="ImportedStyle7"/>
    <w:lvl w:ilvl="0" w:tplc="03AE87E2">
      <w:start w:val="1"/>
      <w:numFmt w:val="bullet"/>
      <w:lvlText w:val="•"/>
      <w:lvlJc w:val="left"/>
      <w:pPr>
        <w:ind w:left="709" w:hanging="709"/>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674CA32">
      <w:start w:val="1"/>
      <w:numFmt w:val="bullet"/>
      <w:lvlText w:val="o"/>
      <w:lvlJc w:val="left"/>
      <w:pPr>
        <w:ind w:left="1429" w:hanging="709"/>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E7224F0">
      <w:start w:val="1"/>
      <w:numFmt w:val="bullet"/>
      <w:lvlText w:val="▪"/>
      <w:lvlJc w:val="left"/>
      <w:pPr>
        <w:ind w:left="2149" w:hanging="709"/>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9B0C4EA">
      <w:start w:val="1"/>
      <w:numFmt w:val="bullet"/>
      <w:lvlText w:val="•"/>
      <w:lvlJc w:val="left"/>
      <w:pPr>
        <w:ind w:left="2869" w:hanging="709"/>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F7C04A4">
      <w:start w:val="1"/>
      <w:numFmt w:val="bullet"/>
      <w:lvlText w:val="o"/>
      <w:lvlJc w:val="left"/>
      <w:pPr>
        <w:ind w:left="3589" w:hanging="709"/>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46A0EE2">
      <w:start w:val="1"/>
      <w:numFmt w:val="bullet"/>
      <w:lvlText w:val="▪"/>
      <w:lvlJc w:val="left"/>
      <w:pPr>
        <w:ind w:left="4309" w:hanging="709"/>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F1EE2C2">
      <w:start w:val="1"/>
      <w:numFmt w:val="bullet"/>
      <w:lvlText w:val="•"/>
      <w:lvlJc w:val="left"/>
      <w:pPr>
        <w:ind w:left="5029" w:hanging="709"/>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47A09F4">
      <w:start w:val="1"/>
      <w:numFmt w:val="bullet"/>
      <w:lvlText w:val="o"/>
      <w:lvlJc w:val="left"/>
      <w:pPr>
        <w:ind w:left="5749" w:hanging="709"/>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1780FB8E">
      <w:start w:val="1"/>
      <w:numFmt w:val="bullet"/>
      <w:lvlText w:val="▪"/>
      <w:lvlJc w:val="left"/>
      <w:pPr>
        <w:ind w:left="6469" w:hanging="709"/>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nsid w:val="28F61A2C"/>
    <w:multiLevelType w:val="hybridMultilevel"/>
    <w:tmpl w:val="63D095C6"/>
    <w:styleLink w:val="ImportedStyle5"/>
    <w:lvl w:ilvl="0" w:tplc="4C90C442">
      <w:start w:val="1"/>
      <w:numFmt w:val="bullet"/>
      <w:lvlText w:val="•"/>
      <w:lvlJc w:val="left"/>
      <w:pPr>
        <w:ind w:left="714"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F4EECEE">
      <w:start w:val="1"/>
      <w:numFmt w:val="bullet"/>
      <w:lvlText w:val="o"/>
      <w:lvlJc w:val="left"/>
      <w:pPr>
        <w:ind w:left="143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00028300">
      <w:start w:val="1"/>
      <w:numFmt w:val="bullet"/>
      <w:lvlText w:val="▪"/>
      <w:lvlJc w:val="left"/>
      <w:pPr>
        <w:ind w:left="215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688789A">
      <w:start w:val="1"/>
      <w:numFmt w:val="bullet"/>
      <w:lvlText w:val="•"/>
      <w:lvlJc w:val="left"/>
      <w:pPr>
        <w:ind w:left="2874"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CAA7CD8">
      <w:start w:val="1"/>
      <w:numFmt w:val="bullet"/>
      <w:lvlText w:val="o"/>
      <w:lvlJc w:val="left"/>
      <w:pPr>
        <w:ind w:left="359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85ABA72">
      <w:start w:val="1"/>
      <w:numFmt w:val="bullet"/>
      <w:lvlText w:val="▪"/>
      <w:lvlJc w:val="left"/>
      <w:pPr>
        <w:ind w:left="431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C76170C">
      <w:start w:val="1"/>
      <w:numFmt w:val="bullet"/>
      <w:lvlText w:val="•"/>
      <w:lvlJc w:val="left"/>
      <w:pPr>
        <w:ind w:left="5034"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DDAA2EA">
      <w:start w:val="1"/>
      <w:numFmt w:val="bullet"/>
      <w:lvlText w:val="o"/>
      <w:lvlJc w:val="left"/>
      <w:pPr>
        <w:ind w:left="575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85ACAF78">
      <w:start w:val="1"/>
      <w:numFmt w:val="bullet"/>
      <w:lvlText w:val="▪"/>
      <w:lvlJc w:val="left"/>
      <w:pPr>
        <w:ind w:left="647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nsid w:val="2CC6733E"/>
    <w:multiLevelType w:val="hybridMultilevel"/>
    <w:tmpl w:val="AAC832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375906B7"/>
    <w:multiLevelType w:val="hybridMultilevel"/>
    <w:tmpl w:val="A4000EF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nsid w:val="3A39589C"/>
    <w:multiLevelType w:val="hybridMultilevel"/>
    <w:tmpl w:val="F098B28A"/>
    <w:numStyleLink w:val="ImportedStyle1"/>
  </w:abstractNum>
  <w:abstractNum w:abstractNumId="12">
    <w:nsid w:val="41F807A5"/>
    <w:multiLevelType w:val="hybridMultilevel"/>
    <w:tmpl w:val="FA86A2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45A03F39"/>
    <w:multiLevelType w:val="hybridMultilevel"/>
    <w:tmpl w:val="555C073E"/>
    <w:styleLink w:val="ImportedStyle6"/>
    <w:lvl w:ilvl="0" w:tplc="2472745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4C5254A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2AA226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672ED5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D23839F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5D4A69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DA14F4A4">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3123F4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934F61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4">
    <w:nsid w:val="488D7A49"/>
    <w:multiLevelType w:val="hybridMultilevel"/>
    <w:tmpl w:val="5EB84A5E"/>
    <w:numStyleLink w:val="ImportedStyle2"/>
  </w:abstractNum>
  <w:abstractNum w:abstractNumId="15">
    <w:nsid w:val="59D8097D"/>
    <w:multiLevelType w:val="hybridMultilevel"/>
    <w:tmpl w:val="5FF00B92"/>
    <w:lvl w:ilvl="0" w:tplc="08090001">
      <w:start w:val="1"/>
      <w:numFmt w:val="bullet"/>
      <w:lvlText w:val=""/>
      <w:lvlJc w:val="left"/>
      <w:pPr>
        <w:ind w:left="714" w:hanging="357"/>
      </w:pPr>
      <w:rPr>
        <w:rFonts w:ascii="Symbol" w:hAnsi="Symbol" w:hint="default"/>
        <w:b w:val="0"/>
        <w:bCs w:val="0"/>
        <w:i w:val="0"/>
        <w:iCs w:val="0"/>
        <w:caps w:val="0"/>
        <w:smallCaps w:val="0"/>
        <w:strike w:val="0"/>
        <w:dstrike w:val="0"/>
        <w:outline w:val="0"/>
        <w:emboss w:val="0"/>
        <w:imprint w:val="0"/>
        <w:spacing w:val="0"/>
        <w:w w:val="100"/>
        <w:kern w:val="0"/>
        <w:position w:val="0"/>
        <w:highlight w:val="none"/>
        <w:vertAlign w:val="baseline"/>
      </w:rPr>
    </w:lvl>
    <w:lvl w:ilvl="1" w:tplc="722EEDF4">
      <w:start w:val="1"/>
      <w:numFmt w:val="bullet"/>
      <w:lvlText w:val="o"/>
      <w:lvlJc w:val="left"/>
      <w:pPr>
        <w:ind w:left="143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7AABD84">
      <w:start w:val="1"/>
      <w:numFmt w:val="bullet"/>
      <w:lvlText w:val="▪"/>
      <w:lvlJc w:val="left"/>
      <w:pPr>
        <w:ind w:left="215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AC2D53C">
      <w:start w:val="1"/>
      <w:numFmt w:val="bullet"/>
      <w:lvlText w:val="•"/>
      <w:lvlJc w:val="left"/>
      <w:pPr>
        <w:ind w:left="2874"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9901A46">
      <w:start w:val="1"/>
      <w:numFmt w:val="bullet"/>
      <w:lvlText w:val="o"/>
      <w:lvlJc w:val="left"/>
      <w:pPr>
        <w:ind w:left="359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EC07B08">
      <w:start w:val="1"/>
      <w:numFmt w:val="bullet"/>
      <w:lvlText w:val="▪"/>
      <w:lvlJc w:val="left"/>
      <w:pPr>
        <w:ind w:left="431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806B3F8">
      <w:start w:val="1"/>
      <w:numFmt w:val="bullet"/>
      <w:lvlText w:val="•"/>
      <w:lvlJc w:val="left"/>
      <w:pPr>
        <w:ind w:left="5034"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B229D48">
      <w:start w:val="1"/>
      <w:numFmt w:val="bullet"/>
      <w:lvlText w:val="o"/>
      <w:lvlJc w:val="left"/>
      <w:pPr>
        <w:ind w:left="575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5169100">
      <w:start w:val="1"/>
      <w:numFmt w:val="bullet"/>
      <w:lvlText w:val="▪"/>
      <w:lvlJc w:val="left"/>
      <w:pPr>
        <w:ind w:left="647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6">
    <w:nsid w:val="601A2303"/>
    <w:multiLevelType w:val="hybridMultilevel"/>
    <w:tmpl w:val="63D095C6"/>
    <w:numStyleLink w:val="ImportedStyle5"/>
  </w:abstractNum>
  <w:abstractNum w:abstractNumId="17">
    <w:nsid w:val="64513C6F"/>
    <w:multiLevelType w:val="hybridMultilevel"/>
    <w:tmpl w:val="512ED7CC"/>
    <w:styleLink w:val="ImportedStyle3"/>
    <w:lvl w:ilvl="0" w:tplc="6A3882E8">
      <w:start w:val="1"/>
      <w:numFmt w:val="lowerLetter"/>
      <w:lvlText w:val="%1."/>
      <w:lvlJc w:val="left"/>
      <w:pPr>
        <w:ind w:left="720" w:hanging="360"/>
      </w:pPr>
      <w:rPr>
        <w:rFonts w:hAnsi="Arial Unicode MS"/>
        <w:b/>
        <w:bCs/>
        <w:i/>
        <w:iCs/>
        <w:caps w:val="0"/>
        <w:smallCaps w:val="0"/>
        <w:strike w:val="0"/>
        <w:dstrike w:val="0"/>
        <w:outline w:val="0"/>
        <w:emboss w:val="0"/>
        <w:imprint w:val="0"/>
        <w:spacing w:val="0"/>
        <w:w w:val="100"/>
        <w:kern w:val="0"/>
        <w:position w:val="0"/>
        <w:highlight w:val="none"/>
        <w:vertAlign w:val="baseline"/>
      </w:rPr>
    </w:lvl>
    <w:lvl w:ilvl="1" w:tplc="A8185020">
      <w:start w:val="1"/>
      <w:numFmt w:val="lowerLetter"/>
      <w:lvlText w:val="%2."/>
      <w:lvlJc w:val="left"/>
      <w:pPr>
        <w:ind w:left="1440" w:hanging="360"/>
      </w:pPr>
      <w:rPr>
        <w:rFonts w:hAnsi="Arial Unicode MS"/>
        <w:b/>
        <w:bCs/>
        <w:i/>
        <w:iCs/>
        <w:caps w:val="0"/>
        <w:smallCaps w:val="0"/>
        <w:strike w:val="0"/>
        <w:dstrike w:val="0"/>
        <w:outline w:val="0"/>
        <w:emboss w:val="0"/>
        <w:imprint w:val="0"/>
        <w:spacing w:val="0"/>
        <w:w w:val="100"/>
        <w:kern w:val="0"/>
        <w:position w:val="0"/>
        <w:highlight w:val="none"/>
        <w:vertAlign w:val="baseline"/>
      </w:rPr>
    </w:lvl>
    <w:lvl w:ilvl="2" w:tplc="4E8477CE">
      <w:start w:val="1"/>
      <w:numFmt w:val="decimal"/>
      <w:lvlText w:val="%3."/>
      <w:lvlJc w:val="left"/>
      <w:pPr>
        <w:ind w:left="2160" w:hanging="180"/>
      </w:pPr>
      <w:rPr>
        <w:rFonts w:hAnsi="Arial Unicode MS"/>
        <w:b/>
        <w:bCs/>
        <w:i/>
        <w:iCs/>
        <w:caps w:val="0"/>
        <w:smallCaps w:val="0"/>
        <w:strike w:val="0"/>
        <w:dstrike w:val="0"/>
        <w:outline w:val="0"/>
        <w:emboss w:val="0"/>
        <w:imprint w:val="0"/>
        <w:spacing w:val="0"/>
        <w:w w:val="100"/>
        <w:kern w:val="0"/>
        <w:position w:val="0"/>
        <w:highlight w:val="none"/>
        <w:vertAlign w:val="baseline"/>
      </w:rPr>
    </w:lvl>
    <w:lvl w:ilvl="3" w:tplc="AD1203DC">
      <w:start w:val="1"/>
      <w:numFmt w:val="decimal"/>
      <w:lvlText w:val="%4."/>
      <w:lvlJc w:val="left"/>
      <w:pPr>
        <w:ind w:left="2880" w:hanging="360"/>
      </w:pPr>
      <w:rPr>
        <w:rFonts w:hAnsi="Arial Unicode MS"/>
        <w:b/>
        <w:bCs/>
        <w:i/>
        <w:iCs/>
        <w:caps w:val="0"/>
        <w:smallCaps w:val="0"/>
        <w:strike w:val="0"/>
        <w:dstrike w:val="0"/>
        <w:outline w:val="0"/>
        <w:emboss w:val="0"/>
        <w:imprint w:val="0"/>
        <w:spacing w:val="0"/>
        <w:w w:val="100"/>
        <w:kern w:val="0"/>
        <w:position w:val="0"/>
        <w:highlight w:val="none"/>
        <w:vertAlign w:val="baseline"/>
      </w:rPr>
    </w:lvl>
    <w:lvl w:ilvl="4" w:tplc="7780FAF6">
      <w:start w:val="1"/>
      <w:numFmt w:val="lowerLetter"/>
      <w:lvlText w:val="%5."/>
      <w:lvlJc w:val="left"/>
      <w:pPr>
        <w:ind w:left="3600" w:hanging="360"/>
      </w:pPr>
      <w:rPr>
        <w:rFonts w:hAnsi="Arial Unicode MS"/>
        <w:b/>
        <w:bCs/>
        <w:i/>
        <w:iCs/>
        <w:caps w:val="0"/>
        <w:smallCaps w:val="0"/>
        <w:strike w:val="0"/>
        <w:dstrike w:val="0"/>
        <w:outline w:val="0"/>
        <w:emboss w:val="0"/>
        <w:imprint w:val="0"/>
        <w:spacing w:val="0"/>
        <w:w w:val="100"/>
        <w:kern w:val="0"/>
        <w:position w:val="0"/>
        <w:highlight w:val="none"/>
        <w:vertAlign w:val="baseline"/>
      </w:rPr>
    </w:lvl>
    <w:lvl w:ilvl="5" w:tplc="6DC808BE">
      <w:start w:val="1"/>
      <w:numFmt w:val="lowerRoman"/>
      <w:lvlText w:val="%6."/>
      <w:lvlJc w:val="left"/>
      <w:pPr>
        <w:ind w:left="4320" w:hanging="295"/>
      </w:pPr>
      <w:rPr>
        <w:rFonts w:hAnsi="Arial Unicode MS"/>
        <w:b/>
        <w:bCs/>
        <w:i/>
        <w:iCs/>
        <w:caps w:val="0"/>
        <w:smallCaps w:val="0"/>
        <w:strike w:val="0"/>
        <w:dstrike w:val="0"/>
        <w:outline w:val="0"/>
        <w:emboss w:val="0"/>
        <w:imprint w:val="0"/>
        <w:spacing w:val="0"/>
        <w:w w:val="100"/>
        <w:kern w:val="0"/>
        <w:position w:val="0"/>
        <w:highlight w:val="none"/>
        <w:vertAlign w:val="baseline"/>
      </w:rPr>
    </w:lvl>
    <w:lvl w:ilvl="6" w:tplc="A926A376">
      <w:start w:val="1"/>
      <w:numFmt w:val="decimal"/>
      <w:lvlText w:val="%7."/>
      <w:lvlJc w:val="left"/>
      <w:pPr>
        <w:ind w:left="5040" w:hanging="360"/>
      </w:pPr>
      <w:rPr>
        <w:rFonts w:hAnsi="Arial Unicode MS"/>
        <w:b/>
        <w:bCs/>
        <w:i/>
        <w:iCs/>
        <w:caps w:val="0"/>
        <w:smallCaps w:val="0"/>
        <w:strike w:val="0"/>
        <w:dstrike w:val="0"/>
        <w:outline w:val="0"/>
        <w:emboss w:val="0"/>
        <w:imprint w:val="0"/>
        <w:spacing w:val="0"/>
        <w:w w:val="100"/>
        <w:kern w:val="0"/>
        <w:position w:val="0"/>
        <w:highlight w:val="none"/>
        <w:vertAlign w:val="baseline"/>
      </w:rPr>
    </w:lvl>
    <w:lvl w:ilvl="7" w:tplc="75B053D4">
      <w:start w:val="1"/>
      <w:numFmt w:val="lowerLetter"/>
      <w:lvlText w:val="%8."/>
      <w:lvlJc w:val="left"/>
      <w:pPr>
        <w:ind w:left="5760" w:hanging="360"/>
      </w:pPr>
      <w:rPr>
        <w:rFonts w:hAnsi="Arial Unicode MS"/>
        <w:b/>
        <w:bCs/>
        <w:i/>
        <w:iCs/>
        <w:caps w:val="0"/>
        <w:smallCaps w:val="0"/>
        <w:strike w:val="0"/>
        <w:dstrike w:val="0"/>
        <w:outline w:val="0"/>
        <w:emboss w:val="0"/>
        <w:imprint w:val="0"/>
        <w:spacing w:val="0"/>
        <w:w w:val="100"/>
        <w:kern w:val="0"/>
        <w:position w:val="0"/>
        <w:highlight w:val="none"/>
        <w:vertAlign w:val="baseline"/>
      </w:rPr>
    </w:lvl>
    <w:lvl w:ilvl="8" w:tplc="71E85BA4">
      <w:start w:val="1"/>
      <w:numFmt w:val="lowerRoman"/>
      <w:lvlText w:val="%9."/>
      <w:lvlJc w:val="left"/>
      <w:pPr>
        <w:ind w:left="6480" w:hanging="295"/>
      </w:pPr>
      <w:rPr>
        <w:rFonts w:hAnsi="Arial Unicode MS"/>
        <w:b/>
        <w:bCs/>
        <w:i/>
        <w:iCs/>
        <w:caps w:val="0"/>
        <w:smallCaps w:val="0"/>
        <w:strike w:val="0"/>
        <w:dstrike w:val="0"/>
        <w:outline w:val="0"/>
        <w:emboss w:val="0"/>
        <w:imprint w:val="0"/>
        <w:spacing w:val="0"/>
        <w:w w:val="100"/>
        <w:kern w:val="0"/>
        <w:position w:val="0"/>
        <w:highlight w:val="none"/>
        <w:vertAlign w:val="baseline"/>
      </w:rPr>
    </w:lvl>
  </w:abstractNum>
  <w:abstractNum w:abstractNumId="18">
    <w:nsid w:val="69DA14B1"/>
    <w:multiLevelType w:val="hybridMultilevel"/>
    <w:tmpl w:val="E1E48030"/>
    <w:lvl w:ilvl="0" w:tplc="08090001">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1"/>
  </w:num>
  <w:num w:numId="2">
    <w:abstractNumId w:val="11"/>
  </w:num>
  <w:num w:numId="3">
    <w:abstractNumId w:val="4"/>
  </w:num>
  <w:num w:numId="4">
    <w:abstractNumId w:val="14"/>
  </w:num>
  <w:num w:numId="5">
    <w:abstractNumId w:val="11"/>
    <w:lvlOverride w:ilvl="0">
      <w:startOverride w:val="2"/>
    </w:lvlOverride>
  </w:num>
  <w:num w:numId="6">
    <w:abstractNumId w:val="17"/>
  </w:num>
  <w:num w:numId="7">
    <w:abstractNumId w:val="6"/>
  </w:num>
  <w:num w:numId="8">
    <w:abstractNumId w:val="11"/>
    <w:lvlOverride w:ilvl="0">
      <w:startOverride w:val="4"/>
    </w:lvlOverride>
  </w:num>
  <w:num w:numId="9">
    <w:abstractNumId w:val="5"/>
  </w:num>
  <w:num w:numId="10">
    <w:abstractNumId w:val="2"/>
  </w:num>
  <w:num w:numId="11">
    <w:abstractNumId w:val="8"/>
  </w:num>
  <w:num w:numId="12">
    <w:abstractNumId w:val="16"/>
  </w:num>
  <w:num w:numId="13">
    <w:abstractNumId w:val="11"/>
    <w:lvlOverride w:ilvl="0">
      <w:startOverride w:val="5"/>
    </w:lvlOverride>
  </w:num>
  <w:num w:numId="14">
    <w:abstractNumId w:val="13"/>
  </w:num>
  <w:num w:numId="15">
    <w:abstractNumId w:val="0"/>
  </w:num>
  <w:num w:numId="16">
    <w:abstractNumId w:val="7"/>
  </w:num>
  <w:num w:numId="17">
    <w:abstractNumId w:val="3"/>
  </w:num>
  <w:num w:numId="18">
    <w:abstractNumId w:val="15"/>
  </w:num>
  <w:num w:numId="19">
    <w:abstractNumId w:val="18"/>
  </w:num>
  <w:num w:numId="20">
    <w:abstractNumId w:val="10"/>
  </w:num>
  <w:num w:numId="21">
    <w:abstractNumId w:val="9"/>
  </w:num>
  <w:num w:numId="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hideSpellingErrors/>
  <w:hideGrammaticalErrors/>
  <w:defaultTabStop w:val="720"/>
  <w:characterSpacingControl w:val="doNotCompress"/>
  <w:footnotePr>
    <w:footnote w:id="-1"/>
    <w:footnote w:id="0"/>
    <w:footnote w:id="1"/>
  </w:footnotePr>
  <w:endnotePr>
    <w:endnote w:id="-1"/>
    <w:endnote w:id="0"/>
  </w:endnotePr>
  <w:compat>
    <w:useFELayout/>
    <w:compatSetting w:name="compatibilityMode" w:uri="http://schemas.microsoft.com/office/word" w:val="14"/>
  </w:compat>
  <w:docVars>
    <w:docVar w:name="COVERPAGE_EXISTS" w:val="True"/>
    <w:docVar w:name="DocStatus" w:val="Green"/>
    <w:docVar w:name="LW_CONFIDENCE" w:val=" "/>
    <w:docVar w:name="LW_CONST_RESTREINT_UE" w:val="RESTREINT UE"/>
    <w:docVar w:name="LW_CORRIGENDUM" w:val="&lt;UNUSED&gt;"/>
    <w:docVar w:name="LW_COVERPAGE_GUID" w:val="E4E61A6F31294812839D3CDA1CC43F1B"/>
    <w:docVar w:name="LW_CROSSREFERENCE" w:val="&lt;UNUSED&gt;"/>
    <w:docVar w:name="LW_DocType" w:val="NORMAL"/>
    <w:docVar w:name="LW_EMISSION" w:val="7.6.2017"/>
    <w:docVar w:name="LW_EMISSION_ISODATE" w:val="2017-06-07"/>
    <w:docVar w:name="LW_EMISSION_LOCATION" w:val="BRX"/>
    <w:docVar w:name="LW_EMISSION_PREFIX" w:val="Bruxelles, "/>
    <w:docVar w:name="LW_EMISSION_SUFFIX" w:val=" "/>
    <w:docVar w:name="LW_ID_DOCTYPE_NONLW" w:val="CP-014"/>
    <w:docVar w:name="LW_LANGUE" w:val="RO"/>
    <w:docVar w:name="LW_MARKING" w:val="&lt;UNUSED&g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17) 295"/>
    <w:docVar w:name="LW_REF.INTERNE" w:val="&lt;UNUSED&gt;"/>
    <w:docVar w:name="LW_SOUS.TITRE.OBJ.CP" w:val="&lt;UNUSED&gt;"/>
    <w:docVar w:name="LW_SUPERTITRE" w:val="&lt;UNUSED&gt;"/>
    <w:docVar w:name="LW_TITRE.OBJ.CP" w:val="Lansarea Fondului european de ap\u259?rare"/>
    <w:docVar w:name="LW_TYPE.DOC.CP" w:val="COMUNICARE A COMISIEI C\u258?TRE PARLAMENTUL EUROPEAN, CONSILIU, COMITETUL ECONOMIC \u536?I SOCIAL EUROPEAN \u536?I COMITETUL REGIUNILOR"/>
    <w:docVar w:name="LW_TYPE.DOC.CP.USERTEXT" w:val="&lt;EMPTY&gt;"/>
  </w:docVars>
  <w:rsids>
    <w:rsidRoot w:val="006575F0"/>
    <w:rsid w:val="006575F0"/>
    <w:rsid w:val="00AD69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ro-RO" w:eastAsia="ro-RO" w:bidi="ro-RO"/>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FooterCoverPage">
    <w:name w:val="Footer Cover Page"/>
    <w:basedOn w:val="Normal"/>
    <w:pPr>
      <w:tabs>
        <w:tab w:val="center" w:pos="4535"/>
        <w:tab w:val="right" w:pos="9071"/>
        <w:tab w:val="right" w:pos="9921"/>
      </w:tabs>
      <w:spacing w:before="360"/>
      <w:ind w:left="-850" w:right="-850"/>
    </w:pPr>
    <w:rPr>
      <w:rFonts w:cs="Arial Unicode MS"/>
      <w:color w:val="000000"/>
      <w:u w:color="000000"/>
    </w:rPr>
  </w:style>
  <w:style w:type="paragraph" w:customStyle="1" w:styleId="Pagedecouverture">
    <w:name w:val="Page de couverture"/>
    <w:next w:val="Body"/>
    <w:link w:val="PagedecouvertureChar"/>
    <w:pPr>
      <w:jc w:val="both"/>
    </w:pPr>
    <w:rPr>
      <w:rFonts w:eastAsia="Times New Roman"/>
      <w:color w:val="000000"/>
      <w:sz w:val="24"/>
      <w:szCs w:val="24"/>
      <w:u w:color="000000"/>
    </w:rPr>
  </w:style>
  <w:style w:type="paragraph" w:customStyle="1" w:styleId="Body">
    <w:name w:val="Body"/>
    <w:pPr>
      <w:spacing w:after="200" w:line="276" w:lineRule="auto"/>
    </w:pPr>
    <w:rPr>
      <w:rFonts w:ascii="Calibri" w:eastAsia="Calibri" w:hAnsi="Calibri" w:cs="Calibri"/>
      <w:color w:val="000000"/>
      <w:sz w:val="22"/>
      <w:szCs w:val="22"/>
      <w:u w:color="000000"/>
    </w:rPr>
  </w:style>
  <w:style w:type="paragraph" w:styleId="Footer">
    <w:name w:val="footer"/>
    <w:pPr>
      <w:tabs>
        <w:tab w:val="center" w:pos="4536"/>
        <w:tab w:val="right" w:pos="9072"/>
      </w:tabs>
    </w:pPr>
    <w:rPr>
      <w:rFonts w:ascii="Calibri" w:eastAsia="Calibri" w:hAnsi="Calibri" w:cs="Calibri"/>
      <w:color w:val="000000"/>
      <w:sz w:val="22"/>
      <w:szCs w:val="22"/>
      <w:u w:color="000000"/>
    </w:rPr>
  </w:style>
  <w:style w:type="paragraph" w:styleId="FootnoteText">
    <w:name w:val="footnote text"/>
    <w:rPr>
      <w:rFonts w:ascii="Calibri" w:eastAsia="Calibri" w:hAnsi="Calibri" w:cs="Calibri"/>
      <w:color w:val="000000"/>
      <w:u w:color="000000"/>
    </w:rPr>
  </w:style>
  <w:style w:type="paragraph" w:styleId="ListParagraph">
    <w:name w:val="List Paragraph"/>
    <w:pPr>
      <w:spacing w:after="200" w:line="276" w:lineRule="auto"/>
      <w:ind w:left="720"/>
    </w:pPr>
    <w:rPr>
      <w:rFonts w:ascii="Calibri" w:eastAsia="Calibri" w:hAnsi="Calibri" w:cs="Calibri"/>
      <w:color w:val="000000"/>
      <w:sz w:val="22"/>
      <w:szCs w:val="22"/>
      <w:u w:color="000000"/>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paragraph" w:customStyle="1" w:styleId="Default">
    <w:name w:val="Default"/>
    <w:rPr>
      <w:rFonts w:ascii="Helvetica" w:eastAsia="Helvetica" w:hAnsi="Helvetica" w:cs="Helvetica"/>
      <w:color w:val="000000"/>
      <w:sz w:val="22"/>
      <w:szCs w:val="22"/>
    </w:rPr>
  </w:style>
  <w:style w:type="numbering" w:customStyle="1" w:styleId="ImportedStyle3">
    <w:name w:val="Imported Style 3"/>
    <w:pPr>
      <w:numPr>
        <w:numId w:val="6"/>
      </w:numPr>
    </w:pPr>
  </w:style>
  <w:style w:type="numbering" w:customStyle="1" w:styleId="ImportedStyle4">
    <w:name w:val="Imported Style 4"/>
    <w:pPr>
      <w:numPr>
        <w:numId w:val="9"/>
      </w:numPr>
    </w:pPr>
  </w:style>
  <w:style w:type="numbering" w:customStyle="1" w:styleId="ImportedStyle5">
    <w:name w:val="Imported Style 5"/>
    <w:pPr>
      <w:numPr>
        <w:numId w:val="11"/>
      </w:numPr>
    </w:pPr>
  </w:style>
  <w:style w:type="character" w:styleId="FootnoteReference">
    <w:name w:val="footnote reference"/>
    <w:rPr>
      <w:vertAlign w:val="superscript"/>
    </w:rPr>
  </w:style>
  <w:style w:type="numbering" w:customStyle="1" w:styleId="ImportedStyle6">
    <w:name w:val="Imported Style 6"/>
    <w:pPr>
      <w:numPr>
        <w:numId w:val="14"/>
      </w:numPr>
    </w:pPr>
  </w:style>
  <w:style w:type="character" w:customStyle="1" w:styleId="Link">
    <w:name w:val="Link"/>
    <w:rPr>
      <w:color w:val="0000FF"/>
      <w:u w:val="single" w:color="0000FF"/>
    </w:rPr>
  </w:style>
  <w:style w:type="character" w:customStyle="1" w:styleId="Hyperlink0">
    <w:name w:val="Hyperlink.0"/>
    <w:basedOn w:val="Link"/>
    <w:rPr>
      <w:rFonts w:ascii="Times New Roman" w:eastAsia="Times New Roman" w:hAnsi="Times New Roman" w:cs="Times New Roman"/>
      <w:color w:val="0000FF"/>
      <w:u w:val="single" w:color="0000FF"/>
    </w:rPr>
  </w:style>
  <w:style w:type="numbering" w:customStyle="1" w:styleId="ImportedStyle7">
    <w:name w:val="Imported Style 7"/>
    <w:pPr>
      <w:numPr>
        <w:numId w:val="16"/>
      </w:numPr>
    </w:p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ro-RO" w:eastAsia="ro-RO"/>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ro-RO" w:eastAsia="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ro-RO" w:eastAsia="ro-RO"/>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rPr>
      <w:sz w:val="24"/>
      <w:szCs w:val="24"/>
      <w:lang w:val="ro-RO" w:eastAsia="ro-RO"/>
    </w:rPr>
  </w:style>
  <w:style w:type="paragraph" w:customStyle="1" w:styleId="HeaderCoverPage">
    <w:name w:val="Header Cover Page"/>
    <w:basedOn w:val="Normal"/>
    <w:link w:val="HeaderCoverPageChar"/>
    <w:pPr>
      <w:tabs>
        <w:tab w:val="center" w:pos="4535"/>
        <w:tab w:val="right" w:pos="9071"/>
      </w:tabs>
      <w:spacing w:after="120"/>
      <w:jc w:val="both"/>
    </w:pPr>
    <w:rPr>
      <w:rFonts w:eastAsia="Times New Roman"/>
      <w:noProof/>
      <w:color w:val="000000"/>
      <w:u w:color="000000"/>
    </w:rPr>
  </w:style>
  <w:style w:type="character" w:customStyle="1" w:styleId="PagedecouvertureChar">
    <w:name w:val="Page de couverture Char"/>
    <w:basedOn w:val="DefaultParagraphFont"/>
    <w:link w:val="Pagedecouverture"/>
    <w:rPr>
      <w:rFonts w:eastAsia="Times New Roman"/>
      <w:color w:val="000000"/>
      <w:sz w:val="24"/>
      <w:szCs w:val="24"/>
      <w:u w:color="000000"/>
      <w:lang w:val="ro-RO"/>
    </w:rPr>
  </w:style>
  <w:style w:type="character" w:customStyle="1" w:styleId="HeaderCoverPageChar">
    <w:name w:val="Header Cover Page Char"/>
    <w:basedOn w:val="PagedecouvertureChar"/>
    <w:link w:val="HeaderCoverPage"/>
    <w:rPr>
      <w:rFonts w:eastAsia="Times New Roman"/>
      <w:noProof/>
      <w:color w:val="000000"/>
      <w:sz w:val="24"/>
      <w:szCs w:val="24"/>
      <w:u w:color="000000"/>
      <w:lang w:val="ro-RO"/>
    </w:rPr>
  </w:style>
  <w:style w:type="character" w:customStyle="1" w:styleId="Marker">
    <w:name w:val="Marker"/>
    <w:basedOn w:val="DefaultParagraphFont"/>
    <w:rPr>
      <w:color w:val="0000FF"/>
      <w:shd w:val="clear" w:color="auto" w:fill="auto"/>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basedOn w:val="DefaultParagraphFont"/>
    <w:link w:val="EndnoteText"/>
    <w:uiPriority w:val="99"/>
    <w:semiHidden/>
    <w:rPr>
      <w:lang w:val="ro-RO" w:eastAsia="ro-RO"/>
    </w:rPr>
  </w:style>
  <w:style w:type="character" w:styleId="EndnoteReference">
    <w:name w:val="endnote reference"/>
    <w:basedOn w:val="DefaultParagraphFont"/>
    <w:uiPriority w:val="99"/>
    <w:semiHidden/>
    <w:unhideWhenUsed/>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ro-RO" w:eastAsia="ro-RO" w:bidi="ro-RO"/>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FooterCoverPage">
    <w:name w:val="Footer Cover Page"/>
    <w:basedOn w:val="Normal"/>
    <w:pPr>
      <w:tabs>
        <w:tab w:val="center" w:pos="4535"/>
        <w:tab w:val="right" w:pos="9071"/>
        <w:tab w:val="right" w:pos="9921"/>
      </w:tabs>
      <w:spacing w:before="360"/>
      <w:ind w:left="-850" w:right="-850"/>
    </w:pPr>
    <w:rPr>
      <w:rFonts w:cs="Arial Unicode MS"/>
      <w:color w:val="000000"/>
      <w:u w:color="000000"/>
    </w:rPr>
  </w:style>
  <w:style w:type="paragraph" w:customStyle="1" w:styleId="Pagedecouverture">
    <w:name w:val="Page de couverture"/>
    <w:next w:val="Body"/>
    <w:link w:val="PagedecouvertureChar"/>
    <w:pPr>
      <w:jc w:val="both"/>
    </w:pPr>
    <w:rPr>
      <w:rFonts w:eastAsia="Times New Roman"/>
      <w:color w:val="000000"/>
      <w:sz w:val="24"/>
      <w:szCs w:val="24"/>
      <w:u w:color="000000"/>
    </w:rPr>
  </w:style>
  <w:style w:type="paragraph" w:customStyle="1" w:styleId="Body">
    <w:name w:val="Body"/>
    <w:pPr>
      <w:spacing w:after="200" w:line="276" w:lineRule="auto"/>
    </w:pPr>
    <w:rPr>
      <w:rFonts w:ascii="Calibri" w:eastAsia="Calibri" w:hAnsi="Calibri" w:cs="Calibri"/>
      <w:color w:val="000000"/>
      <w:sz w:val="22"/>
      <w:szCs w:val="22"/>
      <w:u w:color="000000"/>
    </w:rPr>
  </w:style>
  <w:style w:type="paragraph" w:styleId="Footer">
    <w:name w:val="footer"/>
    <w:pPr>
      <w:tabs>
        <w:tab w:val="center" w:pos="4536"/>
        <w:tab w:val="right" w:pos="9072"/>
      </w:tabs>
    </w:pPr>
    <w:rPr>
      <w:rFonts w:ascii="Calibri" w:eastAsia="Calibri" w:hAnsi="Calibri" w:cs="Calibri"/>
      <w:color w:val="000000"/>
      <w:sz w:val="22"/>
      <w:szCs w:val="22"/>
      <w:u w:color="000000"/>
    </w:rPr>
  </w:style>
  <w:style w:type="paragraph" w:styleId="FootnoteText">
    <w:name w:val="footnote text"/>
    <w:rPr>
      <w:rFonts w:ascii="Calibri" w:eastAsia="Calibri" w:hAnsi="Calibri" w:cs="Calibri"/>
      <w:color w:val="000000"/>
      <w:u w:color="000000"/>
    </w:rPr>
  </w:style>
  <w:style w:type="paragraph" w:styleId="ListParagraph">
    <w:name w:val="List Paragraph"/>
    <w:pPr>
      <w:spacing w:after="200" w:line="276" w:lineRule="auto"/>
      <w:ind w:left="720"/>
    </w:pPr>
    <w:rPr>
      <w:rFonts w:ascii="Calibri" w:eastAsia="Calibri" w:hAnsi="Calibri" w:cs="Calibri"/>
      <w:color w:val="000000"/>
      <w:sz w:val="22"/>
      <w:szCs w:val="22"/>
      <w:u w:color="000000"/>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paragraph" w:customStyle="1" w:styleId="Default">
    <w:name w:val="Default"/>
    <w:rPr>
      <w:rFonts w:ascii="Helvetica" w:eastAsia="Helvetica" w:hAnsi="Helvetica" w:cs="Helvetica"/>
      <w:color w:val="000000"/>
      <w:sz w:val="22"/>
      <w:szCs w:val="22"/>
    </w:rPr>
  </w:style>
  <w:style w:type="numbering" w:customStyle="1" w:styleId="ImportedStyle3">
    <w:name w:val="Imported Style 3"/>
    <w:pPr>
      <w:numPr>
        <w:numId w:val="6"/>
      </w:numPr>
    </w:pPr>
  </w:style>
  <w:style w:type="numbering" w:customStyle="1" w:styleId="ImportedStyle4">
    <w:name w:val="Imported Style 4"/>
    <w:pPr>
      <w:numPr>
        <w:numId w:val="9"/>
      </w:numPr>
    </w:pPr>
  </w:style>
  <w:style w:type="numbering" w:customStyle="1" w:styleId="ImportedStyle5">
    <w:name w:val="Imported Style 5"/>
    <w:pPr>
      <w:numPr>
        <w:numId w:val="11"/>
      </w:numPr>
    </w:pPr>
  </w:style>
  <w:style w:type="character" w:styleId="FootnoteReference">
    <w:name w:val="footnote reference"/>
    <w:rPr>
      <w:vertAlign w:val="superscript"/>
    </w:rPr>
  </w:style>
  <w:style w:type="numbering" w:customStyle="1" w:styleId="ImportedStyle6">
    <w:name w:val="Imported Style 6"/>
    <w:pPr>
      <w:numPr>
        <w:numId w:val="14"/>
      </w:numPr>
    </w:pPr>
  </w:style>
  <w:style w:type="character" w:customStyle="1" w:styleId="Link">
    <w:name w:val="Link"/>
    <w:rPr>
      <w:color w:val="0000FF"/>
      <w:u w:val="single" w:color="0000FF"/>
    </w:rPr>
  </w:style>
  <w:style w:type="character" w:customStyle="1" w:styleId="Hyperlink0">
    <w:name w:val="Hyperlink.0"/>
    <w:basedOn w:val="Link"/>
    <w:rPr>
      <w:rFonts w:ascii="Times New Roman" w:eastAsia="Times New Roman" w:hAnsi="Times New Roman" w:cs="Times New Roman"/>
      <w:color w:val="0000FF"/>
      <w:u w:val="single" w:color="0000FF"/>
    </w:rPr>
  </w:style>
  <w:style w:type="numbering" w:customStyle="1" w:styleId="ImportedStyle7">
    <w:name w:val="Imported Style 7"/>
    <w:pPr>
      <w:numPr>
        <w:numId w:val="16"/>
      </w:numPr>
    </w:p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ro-RO" w:eastAsia="ro-RO"/>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ro-RO" w:eastAsia="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ro-RO" w:eastAsia="ro-RO"/>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rPr>
      <w:sz w:val="24"/>
      <w:szCs w:val="24"/>
      <w:lang w:val="ro-RO" w:eastAsia="ro-RO"/>
    </w:rPr>
  </w:style>
  <w:style w:type="paragraph" w:customStyle="1" w:styleId="HeaderCoverPage">
    <w:name w:val="Header Cover Page"/>
    <w:basedOn w:val="Normal"/>
    <w:link w:val="HeaderCoverPageChar"/>
    <w:pPr>
      <w:tabs>
        <w:tab w:val="center" w:pos="4535"/>
        <w:tab w:val="right" w:pos="9071"/>
      </w:tabs>
      <w:spacing w:after="120"/>
      <w:jc w:val="both"/>
    </w:pPr>
    <w:rPr>
      <w:rFonts w:eastAsia="Times New Roman"/>
      <w:noProof/>
      <w:color w:val="000000"/>
      <w:u w:color="000000"/>
    </w:rPr>
  </w:style>
  <w:style w:type="character" w:customStyle="1" w:styleId="PagedecouvertureChar">
    <w:name w:val="Page de couverture Char"/>
    <w:basedOn w:val="DefaultParagraphFont"/>
    <w:link w:val="Pagedecouverture"/>
    <w:rPr>
      <w:rFonts w:eastAsia="Times New Roman"/>
      <w:color w:val="000000"/>
      <w:sz w:val="24"/>
      <w:szCs w:val="24"/>
      <w:u w:color="000000"/>
      <w:lang w:val="ro-RO"/>
    </w:rPr>
  </w:style>
  <w:style w:type="character" w:customStyle="1" w:styleId="HeaderCoverPageChar">
    <w:name w:val="Header Cover Page Char"/>
    <w:basedOn w:val="PagedecouvertureChar"/>
    <w:link w:val="HeaderCoverPage"/>
    <w:rPr>
      <w:rFonts w:eastAsia="Times New Roman"/>
      <w:noProof/>
      <w:color w:val="000000"/>
      <w:sz w:val="24"/>
      <w:szCs w:val="24"/>
      <w:u w:color="000000"/>
      <w:lang w:val="ro-RO"/>
    </w:rPr>
  </w:style>
  <w:style w:type="character" w:customStyle="1" w:styleId="Marker">
    <w:name w:val="Marker"/>
    <w:basedOn w:val="DefaultParagraphFont"/>
    <w:rPr>
      <w:color w:val="0000FF"/>
      <w:shd w:val="clear" w:color="auto" w:fill="auto"/>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basedOn w:val="DefaultParagraphFont"/>
    <w:link w:val="EndnoteText"/>
    <w:uiPriority w:val="99"/>
    <w:semiHidden/>
    <w:rPr>
      <w:lang w:val="ro-RO" w:eastAsia="ro-RO"/>
    </w:rPr>
  </w:style>
  <w:style w:type="character" w:styleId="EndnoteReference">
    <w:name w:val="endnote reference"/>
    <w:basedOn w:val="DefaultParagraphFont"/>
    <w:uiPriority w:val="99"/>
    <w:semiHidden/>
    <w:unhideWhenUs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8770745">
      <w:bodyDiv w:val="1"/>
      <w:marLeft w:val="0"/>
      <w:marRight w:val="0"/>
      <w:marTop w:val="0"/>
      <w:marBottom w:val="0"/>
      <w:divBdr>
        <w:top w:val="none" w:sz="0" w:space="0" w:color="auto"/>
        <w:left w:val="none" w:sz="0" w:space="0" w:color="auto"/>
        <w:bottom w:val="none" w:sz="0" w:space="0" w:color="auto"/>
        <w:right w:val="none" w:sz="0" w:space="0" w:color="auto"/>
      </w:divBdr>
    </w:div>
    <w:div w:id="20078529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4.emf"/><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6.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6.xml"/><Relationship Id="rId10" Type="http://schemas.openxmlformats.org/officeDocument/2006/relationships/header" Target="header1.xml"/><Relationship Id="rId19" Type="http://schemas.openxmlformats.org/officeDocument/2006/relationships/header" Target="header4.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1" Type="http://schemas.openxmlformats.org/officeDocument/2006/relationships/hyperlink" Target="https://www.endr.eu/"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4770F3-651C-4D96-8B46-781F4279EB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148</TotalTime>
  <Pages>22</Pages>
  <Words>9440</Words>
  <Characters>53810</Characters>
  <Application>Microsoft Office Word</Application>
  <DocSecurity>0</DocSecurity>
  <Lines>448</Lines>
  <Paragraphs>126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63124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Stefanie Heilemann</cp:lastModifiedBy>
  <cp:revision>25</cp:revision>
  <cp:lastPrinted>2017-05-31T12:28:00Z</cp:lastPrinted>
  <dcterms:created xsi:type="dcterms:W3CDTF">2017-06-02T13:26:00Z</dcterms:created>
  <dcterms:modified xsi:type="dcterms:W3CDTF">2017-06-12T09:45:00Z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Part">
    <vt:lpwstr>1</vt:lpwstr>
  </property>
  <property fmtid="{D5CDD505-2E9C-101B-9397-08002B2CF9AE}" pid="4" name="Total parts">
    <vt:lpwstr>1</vt:lpwstr>
  </property>
  <property fmtid="{D5CDD505-2E9C-101B-9397-08002B2CF9AE}" pid="5" name="Classification">
    <vt:lpwstr> </vt:lpwstr>
  </property>
</Properties>
</file>