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pptx" ContentType="application/vnd.openxmlformats-officedocument.presentationml.presentation"/>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6463" w:rsidRDefault="007A01E1">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64F2951A147041678FD76FE3CB2B0973" style="width:450.75pt;height:321pt">
            <v:imagedata r:id="rId9" o:title=""/>
          </v:shape>
        </w:pict>
      </w:r>
    </w:p>
    <w:bookmarkEnd w:id="0"/>
    <w:p w:rsidR="004A6463" w:rsidRDefault="004A6463">
      <w:pPr>
        <w:rPr>
          <w:rFonts w:hint="eastAsia"/>
          <w:noProof/>
        </w:rPr>
        <w:sectPr w:rsidR="004A6463">
          <w:headerReference w:type="even" r:id="rId10"/>
          <w:headerReference w:type="default" r:id="rId11"/>
          <w:footerReference w:type="even" r:id="rId12"/>
          <w:footerReference w:type="default" r:id="rId13"/>
          <w:headerReference w:type="first" r:id="rId14"/>
          <w:footerReference w:type="first" r:id="rId15"/>
          <w:pgSz w:w="11900" w:h="16840"/>
          <w:pgMar w:top="1134" w:right="1417" w:bottom="1134" w:left="1417" w:header="709" w:footer="709" w:gutter="0"/>
          <w:pgNumType w:start="2"/>
          <w:cols w:space="720"/>
          <w:docGrid w:linePitch="299"/>
        </w:sectPr>
      </w:pPr>
    </w:p>
    <w:p w:rsidR="004A6463" w:rsidRDefault="00E53711">
      <w:pPr>
        <w:pStyle w:val="ListParagraph"/>
        <w:numPr>
          <w:ilvl w:val="0"/>
          <w:numId w:val="1"/>
        </w:numPr>
        <w:tabs>
          <w:tab w:val="num" w:pos="720"/>
        </w:tabs>
        <w:spacing w:line="240" w:lineRule="auto"/>
        <w:ind w:left="720" w:hanging="360"/>
        <w:rPr>
          <w:rFonts w:ascii="Times New Roman Bold" w:hAnsi="Times New Roman Bold" w:hint="eastAsia"/>
          <w:b/>
          <w:noProof/>
          <w:sz w:val="24"/>
        </w:rPr>
      </w:pPr>
      <w:r>
        <w:rPr>
          <w:rFonts w:ascii="Times New Roman Bold" w:hAnsi="Times New Roman Bold"/>
          <w:b/>
          <w:noProof/>
          <w:sz w:val="24"/>
        </w:rPr>
        <w:lastRenderedPageBreak/>
        <w:t>Introduction</w:t>
      </w:r>
    </w:p>
    <w:p w:rsidR="004A6463" w:rsidRDefault="00E53711">
      <w:pPr>
        <w:pStyle w:val="Default"/>
        <w:jc w:val="both"/>
        <w:rPr>
          <w:rFonts w:ascii="Times New Roman" w:hAnsi="Times New Roman"/>
          <w:noProof/>
        </w:rPr>
      </w:pPr>
      <w:r>
        <w:rPr>
          <w:rFonts w:ascii="Times New Roman" w:hAnsi="Times New Roman"/>
          <w:noProof/>
        </w:rPr>
        <w:t xml:space="preserve">Le 2 décembre 2015, la Commission a adopté un plan d’action de l’Union européenne en </w:t>
      </w:r>
      <w:r>
        <w:rPr>
          <w:rFonts w:ascii="Times New Roman" w:hAnsi="Times New Roman"/>
          <w:noProof/>
        </w:rPr>
        <w:t>faveur de l’économie circulaire</w:t>
      </w:r>
      <w:r>
        <w:rPr>
          <w:rStyle w:val="FootnoteReference1"/>
          <w:rFonts w:ascii="Times New Roman" w:hAnsi="Times New Roman"/>
          <w:noProof/>
          <w:sz w:val="24"/>
        </w:rPr>
        <w:footnoteReference w:id="2"/>
      </w:r>
      <w:r>
        <w:rPr>
          <w:rFonts w:ascii="Times New Roman" w:hAnsi="Times New Roman"/>
          <w:noProof/>
        </w:rPr>
        <w:t>, proposant un programme axé sur le changement doté d’un potentiel important en matière de croissance et de création d’emplois et visant à encourager les modes de consommation et de production durables, conformément aux enga</w:t>
      </w:r>
      <w:r>
        <w:rPr>
          <w:rFonts w:ascii="Times New Roman" w:hAnsi="Times New Roman"/>
          <w:noProof/>
        </w:rPr>
        <w:t xml:space="preserve">gements contractés par l’UE dans le cadre du programme de développement durable à l’horizon 2030. </w:t>
      </w:r>
    </w:p>
    <w:p w:rsidR="004A6463" w:rsidRDefault="004A6463">
      <w:pPr>
        <w:pStyle w:val="NormalWeb"/>
        <w:shd w:val="clear" w:color="auto" w:fill="FFFFFF"/>
        <w:spacing w:after="0"/>
        <w:jc w:val="both"/>
        <w:rPr>
          <w:noProof/>
        </w:rPr>
      </w:pPr>
    </w:p>
    <w:p w:rsidR="004A6463" w:rsidRDefault="00E53711">
      <w:pPr>
        <w:pStyle w:val="NormalWeb"/>
        <w:shd w:val="clear" w:color="auto" w:fill="FFFFFF"/>
        <w:spacing w:after="240"/>
        <w:jc w:val="both"/>
        <w:rPr>
          <w:noProof/>
        </w:rPr>
      </w:pPr>
      <w:r>
        <w:rPr>
          <w:noProof/>
        </w:rPr>
        <w:t>Le plan d’action soulignait que la transition vers une économie plus circulaire nécessitait des actions couvrant l’ensemble du cycle de vie des produits: de</w:t>
      </w:r>
      <w:r>
        <w:rPr>
          <w:noProof/>
        </w:rPr>
        <w:t xml:space="preserve"> la production à la création de marchés des matières premières «secondaires» (c’est-à-dire dérivées de déchets). La gestion des déchets est l’un des principaux domaines dans lesquels des progrès supplémentaires sont à la fois nécessaires et réalisables: l’</w:t>
      </w:r>
      <w:r>
        <w:rPr>
          <w:noProof/>
        </w:rPr>
        <w:t>augmentation de la prévention, du réemploi et du recyclage des déchets figure au nombre des objectifs essentiels tant du plan d’action que du paquet législatif relatif aux déchets</w:t>
      </w:r>
      <w:r>
        <w:rPr>
          <w:rStyle w:val="FootnoteReference"/>
          <w:noProof/>
        </w:rPr>
        <w:footnoteReference w:id="3"/>
      </w:r>
      <w:r>
        <w:rPr>
          <w:noProof/>
        </w:rPr>
        <w:t xml:space="preserve">. </w:t>
      </w:r>
      <w:bookmarkStart w:id="1" w:name="_GoBack"/>
      <w:bookmarkEnd w:id="1"/>
    </w:p>
    <w:p w:rsidR="004A6463" w:rsidRDefault="00E53711">
      <w:pPr>
        <w:pStyle w:val="NormalWeb"/>
        <w:shd w:val="clear" w:color="auto" w:fill="FFFFFF"/>
        <w:spacing w:after="240"/>
        <w:jc w:val="both"/>
        <w:rPr>
          <w:noProof/>
        </w:rPr>
      </w:pPr>
      <w:r>
        <w:rPr>
          <w:noProof/>
        </w:rPr>
        <w:t xml:space="preserve">La réalisation de ces objectifs peut ouvrir des perspectives économiques </w:t>
      </w:r>
      <w:r>
        <w:rPr>
          <w:noProof/>
        </w:rPr>
        <w:t>concrètes, améliorer l’approvisionnement de l’industrie en matières premières, créer des emplois au niveau local et réaffirmer la primauté de l’Europe dans le secteur des technologies vertes, qui présente un potentiel de croissance avéré, au niveau mondial</w:t>
      </w:r>
      <w:r>
        <w:rPr>
          <w:noProof/>
        </w:rPr>
        <w:t xml:space="preserve"> également. Dans l’Union européenne, la production de biens et de services environnementaux par unité de produit intérieur brut a augmenté de plus de 50 % durant la dernière décennie et le nombre d’emplois liés à cette production dépasse à présent les 4 mi</w:t>
      </w:r>
      <w:r>
        <w:rPr>
          <w:noProof/>
        </w:rPr>
        <w:t>llions d’équivalents temps plein</w:t>
      </w:r>
      <w:r>
        <w:rPr>
          <w:rStyle w:val="FootnoteReference"/>
          <w:noProof/>
        </w:rPr>
        <w:footnoteReference w:id="4"/>
      </w:r>
      <w:r>
        <w:rPr>
          <w:noProof/>
        </w:rPr>
        <w:t>. Au niveau mondial, les investissements en faveur des technologies propres dans les pays en développement devraient, selon les estimations de la Banque mondiale, atteindre les 6 000 milliards d’euros au cours des dix proch</w:t>
      </w:r>
      <w:r>
        <w:rPr>
          <w:noProof/>
        </w:rPr>
        <w:t>aines années, dont 1 600 milliards d’euros seraient accessibles aux PME</w:t>
      </w:r>
      <w:r>
        <w:rPr>
          <w:rStyle w:val="FootnoteReference"/>
          <w:noProof/>
        </w:rPr>
        <w:footnoteReference w:id="5"/>
      </w:r>
      <w:r>
        <w:rPr>
          <w:noProof/>
        </w:rPr>
        <w:t>.</w:t>
      </w:r>
    </w:p>
    <w:p w:rsidR="004A6463" w:rsidRDefault="00E53711">
      <w:pPr>
        <w:pStyle w:val="Default"/>
        <w:jc w:val="both"/>
        <w:rPr>
          <w:rFonts w:ascii="Times New Roman" w:hAnsi="Times New Roman"/>
          <w:noProof/>
        </w:rPr>
      </w:pPr>
      <w:r>
        <w:rPr>
          <w:rFonts w:ascii="Times New Roman" w:hAnsi="Times New Roman"/>
          <w:noProof/>
        </w:rPr>
        <w:t xml:space="preserve">Afin d’exploiter ce potentiel, de promouvoir l’innovation et d’éviter les pertes économiques occasionnées par les actifs irrécupérables, les investissements dans de nouvelles </w:t>
      </w:r>
      <w:r>
        <w:rPr>
          <w:rFonts w:ascii="Times New Roman" w:hAnsi="Times New Roman"/>
          <w:noProof/>
        </w:rPr>
        <w:t>capacités de traitement des déchets doivent s’inscrire dans une perspective d’économie circulaire à long terme et concorder avec la hiérarchie des déchets établie par l’UE, qui classe les différentes options de gestion des déchets en fonction de leur durab</w:t>
      </w:r>
      <w:r>
        <w:rPr>
          <w:rFonts w:ascii="Times New Roman" w:hAnsi="Times New Roman"/>
          <w:noProof/>
        </w:rPr>
        <w:t>ilité, la priorité absolue allant à la prévention et au recyclage. La législation de l’UE sur les déchets, et notamment les propositions récentes fixant des objectifs plus élevés en ce qui concerne le recyclage des déchets municipaux et des déchets d’embal</w:t>
      </w:r>
      <w:r>
        <w:rPr>
          <w:rFonts w:ascii="Times New Roman" w:hAnsi="Times New Roman"/>
          <w:noProof/>
        </w:rPr>
        <w:t>lages et la réduction de la quantité de déchets mise en décharge, est guidée par les principes de la hiérarchie des déchets et vise à orienter davantage la gestion des déchets vers les options occupant un rang plus élevé dans cette hiérarchie, comme la pré</w:t>
      </w:r>
      <w:r>
        <w:rPr>
          <w:rFonts w:ascii="Times New Roman" w:hAnsi="Times New Roman"/>
          <w:noProof/>
        </w:rPr>
        <w:t>vention, le réemploi et le recyclage.</w:t>
      </w:r>
    </w:p>
    <w:p w:rsidR="004A6463" w:rsidRDefault="004A6463">
      <w:pPr>
        <w:pStyle w:val="Default"/>
        <w:jc w:val="both"/>
        <w:rPr>
          <w:rFonts w:ascii="Times New Roman" w:hAnsi="Times New Roman"/>
          <w:noProof/>
        </w:rPr>
      </w:pPr>
    </w:p>
    <w:p w:rsidR="004A6463" w:rsidRDefault="00E53711">
      <w:pPr>
        <w:pStyle w:val="Default"/>
        <w:jc w:val="both"/>
        <w:rPr>
          <w:noProof/>
          <w:color w:val="1F497D"/>
        </w:rPr>
      </w:pPr>
      <w:r>
        <w:rPr>
          <w:rFonts w:ascii="Times New Roman" w:hAnsi="Times New Roman"/>
          <w:noProof/>
        </w:rPr>
        <w:lastRenderedPageBreak/>
        <w:t>La présente communication porte essentiellement sur la valorisation énergétique des déchets et sur sa place dans l’économie circulaire. La valorisation énergétique des déchets est un terme générique qui va bien au-del</w:t>
      </w:r>
      <w:r>
        <w:rPr>
          <w:rFonts w:ascii="Times New Roman" w:hAnsi="Times New Roman"/>
          <w:noProof/>
        </w:rPr>
        <w:t>à de l’incinération des déchets. Elle englobe en effet les divers procédés de traitement des déchets qui génèrent de l’énergie (par exemple sous forme d’électricité/de chaleur) ou produisent des combustibles dérivés de déchets, chacun de ces procédés ayant</w:t>
      </w:r>
      <w:r>
        <w:rPr>
          <w:rFonts w:ascii="Times New Roman" w:hAnsi="Times New Roman"/>
          <w:noProof/>
        </w:rPr>
        <w:t xml:space="preserve"> une incidence différente sur l’environnement et offrant des possibilités différentes dans le cadre d’une économie circulaire.</w:t>
      </w:r>
    </w:p>
    <w:p w:rsidR="004A6463" w:rsidRDefault="004A6463">
      <w:pPr>
        <w:pStyle w:val="Default"/>
        <w:jc w:val="both"/>
        <w:rPr>
          <w:rFonts w:ascii="Times New Roman" w:hAnsi="Times New Roman"/>
          <w:noProof/>
        </w:rPr>
      </w:pPr>
    </w:p>
    <w:p w:rsidR="004A6463" w:rsidRDefault="00E53711">
      <w:pPr>
        <w:pStyle w:val="Default"/>
        <w:jc w:val="both"/>
        <w:rPr>
          <w:rFonts w:ascii="Times New Roman" w:hAnsi="Times New Roman"/>
          <w:noProof/>
        </w:rPr>
      </w:pPr>
      <w:r>
        <w:rPr>
          <w:rFonts w:ascii="Times New Roman" w:hAnsi="Times New Roman"/>
          <w:noProof/>
        </w:rPr>
        <w:t>La présente communication a pour principal objectif de faire en sorte que la valorisation énergétique des déchets dans l’UE sout</w:t>
      </w:r>
      <w:r>
        <w:rPr>
          <w:rFonts w:ascii="Times New Roman" w:hAnsi="Times New Roman"/>
          <w:noProof/>
        </w:rPr>
        <w:t>ienne les objectifs du plan d’action en faveur de l’économie circulaire et respecte scrupuleusement les principes de la hiérarchie des déchets de l’UE. Elle examine également la manière d’optimiser le rôle des procédés de valorisation énergétique des déche</w:t>
      </w:r>
      <w:r>
        <w:rPr>
          <w:rFonts w:ascii="Times New Roman" w:hAnsi="Times New Roman"/>
          <w:noProof/>
        </w:rPr>
        <w:t>ts afin qu’ils contribuent à la réalisation des objectifs définis dans la stratégie pour l'union de l’énergie</w:t>
      </w:r>
      <w:r>
        <w:rPr>
          <w:rStyle w:val="FootnoteReference"/>
          <w:rFonts w:ascii="Times New Roman" w:eastAsia="Times New Roman" w:hAnsi="Times New Roman"/>
          <w:noProof/>
          <w:color w:val="auto"/>
          <w:szCs w:val="24"/>
        </w:rPr>
        <w:footnoteReference w:id="6"/>
      </w:r>
      <w:r>
        <w:rPr>
          <w:rFonts w:ascii="Times New Roman" w:hAnsi="Times New Roman"/>
          <w:noProof/>
        </w:rPr>
        <w:t xml:space="preserve"> et dans l’accord de Paris</w:t>
      </w:r>
      <w:r>
        <w:rPr>
          <w:rStyle w:val="FootnoteReference"/>
          <w:rFonts w:ascii="Times New Roman" w:eastAsia="Times New Roman" w:hAnsi="Times New Roman"/>
          <w:noProof/>
          <w:color w:val="auto"/>
          <w:szCs w:val="24"/>
        </w:rPr>
        <w:footnoteReference w:id="7"/>
      </w:r>
      <w:r>
        <w:rPr>
          <w:rFonts w:ascii="Times New Roman" w:hAnsi="Times New Roman"/>
          <w:noProof/>
        </w:rPr>
        <w:t xml:space="preserve">. Dans le même temps, en mettant en avant les technologies économes en énergie dont l’efficacité est éprouvée, </w:t>
      </w:r>
      <w:r>
        <w:rPr>
          <w:rFonts w:ascii="Times New Roman" w:hAnsi="Times New Roman"/>
          <w:noProof/>
        </w:rPr>
        <w:t>l’approche en matière de valorisation énergétique des déchets décrite dans la présente communication vise à encourager l’innovation et à contribuer à la création d’emplois de qualité.</w:t>
      </w:r>
    </w:p>
    <w:p w:rsidR="004A6463" w:rsidRDefault="004A6463">
      <w:pPr>
        <w:pStyle w:val="Default"/>
        <w:jc w:val="both"/>
        <w:rPr>
          <w:rFonts w:ascii="Times New Roman" w:hAnsi="Times New Roman"/>
          <w:noProof/>
        </w:rPr>
      </w:pPr>
    </w:p>
    <w:p w:rsidR="004A6463" w:rsidRDefault="00E53711">
      <w:pPr>
        <w:pStyle w:val="Default"/>
        <w:keepNext/>
        <w:jc w:val="both"/>
        <w:rPr>
          <w:rFonts w:ascii="Times New Roman" w:hAnsi="Times New Roman"/>
          <w:noProof/>
        </w:rPr>
      </w:pPr>
      <w:r>
        <w:rPr>
          <w:rFonts w:ascii="Times New Roman" w:hAnsi="Times New Roman"/>
          <w:noProof/>
        </w:rPr>
        <w:t>Afin d’atteindre ces objectifs, la communication:</w:t>
      </w:r>
    </w:p>
    <w:p w:rsidR="004A6463" w:rsidRDefault="004A6463">
      <w:pPr>
        <w:pStyle w:val="Default"/>
        <w:keepNext/>
        <w:jc w:val="both"/>
        <w:rPr>
          <w:rFonts w:ascii="Times New Roman" w:hAnsi="Times New Roman"/>
          <w:noProof/>
        </w:rPr>
      </w:pPr>
    </w:p>
    <w:p w:rsidR="004A6463" w:rsidRDefault="00E53711">
      <w:pPr>
        <w:pStyle w:val="Default"/>
        <w:numPr>
          <w:ilvl w:val="0"/>
          <w:numId w:val="10"/>
        </w:numPr>
        <w:jc w:val="both"/>
        <w:rPr>
          <w:rFonts w:ascii="Times New Roman" w:hAnsi="Times New Roman"/>
          <w:noProof/>
        </w:rPr>
      </w:pPr>
      <w:r>
        <w:rPr>
          <w:rFonts w:ascii="Times New Roman" w:hAnsi="Times New Roman"/>
          <w:noProof/>
        </w:rPr>
        <w:t>clarifie la position</w:t>
      </w:r>
      <w:r>
        <w:rPr>
          <w:rFonts w:ascii="Times New Roman" w:hAnsi="Times New Roman"/>
          <w:noProof/>
        </w:rPr>
        <w:t xml:space="preserve"> occupée par les différents procédés de valorisation énergétique des déchets dans la hiérarchie des déchets et les implications de ce classement pour le soutien financier public (section 2);</w:t>
      </w:r>
    </w:p>
    <w:p w:rsidR="004A6463" w:rsidRDefault="004A6463">
      <w:pPr>
        <w:pStyle w:val="Default"/>
        <w:ind w:left="720"/>
        <w:jc w:val="both"/>
        <w:rPr>
          <w:rFonts w:ascii="Times New Roman" w:hAnsi="Times New Roman"/>
          <w:noProof/>
        </w:rPr>
      </w:pPr>
    </w:p>
    <w:p w:rsidR="004A6463" w:rsidRDefault="00E53711">
      <w:pPr>
        <w:pStyle w:val="Default"/>
        <w:numPr>
          <w:ilvl w:val="0"/>
          <w:numId w:val="10"/>
        </w:numPr>
        <w:jc w:val="both"/>
        <w:rPr>
          <w:rFonts w:ascii="Times New Roman" w:hAnsi="Times New Roman"/>
          <w:noProof/>
        </w:rPr>
      </w:pPr>
      <w:r>
        <w:rPr>
          <w:rFonts w:ascii="Times New Roman" w:hAnsi="Times New Roman"/>
          <w:noProof/>
        </w:rPr>
        <w:t>fournit aux États membres des orientations sur la manière de mie</w:t>
      </w:r>
      <w:r>
        <w:rPr>
          <w:rFonts w:ascii="Times New Roman" w:hAnsi="Times New Roman"/>
          <w:noProof/>
        </w:rPr>
        <w:t>ux tirer parti des instruments économiques et de la planification des capacités afin d’éviter les éventuelles situations de surcapacité en matière d’incinération des déchets ou de remédier à de telles situations (section 3); et</w:t>
      </w:r>
    </w:p>
    <w:p w:rsidR="004A6463" w:rsidRDefault="004A6463">
      <w:pPr>
        <w:pStyle w:val="Default"/>
        <w:ind w:left="720"/>
        <w:jc w:val="both"/>
        <w:rPr>
          <w:rFonts w:ascii="Times New Roman" w:hAnsi="Times New Roman"/>
          <w:noProof/>
        </w:rPr>
      </w:pPr>
    </w:p>
    <w:p w:rsidR="004A6463" w:rsidRDefault="00E53711">
      <w:pPr>
        <w:numPr>
          <w:ilvl w:val="0"/>
          <w:numId w:val="10"/>
        </w:numPr>
        <w:spacing w:after="240"/>
        <w:rPr>
          <w:rFonts w:ascii="Times New Roman" w:hAnsi="Times New Roman"/>
          <w:noProof/>
          <w:sz w:val="24"/>
          <w:szCs w:val="20"/>
        </w:rPr>
      </w:pPr>
      <w:r>
        <w:rPr>
          <w:rFonts w:ascii="Times New Roman" w:hAnsi="Times New Roman"/>
          <w:noProof/>
          <w:sz w:val="24"/>
        </w:rPr>
        <w:t>répertorie les technologies</w:t>
      </w:r>
      <w:r>
        <w:rPr>
          <w:rFonts w:ascii="Times New Roman" w:hAnsi="Times New Roman"/>
          <w:noProof/>
          <w:sz w:val="24"/>
        </w:rPr>
        <w:t xml:space="preserve"> et les procédés qui sont actuellement les plus prometteurs du point de vue de la valorisation énergétique et matérielle, compte tenu de l’évolution attendue des matières de départ utilisées dans les procédés de valorisation énergétique des déchets (sectio</w:t>
      </w:r>
      <w:r>
        <w:rPr>
          <w:rFonts w:ascii="Times New Roman" w:hAnsi="Times New Roman"/>
          <w:noProof/>
          <w:sz w:val="24"/>
        </w:rPr>
        <w:t>n 4).</w:t>
      </w:r>
    </w:p>
    <w:p w:rsidR="004A6463" w:rsidRDefault="00E53711">
      <w:pPr>
        <w:pStyle w:val="ListParagraph"/>
        <w:numPr>
          <w:ilvl w:val="0"/>
          <w:numId w:val="1"/>
        </w:numPr>
        <w:tabs>
          <w:tab w:val="num" w:pos="720"/>
        </w:tabs>
        <w:spacing w:after="240"/>
        <w:ind w:left="720" w:hanging="360"/>
        <w:rPr>
          <w:rFonts w:ascii="Times New Roman Bold" w:hAnsi="Times New Roman Bold" w:hint="eastAsia"/>
          <w:b/>
          <w:noProof/>
          <w:sz w:val="24"/>
        </w:rPr>
      </w:pPr>
      <w:r>
        <w:rPr>
          <w:rFonts w:ascii="Times New Roman Bold" w:hAnsi="Times New Roman Bold"/>
          <w:b/>
          <w:noProof/>
          <w:sz w:val="24"/>
        </w:rPr>
        <w:t>Déterminer la position des procédés de valorisation énergétique des déchets dans la hiérarchie des déchets et le rôle du soutien financier public</w:t>
      </w:r>
    </w:p>
    <w:p w:rsidR="004A6463" w:rsidRDefault="00E53711">
      <w:pPr>
        <w:spacing w:after="0" w:line="240" w:lineRule="auto"/>
        <w:jc w:val="both"/>
        <w:rPr>
          <w:rFonts w:ascii="Times New Roman" w:hAnsi="Times New Roman"/>
          <w:noProof/>
          <w:sz w:val="24"/>
        </w:rPr>
      </w:pPr>
      <w:r>
        <w:rPr>
          <w:rFonts w:ascii="Times New Roman" w:hAnsi="Times New Roman"/>
          <w:noProof/>
        </w:rPr>
        <w:t>Pierre angulaire de la politique et de la législation de l’UE en matière de déchets, la hiérarchie des d</w:t>
      </w:r>
      <w:r>
        <w:rPr>
          <w:rFonts w:ascii="Times New Roman" w:hAnsi="Times New Roman"/>
          <w:noProof/>
        </w:rPr>
        <w:t>échets</w:t>
      </w:r>
      <w:r>
        <w:rPr>
          <w:rStyle w:val="FootnoteReference"/>
          <w:rFonts w:ascii="Times New Roman" w:hAnsi="Times New Roman"/>
          <w:noProof/>
          <w:sz w:val="24"/>
        </w:rPr>
        <w:footnoteReference w:id="8"/>
      </w:r>
      <w:r>
        <w:rPr>
          <w:rFonts w:ascii="Times New Roman" w:hAnsi="Times New Roman"/>
          <w:noProof/>
        </w:rPr>
        <w:t xml:space="preserve"> revêt également une importance cruciale dans la transition vers une économie circulaire.</w:t>
      </w:r>
      <w:r>
        <w:rPr>
          <w:rFonts w:ascii="Times New Roman" w:hAnsi="Times New Roman"/>
          <w:noProof/>
          <w:sz w:val="24"/>
        </w:rPr>
        <w:t xml:space="preserve"> Son objectif premier est d’établir un ordre de priorité permettant de réduire au minimum les incidences négatives sur l’environnement et d’optimiser l’utilisat</w:t>
      </w:r>
      <w:r>
        <w:rPr>
          <w:rFonts w:ascii="Times New Roman" w:hAnsi="Times New Roman"/>
          <w:noProof/>
          <w:sz w:val="24"/>
        </w:rPr>
        <w:t xml:space="preserve">ion des ressources dans le domaine de la prévention et de la gestion des déchets. </w:t>
      </w:r>
    </w:p>
    <w:p w:rsidR="004A6463" w:rsidRDefault="004A6463">
      <w:pPr>
        <w:spacing w:after="0" w:line="240" w:lineRule="auto"/>
        <w:jc w:val="both"/>
        <w:rPr>
          <w:rFonts w:ascii="Times New Roman" w:hAnsi="Times New Roman"/>
          <w:noProof/>
          <w:sz w:val="24"/>
        </w:rPr>
      </w:pPr>
    </w:p>
    <w:p w:rsidR="004A6463" w:rsidRDefault="00E53711">
      <w:pPr>
        <w:pStyle w:val="Default"/>
        <w:contextualSpacing/>
        <w:jc w:val="both"/>
        <w:rPr>
          <w:rFonts w:ascii="Times New Roman" w:hAnsi="Times New Roman"/>
          <w:noProof/>
        </w:rPr>
      </w:pPr>
      <w:r>
        <w:rPr>
          <w:rFonts w:ascii="Times New Roman" w:hAnsi="Times New Roman"/>
          <w:noProof/>
        </w:rPr>
        <w:t>La présente communication couvre les principaux procédés de valorisation énergétique des déchets</w:t>
      </w:r>
      <w:r>
        <w:rPr>
          <w:rStyle w:val="FootnoteReference"/>
          <w:rFonts w:ascii="Times New Roman" w:hAnsi="Times New Roman"/>
          <w:noProof/>
        </w:rPr>
        <w:footnoteReference w:id="9"/>
      </w:r>
      <w:r>
        <w:rPr>
          <w:rFonts w:ascii="Times New Roman" w:hAnsi="Times New Roman"/>
          <w:noProof/>
        </w:rPr>
        <w:t>, à savoir:</w:t>
      </w:r>
    </w:p>
    <w:p w:rsidR="004A6463" w:rsidRDefault="004A6463">
      <w:pPr>
        <w:pStyle w:val="Default"/>
        <w:contextualSpacing/>
        <w:jc w:val="both"/>
        <w:rPr>
          <w:rFonts w:ascii="Times New Roman" w:hAnsi="Times New Roman"/>
          <w:noProof/>
        </w:rPr>
      </w:pPr>
    </w:p>
    <w:p w:rsidR="004A6463" w:rsidRDefault="00E53711">
      <w:pPr>
        <w:pStyle w:val="ListParagraph"/>
        <w:numPr>
          <w:ilvl w:val="0"/>
          <w:numId w:val="3"/>
        </w:numPr>
        <w:tabs>
          <w:tab w:val="clear" w:pos="360"/>
          <w:tab w:val="num" w:pos="720"/>
        </w:tabs>
        <w:spacing w:after="0" w:line="240" w:lineRule="auto"/>
        <w:ind w:left="714" w:hanging="357"/>
        <w:contextualSpacing/>
        <w:jc w:val="both"/>
        <w:rPr>
          <w:rFonts w:ascii="Times New Roman" w:hAnsi="Times New Roman"/>
          <w:noProof/>
          <w:sz w:val="24"/>
        </w:rPr>
      </w:pPr>
      <w:r>
        <w:rPr>
          <w:rFonts w:ascii="Times New Roman" w:hAnsi="Times New Roman"/>
          <w:noProof/>
          <w:sz w:val="24"/>
        </w:rPr>
        <w:t xml:space="preserve">la coïncinération des déchets dans les installations de </w:t>
      </w:r>
      <w:r>
        <w:rPr>
          <w:rFonts w:ascii="Times New Roman" w:hAnsi="Times New Roman"/>
          <w:noProof/>
          <w:sz w:val="24"/>
        </w:rPr>
        <w:t>combustion (les centrales, par exemple) et dans les installations de production de ciment et de chaux;</w:t>
      </w:r>
    </w:p>
    <w:p w:rsidR="004A6463" w:rsidRDefault="004A6463">
      <w:pPr>
        <w:tabs>
          <w:tab w:val="num" w:pos="720"/>
        </w:tabs>
        <w:spacing w:after="0" w:line="240" w:lineRule="auto"/>
        <w:ind w:left="357"/>
        <w:contextualSpacing/>
        <w:jc w:val="both"/>
        <w:rPr>
          <w:rFonts w:ascii="Times New Roman" w:hAnsi="Times New Roman"/>
          <w:noProof/>
          <w:sz w:val="24"/>
        </w:rPr>
      </w:pPr>
    </w:p>
    <w:p w:rsidR="004A6463" w:rsidRDefault="00E53711">
      <w:pPr>
        <w:pStyle w:val="ListParagraph"/>
        <w:numPr>
          <w:ilvl w:val="0"/>
          <w:numId w:val="3"/>
        </w:numPr>
        <w:tabs>
          <w:tab w:val="clear" w:pos="360"/>
          <w:tab w:val="num" w:pos="720"/>
        </w:tabs>
        <w:spacing w:after="0" w:line="240" w:lineRule="auto"/>
        <w:ind w:left="714" w:hanging="357"/>
        <w:contextualSpacing/>
        <w:jc w:val="both"/>
        <w:rPr>
          <w:rFonts w:ascii="Times New Roman" w:hAnsi="Times New Roman"/>
          <w:noProof/>
          <w:sz w:val="24"/>
        </w:rPr>
      </w:pPr>
      <w:r>
        <w:rPr>
          <w:rFonts w:ascii="Times New Roman" w:hAnsi="Times New Roman"/>
          <w:noProof/>
          <w:sz w:val="24"/>
        </w:rPr>
        <w:t>l’incinération des déchets dans des installations spécialisées;</w:t>
      </w:r>
    </w:p>
    <w:p w:rsidR="004A6463" w:rsidRDefault="004A6463">
      <w:pPr>
        <w:tabs>
          <w:tab w:val="num" w:pos="720"/>
        </w:tabs>
        <w:spacing w:after="0" w:line="240" w:lineRule="auto"/>
        <w:ind w:left="357"/>
        <w:contextualSpacing/>
        <w:jc w:val="both"/>
        <w:rPr>
          <w:rFonts w:ascii="Times New Roman" w:hAnsi="Times New Roman"/>
          <w:noProof/>
          <w:sz w:val="24"/>
        </w:rPr>
      </w:pPr>
    </w:p>
    <w:p w:rsidR="004A6463" w:rsidRDefault="00E53711">
      <w:pPr>
        <w:pStyle w:val="ListParagraph"/>
        <w:numPr>
          <w:ilvl w:val="0"/>
          <w:numId w:val="3"/>
        </w:numPr>
        <w:tabs>
          <w:tab w:val="clear" w:pos="360"/>
          <w:tab w:val="num" w:pos="720"/>
        </w:tabs>
        <w:spacing w:after="0" w:line="240" w:lineRule="auto"/>
        <w:ind w:left="714" w:hanging="357"/>
        <w:contextualSpacing/>
        <w:jc w:val="both"/>
        <w:rPr>
          <w:rFonts w:ascii="Times New Roman" w:hAnsi="Times New Roman"/>
          <w:noProof/>
          <w:sz w:val="24"/>
        </w:rPr>
      </w:pPr>
      <w:r>
        <w:rPr>
          <w:rFonts w:ascii="Times New Roman" w:hAnsi="Times New Roman"/>
          <w:noProof/>
          <w:sz w:val="24"/>
        </w:rPr>
        <w:t>la digestion anaérobie des déchets biodégradables;</w:t>
      </w:r>
    </w:p>
    <w:p w:rsidR="004A6463" w:rsidRDefault="004A6463">
      <w:pPr>
        <w:tabs>
          <w:tab w:val="num" w:pos="720"/>
        </w:tabs>
        <w:spacing w:after="0" w:line="240" w:lineRule="auto"/>
        <w:ind w:left="357"/>
        <w:contextualSpacing/>
        <w:jc w:val="both"/>
        <w:rPr>
          <w:rFonts w:ascii="Times New Roman" w:hAnsi="Times New Roman"/>
          <w:noProof/>
          <w:sz w:val="24"/>
        </w:rPr>
      </w:pPr>
    </w:p>
    <w:p w:rsidR="004A6463" w:rsidRDefault="00E53711">
      <w:pPr>
        <w:pStyle w:val="ListParagraph"/>
        <w:numPr>
          <w:ilvl w:val="0"/>
          <w:numId w:val="3"/>
        </w:numPr>
        <w:tabs>
          <w:tab w:val="clear" w:pos="360"/>
          <w:tab w:val="num" w:pos="720"/>
        </w:tabs>
        <w:spacing w:after="0" w:line="240" w:lineRule="auto"/>
        <w:ind w:left="714" w:hanging="357"/>
        <w:contextualSpacing/>
        <w:jc w:val="both"/>
        <w:rPr>
          <w:rFonts w:ascii="Times New Roman" w:hAnsi="Times New Roman"/>
          <w:noProof/>
          <w:sz w:val="24"/>
        </w:rPr>
      </w:pPr>
      <w:r>
        <w:rPr>
          <w:rFonts w:ascii="Times New Roman" w:hAnsi="Times New Roman"/>
          <w:noProof/>
          <w:sz w:val="24"/>
        </w:rPr>
        <w:t>la production de combustibles solid</w:t>
      </w:r>
      <w:r>
        <w:rPr>
          <w:rFonts w:ascii="Times New Roman" w:hAnsi="Times New Roman"/>
          <w:noProof/>
          <w:sz w:val="24"/>
        </w:rPr>
        <w:t>es, liquides ou gazeux dérivés de déchets; et</w:t>
      </w:r>
    </w:p>
    <w:p w:rsidR="004A6463" w:rsidRDefault="004A6463">
      <w:pPr>
        <w:pStyle w:val="ListParagraph"/>
        <w:spacing w:after="0" w:line="240" w:lineRule="auto"/>
        <w:ind w:left="714"/>
        <w:contextualSpacing/>
        <w:jc w:val="both"/>
        <w:rPr>
          <w:rFonts w:ascii="Times New Roman" w:hAnsi="Times New Roman"/>
          <w:noProof/>
          <w:sz w:val="24"/>
        </w:rPr>
      </w:pPr>
    </w:p>
    <w:p w:rsidR="004A6463" w:rsidRDefault="00E53711">
      <w:pPr>
        <w:pStyle w:val="ListParagraph"/>
        <w:numPr>
          <w:ilvl w:val="0"/>
          <w:numId w:val="3"/>
        </w:numPr>
        <w:tabs>
          <w:tab w:val="clear" w:pos="360"/>
          <w:tab w:val="num" w:pos="720"/>
        </w:tabs>
        <w:spacing w:after="0" w:line="240" w:lineRule="auto"/>
        <w:ind w:left="714" w:hanging="357"/>
        <w:contextualSpacing/>
        <w:jc w:val="both"/>
        <w:rPr>
          <w:rFonts w:ascii="Times New Roman" w:hAnsi="Times New Roman"/>
          <w:noProof/>
          <w:sz w:val="24"/>
        </w:rPr>
      </w:pPr>
      <w:r>
        <w:rPr>
          <w:rFonts w:ascii="Times New Roman" w:hAnsi="Times New Roman"/>
          <w:noProof/>
          <w:sz w:val="24"/>
        </w:rPr>
        <w:t xml:space="preserve">d’autres procédés, tels que l’incinération indirecte après pyrolyse ou gazéification. </w:t>
      </w:r>
    </w:p>
    <w:p w:rsidR="004A6463" w:rsidRDefault="00E53711">
      <w:pPr>
        <w:spacing w:after="0" w:line="240" w:lineRule="auto"/>
        <w:jc w:val="both"/>
        <w:rPr>
          <w:rFonts w:ascii="Times New Roman" w:hAnsi="Times New Roman"/>
          <w:noProof/>
          <w:sz w:val="24"/>
        </w:rPr>
      </w:pPr>
      <w:r>
        <w:rPr>
          <w:rFonts w:ascii="Times New Roman" w:hAnsi="Times New Roman"/>
          <w:noProof/>
          <w:sz w:val="24"/>
        </w:rPr>
        <w:t xml:space="preserve">Ces procédés ont des incidences différentes sur l’environnement et n’occupent pas la même position dans la hiérarchie des </w:t>
      </w:r>
      <w:r>
        <w:rPr>
          <w:rFonts w:ascii="Times New Roman" w:hAnsi="Times New Roman"/>
          <w:noProof/>
          <w:sz w:val="24"/>
        </w:rPr>
        <w:t>déchets. En fait, les procédés de valorisation énergétique des déchets englobent une très large gamme d’opérations de traitement des déchets, allant de l’«élimination» et de la «valorisation» au «recyclage».  Ainsi, la législation de l’UE sur les déchets</w:t>
      </w:r>
      <w:r>
        <w:rPr>
          <w:rFonts w:ascii="Times New Roman" w:hAnsi="Times New Roman"/>
          <w:noProof/>
          <w:sz w:val="24"/>
        </w:rPr>
        <w:footnoteReference w:id="10"/>
      </w:r>
      <w:r>
        <w:rPr>
          <w:rFonts w:ascii="Times New Roman" w:hAnsi="Times New Roman"/>
          <w:noProof/>
          <w:sz w:val="24"/>
        </w:rPr>
        <w:t xml:space="preserve"> </w:t>
      </w:r>
      <w:r>
        <w:rPr>
          <w:rFonts w:ascii="Times New Roman" w:hAnsi="Times New Roman"/>
          <w:noProof/>
          <w:sz w:val="24"/>
        </w:rPr>
        <w:t>considère comme des opérations de recyclage les procédés tels que la digestion anaérobie qui entraînent la production d’un biogaz et d’un digestat. En revanche, l’incinération des déchets, lorsqu’elle ne permet qu’une récupération limitée d’énergie, est co</w:t>
      </w:r>
      <w:r>
        <w:rPr>
          <w:rFonts w:ascii="Times New Roman" w:hAnsi="Times New Roman"/>
          <w:noProof/>
          <w:sz w:val="24"/>
        </w:rPr>
        <w:t>nsidérée comme élimination. Le graphique 1 ci-dessous illustre la position des différents procédés de valorisation énergétique des déchets dans la hiérarchie des déchets établie par l’UE.</w:t>
      </w:r>
    </w:p>
    <w:p w:rsidR="004A6463" w:rsidRDefault="004A6463">
      <w:pPr>
        <w:spacing w:after="0" w:line="240" w:lineRule="auto"/>
        <w:jc w:val="both"/>
        <w:rPr>
          <w:rFonts w:ascii="Times New Roman" w:hAnsi="Times New Roman"/>
          <w:noProof/>
          <w:sz w:val="24"/>
        </w:rPr>
      </w:pPr>
    </w:p>
    <w:p w:rsidR="004A6463" w:rsidRDefault="00E53711">
      <w:pPr>
        <w:pStyle w:val="Caption1"/>
        <w:rPr>
          <w:rFonts w:hint="eastAsia"/>
          <w:noProof/>
        </w:rPr>
      </w:pPr>
      <w:r>
        <w:rPr>
          <w:noProof/>
        </w:rPr>
        <w:object w:dxaOrig="10478" w:dyaOrig="5390">
          <v:shape id="_x0000_i1026" type="#_x0000_t75" style="width:524.25pt;height:269.25pt" o:ole="">
            <v:imagedata r:id="rId16" o:title=""/>
          </v:shape>
          <o:OLEObject Type="Embed" ProgID="PowerPoint.Show.12" ShapeID="_x0000_i1026" DrawAspect="Content" ObjectID="_1546931146" r:id="rId17"/>
        </w:object>
      </w:r>
    </w:p>
    <w:p w:rsidR="004A6463" w:rsidRDefault="00E53711">
      <w:pPr>
        <w:pStyle w:val="Caption1"/>
        <w:rPr>
          <w:rFonts w:ascii="Times New Roman" w:hAnsi="Times New Roman"/>
          <w:b/>
          <w:noProof/>
          <w:sz w:val="24"/>
        </w:rPr>
      </w:pPr>
      <w:r>
        <w:rPr>
          <w:rFonts w:ascii="Times New Roman" w:hAnsi="Times New Roman"/>
          <w:b/>
          <w:noProof/>
          <w:sz w:val="24"/>
        </w:rPr>
        <w:t xml:space="preserve">Graphique 1. La hiérarchie des </w:t>
      </w:r>
      <w:r>
        <w:rPr>
          <w:rFonts w:ascii="Times New Roman" w:hAnsi="Times New Roman"/>
          <w:b/>
          <w:noProof/>
          <w:sz w:val="24"/>
        </w:rPr>
        <w:t>déchets et les procédés de valorisation énergétique des déchets</w:t>
      </w:r>
    </w:p>
    <w:p w:rsidR="004A6463" w:rsidRDefault="00E53711">
      <w:pPr>
        <w:spacing w:after="0" w:line="240" w:lineRule="auto"/>
        <w:jc w:val="both"/>
        <w:rPr>
          <w:rFonts w:ascii="Times New Roman" w:hAnsi="Times New Roman"/>
          <w:noProof/>
          <w:sz w:val="24"/>
        </w:rPr>
      </w:pPr>
      <w:r>
        <w:rPr>
          <w:rFonts w:ascii="Times New Roman" w:hAnsi="Times New Roman" w:hint="eastAsia"/>
          <w:noProof/>
          <w:sz w:val="24"/>
        </w:rPr>
        <w:t xml:space="preserve">Il importe de souligner que la hiérarchie des déchets reflète dans une large mesure </w:t>
      </w:r>
      <w:r>
        <w:rPr>
          <w:rFonts w:ascii="Times New Roman" w:hAnsi="Times New Roman"/>
          <w:noProof/>
          <w:sz w:val="24"/>
        </w:rPr>
        <w:t>l'</w:t>
      </w:r>
      <w:r>
        <w:rPr>
          <w:rFonts w:ascii="Times New Roman" w:hAnsi="Times New Roman" w:hint="eastAsia"/>
          <w:noProof/>
          <w:sz w:val="24"/>
        </w:rPr>
        <w:t>option environnementale privilégiée d</w:t>
      </w:r>
      <w:r>
        <w:rPr>
          <w:rFonts w:ascii="Times New Roman" w:hAnsi="Times New Roman"/>
          <w:noProof/>
          <w:sz w:val="24"/>
        </w:rPr>
        <w:t>'</w:t>
      </w:r>
      <w:r>
        <w:rPr>
          <w:rFonts w:ascii="Times New Roman" w:hAnsi="Times New Roman" w:hint="eastAsia"/>
          <w:noProof/>
          <w:sz w:val="24"/>
        </w:rPr>
        <w:t>un point de vue climatique:</w:t>
      </w:r>
      <w:r>
        <w:rPr>
          <w:rFonts w:ascii="Times New Roman" w:hAnsi="Times New Roman"/>
          <w:noProof/>
          <w:sz w:val="24"/>
        </w:rPr>
        <w:t xml:space="preserve"> l’élimination, par mise en décharge ou i</w:t>
      </w:r>
      <w:r>
        <w:rPr>
          <w:rFonts w:ascii="Times New Roman" w:hAnsi="Times New Roman"/>
          <w:noProof/>
          <w:sz w:val="24"/>
        </w:rPr>
        <w:t>ncinération avec peu ou pas de valorisation énergétique, est généralement l’option la moins propice à la réduction des émissions de gaz à effet de serre (GES); à l’inverse, la prévention, le réemploi et le recyclage des déchets sont les options qui présent</w:t>
      </w:r>
      <w:r>
        <w:rPr>
          <w:rFonts w:ascii="Times New Roman" w:hAnsi="Times New Roman"/>
          <w:noProof/>
          <w:sz w:val="24"/>
        </w:rPr>
        <w:t>ent le plus grand potentiel en matière de réduction des émissions de GES.</w:t>
      </w:r>
    </w:p>
    <w:p w:rsidR="004A6463" w:rsidRDefault="004A6463">
      <w:pPr>
        <w:spacing w:after="0" w:line="240" w:lineRule="auto"/>
        <w:jc w:val="both"/>
        <w:rPr>
          <w:rFonts w:ascii="Times New Roman" w:hAnsi="Times New Roman"/>
          <w:noProof/>
          <w:sz w:val="24"/>
        </w:rPr>
      </w:pPr>
    </w:p>
    <w:p w:rsidR="004A6463" w:rsidRDefault="00E53711">
      <w:pPr>
        <w:pStyle w:val="Default"/>
        <w:jc w:val="both"/>
        <w:rPr>
          <w:rFonts w:ascii="Times New Roman" w:hAnsi="Times New Roman"/>
          <w:noProof/>
        </w:rPr>
      </w:pPr>
      <w:r>
        <w:rPr>
          <w:rFonts w:ascii="Times New Roman" w:hAnsi="Times New Roman"/>
          <w:noProof/>
        </w:rPr>
        <w:t>Il convient également de rappeler que les États membres disposent d’une certaine latitude pour appliquer la hiérarchie, l’objectif ultime étant d’encourager les modes de gestion des</w:t>
      </w:r>
      <w:r>
        <w:rPr>
          <w:rFonts w:ascii="Times New Roman" w:hAnsi="Times New Roman"/>
          <w:noProof/>
        </w:rPr>
        <w:t xml:space="preserve"> déchets qui permettent d’obtenir le meilleur résultat sur le plan de l’environnement</w:t>
      </w:r>
      <w:r>
        <w:rPr>
          <w:rStyle w:val="FootnoteReference"/>
          <w:rFonts w:ascii="Times New Roman" w:hAnsi="Times New Roman"/>
          <w:noProof/>
        </w:rPr>
        <w:footnoteReference w:id="11"/>
      </w:r>
      <w:r>
        <w:rPr>
          <w:rFonts w:ascii="Times New Roman" w:hAnsi="Times New Roman"/>
          <w:noProof/>
        </w:rPr>
        <w:t>. Pour certains flux de déchets spécifiques, il peut être nécessaire, afin d’obtenir le meilleur résultat sur le plan de l’environnement, de s’écarter de l’ordre de prior</w:t>
      </w:r>
      <w:r>
        <w:rPr>
          <w:rFonts w:ascii="Times New Roman" w:hAnsi="Times New Roman"/>
          <w:noProof/>
        </w:rPr>
        <w:t xml:space="preserve">ité fixé dans la hiérarchie des déchets, notamment pour des raisons de faisabilité technique, de viabilité économique et de protection de l’environnement. Une telle décision doit être justifiée, </w:t>
      </w:r>
      <w:r>
        <w:rPr>
          <w:rFonts w:ascii="Times New Roman" w:hAnsi="Times New Roman"/>
          <w:noProof/>
          <w:u w:val="single"/>
        </w:rPr>
        <w:t>conformément aux dispositions de l’article 4, paragraphe 2, d</w:t>
      </w:r>
      <w:r>
        <w:rPr>
          <w:rFonts w:ascii="Times New Roman" w:hAnsi="Times New Roman"/>
          <w:noProof/>
          <w:u w:val="single"/>
        </w:rPr>
        <w:t>e la directive-cadre relative aux déchets</w:t>
      </w:r>
      <w:r>
        <w:rPr>
          <w:rStyle w:val="FootnoteReference"/>
          <w:rFonts w:ascii="Times New Roman" w:hAnsi="Times New Roman"/>
          <w:noProof/>
        </w:rPr>
        <w:footnoteReference w:id="12"/>
      </w:r>
      <w:r>
        <w:rPr>
          <w:rFonts w:ascii="Times New Roman" w:hAnsi="Times New Roman"/>
          <w:noProof/>
        </w:rPr>
        <w:t xml:space="preserve">. Ainsi, dans certains cas spécifiques </w:t>
      </w:r>
      <w:r>
        <w:rPr>
          <w:rFonts w:ascii="Times New Roman" w:hAnsi="Times New Roman"/>
          <w:noProof/>
          <w:u w:val="single"/>
        </w:rPr>
        <w:t>et justifiés</w:t>
      </w:r>
      <w:r>
        <w:rPr>
          <w:rFonts w:ascii="Times New Roman" w:hAnsi="Times New Roman"/>
          <w:noProof/>
        </w:rPr>
        <w:t xml:space="preserve"> (par exemple, les matériaux contenant certaines substances extrêmement préoccupantes), l’élimination ou la valorisation énergétique peut être préférable au recycl</w:t>
      </w:r>
      <w:r>
        <w:rPr>
          <w:rFonts w:ascii="Times New Roman" w:hAnsi="Times New Roman"/>
          <w:noProof/>
        </w:rPr>
        <w:t>age</w:t>
      </w:r>
      <w:r>
        <w:rPr>
          <w:noProof/>
          <w:vertAlign w:val="superscript"/>
        </w:rPr>
        <w:footnoteReference w:id="13"/>
      </w:r>
      <w:r>
        <w:rPr>
          <w:rFonts w:ascii="Times New Roman" w:hAnsi="Times New Roman"/>
          <w:noProof/>
        </w:rPr>
        <w:t>.</w:t>
      </w:r>
    </w:p>
    <w:p w:rsidR="004A6463" w:rsidRDefault="004A6463">
      <w:pPr>
        <w:pStyle w:val="Default"/>
        <w:jc w:val="both"/>
        <w:rPr>
          <w:rFonts w:ascii="Times New Roman" w:hAnsi="Times New Roman"/>
          <w:noProof/>
        </w:rPr>
      </w:pPr>
    </w:p>
    <w:p w:rsidR="004A6463" w:rsidRDefault="00E53711">
      <w:pPr>
        <w:spacing w:after="0" w:line="240" w:lineRule="auto"/>
        <w:jc w:val="both"/>
        <w:rPr>
          <w:rFonts w:ascii="Times New Roman" w:hAnsi="Times New Roman"/>
          <w:noProof/>
          <w:sz w:val="24"/>
        </w:rPr>
      </w:pPr>
      <w:r>
        <w:rPr>
          <w:noProof/>
        </w:rPr>
        <w:t>Pour soutenir la transition vers une économie plus circulaire, il faut que le financement public de la gestion des déchets, que ce soit à l’échelon national ou au niveau de l’UE, concorde avec l’objectif de privilégier, dans la mise en œuvre de la h</w:t>
      </w:r>
      <w:r>
        <w:rPr>
          <w:noProof/>
        </w:rPr>
        <w:t>iérarchie des déchets de l’Union, les options occupant un rang plus élevé.</w:t>
      </w:r>
      <w:r>
        <w:rPr>
          <w:rFonts w:ascii="Times New Roman" w:hAnsi="Times New Roman"/>
          <w:noProof/>
          <w:sz w:val="24"/>
        </w:rPr>
        <w:t xml:space="preserve"> </w:t>
      </w:r>
    </w:p>
    <w:p w:rsidR="004A6463" w:rsidRDefault="004A6463">
      <w:pPr>
        <w:spacing w:after="0" w:line="240" w:lineRule="auto"/>
        <w:jc w:val="both"/>
        <w:rPr>
          <w:rFonts w:ascii="Times New Roman" w:hAnsi="Times New Roman"/>
          <w:noProof/>
          <w:sz w:val="24"/>
        </w:rPr>
      </w:pPr>
    </w:p>
    <w:p w:rsidR="004A6463" w:rsidRDefault="00E53711">
      <w:pPr>
        <w:spacing w:after="0" w:line="240" w:lineRule="auto"/>
        <w:jc w:val="both"/>
        <w:rPr>
          <w:rFonts w:ascii="Times New Roman" w:hAnsi="Times New Roman"/>
          <w:noProof/>
          <w:sz w:val="24"/>
        </w:rPr>
      </w:pPr>
      <w:r>
        <w:rPr>
          <w:rFonts w:ascii="Times New Roman" w:hAnsi="Times New Roman"/>
          <w:i/>
          <w:noProof/>
          <w:sz w:val="24"/>
        </w:rPr>
        <w:t>Au niveau de l’UE</w:t>
      </w:r>
      <w:r>
        <w:rPr>
          <w:rFonts w:ascii="Times New Roman" w:hAnsi="Times New Roman"/>
          <w:noProof/>
          <w:sz w:val="24"/>
        </w:rPr>
        <w:t>, la transition vers des systèmes plus durables de gestion des déchets bénéficie d’un soutien financier mis à disposition principalement dans le cadre du cofinanc</w:t>
      </w:r>
      <w:r>
        <w:rPr>
          <w:rFonts w:ascii="Times New Roman" w:hAnsi="Times New Roman"/>
          <w:noProof/>
          <w:sz w:val="24"/>
        </w:rPr>
        <w:t>ement par les Fonds relevant de la politique de cohésion</w:t>
      </w:r>
      <w:r>
        <w:rPr>
          <w:rStyle w:val="FootnoteReference"/>
          <w:rFonts w:ascii="Times New Roman" w:hAnsi="Times New Roman"/>
          <w:noProof/>
          <w:sz w:val="24"/>
        </w:rPr>
        <w:footnoteReference w:id="14"/>
      </w:r>
      <w:r>
        <w:rPr>
          <w:rFonts w:ascii="Times New Roman" w:hAnsi="Times New Roman"/>
          <w:noProof/>
          <w:sz w:val="24"/>
        </w:rPr>
        <w:t xml:space="preserve">. Dans le cas de ces Fonds, un certain nombre de conditions préalables doivent être remplies pour assurer que les nouveaux investissements dans le secteur des déchets sont compatibles avec les plans </w:t>
      </w:r>
      <w:r>
        <w:rPr>
          <w:rFonts w:ascii="Times New Roman" w:hAnsi="Times New Roman"/>
          <w:noProof/>
          <w:sz w:val="24"/>
        </w:rPr>
        <w:t>de gestion des déchets élaborés par les États membres pour atteindre leurs objectifs de préparation en vue du réemploi et de recyclage. Comme l’indique le plan d’action en faveur de l’économie circulaire, cela signifie que le financement de nouvelles insta</w:t>
      </w:r>
      <w:r>
        <w:rPr>
          <w:rFonts w:ascii="Times New Roman" w:hAnsi="Times New Roman"/>
          <w:noProof/>
          <w:sz w:val="24"/>
        </w:rPr>
        <w:t>llations de traitement des déchets résiduels, comme les capacités d’incinération supplémentaires, ne sera accordé que dans des cas limités et dûment justifiés, lorsqu'il n’existe aucun risque de surcapacité et que les objectifs de la hiérarchie des déchets</w:t>
      </w:r>
      <w:r>
        <w:rPr>
          <w:rFonts w:ascii="Times New Roman" w:hAnsi="Times New Roman"/>
          <w:noProof/>
          <w:sz w:val="24"/>
        </w:rPr>
        <w:t xml:space="preserve"> sont pleinement respectés.</w:t>
      </w:r>
    </w:p>
    <w:p w:rsidR="004A6463" w:rsidRDefault="004A6463">
      <w:pPr>
        <w:spacing w:after="0" w:line="240" w:lineRule="auto"/>
        <w:jc w:val="both"/>
        <w:rPr>
          <w:rFonts w:ascii="Times New Roman" w:hAnsi="Times New Roman"/>
          <w:noProof/>
          <w:sz w:val="24"/>
        </w:rPr>
      </w:pPr>
    </w:p>
    <w:p w:rsidR="004A6463" w:rsidRDefault="00E53711">
      <w:pPr>
        <w:spacing w:after="0" w:line="240" w:lineRule="auto"/>
        <w:jc w:val="both"/>
        <w:rPr>
          <w:rFonts w:ascii="Times New Roman" w:hAnsi="Times New Roman"/>
          <w:noProof/>
          <w:sz w:val="24"/>
        </w:rPr>
      </w:pPr>
      <w:r>
        <w:rPr>
          <w:rFonts w:ascii="Times New Roman" w:hAnsi="Times New Roman"/>
          <w:noProof/>
          <w:sz w:val="24"/>
        </w:rPr>
        <w:t xml:space="preserve">Les investissements provenant d’autres mécanismes de financement de l’UE, tels que le Fonds européen pour les investissements stratégiques (EFSI), ont également un rôle important à jouer en permettant, grâce à des prêts, des </w:t>
      </w:r>
      <w:r>
        <w:rPr>
          <w:rFonts w:ascii="Times New Roman" w:hAnsi="Times New Roman"/>
          <w:noProof/>
          <w:sz w:val="24"/>
        </w:rPr>
        <w:t>garanties, des prises de participation et d’autres mécanismes de prise de risque, d’attirer des capitaux privés et de les orienter vers les modes de gestion des déchets les plus efficaces et les plus «circulaires». En outre, le soutien financier de l’UE di</w:t>
      </w:r>
      <w:r>
        <w:rPr>
          <w:rFonts w:ascii="Times New Roman" w:hAnsi="Times New Roman"/>
          <w:noProof/>
          <w:sz w:val="24"/>
        </w:rPr>
        <w:t>sponible pour la recherche et l’innovation dans le domaine des technologies de valorisation énergétique des déchets (Horizon 2020</w:t>
      </w:r>
      <w:r>
        <w:rPr>
          <w:rStyle w:val="FootnoteReference"/>
          <w:rFonts w:ascii="Times New Roman" w:hAnsi="Times New Roman"/>
          <w:noProof/>
          <w:sz w:val="24"/>
        </w:rPr>
        <w:footnoteReference w:id="15"/>
      </w:r>
      <w:r>
        <w:rPr>
          <w:rFonts w:ascii="Times New Roman" w:hAnsi="Times New Roman"/>
          <w:noProof/>
          <w:sz w:val="24"/>
        </w:rPr>
        <w:t>, par exemple, mais aussi les Fonds relevant de la politique de cohésion) contribue à affermir le rôle de chef de file de l’UE</w:t>
      </w:r>
      <w:r>
        <w:rPr>
          <w:rFonts w:ascii="Times New Roman" w:hAnsi="Times New Roman"/>
          <w:noProof/>
          <w:sz w:val="24"/>
        </w:rPr>
        <w:t xml:space="preserve"> et à permettre à des technologies écoénergétiques avancées </w:t>
      </w:r>
      <w:r>
        <w:rPr>
          <w:noProof/>
        </w:rPr>
        <w:t>de pénétrer sur le marché.</w:t>
      </w:r>
    </w:p>
    <w:p w:rsidR="004A6463" w:rsidRDefault="004A6463">
      <w:pPr>
        <w:spacing w:after="0" w:line="240" w:lineRule="auto"/>
        <w:jc w:val="both"/>
        <w:rPr>
          <w:rFonts w:ascii="Times New Roman" w:hAnsi="Times New Roman"/>
          <w:noProof/>
          <w:sz w:val="24"/>
        </w:rPr>
      </w:pPr>
    </w:p>
    <w:p w:rsidR="004A6463" w:rsidRDefault="00E53711">
      <w:pPr>
        <w:spacing w:after="0" w:line="240" w:lineRule="auto"/>
        <w:jc w:val="both"/>
        <w:rPr>
          <w:rFonts w:ascii="Times New Roman" w:hAnsi="Times New Roman"/>
          <w:noProof/>
          <w:sz w:val="24"/>
        </w:rPr>
      </w:pPr>
      <w:r>
        <w:rPr>
          <w:rFonts w:ascii="Times New Roman" w:hAnsi="Times New Roman"/>
          <w:i/>
          <w:noProof/>
          <w:sz w:val="24"/>
        </w:rPr>
        <w:t>Au niveau national</w:t>
      </w:r>
      <w:r>
        <w:rPr>
          <w:rFonts w:ascii="Times New Roman" w:hAnsi="Times New Roman"/>
          <w:noProof/>
          <w:sz w:val="24"/>
        </w:rPr>
        <w:t>, le soutien financier public a également joué bien souvent un rôle essentiel dans le développement de solutions plus durables pour la gestion des déc</w:t>
      </w:r>
      <w:r>
        <w:rPr>
          <w:rFonts w:ascii="Times New Roman" w:hAnsi="Times New Roman"/>
          <w:noProof/>
          <w:sz w:val="24"/>
        </w:rPr>
        <w:t>hets et dans la promotion des énergies renouvelables et de l’efficacité énergétique. Lors de l’évaluation du soutien financier public en faveur des procédés de valorisation énergétique des déchets, il importe tout particulièrement de veiller à ne pas compr</w:t>
      </w:r>
      <w:r>
        <w:rPr>
          <w:rFonts w:ascii="Times New Roman" w:hAnsi="Times New Roman"/>
          <w:noProof/>
          <w:sz w:val="24"/>
        </w:rPr>
        <w:t>omettre la hiérarchie des déchets en décourageant l’adoption de modes de gestion des déchets qui présentent un plus grand potentiel du point de vue de l’économie circulaire. C’est ce qui ressort clairement des lignes directrices en vigueur concernant les a</w:t>
      </w:r>
      <w:r>
        <w:rPr>
          <w:rFonts w:ascii="Times New Roman" w:hAnsi="Times New Roman"/>
          <w:noProof/>
          <w:sz w:val="24"/>
        </w:rPr>
        <w:t>ides d'État à la protection de l'environnement et à l'énergie, lesquelles indiquent que le soutien en faveur de l’énergie produite à partir de sources renouvelables utilisant les déchets ou en faveur des installations de cogénération et de chauffage urbain</w:t>
      </w:r>
      <w:r>
        <w:rPr>
          <w:rFonts w:ascii="Times New Roman" w:hAnsi="Times New Roman"/>
          <w:noProof/>
          <w:sz w:val="24"/>
        </w:rPr>
        <w:t xml:space="preserve"> utilisant les déchets peut contribuer positivement à la protection de l’environnement, à condition de ne pas contourner le principe de hiérarchie des déchets. Il importe également d’éviter que le financement public ne crée des surcapacités en ce qui conce</w:t>
      </w:r>
      <w:r>
        <w:rPr>
          <w:rFonts w:ascii="Times New Roman" w:hAnsi="Times New Roman"/>
          <w:noProof/>
          <w:sz w:val="24"/>
        </w:rPr>
        <w:t>rne les installations pour le traitement des déchets non recyclables, comme les incinérateurs. À cet égard, il convient de rappeler que le volume des déchets mélangés</w:t>
      </w:r>
      <w:r>
        <w:rPr>
          <w:rStyle w:val="FootnoteReference"/>
          <w:rFonts w:ascii="Times New Roman" w:hAnsi="Times New Roman"/>
          <w:noProof/>
          <w:sz w:val="24"/>
        </w:rPr>
        <w:footnoteReference w:id="16"/>
      </w:r>
      <w:r>
        <w:rPr>
          <w:rFonts w:ascii="Times New Roman" w:hAnsi="Times New Roman"/>
          <w:noProof/>
          <w:sz w:val="24"/>
        </w:rPr>
        <w:t xml:space="preserve"> en tant que matières de départ pour les procédés de valorisation énergétique des déchets</w:t>
      </w:r>
      <w:r>
        <w:rPr>
          <w:rFonts w:ascii="Times New Roman" w:hAnsi="Times New Roman"/>
          <w:noProof/>
          <w:sz w:val="24"/>
        </w:rPr>
        <w:t xml:space="preserve"> devrait baisser en raison des obligations de collecte séparée et de la révision à la hausse des objectifs de l’UE en matière de recyclage. C’est pourquoi il est recommandé aux États membres de supprimer progressivement les aides publiques en faveur de la </w:t>
      </w:r>
      <w:r>
        <w:rPr>
          <w:rFonts w:ascii="Times New Roman" w:hAnsi="Times New Roman"/>
          <w:noProof/>
          <w:sz w:val="24"/>
        </w:rPr>
        <w:t>valorisation énergétique des déchets mélangés.</w:t>
      </w:r>
    </w:p>
    <w:p w:rsidR="004A6463" w:rsidRDefault="004A6463">
      <w:pPr>
        <w:spacing w:after="0" w:line="240" w:lineRule="auto"/>
        <w:jc w:val="both"/>
        <w:rPr>
          <w:rFonts w:ascii="Times New Roman" w:hAnsi="Times New Roman"/>
          <w:noProof/>
          <w:sz w:val="24"/>
        </w:rPr>
      </w:pPr>
    </w:p>
    <w:p w:rsidR="004A6463" w:rsidRDefault="00E53711">
      <w:pPr>
        <w:pStyle w:val="ListParagraph"/>
        <w:numPr>
          <w:ilvl w:val="0"/>
          <w:numId w:val="1"/>
        </w:numPr>
        <w:tabs>
          <w:tab w:val="num" w:pos="720"/>
        </w:tabs>
        <w:spacing w:after="240"/>
        <w:ind w:left="720" w:hanging="360"/>
        <w:rPr>
          <w:rFonts w:ascii="Times New Roman" w:hAnsi="Times New Roman"/>
          <w:noProof/>
          <w:sz w:val="24"/>
        </w:rPr>
      </w:pPr>
      <w:r>
        <w:rPr>
          <w:rFonts w:ascii="Times New Roman Bold" w:hAnsi="Times New Roman Bold"/>
          <w:b/>
          <w:noProof/>
          <w:sz w:val="24"/>
        </w:rPr>
        <w:t>Procédés de valorisation énergétique pour le traitement des déchets résiduels: trouver le juste équilibre</w:t>
      </w:r>
    </w:p>
    <w:p w:rsidR="004A6463" w:rsidRDefault="00E53711">
      <w:pPr>
        <w:spacing w:before="240" w:after="120" w:line="240" w:lineRule="auto"/>
        <w:jc w:val="both"/>
        <w:rPr>
          <w:rFonts w:ascii="Times New Roman" w:hAnsi="Times New Roman"/>
          <w:noProof/>
          <w:sz w:val="24"/>
        </w:rPr>
      </w:pPr>
      <w:r>
        <w:rPr>
          <w:rFonts w:ascii="Times New Roman" w:hAnsi="Times New Roman"/>
          <w:noProof/>
          <w:sz w:val="24"/>
        </w:rPr>
        <w:t xml:space="preserve">La transition vers une économie circulaire exige de trouver le juste équilibre en ce qui concerne les </w:t>
      </w:r>
      <w:r>
        <w:rPr>
          <w:rFonts w:ascii="Times New Roman" w:hAnsi="Times New Roman"/>
          <w:noProof/>
          <w:sz w:val="24"/>
        </w:rPr>
        <w:t>capacités de valorisation énergétique des déchets non recyclables. Il s’agit là d’une condition essentielle si l’on veut éviter le risque de subir des pertes économiques ou de créer des obstacles infrastructurels à l'obtention de taux de recyclage plus éle</w:t>
      </w:r>
      <w:r>
        <w:rPr>
          <w:rFonts w:ascii="Times New Roman" w:hAnsi="Times New Roman"/>
          <w:noProof/>
          <w:sz w:val="24"/>
        </w:rPr>
        <w:t>vés. L’expérience de certains États membres montre que le risque d’accumuler des actifs irrécupérables est bien réel.</w:t>
      </w:r>
    </w:p>
    <w:p w:rsidR="004A6463" w:rsidRDefault="00E53711">
      <w:pPr>
        <w:spacing w:before="240" w:after="120" w:line="240" w:lineRule="auto"/>
        <w:jc w:val="both"/>
        <w:rPr>
          <w:rFonts w:ascii="Times New Roman" w:hAnsi="Times New Roman"/>
          <w:noProof/>
          <w:sz w:val="24"/>
        </w:rPr>
      </w:pPr>
      <w:r>
        <w:rPr>
          <w:rFonts w:ascii="Times New Roman" w:hAnsi="Times New Roman"/>
          <w:noProof/>
          <w:sz w:val="24"/>
        </w:rPr>
        <w:t>Une étude réalisée récemment</w:t>
      </w:r>
      <w:r>
        <w:rPr>
          <w:rStyle w:val="FootnoteReference"/>
          <w:noProof/>
        </w:rPr>
        <w:footnoteReference w:id="17"/>
      </w:r>
      <w:r>
        <w:rPr>
          <w:rFonts w:ascii="Times New Roman" w:hAnsi="Times New Roman"/>
          <w:noProof/>
          <w:sz w:val="24"/>
        </w:rPr>
        <w:t xml:space="preserve"> pour le compte de l’Agence européenne pour l’environnement établit une cartographie des capacités spécialisé</w:t>
      </w:r>
      <w:r>
        <w:rPr>
          <w:rFonts w:ascii="Times New Roman" w:hAnsi="Times New Roman"/>
          <w:noProof/>
          <w:sz w:val="24"/>
        </w:rPr>
        <w:t>es d’incinération des déchets municipaux dans l’UE-28, ainsi que des flux de déchets municipaux et de combustibles dérivés de déchets</w:t>
      </w:r>
      <w:r>
        <w:rPr>
          <w:rStyle w:val="FootnoteReference"/>
          <w:noProof/>
        </w:rPr>
        <w:footnoteReference w:id="18"/>
      </w:r>
      <w:r>
        <w:rPr>
          <w:rFonts w:ascii="Times New Roman" w:hAnsi="Times New Roman"/>
          <w:noProof/>
          <w:sz w:val="24"/>
        </w:rPr>
        <w:t xml:space="preserve"> entre les États membres. Il ressort de cette étude que les capacités d’incinération dans l’UE-28 (plus la Suisse et la No</w:t>
      </w:r>
      <w:r>
        <w:rPr>
          <w:rFonts w:ascii="Times New Roman" w:hAnsi="Times New Roman"/>
          <w:noProof/>
          <w:sz w:val="24"/>
        </w:rPr>
        <w:t>rvège) ont augmenté de 6 % entre 2010 et 2014, atteignant ainsi 81 Mt, et que les flux de déchets entre certains États membres aux fins de l’incinération de déchets municipaux et de combustibles dérivés de déchets sont parfois restés significatifs. En 2013</w:t>
      </w:r>
      <w:r>
        <w:rPr>
          <w:rFonts w:ascii="Times New Roman" w:hAnsi="Times New Roman"/>
          <w:noProof/>
          <w:sz w:val="24"/>
        </w:rPr>
        <w:t>, près de 2,5 Mt de déchets (essentiellement des combustibles dérivés de déchets) ont été expédiés en vue de leur valorisation énergétique.</w:t>
      </w:r>
    </w:p>
    <w:p w:rsidR="004A6463" w:rsidRDefault="00E53711">
      <w:pPr>
        <w:spacing w:before="240" w:after="120" w:line="240" w:lineRule="auto"/>
        <w:jc w:val="both"/>
        <w:rPr>
          <w:rFonts w:ascii="Times New Roman" w:hAnsi="Times New Roman"/>
          <w:noProof/>
          <w:sz w:val="24"/>
        </w:rPr>
      </w:pPr>
      <w:r>
        <w:rPr>
          <w:rFonts w:ascii="Times New Roman" w:hAnsi="Times New Roman"/>
          <w:noProof/>
          <w:sz w:val="24"/>
        </w:rPr>
        <w:t>L’étude confirme également que les capacités spécialisées d’incinération des déchets municipaux sont réparties de fa</w:t>
      </w:r>
      <w:r>
        <w:rPr>
          <w:rFonts w:ascii="Times New Roman" w:hAnsi="Times New Roman"/>
          <w:noProof/>
          <w:sz w:val="24"/>
        </w:rPr>
        <w:t>çon inégale dans l’UE. En effet, l’Allemagne, la France, les Pays-Bas, la Suède, l’Italie et le Royaume-Uni représentent les trois quarts des capacités d’incinération de l’Union. La Suède et le Danemark, avec respectivement 591 kg/habitant et 587 kg/habita</w:t>
      </w:r>
      <w:r>
        <w:rPr>
          <w:rFonts w:ascii="Times New Roman" w:hAnsi="Times New Roman"/>
          <w:noProof/>
          <w:sz w:val="24"/>
        </w:rPr>
        <w:t>nt, disposent de la capacité d’incinération par habitant la plus élevée, suivis des Pays-Bas, de l’Autriche, de la Finlande et de la Belgique. En revanche, les régions méridionales et orientales de l’Union sont pratiquement dépourvues de capacités d’inciné</w:t>
      </w:r>
      <w:r>
        <w:rPr>
          <w:rFonts w:ascii="Times New Roman" w:hAnsi="Times New Roman"/>
          <w:noProof/>
          <w:sz w:val="24"/>
        </w:rPr>
        <w:t>ration spécialisées et recourent largement à la mise en décharge. Ces données correspondent aux statistiques d’Eurostat concernant les taux d’incinération des déchets municipaux, qui font elles aussi apparaître de grandes divergences entre les États membre</w:t>
      </w:r>
      <w:r>
        <w:rPr>
          <w:rFonts w:ascii="Times New Roman" w:hAnsi="Times New Roman"/>
          <w:noProof/>
          <w:sz w:val="24"/>
        </w:rPr>
        <w:t xml:space="preserve">s. </w:t>
      </w:r>
    </w:p>
    <w:p w:rsidR="004A6463" w:rsidRDefault="00E53711">
      <w:pPr>
        <w:spacing w:before="240" w:after="120" w:line="240" w:lineRule="auto"/>
        <w:jc w:val="both"/>
        <w:rPr>
          <w:rFonts w:ascii="Times New Roman" w:hAnsi="Times New Roman"/>
          <w:noProof/>
          <w:sz w:val="24"/>
        </w:rPr>
      </w:pPr>
      <w:r>
        <w:rPr>
          <w:rFonts w:ascii="Times New Roman" w:hAnsi="Times New Roman"/>
          <w:noProof/>
          <w:sz w:val="24"/>
        </w:rPr>
        <w:t xml:space="preserve">En fonction des particularités de leur situation, les États membres disposent de diverses options pour parvenir à un bon équilibre en matière de capacités de valorisation énergétique des déchets, et notamment d’incinération: </w:t>
      </w:r>
    </w:p>
    <w:p w:rsidR="004A6463" w:rsidRDefault="00E53711">
      <w:pPr>
        <w:spacing w:before="240" w:after="120" w:line="240" w:lineRule="auto"/>
        <w:jc w:val="both"/>
        <w:rPr>
          <w:rFonts w:ascii="Times New Roman Italic" w:hAnsi="Times New Roman Italic" w:hint="eastAsia"/>
          <w:i/>
          <w:noProof/>
          <w:sz w:val="24"/>
        </w:rPr>
      </w:pPr>
      <w:r>
        <w:rPr>
          <w:rFonts w:ascii="Times New Roman Italic" w:hAnsi="Times New Roman Italic"/>
          <w:i/>
          <w:noProof/>
          <w:sz w:val="24"/>
        </w:rPr>
        <w:t>États membres dont les cap</w:t>
      </w:r>
      <w:r>
        <w:rPr>
          <w:rFonts w:ascii="Times New Roman Italic" w:hAnsi="Times New Roman Italic"/>
          <w:i/>
          <w:noProof/>
          <w:sz w:val="24"/>
        </w:rPr>
        <w:t>acités d’incinération spécialisées sont faibles ou inexistantes et qui recourent largement à la mise en décharge</w:t>
      </w:r>
    </w:p>
    <w:p w:rsidR="004A6463" w:rsidRDefault="00E53711">
      <w:pPr>
        <w:spacing w:before="240" w:after="120" w:line="240" w:lineRule="auto"/>
        <w:jc w:val="both"/>
        <w:rPr>
          <w:rFonts w:ascii="Times New Roman" w:hAnsi="Times New Roman"/>
          <w:noProof/>
          <w:sz w:val="24"/>
        </w:rPr>
      </w:pPr>
      <w:r>
        <w:rPr>
          <w:rFonts w:ascii="Times New Roman" w:hAnsi="Times New Roman"/>
          <w:noProof/>
          <w:sz w:val="24"/>
        </w:rPr>
        <w:t>Ces États membres devraient s’attacher en priorité à développer davantage les systèmes de collecte séparée et les infrastructures de recyclage,</w:t>
      </w:r>
      <w:r>
        <w:rPr>
          <w:rFonts w:ascii="Times New Roman" w:hAnsi="Times New Roman"/>
          <w:noProof/>
          <w:sz w:val="24"/>
        </w:rPr>
        <w:t xml:space="preserve"> conformément à la législation de l’UE. L’abandon progressif de la mise en décharge des déchets devrait aller de pair avec la création de capacités de recyclage plus importantes. Il est particulièrement urgent, d’un point de vue climatique, de réduire la m</w:t>
      </w:r>
      <w:r>
        <w:rPr>
          <w:rFonts w:ascii="Times New Roman" w:hAnsi="Times New Roman"/>
          <w:noProof/>
          <w:sz w:val="24"/>
        </w:rPr>
        <w:t>ise en décharge des déchets biodégradables afin de réduire les émissions de méthane. La mise en place de capacités combinant valorisation énergétique et recyclage des matériaux faisant appel à la digestion anaérobie pourrait constituer une option de gestio</w:t>
      </w:r>
      <w:r>
        <w:rPr>
          <w:rFonts w:ascii="Times New Roman" w:hAnsi="Times New Roman"/>
          <w:noProof/>
          <w:sz w:val="24"/>
        </w:rPr>
        <w:t>n intéressante dans ce contexte.</w:t>
      </w:r>
    </w:p>
    <w:p w:rsidR="004A6463" w:rsidRDefault="00E53711">
      <w:pPr>
        <w:spacing w:before="240" w:after="120" w:line="240" w:lineRule="auto"/>
        <w:jc w:val="both"/>
        <w:rPr>
          <w:rFonts w:ascii="Times New Roman" w:hAnsi="Times New Roman"/>
          <w:noProof/>
          <w:sz w:val="24"/>
        </w:rPr>
      </w:pPr>
      <w:r>
        <w:rPr>
          <w:rFonts w:ascii="Times New Roman" w:hAnsi="Times New Roman"/>
          <w:noProof/>
          <w:sz w:val="24"/>
        </w:rPr>
        <w:t>Lorsqu’ils réexaminent leurs plans nationaux de gestion des déchets et évaluent la nécessité d’augmenter leurs capacités de valorisation énergétique pour le traitement des déchets non recyclables (incinération, par exemple)</w:t>
      </w:r>
      <w:r>
        <w:rPr>
          <w:rFonts w:ascii="Times New Roman" w:hAnsi="Times New Roman"/>
          <w:noProof/>
          <w:sz w:val="24"/>
        </w:rPr>
        <w:t>, les États membres devraient adopter une perspective à long terme et examiner soigneusement les facteurs suivants:</w:t>
      </w:r>
    </w:p>
    <w:p w:rsidR="004A6463" w:rsidRDefault="00E53711">
      <w:pPr>
        <w:numPr>
          <w:ilvl w:val="0"/>
          <w:numId w:val="6"/>
        </w:numPr>
        <w:tabs>
          <w:tab w:val="clear" w:pos="360"/>
          <w:tab w:val="num" w:pos="720"/>
        </w:tabs>
        <w:spacing w:before="240" w:after="240" w:line="240" w:lineRule="auto"/>
        <w:ind w:left="714" w:hanging="357"/>
        <w:jc w:val="both"/>
        <w:rPr>
          <w:rFonts w:ascii="Times New Roman" w:hAnsi="Times New Roman"/>
          <w:noProof/>
          <w:sz w:val="24"/>
        </w:rPr>
      </w:pPr>
      <w:r>
        <w:rPr>
          <w:rFonts w:ascii="Times New Roman" w:hAnsi="Times New Roman"/>
          <w:noProof/>
          <w:sz w:val="24"/>
        </w:rPr>
        <w:t>l’incidence des obligations de collecte séparée existantes et envisagées, ainsi que des objectifs en matière de recyclage, sur la disponibil</w:t>
      </w:r>
      <w:r>
        <w:rPr>
          <w:rFonts w:ascii="Times New Roman" w:hAnsi="Times New Roman"/>
          <w:noProof/>
          <w:sz w:val="24"/>
        </w:rPr>
        <w:t>ité de matières de départ pour alimenter les nouvelles installations d’incinération durant toute leur durée de vie (20 à 30 ans);</w:t>
      </w:r>
    </w:p>
    <w:p w:rsidR="004A6463" w:rsidRDefault="00E53711">
      <w:pPr>
        <w:numPr>
          <w:ilvl w:val="0"/>
          <w:numId w:val="6"/>
        </w:numPr>
        <w:tabs>
          <w:tab w:val="clear" w:pos="360"/>
          <w:tab w:val="num" w:pos="720"/>
        </w:tabs>
        <w:spacing w:before="240" w:after="240" w:line="240" w:lineRule="auto"/>
        <w:ind w:left="714" w:hanging="357"/>
        <w:jc w:val="both"/>
        <w:rPr>
          <w:rFonts w:ascii="Times New Roman" w:hAnsi="Times New Roman"/>
          <w:noProof/>
          <w:sz w:val="24"/>
        </w:rPr>
      </w:pPr>
      <w:r>
        <w:rPr>
          <w:rFonts w:ascii="Times New Roman" w:hAnsi="Times New Roman"/>
          <w:noProof/>
          <w:sz w:val="24"/>
        </w:rPr>
        <w:t xml:space="preserve">la capacité de coïncinération disponible dans les installations de combustion et dans les fours à ciment et à chaux ou autres </w:t>
      </w:r>
      <w:r>
        <w:rPr>
          <w:rFonts w:ascii="Times New Roman" w:hAnsi="Times New Roman"/>
          <w:noProof/>
          <w:sz w:val="24"/>
        </w:rPr>
        <w:t>installations industrielles appropriées; et</w:t>
      </w:r>
    </w:p>
    <w:p w:rsidR="004A6463" w:rsidRDefault="00E53711">
      <w:pPr>
        <w:numPr>
          <w:ilvl w:val="0"/>
          <w:numId w:val="6"/>
        </w:numPr>
        <w:tabs>
          <w:tab w:val="clear" w:pos="360"/>
          <w:tab w:val="num" w:pos="720"/>
        </w:tabs>
        <w:spacing w:before="240" w:after="240" w:line="240" w:lineRule="auto"/>
        <w:ind w:left="714" w:hanging="357"/>
        <w:jc w:val="both"/>
        <w:rPr>
          <w:rFonts w:ascii="Times New Roman" w:hAnsi="Times New Roman"/>
          <w:noProof/>
          <w:sz w:val="24"/>
        </w:rPr>
      </w:pPr>
      <w:r>
        <w:rPr>
          <w:rFonts w:ascii="Times New Roman" w:hAnsi="Times New Roman"/>
          <w:noProof/>
          <w:sz w:val="24"/>
        </w:rPr>
        <w:t>les capacités prévues ou existantes dans les pays voisins.</w:t>
      </w:r>
    </w:p>
    <w:p w:rsidR="004A6463" w:rsidRDefault="00E53711">
      <w:pPr>
        <w:spacing w:after="0" w:line="240" w:lineRule="auto"/>
        <w:jc w:val="both"/>
        <w:rPr>
          <w:rFonts w:ascii="Times New Roman" w:hAnsi="Times New Roman"/>
          <w:noProof/>
          <w:sz w:val="24"/>
        </w:rPr>
      </w:pPr>
      <w:r>
        <w:rPr>
          <w:rFonts w:ascii="Times New Roman" w:hAnsi="Times New Roman"/>
          <w:noProof/>
          <w:sz w:val="24"/>
        </w:rPr>
        <w:t>Dans certains cas justifiés, les transports transfrontières de déchets pourraient contribuer à l’utilisation optimale des capacités de valorisation énerg</w:t>
      </w:r>
      <w:r>
        <w:rPr>
          <w:rFonts w:ascii="Times New Roman" w:hAnsi="Times New Roman"/>
          <w:noProof/>
          <w:sz w:val="24"/>
        </w:rPr>
        <w:t>étique des déchets déjà disponibles dans un certain nombre d’États membres. L’exportation de déchets non recyclables vers un autre État membre en vue de leur valorisation énergétique ne devrait pas nécessairement être considérée comme contraire au principe</w:t>
      </w:r>
      <w:r>
        <w:rPr>
          <w:rFonts w:ascii="Times New Roman" w:hAnsi="Times New Roman"/>
          <w:noProof/>
          <w:sz w:val="24"/>
        </w:rPr>
        <w:t xml:space="preserve"> dit «de proximité» (en vertu duquel le traitement doit avoir lieu dans l’installation appropriée la plus proche) qui sous-tend la législation de l’UE relative aux déchets</w:t>
      </w:r>
      <w:r>
        <w:rPr>
          <w:rStyle w:val="FootnoteReference"/>
          <w:rFonts w:hint="eastAsia"/>
          <w:noProof/>
        </w:rPr>
        <w:footnoteReference w:id="19"/>
      </w:r>
      <w:r>
        <w:rPr>
          <w:rFonts w:ascii="Times New Roman" w:hAnsi="Times New Roman"/>
          <w:noProof/>
          <w:sz w:val="24"/>
        </w:rPr>
        <w:t>. Avant d’opter pour une approche de ce type, les autorités compétentes des États me</w:t>
      </w:r>
      <w:r>
        <w:rPr>
          <w:rFonts w:ascii="Times New Roman" w:hAnsi="Times New Roman"/>
          <w:noProof/>
          <w:sz w:val="24"/>
        </w:rPr>
        <w:t>mbres devraient cependant procéder à une analyse du cycle de vie afin de s’assurer que les incidences environnementales globales, y compris celles liées au transport des déchets, n’annulent pas les avantages recherchés.</w:t>
      </w:r>
    </w:p>
    <w:p w:rsidR="004A6463" w:rsidRDefault="00E53711">
      <w:pPr>
        <w:spacing w:before="240" w:after="120" w:line="240" w:lineRule="auto"/>
        <w:jc w:val="both"/>
        <w:rPr>
          <w:rFonts w:ascii="Times New Roman" w:hAnsi="Times New Roman"/>
          <w:noProof/>
          <w:sz w:val="24"/>
        </w:rPr>
      </w:pPr>
      <w:r>
        <w:rPr>
          <w:rFonts w:ascii="Times New Roman" w:hAnsi="Times New Roman"/>
          <w:noProof/>
          <w:sz w:val="24"/>
        </w:rPr>
        <w:t>Lorsque la création de nouvelles cap</w:t>
      </w:r>
      <w:r>
        <w:rPr>
          <w:rFonts w:ascii="Times New Roman" w:hAnsi="Times New Roman"/>
          <w:noProof/>
          <w:sz w:val="24"/>
        </w:rPr>
        <w:t>acités de traitement des déchets résiduels semble justifiée à l’issue de l’évaluation de tous les facteurs mentionnés ci-dessus, les États membres devraient accorder une attention particulière à l’utilisation de technologies de pointe économes en énergie e</w:t>
      </w:r>
      <w:r>
        <w:rPr>
          <w:rFonts w:ascii="Times New Roman" w:hAnsi="Times New Roman"/>
          <w:noProof/>
          <w:sz w:val="24"/>
        </w:rPr>
        <w:t>t à la taille et l’emplacement de l’installation (afin, par exemple, de prévenir d’éventuels problèmes de surcapacité et, dans la mesure du possible, de garantir un approvisionnement combiné en électricité et en chauffage/refroidissement aux populations et</w:t>
      </w:r>
      <w:r>
        <w:rPr>
          <w:rFonts w:ascii="Times New Roman" w:hAnsi="Times New Roman"/>
          <w:noProof/>
          <w:sz w:val="24"/>
        </w:rPr>
        <w:t xml:space="preserve"> aux industries locales). Il est également essentiel d’assurer le plein respect des exigences applicables aux installations d’incinération et de coïncinération énoncées dans la législation de l’UE, et notamment dans la directive 2010/75/CE relative aux émi</w:t>
      </w:r>
      <w:r>
        <w:rPr>
          <w:rFonts w:ascii="Times New Roman" w:hAnsi="Times New Roman"/>
          <w:noProof/>
          <w:sz w:val="24"/>
        </w:rPr>
        <w:t>ssions industrielles</w:t>
      </w:r>
      <w:r>
        <w:rPr>
          <w:rStyle w:val="FootnoteReference"/>
          <w:noProof/>
        </w:rPr>
        <w:footnoteReference w:id="20"/>
      </w:r>
      <w:r>
        <w:rPr>
          <w:rFonts w:ascii="Times New Roman" w:hAnsi="Times New Roman"/>
          <w:noProof/>
          <w:sz w:val="24"/>
        </w:rPr>
        <w:t>.</w:t>
      </w:r>
    </w:p>
    <w:p w:rsidR="004A6463" w:rsidRDefault="00E53711">
      <w:pPr>
        <w:keepNext/>
        <w:spacing w:before="240" w:after="120" w:line="240" w:lineRule="auto"/>
        <w:jc w:val="both"/>
        <w:rPr>
          <w:rFonts w:ascii="Times New Roman Italic" w:hAnsi="Times New Roman Italic" w:hint="eastAsia"/>
          <w:i/>
          <w:noProof/>
          <w:sz w:val="24"/>
        </w:rPr>
      </w:pPr>
      <w:r>
        <w:rPr>
          <w:rFonts w:ascii="Times New Roman Italic" w:hAnsi="Times New Roman Italic"/>
          <w:i/>
          <w:noProof/>
          <w:sz w:val="24"/>
        </w:rPr>
        <w:t xml:space="preserve">États membres disposant d’importantes capacités d’incinération spécialisées </w:t>
      </w:r>
    </w:p>
    <w:p w:rsidR="004A6463" w:rsidRDefault="00E53711">
      <w:pPr>
        <w:spacing w:before="240" w:after="240" w:line="240" w:lineRule="auto"/>
        <w:jc w:val="both"/>
        <w:rPr>
          <w:rFonts w:ascii="Times New Roman" w:hAnsi="Times New Roman"/>
          <w:noProof/>
          <w:sz w:val="24"/>
        </w:rPr>
      </w:pPr>
      <w:r>
        <w:rPr>
          <w:rFonts w:ascii="Times New Roman" w:hAnsi="Times New Roman"/>
          <w:noProof/>
          <w:sz w:val="24"/>
        </w:rPr>
        <w:t>L’étude de l’Agence européenne pour l’environnement semble indiquer que l’Union dans son ensemble ne souffre pas, à l'heure actuelle, d’une surcapacité dans</w:t>
      </w:r>
      <w:r>
        <w:rPr>
          <w:rFonts w:ascii="Times New Roman" w:hAnsi="Times New Roman"/>
          <w:noProof/>
          <w:sz w:val="24"/>
        </w:rPr>
        <w:t xml:space="preserve"> le secteur de l’incinération. Toutefois, les statistiques</w:t>
      </w:r>
      <w:r>
        <w:rPr>
          <w:rStyle w:val="FootnoteReference"/>
          <w:rFonts w:ascii="Times New Roman" w:hAnsi="Times New Roman"/>
          <w:noProof/>
          <w:sz w:val="24"/>
        </w:rPr>
        <w:footnoteReference w:id="21"/>
      </w:r>
      <w:r>
        <w:rPr>
          <w:rFonts w:ascii="Times New Roman" w:hAnsi="Times New Roman"/>
          <w:noProof/>
          <w:sz w:val="24"/>
        </w:rPr>
        <w:t xml:space="preserve"> montrent que certains États membres ont trop largement recours à l’incinération des déchets municipaux. Cette situation peut s’expliquer en partie par la forte demande de chaleur des réseaux de ch</w:t>
      </w:r>
      <w:r>
        <w:rPr>
          <w:rFonts w:ascii="Times New Roman" w:hAnsi="Times New Roman"/>
          <w:noProof/>
          <w:sz w:val="24"/>
        </w:rPr>
        <w:t>auffage urbain, par le rendement plus élevé des procédés de valorisation énergétique qu’ils utilisent, et par un degré élevé d’acceptation sociale. Des taux d’incinération aussi élevés sont néanmoins incompatibles avec des objectifs de recyclage plus ambit</w:t>
      </w:r>
      <w:r>
        <w:rPr>
          <w:rFonts w:ascii="Times New Roman" w:hAnsi="Times New Roman"/>
          <w:noProof/>
          <w:sz w:val="24"/>
        </w:rPr>
        <w:t>ieux. Pour remédier à ce problème, diverses mesures peuvent être prises au niveau national et ont déjà été mises en œuvre dans certains États membres. Il s’agit notamment des mesures suivantes:</w:t>
      </w:r>
    </w:p>
    <w:p w:rsidR="004A6463" w:rsidRDefault="00E53711">
      <w:pPr>
        <w:pStyle w:val="ListParagraph"/>
        <w:numPr>
          <w:ilvl w:val="0"/>
          <w:numId w:val="7"/>
        </w:numPr>
        <w:tabs>
          <w:tab w:val="clear" w:pos="360"/>
          <w:tab w:val="num" w:pos="720"/>
        </w:tabs>
        <w:spacing w:before="240" w:after="240" w:line="240" w:lineRule="auto"/>
        <w:ind w:left="720" w:hanging="360"/>
        <w:jc w:val="both"/>
        <w:rPr>
          <w:rFonts w:ascii="Times New Roman" w:hAnsi="Times New Roman"/>
          <w:noProof/>
          <w:sz w:val="24"/>
        </w:rPr>
      </w:pPr>
      <w:r>
        <w:rPr>
          <w:rFonts w:ascii="Times New Roman" w:hAnsi="Times New Roman"/>
          <w:noProof/>
          <w:sz w:val="24"/>
        </w:rPr>
        <w:t>instauration de taxes d'incinération ou augmentation de ces ta</w:t>
      </w:r>
      <w:r>
        <w:rPr>
          <w:rFonts w:ascii="Times New Roman" w:hAnsi="Times New Roman"/>
          <w:noProof/>
          <w:sz w:val="24"/>
        </w:rPr>
        <w:t>xes, en particulier pour les procédés à faible valorisation énergétique, assorties de taxes de mise en décharge plus élevées;</w:t>
      </w:r>
    </w:p>
    <w:p w:rsidR="004A6463" w:rsidRDefault="00E53711">
      <w:pPr>
        <w:pStyle w:val="ListParagraph"/>
        <w:numPr>
          <w:ilvl w:val="0"/>
          <w:numId w:val="7"/>
        </w:numPr>
        <w:tabs>
          <w:tab w:val="clear" w:pos="360"/>
          <w:tab w:val="num" w:pos="720"/>
        </w:tabs>
        <w:spacing w:before="240" w:after="240" w:line="240" w:lineRule="auto"/>
        <w:ind w:left="720" w:hanging="360"/>
        <w:jc w:val="both"/>
        <w:rPr>
          <w:rFonts w:ascii="Times New Roman" w:hAnsi="Times New Roman"/>
          <w:noProof/>
          <w:sz w:val="24"/>
        </w:rPr>
      </w:pPr>
      <w:r>
        <w:rPr>
          <w:rFonts w:ascii="Times New Roman" w:hAnsi="Times New Roman"/>
          <w:noProof/>
          <w:sz w:val="24"/>
        </w:rPr>
        <w:t>suppression progressive des mécanismes de soutien en faveur de l’incinération des déchets et, le cas échéant, recentrage du soutie</w:t>
      </w:r>
      <w:r>
        <w:rPr>
          <w:rFonts w:ascii="Times New Roman" w:hAnsi="Times New Roman"/>
          <w:noProof/>
          <w:sz w:val="24"/>
        </w:rPr>
        <w:t>n vers les procédés occupant une position plus élevée dans la hiérarchie des déchets; et</w:t>
      </w:r>
    </w:p>
    <w:p w:rsidR="004A6463" w:rsidRDefault="00E53711">
      <w:pPr>
        <w:pStyle w:val="ListParagraph"/>
        <w:numPr>
          <w:ilvl w:val="0"/>
          <w:numId w:val="7"/>
        </w:numPr>
        <w:tabs>
          <w:tab w:val="clear" w:pos="360"/>
          <w:tab w:val="num" w:pos="720"/>
        </w:tabs>
        <w:spacing w:before="240" w:after="240" w:line="240" w:lineRule="auto"/>
        <w:ind w:left="720" w:hanging="360"/>
        <w:jc w:val="both"/>
        <w:rPr>
          <w:rFonts w:ascii="Times New Roman Bold" w:hAnsi="Times New Roman Bold" w:hint="eastAsia"/>
          <w:noProof/>
          <w:sz w:val="24"/>
        </w:rPr>
      </w:pPr>
      <w:r>
        <w:rPr>
          <w:rFonts w:ascii="Times New Roman" w:hAnsi="Times New Roman"/>
          <w:noProof/>
          <w:sz w:val="24"/>
        </w:rPr>
        <w:t>introduction d’un moratoire sur la construction de nouvelles installations et déclassement des installations plus anciennes et moins efficaces.</w:t>
      </w:r>
    </w:p>
    <w:p w:rsidR="004A6463" w:rsidRDefault="00E53711">
      <w:pPr>
        <w:pStyle w:val="ListParagraph"/>
        <w:tabs>
          <w:tab w:val="num" w:pos="720"/>
        </w:tabs>
        <w:spacing w:after="240"/>
        <w:ind w:left="0"/>
        <w:rPr>
          <w:rFonts w:ascii="Times New Roman Bold" w:hAnsi="Times New Roman Bold" w:hint="eastAsia"/>
          <w:b/>
          <w:noProof/>
          <w:sz w:val="24"/>
        </w:rPr>
      </w:pPr>
      <w:r>
        <w:rPr>
          <w:rFonts w:ascii="Times New Roman Bold" w:hAnsi="Times New Roman Bold"/>
          <w:b/>
          <w:noProof/>
          <w:sz w:val="24"/>
        </w:rPr>
        <w:t xml:space="preserve">4. Optimisation de la </w:t>
      </w:r>
      <w:r>
        <w:rPr>
          <w:rFonts w:ascii="Times New Roman Bold" w:hAnsi="Times New Roman Bold"/>
          <w:b/>
          <w:noProof/>
          <w:sz w:val="24"/>
        </w:rPr>
        <w:t>contribution des procédés de valorisation énergétique des déchets à la réalisation des objectifs climatiques et énergétiques de l’UE dans l’économie circulaire</w:t>
      </w:r>
    </w:p>
    <w:p w:rsidR="004A6463" w:rsidRDefault="00E53711">
      <w:pPr>
        <w:spacing w:after="240" w:line="240" w:lineRule="auto"/>
        <w:jc w:val="both"/>
        <w:rPr>
          <w:rFonts w:ascii="Times New Roman" w:eastAsia="Times New Roman" w:hAnsi="Times New Roman"/>
          <w:noProof/>
          <w:color w:val="auto"/>
          <w:sz w:val="24"/>
        </w:rPr>
      </w:pPr>
      <w:r>
        <w:rPr>
          <w:rFonts w:ascii="Times New Roman" w:hAnsi="Times New Roman"/>
          <w:noProof/>
          <w:sz w:val="24"/>
        </w:rPr>
        <w:t>Selon l’étude de la Commission, quelque 1,5 % (soit environ 676 PJ/an) de l’ensemble de la conso</w:t>
      </w:r>
      <w:r>
        <w:rPr>
          <w:rFonts w:ascii="Times New Roman" w:hAnsi="Times New Roman"/>
          <w:noProof/>
          <w:sz w:val="24"/>
        </w:rPr>
        <w:t>mmation finale d’énergie de l'UE a été couverte en 2014 grâce à la récupération de l’énergie contenue dans les déchets par incinération, coïncinération dans des fours à ciment et digestion anaérobie. Bien que ce pourcentage ne soit pas appelé à augmenter d</w:t>
      </w:r>
      <w:r>
        <w:rPr>
          <w:rFonts w:ascii="Times New Roman" w:hAnsi="Times New Roman"/>
          <w:noProof/>
          <w:sz w:val="24"/>
        </w:rPr>
        <w:t>e manière significative à l’avenir du fait de l’augmentation de la quantité de déchets envoyés au recyclage, l’amélioration de l’efficacité énergétique des procédés de valorisation énergétique des déchets et la promotion de ceux d’entre eux qui combinent v</w:t>
      </w:r>
      <w:r>
        <w:rPr>
          <w:rFonts w:ascii="Times New Roman" w:hAnsi="Times New Roman"/>
          <w:noProof/>
          <w:sz w:val="24"/>
        </w:rPr>
        <w:t xml:space="preserve">alorisation matérielle et valorisation énergétique peuvent contribuer à «décarboner» des secteurs clés tels que le chauffage/refroidissement ou les transports, ainsi qu’à réduire les émissions de gaz à effet de serre du secteur des déchets. Ainsi, le fait </w:t>
      </w:r>
      <w:r>
        <w:rPr>
          <w:rFonts w:ascii="Times New Roman" w:hAnsi="Times New Roman"/>
          <w:noProof/>
          <w:sz w:val="24"/>
        </w:rPr>
        <w:t>de traiter une tonne de déchets biodégradables par digestion anaérobie afin de produire du biogaz et des engrais, au lieu de mettre ces déchets en décharge, permet d’éviter le rejet d’une quantité d’émissions pouvant atteindre 2 tonnes équivalent CO</w:t>
      </w:r>
      <w:r>
        <w:rPr>
          <w:rFonts w:ascii="Times New Roman" w:hAnsi="Times New Roman"/>
          <w:noProof/>
          <w:sz w:val="24"/>
          <w:vertAlign w:val="subscript"/>
        </w:rPr>
        <w:t>2</w:t>
      </w:r>
      <w:r>
        <w:rPr>
          <w:rFonts w:ascii="Times New Roman" w:hAnsi="Times New Roman"/>
          <w:noProof/>
          <w:sz w:val="24"/>
          <w:vertAlign w:val="superscript"/>
        </w:rPr>
        <w:footnoteReference w:id="22"/>
      </w:r>
      <w:r>
        <w:rPr>
          <w:rFonts w:ascii="Times New Roman" w:hAnsi="Times New Roman"/>
          <w:noProof/>
          <w:sz w:val="24"/>
        </w:rPr>
        <w:t xml:space="preserve">. </w:t>
      </w:r>
    </w:p>
    <w:p w:rsidR="004A6463" w:rsidRDefault="00E53711">
      <w:pPr>
        <w:spacing w:before="240" w:after="240" w:line="240" w:lineRule="auto"/>
        <w:jc w:val="both"/>
        <w:rPr>
          <w:rFonts w:ascii="Times New Roman Italic" w:hAnsi="Times New Roman Italic" w:hint="eastAsia"/>
          <w:i/>
          <w:noProof/>
          <w:sz w:val="24"/>
        </w:rPr>
      </w:pPr>
      <w:r>
        <w:rPr>
          <w:rFonts w:ascii="Times New Roman Italic" w:hAnsi="Times New Roman Italic"/>
          <w:i/>
          <w:noProof/>
          <w:sz w:val="24"/>
        </w:rPr>
        <w:t>Év</w:t>
      </w:r>
      <w:r>
        <w:rPr>
          <w:rFonts w:ascii="Times New Roman Italic" w:hAnsi="Times New Roman Italic"/>
          <w:i/>
          <w:noProof/>
          <w:sz w:val="24"/>
        </w:rPr>
        <w:t>olutions attendues des matières premières utilisées dans les procédés de valorisation énergétique des déchets</w:t>
      </w:r>
    </w:p>
    <w:p w:rsidR="004A6463" w:rsidRDefault="00E53711">
      <w:pPr>
        <w:spacing w:after="240" w:line="240" w:lineRule="auto"/>
        <w:jc w:val="both"/>
        <w:rPr>
          <w:rFonts w:ascii="Times New Roman" w:hAnsi="Times New Roman"/>
          <w:noProof/>
          <w:sz w:val="24"/>
        </w:rPr>
      </w:pPr>
      <w:r>
        <w:rPr>
          <w:rFonts w:ascii="Times New Roman" w:hAnsi="Times New Roman"/>
          <w:noProof/>
          <w:sz w:val="24"/>
        </w:rPr>
        <w:t>Les déchets mélangés représentent encore une part importante des déchets utilisés dans les procédés de valorisation énergétique des déchets, princ</w:t>
      </w:r>
      <w:r>
        <w:rPr>
          <w:rFonts w:ascii="Times New Roman" w:hAnsi="Times New Roman"/>
          <w:noProof/>
          <w:sz w:val="24"/>
        </w:rPr>
        <w:t>ipalement l’incinération (52 %). Cette situation est cependant appelée à évoluer compte tenu des exigences légales existantes et des propositions concernant les déchets soumises dans le cadre de l’économie circulaire. Les règles en matière de collecte sépa</w:t>
      </w:r>
      <w:r>
        <w:rPr>
          <w:rFonts w:ascii="Times New Roman" w:hAnsi="Times New Roman"/>
          <w:noProof/>
          <w:sz w:val="24"/>
        </w:rPr>
        <w:t>rée et la révision à la hausse des taux de recyclage applicables aux déchets de bois, de papier et de matières plastiques et aux déchets biodégradables devraient réduire la quantité de déchets potentiellement disponibles pour les procédés de valorisation é</w:t>
      </w:r>
      <w:r>
        <w:rPr>
          <w:rFonts w:ascii="Times New Roman" w:hAnsi="Times New Roman"/>
          <w:noProof/>
          <w:sz w:val="24"/>
        </w:rPr>
        <w:t>nergétique des déchets tels que l’incinération et la coïncinération. Ljubljana, par exemple, est une ville qui est parvenue rapidement à atteindre des niveaux élevés de collecte séparée: dès 2011, en effet, elle a investi dans la modernisation de ses infra</w:t>
      </w:r>
      <w:r>
        <w:rPr>
          <w:rFonts w:ascii="Times New Roman" w:hAnsi="Times New Roman"/>
          <w:noProof/>
          <w:sz w:val="24"/>
        </w:rPr>
        <w:t>structures de gestion des déchets, atteignant ainsi un taux de collecte séparée représentant 60 % de la production totale de déchets municipaux</w:t>
      </w:r>
      <w:r>
        <w:rPr>
          <w:rStyle w:val="FootnoteReference"/>
          <w:rFonts w:ascii="Times New Roman" w:hAnsi="Times New Roman"/>
          <w:noProof/>
          <w:sz w:val="24"/>
        </w:rPr>
        <w:footnoteReference w:id="23"/>
      </w:r>
      <w:r>
        <w:rPr>
          <w:rFonts w:ascii="Times New Roman" w:hAnsi="Times New Roman"/>
          <w:noProof/>
          <w:sz w:val="24"/>
        </w:rPr>
        <w:t xml:space="preserve">. </w:t>
      </w:r>
    </w:p>
    <w:p w:rsidR="004A6463" w:rsidRDefault="00E53711">
      <w:pPr>
        <w:spacing w:after="240" w:line="240" w:lineRule="auto"/>
        <w:jc w:val="both"/>
        <w:rPr>
          <w:rFonts w:ascii="Times New Roman" w:hAnsi="Times New Roman"/>
          <w:noProof/>
          <w:sz w:val="24"/>
        </w:rPr>
      </w:pPr>
      <w:r>
        <w:rPr>
          <w:rFonts w:ascii="Times New Roman" w:hAnsi="Times New Roman" w:hint="eastAsia"/>
          <w:noProof/>
          <w:sz w:val="24"/>
        </w:rPr>
        <w:t>En ce qui concerne les</w:t>
      </w:r>
      <w:r>
        <w:rPr>
          <w:noProof/>
        </w:rPr>
        <w:t xml:space="preserve"> </w:t>
      </w:r>
      <w:r>
        <w:rPr>
          <w:rFonts w:ascii="Times New Roman" w:hAnsi="Times New Roman"/>
          <w:i/>
          <w:noProof/>
          <w:sz w:val="24"/>
        </w:rPr>
        <w:t>déchets biodégradables</w:t>
      </w:r>
      <w:r>
        <w:rPr>
          <w:rFonts w:ascii="Times New Roman" w:hAnsi="Times New Roman" w:hint="eastAsia"/>
          <w:noProof/>
          <w:sz w:val="24"/>
        </w:rPr>
        <w:t>, la mise en œuvre</w:t>
      </w:r>
      <w:r>
        <w:rPr>
          <w:rFonts w:ascii="Times New Roman" w:hAnsi="Times New Roman"/>
          <w:noProof/>
          <w:sz w:val="24"/>
        </w:rPr>
        <w:t xml:space="preserve"> des exigences fixées dans la directive sur la</w:t>
      </w:r>
      <w:r>
        <w:rPr>
          <w:rFonts w:ascii="Times New Roman" w:hAnsi="Times New Roman"/>
          <w:noProof/>
          <w:sz w:val="24"/>
        </w:rPr>
        <w:t xml:space="preserve"> mise en décharge des déchets</w:t>
      </w:r>
      <w:r>
        <w:rPr>
          <w:rStyle w:val="FootnoteReference"/>
          <w:noProof/>
        </w:rPr>
        <w:footnoteReference w:id="24"/>
      </w:r>
      <w:r>
        <w:rPr>
          <w:rFonts w:ascii="Times New Roman" w:hAnsi="Times New Roman"/>
          <w:noProof/>
          <w:sz w:val="24"/>
        </w:rPr>
        <w:t xml:space="preserve">, combinée à celle des nouvelles règles proposées concernant la collecte séparée des biodéchets, devrait entraîner une augmentation de la production, par digestion anaérobie, de biogaz dérivé de déchets destiné à être utilisé </w:t>
      </w:r>
      <w:r>
        <w:rPr>
          <w:rFonts w:ascii="Times New Roman" w:hAnsi="Times New Roman"/>
          <w:noProof/>
          <w:sz w:val="24"/>
        </w:rPr>
        <w:t>dans la cogénération, injecté dans le réseau de distribution de gaz ou utilisé dans les carburants pour le transport, ainsi que d’engrais. Les propositions de modification du règlement sur les engrais</w:t>
      </w:r>
      <w:r>
        <w:rPr>
          <w:rStyle w:val="FootnoteReference"/>
          <w:rFonts w:hint="eastAsia"/>
          <w:noProof/>
        </w:rPr>
        <w:footnoteReference w:id="25"/>
      </w:r>
      <w:r>
        <w:rPr>
          <w:rFonts w:ascii="Times New Roman" w:hAnsi="Times New Roman"/>
          <w:noProof/>
          <w:sz w:val="24"/>
        </w:rPr>
        <w:t xml:space="preserve"> dont débattent actuellement le Parlement et le Conseil</w:t>
      </w:r>
      <w:r>
        <w:rPr>
          <w:rFonts w:ascii="Times New Roman" w:hAnsi="Times New Roman"/>
          <w:noProof/>
          <w:sz w:val="24"/>
        </w:rPr>
        <w:t xml:space="preserve"> devraient renforcer cette tendance en ouvrant le marché unique des engrais dérivés de déchets. Le potentiel offert par les déchets biodégradables combinés au traitement par digestion anaérobie dans une usine à biogaz peut être observé à Milan</w:t>
      </w:r>
      <w:r>
        <w:rPr>
          <w:rStyle w:val="FootnoteReference"/>
          <w:noProof/>
        </w:rPr>
        <w:footnoteReference w:id="26"/>
      </w:r>
      <w:r>
        <w:rPr>
          <w:rFonts w:ascii="Times New Roman" w:hAnsi="Times New Roman"/>
          <w:noProof/>
          <w:sz w:val="24"/>
        </w:rPr>
        <w:t>. Depuis 201</w:t>
      </w:r>
      <w:r>
        <w:rPr>
          <w:rFonts w:ascii="Times New Roman" w:hAnsi="Times New Roman"/>
          <w:noProof/>
          <w:sz w:val="24"/>
        </w:rPr>
        <w:t>4, le taux de collecte des déchets alimentaires et organiques y atteint pratiquement les 100 %, soit une moyenne de 120 000 tonnes de déchets biodégradables par an. À pleine capacité (12,8 MW), l’usine de biogaz de la ville devrait produire quelque 35 880 </w:t>
      </w:r>
      <w:r>
        <w:rPr>
          <w:rFonts w:ascii="Times New Roman" w:hAnsi="Times New Roman"/>
          <w:noProof/>
          <w:sz w:val="24"/>
        </w:rPr>
        <w:t xml:space="preserve">MWh d’électricité par an, de quoi couvrir les besoins de 24 000 personnes et produire 14 400 tonnes d’engrais. </w:t>
      </w:r>
    </w:p>
    <w:p w:rsidR="004A6463" w:rsidRDefault="00E53711">
      <w:pPr>
        <w:spacing w:after="240" w:line="240" w:lineRule="auto"/>
        <w:jc w:val="both"/>
        <w:rPr>
          <w:rFonts w:ascii="Times New Roman" w:hAnsi="Times New Roman"/>
          <w:noProof/>
          <w:sz w:val="24"/>
        </w:rPr>
      </w:pPr>
      <w:r>
        <w:rPr>
          <w:rFonts w:ascii="Times New Roman" w:hAnsi="Times New Roman"/>
          <w:noProof/>
          <w:sz w:val="24"/>
        </w:rPr>
        <w:t xml:space="preserve">Dans le cas des </w:t>
      </w:r>
      <w:r>
        <w:rPr>
          <w:rFonts w:ascii="Times New Roman" w:hAnsi="Times New Roman"/>
          <w:i/>
          <w:noProof/>
          <w:sz w:val="24"/>
        </w:rPr>
        <w:t>huiles et graisses alimentaires usagées</w:t>
      </w:r>
      <w:r>
        <w:rPr>
          <w:rFonts w:ascii="Times New Roman" w:hAnsi="Times New Roman"/>
          <w:noProof/>
          <w:sz w:val="24"/>
        </w:rPr>
        <w:t xml:space="preserve">, il serait encore possible de renforcer l’efficacité des systèmes de collecte et de </w:t>
      </w:r>
      <w:r>
        <w:rPr>
          <w:rFonts w:ascii="Times New Roman" w:hAnsi="Times New Roman"/>
          <w:noProof/>
          <w:sz w:val="24"/>
        </w:rPr>
        <w:t>traitement pour fabriquer des produits tels que le biodiesel et les huiles végétales hydrogénées (HVH). Le biocombustible dérivé de déchets ainsi obtenu peut être utilisé directement dans les transports, y compris, en ce qui concerne les HVH, dans la navig</w:t>
      </w:r>
      <w:r>
        <w:rPr>
          <w:rFonts w:ascii="Times New Roman" w:hAnsi="Times New Roman"/>
          <w:noProof/>
          <w:sz w:val="24"/>
        </w:rPr>
        <w:t>ation aérienne.</w:t>
      </w:r>
    </w:p>
    <w:p w:rsidR="004A6463" w:rsidRDefault="00E53711">
      <w:pPr>
        <w:spacing w:before="240" w:after="240" w:line="240" w:lineRule="auto"/>
        <w:jc w:val="both"/>
        <w:rPr>
          <w:rFonts w:ascii="Times New Roman" w:hAnsi="Times New Roman"/>
          <w:noProof/>
          <w:sz w:val="24"/>
        </w:rPr>
      </w:pPr>
      <w:r>
        <w:rPr>
          <w:rFonts w:ascii="Times New Roman" w:hAnsi="Times New Roman"/>
          <w:noProof/>
          <w:sz w:val="24"/>
        </w:rPr>
        <w:t>Pour ce qui est des déchets plastiques, les données de l’industrie</w:t>
      </w:r>
      <w:r>
        <w:rPr>
          <w:rStyle w:val="FootnoteReference"/>
          <w:rFonts w:ascii="Times New Roman" w:hAnsi="Times New Roman"/>
          <w:noProof/>
          <w:sz w:val="24"/>
        </w:rPr>
        <w:footnoteReference w:id="27"/>
      </w:r>
      <w:r>
        <w:rPr>
          <w:rFonts w:ascii="Times New Roman" w:hAnsi="Times New Roman"/>
          <w:noProof/>
          <w:sz w:val="24"/>
        </w:rPr>
        <w:t xml:space="preserve"> indiquent que l’élimination et la valorisation énergétique restent les modes de traitement les plus courants et que, si la mise en décharge a diminué au cours de la dernièr</w:t>
      </w:r>
      <w:r>
        <w:rPr>
          <w:rFonts w:ascii="Times New Roman" w:hAnsi="Times New Roman"/>
          <w:noProof/>
          <w:sz w:val="24"/>
        </w:rPr>
        <w:t>e décennie, l’incinération, elle, a enregistré une augmentation, avec de grandes disparités entre les États membres, suivant l’état d’avancement de la mise en œuvre de la législation existante de l’UE dans chacun d’entre eux. Cette situation confirme la né</w:t>
      </w:r>
      <w:r>
        <w:rPr>
          <w:rFonts w:ascii="Times New Roman" w:hAnsi="Times New Roman"/>
          <w:noProof/>
          <w:sz w:val="24"/>
        </w:rPr>
        <w:t>cessité de prendre d’urgence des mesures concrètes pour améliorer les possibilités de recyclage et de réemploi des matières plastiques et pour encourager l’innovation dans ce domaine. La stratégie de l’UE sur les matières plastiques dans l’économie circula</w:t>
      </w:r>
      <w:r>
        <w:rPr>
          <w:rFonts w:ascii="Times New Roman" w:hAnsi="Times New Roman"/>
          <w:noProof/>
          <w:sz w:val="24"/>
        </w:rPr>
        <w:t>ire</w:t>
      </w:r>
      <w:r>
        <w:rPr>
          <w:rStyle w:val="FootnoteReference"/>
          <w:rFonts w:ascii="Times New Roman" w:hAnsi="Times New Roman"/>
          <w:noProof/>
          <w:sz w:val="24"/>
        </w:rPr>
        <w:footnoteReference w:id="28"/>
      </w:r>
      <w:r>
        <w:rPr>
          <w:rFonts w:ascii="Times New Roman" w:hAnsi="Times New Roman"/>
          <w:noProof/>
          <w:sz w:val="24"/>
        </w:rPr>
        <w:t xml:space="preserve"> qui sera publiée prochainement aura précisément pour objet d’améliorer les aspects économiques du recyclage et de la réutilisation des plastiques, leur qualité, ainsi que la mesure dans laquelle les plastiques sont recyclés et réutilisés dans l'UE, en</w:t>
      </w:r>
      <w:r>
        <w:rPr>
          <w:rFonts w:ascii="Times New Roman" w:hAnsi="Times New Roman"/>
          <w:noProof/>
          <w:sz w:val="24"/>
        </w:rPr>
        <w:t xml:space="preserve"> considérant l’ensemble de la chaîne de valeur. Elle se penchera sur certains développements nouveaux dans le traitement des déchets plastiques, tels que la régénération et les innovations au niveau de la conception, afin de faire en sorte qu’à l’avenir, u</w:t>
      </w:r>
      <w:r>
        <w:rPr>
          <w:rFonts w:ascii="Times New Roman" w:hAnsi="Times New Roman"/>
          <w:noProof/>
          <w:sz w:val="24"/>
        </w:rPr>
        <w:t>ne part plus importante des déchets plastiques puisse être évitée ou détournée de la valorisation énergétique vers le recyclage, d’où une réduction des incidences globales des GES</w:t>
      </w:r>
      <w:r>
        <w:rPr>
          <w:rStyle w:val="FootnoteReference"/>
          <w:rFonts w:ascii="Times New Roman" w:hAnsi="Times New Roman"/>
          <w:noProof/>
          <w:sz w:val="24"/>
        </w:rPr>
        <w:footnoteReference w:id="29"/>
      </w:r>
      <w:r>
        <w:rPr>
          <w:rFonts w:ascii="Times New Roman" w:hAnsi="Times New Roman"/>
          <w:noProof/>
          <w:sz w:val="24"/>
        </w:rPr>
        <w:t>.</w:t>
      </w:r>
    </w:p>
    <w:p w:rsidR="004A6463" w:rsidRDefault="00E53711">
      <w:pPr>
        <w:spacing w:before="240" w:after="240" w:line="240" w:lineRule="auto"/>
        <w:jc w:val="both"/>
        <w:rPr>
          <w:rFonts w:ascii="Times New Roman" w:hAnsi="Times New Roman"/>
          <w:noProof/>
          <w:sz w:val="24"/>
        </w:rPr>
      </w:pPr>
      <w:r>
        <w:rPr>
          <w:rFonts w:ascii="Times New Roman" w:hAnsi="Times New Roman"/>
          <w:noProof/>
          <w:sz w:val="24"/>
        </w:rPr>
        <w:t xml:space="preserve">L’étude de la Commission a également constaté que les </w:t>
      </w:r>
      <w:r>
        <w:rPr>
          <w:rFonts w:ascii="Times New Roman" w:hAnsi="Times New Roman"/>
          <w:i/>
          <w:noProof/>
          <w:sz w:val="24"/>
        </w:rPr>
        <w:t>déchets de bois</w:t>
      </w:r>
      <w:r>
        <w:rPr>
          <w:rFonts w:ascii="Times New Roman" w:hAnsi="Times New Roman"/>
          <w:noProof/>
          <w:sz w:val="24"/>
        </w:rPr>
        <w:t xml:space="preserve"> sont</w:t>
      </w:r>
      <w:r>
        <w:rPr>
          <w:rFonts w:ascii="Times New Roman" w:hAnsi="Times New Roman"/>
          <w:noProof/>
          <w:sz w:val="24"/>
        </w:rPr>
        <w:t xml:space="preserve"> couramment utilisés comme matière de départ pour l’incinération. Comme l’indique le plan d’action pour l’économie circulaire, il convient d’encourager, le cas échéant, une utilisation en cascade des ressources renouvelables telles que le bois, avec plusie</w:t>
      </w:r>
      <w:r>
        <w:rPr>
          <w:rFonts w:ascii="Times New Roman" w:hAnsi="Times New Roman"/>
          <w:noProof/>
          <w:sz w:val="24"/>
        </w:rPr>
        <w:t>urs cycles de réutilisation et de recyclage, dans le respect du principe de hiérarchie des déchets. Dans ce contexte, il y a lieu de rappeler que, dans son paquet législatif sur les déchets, la Commission a notamment proposé d’introduire un objectif contra</w:t>
      </w:r>
      <w:r>
        <w:rPr>
          <w:rFonts w:ascii="Times New Roman" w:hAnsi="Times New Roman"/>
          <w:noProof/>
          <w:sz w:val="24"/>
        </w:rPr>
        <w:t>ignant plus élevé à l’échelle de l’UE pour le recyclage des déchets d’emballage en bois. Lorsque le réemploi et le recyclage sont impossibles, il est souhaitable de procéder à la valorisation énergétique des déchets de bois en remplacement des combustibles</w:t>
      </w:r>
      <w:r>
        <w:rPr>
          <w:rFonts w:ascii="Times New Roman" w:hAnsi="Times New Roman"/>
          <w:noProof/>
          <w:sz w:val="24"/>
        </w:rPr>
        <w:t xml:space="preserve"> fossiles et afin d’éviter la mise en décharge de bois.</w:t>
      </w:r>
    </w:p>
    <w:p w:rsidR="004A6463" w:rsidRDefault="00E53711">
      <w:pPr>
        <w:spacing w:before="240" w:after="240" w:line="240" w:lineRule="auto"/>
        <w:jc w:val="both"/>
        <w:rPr>
          <w:rFonts w:ascii="Times New Roman Italic" w:hAnsi="Times New Roman Italic" w:hint="eastAsia"/>
          <w:i/>
          <w:noProof/>
          <w:sz w:val="24"/>
        </w:rPr>
      </w:pPr>
      <w:r>
        <w:rPr>
          <w:rFonts w:ascii="Times New Roman Italic" w:hAnsi="Times New Roman Italic"/>
          <w:i/>
          <w:noProof/>
          <w:sz w:val="24"/>
        </w:rPr>
        <w:t>Utilisation des techniques de valorisation énergétique des déchets les plus économes en énergie</w:t>
      </w:r>
    </w:p>
    <w:p w:rsidR="004A6463" w:rsidRDefault="00E53711">
      <w:pPr>
        <w:spacing w:before="240" w:after="240" w:line="240" w:lineRule="auto"/>
        <w:jc w:val="both"/>
        <w:rPr>
          <w:rFonts w:ascii="Times New Roman Italic" w:hAnsi="Times New Roman Italic" w:hint="eastAsia"/>
          <w:i/>
          <w:noProof/>
          <w:sz w:val="24"/>
        </w:rPr>
      </w:pPr>
      <w:r>
        <w:rPr>
          <w:rFonts w:ascii="Times New Roman" w:hAnsi="Times New Roman"/>
          <w:noProof/>
          <w:sz w:val="24"/>
        </w:rPr>
        <w:t>En cas de recours aux procédés de valorisation énergétique des déchets, il importe de veiller à ce que l</w:t>
      </w:r>
      <w:r>
        <w:rPr>
          <w:rFonts w:ascii="Times New Roman" w:hAnsi="Times New Roman"/>
          <w:noProof/>
          <w:sz w:val="24"/>
        </w:rPr>
        <w:t xml:space="preserve">es techniques utilisées soient les plus efficaces, ce qui permet de maximiser leur contribution à la réalisation des objectifs climatiques et énergétiques de l’UE. L’étude de la Commission estime que si des techniques et mesures d’accompagnement éprouvées </w:t>
      </w:r>
      <w:r>
        <w:rPr>
          <w:rFonts w:ascii="Times New Roman" w:hAnsi="Times New Roman"/>
          <w:noProof/>
          <w:sz w:val="24"/>
        </w:rPr>
        <w:t>sont correctement mises en œuvre, la quantité d’énergie récupérée à partir des déchets pourrait augmenter de 29 % et atteindre ainsi 872 PJ/an, pour une quantité exactement identique de déchets utilisés comme matières de départ.</w:t>
      </w:r>
      <w:r>
        <w:rPr>
          <w:rFonts w:ascii="Times New Roman Italic" w:hAnsi="Times New Roman Italic"/>
          <w:noProof/>
          <w:sz w:val="24"/>
        </w:rPr>
        <w:t xml:space="preserve"> </w:t>
      </w:r>
      <w:r>
        <w:rPr>
          <w:rFonts w:ascii="Times New Roman" w:hAnsi="Times New Roman"/>
          <w:noProof/>
          <w:sz w:val="24"/>
        </w:rPr>
        <w:t xml:space="preserve">Cette estimation montre le </w:t>
      </w:r>
      <w:r>
        <w:rPr>
          <w:rFonts w:ascii="Times New Roman" w:hAnsi="Times New Roman"/>
          <w:noProof/>
          <w:sz w:val="24"/>
        </w:rPr>
        <w:t>potentiel existant en matière d’amélioration de l’efficacité énergétique. Il ressort de l’étude de la Commission que les meilleures techniques éprouvées permettant d’augmenter l’efficacité énergétique des quatre procédés de valorisation énergétique des déc</w:t>
      </w:r>
      <w:r>
        <w:rPr>
          <w:rFonts w:ascii="Times New Roman" w:hAnsi="Times New Roman"/>
          <w:noProof/>
          <w:sz w:val="24"/>
        </w:rPr>
        <w:t>hets ci-dessous sont les suivantes:</w:t>
      </w:r>
    </w:p>
    <w:p w:rsidR="004A6463" w:rsidRDefault="00E53711">
      <w:pPr>
        <w:pStyle w:val="TableGrid1"/>
        <w:numPr>
          <w:ilvl w:val="0"/>
          <w:numId w:val="13"/>
        </w:numPr>
        <w:spacing w:before="240" w:after="240"/>
        <w:ind w:left="714" w:hanging="357"/>
        <w:contextualSpacing/>
        <w:jc w:val="both"/>
        <w:rPr>
          <w:rFonts w:ascii="Times New Roman" w:hAnsi="Times New Roman"/>
          <w:i/>
          <w:noProof/>
          <w:sz w:val="24"/>
        </w:rPr>
      </w:pPr>
      <w:r>
        <w:rPr>
          <w:rFonts w:ascii="Times New Roman" w:hAnsi="Times New Roman"/>
          <w:i/>
          <w:noProof/>
          <w:sz w:val="24"/>
        </w:rPr>
        <w:t xml:space="preserve">coïncinération dans des installations de combustion: </w:t>
      </w:r>
      <w:r>
        <w:rPr>
          <w:rFonts w:ascii="Times New Roman Italic" w:hAnsi="Times New Roman Italic" w:hint="eastAsia"/>
          <w:noProof/>
          <w:sz w:val="24"/>
        </w:rPr>
        <w:t>gazéification de combustibles solides de récupération</w:t>
      </w:r>
      <w:r>
        <w:rPr>
          <w:rStyle w:val="FootnoteReference"/>
          <w:rFonts w:ascii="Times New Roman Italic" w:hAnsi="Times New Roman Italic" w:hint="eastAsia"/>
          <w:noProof/>
          <w:sz w:val="24"/>
        </w:rPr>
        <w:footnoteReference w:id="30"/>
      </w:r>
      <w:r>
        <w:rPr>
          <w:rFonts w:ascii="Times New Roman Italic" w:hAnsi="Times New Roman Italic" w:hint="eastAsia"/>
          <w:noProof/>
          <w:sz w:val="24"/>
        </w:rPr>
        <w:t xml:space="preserve"> (CSR) et coïncinération du gaz de synthèse obtenu dans l</w:t>
      </w:r>
      <w:r>
        <w:rPr>
          <w:rFonts w:ascii="Times New Roman Italic" w:hAnsi="Times New Roman Italic"/>
          <w:noProof/>
          <w:sz w:val="24"/>
        </w:rPr>
        <w:t>'</w:t>
      </w:r>
      <w:r>
        <w:rPr>
          <w:rFonts w:ascii="Times New Roman Italic" w:hAnsi="Times New Roman Italic" w:hint="eastAsia"/>
          <w:noProof/>
          <w:sz w:val="24"/>
        </w:rPr>
        <w:t>installation de combustion en remplacement des combusti</w:t>
      </w:r>
      <w:r>
        <w:rPr>
          <w:rFonts w:ascii="Times New Roman Italic" w:hAnsi="Times New Roman Italic" w:hint="eastAsia"/>
          <w:noProof/>
          <w:sz w:val="24"/>
        </w:rPr>
        <w:t>bles fossiles, aux fins de la production d</w:t>
      </w:r>
      <w:r>
        <w:rPr>
          <w:rFonts w:ascii="Times New Roman Italic" w:hAnsi="Times New Roman Italic"/>
          <w:noProof/>
          <w:sz w:val="24"/>
        </w:rPr>
        <w:t>'</w:t>
      </w:r>
      <w:r>
        <w:rPr>
          <w:rFonts w:ascii="Times New Roman Italic" w:hAnsi="Times New Roman Italic" w:hint="eastAsia"/>
          <w:noProof/>
          <w:sz w:val="24"/>
        </w:rPr>
        <w:t>électricité et de chaleur;</w:t>
      </w:r>
    </w:p>
    <w:p w:rsidR="004A6463" w:rsidRDefault="004A6463">
      <w:pPr>
        <w:pStyle w:val="TableGrid1"/>
        <w:spacing w:before="240" w:after="120"/>
        <w:ind w:left="357"/>
        <w:contextualSpacing/>
        <w:jc w:val="both"/>
        <w:rPr>
          <w:rFonts w:ascii="Times New Roman" w:hAnsi="Times New Roman"/>
          <w:i/>
          <w:noProof/>
          <w:sz w:val="24"/>
        </w:rPr>
      </w:pPr>
    </w:p>
    <w:p w:rsidR="004A6463" w:rsidRDefault="00E53711">
      <w:pPr>
        <w:pStyle w:val="TableGrid1"/>
        <w:numPr>
          <w:ilvl w:val="0"/>
          <w:numId w:val="13"/>
        </w:numPr>
        <w:spacing w:before="240" w:after="240"/>
        <w:ind w:left="714" w:hanging="357"/>
        <w:contextualSpacing/>
        <w:jc w:val="both"/>
        <w:rPr>
          <w:rFonts w:ascii="Times New Roman" w:hAnsi="Times New Roman"/>
          <w:i/>
          <w:noProof/>
          <w:sz w:val="24"/>
        </w:rPr>
      </w:pPr>
      <w:r>
        <w:rPr>
          <w:rFonts w:ascii="Times New Roman" w:hAnsi="Times New Roman"/>
          <w:i/>
          <w:noProof/>
          <w:sz w:val="24"/>
        </w:rPr>
        <w:t xml:space="preserve">coïncinération dans des installations de production de ciment et de chaux: </w:t>
      </w:r>
      <w:r>
        <w:rPr>
          <w:rFonts w:ascii="Times New Roman Italic" w:hAnsi="Times New Roman Italic"/>
          <w:noProof/>
          <w:sz w:val="24"/>
        </w:rPr>
        <w:t>conversion de chaleur résiduelle en électricité dans les fours à ciment;</w:t>
      </w:r>
    </w:p>
    <w:p w:rsidR="004A6463" w:rsidRDefault="004A6463">
      <w:pPr>
        <w:pStyle w:val="TableGrid1"/>
        <w:spacing w:before="240" w:after="120"/>
        <w:ind w:left="357"/>
        <w:contextualSpacing/>
        <w:jc w:val="both"/>
        <w:rPr>
          <w:rFonts w:ascii="Times New Roman" w:hAnsi="Times New Roman"/>
          <w:i/>
          <w:noProof/>
          <w:sz w:val="24"/>
        </w:rPr>
      </w:pPr>
    </w:p>
    <w:p w:rsidR="004A6463" w:rsidRDefault="00E53711">
      <w:pPr>
        <w:pStyle w:val="TableGrid1"/>
        <w:numPr>
          <w:ilvl w:val="0"/>
          <w:numId w:val="13"/>
        </w:numPr>
        <w:spacing w:before="240" w:after="240"/>
        <w:ind w:left="714" w:hanging="357"/>
        <w:contextualSpacing/>
        <w:jc w:val="both"/>
        <w:rPr>
          <w:rFonts w:ascii="Times New Roman" w:hAnsi="Times New Roman"/>
          <w:i/>
          <w:noProof/>
          <w:sz w:val="24"/>
        </w:rPr>
      </w:pPr>
      <w:r>
        <w:rPr>
          <w:rFonts w:ascii="Times New Roman" w:hAnsi="Times New Roman"/>
          <w:i/>
          <w:noProof/>
          <w:sz w:val="24"/>
        </w:rPr>
        <w:t xml:space="preserve">incinération des déchets dans des </w:t>
      </w:r>
      <w:r>
        <w:rPr>
          <w:rFonts w:ascii="Times New Roman" w:hAnsi="Times New Roman"/>
          <w:i/>
          <w:noProof/>
          <w:sz w:val="24"/>
        </w:rPr>
        <w:t>installations spécialisées:</w:t>
      </w:r>
    </w:p>
    <w:p w:rsidR="004A6463" w:rsidRDefault="00E53711">
      <w:pPr>
        <w:pStyle w:val="TableGrid1"/>
        <w:numPr>
          <w:ilvl w:val="1"/>
          <w:numId w:val="13"/>
        </w:numPr>
        <w:spacing w:before="240" w:after="120"/>
        <w:contextualSpacing/>
        <w:jc w:val="both"/>
        <w:rPr>
          <w:rFonts w:ascii="Times New Roman" w:hAnsi="Times New Roman"/>
          <w:i/>
          <w:noProof/>
          <w:sz w:val="24"/>
        </w:rPr>
      </w:pPr>
      <w:r>
        <w:rPr>
          <w:rFonts w:ascii="Times New Roman Italic" w:hAnsi="Times New Roman Italic"/>
          <w:noProof/>
          <w:sz w:val="24"/>
        </w:rPr>
        <w:t>utilisation de surchauffeurs;</w:t>
      </w:r>
      <w:r>
        <w:rPr>
          <w:rFonts w:ascii="Times New Roman" w:hAnsi="Times New Roman"/>
          <w:i/>
          <w:noProof/>
          <w:sz w:val="24"/>
        </w:rPr>
        <w:t xml:space="preserve"> </w:t>
      </w:r>
    </w:p>
    <w:p w:rsidR="004A6463" w:rsidRDefault="00E53711">
      <w:pPr>
        <w:pStyle w:val="TableGrid1"/>
        <w:numPr>
          <w:ilvl w:val="1"/>
          <w:numId w:val="13"/>
        </w:numPr>
        <w:spacing w:before="240" w:after="120"/>
        <w:contextualSpacing/>
        <w:jc w:val="both"/>
        <w:rPr>
          <w:rFonts w:ascii="Times New Roman" w:hAnsi="Times New Roman"/>
          <w:i/>
          <w:noProof/>
          <w:sz w:val="24"/>
        </w:rPr>
      </w:pPr>
      <w:r>
        <w:rPr>
          <w:rFonts w:ascii="Times New Roman Italic" w:hAnsi="Times New Roman Italic"/>
          <w:noProof/>
          <w:sz w:val="24"/>
        </w:rPr>
        <w:t>valorisation de l’énergie contenue dans les effluents gazeux;</w:t>
      </w:r>
    </w:p>
    <w:p w:rsidR="004A6463" w:rsidRDefault="00E53711">
      <w:pPr>
        <w:pStyle w:val="TableGrid1"/>
        <w:numPr>
          <w:ilvl w:val="1"/>
          <w:numId w:val="13"/>
        </w:numPr>
        <w:spacing w:before="240" w:after="120"/>
        <w:contextualSpacing/>
        <w:jc w:val="both"/>
        <w:rPr>
          <w:rFonts w:ascii="Times New Roman" w:hAnsi="Times New Roman"/>
          <w:i/>
          <w:noProof/>
          <w:sz w:val="24"/>
        </w:rPr>
      </w:pPr>
      <w:r>
        <w:rPr>
          <w:rFonts w:ascii="Times New Roman Italic" w:hAnsi="Times New Roman Italic"/>
          <w:noProof/>
          <w:sz w:val="24"/>
        </w:rPr>
        <w:t>utilisation de pompes à chaleur;</w:t>
      </w:r>
      <w:r>
        <w:rPr>
          <w:rFonts w:ascii="Times New Roman" w:hAnsi="Times New Roman"/>
          <w:i/>
          <w:noProof/>
          <w:sz w:val="24"/>
        </w:rPr>
        <w:t xml:space="preserve"> </w:t>
      </w:r>
    </w:p>
    <w:p w:rsidR="004A6463" w:rsidRDefault="00E53711">
      <w:pPr>
        <w:pStyle w:val="TableGrid1"/>
        <w:numPr>
          <w:ilvl w:val="1"/>
          <w:numId w:val="13"/>
        </w:numPr>
        <w:spacing w:before="240" w:after="120"/>
        <w:contextualSpacing/>
        <w:jc w:val="both"/>
        <w:rPr>
          <w:rFonts w:ascii="Times New Roman" w:hAnsi="Times New Roman"/>
          <w:i/>
          <w:noProof/>
          <w:sz w:val="24"/>
        </w:rPr>
      </w:pPr>
      <w:r>
        <w:rPr>
          <w:rFonts w:ascii="Times New Roman Italic" w:hAnsi="Times New Roman Italic"/>
          <w:noProof/>
          <w:sz w:val="24"/>
        </w:rPr>
        <w:t>fourniture d’eau réfrigérée aux réseaux de refroidissement urbain; et</w:t>
      </w:r>
    </w:p>
    <w:p w:rsidR="004A6463" w:rsidRDefault="00E53711">
      <w:pPr>
        <w:pStyle w:val="TableGrid1"/>
        <w:numPr>
          <w:ilvl w:val="1"/>
          <w:numId w:val="13"/>
        </w:numPr>
        <w:spacing w:before="240" w:after="240"/>
        <w:contextualSpacing/>
        <w:jc w:val="both"/>
        <w:rPr>
          <w:rFonts w:ascii="Times New Roman" w:hAnsi="Times New Roman"/>
          <w:i/>
          <w:noProof/>
          <w:sz w:val="24"/>
        </w:rPr>
      </w:pPr>
      <w:r>
        <w:rPr>
          <w:rFonts w:ascii="Times New Roman Italic" w:hAnsi="Times New Roman Italic"/>
          <w:noProof/>
          <w:sz w:val="24"/>
        </w:rPr>
        <w:t>distribution de chaleur issue d</w:t>
      </w:r>
      <w:r>
        <w:rPr>
          <w:rFonts w:ascii="Times New Roman Italic" w:hAnsi="Times New Roman Italic"/>
          <w:noProof/>
          <w:sz w:val="24"/>
        </w:rPr>
        <w:t>e déchets au moyen des réseaux de chauffage urbain à basse température;</w:t>
      </w:r>
    </w:p>
    <w:p w:rsidR="004A6463" w:rsidRDefault="004A6463">
      <w:pPr>
        <w:pStyle w:val="TableGrid1"/>
        <w:spacing w:before="240" w:after="120"/>
        <w:ind w:left="1080"/>
        <w:contextualSpacing/>
        <w:jc w:val="both"/>
        <w:rPr>
          <w:rFonts w:ascii="Times New Roman" w:hAnsi="Times New Roman"/>
          <w:i/>
          <w:noProof/>
          <w:sz w:val="24"/>
        </w:rPr>
      </w:pPr>
    </w:p>
    <w:p w:rsidR="004A6463" w:rsidRDefault="00E53711">
      <w:pPr>
        <w:pStyle w:val="TableGrid1"/>
        <w:numPr>
          <w:ilvl w:val="0"/>
          <w:numId w:val="13"/>
        </w:numPr>
        <w:spacing w:before="240" w:after="240"/>
        <w:ind w:left="714" w:hanging="357"/>
        <w:contextualSpacing/>
        <w:jc w:val="both"/>
        <w:rPr>
          <w:rFonts w:ascii="Times New Roman" w:hAnsi="Times New Roman"/>
          <w:i/>
          <w:noProof/>
          <w:sz w:val="24"/>
        </w:rPr>
      </w:pPr>
      <w:r>
        <w:rPr>
          <w:rFonts w:ascii="Times New Roman" w:hAnsi="Times New Roman" w:hint="eastAsia"/>
          <w:i/>
          <w:noProof/>
          <w:sz w:val="24"/>
        </w:rPr>
        <w:t>digestion anaérobie:</w:t>
      </w:r>
      <w:r>
        <w:rPr>
          <w:rFonts w:ascii="Times New Roman" w:hAnsi="Times New Roman"/>
          <w:i/>
          <w:noProof/>
          <w:sz w:val="24"/>
        </w:rPr>
        <w:t xml:space="preserve"> </w:t>
      </w:r>
      <w:r>
        <w:rPr>
          <w:rFonts w:ascii="Times New Roman" w:hAnsi="Times New Roman"/>
          <w:noProof/>
          <w:sz w:val="24"/>
        </w:rPr>
        <w:t xml:space="preserve">conversion du biogaz en biométhane en vue de sa distribution et de son utilisation (par exemple, injection dans le réseau de distribution de gaz et utilisation </w:t>
      </w:r>
      <w:r>
        <w:rPr>
          <w:rFonts w:ascii="Times New Roman" w:hAnsi="Times New Roman"/>
          <w:noProof/>
          <w:sz w:val="24"/>
        </w:rPr>
        <w:t>comme carburant pour le transport).</w:t>
      </w:r>
    </w:p>
    <w:p w:rsidR="004A6463" w:rsidRDefault="00E53711">
      <w:pPr>
        <w:spacing w:after="0" w:line="240" w:lineRule="auto"/>
        <w:jc w:val="both"/>
        <w:rPr>
          <w:rFonts w:ascii="Times New Roman" w:hAnsi="Times New Roman"/>
          <w:noProof/>
          <w:sz w:val="24"/>
        </w:rPr>
      </w:pPr>
      <w:r>
        <w:rPr>
          <w:rFonts w:ascii="Times New Roman" w:hAnsi="Times New Roman"/>
          <w:noProof/>
          <w:sz w:val="24"/>
        </w:rPr>
        <w:t>En plus des techniques spécifiques susmentionnées, l’étude de la Commission souligne la supériorité, du point de vue des niveaux d’efficacité énergétique réalisables, des installations de production combinée de chaleur e</w:t>
      </w:r>
      <w:r>
        <w:rPr>
          <w:rFonts w:ascii="Times New Roman" w:hAnsi="Times New Roman"/>
          <w:noProof/>
          <w:sz w:val="24"/>
        </w:rPr>
        <w:t>t d’électricité (PCCE) sur les installations produisant uniquement de la chaleur ou de l’électricité.</w:t>
      </w:r>
    </w:p>
    <w:p w:rsidR="004A6463" w:rsidRDefault="004A6463">
      <w:pPr>
        <w:spacing w:after="0" w:line="240" w:lineRule="auto"/>
        <w:jc w:val="both"/>
        <w:rPr>
          <w:rFonts w:ascii="Times New Roman" w:hAnsi="Times New Roman"/>
          <w:noProof/>
          <w:sz w:val="24"/>
        </w:rPr>
      </w:pPr>
    </w:p>
    <w:p w:rsidR="004A6463" w:rsidRDefault="00E53711">
      <w:pPr>
        <w:spacing w:after="0" w:line="240" w:lineRule="auto"/>
        <w:jc w:val="both"/>
        <w:rPr>
          <w:rFonts w:ascii="Times New Roman" w:hAnsi="Times New Roman"/>
          <w:noProof/>
          <w:sz w:val="24"/>
        </w:rPr>
      </w:pPr>
      <w:r>
        <w:rPr>
          <w:rFonts w:ascii="Times New Roman" w:hAnsi="Times New Roman"/>
          <w:noProof/>
          <w:sz w:val="24"/>
        </w:rPr>
        <w:t>En plus de ces techniques, l’étude énumère les mesures d’accompagnement susceptibles d’améliorer l’utilisation rationnelle de l’énergie et/ou des matière</w:t>
      </w:r>
      <w:r>
        <w:rPr>
          <w:rFonts w:ascii="Times New Roman" w:hAnsi="Times New Roman"/>
          <w:noProof/>
          <w:sz w:val="24"/>
        </w:rPr>
        <w:t>s dans le cadre de ces procédés. Parmi ces mesures figurent le développement des parcs industriels et des activités de symbiose industrielle dans lesquelles une installation de valorisation énergétique traite les déchets produits par les industries situées</w:t>
      </w:r>
      <w:r>
        <w:rPr>
          <w:rFonts w:ascii="Times New Roman" w:hAnsi="Times New Roman"/>
          <w:noProof/>
          <w:sz w:val="24"/>
        </w:rPr>
        <w:t xml:space="preserve"> à proximité et leur fournit en contrepartie de la chaleur et de l’électricité, ou encore la valorisation des matières présentes dans les cendres résiduelles des incinérateurs.</w:t>
      </w:r>
    </w:p>
    <w:p w:rsidR="004A6463" w:rsidRDefault="004A6463">
      <w:pPr>
        <w:spacing w:after="0" w:line="240" w:lineRule="auto"/>
        <w:jc w:val="both"/>
        <w:rPr>
          <w:rFonts w:ascii="Times New Roman" w:hAnsi="Times New Roman"/>
          <w:noProof/>
          <w:sz w:val="24"/>
        </w:rPr>
      </w:pPr>
    </w:p>
    <w:p w:rsidR="004A6463" w:rsidRDefault="00E53711">
      <w:pPr>
        <w:spacing w:after="0" w:line="240" w:lineRule="auto"/>
        <w:jc w:val="both"/>
        <w:rPr>
          <w:rFonts w:ascii="Times New Roman" w:hAnsi="Times New Roman"/>
          <w:noProof/>
          <w:sz w:val="24"/>
        </w:rPr>
      </w:pPr>
      <w:r>
        <w:rPr>
          <w:rFonts w:ascii="Times New Roman" w:hAnsi="Times New Roman"/>
          <w:noProof/>
          <w:sz w:val="24"/>
        </w:rPr>
        <w:t>Il importe également, dans la digestion anaérobie, d’éviter le risque de fuite</w:t>
      </w:r>
      <w:r>
        <w:rPr>
          <w:rFonts w:ascii="Times New Roman" w:hAnsi="Times New Roman"/>
          <w:noProof/>
          <w:sz w:val="24"/>
        </w:rPr>
        <w:t>s de méthane en provenance des usines de biogaz occasionnées par une maintenance déficiente ou un défaut de conception, étant donné que de telles fuites neutraliseraient une partie des avantages environnementaux de l’installation.</w:t>
      </w:r>
    </w:p>
    <w:p w:rsidR="004A6463" w:rsidRDefault="004A6463">
      <w:pPr>
        <w:spacing w:after="0" w:line="240" w:lineRule="auto"/>
        <w:jc w:val="both"/>
        <w:rPr>
          <w:rFonts w:ascii="Times New Roman" w:hAnsi="Times New Roman"/>
          <w:noProof/>
          <w:sz w:val="24"/>
        </w:rPr>
      </w:pPr>
    </w:p>
    <w:p w:rsidR="004A6463" w:rsidRDefault="00E53711">
      <w:pPr>
        <w:spacing w:after="0" w:line="240" w:lineRule="auto"/>
        <w:ind w:left="284"/>
        <w:jc w:val="both"/>
        <w:rPr>
          <w:rFonts w:ascii="Times New Roman Bold" w:hAnsi="Times New Roman Bold" w:hint="eastAsia"/>
          <w:b/>
          <w:noProof/>
          <w:sz w:val="24"/>
        </w:rPr>
      </w:pPr>
      <w:r>
        <w:rPr>
          <w:rFonts w:ascii="Times New Roman Bold" w:hAnsi="Times New Roman Bold"/>
          <w:b/>
          <w:noProof/>
          <w:sz w:val="24"/>
        </w:rPr>
        <w:t xml:space="preserve">5. Conclusions </w:t>
      </w:r>
    </w:p>
    <w:p w:rsidR="004A6463" w:rsidRDefault="004A6463">
      <w:pPr>
        <w:spacing w:after="0" w:line="240" w:lineRule="auto"/>
        <w:ind w:left="284"/>
        <w:jc w:val="both"/>
        <w:rPr>
          <w:rFonts w:ascii="Times New Roman Bold" w:hAnsi="Times New Roman Bold" w:hint="eastAsia"/>
          <w:b/>
          <w:noProof/>
          <w:sz w:val="24"/>
        </w:rPr>
      </w:pPr>
    </w:p>
    <w:p w:rsidR="004A6463" w:rsidRDefault="00E53711">
      <w:pPr>
        <w:spacing w:after="0" w:line="240" w:lineRule="auto"/>
        <w:jc w:val="both"/>
        <w:rPr>
          <w:rFonts w:ascii="Times New Roman Bold" w:hAnsi="Times New Roman Bold" w:hint="eastAsia"/>
          <w:noProof/>
          <w:sz w:val="24"/>
        </w:rPr>
      </w:pPr>
      <w:r>
        <w:rPr>
          <w:rFonts w:ascii="Times New Roman Bold" w:hAnsi="Times New Roman Bold" w:hint="eastAsia"/>
          <w:noProof/>
          <w:sz w:val="24"/>
        </w:rPr>
        <w:t>Les pro</w:t>
      </w:r>
      <w:r>
        <w:rPr>
          <w:rFonts w:ascii="Times New Roman Bold" w:hAnsi="Times New Roman Bold" w:hint="eastAsia"/>
          <w:noProof/>
          <w:sz w:val="24"/>
        </w:rPr>
        <w:t>cédés de valorisation énergétique des déchets peuvent contribuer à la transition vers une économie circulaire à condition que la hiérarchie des déchets établie par l</w:t>
      </w:r>
      <w:r>
        <w:rPr>
          <w:rFonts w:ascii="Times New Roman Bold" w:hAnsi="Times New Roman Bold"/>
          <w:noProof/>
          <w:sz w:val="24"/>
        </w:rPr>
        <w:t>'</w:t>
      </w:r>
      <w:r>
        <w:rPr>
          <w:rFonts w:ascii="Times New Roman Bold" w:hAnsi="Times New Roman Bold" w:hint="eastAsia"/>
          <w:noProof/>
          <w:sz w:val="24"/>
        </w:rPr>
        <w:t>UE serve de principe directeur et que les choix opérés ne constituent pas un obstacle à la</w:t>
      </w:r>
      <w:r>
        <w:rPr>
          <w:rFonts w:ascii="Times New Roman Bold" w:hAnsi="Times New Roman Bold" w:hint="eastAsia"/>
          <w:noProof/>
          <w:sz w:val="24"/>
        </w:rPr>
        <w:t xml:space="preserve"> réalisation de niveaux plus élevés de prévention, de réemploi et de recyclage.</w:t>
      </w:r>
      <w:r>
        <w:rPr>
          <w:rFonts w:ascii="Times New Roman Bold" w:hAnsi="Times New Roman Bold"/>
          <w:noProof/>
          <w:sz w:val="24"/>
        </w:rPr>
        <w:t xml:space="preserve"> Cette précaution est fondamentale pour libérer tout le potentiel d’une économie circulaire, tant sur le plan environnemental que sur le plan économique, et renforcer la primaut</w:t>
      </w:r>
      <w:r>
        <w:rPr>
          <w:rFonts w:ascii="Times New Roman Bold" w:hAnsi="Times New Roman Bold"/>
          <w:noProof/>
          <w:sz w:val="24"/>
        </w:rPr>
        <w:t xml:space="preserve">é de l’Europe dans le domaine des technologies vertes. En outre, ce n’est que si la hiérarchie des déchets est respectée que la valorisation énergétique des déchets pourra maximiser la contribution de l’économie circulaire à la décarbonation, conformément </w:t>
      </w:r>
      <w:r>
        <w:rPr>
          <w:rFonts w:ascii="Times New Roman Bold" w:hAnsi="Times New Roman Bold"/>
          <w:noProof/>
          <w:sz w:val="24"/>
        </w:rPr>
        <w:t>à la stratégie pour une union de l’énergie et à l’accord de Paris. Comme indiqué plus haut, ce sont la prévention et le recyclage des déchets qui contribuent le plus aux économies d’énergie et à la réduction des émissions de GES.</w:t>
      </w:r>
    </w:p>
    <w:p w:rsidR="004A6463" w:rsidRDefault="004A6463">
      <w:pPr>
        <w:spacing w:after="0" w:line="240" w:lineRule="auto"/>
        <w:jc w:val="both"/>
        <w:rPr>
          <w:rFonts w:ascii="Times New Roman Bold" w:hAnsi="Times New Roman Bold" w:hint="eastAsia"/>
          <w:b/>
          <w:noProof/>
          <w:sz w:val="24"/>
        </w:rPr>
      </w:pPr>
    </w:p>
    <w:p w:rsidR="004A6463" w:rsidRDefault="00E53711">
      <w:pPr>
        <w:spacing w:after="0" w:line="240" w:lineRule="auto"/>
        <w:jc w:val="both"/>
        <w:rPr>
          <w:rFonts w:ascii="Times New Roman" w:hAnsi="Times New Roman"/>
          <w:noProof/>
          <w:sz w:val="24"/>
        </w:rPr>
      </w:pPr>
      <w:r>
        <w:rPr>
          <w:rFonts w:ascii="Times New Roman" w:hAnsi="Times New Roman"/>
          <w:noProof/>
          <w:sz w:val="24"/>
        </w:rPr>
        <w:t xml:space="preserve">Il convient, à l’avenir, </w:t>
      </w:r>
      <w:r>
        <w:rPr>
          <w:rFonts w:ascii="Times New Roman" w:hAnsi="Times New Roman"/>
          <w:noProof/>
          <w:sz w:val="24"/>
        </w:rPr>
        <w:t>de prendre davantage en considération les procédés combinant le recyclage des matières et la valorisation énergétique, comme la digestion anaérobie des déchets biodégradables. À l'inverse, le rôle de l’incinération des déchets – qui constitue à l’heure act</w:t>
      </w:r>
      <w:r>
        <w:rPr>
          <w:rFonts w:ascii="Times New Roman" w:hAnsi="Times New Roman"/>
          <w:noProof/>
          <w:sz w:val="24"/>
        </w:rPr>
        <w:t>uelle la principale option de valorisation énergétique des déchets – doit être redéfini afin de ne pas entraver l’augmentation des taux de recyclage et de réemploi et d’éviter la mise en place de surcapacités pour le traitement des déchets résiduels.</w:t>
      </w:r>
    </w:p>
    <w:p w:rsidR="004A6463" w:rsidRDefault="004A6463">
      <w:pPr>
        <w:spacing w:after="0" w:line="240" w:lineRule="auto"/>
        <w:jc w:val="both"/>
        <w:rPr>
          <w:rFonts w:ascii="Times New Roman Bold" w:hAnsi="Times New Roman Bold" w:hint="eastAsia"/>
          <w:b/>
          <w:noProof/>
          <w:sz w:val="24"/>
        </w:rPr>
      </w:pPr>
    </w:p>
    <w:p w:rsidR="004A6463" w:rsidRDefault="00E53711">
      <w:pPr>
        <w:spacing w:after="0" w:line="240" w:lineRule="auto"/>
        <w:jc w:val="both"/>
        <w:rPr>
          <w:rFonts w:ascii="Times New Roman" w:hAnsi="Times New Roman"/>
          <w:noProof/>
          <w:sz w:val="24"/>
        </w:rPr>
      </w:pPr>
      <w:r>
        <w:rPr>
          <w:rFonts w:ascii="Times New Roman" w:hAnsi="Times New Roman"/>
          <w:noProof/>
          <w:sz w:val="24"/>
        </w:rPr>
        <w:t xml:space="preserve">La </w:t>
      </w:r>
      <w:r>
        <w:rPr>
          <w:rFonts w:ascii="Times New Roman" w:hAnsi="Times New Roman"/>
          <w:noProof/>
          <w:sz w:val="24"/>
        </w:rPr>
        <w:t>Commission invite tous les États membres à tenir compte des orientations formulées dans la présente communication lors de l’évaluation et du réexamen de leurs plans de gestion des déchets conformément à la législation de l’UE</w:t>
      </w:r>
      <w:r>
        <w:rPr>
          <w:rStyle w:val="FootnoteReference"/>
          <w:noProof/>
        </w:rPr>
        <w:footnoteReference w:id="31"/>
      </w:r>
      <w:r>
        <w:rPr>
          <w:rFonts w:ascii="Times New Roman" w:hAnsi="Times New Roman"/>
          <w:noProof/>
          <w:sz w:val="24"/>
        </w:rPr>
        <w:t>. En cas de planification de n</w:t>
      </w:r>
      <w:r>
        <w:rPr>
          <w:rFonts w:ascii="Times New Roman" w:hAnsi="Times New Roman"/>
          <w:noProof/>
          <w:sz w:val="24"/>
        </w:rPr>
        <w:t>ouveaux investissements dans des capacités de valorisation énergétique des déchets, il est essentiel que les États membres tiennent compte du risque que constituent les actifs irrécupérables. Lorsqu’elle procédera à l’évaluation des plans nationaux de gest</w:t>
      </w:r>
      <w:r>
        <w:rPr>
          <w:rFonts w:ascii="Times New Roman" w:hAnsi="Times New Roman"/>
          <w:noProof/>
          <w:sz w:val="24"/>
        </w:rPr>
        <w:t>ion des déchets et au suivi des progrès accomplis vers la réalisation des objectifs de l’UE en matière de recyclage, la Commission continuera à fournir des orientations sur la manière de faire en sorte que la planification des capacités de valorisation éne</w:t>
      </w:r>
      <w:r>
        <w:rPr>
          <w:rFonts w:ascii="Times New Roman" w:hAnsi="Times New Roman"/>
          <w:noProof/>
          <w:sz w:val="24"/>
        </w:rPr>
        <w:t>rgétique des déchets respecte et soutienne la hiérarchie des déchets et que cette planification tienne compte du potentiel offert par les technologies nouvelles et émergentes en matière de traitement et de recyclage des déchets.</w:t>
      </w:r>
    </w:p>
    <w:p w:rsidR="004A6463" w:rsidRDefault="004A6463">
      <w:pPr>
        <w:spacing w:after="0" w:line="240" w:lineRule="auto"/>
        <w:jc w:val="both"/>
        <w:rPr>
          <w:rFonts w:ascii="Times New Roman" w:hAnsi="Times New Roman"/>
          <w:noProof/>
          <w:sz w:val="24"/>
        </w:rPr>
      </w:pPr>
    </w:p>
    <w:p w:rsidR="004A6463" w:rsidRDefault="00E53711">
      <w:pPr>
        <w:spacing w:after="0" w:line="240" w:lineRule="auto"/>
        <w:jc w:val="both"/>
        <w:rPr>
          <w:rFonts w:ascii="Times New Roman" w:hAnsi="Times New Roman"/>
          <w:noProof/>
          <w:sz w:val="24"/>
        </w:rPr>
      </w:pPr>
      <w:r>
        <w:rPr>
          <w:rFonts w:ascii="Times New Roman" w:hAnsi="Times New Roman"/>
          <w:noProof/>
          <w:sz w:val="24"/>
        </w:rPr>
        <w:t>La Commission reste déterm</w:t>
      </w:r>
      <w:r>
        <w:rPr>
          <w:rFonts w:ascii="Times New Roman" w:hAnsi="Times New Roman"/>
          <w:noProof/>
          <w:sz w:val="24"/>
        </w:rPr>
        <w:t>inée à faire en sorte que le financement de l’UE et les autres soutiens financiers publics soient orientés vers les modes de traitement des déchets qui sont compatibles avec la hiérarchie des déchets et que les options privilégiées soient la prévention, le</w:t>
      </w:r>
      <w:r>
        <w:rPr>
          <w:rFonts w:ascii="Times New Roman" w:hAnsi="Times New Roman"/>
          <w:noProof/>
          <w:sz w:val="24"/>
        </w:rPr>
        <w:t xml:space="preserve"> réemploi, la collecte séparée et le recyclage des déchets.</w:t>
      </w:r>
    </w:p>
    <w:sectPr w:rsidR="004A6463">
      <w:headerReference w:type="even" r:id="rId18"/>
      <w:headerReference w:type="default" r:id="rId19"/>
      <w:footerReference w:type="even" r:id="rId20"/>
      <w:footerReference w:type="default" r:id="rId21"/>
      <w:headerReference w:type="first" r:id="rId22"/>
      <w:footerReference w:type="first" r:id="rId23"/>
      <w:pgSz w:w="11900" w:h="16840"/>
      <w:pgMar w:top="1417" w:right="1417" w:bottom="1417" w:left="1417" w:header="708" w:footer="708" w:gutter="0"/>
      <w:pgNumType w:start="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6463" w:rsidRDefault="00E53711">
      <w:pPr>
        <w:spacing w:after="0" w:line="240" w:lineRule="auto"/>
        <w:rPr>
          <w:rFonts w:hint="eastAsia"/>
        </w:rPr>
      </w:pPr>
      <w:r>
        <w:separator/>
      </w:r>
    </w:p>
  </w:endnote>
  <w:endnote w:type="continuationSeparator" w:id="0">
    <w:p w:rsidR="004A6463" w:rsidRDefault="00E53711">
      <w:pPr>
        <w:spacing w:after="0" w:line="240" w:lineRule="auto"/>
        <w:rPr>
          <w:rFonts w:hint="eastAsia"/>
        </w:rPr>
      </w:pPr>
      <w:r>
        <w:continuationSeparator/>
      </w:r>
    </w:p>
  </w:endnote>
  <w:endnote w:type="continuationNotice" w:id="1">
    <w:p w:rsidR="004A6463" w:rsidRDefault="004A6463">
      <w:pPr>
        <w:spacing w:after="0" w:line="240" w:lineRule="auto"/>
        <w:rPr>
          <w:rFonts w:hint="eastAsi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ヒラギノ角ゴ Pro W3">
    <w:altName w:val="MS Mincho"/>
    <w:charset w:val="80"/>
    <w:family w:val="auto"/>
    <w:pitch w:val="variable"/>
    <w:sig w:usb0="00000000" w:usb1="7AC7FFFF" w:usb2="00000012" w:usb3="00000000" w:csb0="0002000D" w:csb1="00000000"/>
  </w:font>
  <w:font w:name="Wingdings">
    <w:panose1 w:val="05000000000000000000"/>
    <w:charset w:val="02"/>
    <w:family w:val="auto"/>
    <w:pitch w:val="variable"/>
    <w:sig w:usb0="00000000" w:usb1="10000000" w:usb2="00000000" w:usb3="00000000" w:csb0="80000000" w:csb1="00000000"/>
  </w:font>
  <w:font w:name="Lucida Grande">
    <w:altName w:val="Times New Roman"/>
    <w:charset w:val="00"/>
    <w:family w:val="auto"/>
    <w:pitch w:val="variable"/>
    <w:sig w:usb0="00000000"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ystem Font Regular">
    <w:altName w:val="Times New Roman"/>
    <w:charset w:val="00"/>
    <w:family w:val="roman"/>
    <w:pitch w:val="default"/>
  </w:font>
  <w:font w:name="Arial">
    <w:panose1 w:val="020B0604020202020204"/>
    <w:charset w:val="00"/>
    <w:family w:val="swiss"/>
    <w:pitch w:val="variable"/>
    <w:sig w:usb0="E0002AFF" w:usb1="C0007843" w:usb2="00000009" w:usb3="00000000" w:csb0="000001FF" w:csb1="00000000"/>
  </w:font>
  <w:font w:name="System Font Bold">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Times New Roman Italic">
    <w:altName w:val="Times New Roman"/>
    <w:charset w:val="00"/>
    <w:family w:val="roman"/>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711" w:rsidRDefault="00E53711">
    <w:pPr>
      <w:pStyle w:val="Foo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463" w:rsidRDefault="00E53711">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711" w:rsidRDefault="00E53711">
    <w:pPr>
      <w:pStyle w:val="Footer"/>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463" w:rsidRDefault="00E53711">
    <w:pPr>
      <w:pStyle w:val="Footer1"/>
      <w:tabs>
        <w:tab w:val="clear" w:pos="9072"/>
        <w:tab w:val="right" w:pos="9046"/>
      </w:tabs>
      <w:jc w:val="center"/>
      <w:rPr>
        <w:rFonts w:hint="eastAsia"/>
      </w:rP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463" w:rsidRDefault="00E53711">
    <w:pPr>
      <w:pStyle w:val="Footer1"/>
      <w:tabs>
        <w:tab w:val="clear" w:pos="9072"/>
        <w:tab w:val="right" w:pos="9046"/>
      </w:tabs>
      <w:jc w:val="center"/>
      <w:rPr>
        <w:rFonts w:hint="eastAsia"/>
      </w:rPr>
    </w:pPr>
    <w:r>
      <w:fldChar w:fldCharType="begin"/>
    </w:r>
    <w:r>
      <w:instrText xml:space="preserve"> PAGE </w:instrText>
    </w:r>
    <w:r>
      <w:fldChar w:fldCharType="separate"/>
    </w:r>
    <w:r>
      <w:rPr>
        <w:rFonts w:hint="eastAsia"/>
        <w:noProof/>
      </w:rPr>
      <w:t>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463" w:rsidRDefault="004A6463">
    <w:pPr>
      <w:pStyle w:val="Foote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6463" w:rsidRDefault="00E53711">
      <w:pPr>
        <w:spacing w:after="0" w:line="240" w:lineRule="auto"/>
        <w:rPr>
          <w:rFonts w:hint="eastAsia"/>
        </w:rPr>
      </w:pPr>
      <w:r>
        <w:separator/>
      </w:r>
    </w:p>
  </w:footnote>
  <w:footnote w:type="continuationSeparator" w:id="0">
    <w:p w:rsidR="004A6463" w:rsidRDefault="00E53711">
      <w:pPr>
        <w:spacing w:after="0" w:line="240" w:lineRule="auto"/>
        <w:rPr>
          <w:rFonts w:hint="eastAsia"/>
        </w:rPr>
      </w:pPr>
      <w:r>
        <w:continuationSeparator/>
      </w:r>
    </w:p>
  </w:footnote>
  <w:footnote w:type="continuationNotice" w:id="1">
    <w:p w:rsidR="004A6463" w:rsidRDefault="004A6463">
      <w:pPr>
        <w:spacing w:after="0" w:line="240" w:lineRule="auto"/>
        <w:rPr>
          <w:rFonts w:hint="eastAsia"/>
        </w:rPr>
      </w:pPr>
    </w:p>
  </w:footnote>
  <w:footnote w:id="2">
    <w:p w:rsidR="004A6463" w:rsidRDefault="00E53711">
      <w:pPr>
        <w:pStyle w:val="FootnoteText1"/>
        <w:rPr>
          <w:rFonts w:hint="eastAsia"/>
        </w:rPr>
      </w:pPr>
      <w:r>
        <w:rPr>
          <w:rStyle w:val="FootnoteReference"/>
        </w:rPr>
        <w:footnoteRef/>
      </w:r>
      <w:r>
        <w:t xml:space="preserve"> </w:t>
      </w:r>
      <w:r>
        <w:rPr>
          <w:i/>
        </w:rPr>
        <w:t xml:space="preserve">Boucler la boucle — Un plan d’action de l’Union européenne en faveur de l’économie circulaire, </w:t>
      </w:r>
      <w:r>
        <w:t xml:space="preserve">COM(2015) 614 final. Une économie circulaire est une économie dans </w:t>
      </w:r>
      <w:r>
        <w:t>laquelle la valeur des produits, des matières et des ressources est maintenue aussi longtemps que possible, réduisant ainsi au minimum les déchets et l'utilisation des ressources.</w:t>
      </w:r>
      <w:r>
        <w:rPr>
          <w:i/>
        </w:rPr>
        <w:t xml:space="preserve"> </w:t>
      </w:r>
    </w:p>
    <w:p w:rsidR="004A6463" w:rsidRDefault="004A6463">
      <w:pPr>
        <w:pStyle w:val="FootnoteText1"/>
        <w:rPr>
          <w:rFonts w:hint="eastAsia"/>
        </w:rPr>
      </w:pPr>
    </w:p>
  </w:footnote>
  <w:footnote w:id="3">
    <w:p w:rsidR="004A6463" w:rsidRDefault="00E53711">
      <w:pPr>
        <w:pStyle w:val="FootnoteText1"/>
        <w:rPr>
          <w:rFonts w:hint="eastAsia"/>
          <w:lang w:val="pt-PT"/>
        </w:rPr>
      </w:pPr>
      <w:r>
        <w:rPr>
          <w:rStyle w:val="FootnoteReference"/>
        </w:rPr>
        <w:footnoteRef/>
      </w:r>
      <w:r>
        <w:rPr>
          <w:rStyle w:val="FootnoteReference"/>
          <w:rFonts w:hint="eastAsia"/>
          <w:lang w:val="pt-PT"/>
        </w:rPr>
        <w:t xml:space="preserve"> </w:t>
      </w:r>
      <w:r>
        <w:rPr>
          <w:lang w:val="pt-PT"/>
        </w:rPr>
        <w:t>COM(2015) 593, 594, 595 et 596 final.</w:t>
      </w:r>
    </w:p>
    <w:p w:rsidR="004A6463" w:rsidRDefault="004A6463">
      <w:pPr>
        <w:pStyle w:val="FootnoteText1"/>
        <w:rPr>
          <w:rFonts w:hint="eastAsia"/>
          <w:lang w:val="pt-PT"/>
        </w:rPr>
      </w:pPr>
    </w:p>
  </w:footnote>
  <w:footnote w:id="4">
    <w:p w:rsidR="004A6463" w:rsidRDefault="00E53711">
      <w:pPr>
        <w:pStyle w:val="FootnoteText"/>
        <w:rPr>
          <w:rFonts w:hint="eastAsia"/>
          <w:lang w:val="pt-PT"/>
        </w:rPr>
      </w:pPr>
      <w:r>
        <w:rPr>
          <w:rStyle w:val="FootnoteReference"/>
        </w:rPr>
        <w:footnoteRef/>
      </w:r>
      <w:r>
        <w:rPr>
          <w:lang w:val="pt-PT"/>
        </w:rPr>
        <w:t xml:space="preserve"> </w:t>
      </w:r>
      <w:hyperlink r:id="rId1">
        <w:r>
          <w:rPr>
            <w:rStyle w:val="Hyperlink"/>
            <w:rFonts w:hint="eastAsia"/>
            <w:lang w:val="pt-PT"/>
          </w:rPr>
          <w:t>http://ec.europa.eu/eurostat/statistics-explained/index.php/Environmental_goods_and_services_sector</w:t>
        </w:r>
      </w:hyperlink>
    </w:p>
  </w:footnote>
  <w:footnote w:id="5">
    <w:p w:rsidR="004A6463" w:rsidRDefault="00E53711">
      <w:pPr>
        <w:pStyle w:val="FootnoteText1"/>
        <w:rPr>
          <w:rFonts w:hint="eastAsia"/>
          <w:lang w:val="en-US"/>
        </w:rPr>
      </w:pPr>
      <w:r>
        <w:rPr>
          <w:rStyle w:val="FootnoteReference"/>
        </w:rPr>
        <w:footnoteRef/>
      </w:r>
      <w:r>
        <w:rPr>
          <w:lang w:val="en-US"/>
        </w:rPr>
        <w:t xml:space="preserve"> </w:t>
      </w:r>
      <w:r>
        <w:rPr>
          <w:i/>
          <w:lang w:val="en-US"/>
        </w:rPr>
        <w:t>Building competitive green industries: The climate and clean techn</w:t>
      </w:r>
      <w:r>
        <w:rPr>
          <w:i/>
          <w:lang w:val="en-US"/>
        </w:rPr>
        <w:t>ology opportunity for developing countries,</w:t>
      </w:r>
      <w:r>
        <w:rPr>
          <w:lang w:val="en-US"/>
        </w:rPr>
        <w:t xml:space="preserve"> Banque mondiale, 2014.</w:t>
      </w:r>
    </w:p>
  </w:footnote>
  <w:footnote w:id="6">
    <w:p w:rsidR="004A6463" w:rsidRDefault="00E53711">
      <w:pPr>
        <w:pStyle w:val="FootnoteText"/>
        <w:rPr>
          <w:rFonts w:hint="eastAsia"/>
          <w:lang w:val="en-US"/>
        </w:rPr>
      </w:pPr>
      <w:r>
        <w:rPr>
          <w:rStyle w:val="FootnoteReference"/>
        </w:rPr>
        <w:footnoteRef/>
      </w:r>
      <w:r>
        <w:rPr>
          <w:lang w:val="en-US"/>
        </w:rPr>
        <w:t xml:space="preserve"> </w:t>
      </w:r>
      <w:hyperlink r:id="rId2">
        <w:r>
          <w:rPr>
            <w:rStyle w:val="Hyperlink"/>
            <w:lang w:val="en-US"/>
          </w:rPr>
          <w:t>http://ec.europa.eu/priorities/energy-union-and-climate/state-energy-union_en</w:t>
        </w:r>
      </w:hyperlink>
    </w:p>
  </w:footnote>
  <w:footnote w:id="7">
    <w:p w:rsidR="004A6463" w:rsidRDefault="00E53711">
      <w:pPr>
        <w:pStyle w:val="FootnoteText"/>
        <w:rPr>
          <w:rFonts w:hint="eastAsia"/>
          <w:lang w:val="en-US"/>
        </w:rPr>
      </w:pPr>
      <w:r>
        <w:rPr>
          <w:rStyle w:val="FootnoteReference"/>
        </w:rPr>
        <w:footnoteRef/>
      </w:r>
      <w:r>
        <w:rPr>
          <w:lang w:val="en-US"/>
        </w:rPr>
        <w:t xml:space="preserve"> </w:t>
      </w:r>
      <w:hyperlink r:id="rId3">
        <w:r>
          <w:rPr>
            <w:rStyle w:val="Hyperlink"/>
            <w:lang w:val="en-US"/>
          </w:rPr>
          <w:t>http://unfccc.int/portal_francophone/items/3072.php</w:t>
        </w:r>
      </w:hyperlink>
    </w:p>
  </w:footnote>
  <w:footnote w:id="8">
    <w:p w:rsidR="004A6463" w:rsidRDefault="00E53711">
      <w:pPr>
        <w:pStyle w:val="FootnoteText"/>
        <w:rPr>
          <w:rFonts w:hint="eastAsia"/>
        </w:rPr>
      </w:pPr>
      <w:r>
        <w:rPr>
          <w:rStyle w:val="FootnoteReference"/>
        </w:rPr>
        <w:footnoteRef/>
      </w:r>
      <w:r>
        <w:t xml:space="preserve"> Définie à l’article 4 de la directive 2008/98/CE du Parlement européen et du Conseil relative aux déchets et abrogeant certaines directives (</w:t>
      </w:r>
      <w:r>
        <w:t>JO L 312 du 22.11.2008, p. 3).</w:t>
      </w:r>
    </w:p>
  </w:footnote>
  <w:footnote w:id="9">
    <w:p w:rsidR="004A6463" w:rsidRDefault="00E53711">
      <w:pPr>
        <w:rPr>
          <w:rFonts w:hint="eastAsia"/>
        </w:rPr>
      </w:pPr>
      <w:r>
        <w:rPr>
          <w:rStyle w:val="FootnoteReference"/>
          <w:rFonts w:hint="eastAsia"/>
        </w:rPr>
        <w:footnoteRef/>
      </w:r>
      <w:r>
        <w:t xml:space="preserve"> </w:t>
      </w:r>
      <w:r>
        <w:rPr>
          <w:rFonts w:hint="eastAsia"/>
          <w:sz w:val="20"/>
        </w:rPr>
        <w:t>Énumérés dans l</w:t>
      </w:r>
      <w:r>
        <w:rPr>
          <w:sz w:val="20"/>
        </w:rPr>
        <w:t>'</w:t>
      </w:r>
      <w:r>
        <w:rPr>
          <w:rFonts w:hint="eastAsia"/>
          <w:sz w:val="20"/>
        </w:rPr>
        <w:t xml:space="preserve">étude de la Commission consacrée à ce sujet, intitulée: </w:t>
      </w:r>
      <w:r>
        <w:rPr>
          <w:i/>
          <w:sz w:val="20"/>
        </w:rPr>
        <w:t>Towards a better exploitation of the technical potential of waste-to-energy</w:t>
      </w:r>
      <w:r>
        <w:rPr>
          <w:sz w:val="20"/>
        </w:rPr>
        <w:t xml:space="preserve">, Union européenne, 2016. </w:t>
      </w:r>
      <w:hyperlink r:id="rId4">
        <w:r>
          <w:rPr>
            <w:rStyle w:val="Hyperlink"/>
            <w:sz w:val="20"/>
          </w:rPr>
          <w:t>http://publications.jrc.ec.europa.eu/repository/bitstream/JRC104013/wte%20report%20full%2020161212.pdf</w:t>
        </w:r>
      </w:hyperlink>
      <w:r>
        <w:rPr>
          <w:sz w:val="20"/>
        </w:rPr>
        <w:t>.</w:t>
      </w:r>
    </w:p>
  </w:footnote>
  <w:footnote w:id="10">
    <w:p w:rsidR="004A6463" w:rsidRDefault="00E53711">
      <w:pPr>
        <w:pStyle w:val="Default"/>
        <w:rPr>
          <w:rFonts w:ascii="System Font Regular" w:hAnsi="System Font Regular" w:hint="eastAsia"/>
          <w:sz w:val="20"/>
          <w:lang w:eastAsia="en-US"/>
        </w:rPr>
      </w:pPr>
      <w:r>
        <w:rPr>
          <w:rStyle w:val="FootnoteReference"/>
          <w:rFonts w:hint="eastAsia"/>
        </w:rPr>
        <w:footnoteRef/>
      </w:r>
      <w:r>
        <w:t xml:space="preserve"> </w:t>
      </w:r>
      <w:r>
        <w:rPr>
          <w:rFonts w:ascii="System Font Regular" w:hAnsi="System Font Regular" w:hint="eastAsia"/>
          <w:sz w:val="20"/>
        </w:rPr>
        <w:t xml:space="preserve">Article 2, paragraphe 6, de la décision </w:t>
      </w:r>
      <w:r>
        <w:rPr>
          <w:rFonts w:ascii="System Font Regular" w:hAnsi="System Font Regular" w:hint="eastAsia"/>
          <w:sz w:val="20"/>
        </w:rPr>
        <w:t>2011/753/UE de la Commission établissant des règles et méthodes de calcul permettant de vérifier le respect des objectifs fixés à l'article 11, paragraphe 2, de la directive 2008/98/CE du Parlement européen et du Conseil</w:t>
      </w:r>
      <w:r>
        <w:rPr>
          <w:rFonts w:ascii="System Font Regular" w:hAnsi="System Font Regular"/>
          <w:sz w:val="20"/>
        </w:rPr>
        <w:t xml:space="preserve"> (JO L 310 du 25.11.2011).</w:t>
      </w:r>
    </w:p>
    <w:p w:rsidR="004A6463" w:rsidRDefault="004A6463">
      <w:pPr>
        <w:pStyle w:val="Default"/>
      </w:pPr>
    </w:p>
  </w:footnote>
  <w:footnote w:id="11">
    <w:p w:rsidR="004A6463" w:rsidRDefault="00E53711">
      <w:pPr>
        <w:pStyle w:val="FootnoteText"/>
        <w:rPr>
          <w:rFonts w:hint="eastAsia"/>
        </w:rPr>
      </w:pPr>
      <w:r>
        <w:rPr>
          <w:rStyle w:val="FootnoteReference"/>
          <w:rFonts w:hint="eastAsia"/>
        </w:rPr>
        <w:footnoteRef/>
      </w:r>
      <w:r>
        <w:t xml:space="preserve"> Article 4, paragraphe 2, de la directive 2008/98/CE, en liaison avec les orientations de l’UE concernant l’interprétation de la hiérarchie des déchets: </w:t>
      </w:r>
      <w:hyperlink r:id="rId5">
        <w:r>
          <w:rPr>
            <w:rStyle w:val="Hyperlink"/>
            <w:rFonts w:hint="eastAsia"/>
          </w:rPr>
          <w:t>http://ec.europ</w:t>
        </w:r>
        <w:r>
          <w:rPr>
            <w:rStyle w:val="Hyperlink"/>
            <w:rFonts w:hint="eastAsia"/>
          </w:rPr>
          <w:t>a.eu/environment/waste/framework/pdf/guidance_doc.pdf</w:t>
        </w:r>
      </w:hyperlink>
      <w:r>
        <w:t xml:space="preserve">  (pages 48 à 52).</w:t>
      </w:r>
    </w:p>
  </w:footnote>
  <w:footnote w:id="12">
    <w:p w:rsidR="004A6463" w:rsidRDefault="00E53711">
      <w:pPr>
        <w:pStyle w:val="FootnoteText"/>
        <w:rPr>
          <w:rFonts w:hint="eastAsia"/>
        </w:rPr>
      </w:pPr>
      <w:r>
        <w:rPr>
          <w:rStyle w:val="FootnoteReference"/>
          <w:rFonts w:hint="eastAsia"/>
        </w:rPr>
        <w:footnoteRef/>
      </w:r>
      <w:r>
        <w:t xml:space="preserve"> </w:t>
      </w:r>
      <w:r>
        <w:rPr>
          <w:i/>
        </w:rPr>
        <w:t>Supporting environmentally sound decisions for waste management</w:t>
      </w:r>
      <w:r>
        <w:t xml:space="preserve">, Union européenne, 2011. </w:t>
      </w:r>
      <w:hyperlink r:id="rId6">
        <w:r>
          <w:rPr>
            <w:rStyle w:val="Hyperlink"/>
          </w:rPr>
          <w:t>http://publications.jrc.ec.europa.eu/repository/bitstream/JRC65850/reqno_jrc65850_lb-na-24916-en-n%20_pdf_.pdf</w:t>
        </w:r>
      </w:hyperlink>
    </w:p>
  </w:footnote>
  <w:footnote w:id="13">
    <w:p w:rsidR="004A6463" w:rsidRDefault="00E53711">
      <w:pPr>
        <w:pStyle w:val="FootnoteText"/>
        <w:rPr>
          <w:rFonts w:hint="eastAsia"/>
        </w:rPr>
      </w:pPr>
      <w:r>
        <w:rPr>
          <w:rStyle w:val="FootnoteReference"/>
        </w:rPr>
        <w:footnoteRef/>
      </w:r>
      <w:r>
        <w:t xml:space="preserve"> Comme elle l’a annoncé dans le plan d’action en faveur de l’économie circulaire, la Commission analyse act</w:t>
      </w:r>
      <w:r>
        <w:t>uellement les options pour traiter la question de l’interaction entre les législations relatives aux substances chimiques, aux produits et aux déchets, en vue notamment de déterminer comment réduire la présence des substances chimiques préoccupantes dans l</w:t>
      </w:r>
      <w:r>
        <w:t xml:space="preserve">es produits et améliorer leur traçabilité. </w:t>
      </w:r>
    </w:p>
  </w:footnote>
  <w:footnote w:id="14">
    <w:p w:rsidR="004A6463" w:rsidRDefault="00E53711">
      <w:pPr>
        <w:pStyle w:val="FootnoteText"/>
        <w:rPr>
          <w:rFonts w:hint="eastAsia"/>
        </w:rPr>
      </w:pPr>
      <w:r>
        <w:rPr>
          <w:rStyle w:val="FootnoteReference"/>
        </w:rPr>
        <w:footnoteRef/>
      </w:r>
      <w:r>
        <w:t xml:space="preserve"> En particulier, le Fonds européen de développement régional et le Fonds de cohésion.</w:t>
      </w:r>
    </w:p>
  </w:footnote>
  <w:footnote w:id="15">
    <w:p w:rsidR="004A6463" w:rsidRDefault="00E53711">
      <w:pPr>
        <w:pStyle w:val="FootnoteText"/>
        <w:rPr>
          <w:rFonts w:hint="eastAsia"/>
        </w:rPr>
      </w:pPr>
      <w:r>
        <w:rPr>
          <w:rStyle w:val="FootnoteReference"/>
        </w:rPr>
        <w:footnoteRef/>
      </w:r>
      <w:r>
        <w:t xml:space="preserve"> </w:t>
      </w:r>
      <w:hyperlink r:id="rId7">
        <w:r>
          <w:rPr>
            <w:rStyle w:val="Hyperlink"/>
          </w:rPr>
          <w:t>http://www.eib.org/products/blending/innovfin/</w:t>
        </w:r>
      </w:hyperlink>
    </w:p>
  </w:footnote>
  <w:footnote w:id="16">
    <w:p w:rsidR="004A6463" w:rsidRDefault="00E53711">
      <w:pPr>
        <w:pStyle w:val="FootnoteText"/>
        <w:rPr>
          <w:rFonts w:hint="eastAsia"/>
        </w:rPr>
      </w:pPr>
      <w:r>
        <w:rPr>
          <w:rStyle w:val="FootnoteReference"/>
          <w:rFonts w:hint="eastAsia"/>
        </w:rPr>
        <w:footnoteRef/>
      </w:r>
      <w:r>
        <w:t xml:space="preserve"> Aux fins</w:t>
      </w:r>
      <w:r>
        <w:t xml:space="preserve"> de la présente communication, cette catégorie inclut les flux de déchets suivants, qui ne font pas l’objet d’une collecte séparée: les déchets ménagers et déchets assimilés, les matériaux indifférenciés et les résidus de tri.</w:t>
      </w:r>
    </w:p>
  </w:footnote>
  <w:footnote w:id="17">
    <w:p w:rsidR="004A6463" w:rsidRDefault="00E53711">
      <w:pPr>
        <w:spacing w:after="0"/>
        <w:rPr>
          <w:rStyle w:val="Hyperlink1"/>
          <w:rFonts w:hint="eastAsia"/>
          <w:color w:val="auto"/>
          <w:sz w:val="20"/>
          <w:szCs w:val="20"/>
          <w:u w:val="none"/>
          <w:lang w:val="en-US"/>
        </w:rPr>
      </w:pPr>
      <w:r>
        <w:rPr>
          <w:rStyle w:val="FootnoteReference1"/>
          <w:color w:val="auto"/>
          <w:sz w:val="20"/>
        </w:rPr>
        <w:footnoteRef/>
      </w:r>
      <w:r>
        <w:rPr>
          <w:rStyle w:val="Hyperlink1"/>
          <w:color w:val="auto"/>
          <w:sz w:val="20"/>
          <w:u w:val="none"/>
          <w:lang w:val="en-US"/>
        </w:rPr>
        <w:t xml:space="preserve"> </w:t>
      </w:r>
      <w:r>
        <w:rPr>
          <w:rStyle w:val="Hyperlink1"/>
          <w:i/>
          <w:color w:val="auto"/>
          <w:sz w:val="20"/>
          <w:u w:val="none"/>
          <w:lang w:val="en-US"/>
        </w:rPr>
        <w:t>Assessment of waste inciner</w:t>
      </w:r>
      <w:r>
        <w:rPr>
          <w:rStyle w:val="Hyperlink1"/>
          <w:i/>
          <w:color w:val="auto"/>
          <w:sz w:val="20"/>
          <w:u w:val="none"/>
          <w:lang w:val="en-US"/>
        </w:rPr>
        <w:t>ation capacity and waste shipments in Europe</w:t>
      </w:r>
      <w:r>
        <w:rPr>
          <w:rStyle w:val="Hyperlink1"/>
          <w:color w:val="auto"/>
          <w:sz w:val="20"/>
          <w:u w:val="none"/>
          <w:lang w:val="en-US"/>
        </w:rPr>
        <w:t xml:space="preserve">, WI et al, 2016. European Topic Centre on Waste and Materials in a Green Economy (ETC/WMGE), 2017. </w:t>
      </w:r>
    </w:p>
    <w:p w:rsidR="004A6463" w:rsidRDefault="00E53711">
      <w:pPr>
        <w:spacing w:after="0"/>
        <w:rPr>
          <w:rStyle w:val="Hyperlink1"/>
          <w:rFonts w:hint="eastAsia"/>
          <w:color w:val="auto"/>
          <w:sz w:val="20"/>
          <w:szCs w:val="20"/>
          <w:u w:val="none"/>
          <w:lang w:val="en-US"/>
        </w:rPr>
      </w:pPr>
      <w:r>
        <w:rPr>
          <w:rStyle w:val="Hyperlink1"/>
          <w:color w:val="auto"/>
          <w:sz w:val="20"/>
          <w:u w:val="none"/>
          <w:lang w:val="en-US"/>
        </w:rPr>
        <w:t xml:space="preserve"> </w:t>
      </w:r>
      <w:hyperlink r:id="rId8">
        <w:r>
          <w:rPr>
            <w:rStyle w:val="Hyperlink"/>
            <w:rFonts w:hint="eastAsia"/>
            <w:sz w:val="20"/>
            <w:lang w:val="en-US"/>
          </w:rPr>
          <w:t>http://forum.eionet.</w:t>
        </w:r>
        <w:r>
          <w:rPr>
            <w:rStyle w:val="Hyperlink"/>
            <w:rFonts w:hint="eastAsia"/>
            <w:sz w:val="20"/>
            <w:lang w:val="en-US"/>
          </w:rPr>
          <w:t>europa.eu/nrc-scp-waste/library/waste-incineration</w:t>
        </w:r>
      </w:hyperlink>
    </w:p>
    <w:p w:rsidR="004A6463" w:rsidRDefault="004A6463">
      <w:pPr>
        <w:spacing w:after="0"/>
        <w:rPr>
          <w:rFonts w:ascii="Times New Roman" w:eastAsia="Times New Roman" w:hAnsi="Times New Roman"/>
          <w:color w:val="auto"/>
          <w:sz w:val="20"/>
          <w:szCs w:val="20"/>
          <w:lang w:val="en-US" w:eastAsia="en-GB" w:bidi="x-none"/>
        </w:rPr>
      </w:pPr>
    </w:p>
  </w:footnote>
  <w:footnote w:id="18">
    <w:p w:rsidR="004A6463" w:rsidRDefault="00E53711">
      <w:pPr>
        <w:pStyle w:val="FootnoteText1"/>
        <w:rPr>
          <w:rFonts w:hint="eastAsia"/>
        </w:rPr>
      </w:pPr>
      <w:r>
        <w:rPr>
          <w:rStyle w:val="FootnoteReference1"/>
          <w:sz w:val="20"/>
        </w:rPr>
        <w:footnoteRef/>
      </w:r>
      <w:r>
        <w:t xml:space="preserve"> Les combustibles dérivés de déchets sont des combustibles résultant du traitement (par exemple broyage et déshydratation) de </w:t>
      </w:r>
      <w:hyperlink r:id="rId9">
        <w:r>
          <w:rPr>
            <w:rFonts w:hint="eastAsia"/>
          </w:rPr>
          <w:t>déchets solides</w:t>
        </w:r>
      </w:hyperlink>
      <w:r>
        <w:t xml:space="preserve"> municipaux.</w:t>
      </w:r>
    </w:p>
  </w:footnote>
  <w:footnote w:id="19">
    <w:p w:rsidR="004A6463" w:rsidRDefault="00E53711">
      <w:pPr>
        <w:pStyle w:val="FootnoteText1"/>
        <w:rPr>
          <w:rFonts w:hint="eastAsia"/>
        </w:rPr>
      </w:pPr>
      <w:r>
        <w:rPr>
          <w:rStyle w:val="FootnoteReference1"/>
          <w:sz w:val="20"/>
        </w:rPr>
        <w:footnoteRef/>
      </w:r>
      <w:r>
        <w:t xml:space="preserve"> Voir l'article 16 de la directive 2008/98/CE.</w:t>
      </w:r>
    </w:p>
    <w:p w:rsidR="004A6463" w:rsidRDefault="004A6463">
      <w:pPr>
        <w:pStyle w:val="FootnoteText1"/>
        <w:rPr>
          <w:rFonts w:ascii="Times New Roman" w:eastAsia="Times New Roman" w:hAnsi="Times New Roman"/>
          <w:color w:val="auto"/>
          <w:lang w:bidi="x-none"/>
        </w:rPr>
      </w:pPr>
    </w:p>
  </w:footnote>
  <w:footnote w:id="20">
    <w:p w:rsidR="004A6463" w:rsidRDefault="00E53711">
      <w:pPr>
        <w:pStyle w:val="FootnoteText1"/>
        <w:rPr>
          <w:rFonts w:hint="eastAsia"/>
        </w:rPr>
      </w:pPr>
      <w:r>
        <w:rPr>
          <w:rStyle w:val="FootnoteReference1"/>
          <w:rFonts w:hint="eastAsia"/>
          <w:sz w:val="20"/>
        </w:rPr>
        <w:footnoteRef/>
      </w:r>
      <w:r>
        <w:rPr>
          <w:sz w:val="16"/>
        </w:rPr>
        <w:t xml:space="preserve"> </w:t>
      </w:r>
      <w:r>
        <w:t>JO L 334 du 17.12.2010. Cette directive prévoit des conditions d’exploitation et des valeurs limites d’émission reposant sur les meilleures techniques disponibles, destinées à protéger la sant</w:t>
      </w:r>
      <w:r>
        <w:t>é humaine et l’environnement contre les effets des processus industriels.</w:t>
      </w:r>
    </w:p>
    <w:p w:rsidR="004A6463" w:rsidRDefault="004A6463">
      <w:pPr>
        <w:pStyle w:val="FootnoteText1"/>
        <w:rPr>
          <w:rFonts w:ascii="Times New Roman" w:eastAsia="Times New Roman" w:hAnsi="Times New Roman"/>
          <w:color w:val="auto"/>
          <w:lang w:bidi="x-none"/>
        </w:rPr>
      </w:pPr>
    </w:p>
  </w:footnote>
  <w:footnote w:id="21">
    <w:p w:rsidR="004A6463" w:rsidRDefault="00E53711">
      <w:pPr>
        <w:pStyle w:val="FootnoteText"/>
        <w:rPr>
          <w:rFonts w:hint="eastAsia"/>
        </w:rPr>
      </w:pPr>
      <w:r>
        <w:rPr>
          <w:rStyle w:val="FootnoteReference"/>
        </w:rPr>
        <w:footnoteRef/>
      </w:r>
      <w:r>
        <w:t xml:space="preserve"> </w:t>
      </w:r>
      <w:hyperlink r:id="rId10">
        <w:r>
          <w:rPr>
            <w:rStyle w:val="Hyperlink"/>
          </w:rPr>
          <w:t>http://ec.europa.eu/eurostat/documents/2995521/7214320/8-22032016-AP-EN.pdf</w:t>
        </w:r>
      </w:hyperlink>
    </w:p>
    <w:p w:rsidR="004A6463" w:rsidRDefault="004A6463">
      <w:pPr>
        <w:pStyle w:val="FootnoteText"/>
        <w:rPr>
          <w:rFonts w:hint="eastAsia"/>
        </w:rPr>
      </w:pPr>
    </w:p>
  </w:footnote>
  <w:footnote w:id="22">
    <w:p w:rsidR="004A6463" w:rsidRDefault="00E53711">
      <w:pPr>
        <w:pStyle w:val="FootnoteText1"/>
        <w:rPr>
          <w:rFonts w:hint="eastAsia"/>
        </w:rPr>
      </w:pPr>
      <w:r>
        <w:rPr>
          <w:rFonts w:hint="eastAsia"/>
          <w:vertAlign w:val="superscript"/>
        </w:rPr>
        <w:footnoteRef/>
      </w:r>
      <w:r>
        <w:t xml:space="preserve"> </w:t>
      </w:r>
      <w:r>
        <w:rPr>
          <w:i/>
        </w:rPr>
        <w:t>Revie</w:t>
      </w:r>
      <w:r>
        <w:rPr>
          <w:i/>
        </w:rPr>
        <w:t>w of comparative LCAs of food waste management systems – Current status and potential improvements</w:t>
      </w:r>
      <w:r>
        <w:t>, A. Bernstad, J. la Cour Jansen, Science Direct, volume 32, numéro 12, décembre 2012.</w:t>
      </w:r>
    </w:p>
    <w:p w:rsidR="004A6463" w:rsidRDefault="004A6463">
      <w:pPr>
        <w:pStyle w:val="FootnoteText1"/>
        <w:rPr>
          <w:rFonts w:ascii="Times New Roman" w:eastAsia="Times New Roman" w:hAnsi="Times New Roman"/>
          <w:color w:val="auto"/>
          <w:lang w:bidi="x-none"/>
        </w:rPr>
      </w:pPr>
    </w:p>
  </w:footnote>
  <w:footnote w:id="23">
    <w:p w:rsidR="004A6463" w:rsidRDefault="00E53711">
      <w:pPr>
        <w:spacing w:after="0"/>
        <w:rPr>
          <w:rFonts w:hint="eastAsia"/>
        </w:rPr>
      </w:pPr>
      <w:r>
        <w:rPr>
          <w:rStyle w:val="FootnoteReference"/>
          <w:rFonts w:hint="eastAsia"/>
        </w:rPr>
        <w:footnoteRef/>
      </w:r>
      <w:r>
        <w:t xml:space="preserve"> </w:t>
      </w:r>
      <w:hyperlink r:id="rId11">
        <w:r>
          <w:rPr>
            <w:rStyle w:val="Hyperlink"/>
            <w:sz w:val="20"/>
          </w:rPr>
          <w:t>http://ec.europa.eu/environment/waste/studies/pdf/Separate%20collection_Final%20Report.pdf</w:t>
        </w:r>
      </w:hyperlink>
    </w:p>
    <w:p w:rsidR="004A6463" w:rsidRDefault="004A6463">
      <w:pPr>
        <w:spacing w:after="0"/>
        <w:rPr>
          <w:rFonts w:hint="eastAsia"/>
        </w:rPr>
      </w:pPr>
    </w:p>
  </w:footnote>
  <w:footnote w:id="24">
    <w:p w:rsidR="004A6463" w:rsidRDefault="00E53711">
      <w:pPr>
        <w:pStyle w:val="FootnoteText1"/>
        <w:rPr>
          <w:rFonts w:hint="eastAsia"/>
        </w:rPr>
      </w:pPr>
      <w:r>
        <w:rPr>
          <w:rStyle w:val="FootnoteReference1"/>
          <w:sz w:val="20"/>
        </w:rPr>
        <w:footnoteRef/>
      </w:r>
      <w:r>
        <w:t xml:space="preserve"> Article 6, point a), de la directive 1999/31/CE concernant la mise en décharge des déchets (JO L 182 du 16.7.1999).</w:t>
      </w:r>
    </w:p>
    <w:p w:rsidR="004A6463" w:rsidRDefault="004A6463">
      <w:pPr>
        <w:pStyle w:val="FootnoteText1"/>
        <w:rPr>
          <w:rFonts w:hint="eastAsia"/>
        </w:rPr>
      </w:pPr>
    </w:p>
  </w:footnote>
  <w:footnote w:id="25">
    <w:p w:rsidR="004A6463" w:rsidRDefault="00E53711">
      <w:pPr>
        <w:pStyle w:val="FootnoteText1"/>
        <w:rPr>
          <w:rFonts w:hint="eastAsia"/>
        </w:rPr>
      </w:pPr>
      <w:r>
        <w:rPr>
          <w:rStyle w:val="FootnoteReference1"/>
          <w:sz w:val="20"/>
        </w:rPr>
        <w:footnoteRef/>
      </w:r>
      <w:r>
        <w:t xml:space="preserve"> </w:t>
      </w:r>
      <w:hyperlink r:id="rId12">
        <w:r>
          <w:rPr>
            <w:rStyle w:val="Hyperlink"/>
          </w:rPr>
          <w:t>http://ec.europa.eu/DocsRoom/documents/15949</w:t>
        </w:r>
      </w:hyperlink>
    </w:p>
    <w:p w:rsidR="004A6463" w:rsidRDefault="004A6463">
      <w:pPr>
        <w:pStyle w:val="FootnoteText1"/>
        <w:rPr>
          <w:rFonts w:ascii="Times New Roman" w:eastAsia="Times New Roman" w:hAnsi="Times New Roman"/>
          <w:color w:val="auto"/>
          <w:lang w:bidi="x-none"/>
        </w:rPr>
      </w:pPr>
    </w:p>
  </w:footnote>
  <w:footnote w:id="26">
    <w:p w:rsidR="004A6463" w:rsidRDefault="00E53711">
      <w:pPr>
        <w:pStyle w:val="FootnoteText1"/>
        <w:rPr>
          <w:rFonts w:hint="eastAsia"/>
        </w:rPr>
      </w:pPr>
      <w:r>
        <w:rPr>
          <w:rStyle w:val="FootnoteReference1"/>
          <w:sz w:val="20"/>
        </w:rPr>
        <w:footnoteRef/>
      </w:r>
      <w:r>
        <w:t xml:space="preserve"> </w:t>
      </w:r>
      <w:hyperlink r:id="rId13">
        <w:r>
          <w:rPr>
            <w:rStyle w:val="Hyperlink"/>
          </w:rPr>
          <w:t>http://european-biogas.eu/wp-content/uploads/2016/03/Milan.pdf</w:t>
        </w:r>
      </w:hyperlink>
    </w:p>
    <w:p w:rsidR="004A6463" w:rsidRDefault="004A6463">
      <w:pPr>
        <w:pStyle w:val="FootnoteText1"/>
        <w:rPr>
          <w:rFonts w:ascii="Times New Roman" w:eastAsia="Times New Roman" w:hAnsi="Times New Roman"/>
          <w:color w:val="auto"/>
          <w:lang w:bidi="x-none"/>
        </w:rPr>
      </w:pPr>
    </w:p>
  </w:footnote>
  <w:footnote w:id="27">
    <w:p w:rsidR="004A6463" w:rsidRDefault="00E53711">
      <w:pPr>
        <w:pStyle w:val="FootnoteText"/>
        <w:rPr>
          <w:rFonts w:hint="eastAsia"/>
        </w:rPr>
      </w:pPr>
      <w:r>
        <w:rPr>
          <w:rStyle w:val="FootnoteReference"/>
          <w:rFonts w:hint="eastAsia"/>
        </w:rPr>
        <w:footnoteRef/>
      </w:r>
      <w:r>
        <w:t xml:space="preserve"> </w:t>
      </w:r>
      <w:hyperlink r:id="rId14">
        <w:r>
          <w:rPr>
            <w:rStyle w:val="Hyperlink"/>
          </w:rPr>
          <w:t>http://www.plasticseurope.org/Document/plastics---the-facts-2016-15787.aspx?FolID=2</w:t>
        </w:r>
      </w:hyperlink>
    </w:p>
  </w:footnote>
  <w:footnote w:id="28">
    <w:p w:rsidR="004A6463" w:rsidRDefault="00E53711">
      <w:pPr>
        <w:pStyle w:val="FootnoteText"/>
        <w:rPr>
          <w:rFonts w:hint="eastAsia"/>
        </w:rPr>
      </w:pPr>
      <w:r>
        <w:rPr>
          <w:rStyle w:val="FootnoteReference"/>
          <w:rFonts w:hint="eastAsia"/>
        </w:rPr>
        <w:footnoteRef/>
      </w:r>
      <w:hyperlink r:id="rId15">
        <w:r>
          <w:rPr>
            <w:rStyle w:val="Hyperlink"/>
            <w:rFonts w:hint="eastAsia"/>
          </w:rPr>
          <w:t>http://eur-lex.europa.eu/legal-content/FR/TXT/?uri=CELEX:52013DC0123</w:t>
        </w:r>
      </w:hyperlink>
    </w:p>
  </w:footnote>
  <w:footnote w:id="29">
    <w:p w:rsidR="004A6463" w:rsidRDefault="00E53711">
      <w:pPr>
        <w:pStyle w:val="FootnoteText"/>
        <w:rPr>
          <w:rFonts w:hint="eastAsia"/>
        </w:rPr>
      </w:pPr>
      <w:r>
        <w:rPr>
          <w:rStyle w:val="FootnoteReference"/>
        </w:rPr>
        <w:footnoteRef/>
      </w:r>
      <w:r>
        <w:t xml:space="preserve"> Le recyclage des matières plastiques ne dégage qu’un quart, voire moins, des émissions de GES occas</w:t>
      </w:r>
      <w:r>
        <w:t>ionnées par la production de plastiques à partir de matières premières primaires d’origine fossile</w:t>
      </w:r>
      <w:r>
        <w:rPr>
          <w:i/>
        </w:rPr>
        <w:t xml:space="preserve"> </w:t>
      </w:r>
      <w:r>
        <w:t>(</w:t>
      </w:r>
      <w:r>
        <w:rPr>
          <w:i/>
        </w:rPr>
        <w:t>Increased EU Plastics Recycling Targets: Environmental, Economic and Social Impact Assessment</w:t>
      </w:r>
      <w:r>
        <w:t>, Bio by Deloitte, 2015).</w:t>
      </w:r>
      <w:r>
        <w:rPr>
          <w:i/>
        </w:rPr>
        <w:t xml:space="preserve"> </w:t>
      </w:r>
    </w:p>
  </w:footnote>
  <w:footnote w:id="30">
    <w:p w:rsidR="004A6463" w:rsidRDefault="00E53711">
      <w:pPr>
        <w:pStyle w:val="FootnoteText"/>
        <w:rPr>
          <w:rFonts w:hint="eastAsia"/>
        </w:rPr>
      </w:pPr>
      <w:r>
        <w:rPr>
          <w:rStyle w:val="FootnoteReference"/>
          <w:rFonts w:hint="eastAsia"/>
        </w:rPr>
        <w:footnoteRef/>
      </w:r>
      <w:r>
        <w:t xml:space="preserve"> Les CSR sont des combustibles prod</w:t>
      </w:r>
      <w:r>
        <w:t>uits à partir de déchets non dangereux conformément à la norme européenne EN15359.</w:t>
      </w:r>
    </w:p>
  </w:footnote>
  <w:footnote w:id="31">
    <w:p w:rsidR="004A6463" w:rsidRDefault="00E53711">
      <w:pPr>
        <w:pStyle w:val="FootnoteText1"/>
        <w:rPr>
          <w:rFonts w:ascii="Times New Roman" w:eastAsia="Times New Roman" w:hAnsi="Times New Roman"/>
          <w:color w:val="auto"/>
          <w:lang w:bidi="x-none"/>
        </w:rPr>
      </w:pPr>
      <w:r>
        <w:rPr>
          <w:rStyle w:val="FootnoteReference1"/>
          <w:sz w:val="20"/>
        </w:rPr>
        <w:footnoteRef/>
      </w:r>
      <w:r>
        <w:t xml:space="preserve"> Voir article 30, paragraphe 1, de la directive 2008/98/CE.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711" w:rsidRDefault="00E53711">
    <w:pPr>
      <w:pStyle w:val="Heade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463" w:rsidRDefault="004A6463" w:rsidP="007A01E1">
    <w:pPr>
      <w:pStyle w:val="HeaderCoverPage"/>
      <w:numPr>
        <w:ilvl w:val="0"/>
        <w:numId w:val="0"/>
      </w:numPr>
      <w:ind w:left="28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711" w:rsidRDefault="00E53711">
    <w:pPr>
      <w:pStyle w:val="Header"/>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463" w:rsidRDefault="004A6463">
    <w:pPr>
      <w:pStyle w:val="Header1"/>
      <w:tabs>
        <w:tab w:val="clear" w:pos="9072"/>
        <w:tab w:val="right" w:pos="9046"/>
      </w:tabs>
      <w:rPr>
        <w:rFonts w:ascii="Times New Roman" w:eastAsia="Times New Roman" w:hAnsi="Times New Roman"/>
        <w:color w:val="auto"/>
        <w:sz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463" w:rsidRDefault="004A6463">
    <w:pPr>
      <w:pStyle w:val="Header1"/>
      <w:tabs>
        <w:tab w:val="clear" w:pos="9072"/>
        <w:tab w:val="right" w:pos="9046"/>
      </w:tabs>
      <w:rPr>
        <w:rFonts w:ascii="Times New Roman" w:eastAsia="Times New Roman" w:hAnsi="Times New Roman"/>
        <w:color w:val="auto"/>
        <w:sz w:val="2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463" w:rsidRDefault="004A6463">
    <w:pPr>
      <w:pStyle w:val="Heade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73E38B8"/>
    <w:lvl w:ilvl="0">
      <w:start w:val="1"/>
      <w:numFmt w:val="decimal"/>
      <w:pStyle w:val="HeaderCoverPage"/>
      <w:isLgl/>
      <w:lvlText w:val="%1."/>
      <w:lvlJc w:val="left"/>
      <w:pPr>
        <w:tabs>
          <w:tab w:val="num" w:pos="-76"/>
        </w:tabs>
        <w:ind w:left="-76" w:firstLine="360"/>
      </w:pPr>
      <w:rPr>
        <w:rFonts w:hint="default"/>
        <w:color w:val="000000"/>
        <w:position w:val="0"/>
        <w:sz w:val="22"/>
      </w:rPr>
    </w:lvl>
    <w:lvl w:ilvl="1">
      <w:start w:val="1"/>
      <w:numFmt w:val="lowerLetter"/>
      <w:lvlText w:val="%2."/>
      <w:lvlJc w:val="left"/>
      <w:pPr>
        <w:tabs>
          <w:tab w:val="num" w:pos="360"/>
        </w:tabs>
        <w:ind w:left="360" w:firstLine="1080"/>
      </w:pPr>
      <w:rPr>
        <w:rFonts w:hint="default"/>
        <w:color w:val="000000"/>
        <w:position w:val="0"/>
        <w:sz w:val="22"/>
      </w:rPr>
    </w:lvl>
    <w:lvl w:ilvl="2">
      <w:start w:val="1"/>
      <w:numFmt w:val="lowerRoman"/>
      <w:lvlText w:val="%3."/>
      <w:lvlJc w:val="left"/>
      <w:pPr>
        <w:tabs>
          <w:tab w:val="num" w:pos="391"/>
        </w:tabs>
        <w:ind w:left="391" w:firstLine="1769"/>
      </w:pPr>
      <w:rPr>
        <w:rFonts w:hint="default"/>
        <w:color w:val="000000"/>
        <w:position w:val="0"/>
        <w:sz w:val="22"/>
      </w:rPr>
    </w:lvl>
    <w:lvl w:ilvl="3">
      <w:start w:val="1"/>
      <w:numFmt w:val="decimal"/>
      <w:isLgl/>
      <w:lvlText w:val="%4."/>
      <w:lvlJc w:val="left"/>
      <w:pPr>
        <w:tabs>
          <w:tab w:val="num" w:pos="360"/>
        </w:tabs>
        <w:ind w:left="360" w:firstLine="2520"/>
      </w:pPr>
      <w:rPr>
        <w:rFonts w:hint="default"/>
        <w:color w:val="000000"/>
        <w:position w:val="0"/>
        <w:sz w:val="22"/>
      </w:rPr>
    </w:lvl>
    <w:lvl w:ilvl="4">
      <w:start w:val="1"/>
      <w:numFmt w:val="lowerLetter"/>
      <w:lvlText w:val="%5."/>
      <w:lvlJc w:val="left"/>
      <w:pPr>
        <w:tabs>
          <w:tab w:val="num" w:pos="360"/>
        </w:tabs>
        <w:ind w:left="360" w:firstLine="3240"/>
      </w:pPr>
      <w:rPr>
        <w:rFonts w:hint="default"/>
        <w:color w:val="000000"/>
        <w:position w:val="0"/>
        <w:sz w:val="22"/>
      </w:rPr>
    </w:lvl>
    <w:lvl w:ilvl="5">
      <w:start w:val="1"/>
      <w:numFmt w:val="lowerRoman"/>
      <w:lvlText w:val="%6."/>
      <w:lvlJc w:val="left"/>
      <w:pPr>
        <w:tabs>
          <w:tab w:val="num" w:pos="391"/>
        </w:tabs>
        <w:ind w:left="391" w:firstLine="3929"/>
      </w:pPr>
      <w:rPr>
        <w:rFonts w:hint="default"/>
        <w:color w:val="000000"/>
        <w:position w:val="0"/>
        <w:sz w:val="22"/>
      </w:rPr>
    </w:lvl>
    <w:lvl w:ilvl="6">
      <w:start w:val="1"/>
      <w:numFmt w:val="decimal"/>
      <w:isLgl/>
      <w:lvlText w:val="%7."/>
      <w:lvlJc w:val="left"/>
      <w:pPr>
        <w:tabs>
          <w:tab w:val="num" w:pos="360"/>
        </w:tabs>
        <w:ind w:left="360" w:firstLine="4680"/>
      </w:pPr>
      <w:rPr>
        <w:rFonts w:hint="default"/>
        <w:color w:val="000000"/>
        <w:position w:val="0"/>
        <w:sz w:val="22"/>
      </w:rPr>
    </w:lvl>
    <w:lvl w:ilvl="7">
      <w:start w:val="1"/>
      <w:numFmt w:val="lowerLetter"/>
      <w:lvlText w:val="%8."/>
      <w:lvlJc w:val="left"/>
      <w:pPr>
        <w:tabs>
          <w:tab w:val="num" w:pos="360"/>
        </w:tabs>
        <w:ind w:left="360" w:firstLine="5400"/>
      </w:pPr>
      <w:rPr>
        <w:rFonts w:hint="default"/>
        <w:color w:val="000000"/>
        <w:position w:val="0"/>
        <w:sz w:val="22"/>
      </w:rPr>
    </w:lvl>
    <w:lvl w:ilvl="8">
      <w:start w:val="1"/>
      <w:numFmt w:val="lowerRoman"/>
      <w:lvlText w:val="%9."/>
      <w:lvlJc w:val="left"/>
      <w:pPr>
        <w:tabs>
          <w:tab w:val="num" w:pos="391"/>
        </w:tabs>
        <w:ind w:left="391" w:firstLine="6089"/>
      </w:pPr>
      <w:rPr>
        <w:rFonts w:hint="default"/>
        <w:color w:val="000000"/>
        <w:position w:val="0"/>
        <w:sz w:val="22"/>
      </w:rPr>
    </w:lvl>
  </w:abstractNum>
  <w:abstractNum w:abstractNumId="1">
    <w:nsid w:val="00000002"/>
    <w:multiLevelType w:val="multilevel"/>
    <w:tmpl w:val="894EE874"/>
    <w:lvl w:ilvl="0">
      <w:start w:val="1"/>
      <w:numFmt w:val="bullet"/>
      <w:lvlText w:val="−"/>
      <w:lvlJc w:val="left"/>
      <w:pPr>
        <w:tabs>
          <w:tab w:val="num" w:pos="360"/>
        </w:tabs>
        <w:ind w:left="360" w:firstLine="720"/>
      </w:pPr>
      <w:rPr>
        <w:rFonts w:hint="default"/>
        <w:color w:val="000000"/>
        <w:position w:val="0"/>
        <w:sz w:val="22"/>
      </w:rPr>
    </w:lvl>
    <w:lvl w:ilvl="1">
      <w:start w:val="1"/>
      <w:numFmt w:val="lowerLetter"/>
      <w:lvlText w:val="%2."/>
      <w:lvlJc w:val="left"/>
      <w:pPr>
        <w:tabs>
          <w:tab w:val="num" w:pos="360"/>
        </w:tabs>
        <w:ind w:left="360" w:firstLine="1440"/>
      </w:pPr>
      <w:rPr>
        <w:rFonts w:hint="default"/>
        <w:color w:val="000000"/>
        <w:position w:val="0"/>
        <w:sz w:val="22"/>
      </w:rPr>
    </w:lvl>
    <w:lvl w:ilvl="2">
      <w:start w:val="1"/>
      <w:numFmt w:val="lowerRoman"/>
      <w:lvlText w:val="%3."/>
      <w:lvlJc w:val="left"/>
      <w:pPr>
        <w:tabs>
          <w:tab w:val="num" w:pos="391"/>
        </w:tabs>
        <w:ind w:left="391" w:firstLine="2129"/>
      </w:pPr>
      <w:rPr>
        <w:rFonts w:hint="default"/>
        <w:color w:val="000000"/>
        <w:position w:val="0"/>
        <w:sz w:val="22"/>
      </w:rPr>
    </w:lvl>
    <w:lvl w:ilvl="3">
      <w:start w:val="1"/>
      <w:numFmt w:val="decimal"/>
      <w:isLgl/>
      <w:lvlText w:val="%4."/>
      <w:lvlJc w:val="left"/>
      <w:pPr>
        <w:tabs>
          <w:tab w:val="num" w:pos="360"/>
        </w:tabs>
        <w:ind w:left="360" w:firstLine="2880"/>
      </w:pPr>
      <w:rPr>
        <w:rFonts w:hint="default"/>
        <w:color w:val="000000"/>
        <w:position w:val="0"/>
        <w:sz w:val="22"/>
      </w:rPr>
    </w:lvl>
    <w:lvl w:ilvl="4">
      <w:start w:val="1"/>
      <w:numFmt w:val="lowerLetter"/>
      <w:lvlText w:val="%5."/>
      <w:lvlJc w:val="left"/>
      <w:pPr>
        <w:tabs>
          <w:tab w:val="num" w:pos="360"/>
        </w:tabs>
        <w:ind w:left="360" w:firstLine="3600"/>
      </w:pPr>
      <w:rPr>
        <w:rFonts w:hint="default"/>
        <w:color w:val="000000"/>
        <w:position w:val="0"/>
        <w:sz w:val="22"/>
      </w:rPr>
    </w:lvl>
    <w:lvl w:ilvl="5">
      <w:start w:val="1"/>
      <w:numFmt w:val="lowerRoman"/>
      <w:lvlText w:val="%6."/>
      <w:lvlJc w:val="left"/>
      <w:pPr>
        <w:tabs>
          <w:tab w:val="num" w:pos="391"/>
        </w:tabs>
        <w:ind w:left="391" w:firstLine="4289"/>
      </w:pPr>
      <w:rPr>
        <w:rFonts w:hint="default"/>
        <w:color w:val="000000"/>
        <w:position w:val="0"/>
        <w:sz w:val="22"/>
      </w:rPr>
    </w:lvl>
    <w:lvl w:ilvl="6">
      <w:start w:val="1"/>
      <w:numFmt w:val="decimal"/>
      <w:isLgl/>
      <w:lvlText w:val="%7."/>
      <w:lvlJc w:val="left"/>
      <w:pPr>
        <w:tabs>
          <w:tab w:val="num" w:pos="360"/>
        </w:tabs>
        <w:ind w:left="360" w:firstLine="5040"/>
      </w:pPr>
      <w:rPr>
        <w:rFonts w:hint="default"/>
        <w:color w:val="000000"/>
        <w:position w:val="0"/>
        <w:sz w:val="22"/>
      </w:rPr>
    </w:lvl>
    <w:lvl w:ilvl="7">
      <w:start w:val="1"/>
      <w:numFmt w:val="lowerLetter"/>
      <w:lvlText w:val="%8."/>
      <w:lvlJc w:val="left"/>
      <w:pPr>
        <w:tabs>
          <w:tab w:val="num" w:pos="360"/>
        </w:tabs>
        <w:ind w:left="360" w:firstLine="5760"/>
      </w:pPr>
      <w:rPr>
        <w:rFonts w:hint="default"/>
        <w:color w:val="000000"/>
        <w:position w:val="0"/>
        <w:sz w:val="22"/>
      </w:rPr>
    </w:lvl>
    <w:lvl w:ilvl="8">
      <w:start w:val="1"/>
      <w:numFmt w:val="lowerRoman"/>
      <w:lvlText w:val="%9."/>
      <w:lvlJc w:val="left"/>
      <w:pPr>
        <w:tabs>
          <w:tab w:val="num" w:pos="391"/>
        </w:tabs>
        <w:ind w:left="391" w:firstLine="6449"/>
      </w:pPr>
      <w:rPr>
        <w:rFonts w:hint="default"/>
        <w:color w:val="000000"/>
        <w:position w:val="0"/>
        <w:sz w:val="22"/>
      </w:rPr>
    </w:lvl>
  </w:abstractNum>
  <w:abstractNum w:abstractNumId="2">
    <w:nsid w:val="00000003"/>
    <w:multiLevelType w:val="multilevel"/>
    <w:tmpl w:val="894EE875"/>
    <w:lvl w:ilvl="0">
      <w:start w:val="1"/>
      <w:numFmt w:val="bullet"/>
      <w:lvlText w:val="−"/>
      <w:lvlJc w:val="left"/>
      <w:pPr>
        <w:tabs>
          <w:tab w:val="num" w:pos="360"/>
        </w:tabs>
        <w:ind w:left="360" w:firstLine="360"/>
      </w:pPr>
      <w:rPr>
        <w:rFonts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2"/>
      </w:rPr>
    </w:lvl>
  </w:abstractNum>
  <w:abstractNum w:abstractNumId="3">
    <w:nsid w:val="00000004"/>
    <w:multiLevelType w:val="multilevel"/>
    <w:tmpl w:val="894EE876"/>
    <w:lvl w:ilvl="0">
      <w:start w:val="1"/>
      <w:numFmt w:val="bullet"/>
      <w:lvlText w:val="·"/>
      <w:lvlJc w:val="left"/>
      <w:pPr>
        <w:tabs>
          <w:tab w:val="num" w:pos="360"/>
        </w:tabs>
        <w:ind w:left="360" w:firstLine="720"/>
      </w:pPr>
      <w:rPr>
        <w:rFonts w:ascii="Lucida Grande" w:eastAsia="ヒラギノ角ゴ Pro W3" w:hAnsi="Symbol" w:hint="default"/>
        <w:color w:val="000000"/>
        <w:position w:val="0"/>
        <w:sz w:val="22"/>
      </w:rPr>
    </w:lvl>
    <w:lvl w:ilvl="1">
      <w:start w:val="1"/>
      <w:numFmt w:val="bullet"/>
      <w:lvlText w:val="o"/>
      <w:lvlJc w:val="left"/>
      <w:pPr>
        <w:tabs>
          <w:tab w:val="num" w:pos="360"/>
        </w:tabs>
        <w:ind w:left="360" w:firstLine="144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216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88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60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432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504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76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480"/>
      </w:pPr>
      <w:rPr>
        <w:rFonts w:ascii="Wingdings" w:eastAsia="ヒラギノ角ゴ Pro W3" w:hAnsi="Wingdings" w:hint="default"/>
        <w:color w:val="000000"/>
        <w:position w:val="0"/>
        <w:sz w:val="22"/>
      </w:rPr>
    </w:lvl>
  </w:abstractNum>
  <w:abstractNum w:abstractNumId="4">
    <w:nsid w:val="00000005"/>
    <w:multiLevelType w:val="multilevel"/>
    <w:tmpl w:val="894EE877"/>
    <w:lvl w:ilvl="0">
      <w:start w:val="1"/>
      <w:numFmt w:val="bullet"/>
      <w:lvlText w:val="·"/>
      <w:lvlJc w:val="left"/>
      <w:pPr>
        <w:tabs>
          <w:tab w:val="num" w:pos="360"/>
        </w:tabs>
        <w:ind w:left="360" w:firstLine="720"/>
      </w:pPr>
      <w:rPr>
        <w:rFonts w:ascii="Lucida Grande" w:eastAsia="ヒラギノ角ゴ Pro W3" w:hAnsi="Symbol" w:hint="default"/>
        <w:color w:val="000000"/>
        <w:position w:val="0"/>
        <w:sz w:val="22"/>
      </w:rPr>
    </w:lvl>
    <w:lvl w:ilvl="1">
      <w:start w:val="1"/>
      <w:numFmt w:val="bullet"/>
      <w:lvlText w:val="o"/>
      <w:lvlJc w:val="left"/>
      <w:pPr>
        <w:tabs>
          <w:tab w:val="num" w:pos="360"/>
        </w:tabs>
        <w:ind w:left="360" w:firstLine="144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216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88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60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432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504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76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480"/>
      </w:pPr>
      <w:rPr>
        <w:rFonts w:ascii="Wingdings" w:eastAsia="ヒラギノ角ゴ Pro W3" w:hAnsi="Wingdings" w:hint="default"/>
        <w:color w:val="000000"/>
        <w:position w:val="0"/>
        <w:sz w:val="22"/>
      </w:rPr>
    </w:lvl>
  </w:abstractNum>
  <w:abstractNum w:abstractNumId="5">
    <w:nsid w:val="00000006"/>
    <w:multiLevelType w:val="multilevel"/>
    <w:tmpl w:val="894EE878"/>
    <w:lvl w:ilvl="0">
      <w:start w:val="1"/>
      <w:numFmt w:val="bullet"/>
      <w:lvlText w:val="−"/>
      <w:lvlJc w:val="left"/>
      <w:pPr>
        <w:tabs>
          <w:tab w:val="num" w:pos="360"/>
        </w:tabs>
        <w:ind w:left="360" w:firstLine="360"/>
      </w:pPr>
      <w:rPr>
        <w:rFonts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2"/>
      </w:rPr>
    </w:lvl>
  </w:abstractNum>
  <w:abstractNum w:abstractNumId="6">
    <w:nsid w:val="00000007"/>
    <w:multiLevelType w:val="multilevel"/>
    <w:tmpl w:val="894EE879"/>
    <w:lvl w:ilvl="0">
      <w:start w:val="1"/>
      <w:numFmt w:val="bullet"/>
      <w:lvlText w:val="−"/>
      <w:lvlJc w:val="left"/>
      <w:pPr>
        <w:tabs>
          <w:tab w:val="num" w:pos="360"/>
        </w:tabs>
        <w:ind w:left="360" w:firstLine="360"/>
      </w:pPr>
      <w:rPr>
        <w:rFonts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2"/>
      </w:rPr>
    </w:lvl>
  </w:abstractNum>
  <w:abstractNum w:abstractNumId="7">
    <w:nsid w:val="00000008"/>
    <w:multiLevelType w:val="multilevel"/>
    <w:tmpl w:val="894EE87A"/>
    <w:lvl w:ilvl="0">
      <w:start w:val="1"/>
      <w:numFmt w:val="bullet"/>
      <w:lvlText w:val="·"/>
      <w:lvlJc w:val="left"/>
      <w:pPr>
        <w:tabs>
          <w:tab w:val="num" w:pos="360"/>
        </w:tabs>
        <w:ind w:left="360" w:firstLine="360"/>
      </w:pPr>
      <w:rPr>
        <w:rFonts w:ascii="Lucida Grande" w:eastAsia="ヒラギノ角ゴ Pro W3" w:hAnsi="Symbol"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2"/>
      </w:rPr>
    </w:lvl>
  </w:abstractNum>
  <w:abstractNum w:abstractNumId="8">
    <w:nsid w:val="00000009"/>
    <w:multiLevelType w:val="multilevel"/>
    <w:tmpl w:val="894EE87B"/>
    <w:lvl w:ilvl="0">
      <w:start w:val="1"/>
      <w:numFmt w:val="bullet"/>
      <w:lvlText w:val="·"/>
      <w:lvlJc w:val="left"/>
      <w:pPr>
        <w:tabs>
          <w:tab w:val="num" w:pos="360"/>
        </w:tabs>
        <w:ind w:left="360" w:firstLine="360"/>
      </w:pPr>
      <w:rPr>
        <w:rFonts w:ascii="Lucida Grande" w:eastAsia="ヒラギノ角ゴ Pro W3" w:hAnsi="Symbol"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2"/>
      </w:rPr>
    </w:lvl>
  </w:abstractNum>
  <w:abstractNum w:abstractNumId="9">
    <w:nsid w:val="1740326A"/>
    <w:multiLevelType w:val="hybridMultilevel"/>
    <w:tmpl w:val="9176005A"/>
    <w:lvl w:ilvl="0" w:tplc="ED9066F2">
      <w:start w:val="1"/>
      <w:numFmt w:val="bullet"/>
      <w:lvlText w:val="−"/>
      <w:lvlJc w:val="left"/>
      <w:pPr>
        <w:ind w:left="720" w:hanging="360"/>
      </w:pPr>
      <w:rPr>
        <w:rFonts w:ascii="Calibri" w:hAnsi="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43C7FE6"/>
    <w:multiLevelType w:val="hybridMultilevel"/>
    <w:tmpl w:val="C4EAB9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F36214C"/>
    <w:multiLevelType w:val="multilevel"/>
    <w:tmpl w:val="56DA7728"/>
    <w:lvl w:ilvl="0">
      <w:start w:val="1"/>
      <w:numFmt w:val="bullet"/>
      <w:lvlText w:val="−"/>
      <w:lvlJc w:val="left"/>
      <w:pPr>
        <w:tabs>
          <w:tab w:val="num" w:pos="360"/>
        </w:tabs>
        <w:ind w:left="360" w:firstLine="720"/>
      </w:pPr>
      <w:rPr>
        <w:rFonts w:ascii="Calibri" w:hAnsi="Calibri" w:hint="default"/>
        <w:color w:val="000000"/>
        <w:position w:val="0"/>
        <w:sz w:val="22"/>
      </w:rPr>
    </w:lvl>
    <w:lvl w:ilvl="1">
      <w:start w:val="1"/>
      <w:numFmt w:val="bullet"/>
      <w:lvlText w:val="o"/>
      <w:lvlJc w:val="left"/>
      <w:pPr>
        <w:tabs>
          <w:tab w:val="num" w:pos="360"/>
        </w:tabs>
        <w:ind w:left="360" w:firstLine="144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216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88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60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432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504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76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480"/>
      </w:pPr>
      <w:rPr>
        <w:rFonts w:ascii="Wingdings" w:eastAsia="ヒラギノ角ゴ Pro W3" w:hAnsi="Wingdings" w:hint="default"/>
        <w:color w:val="000000"/>
        <w:position w:val="0"/>
        <w:sz w:val="22"/>
      </w:rPr>
    </w:lvl>
  </w:abstractNum>
  <w:abstractNum w:abstractNumId="12">
    <w:nsid w:val="6C6645B6"/>
    <w:multiLevelType w:val="hybridMultilevel"/>
    <w:tmpl w:val="1974F602"/>
    <w:lvl w:ilvl="0" w:tplc="ED9066F2">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8065931"/>
    <w:multiLevelType w:val="hybridMultilevel"/>
    <w:tmpl w:val="FEF49F82"/>
    <w:lvl w:ilvl="0" w:tplc="ED9066F2">
      <w:start w:val="1"/>
      <w:numFmt w:val="bullet"/>
      <w:lvlText w:val="−"/>
      <w:lvlJc w:val="left"/>
      <w:pPr>
        <w:ind w:left="720" w:hanging="360"/>
      </w:pPr>
      <w:rPr>
        <w:rFonts w:ascii="Calibri" w:hAnsi="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12"/>
  </w:num>
  <w:num w:numId="11">
    <w:abstractNumId w:val="11"/>
  </w:num>
  <w:num w:numId="12">
    <w:abstractNumId w:val="9"/>
  </w:num>
  <w:num w:numId="13">
    <w:abstractNumId w:val="1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hideSpellingErrors/>
  <w:hideGrammaticalErrors/>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481"/>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FigNum" w:val="1"/>
    <w:docVar w:name="LW_CONFIDENCE" w:val=" "/>
    <w:docVar w:name="LW_CONST_RESTREINT_UE" w:val="RESTREINT UE"/>
    <w:docVar w:name="LW_CORRIGENDUM" w:val="&lt;UNUSED&gt;"/>
    <w:docVar w:name="LW_COVERPAGE_GUID" w:val="64F2951A147041678FD76FE3CB2B0973"/>
    <w:docVar w:name="LW_CROSSREFERENCE" w:val="&lt;UNUSED&gt;"/>
    <w:docVar w:name="LW_DocType" w:val="NORMAL"/>
    <w:docVar w:name="LW_EMISSION" w:val="26.1.2017"/>
    <w:docVar w:name="LW_EMISSION_ISODATE" w:val="2017-01-26"/>
    <w:docVar w:name="LW_EMISSION_LOCATION" w:val="BRX"/>
    <w:docVar w:name="LW_EMISSION_PREFIX" w:val="Bruxelles, le "/>
    <w:docVar w:name="LW_EMISSION_SUFFIX" w:val=" "/>
    <w:docVar w:name="LW_ID_DOCTYPE_NONLW" w:val="CP-014"/>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7) 34"/>
    <w:docVar w:name="LW_REF.INTERNE" w:val="&lt;UNUSED&gt;"/>
    <w:docVar w:name="LW_SOUS.TITRE.OBJ.CP" w:val="&lt;UNUSED&gt;"/>
    <w:docVar w:name="LW_SUPERTITRE" w:val="&lt;UNUSED&gt;"/>
    <w:docVar w:name="LW_TITRE.OBJ.CP" w:val="Le rôle de la valorisation énergétique des déchets dans l'économie circulaire"/>
    <w:docVar w:name="LW_TYPE.DOC.CP" w:val="COMMUNICATION DE LA COMMISSION AU PARLEMENT EUROPÉEN, AU CONSEIL, AU COMITÉ ÉCONOMIQUE ET SOCIAL EUROPÉEN ET AU COMITÉ DES RÉGIONS"/>
    <w:docVar w:name="LW_TYPE.DOC.CP.USERTEXT" w:val="&lt;EMPTY&gt;"/>
    <w:docVar w:name="Stamp" w:val="\\dossiers.dgt.cec.eu.int\dossiers\ENV\ENV-2016-01044\ENV-2016-01044-00-00-EN-REV-00.201612191115487624490.DOCX"/>
  </w:docVars>
  <w:rsids>
    <w:rsidRoot w:val="004A6463"/>
    <w:rsid w:val="004A6463"/>
    <w:rsid w:val="007A01E1"/>
    <w:rsid w:val="00E537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fr-FR"/>
      </w:rPr>
    </w:rPrDefault>
    <w:pPrDefault/>
  </w:docDefaults>
  <w:latentStyles w:defLockedState="1"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rmal (Web)" w:uiPriority="99"/>
    <w:lsdException w:name="No List" w:uiPriority="99"/>
    <w:lsdException w:name="Table Grid" w:semiHidden="0" w:unhideWhenUsed="0"/>
    <w:lsdException w:name="Placeholder Text" w:locked="0" w:uiPriority="99"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iPriority="99"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pPr>
      <w:spacing w:after="200" w:line="276" w:lineRule="auto"/>
    </w:pPr>
    <w:rPr>
      <w:rFonts w:ascii="System Font Regular" w:eastAsia="ヒラギノ角ゴ Pro W3" w:hAnsi="System Font Regular"/>
      <w:color w:val="000000"/>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1"/>
    <w:autoRedefine/>
    <w:pPr>
      <w:tabs>
        <w:tab w:val="center" w:pos="4536"/>
        <w:tab w:val="right" w:pos="9072"/>
      </w:tabs>
    </w:pPr>
    <w:rPr>
      <w:rFonts w:ascii="System Font Regular" w:eastAsia="ヒラギノ角ゴ Pro W3" w:hAnsi="System Font Regular"/>
      <w:color w:val="000000"/>
      <w:sz w:val="22"/>
    </w:rPr>
  </w:style>
  <w:style w:type="paragraph" w:customStyle="1" w:styleId="FooterCoverPage">
    <w:name w:val="Footer Cover Page"/>
    <w:basedOn w:val="Normal"/>
    <w:pPr>
      <w:tabs>
        <w:tab w:val="center" w:pos="4535"/>
        <w:tab w:val="right" w:pos="9071"/>
        <w:tab w:val="right" w:pos="9921"/>
      </w:tabs>
      <w:spacing w:before="360" w:after="0" w:line="240" w:lineRule="auto"/>
      <w:ind w:left="-850" w:right="-850"/>
    </w:pPr>
    <w:rPr>
      <w:rFonts w:ascii="Times New Roman" w:hAnsi="Times New Roman"/>
      <w:sz w:val="24"/>
    </w:rPr>
  </w:style>
  <w:style w:type="paragraph" w:customStyle="1" w:styleId="Pagedecouverture">
    <w:name w:val="Page de couverture"/>
    <w:next w:val="Normal"/>
    <w:pPr>
      <w:jc w:val="both"/>
    </w:pPr>
    <w:rPr>
      <w:rFonts w:eastAsia="ヒラギノ角ゴ Pro W3"/>
      <w:color w:val="000000"/>
      <w:sz w:val="24"/>
    </w:rPr>
  </w:style>
  <w:style w:type="paragraph" w:customStyle="1" w:styleId="FreeForm">
    <w:name w:val="Free Form"/>
    <w:pPr>
      <w:spacing w:after="200" w:line="276" w:lineRule="auto"/>
    </w:pPr>
    <w:rPr>
      <w:rFonts w:ascii="System Font Regular" w:eastAsia="ヒラギノ角ゴ Pro W3" w:hAnsi="System Font Regular"/>
      <w:color w:val="000000"/>
      <w:sz w:val="22"/>
    </w:rPr>
  </w:style>
  <w:style w:type="paragraph" w:customStyle="1" w:styleId="Footer1">
    <w:name w:val="Footer1"/>
    <w:pPr>
      <w:tabs>
        <w:tab w:val="center" w:pos="4536"/>
        <w:tab w:val="right" w:pos="9072"/>
      </w:tabs>
    </w:pPr>
    <w:rPr>
      <w:rFonts w:ascii="System Font Regular" w:eastAsia="ヒラギノ角ゴ Pro W3" w:hAnsi="System Font Regular"/>
      <w:color w:val="000000"/>
      <w:sz w:val="22"/>
    </w:rPr>
  </w:style>
  <w:style w:type="paragraph" w:styleId="ListParagraph">
    <w:name w:val="List Paragraph"/>
    <w:link w:val="ListParagraphChar"/>
    <w:qFormat/>
    <w:pPr>
      <w:spacing w:after="200" w:line="276" w:lineRule="auto"/>
      <w:ind w:left="720"/>
    </w:pPr>
    <w:rPr>
      <w:rFonts w:ascii="System Font Regular" w:eastAsia="ヒラギノ角ゴ Pro W3" w:hAnsi="System Font Regular"/>
      <w:color w:val="000000"/>
      <w:sz w:val="22"/>
    </w:rPr>
  </w:style>
  <w:style w:type="paragraph" w:customStyle="1" w:styleId="Default">
    <w:name w:val="Default"/>
    <w:rPr>
      <w:rFonts w:ascii="Arial" w:eastAsia="ヒラギノ角ゴ Pro W3" w:hAnsi="Arial"/>
      <w:color w:val="000000"/>
      <w:sz w:val="24"/>
    </w:rPr>
  </w:style>
  <w:style w:type="character" w:customStyle="1" w:styleId="FootnoteReference1">
    <w:name w:val="Footnote Reference1"/>
    <w:rPr>
      <w:color w:val="000000"/>
      <w:sz w:val="22"/>
      <w:vertAlign w:val="superscript"/>
    </w:rPr>
  </w:style>
  <w:style w:type="paragraph" w:customStyle="1" w:styleId="FootnoteText1">
    <w:name w:val="Footnote Text1"/>
    <w:rPr>
      <w:rFonts w:ascii="System Font Regular" w:eastAsia="ヒラギノ角ゴ Pro W3" w:hAnsi="System Font Regular"/>
      <w:color w:val="000000"/>
    </w:rPr>
  </w:style>
  <w:style w:type="paragraph" w:customStyle="1" w:styleId="Caption1">
    <w:name w:val="Caption1"/>
    <w:next w:val="Normal"/>
    <w:pPr>
      <w:spacing w:after="200"/>
    </w:pPr>
    <w:rPr>
      <w:rFonts w:ascii="System Font Bold" w:eastAsia="ヒラギノ角ゴ Pro W3" w:hAnsi="System Font Bold"/>
      <w:color w:val="3F6BAE"/>
      <w:sz w:val="18"/>
    </w:rPr>
  </w:style>
  <w:style w:type="character" w:customStyle="1" w:styleId="Hyperlink1">
    <w:name w:val="Hyperlink1"/>
    <w:rPr>
      <w:color w:val="0000FE"/>
      <w:sz w:val="22"/>
      <w:u w:val="single"/>
    </w:rPr>
  </w:style>
  <w:style w:type="paragraph" w:customStyle="1" w:styleId="TableGrid1">
    <w:name w:val="Table Grid1"/>
    <w:rPr>
      <w:rFonts w:ascii="System Font Regular" w:eastAsia="ヒラギノ角ゴ Pro W3" w:hAnsi="System Font Regular"/>
      <w:color w:val="000000"/>
      <w:sz w:val="22"/>
    </w:rPr>
  </w:style>
  <w:style w:type="paragraph" w:styleId="FootnoteText">
    <w:name w:val="footnote text"/>
    <w:basedOn w:val="Normal"/>
    <w:uiPriority w:val="99"/>
    <w:locked/>
    <w:rPr>
      <w:sz w:val="20"/>
      <w:szCs w:val="20"/>
    </w:rPr>
  </w:style>
  <w:style w:type="character" w:customStyle="1" w:styleId="FootnoteTextChar">
    <w:name w:val="Footnote Text Char"/>
    <w:basedOn w:val="DefaultParagraphFont"/>
    <w:uiPriority w:val="99"/>
    <w:rPr>
      <w:rFonts w:ascii="System Font Regular" w:eastAsia="ヒラギノ角ゴ Pro W3" w:hAnsi="System Font Regular"/>
      <w:color w:val="000000"/>
      <w:lang w:eastAsia="fr-FR"/>
    </w:rPr>
  </w:style>
  <w:style w:type="character" w:styleId="FootnoteReference">
    <w:name w:val="footnote reference"/>
    <w:aliases w:val="number,Footnote reference number,Footnote symbol,note TESI,-E Fußnotenzeichen,SUPERS,Footnote Reference Superscript,stylish,Odwołanie przypisu,Times 10 Point,Exposant 3 Point,Voetnootverwijzing,EN Footnote Reference,Ref,BVI fnr,Nota,R"/>
    <w:basedOn w:val="DefaultParagraphFont"/>
    <w:link w:val="FootnotesymbolCarZchn"/>
    <w:uiPriority w:val="99"/>
    <w:qFormat/>
    <w:locked/>
    <w:rPr>
      <w:vertAlign w:val="superscript"/>
    </w:rPr>
  </w:style>
  <w:style w:type="character" w:styleId="Hyperlink">
    <w:name w:val="Hyperlink"/>
    <w:uiPriority w:val="99"/>
    <w:unhideWhenUsed/>
    <w:locked/>
    <w:rPr>
      <w:color w:val="0000FF"/>
      <w:u w:val="single"/>
    </w:rPr>
  </w:style>
  <w:style w:type="paragraph" w:styleId="BalloonText">
    <w:name w:val="Balloon Text"/>
    <w:basedOn w:val="Normal"/>
    <w:link w:val="BalloonTextChar"/>
    <w:lock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Pr>
      <w:rFonts w:ascii="Tahoma" w:eastAsia="ヒラギノ角ゴ Pro W3" w:hAnsi="Tahoma" w:cs="Tahoma"/>
      <w:color w:val="000000"/>
      <w:sz w:val="16"/>
      <w:szCs w:val="16"/>
      <w:lang w:eastAsia="fr-FR"/>
    </w:rPr>
  </w:style>
  <w:style w:type="character" w:styleId="CommentReference">
    <w:name w:val="annotation reference"/>
    <w:basedOn w:val="DefaultParagraphFont"/>
    <w:locked/>
    <w:rPr>
      <w:sz w:val="16"/>
      <w:szCs w:val="16"/>
    </w:rPr>
  </w:style>
  <w:style w:type="paragraph" w:styleId="CommentText">
    <w:name w:val="annotation text"/>
    <w:basedOn w:val="Normal"/>
    <w:link w:val="CommentTextChar"/>
    <w:locked/>
    <w:pPr>
      <w:spacing w:line="240" w:lineRule="auto"/>
    </w:pPr>
    <w:rPr>
      <w:sz w:val="20"/>
      <w:szCs w:val="20"/>
    </w:rPr>
  </w:style>
  <w:style w:type="character" w:customStyle="1" w:styleId="CommentTextChar">
    <w:name w:val="Comment Text Char"/>
    <w:basedOn w:val="DefaultParagraphFont"/>
    <w:link w:val="CommentText"/>
    <w:rPr>
      <w:rFonts w:ascii="System Font Regular" w:eastAsia="ヒラギノ角ゴ Pro W3" w:hAnsi="System Font Regular"/>
      <w:color w:val="000000"/>
      <w:lang w:eastAsia="fr-FR"/>
    </w:rPr>
  </w:style>
  <w:style w:type="paragraph" w:styleId="CommentSubject">
    <w:name w:val="annotation subject"/>
    <w:basedOn w:val="CommentText"/>
    <w:next w:val="CommentText"/>
    <w:link w:val="CommentSubjectChar"/>
    <w:locked/>
    <w:rPr>
      <w:b/>
      <w:bCs/>
    </w:rPr>
  </w:style>
  <w:style w:type="character" w:customStyle="1" w:styleId="CommentSubjectChar">
    <w:name w:val="Comment Subject Char"/>
    <w:basedOn w:val="CommentTextChar"/>
    <w:link w:val="CommentSubject"/>
    <w:rPr>
      <w:rFonts w:ascii="System Font Regular" w:eastAsia="ヒラギノ角ゴ Pro W3" w:hAnsi="System Font Regular"/>
      <w:b/>
      <w:bCs/>
      <w:color w:val="000000"/>
      <w:lang w:eastAsia="fr-FR"/>
    </w:rPr>
  </w:style>
  <w:style w:type="paragraph" w:styleId="Revision">
    <w:name w:val="Revision"/>
    <w:hidden/>
    <w:uiPriority w:val="99"/>
    <w:semiHidden/>
    <w:rPr>
      <w:rFonts w:ascii="System Font Regular" w:eastAsia="ヒラギノ角ゴ Pro W3" w:hAnsi="System Font Regular"/>
      <w:color w:val="000000"/>
      <w:sz w:val="22"/>
      <w:szCs w:val="24"/>
    </w:rPr>
  </w:style>
  <w:style w:type="character" w:styleId="FollowedHyperlink">
    <w:name w:val="FollowedHyperlink"/>
    <w:basedOn w:val="DefaultParagraphFont"/>
    <w:semiHidden/>
    <w:unhideWhenUsed/>
    <w:locked/>
    <w:rPr>
      <w:color w:val="800080" w:themeColor="followedHyperlink"/>
      <w:u w:val="single"/>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nhideWhenUsed/>
    <w:locked/>
    <w:pPr>
      <w:tabs>
        <w:tab w:val="center" w:pos="4536"/>
        <w:tab w:val="right" w:pos="9072"/>
      </w:tabs>
      <w:spacing w:after="0" w:line="240" w:lineRule="auto"/>
    </w:pPr>
  </w:style>
  <w:style w:type="character" w:customStyle="1" w:styleId="HeaderChar">
    <w:name w:val="Header Char"/>
    <w:basedOn w:val="DefaultParagraphFont"/>
    <w:link w:val="Header"/>
    <w:rPr>
      <w:rFonts w:ascii="System Font Regular" w:eastAsia="ヒラギノ角ゴ Pro W3" w:hAnsi="System Font Regular"/>
      <w:color w:val="000000"/>
      <w:sz w:val="22"/>
      <w:szCs w:val="24"/>
      <w:lang w:eastAsia="fr-FR"/>
    </w:rPr>
  </w:style>
  <w:style w:type="paragraph" w:styleId="Footer">
    <w:name w:val="footer"/>
    <w:basedOn w:val="Normal"/>
    <w:link w:val="FooterChar"/>
    <w:unhideWhenUsed/>
    <w:locked/>
    <w:pPr>
      <w:tabs>
        <w:tab w:val="center" w:pos="4536"/>
        <w:tab w:val="right" w:pos="9072"/>
      </w:tabs>
      <w:spacing w:after="0" w:line="240" w:lineRule="auto"/>
    </w:pPr>
  </w:style>
  <w:style w:type="character" w:customStyle="1" w:styleId="FooterChar">
    <w:name w:val="Footer Char"/>
    <w:basedOn w:val="DefaultParagraphFont"/>
    <w:link w:val="Footer"/>
    <w:rPr>
      <w:rFonts w:ascii="System Font Regular" w:eastAsia="ヒラギノ角ゴ Pro W3" w:hAnsi="System Font Regular"/>
      <w:color w:val="000000"/>
      <w:sz w:val="22"/>
      <w:szCs w:val="24"/>
      <w:lang w:eastAsia="fr-FR"/>
    </w:rPr>
  </w:style>
  <w:style w:type="paragraph" w:customStyle="1" w:styleId="HeaderCoverPage">
    <w:name w:val="Header Cover Page"/>
    <w:basedOn w:val="Normal"/>
    <w:link w:val="HeaderCoverPageChar"/>
    <w:pPr>
      <w:numPr>
        <w:numId w:val="1"/>
      </w:numPr>
      <w:tabs>
        <w:tab w:val="clear" w:pos="-76"/>
        <w:tab w:val="center" w:pos="4535"/>
        <w:tab w:val="right" w:pos="9071"/>
      </w:tabs>
      <w:spacing w:after="120" w:line="240" w:lineRule="auto"/>
      <w:ind w:left="0" w:hanging="360"/>
      <w:jc w:val="both"/>
    </w:pPr>
    <w:rPr>
      <w:rFonts w:ascii="Times New Roman" w:hAnsi="Times New Roman"/>
      <w:sz w:val="24"/>
    </w:rPr>
  </w:style>
  <w:style w:type="character" w:customStyle="1" w:styleId="ListParagraphChar">
    <w:name w:val="List Paragraph Char"/>
    <w:basedOn w:val="DefaultParagraphFont"/>
    <w:link w:val="ListParagraph"/>
    <w:rPr>
      <w:rFonts w:ascii="System Font Regular" w:eastAsia="ヒラギノ角ゴ Pro W3" w:hAnsi="System Font Regular"/>
      <w:color w:val="000000"/>
      <w:sz w:val="22"/>
    </w:rPr>
  </w:style>
  <w:style w:type="character" w:customStyle="1" w:styleId="HeaderCoverPageChar">
    <w:name w:val="Header Cover Page Char"/>
    <w:basedOn w:val="ListParagraphChar"/>
    <w:link w:val="HeaderCoverPage"/>
    <w:rPr>
      <w:rFonts w:ascii="System Font Regular" w:eastAsia="ヒラギノ角ゴ Pro W3" w:hAnsi="System Font Regular"/>
      <w:color w:val="000000"/>
      <w:sz w:val="24"/>
      <w:szCs w:val="24"/>
    </w:rPr>
  </w:style>
  <w:style w:type="paragraph" w:styleId="NormalWeb">
    <w:name w:val="Normal (Web)"/>
    <w:basedOn w:val="Normal"/>
    <w:uiPriority w:val="99"/>
    <w:unhideWhenUsed/>
    <w:locked/>
    <w:pPr>
      <w:spacing w:after="105" w:line="240" w:lineRule="auto"/>
    </w:pPr>
    <w:rPr>
      <w:rFonts w:ascii="Times New Roman" w:eastAsia="Times New Roman" w:hAnsi="Times New Roman"/>
      <w:color w:val="auto"/>
      <w:sz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rFonts w:ascii="Times New Roman" w:eastAsia="Times New Roman" w:hAnsi="Times New Roman"/>
      <w:color w:val="auto"/>
      <w:sz w:val="20"/>
      <w:szCs w:val="20"/>
      <w:vertAlign w:val="superscript"/>
    </w:rPr>
  </w:style>
  <w:style w:type="paragraph" w:styleId="PlainText">
    <w:name w:val="Plain Text"/>
    <w:basedOn w:val="Normal"/>
    <w:link w:val="PlainTextChar"/>
    <w:uiPriority w:val="99"/>
    <w:semiHidden/>
    <w:unhideWhenUsed/>
    <w:locked/>
    <w:pPr>
      <w:spacing w:after="0" w:line="240" w:lineRule="auto"/>
    </w:pPr>
    <w:rPr>
      <w:rFonts w:ascii="Calibri" w:eastAsiaTheme="minorHAnsi" w:hAnsi="Calibri" w:cstheme="minorBidi"/>
      <w:color w:val="auto"/>
      <w:szCs w:val="21"/>
    </w:rPr>
  </w:style>
  <w:style w:type="character" w:customStyle="1" w:styleId="PlainTextChar">
    <w:name w:val="Plain Text Char"/>
    <w:basedOn w:val="DefaultParagraphFont"/>
    <w:link w:val="PlainText"/>
    <w:uiPriority w:val="99"/>
    <w:semiHidden/>
    <w:rPr>
      <w:rFonts w:ascii="Calibri" w:eastAsiaTheme="minorHAnsi" w:hAnsi="Calibri" w:cstheme="minorBidi"/>
      <w:sz w:val="22"/>
      <w:szCs w:val="21"/>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fr-FR"/>
      </w:rPr>
    </w:rPrDefault>
    <w:pPrDefault/>
  </w:docDefaults>
  <w:latentStyles w:defLockedState="1"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rmal (Web)" w:uiPriority="99"/>
    <w:lsdException w:name="No List" w:uiPriority="99"/>
    <w:lsdException w:name="Table Grid" w:semiHidden="0" w:unhideWhenUsed="0"/>
    <w:lsdException w:name="Placeholder Text" w:locked="0" w:uiPriority="99"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iPriority="99"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pPr>
      <w:spacing w:after="200" w:line="276" w:lineRule="auto"/>
    </w:pPr>
    <w:rPr>
      <w:rFonts w:ascii="System Font Regular" w:eastAsia="ヒラギノ角ゴ Pro W3" w:hAnsi="System Font Regular"/>
      <w:color w:val="000000"/>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1"/>
    <w:autoRedefine/>
    <w:pPr>
      <w:tabs>
        <w:tab w:val="center" w:pos="4536"/>
        <w:tab w:val="right" w:pos="9072"/>
      </w:tabs>
    </w:pPr>
    <w:rPr>
      <w:rFonts w:ascii="System Font Regular" w:eastAsia="ヒラギノ角ゴ Pro W3" w:hAnsi="System Font Regular"/>
      <w:color w:val="000000"/>
      <w:sz w:val="22"/>
    </w:rPr>
  </w:style>
  <w:style w:type="paragraph" w:customStyle="1" w:styleId="FooterCoverPage">
    <w:name w:val="Footer Cover Page"/>
    <w:basedOn w:val="Normal"/>
    <w:pPr>
      <w:tabs>
        <w:tab w:val="center" w:pos="4535"/>
        <w:tab w:val="right" w:pos="9071"/>
        <w:tab w:val="right" w:pos="9921"/>
      </w:tabs>
      <w:spacing w:before="360" w:after="0" w:line="240" w:lineRule="auto"/>
      <w:ind w:left="-850" w:right="-850"/>
    </w:pPr>
    <w:rPr>
      <w:rFonts w:ascii="Times New Roman" w:hAnsi="Times New Roman"/>
      <w:sz w:val="24"/>
    </w:rPr>
  </w:style>
  <w:style w:type="paragraph" w:customStyle="1" w:styleId="Pagedecouverture">
    <w:name w:val="Page de couverture"/>
    <w:next w:val="Normal"/>
    <w:pPr>
      <w:jc w:val="both"/>
    </w:pPr>
    <w:rPr>
      <w:rFonts w:eastAsia="ヒラギノ角ゴ Pro W3"/>
      <w:color w:val="000000"/>
      <w:sz w:val="24"/>
    </w:rPr>
  </w:style>
  <w:style w:type="paragraph" w:customStyle="1" w:styleId="FreeForm">
    <w:name w:val="Free Form"/>
    <w:pPr>
      <w:spacing w:after="200" w:line="276" w:lineRule="auto"/>
    </w:pPr>
    <w:rPr>
      <w:rFonts w:ascii="System Font Regular" w:eastAsia="ヒラギノ角ゴ Pro W3" w:hAnsi="System Font Regular"/>
      <w:color w:val="000000"/>
      <w:sz w:val="22"/>
    </w:rPr>
  </w:style>
  <w:style w:type="paragraph" w:customStyle="1" w:styleId="Footer1">
    <w:name w:val="Footer1"/>
    <w:pPr>
      <w:tabs>
        <w:tab w:val="center" w:pos="4536"/>
        <w:tab w:val="right" w:pos="9072"/>
      </w:tabs>
    </w:pPr>
    <w:rPr>
      <w:rFonts w:ascii="System Font Regular" w:eastAsia="ヒラギノ角ゴ Pro W3" w:hAnsi="System Font Regular"/>
      <w:color w:val="000000"/>
      <w:sz w:val="22"/>
    </w:rPr>
  </w:style>
  <w:style w:type="paragraph" w:styleId="ListParagraph">
    <w:name w:val="List Paragraph"/>
    <w:link w:val="ListParagraphChar"/>
    <w:qFormat/>
    <w:pPr>
      <w:spacing w:after="200" w:line="276" w:lineRule="auto"/>
      <w:ind w:left="720"/>
    </w:pPr>
    <w:rPr>
      <w:rFonts w:ascii="System Font Regular" w:eastAsia="ヒラギノ角ゴ Pro W3" w:hAnsi="System Font Regular"/>
      <w:color w:val="000000"/>
      <w:sz w:val="22"/>
    </w:rPr>
  </w:style>
  <w:style w:type="paragraph" w:customStyle="1" w:styleId="Default">
    <w:name w:val="Default"/>
    <w:rPr>
      <w:rFonts w:ascii="Arial" w:eastAsia="ヒラギノ角ゴ Pro W3" w:hAnsi="Arial"/>
      <w:color w:val="000000"/>
      <w:sz w:val="24"/>
    </w:rPr>
  </w:style>
  <w:style w:type="character" w:customStyle="1" w:styleId="FootnoteReference1">
    <w:name w:val="Footnote Reference1"/>
    <w:rPr>
      <w:color w:val="000000"/>
      <w:sz w:val="22"/>
      <w:vertAlign w:val="superscript"/>
    </w:rPr>
  </w:style>
  <w:style w:type="paragraph" w:customStyle="1" w:styleId="FootnoteText1">
    <w:name w:val="Footnote Text1"/>
    <w:rPr>
      <w:rFonts w:ascii="System Font Regular" w:eastAsia="ヒラギノ角ゴ Pro W3" w:hAnsi="System Font Regular"/>
      <w:color w:val="000000"/>
    </w:rPr>
  </w:style>
  <w:style w:type="paragraph" w:customStyle="1" w:styleId="Caption1">
    <w:name w:val="Caption1"/>
    <w:next w:val="Normal"/>
    <w:pPr>
      <w:spacing w:after="200"/>
    </w:pPr>
    <w:rPr>
      <w:rFonts w:ascii="System Font Bold" w:eastAsia="ヒラギノ角ゴ Pro W3" w:hAnsi="System Font Bold"/>
      <w:color w:val="3F6BAE"/>
      <w:sz w:val="18"/>
    </w:rPr>
  </w:style>
  <w:style w:type="character" w:customStyle="1" w:styleId="Hyperlink1">
    <w:name w:val="Hyperlink1"/>
    <w:rPr>
      <w:color w:val="0000FE"/>
      <w:sz w:val="22"/>
      <w:u w:val="single"/>
    </w:rPr>
  </w:style>
  <w:style w:type="paragraph" w:customStyle="1" w:styleId="TableGrid1">
    <w:name w:val="Table Grid1"/>
    <w:rPr>
      <w:rFonts w:ascii="System Font Regular" w:eastAsia="ヒラギノ角ゴ Pro W3" w:hAnsi="System Font Regular"/>
      <w:color w:val="000000"/>
      <w:sz w:val="22"/>
    </w:rPr>
  </w:style>
  <w:style w:type="paragraph" w:styleId="FootnoteText">
    <w:name w:val="footnote text"/>
    <w:basedOn w:val="Normal"/>
    <w:uiPriority w:val="99"/>
    <w:locked/>
    <w:rPr>
      <w:sz w:val="20"/>
      <w:szCs w:val="20"/>
    </w:rPr>
  </w:style>
  <w:style w:type="character" w:customStyle="1" w:styleId="FootnoteTextChar">
    <w:name w:val="Footnote Text Char"/>
    <w:basedOn w:val="DefaultParagraphFont"/>
    <w:uiPriority w:val="99"/>
    <w:rPr>
      <w:rFonts w:ascii="System Font Regular" w:eastAsia="ヒラギノ角ゴ Pro W3" w:hAnsi="System Font Regular"/>
      <w:color w:val="000000"/>
      <w:lang w:eastAsia="fr-FR"/>
    </w:rPr>
  </w:style>
  <w:style w:type="character" w:styleId="FootnoteReference">
    <w:name w:val="footnote reference"/>
    <w:aliases w:val="number,Footnote reference number,Footnote symbol,note TESI,-E Fußnotenzeichen,SUPERS,Footnote Reference Superscript,stylish,Odwołanie przypisu,Times 10 Point,Exposant 3 Point,Voetnootverwijzing,EN Footnote Reference,Ref,BVI fnr,Nota,R"/>
    <w:basedOn w:val="DefaultParagraphFont"/>
    <w:link w:val="FootnotesymbolCarZchn"/>
    <w:uiPriority w:val="99"/>
    <w:qFormat/>
    <w:locked/>
    <w:rPr>
      <w:vertAlign w:val="superscript"/>
    </w:rPr>
  </w:style>
  <w:style w:type="character" w:styleId="Hyperlink">
    <w:name w:val="Hyperlink"/>
    <w:uiPriority w:val="99"/>
    <w:unhideWhenUsed/>
    <w:locked/>
    <w:rPr>
      <w:color w:val="0000FF"/>
      <w:u w:val="single"/>
    </w:rPr>
  </w:style>
  <w:style w:type="paragraph" w:styleId="BalloonText">
    <w:name w:val="Balloon Text"/>
    <w:basedOn w:val="Normal"/>
    <w:link w:val="BalloonTextChar"/>
    <w:lock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Pr>
      <w:rFonts w:ascii="Tahoma" w:eastAsia="ヒラギノ角ゴ Pro W3" w:hAnsi="Tahoma" w:cs="Tahoma"/>
      <w:color w:val="000000"/>
      <w:sz w:val="16"/>
      <w:szCs w:val="16"/>
      <w:lang w:eastAsia="fr-FR"/>
    </w:rPr>
  </w:style>
  <w:style w:type="character" w:styleId="CommentReference">
    <w:name w:val="annotation reference"/>
    <w:basedOn w:val="DefaultParagraphFont"/>
    <w:locked/>
    <w:rPr>
      <w:sz w:val="16"/>
      <w:szCs w:val="16"/>
    </w:rPr>
  </w:style>
  <w:style w:type="paragraph" w:styleId="CommentText">
    <w:name w:val="annotation text"/>
    <w:basedOn w:val="Normal"/>
    <w:link w:val="CommentTextChar"/>
    <w:locked/>
    <w:pPr>
      <w:spacing w:line="240" w:lineRule="auto"/>
    </w:pPr>
    <w:rPr>
      <w:sz w:val="20"/>
      <w:szCs w:val="20"/>
    </w:rPr>
  </w:style>
  <w:style w:type="character" w:customStyle="1" w:styleId="CommentTextChar">
    <w:name w:val="Comment Text Char"/>
    <w:basedOn w:val="DefaultParagraphFont"/>
    <w:link w:val="CommentText"/>
    <w:rPr>
      <w:rFonts w:ascii="System Font Regular" w:eastAsia="ヒラギノ角ゴ Pro W3" w:hAnsi="System Font Regular"/>
      <w:color w:val="000000"/>
      <w:lang w:eastAsia="fr-FR"/>
    </w:rPr>
  </w:style>
  <w:style w:type="paragraph" w:styleId="CommentSubject">
    <w:name w:val="annotation subject"/>
    <w:basedOn w:val="CommentText"/>
    <w:next w:val="CommentText"/>
    <w:link w:val="CommentSubjectChar"/>
    <w:locked/>
    <w:rPr>
      <w:b/>
      <w:bCs/>
    </w:rPr>
  </w:style>
  <w:style w:type="character" w:customStyle="1" w:styleId="CommentSubjectChar">
    <w:name w:val="Comment Subject Char"/>
    <w:basedOn w:val="CommentTextChar"/>
    <w:link w:val="CommentSubject"/>
    <w:rPr>
      <w:rFonts w:ascii="System Font Regular" w:eastAsia="ヒラギノ角ゴ Pro W3" w:hAnsi="System Font Regular"/>
      <w:b/>
      <w:bCs/>
      <w:color w:val="000000"/>
      <w:lang w:eastAsia="fr-FR"/>
    </w:rPr>
  </w:style>
  <w:style w:type="paragraph" w:styleId="Revision">
    <w:name w:val="Revision"/>
    <w:hidden/>
    <w:uiPriority w:val="99"/>
    <w:semiHidden/>
    <w:rPr>
      <w:rFonts w:ascii="System Font Regular" w:eastAsia="ヒラギノ角ゴ Pro W3" w:hAnsi="System Font Regular"/>
      <w:color w:val="000000"/>
      <w:sz w:val="22"/>
      <w:szCs w:val="24"/>
    </w:rPr>
  </w:style>
  <w:style w:type="character" w:styleId="FollowedHyperlink">
    <w:name w:val="FollowedHyperlink"/>
    <w:basedOn w:val="DefaultParagraphFont"/>
    <w:semiHidden/>
    <w:unhideWhenUsed/>
    <w:locked/>
    <w:rPr>
      <w:color w:val="800080" w:themeColor="followedHyperlink"/>
      <w:u w:val="single"/>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nhideWhenUsed/>
    <w:locked/>
    <w:pPr>
      <w:tabs>
        <w:tab w:val="center" w:pos="4536"/>
        <w:tab w:val="right" w:pos="9072"/>
      </w:tabs>
      <w:spacing w:after="0" w:line="240" w:lineRule="auto"/>
    </w:pPr>
  </w:style>
  <w:style w:type="character" w:customStyle="1" w:styleId="HeaderChar">
    <w:name w:val="Header Char"/>
    <w:basedOn w:val="DefaultParagraphFont"/>
    <w:link w:val="Header"/>
    <w:rPr>
      <w:rFonts w:ascii="System Font Regular" w:eastAsia="ヒラギノ角ゴ Pro W3" w:hAnsi="System Font Regular"/>
      <w:color w:val="000000"/>
      <w:sz w:val="22"/>
      <w:szCs w:val="24"/>
      <w:lang w:eastAsia="fr-FR"/>
    </w:rPr>
  </w:style>
  <w:style w:type="paragraph" w:styleId="Footer">
    <w:name w:val="footer"/>
    <w:basedOn w:val="Normal"/>
    <w:link w:val="FooterChar"/>
    <w:unhideWhenUsed/>
    <w:locked/>
    <w:pPr>
      <w:tabs>
        <w:tab w:val="center" w:pos="4536"/>
        <w:tab w:val="right" w:pos="9072"/>
      </w:tabs>
      <w:spacing w:after="0" w:line="240" w:lineRule="auto"/>
    </w:pPr>
  </w:style>
  <w:style w:type="character" w:customStyle="1" w:styleId="FooterChar">
    <w:name w:val="Footer Char"/>
    <w:basedOn w:val="DefaultParagraphFont"/>
    <w:link w:val="Footer"/>
    <w:rPr>
      <w:rFonts w:ascii="System Font Regular" w:eastAsia="ヒラギノ角ゴ Pro W3" w:hAnsi="System Font Regular"/>
      <w:color w:val="000000"/>
      <w:sz w:val="22"/>
      <w:szCs w:val="24"/>
      <w:lang w:eastAsia="fr-FR"/>
    </w:rPr>
  </w:style>
  <w:style w:type="paragraph" w:customStyle="1" w:styleId="HeaderCoverPage">
    <w:name w:val="Header Cover Page"/>
    <w:basedOn w:val="Normal"/>
    <w:link w:val="HeaderCoverPageChar"/>
    <w:pPr>
      <w:numPr>
        <w:numId w:val="1"/>
      </w:numPr>
      <w:tabs>
        <w:tab w:val="clear" w:pos="-76"/>
        <w:tab w:val="center" w:pos="4535"/>
        <w:tab w:val="right" w:pos="9071"/>
      </w:tabs>
      <w:spacing w:after="120" w:line="240" w:lineRule="auto"/>
      <w:ind w:left="0" w:hanging="360"/>
      <w:jc w:val="both"/>
    </w:pPr>
    <w:rPr>
      <w:rFonts w:ascii="Times New Roman" w:hAnsi="Times New Roman"/>
      <w:sz w:val="24"/>
    </w:rPr>
  </w:style>
  <w:style w:type="character" w:customStyle="1" w:styleId="ListParagraphChar">
    <w:name w:val="List Paragraph Char"/>
    <w:basedOn w:val="DefaultParagraphFont"/>
    <w:link w:val="ListParagraph"/>
    <w:rPr>
      <w:rFonts w:ascii="System Font Regular" w:eastAsia="ヒラギノ角ゴ Pro W3" w:hAnsi="System Font Regular"/>
      <w:color w:val="000000"/>
      <w:sz w:val="22"/>
    </w:rPr>
  </w:style>
  <w:style w:type="character" w:customStyle="1" w:styleId="HeaderCoverPageChar">
    <w:name w:val="Header Cover Page Char"/>
    <w:basedOn w:val="ListParagraphChar"/>
    <w:link w:val="HeaderCoverPage"/>
    <w:rPr>
      <w:rFonts w:ascii="System Font Regular" w:eastAsia="ヒラギノ角ゴ Pro W3" w:hAnsi="System Font Regular"/>
      <w:color w:val="000000"/>
      <w:sz w:val="24"/>
      <w:szCs w:val="24"/>
    </w:rPr>
  </w:style>
  <w:style w:type="paragraph" w:styleId="NormalWeb">
    <w:name w:val="Normal (Web)"/>
    <w:basedOn w:val="Normal"/>
    <w:uiPriority w:val="99"/>
    <w:unhideWhenUsed/>
    <w:locked/>
    <w:pPr>
      <w:spacing w:after="105" w:line="240" w:lineRule="auto"/>
    </w:pPr>
    <w:rPr>
      <w:rFonts w:ascii="Times New Roman" w:eastAsia="Times New Roman" w:hAnsi="Times New Roman"/>
      <w:color w:val="auto"/>
      <w:sz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rFonts w:ascii="Times New Roman" w:eastAsia="Times New Roman" w:hAnsi="Times New Roman"/>
      <w:color w:val="auto"/>
      <w:sz w:val="20"/>
      <w:szCs w:val="20"/>
      <w:vertAlign w:val="superscript"/>
    </w:rPr>
  </w:style>
  <w:style w:type="paragraph" w:styleId="PlainText">
    <w:name w:val="Plain Text"/>
    <w:basedOn w:val="Normal"/>
    <w:link w:val="PlainTextChar"/>
    <w:uiPriority w:val="99"/>
    <w:semiHidden/>
    <w:unhideWhenUsed/>
    <w:locked/>
    <w:pPr>
      <w:spacing w:after="0" w:line="240" w:lineRule="auto"/>
    </w:pPr>
    <w:rPr>
      <w:rFonts w:ascii="Calibri" w:eastAsiaTheme="minorHAnsi" w:hAnsi="Calibri" w:cstheme="minorBidi"/>
      <w:color w:val="auto"/>
      <w:szCs w:val="21"/>
    </w:rPr>
  </w:style>
  <w:style w:type="character" w:customStyle="1" w:styleId="PlainTextChar">
    <w:name w:val="Plain Text Char"/>
    <w:basedOn w:val="DefaultParagraphFont"/>
    <w:link w:val="PlainText"/>
    <w:uiPriority w:val="99"/>
    <w:semiHidden/>
    <w:rPr>
      <w:rFonts w:ascii="Calibri" w:eastAsiaTheme="minorHAnsi" w:hAnsi="Calibri" w:cstheme="minorBidi"/>
      <w:sz w:val="22"/>
      <w:szCs w:val="21"/>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627573">
      <w:bodyDiv w:val="1"/>
      <w:marLeft w:val="0"/>
      <w:marRight w:val="0"/>
      <w:marTop w:val="0"/>
      <w:marBottom w:val="0"/>
      <w:divBdr>
        <w:top w:val="none" w:sz="0" w:space="0" w:color="auto"/>
        <w:left w:val="none" w:sz="0" w:space="0" w:color="auto"/>
        <w:bottom w:val="none" w:sz="0" w:space="0" w:color="auto"/>
        <w:right w:val="none" w:sz="0" w:space="0" w:color="auto"/>
      </w:divBdr>
    </w:div>
    <w:div w:id="390544835">
      <w:bodyDiv w:val="1"/>
      <w:marLeft w:val="0"/>
      <w:marRight w:val="0"/>
      <w:marTop w:val="0"/>
      <w:marBottom w:val="0"/>
      <w:divBdr>
        <w:top w:val="none" w:sz="0" w:space="0" w:color="auto"/>
        <w:left w:val="none" w:sz="0" w:space="0" w:color="auto"/>
        <w:bottom w:val="none" w:sz="0" w:space="0" w:color="auto"/>
        <w:right w:val="none" w:sz="0" w:space="0" w:color="auto"/>
      </w:divBdr>
    </w:div>
    <w:div w:id="396440841">
      <w:bodyDiv w:val="1"/>
      <w:marLeft w:val="0"/>
      <w:marRight w:val="0"/>
      <w:marTop w:val="0"/>
      <w:marBottom w:val="0"/>
      <w:divBdr>
        <w:top w:val="none" w:sz="0" w:space="0" w:color="auto"/>
        <w:left w:val="none" w:sz="0" w:space="0" w:color="auto"/>
        <w:bottom w:val="none" w:sz="0" w:space="0" w:color="auto"/>
        <w:right w:val="none" w:sz="0" w:space="0" w:color="auto"/>
      </w:divBdr>
    </w:div>
    <w:div w:id="433520727">
      <w:bodyDiv w:val="1"/>
      <w:marLeft w:val="0"/>
      <w:marRight w:val="0"/>
      <w:marTop w:val="0"/>
      <w:marBottom w:val="0"/>
      <w:divBdr>
        <w:top w:val="none" w:sz="0" w:space="0" w:color="auto"/>
        <w:left w:val="none" w:sz="0" w:space="0" w:color="auto"/>
        <w:bottom w:val="none" w:sz="0" w:space="0" w:color="auto"/>
        <w:right w:val="none" w:sz="0" w:space="0" w:color="auto"/>
      </w:divBdr>
    </w:div>
    <w:div w:id="591207597">
      <w:bodyDiv w:val="1"/>
      <w:marLeft w:val="0"/>
      <w:marRight w:val="0"/>
      <w:marTop w:val="0"/>
      <w:marBottom w:val="0"/>
      <w:divBdr>
        <w:top w:val="none" w:sz="0" w:space="0" w:color="auto"/>
        <w:left w:val="none" w:sz="0" w:space="0" w:color="auto"/>
        <w:bottom w:val="none" w:sz="0" w:space="0" w:color="auto"/>
        <w:right w:val="none" w:sz="0" w:space="0" w:color="auto"/>
      </w:divBdr>
    </w:div>
    <w:div w:id="594752839">
      <w:bodyDiv w:val="1"/>
      <w:marLeft w:val="0"/>
      <w:marRight w:val="0"/>
      <w:marTop w:val="0"/>
      <w:marBottom w:val="0"/>
      <w:divBdr>
        <w:top w:val="none" w:sz="0" w:space="0" w:color="auto"/>
        <w:left w:val="none" w:sz="0" w:space="0" w:color="auto"/>
        <w:bottom w:val="none" w:sz="0" w:space="0" w:color="auto"/>
        <w:right w:val="none" w:sz="0" w:space="0" w:color="auto"/>
      </w:divBdr>
    </w:div>
    <w:div w:id="637565177">
      <w:bodyDiv w:val="1"/>
      <w:marLeft w:val="0"/>
      <w:marRight w:val="0"/>
      <w:marTop w:val="0"/>
      <w:marBottom w:val="0"/>
      <w:divBdr>
        <w:top w:val="none" w:sz="0" w:space="0" w:color="auto"/>
        <w:left w:val="none" w:sz="0" w:space="0" w:color="auto"/>
        <w:bottom w:val="none" w:sz="0" w:space="0" w:color="auto"/>
        <w:right w:val="none" w:sz="0" w:space="0" w:color="auto"/>
      </w:divBdr>
    </w:div>
    <w:div w:id="833571031">
      <w:bodyDiv w:val="1"/>
      <w:marLeft w:val="0"/>
      <w:marRight w:val="0"/>
      <w:marTop w:val="0"/>
      <w:marBottom w:val="0"/>
      <w:divBdr>
        <w:top w:val="none" w:sz="0" w:space="0" w:color="auto"/>
        <w:left w:val="none" w:sz="0" w:space="0" w:color="auto"/>
        <w:bottom w:val="none" w:sz="0" w:space="0" w:color="auto"/>
        <w:right w:val="none" w:sz="0" w:space="0" w:color="auto"/>
      </w:divBdr>
    </w:div>
    <w:div w:id="1127774964">
      <w:bodyDiv w:val="1"/>
      <w:marLeft w:val="0"/>
      <w:marRight w:val="0"/>
      <w:marTop w:val="0"/>
      <w:marBottom w:val="0"/>
      <w:divBdr>
        <w:top w:val="none" w:sz="0" w:space="0" w:color="auto"/>
        <w:left w:val="none" w:sz="0" w:space="0" w:color="auto"/>
        <w:bottom w:val="none" w:sz="0" w:space="0" w:color="auto"/>
        <w:right w:val="none" w:sz="0" w:space="0" w:color="auto"/>
      </w:divBdr>
    </w:div>
    <w:div w:id="1190603827">
      <w:bodyDiv w:val="1"/>
      <w:marLeft w:val="0"/>
      <w:marRight w:val="0"/>
      <w:marTop w:val="0"/>
      <w:marBottom w:val="0"/>
      <w:divBdr>
        <w:top w:val="none" w:sz="0" w:space="0" w:color="auto"/>
        <w:left w:val="none" w:sz="0" w:space="0" w:color="auto"/>
        <w:bottom w:val="none" w:sz="0" w:space="0" w:color="auto"/>
        <w:right w:val="none" w:sz="0" w:space="0" w:color="auto"/>
      </w:divBdr>
      <w:divsChild>
        <w:div w:id="1163855894">
          <w:marLeft w:val="0"/>
          <w:marRight w:val="0"/>
          <w:marTop w:val="0"/>
          <w:marBottom w:val="0"/>
          <w:divBdr>
            <w:top w:val="none" w:sz="0" w:space="0" w:color="auto"/>
            <w:left w:val="none" w:sz="0" w:space="0" w:color="auto"/>
            <w:bottom w:val="none" w:sz="0" w:space="0" w:color="auto"/>
            <w:right w:val="none" w:sz="0" w:space="0" w:color="auto"/>
          </w:divBdr>
          <w:divsChild>
            <w:div w:id="626932445">
              <w:marLeft w:val="-225"/>
              <w:marRight w:val="-225"/>
              <w:marTop w:val="0"/>
              <w:marBottom w:val="0"/>
              <w:divBdr>
                <w:top w:val="none" w:sz="0" w:space="0" w:color="auto"/>
                <w:left w:val="none" w:sz="0" w:space="0" w:color="auto"/>
                <w:bottom w:val="none" w:sz="0" w:space="0" w:color="auto"/>
                <w:right w:val="none" w:sz="0" w:space="0" w:color="auto"/>
              </w:divBdr>
              <w:divsChild>
                <w:div w:id="1847397328">
                  <w:marLeft w:val="0"/>
                  <w:marRight w:val="0"/>
                  <w:marTop w:val="0"/>
                  <w:marBottom w:val="0"/>
                  <w:divBdr>
                    <w:top w:val="none" w:sz="0" w:space="0" w:color="auto"/>
                    <w:left w:val="none" w:sz="0" w:space="0" w:color="auto"/>
                    <w:bottom w:val="none" w:sz="0" w:space="0" w:color="auto"/>
                    <w:right w:val="none" w:sz="0" w:space="0" w:color="auto"/>
                  </w:divBdr>
                  <w:divsChild>
                    <w:div w:id="1399747395">
                      <w:marLeft w:val="0"/>
                      <w:marRight w:val="0"/>
                      <w:marTop w:val="0"/>
                      <w:marBottom w:val="0"/>
                      <w:divBdr>
                        <w:top w:val="none" w:sz="0" w:space="0" w:color="auto"/>
                        <w:left w:val="none" w:sz="0" w:space="0" w:color="auto"/>
                        <w:bottom w:val="none" w:sz="0" w:space="0" w:color="auto"/>
                        <w:right w:val="none" w:sz="0" w:space="0" w:color="auto"/>
                      </w:divBdr>
                      <w:divsChild>
                        <w:div w:id="1825395116">
                          <w:marLeft w:val="0"/>
                          <w:marRight w:val="0"/>
                          <w:marTop w:val="0"/>
                          <w:marBottom w:val="0"/>
                          <w:divBdr>
                            <w:top w:val="none" w:sz="0" w:space="0" w:color="auto"/>
                            <w:left w:val="none" w:sz="0" w:space="0" w:color="auto"/>
                            <w:bottom w:val="none" w:sz="0" w:space="0" w:color="auto"/>
                            <w:right w:val="none" w:sz="0" w:space="0" w:color="auto"/>
                          </w:divBdr>
                          <w:divsChild>
                            <w:div w:id="72105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6879929">
      <w:bodyDiv w:val="1"/>
      <w:marLeft w:val="0"/>
      <w:marRight w:val="0"/>
      <w:marTop w:val="0"/>
      <w:marBottom w:val="0"/>
      <w:divBdr>
        <w:top w:val="none" w:sz="0" w:space="0" w:color="auto"/>
        <w:left w:val="none" w:sz="0" w:space="0" w:color="auto"/>
        <w:bottom w:val="none" w:sz="0" w:space="0" w:color="auto"/>
        <w:right w:val="none" w:sz="0" w:space="0" w:color="auto"/>
      </w:divBdr>
    </w:div>
    <w:div w:id="1341542159">
      <w:bodyDiv w:val="1"/>
      <w:marLeft w:val="0"/>
      <w:marRight w:val="0"/>
      <w:marTop w:val="0"/>
      <w:marBottom w:val="0"/>
      <w:divBdr>
        <w:top w:val="none" w:sz="0" w:space="0" w:color="auto"/>
        <w:left w:val="none" w:sz="0" w:space="0" w:color="auto"/>
        <w:bottom w:val="none" w:sz="0" w:space="0" w:color="auto"/>
        <w:right w:val="none" w:sz="0" w:space="0" w:color="auto"/>
      </w:divBdr>
    </w:div>
    <w:div w:id="1403524359">
      <w:bodyDiv w:val="1"/>
      <w:marLeft w:val="0"/>
      <w:marRight w:val="0"/>
      <w:marTop w:val="0"/>
      <w:marBottom w:val="0"/>
      <w:divBdr>
        <w:top w:val="none" w:sz="0" w:space="0" w:color="auto"/>
        <w:left w:val="none" w:sz="0" w:space="0" w:color="auto"/>
        <w:bottom w:val="none" w:sz="0" w:space="0" w:color="auto"/>
        <w:right w:val="none" w:sz="0" w:space="0" w:color="auto"/>
      </w:divBdr>
    </w:div>
    <w:div w:id="1505241771">
      <w:bodyDiv w:val="1"/>
      <w:marLeft w:val="0"/>
      <w:marRight w:val="0"/>
      <w:marTop w:val="0"/>
      <w:marBottom w:val="0"/>
      <w:divBdr>
        <w:top w:val="none" w:sz="0" w:space="0" w:color="auto"/>
        <w:left w:val="none" w:sz="0" w:space="0" w:color="auto"/>
        <w:bottom w:val="none" w:sz="0" w:space="0" w:color="auto"/>
        <w:right w:val="none" w:sz="0" w:space="0" w:color="auto"/>
      </w:divBdr>
    </w:div>
    <w:div w:id="1577276319">
      <w:bodyDiv w:val="1"/>
      <w:marLeft w:val="0"/>
      <w:marRight w:val="0"/>
      <w:marTop w:val="0"/>
      <w:marBottom w:val="0"/>
      <w:divBdr>
        <w:top w:val="none" w:sz="0" w:space="0" w:color="auto"/>
        <w:left w:val="none" w:sz="0" w:space="0" w:color="auto"/>
        <w:bottom w:val="none" w:sz="0" w:space="0" w:color="auto"/>
        <w:right w:val="none" w:sz="0" w:space="0" w:color="auto"/>
      </w:divBdr>
    </w:div>
    <w:div w:id="1707871120">
      <w:bodyDiv w:val="1"/>
      <w:marLeft w:val="0"/>
      <w:marRight w:val="0"/>
      <w:marTop w:val="0"/>
      <w:marBottom w:val="0"/>
      <w:divBdr>
        <w:top w:val="none" w:sz="0" w:space="0" w:color="auto"/>
        <w:left w:val="none" w:sz="0" w:space="0" w:color="auto"/>
        <w:bottom w:val="none" w:sz="0" w:space="0" w:color="auto"/>
        <w:right w:val="none" w:sz="0" w:space="0" w:color="auto"/>
      </w:divBdr>
    </w:div>
    <w:div w:id="17627232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package" Target="embeddings/Microsoft_PowerPoint_Presentation1.pptx"/><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forum.eionet.europa.eu/nrc-scp-waste/library/waste-incineration" TargetMode="External"/><Relationship Id="rId13" Type="http://schemas.openxmlformats.org/officeDocument/2006/relationships/hyperlink" Target="http://european-biogas.eu/wp-content/uploads/2016/03/Milan.pdf" TargetMode="External"/><Relationship Id="rId3" Type="http://schemas.openxmlformats.org/officeDocument/2006/relationships/hyperlink" Target="http://unfccc.int/portal_francophone/items/3072.php" TargetMode="External"/><Relationship Id="rId7" Type="http://schemas.openxmlformats.org/officeDocument/2006/relationships/hyperlink" Target="http://www.eib.org/products/blending/innovfin/" TargetMode="External"/><Relationship Id="rId12" Type="http://schemas.openxmlformats.org/officeDocument/2006/relationships/hyperlink" Target="http://ec.europa.eu/DocsRoom/documents/15949" TargetMode="External"/><Relationship Id="rId2" Type="http://schemas.openxmlformats.org/officeDocument/2006/relationships/hyperlink" Target="http://ec.europa.eu/priorities/energy-union-and-climate/state-energy-union_en" TargetMode="External"/><Relationship Id="rId1" Type="http://schemas.openxmlformats.org/officeDocument/2006/relationships/hyperlink" Target="http://ec.europa.eu/eurostat/statistics-explained/index.php/Environmental_goods_and_services_sector" TargetMode="External"/><Relationship Id="rId6" Type="http://schemas.openxmlformats.org/officeDocument/2006/relationships/hyperlink" Target="http://publications.jrc.ec.europa.eu/repository/bitstream/JRC65850/reqno_jrc65850_lb-na-24916-en-n%20_pdf_.pdf" TargetMode="External"/><Relationship Id="rId11" Type="http://schemas.openxmlformats.org/officeDocument/2006/relationships/hyperlink" Target="http://ec.europa.eu/environment/waste/studies/pdf/Separate%20collection_Final%20Report.pdf" TargetMode="External"/><Relationship Id="rId5" Type="http://schemas.openxmlformats.org/officeDocument/2006/relationships/hyperlink" Target="http://ec.europa.eu/environment/waste/framework/pdf/guidance_doc.pdf" TargetMode="External"/><Relationship Id="rId15" Type="http://schemas.openxmlformats.org/officeDocument/2006/relationships/hyperlink" Target="http://eur-lex.europa.eu/legal-content/FR/TXT/?uri=CELEX:52013DC0123" TargetMode="External"/><Relationship Id="rId10" Type="http://schemas.openxmlformats.org/officeDocument/2006/relationships/hyperlink" Target="http://ec.europa.eu/eurostat/documents/2995521/7214320/8-22032016-AP-EN.pdf" TargetMode="External"/><Relationship Id="rId4" Type="http://schemas.openxmlformats.org/officeDocument/2006/relationships/hyperlink" Target="http://publications.jrc.ec.europa.eu/repository/bitstream/JRC104013/wte%20report%20full%2020161212.pdf%20(en%20anglais%20uniquement)" TargetMode="External"/><Relationship Id="rId9" Type="http://schemas.openxmlformats.org/officeDocument/2006/relationships/hyperlink" Target="https://en.wikipedia.org/wiki/Solid_waste" TargetMode="External"/><Relationship Id="rId14" Type="http://schemas.openxmlformats.org/officeDocument/2006/relationships/hyperlink" Target="http://www.plasticseurope.org/Document/plastics---the-facts-2016-15787.aspx?FolID=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4C4B23-C1BD-49FE-848B-BFD3BD8A0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13</Pages>
  <Words>4870</Words>
  <Characters>27765</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KOUTZIAVASILI Dimitra (BUDG)</cp:lastModifiedBy>
  <cp:revision>27</cp:revision>
  <cp:lastPrinted>2017-01-26T09:19:00Z</cp:lastPrinted>
  <dcterms:created xsi:type="dcterms:W3CDTF">2017-01-20T15:18:00Z</dcterms:created>
  <dcterms:modified xsi:type="dcterms:W3CDTF">2017-01-26T09:19:00Z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