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09A01BF6977495CBCEB8FD8E7E4FE23" style="width:450.75pt;height:423.75pt">
            <v:imagedata r:id="rId12" o:title=""/>
          </v:shape>
        </w:pict>
      </w:r>
    </w:p>
    <w:p>
      <w:pPr>
        <w:rPr>
          <w:noProof/>
        </w:rPr>
        <w:sectPr>
          <w:footerReference w:type="default" r:id="rId13"/>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rPr>
        <w:t>•</w:t>
      </w:r>
      <w:r>
        <w:rPr>
          <w:noProof/>
        </w:rPr>
        <w:tab/>
        <w:t>Temeiurile și obiectivele propunerii</w:t>
      </w:r>
    </w:p>
    <w:p>
      <w:pPr>
        <w:pBdr>
          <w:top w:val="nil"/>
          <w:left w:val="nil"/>
          <w:bottom w:val="nil"/>
          <w:right w:val="nil"/>
          <w:between w:val="nil"/>
          <w:bar w:val="nil"/>
        </w:pBdr>
        <w:spacing w:before="0" w:after="240"/>
        <w:rPr>
          <w:noProof/>
        </w:rPr>
      </w:pPr>
      <w:r>
        <w:rPr>
          <w:noProof/>
        </w:rPr>
        <w:t>În urma crizei financiare</w:t>
      </w:r>
      <w:r>
        <w:rPr>
          <w:rStyle w:val="FootnoteReference"/>
          <w:noProof/>
        </w:rPr>
        <w:footnoteReference w:id="2"/>
      </w:r>
      <w:r>
        <w:rPr>
          <w:noProof/>
        </w:rPr>
        <w:t xml:space="preserve">, UE a creat Sistemul european de supraveghere financiară (SESF), care se bazează pe un sistem cu doi piloni de supraveghere - macroprudențială și microprudențială. </w:t>
      </w:r>
    </w:p>
    <w:p>
      <w:pPr>
        <w:rPr>
          <w:noProof/>
        </w:rPr>
      </w:pPr>
      <w:r>
        <w:rPr>
          <w:noProof/>
        </w:rPr>
        <w:t>Comitetul european pentru riscuri sistemice (CERS), instituit în decembrie 2010, este pilonul macroprudențial al SESF. CERS este responsabil cu supravegherea macroprudențială a sistemului financiar din UE,</w:t>
      </w:r>
      <w:r>
        <w:rPr>
          <w:b/>
          <w:noProof/>
        </w:rPr>
        <w:t xml:space="preserve"> </w:t>
      </w:r>
      <w:r>
        <w:rPr>
          <w:noProof/>
        </w:rPr>
        <w:t xml:space="preserve">printre atribuțiile sale numărându-se: (i) contribuirea la prevenirea sau reducerea riscurilor sistemice la adresa stabilității financiare din UE care se manifestă în sistemul financiar, ținând seama totodată de evoluțiile macroeconomice, astfel încât să se evite perioadele de dificultăți financiare la scară largă; (ii) contribuirea la buna funcționare a pieței interne, prin asigurarea unei contribuții durabile a sectorului financiar la creșterea economică. </w:t>
      </w:r>
    </w:p>
    <w:p>
      <w:pPr>
        <w:rPr>
          <w:noProof/>
        </w:rPr>
      </w:pPr>
      <w:r>
        <w:rPr>
          <w:noProof/>
        </w:rPr>
        <w:t>CERS are un spectru larg de membri, printre aceștia numărându-se băncile centrale naționale, autoritățile de supraveghere și instituțiile europene. CERS dispune de instrumente specifice, cum ar fi recomandările și avertismentele, cu ajutorul cărora poate modela politica macroprudențială a UE. Mandatul CERS, care privește sistemul financiar în ansamblul său, este deosebit de relevant din punctul de vedere al monitorizării și al evaluării riscurilor și efectelor de propagare transsectoriale și transfrontaliere, iar rolul său de coordonare limitează riscul de contagiune. De asemenea, prin faptul că facilitează recunoașterea măsurilor naționale de supraveghere macroprudențială, CERS asigură limitarea la minimum a contagiunilor transfrontaliere și a arbitrajului de reglementare. Prin urmare, CERS are un impact direct asupra eficacității măsurilor de supraveghere macroprudențială aplicate de statele membre și, așadar, asupra gradului de stabilitate financiară din UE. În acest context, îmbunătățirea funcționării CERS ar trebui să sporească eficacitatea politicii macroprudențiale.</w:t>
      </w:r>
    </w:p>
    <w:p>
      <w:pPr>
        <w:pBdr>
          <w:top w:val="nil"/>
          <w:left w:val="nil"/>
          <w:bottom w:val="nil"/>
          <w:right w:val="nil"/>
          <w:between w:val="nil"/>
          <w:bar w:val="nil"/>
        </w:pBdr>
        <w:spacing w:before="0" w:after="240"/>
        <w:rPr>
          <w:noProof/>
        </w:rPr>
      </w:pPr>
      <w:r>
        <w:rPr>
          <w:noProof/>
        </w:rPr>
        <w:t xml:space="preserve">De la crearea sa, CERS: </w:t>
      </w:r>
    </w:p>
    <w:p>
      <w:pPr>
        <w:pStyle w:val="Bullet1"/>
        <w:numPr>
          <w:ilvl w:val="0"/>
          <w:numId w:val="10"/>
        </w:numPr>
        <w:rPr>
          <w:noProof/>
        </w:rPr>
      </w:pPr>
      <w:r>
        <w:rPr>
          <w:noProof/>
        </w:rPr>
        <w:t xml:space="preserve">a emis recomandări și avertismente adresate unei game largi de destinatari; </w:t>
      </w:r>
    </w:p>
    <w:p>
      <w:pPr>
        <w:pStyle w:val="Bullet1"/>
        <w:rPr>
          <w:noProof/>
        </w:rPr>
      </w:pPr>
      <w:r>
        <w:rPr>
          <w:noProof/>
        </w:rPr>
        <w:t xml:space="preserve">a contribuit la dezvoltarea continuă a unui cadru macroprudențial în UE; </w:t>
      </w:r>
    </w:p>
    <w:p>
      <w:pPr>
        <w:pStyle w:val="Bullet1"/>
        <w:rPr>
          <w:noProof/>
        </w:rPr>
      </w:pPr>
      <w:r>
        <w:rPr>
          <w:noProof/>
        </w:rPr>
        <w:t xml:space="preserve">a utilizat cu succes resursele și expertiza furnizate de instituțiile care se numără printre membrii săi și contribuțiile academice independente primite din partea Comitetului consultativ științific; </w:t>
      </w:r>
    </w:p>
    <w:p>
      <w:pPr>
        <w:pStyle w:val="Bullet1"/>
        <w:rPr>
          <w:noProof/>
        </w:rPr>
      </w:pPr>
      <w:r>
        <w:rPr>
          <w:noProof/>
        </w:rPr>
        <w:t xml:space="preserve">a jucat un rol important în coordonarea și evaluarea notificărilor privind măsurile macroprudențiale aplicate în UE. </w:t>
      </w:r>
    </w:p>
    <w:p>
      <w:pPr>
        <w:pBdr>
          <w:top w:val="nil"/>
          <w:left w:val="nil"/>
          <w:bottom w:val="nil"/>
          <w:right w:val="nil"/>
          <w:between w:val="nil"/>
          <w:bar w:val="nil"/>
        </w:pBdr>
        <w:spacing w:before="0" w:after="240"/>
        <w:rPr>
          <w:noProof/>
        </w:rPr>
      </w:pPr>
      <w:r>
        <w:rPr>
          <w:noProof/>
        </w:rPr>
        <w:t xml:space="preserve">Importanța CERS este confirmată de activitatea sa ca platformă de coordonare și de informare în ceea ce privește monitorizarea riscurilor la nivelul UE în ansamblul său și stabilirea de orientări referitoare la utilizarea instrumentelor macroprudențiale. </w:t>
      </w:r>
    </w:p>
    <w:p>
      <w:pPr>
        <w:pBdr>
          <w:top w:val="nil"/>
          <w:left w:val="nil"/>
          <w:bottom w:val="nil"/>
          <w:right w:val="nil"/>
          <w:between w:val="nil"/>
          <w:bar w:val="nil"/>
        </w:pBdr>
        <w:spacing w:before="0" w:after="240"/>
        <w:rPr>
          <w:noProof/>
        </w:rPr>
      </w:pPr>
      <w:r>
        <w:rPr>
          <w:noProof/>
        </w:rPr>
        <w:t xml:space="preserve">Însă, având în vedere schimbările instituționale recente legate de uniunea bancară și eforturile de construire a unei uniuni a piețelor de capital, contextul în care își desfășoară activitatea CERS s-a modificat față de cel existent în momentul creării sale. Acest lucru are implicații în primul rând asupra componenței CERS și asupra modalității sale de organizare. Pentru a ține seama de modificările incrementale aduse cadrului de supraveghere macroprudențială și de modificările succesive ale cadrului de reglementare, este necesar să se aducă unele îmbunătățiri componenței CERS și modului de cooperare a acestuia cu instituțiile europene. </w:t>
      </w:r>
    </w:p>
    <w:p>
      <w:pPr>
        <w:pBdr>
          <w:top w:val="nil"/>
          <w:left w:val="nil"/>
          <w:bottom w:val="nil"/>
          <w:right w:val="nil"/>
          <w:between w:val="nil"/>
          <w:bar w:val="nil"/>
        </w:pBdr>
        <w:spacing w:before="0" w:after="240"/>
        <w:rPr>
          <w:noProof/>
        </w:rPr>
      </w:pPr>
      <w:r>
        <w:rPr>
          <w:noProof/>
        </w:rPr>
        <w:t xml:space="preserve">În plus, trebuie aduse o serie de modificări pentru a se garanta faptul că CERS este în măsură să asigure supravegherea macroprudențială a întregului sistem financiar în condițiile în care finanțarea bazată pe piață are un rol tot mai important, în special în contextul instituirii uniunii piețelor de capital. </w:t>
      </w:r>
    </w:p>
    <w:p>
      <w:pPr>
        <w:pBdr>
          <w:top w:val="nil"/>
          <w:left w:val="nil"/>
          <w:bottom w:val="nil"/>
          <w:right w:val="nil"/>
          <w:between w:val="nil"/>
          <w:bar w:val="nil"/>
        </w:pBdr>
        <w:spacing w:before="0" w:after="240"/>
        <w:rPr>
          <w:noProof/>
        </w:rPr>
      </w:pPr>
      <w:r>
        <w:rPr>
          <w:noProof/>
        </w:rPr>
        <w:t>Consolidarea eficienței și a eficacității CERS va îmbunătăți coordonarea politicilor macroprudențiale în cadrul UE și va permite CERS să își îndeplinească mai bine mandatul. Propunerea este explicată mai în detaliu în analiza efectelor.</w:t>
      </w:r>
    </w:p>
    <w:p>
      <w:pPr>
        <w:pStyle w:val="ManualHeading2"/>
        <w:rPr>
          <w:rFonts w:eastAsia="Arial Unicode MS"/>
          <w:noProof/>
          <w:u w:color="000000"/>
          <w:bdr w:val="nil"/>
        </w:rPr>
      </w:pPr>
      <w:r>
        <w:rPr>
          <w:noProof/>
        </w:rPr>
        <w:t>•</w:t>
      </w:r>
      <w:r>
        <w:rPr>
          <w:noProof/>
        </w:rPr>
        <w:tab/>
        <w:t>Coerența cu dispozițiile existente în domeniul de politică vizat</w:t>
      </w:r>
    </w:p>
    <w:p>
      <w:pPr>
        <w:pBdr>
          <w:top w:val="nil"/>
          <w:left w:val="nil"/>
          <w:bottom w:val="nil"/>
          <w:right w:val="nil"/>
          <w:between w:val="nil"/>
          <w:bar w:val="nil"/>
        </w:pBdr>
        <w:spacing w:before="0" w:after="240"/>
        <w:rPr>
          <w:noProof/>
        </w:rPr>
      </w:pPr>
      <w:r>
        <w:rPr>
          <w:noProof/>
        </w:rPr>
        <w:t xml:space="preserve">Prezenta propunere trebuie privită în contextul reexaminării în curs a agențiilor europene de supraveghere (AES). CERS și AES reprezintă pilonul macroprudențial și, respectiv, microprudențial al SESF. </w:t>
      </w:r>
    </w:p>
    <w:p>
      <w:pPr>
        <w:pStyle w:val="ManualHeading2"/>
        <w:rPr>
          <w:rFonts w:eastAsia="Arial Unicode MS"/>
          <w:noProof/>
        </w:rPr>
      </w:pPr>
      <w:r>
        <w:rPr>
          <w:noProof/>
        </w:rPr>
        <w:t>•</w:t>
      </w:r>
      <w:r>
        <w:rPr>
          <w:noProof/>
        </w:rPr>
        <w:tab/>
        <w:t>Coerența cu alte politici ale Uniunii</w:t>
      </w:r>
    </w:p>
    <w:p>
      <w:pPr>
        <w:pBdr>
          <w:top w:val="nil"/>
          <w:left w:val="nil"/>
          <w:bottom w:val="nil"/>
          <w:right w:val="nil"/>
          <w:between w:val="nil"/>
          <w:bar w:val="nil"/>
        </w:pBdr>
        <w:spacing w:before="0" w:after="240"/>
        <w:rPr>
          <w:rFonts w:eastAsia="Arial Unicode MS"/>
          <w:noProof/>
        </w:rPr>
      </w:pPr>
      <w:r>
        <w:rPr>
          <w:noProof/>
        </w:rPr>
        <w:t>Reexaminarea CERS se înscrie, de asemenea, în contextul construirii uniunii bancare și a uniunii piețelor de capital. Aprofundarea și integrarea sporită a piețelor de capital din UE pe care ar antrena-o construirea acestor uniuni necesită o ajustare corespunzătoare a cadrului de supraveghere a riscurilor sistemice.</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rPr>
        <w:t>•</w:t>
      </w:r>
      <w:r>
        <w:rPr>
          <w:noProof/>
        </w:rPr>
        <w:tab/>
        <w:t>Temei juridic</w:t>
      </w:r>
    </w:p>
    <w:p>
      <w:pPr>
        <w:pBdr>
          <w:top w:val="nil"/>
          <w:left w:val="nil"/>
          <w:bottom w:val="nil"/>
          <w:right w:val="nil"/>
          <w:between w:val="nil"/>
          <w:bar w:val="nil"/>
        </w:pBdr>
        <w:spacing w:before="0" w:after="240"/>
        <w:rPr>
          <w:noProof/>
        </w:rPr>
      </w:pPr>
      <w:r>
        <w:rPr>
          <w:noProof/>
        </w:rPr>
        <w:t xml:space="preserve">Temeiul juridic pentru modificările propuse este același ca și cel folosit pentru actul legislativ care se modifică, și anume articolul 114 din TFUE. Regulamentul de instituire a CERS este completat de un regulament al Consiliului care conferă Băncii Centrale Europene (BCE) sarcina gestionării secretariatului CERS. </w:t>
      </w:r>
    </w:p>
    <w:p>
      <w:pPr>
        <w:pStyle w:val="ManualHeading2"/>
        <w:rPr>
          <w:rFonts w:eastAsia="Arial Unicode MS"/>
          <w:noProof/>
          <w:u w:color="000000"/>
          <w:bdr w:val="nil"/>
        </w:rPr>
      </w:pPr>
      <w:r>
        <w:rPr>
          <w:noProof/>
        </w:rPr>
        <w:t>•</w:t>
      </w:r>
      <w:r>
        <w:rPr>
          <w:noProof/>
        </w:rPr>
        <w:tab/>
        <w:t xml:space="preserve">Subsidiaritate (pentru competență neexclusivă) </w:t>
      </w:r>
    </w:p>
    <w:p>
      <w:pPr>
        <w:spacing w:before="100" w:beforeAutospacing="1" w:after="100" w:afterAutospacing="1"/>
        <w:rPr>
          <w:noProof/>
        </w:rPr>
      </w:pPr>
      <w:r>
        <w:rPr>
          <w:noProof/>
        </w:rPr>
        <w:t xml:space="preserve">CERS este un organism fără personalitate juridică, responsabil cu supravegherea macroprudențială a sistemului financiar din UE. Obiectivele propunerii, respectiv eficientizarea CERS și consolidarea coordonării macroprudențiale în UE, pot fi îndeplinite prin completarea legislației UE deja existente, fiind vorba de obiective care pot fi cel mai bine realizate mai degrabă la nivelul UE, decât prin diverse inițiative naționale. În plus, prin contribuția sa substanțială la reciprocarea măsurilor macroprudențiale naționale, CERS ajută autoritățile naționale să abordeze riscurile sistemice care apar la nivel național. </w:t>
      </w:r>
    </w:p>
    <w:p>
      <w:pPr>
        <w:pStyle w:val="ManualHeading2"/>
        <w:rPr>
          <w:rFonts w:eastAsia="Arial Unicode MS"/>
          <w:noProof/>
          <w:u w:color="000000"/>
          <w:bdr w:val="nil"/>
        </w:rPr>
      </w:pPr>
      <w:r>
        <w:rPr>
          <w:noProof/>
        </w:rPr>
        <w:t>•</w:t>
      </w:r>
      <w:r>
        <w:rPr>
          <w:noProof/>
        </w:rPr>
        <w:tab/>
        <w:t>Proporționalitate</w:t>
      </w:r>
    </w:p>
    <w:p>
      <w:pPr>
        <w:pBdr>
          <w:top w:val="nil"/>
          <w:left w:val="nil"/>
          <w:bottom w:val="nil"/>
          <w:right w:val="nil"/>
          <w:between w:val="nil"/>
          <w:bar w:val="nil"/>
        </w:pBdr>
        <w:spacing w:before="0" w:after="240"/>
        <w:rPr>
          <w:rFonts w:eastAsia="Arial Unicode MS"/>
          <w:noProof/>
        </w:rPr>
      </w:pPr>
      <w:r>
        <w:rPr>
          <w:noProof/>
        </w:rPr>
        <w:t xml:space="preserve">Propunerea modifică un regulament existent. Modificările au un scop bine definit și vizează clarificarea sau consolidarea dispozițiilor existente, fiind, prin urmare, proporționale cu problemele identificate. Structura de bază a CERS va rămâne, în linii mari, neschimbată. </w:t>
      </w:r>
    </w:p>
    <w:p>
      <w:pPr>
        <w:pStyle w:val="ManualHeading2"/>
        <w:rPr>
          <w:rFonts w:eastAsia="Arial Unicode MS"/>
          <w:noProof/>
          <w:u w:color="000000"/>
          <w:bdr w:val="nil"/>
        </w:rPr>
      </w:pPr>
      <w:r>
        <w:rPr>
          <w:noProof/>
        </w:rPr>
        <w:t>•</w:t>
      </w:r>
      <w:r>
        <w:rPr>
          <w:noProof/>
        </w:rPr>
        <w:tab/>
        <w:t>Alegerea instrumentului</w:t>
      </w:r>
    </w:p>
    <w:p>
      <w:pPr>
        <w:pBdr>
          <w:top w:val="nil"/>
          <w:left w:val="nil"/>
          <w:bottom w:val="nil"/>
          <w:right w:val="nil"/>
          <w:between w:val="nil"/>
          <w:bar w:val="nil"/>
        </w:pBdr>
        <w:spacing w:before="0" w:after="240"/>
        <w:rPr>
          <w:rFonts w:eastAsia="Arial Unicode MS"/>
          <w:noProof/>
        </w:rPr>
      </w:pPr>
      <w:r>
        <w:rPr>
          <w:noProof/>
        </w:rPr>
        <w:t>Modificarea regulamentului existent</w:t>
      </w:r>
    </w:p>
    <w:p>
      <w:pPr>
        <w:pStyle w:val="ManualHeading1"/>
        <w:rPr>
          <w:noProof/>
        </w:rPr>
      </w:pPr>
      <w:r>
        <w:rPr>
          <w:noProof/>
        </w:rPr>
        <w:t>3.</w:t>
      </w:r>
      <w:r>
        <w:rPr>
          <w:noProof/>
        </w:rPr>
        <w:tab/>
        <w:t xml:space="preserve">REZULTATELE EVALUĂRILOR </w:t>
      </w:r>
      <w:r>
        <w:rPr>
          <w:i/>
          <w:noProof/>
        </w:rPr>
        <w:t>EX POST</w:t>
      </w:r>
      <w:r>
        <w:rPr>
          <w:noProof/>
        </w:rPr>
        <w:t>, ALE CONSULTĂRILOR CU PĂRȚILE INTERESATE ȘI ALE EVALUĂRILOR IMPACTULUI</w:t>
      </w:r>
    </w:p>
    <w:p>
      <w:pPr>
        <w:pStyle w:val="ManualHeading2"/>
        <w:rPr>
          <w:rFonts w:eastAsia="Arial Unicode MS"/>
          <w:noProof/>
          <w:u w:color="000000"/>
          <w:bdr w:val="nil"/>
        </w:rPr>
      </w:pPr>
      <w:r>
        <w:rPr>
          <w:noProof/>
        </w:rPr>
        <w:t>•</w:t>
      </w:r>
      <w:r>
        <w:rPr>
          <w:noProof/>
        </w:rPr>
        <w:tab/>
        <w:t xml:space="preserve">Evaluări </w:t>
      </w:r>
      <w:r>
        <w:rPr>
          <w:i/>
          <w:noProof/>
        </w:rPr>
        <w:t>ex post</w:t>
      </w:r>
      <w:r>
        <w:rPr>
          <w:noProof/>
        </w:rPr>
        <w:t>/verificări ale adecvării legislației existente</w:t>
      </w:r>
    </w:p>
    <w:p>
      <w:pPr>
        <w:pBdr>
          <w:top w:val="nil"/>
          <w:left w:val="nil"/>
          <w:bottom w:val="nil"/>
          <w:right w:val="nil"/>
          <w:between w:val="nil"/>
          <w:bar w:val="nil"/>
        </w:pBdr>
        <w:spacing w:before="0" w:after="240"/>
        <w:rPr>
          <w:noProof/>
        </w:rPr>
      </w:pPr>
      <w:r>
        <w:rPr>
          <w:noProof/>
        </w:rPr>
        <w:t>În conformitate cu cerința din Regulamentul CERS, Comisia a efectuat o reexaminare a regulamentului respectiv pentru a determina dacă se impune actualizarea misiunii și a organizării CERS. Prima reexaminare a Regulamentului privind CERS a fost efectuată în 2014.</w:t>
      </w:r>
    </w:p>
    <w:p>
      <w:pPr>
        <w:pStyle w:val="ManualHeading2"/>
        <w:rPr>
          <w:rFonts w:eastAsia="Arial Unicode MS"/>
          <w:noProof/>
          <w:u w:color="000000"/>
          <w:bdr w:val="nil"/>
        </w:rPr>
      </w:pPr>
      <w:r>
        <w:rPr>
          <w:noProof/>
        </w:rPr>
        <w:t>•</w:t>
      </w:r>
      <w:r>
        <w:rPr>
          <w:noProof/>
        </w:rPr>
        <w:tab/>
        <w:t>Consultările cu părțile interesate</w:t>
      </w:r>
    </w:p>
    <w:p>
      <w:pPr>
        <w:pBdr>
          <w:top w:val="nil"/>
          <w:left w:val="nil"/>
          <w:bottom w:val="nil"/>
          <w:right w:val="nil"/>
          <w:between w:val="nil"/>
          <w:bar w:val="nil"/>
        </w:pBdr>
        <w:spacing w:before="0" w:after="240"/>
        <w:rPr>
          <w:noProof/>
        </w:rPr>
      </w:pPr>
      <w:r>
        <w:rPr>
          <w:noProof/>
        </w:rPr>
        <w:t xml:space="preserve">În a doua jumătate a anului 2016 au avut loc o consultare publică privind cadrul de supraveghere macroprudențială și o audiere publică. În general, părțile interesate au considerat că mandatul și sarcinile CERS sunt adecvate pentru a asigura eficiența și eficacitatea politicilor macroprudențiale și și-au exprimat într-o anumită măsură sprijinul în favoarea adaptării practicilor de lucru ale CERS astfel încât să se sporească eficiența acestuia. Majoritatea respondenților au sprijinit menținerea președintelui BCE în calitate de președinte al CERS. Unii respondenți s-au exprimat în favoarea reprezentării mecanismului unic de supraveghere și a mecanismului unic de rezoluție în cadrul Consiliului general al CERS pentru a recunoaște instituirea uniunii bancare, dar majoritatea respondenților nu au considerat necesar să se aducă modificări substanțiale componenței Consiliului. Unii respondenți au pledat în favoarea consolidării secretariatului CERS și a sporirii rolului jucat de CERS în raționalizarea procedurilor de notificare la nivelul UE. </w:t>
      </w:r>
    </w:p>
    <w:p>
      <w:pPr>
        <w:pStyle w:val="ManualHeading2"/>
        <w:rPr>
          <w:rFonts w:eastAsia="Arial Unicode MS"/>
          <w:noProof/>
          <w:u w:color="000000"/>
          <w:bdr w:val="nil"/>
        </w:rPr>
      </w:pPr>
      <w:r>
        <w:rPr>
          <w:noProof/>
        </w:rPr>
        <w:t>•</w:t>
      </w:r>
      <w:r>
        <w:rPr>
          <w:noProof/>
        </w:rPr>
        <w:tab/>
        <w:t>Obținerea și utilizarea expertizei</w:t>
      </w:r>
    </w:p>
    <w:p>
      <w:pPr>
        <w:pBdr>
          <w:top w:val="nil"/>
          <w:left w:val="nil"/>
          <w:bottom w:val="nil"/>
          <w:right w:val="nil"/>
          <w:between w:val="nil"/>
          <w:bar w:val="nil"/>
        </w:pBdr>
        <w:spacing w:before="0" w:after="240"/>
        <w:rPr>
          <w:rFonts w:eastAsia="Arial Unicode MS"/>
          <w:noProof/>
        </w:rPr>
      </w:pPr>
      <w:r>
        <w:rPr>
          <w:noProof/>
        </w:rPr>
        <w:t>Nu se aplică – prin intermediul consultării părților interesate și al audierii publice, a se vedea mai sus.</w:t>
      </w:r>
    </w:p>
    <w:p>
      <w:pPr>
        <w:pStyle w:val="ManualHeading2"/>
        <w:rPr>
          <w:rFonts w:eastAsia="Arial Unicode MS"/>
          <w:noProof/>
          <w:u w:color="000000"/>
          <w:bdr w:val="nil"/>
        </w:rPr>
      </w:pPr>
      <w:r>
        <w:rPr>
          <w:noProof/>
        </w:rPr>
        <w:t>•</w:t>
      </w:r>
      <w:r>
        <w:rPr>
          <w:noProof/>
        </w:rPr>
        <w:tab/>
        <w:t>Evaluarea impactului</w:t>
      </w:r>
    </w:p>
    <w:p>
      <w:pPr>
        <w:pBdr>
          <w:top w:val="nil"/>
          <w:left w:val="nil"/>
          <w:bottom w:val="nil"/>
          <w:right w:val="nil"/>
          <w:between w:val="nil"/>
          <w:bar w:val="nil"/>
        </w:pBdr>
        <w:spacing w:before="0" w:after="240"/>
        <w:rPr>
          <w:rFonts w:eastAsia="Arial Unicode MS"/>
          <w:noProof/>
        </w:rPr>
      </w:pPr>
      <w:r>
        <w:rPr>
          <w:noProof/>
        </w:rPr>
        <w:t>Comisia a efectuat o analiză a efectelor modificărilor propuse a fi aduse Regulamentului privind CERS. Nu s-a efectuat o evaluare formală a impactului, având în vedere caracterul punctual al modificărilor introduse de propunerea legislativă.</w:t>
      </w:r>
    </w:p>
    <w:p>
      <w:pPr>
        <w:pBdr>
          <w:top w:val="nil"/>
          <w:left w:val="nil"/>
          <w:bottom w:val="nil"/>
          <w:right w:val="nil"/>
          <w:between w:val="nil"/>
          <w:bar w:val="nil"/>
        </w:pBdr>
        <w:spacing w:before="0" w:after="240"/>
        <w:rPr>
          <w:rFonts w:eastAsia="Arial Unicode MS"/>
          <w:noProof/>
        </w:rPr>
      </w:pPr>
    </w:p>
    <w:p>
      <w:pPr>
        <w:pStyle w:val="ManualHeading2"/>
        <w:rPr>
          <w:rFonts w:eastAsia="Arial Unicode MS"/>
          <w:noProof/>
          <w:u w:color="000000"/>
          <w:bdr w:val="nil"/>
        </w:rPr>
      </w:pPr>
      <w:r>
        <w:rPr>
          <w:noProof/>
        </w:rPr>
        <w:t>•</w:t>
      </w:r>
      <w:r>
        <w:rPr>
          <w:noProof/>
        </w:rPr>
        <w:tab/>
        <w:t>Adecvarea reglementărilor și simplificarea</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rPr>
        <w:t>•</w:t>
      </w:r>
      <w:r>
        <w:rPr>
          <w:noProof/>
        </w:rPr>
        <w:tab/>
        <w:t>Drepturile fundamentale</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1"/>
        <w:rPr>
          <w:noProof/>
        </w:rPr>
      </w:pPr>
      <w:r>
        <w:rPr>
          <w:noProof/>
        </w:rPr>
        <w:t>4.</w:t>
      </w:r>
      <w:r>
        <w:rPr>
          <w:noProof/>
        </w:rPr>
        <w:tab/>
        <w:t>IMPLICAȚIILE BUGETARE</w:t>
      </w:r>
    </w:p>
    <w:p>
      <w:pPr>
        <w:pBdr>
          <w:top w:val="nil"/>
          <w:left w:val="nil"/>
          <w:bottom w:val="nil"/>
          <w:right w:val="nil"/>
          <w:between w:val="nil"/>
          <w:bar w:val="nil"/>
        </w:pBdr>
        <w:spacing w:before="0" w:after="240"/>
        <w:rPr>
          <w:rFonts w:eastAsia="Arial Unicode MS"/>
          <w:noProof/>
        </w:rPr>
      </w:pPr>
      <w:r>
        <w:rPr>
          <w:noProof/>
        </w:rPr>
        <w:t>Costurile bugetare pentru secretariatul CERS sunt suportate de BCE și nu au nicio implicație directă pentru bugetul UE.</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rPr>
        <w:t>•</w:t>
      </w:r>
      <w:r>
        <w:rPr>
          <w:noProof/>
        </w:rPr>
        <w:tab/>
        <w:t>Planuri de punere în aplicare și modalități de monitorizare, evaluare și raportare</w:t>
      </w:r>
    </w:p>
    <w:p>
      <w:pPr>
        <w:pBdr>
          <w:top w:val="nil"/>
          <w:left w:val="nil"/>
          <w:bottom w:val="nil"/>
          <w:right w:val="nil"/>
          <w:between w:val="nil"/>
          <w:bar w:val="nil"/>
        </w:pBdr>
        <w:spacing w:before="0" w:after="240"/>
        <w:rPr>
          <w:rFonts w:eastAsia="Arial Unicode MS"/>
          <w:noProof/>
        </w:rPr>
      </w:pPr>
      <w:r>
        <w:rPr>
          <w:noProof/>
        </w:rPr>
        <w:t>Regulamentul va fi revizuit după 5 ani.</w:t>
      </w:r>
    </w:p>
    <w:p>
      <w:pPr>
        <w:pStyle w:val="ManualHeading2"/>
        <w:rPr>
          <w:rFonts w:eastAsia="Arial Unicode MS"/>
          <w:noProof/>
          <w:u w:color="000000"/>
          <w:bdr w:val="nil"/>
        </w:rPr>
      </w:pPr>
      <w:r>
        <w:rPr>
          <w:noProof/>
        </w:rPr>
        <w:t>•</w:t>
      </w:r>
      <w:r>
        <w:rPr>
          <w:noProof/>
        </w:rPr>
        <w:tab/>
        <w:t>Documentele explicative (în cazul directivelor)</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rPr>
        <w:t>•</w:t>
      </w:r>
      <w:r>
        <w:rPr>
          <w:noProof/>
        </w:rPr>
        <w:tab/>
        <w:t>Explicații detaliate referitoare la prevederile specifice ale propunerii</w:t>
      </w:r>
    </w:p>
    <w:p>
      <w:pPr>
        <w:pBdr>
          <w:top w:val="nil"/>
          <w:left w:val="nil"/>
          <w:bottom w:val="nil"/>
          <w:right w:val="nil"/>
          <w:between w:val="nil"/>
          <w:bar w:val="nil"/>
        </w:pBdr>
        <w:spacing w:before="0" w:after="240"/>
        <w:rPr>
          <w:noProof/>
        </w:rPr>
      </w:pPr>
      <w:r>
        <w:rPr>
          <w:noProof/>
        </w:rPr>
        <w:t>Președintele</w:t>
      </w:r>
    </w:p>
    <w:p>
      <w:pPr>
        <w:pBdr>
          <w:top w:val="nil"/>
          <w:left w:val="nil"/>
          <w:bottom w:val="nil"/>
          <w:right w:val="nil"/>
          <w:between w:val="nil"/>
          <w:bar w:val="nil"/>
        </w:pBdr>
        <w:spacing w:before="0" w:after="240"/>
        <w:rPr>
          <w:noProof/>
        </w:rPr>
      </w:pPr>
      <w:r>
        <w:rPr>
          <w:noProof/>
        </w:rPr>
        <w:t>În prezent, președinția CERS este asigurată de președintele BCE. În calitate de președinte, președintele BCE conferă autoritate și credibilitate CERS și garantează faptul că acesta se poate baza și poate valorifica în mod eficace expertiza BCE în domeniul stabilității financiare. Se propune, prin urmare, ca președintele BCE să îndeplinească permanent funcția de președinte al CERS.</w:t>
      </w:r>
    </w:p>
    <w:p>
      <w:pPr>
        <w:pBdr>
          <w:top w:val="nil"/>
          <w:left w:val="nil"/>
          <w:bottom w:val="nil"/>
          <w:right w:val="nil"/>
          <w:between w:val="nil"/>
          <w:bar w:val="nil"/>
        </w:pBdr>
        <w:spacing w:before="0" w:after="240"/>
        <w:rPr>
          <w:noProof/>
        </w:rPr>
      </w:pPr>
      <w:r>
        <w:rPr>
          <w:noProof/>
        </w:rPr>
        <w:t>Secretariatul CERS</w:t>
      </w:r>
    </w:p>
    <w:p>
      <w:pPr>
        <w:pBdr>
          <w:top w:val="nil"/>
          <w:left w:val="nil"/>
          <w:bottom w:val="nil"/>
          <w:right w:val="nil"/>
          <w:between w:val="nil"/>
          <w:bar w:val="nil"/>
        </w:pBdr>
        <w:spacing w:before="0" w:after="240"/>
        <w:rPr>
          <w:noProof/>
        </w:rPr>
      </w:pPr>
      <w:r>
        <w:rPr>
          <w:noProof/>
        </w:rPr>
        <w:t xml:space="preserve">Întrucât în Consiliul general al CERS nu există membri permanenți și niciun președinte sau vicepreședinte cu normă întreagă, nu există niciun membru care să își poată consacra tot timpul chestiunilor și sarcinilor legate de activitatea CERS. În plus, sarcinile oficiale ale șefului secretariatului CERS sunt limitate. Acest lucru poate limita vizibilitatea activității CERS, în ciuda participării periodice a președintelui CERS la audierile din Parlament. Atribuirea unui rol mai important șefului secretariatului CERS ar spori impactul și eficacitatea avertismentelor și recomandărilor. </w:t>
      </w:r>
    </w:p>
    <w:p>
      <w:pPr>
        <w:pBdr>
          <w:top w:val="nil"/>
          <w:left w:val="nil"/>
          <w:bottom w:val="nil"/>
          <w:right w:val="nil"/>
          <w:between w:val="nil"/>
          <w:bar w:val="nil"/>
        </w:pBdr>
        <w:spacing w:before="0" w:after="240"/>
        <w:rPr>
          <w:noProof/>
        </w:rPr>
      </w:pPr>
      <w:r>
        <w:rPr>
          <w:noProof/>
        </w:rPr>
        <w:t>Propunerea de față vizează introducerea unei proceduri de consultare în cadrul căreia Consiliul general ar evalua candidații propuși de BCE pentru postul de șef al secretariatului CERS, în special calitățile și experiența necesare pentru conducerea secretariatului. Parlamentul și Consiliul ar urma să fi informate în legătură cu procedura. În acest fel se va menține legătura cu BCE și se va asigura și răspunderea șefului secretariatului în fața Consiliului general. De asemenea, acest lucru va asigura o mai mare transparență a procesului, sporind totodată vizibilitatea șefului secretariatului. Se propune să se clarifice mai în detaliu sarcinile conferite șefului secretariatului, inclusiv posibilitatea ca președintele să îi delege acestuia sarcina de a-l reprezenta pe plan extern.</w:t>
      </w:r>
    </w:p>
    <w:p>
      <w:pPr>
        <w:pBdr>
          <w:top w:val="nil"/>
          <w:left w:val="nil"/>
          <w:bottom w:val="nil"/>
          <w:right w:val="nil"/>
          <w:between w:val="nil"/>
          <w:bar w:val="nil"/>
        </w:pBdr>
        <w:spacing w:before="0" w:after="240"/>
        <w:rPr>
          <w:noProof/>
        </w:rPr>
      </w:pPr>
      <w:r>
        <w:rPr>
          <w:noProof/>
        </w:rPr>
        <w:t xml:space="preserve">Componența CERS </w:t>
      </w:r>
    </w:p>
    <w:p>
      <w:pPr>
        <w:pBdr>
          <w:top w:val="nil"/>
          <w:left w:val="nil"/>
          <w:bottom w:val="nil"/>
          <w:right w:val="nil"/>
          <w:between w:val="nil"/>
          <w:bar w:val="nil"/>
        </w:pBdr>
        <w:spacing w:before="0" w:after="240"/>
        <w:rPr>
          <w:noProof/>
        </w:rPr>
      </w:pPr>
      <w:r>
        <w:rPr>
          <w:noProof/>
        </w:rPr>
        <w:t xml:space="preserve">Propunerea actualizează Regulamentul privind CERS pentru a ține seama de crearea uniunii bancare și pentru a adăuga mecanismul unic de supraveghere și mecanismul unic de rezoluție ca membri cu drept de vot în cadrul Consiliului general al CERS. Ar trebui să se aducă, de asemenea, adaptări în acest sens componenței Comitetului consultativ tehnic și Comitetului director. </w:t>
      </w:r>
    </w:p>
    <w:p>
      <w:pPr>
        <w:pBdr>
          <w:top w:val="nil"/>
          <w:left w:val="nil"/>
          <w:bottom w:val="nil"/>
          <w:right w:val="nil"/>
          <w:between w:val="nil"/>
          <w:bar w:val="nil"/>
        </w:pBdr>
        <w:spacing w:before="0" w:after="240"/>
        <w:rPr>
          <w:noProof/>
        </w:rPr>
      </w:pPr>
      <w:r>
        <w:rPr>
          <w:noProof/>
        </w:rPr>
        <w:t>Destinatarii avertismentelor și recomandărilor CERS</w:t>
      </w:r>
    </w:p>
    <w:p>
      <w:pPr>
        <w:pBdr>
          <w:top w:val="nil"/>
          <w:left w:val="nil"/>
          <w:bottom w:val="nil"/>
          <w:right w:val="nil"/>
          <w:between w:val="nil"/>
          <w:bar w:val="nil"/>
        </w:pBdr>
        <w:spacing w:before="0" w:after="240"/>
        <w:rPr>
          <w:noProof/>
        </w:rPr>
      </w:pPr>
      <w:r>
        <w:rPr>
          <w:noProof/>
        </w:rPr>
        <w:t xml:space="preserve">Se propune, de asemenea, includerea BCE ca destinatar posibil al avertismentelor și recomandărilor CERS în ceea ce privește sarcinile încredințate BCE prin Regulamentul privind mecanismul unic de supraveghere [Regulamentul (CE) nr. 1024/2013], și anume în ceea ce privește sarcinile de supraveghere care nu țin de conduita politicii monetare. În acest fel s-ar remedia situația de asimetrie din prezent, în care autoritățile naționale pot să primească aceste avertismente și recomandări în calitate de membri ai Consiliului general, însă acestea nu sunt transmise BCE în calitate de autoritate competentă sau desemnată la nivelul uniunii bancare. </w:t>
      </w:r>
    </w:p>
    <w:p>
      <w:pPr>
        <w:pBdr>
          <w:top w:val="nil"/>
          <w:left w:val="nil"/>
          <w:bottom w:val="nil"/>
          <w:right w:val="nil"/>
          <w:between w:val="nil"/>
          <w:bar w:val="nil"/>
        </w:pBdr>
        <w:spacing w:before="0" w:after="240"/>
        <w:rPr>
          <w:noProof/>
        </w:rPr>
      </w:pPr>
      <w:r>
        <w:rPr>
          <w:noProof/>
        </w:rPr>
        <w:t>O mai bună reglementare</w:t>
      </w:r>
    </w:p>
    <w:p>
      <w:pPr>
        <w:rPr>
          <w:noProof/>
        </w:rPr>
      </w:pPr>
      <w:r>
        <w:rPr>
          <w:noProof/>
        </w:rPr>
        <w:t>În conformitate cu principiile unei mai bune reglementări și atunci când este cazul, comitetele consultative ale CERS ar trebui să se consulte cu părțile interesate, precum participanții la piață, organismele de reprezentare a consumatorilor și experții, cu privire la opiniile, recomandările și deciziile pe care le formulează.</w:t>
      </w:r>
    </w:p>
    <w:p>
      <w:pPr>
        <w:rPr>
          <w:noProof/>
        </w:rPr>
      </w:pPr>
    </w:p>
    <w:p>
      <w:pPr>
        <w:rPr>
          <w:noProof/>
        </w:rPr>
        <w:sectPr>
          <w:footerReference w:type="defaul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t>2017/0232 (COD)</w:t>
      </w:r>
    </w:p>
    <w:p>
      <w:pPr>
        <w:pStyle w:val="Statut"/>
        <w:rPr>
          <w:noProof/>
        </w:rPr>
      </w:pPr>
      <w:r>
        <w:rPr>
          <w:noProof/>
        </w:rPr>
        <w:t>Propunere de</w:t>
      </w:r>
    </w:p>
    <w:p>
      <w:pPr>
        <w:pStyle w:val="Typedudocument"/>
        <w:rPr>
          <w:noProof/>
        </w:rPr>
      </w:pPr>
      <w:r>
        <w:rPr>
          <w:noProof/>
        </w:rPr>
        <w:t>REGULAMENT AL PARLAMENTULUI EUROPEAN ŞI AL CONSILIULUI</w:t>
      </w:r>
    </w:p>
    <w:p>
      <w:pPr>
        <w:pStyle w:val="Titreobjet"/>
        <w:rPr>
          <w:noProof/>
        </w:rPr>
      </w:pPr>
      <w:r>
        <w:rPr>
          <w:noProof/>
        </w:rPr>
        <w:t>de modificare a Regulamentului (UE) nr. 1092/2010 privind supravegherea macroprudențială la nivelul Uniunii Europene a sistemului financiar și de înființare a unui Comitet european pentru risc sistemic</w:t>
      </w:r>
    </w:p>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114,</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id="3"/>
      </w:r>
      <w:r>
        <w:rPr>
          <w:noProof/>
        </w:rPr>
        <w:t>,</w:t>
      </w:r>
    </w:p>
    <w:p>
      <w:pPr>
        <w:rPr>
          <w:noProof/>
        </w:rPr>
      </w:pPr>
      <w:r>
        <w:rPr>
          <w:noProof/>
        </w:rPr>
        <w:t>hotărând în conformitate cu procedura legislativă ordinară,</w:t>
      </w:r>
    </w:p>
    <w:p>
      <w:pPr>
        <w:rPr>
          <w:noProof/>
        </w:rPr>
      </w:pPr>
    </w:p>
    <w:p>
      <w:pPr>
        <w:rPr>
          <w:noProof/>
        </w:rPr>
      </w:pPr>
      <w:r>
        <w:rPr>
          <w:noProof/>
        </w:rPr>
        <w:t>întrucât:</w:t>
      </w:r>
    </w:p>
    <w:p>
      <w:pPr>
        <w:pStyle w:val="ManualConsidrant"/>
        <w:rPr>
          <w:noProof/>
        </w:rPr>
      </w:pPr>
      <w:r>
        <w:rPr>
          <w:noProof/>
        </w:rPr>
        <w:t>(1)</w:t>
      </w:r>
      <w:r>
        <w:rPr>
          <w:noProof/>
        </w:rPr>
        <w:tab/>
        <w:t>În conformitate cu articolul 20 din Regulamentul (UE) nr. 1092/2010</w:t>
      </w:r>
      <w:r>
        <w:rPr>
          <w:rStyle w:val="FootnoteReference"/>
          <w:noProof/>
        </w:rPr>
        <w:footnoteReference w:id="4"/>
      </w:r>
      <w:r>
        <w:rPr>
          <w:noProof/>
        </w:rPr>
        <w:t xml:space="preserve"> (Regulamentul CERS), Parlamentul European și Consiliul, pe baza unui raport</w:t>
      </w:r>
      <w:r>
        <w:rPr>
          <w:rStyle w:val="FootnoteReference"/>
          <w:noProof/>
        </w:rPr>
        <w:footnoteReference w:id="5"/>
      </w:r>
      <w:r>
        <w:rPr>
          <w:noProof/>
        </w:rPr>
        <w:t xml:space="preserve"> din partea Comisiei, au examinat Regulamentul privind CERS cu scopul de a determina dacă este necesar să se reexamineze misiunea și organizarea CERS. Modalitățile de desemnare a președintelui CERS au fost, de asemenea, reexaminate.</w:t>
      </w:r>
    </w:p>
    <w:p>
      <w:pPr>
        <w:pStyle w:val="ManualConsidrant"/>
        <w:rPr>
          <w:noProof/>
        </w:rPr>
      </w:pPr>
      <w:r>
        <w:rPr>
          <w:noProof/>
        </w:rPr>
        <w:t>(2)</w:t>
      </w:r>
      <w:r>
        <w:rPr>
          <w:noProof/>
        </w:rPr>
        <w:tab/>
        <w:t>Raportul din 2017 al Comisiei privind misiunea și organizarea CERS</w:t>
      </w:r>
      <w:r>
        <w:rPr>
          <w:rStyle w:val="FootnoteReference"/>
          <w:noProof/>
        </w:rPr>
        <w:footnoteReference w:id="6"/>
      </w:r>
      <w:r>
        <w:rPr>
          <w:noProof/>
        </w:rPr>
        <w:t xml:space="preserve"> concluzionează că, deși CERS funcționează, în general, bine, este necesar totuși să se aducă unele îmbunătățiri cu privire la anumite aspecte specifice.</w:t>
      </w:r>
    </w:p>
    <w:p>
      <w:pPr>
        <w:pStyle w:val="ManualConsidrant"/>
        <w:rPr>
          <w:noProof/>
        </w:rPr>
      </w:pPr>
      <w:r>
        <w:rPr>
          <w:noProof/>
        </w:rPr>
        <w:t>(3)</w:t>
      </w:r>
      <w:r>
        <w:rPr>
          <w:noProof/>
        </w:rPr>
        <w:tab/>
        <w:t>Numărul mare de membri ai Consiliului general al CERS este un atu major. Evoluțiile recente în ceea ce privește arhitectura supravegherii financiare a Uniunii, în special crearea unei uniuni bancare, nu se reflectă însă în componența Consiliului general. Din acest motiv, președintele Consiliului de supraveghere al BCE și președintele Comitetului unic de rezoluție ar trebui să devină membri cu drept de vot în cadrul Consiliului general al CERS. Ar trebui să se aducă, de asemenea, adaptări în acest sens componenței Comitetului director și, respectiv, a Comitetului consultativ tehnic.</w:t>
      </w:r>
    </w:p>
    <w:p>
      <w:pPr>
        <w:pStyle w:val="ManualConsidrant"/>
        <w:rPr>
          <w:noProof/>
        </w:rPr>
      </w:pPr>
      <w:r>
        <w:rPr>
          <w:noProof/>
        </w:rPr>
        <w:t>(4)</w:t>
      </w:r>
      <w:r>
        <w:rPr>
          <w:noProof/>
        </w:rPr>
        <w:tab/>
        <w:t>Președintele BCE a îndeplinit funcția de președinte al CERS în primii 5 ani de existență a acestuia, după care președintele BCE a continuat să prezideze CERS în calitate de președinte interimar. În această perioadă, președintele BCE a conferit autoritate și credibilitate CERS și a vegheat ca acesta să se poate baza și să poată valorifica în mod eficace expertiza BCE în domeniul stabilității financiare. Este oportun, prin urmare, ca președintele BCE să îndeplinească permanent funcția de președinte al CERS.</w:t>
      </w:r>
    </w:p>
    <w:p>
      <w:pPr>
        <w:pStyle w:val="ManualConsidrant"/>
        <w:rPr>
          <w:noProof/>
        </w:rPr>
      </w:pPr>
      <w:r>
        <w:rPr>
          <w:noProof/>
        </w:rPr>
        <w:t>(5)</w:t>
      </w:r>
      <w:r>
        <w:rPr>
          <w:noProof/>
        </w:rPr>
        <w:tab/>
        <w:t xml:space="preserve">În vederea asigurării unei mai mari vizibilități a CERS ca organism separat de membrii săi, președintele CERS ar trebui să fie în măsură să delege sarcini legate de reprezentarea externă a CERS șefului secretariatului CERS. </w:t>
      </w:r>
    </w:p>
    <w:p>
      <w:pPr>
        <w:pStyle w:val="ManualConsidrant"/>
        <w:rPr>
          <w:noProof/>
        </w:rPr>
      </w:pPr>
      <w:r>
        <w:rPr>
          <w:noProof/>
        </w:rPr>
        <w:t>(6)</w:t>
      </w:r>
      <w:r>
        <w:rPr>
          <w:noProof/>
        </w:rPr>
        <w:tab/>
        <w:t>La articolul 3 alineatul (2) din Regulamentul (UE) nr. 1096/2010 al Consiliului</w:t>
      </w:r>
      <w:r>
        <w:rPr>
          <w:rStyle w:val="FootnoteReference"/>
          <w:noProof/>
        </w:rPr>
        <w:footnoteReference w:id="7"/>
      </w:r>
      <w:r>
        <w:rPr>
          <w:noProof/>
        </w:rPr>
        <w:t xml:space="preserve"> se prevede că șeful secretariatului CERS este numit de către BCE, după consultarea Consiliului general al CERS. Pentru a consolida rolul șefului secretariatului CERS, Consiliul general al CERS ar trebui să analizeze, în cadrul unei proceduri deschise și transparente, dacă acei candidați care au fost preselectați pentru funcția de șef al secretariatului CERS au calitățile și experiența necesare pentru a gestiona secretariatul CERS. Consiliul general ar trebui să informeze Parlamentul European și Consiliul cu privire la procedura de evaluare. În plus, ar trebui clarificate atribuțiile șefului secretariatului CERS.</w:t>
      </w:r>
    </w:p>
    <w:p>
      <w:pPr>
        <w:pStyle w:val="ManualConsidrant"/>
        <w:rPr>
          <w:noProof/>
        </w:rPr>
      </w:pPr>
      <w:r>
        <w:rPr>
          <w:noProof/>
        </w:rPr>
        <w:t>(7)</w:t>
      </w:r>
      <w:r>
        <w:rPr>
          <w:noProof/>
        </w:rPr>
        <w:tab/>
        <w:t>În conformitate cu articolul 5 alineatul (2) din Regulamentul (UE) nr. 1092/2010, prim-vicepreședintele CERS a fost ales până acum de către membrii Consiliului general al BCE și din rândul acestora, ținându-se seama de necesitatea unei reprezentări echilibrate a statelor membre în ansamblu și a existenței unui raport echitabil între cele a căror monedă este euro și cele a căror monedă nu este euro. Ca urmare a creării uniunii bancare, este adecvat să se înlocuiască trimiterea la statele membre a căror monedă este euro și la cele a căror monedă nu este euro cu o trimitere la statele membre care participă la uniunea bancară și cele care nu participă.</w:t>
      </w:r>
    </w:p>
    <w:p>
      <w:pPr>
        <w:pStyle w:val="ManualConsidrant"/>
        <w:rPr>
          <w:noProof/>
        </w:rPr>
      </w:pPr>
      <w:r>
        <w:rPr>
          <w:noProof/>
        </w:rPr>
        <w:t>(8)</w:t>
      </w:r>
      <w:r>
        <w:rPr>
          <w:noProof/>
        </w:rPr>
        <w:tab/>
        <w:t>Având în vedere modificările la Acordul privind Spațiul Economic European (SEE)</w:t>
      </w:r>
      <w:r>
        <w:rPr>
          <w:rStyle w:val="FootnoteReference"/>
          <w:noProof/>
        </w:rPr>
        <w:footnoteReference w:id="8"/>
      </w:r>
      <w:r>
        <w:rPr>
          <w:noProof/>
        </w:rPr>
        <w:t xml:space="preserve">, în special adoptarea Regulamentului (UE) nr. 1092/2010 de către statele membre ale SEE, articolul 9 alineatul (5) din regulamentul respectiv nu mai este relevant și, prin urmare, ar trebui eliminat. </w:t>
      </w:r>
    </w:p>
    <w:p>
      <w:pPr>
        <w:pStyle w:val="ManualConsidrant"/>
        <w:rPr>
          <w:noProof/>
        </w:rPr>
      </w:pPr>
      <w:r>
        <w:rPr>
          <w:noProof/>
        </w:rPr>
        <w:t>(9)</w:t>
      </w:r>
      <w:r>
        <w:rPr>
          <w:noProof/>
        </w:rPr>
        <w:tab/>
        <w:t>Pentru a reduce costurile și a spori eficiența procedurilor, numărul reprezentanților Comisiei în cadrul Comitetului consultativ tehnic al CERS ar trebui redus de la cei doi reprezentanți câți sunt în prezent la un singur reprezentant.</w:t>
      </w:r>
    </w:p>
    <w:p>
      <w:pPr>
        <w:pStyle w:val="ManualConsidrant"/>
        <w:rPr>
          <w:noProof/>
        </w:rPr>
      </w:pPr>
      <w:r>
        <w:rPr>
          <w:noProof/>
        </w:rPr>
        <w:t>(10)</w:t>
      </w:r>
      <w:r>
        <w:rPr>
          <w:noProof/>
        </w:rPr>
        <w:tab/>
        <w:t>Articolul 16 alineatul (3) din Regulamentul (UE) nr. 1092/2010 prevede ca avertismentele și recomandările CERS să fie transmise Consiliului și Comisiei și, în cazul în care se adresează uneia sau mai multor autorități naționale de supraveghere, să fie, de asemenea, transmise AES. În vederea consolidării controlului democratic și a transparenței, aceste avertismente și recomandări ar trebui transmise, de asemenea, Parlamentului European și AES.</w:t>
      </w:r>
    </w:p>
    <w:p>
      <w:pPr>
        <w:pStyle w:val="ManualConsidrant"/>
        <w:rPr>
          <w:noProof/>
        </w:rPr>
      </w:pPr>
      <w:r>
        <w:rPr>
          <w:noProof/>
        </w:rPr>
        <w:t>(11)</w:t>
      </w:r>
      <w:r>
        <w:rPr>
          <w:noProof/>
        </w:rPr>
        <w:tab/>
        <w:t>Pentru a asigura calitatea și relevanța avizelor, recomandărilor și deciziilor CERS, Comitetul consultativ tehnic și Comitetul consultativ științific ar trebui să se consulte cu părțile interesate, după caz, într-un stadiu timpuriu și într-un mod deschis și transparent.</w:t>
      </w:r>
    </w:p>
    <w:p>
      <w:pPr>
        <w:pStyle w:val="ManualConsidrant"/>
        <w:rPr>
          <w:noProof/>
        </w:rPr>
      </w:pPr>
      <w:r>
        <w:rPr>
          <w:noProof/>
        </w:rPr>
        <w:t>(12)</w:t>
      </w:r>
      <w:r>
        <w:rPr>
          <w:noProof/>
        </w:rPr>
        <w:tab/>
        <w:t>Prin urmare, Regulamentul (CE) nr. 1092/2010 ar trebui modificat în consecință,</w:t>
      </w:r>
    </w:p>
    <w:p>
      <w:pPr>
        <w:rPr>
          <w:noProof/>
        </w:rPr>
      </w:pPr>
    </w:p>
    <w:p>
      <w:pPr>
        <w:pStyle w:val="Formuledadoption"/>
        <w:rPr>
          <w:noProof/>
        </w:rPr>
      </w:pPr>
      <w:r>
        <w:rPr>
          <w:noProof/>
        </w:rPr>
        <w:t>ADOPTĂ PREZENTUL REGULAMENT:</w:t>
      </w:r>
    </w:p>
    <w:p>
      <w:pPr>
        <w:pStyle w:val="Titrearticle"/>
        <w:rPr>
          <w:noProof/>
        </w:rPr>
      </w:pPr>
      <w:r>
        <w:rPr>
          <w:noProof/>
        </w:rPr>
        <w:t>Articolul 1</w:t>
      </w:r>
    </w:p>
    <w:p>
      <w:pPr>
        <w:rPr>
          <w:noProof/>
        </w:rPr>
      </w:pPr>
      <w:r>
        <w:rPr>
          <w:noProof/>
        </w:rPr>
        <w:t>Regulamentul (UE) nr. 1092/2010 se modifică după cum urmează:</w:t>
      </w:r>
    </w:p>
    <w:p>
      <w:pPr>
        <w:tabs>
          <w:tab w:val="left" w:pos="567"/>
        </w:tabs>
        <w:rPr>
          <w:noProof/>
        </w:rPr>
      </w:pPr>
      <w:r>
        <w:rPr>
          <w:noProof/>
        </w:rPr>
        <w:t>(1)</w:t>
      </w:r>
      <w:r>
        <w:rPr>
          <w:noProof/>
        </w:rPr>
        <w:tab/>
        <w:t>Articolul 4 se modifică după cum urmează:</w:t>
      </w:r>
    </w:p>
    <w:p>
      <w:pPr>
        <w:ind w:left="1134" w:hanging="567"/>
        <w:rPr>
          <w:noProof/>
        </w:rPr>
      </w:pPr>
      <w:r>
        <w:rPr>
          <w:noProof/>
        </w:rPr>
        <w:t>(a)</w:t>
      </w:r>
      <w:r>
        <w:rPr>
          <w:noProof/>
        </w:rPr>
        <w:tab/>
        <w:t>se introduce următorul alineat (2a):</w:t>
      </w:r>
    </w:p>
    <w:p>
      <w:pPr>
        <w:tabs>
          <w:tab w:val="left" w:pos="1701"/>
        </w:tabs>
        <w:ind w:left="1134"/>
        <w:rPr>
          <w:noProof/>
        </w:rPr>
      </w:pPr>
      <w:r>
        <w:rPr>
          <w:noProof/>
        </w:rPr>
        <w:t>„(2a)</w:t>
      </w:r>
      <w:r>
        <w:rPr>
          <w:noProof/>
        </w:rPr>
        <w:tab/>
        <w:t>Atunci când este consultat cu privire la numirea șefului secretariatului CERS, în conformitate cu articolul 3 alineatul (2) din Regulamentul (UE) nr. 1096/2010 al Consiliului*, Consiliul general analizează, în cadrul unei proceduri deschise și transparente, dacă acei candidați care au fost preselectați pentru funcția de șef al secretariatului CERS au calitățile și experiența necesare pentru a gestiona secretariatul CERS. Consiliul general informează Parlamentul European și Consiliul cu privire la procedura de consultare.</w:t>
      </w:r>
    </w:p>
    <w:p>
      <w:pPr>
        <w:tabs>
          <w:tab w:val="left" w:pos="1701"/>
        </w:tabs>
        <w:ind w:left="1134"/>
        <w:rPr>
          <w:rFonts w:eastAsia="Times New Roman"/>
          <w:noProof/>
          <w:sz w:val="20"/>
          <w:szCs w:val="20"/>
        </w:rPr>
      </w:pPr>
      <w:r>
        <w:rPr>
          <w:noProof/>
          <w:sz w:val="20"/>
        </w:rPr>
        <w:t>*</w:t>
      </w:r>
      <w:r>
        <w:rPr>
          <w:noProof/>
        </w:rPr>
        <w:tab/>
      </w:r>
      <w:r>
        <w:rPr>
          <w:noProof/>
          <w:sz w:val="20"/>
        </w:rPr>
        <w:t>Regulamentul (UE) nr. 1096/2010 al Consiliului din 17 noiembrie 2010 privind acordarea unor competențe specifice Băncii Centrale Europene referitoare la funcționarea Comitetului european pentru risc sistemic (JO L 331, 15.12.2010, p. 162).”;</w:t>
      </w:r>
    </w:p>
    <w:p>
      <w:pPr>
        <w:tabs>
          <w:tab w:val="left" w:pos="1701"/>
        </w:tabs>
        <w:ind w:left="1134"/>
        <w:rPr>
          <w:rFonts w:eastAsia="Times New Roman"/>
          <w:noProof/>
          <w:sz w:val="20"/>
          <w:szCs w:val="20"/>
        </w:rPr>
      </w:pPr>
      <w:r>
        <w:rPr>
          <w:noProof/>
          <w:sz w:val="20"/>
        </w:rPr>
        <w:t>_______________________________________________________________________________</w:t>
      </w:r>
    </w:p>
    <w:p>
      <w:pPr>
        <w:ind w:left="1134" w:hanging="567"/>
        <w:rPr>
          <w:noProof/>
        </w:rPr>
      </w:pPr>
      <w:r>
        <w:rPr>
          <w:noProof/>
        </w:rPr>
        <w:t>(b)</w:t>
      </w:r>
      <w:r>
        <w:rPr>
          <w:noProof/>
        </w:rPr>
        <w:tab/>
        <w:t>se introduce următorul alineat (3a):</w:t>
      </w:r>
    </w:p>
    <w:p>
      <w:pPr>
        <w:tabs>
          <w:tab w:val="left" w:pos="1701"/>
        </w:tabs>
        <w:ind w:left="1134"/>
        <w:rPr>
          <w:noProof/>
        </w:rPr>
      </w:pPr>
      <w:r>
        <w:rPr>
          <w:noProof/>
        </w:rPr>
        <w:t>„(3a)</w:t>
      </w:r>
      <w:r>
        <w:rPr>
          <w:noProof/>
        </w:rPr>
        <w:tab/>
        <w:t>Atunci când dă instrucțiuni șefului secretariatului CERS, în conformitate cu articolul 4 alineatul (1) din Regulamentul (UE) nr. 1096/2010 al Consiliului, președintele CERS și Comitetul director pot aborda, în special, următoarele chestiuni:</w:t>
      </w:r>
    </w:p>
    <w:p>
      <w:pPr>
        <w:ind w:left="1701" w:hanging="567"/>
        <w:rPr>
          <w:noProof/>
        </w:rPr>
      </w:pPr>
      <w:r>
        <w:rPr>
          <w:noProof/>
        </w:rPr>
        <w:t>(a)</w:t>
      </w:r>
      <w:r>
        <w:rPr>
          <w:noProof/>
        </w:rPr>
        <w:tab/>
        <w:t>gestionarea curentă a secretariatului CERS;</w:t>
      </w:r>
    </w:p>
    <w:p>
      <w:pPr>
        <w:ind w:left="1701" w:hanging="567"/>
        <w:rPr>
          <w:noProof/>
        </w:rPr>
      </w:pPr>
      <w:r>
        <w:rPr>
          <w:noProof/>
        </w:rPr>
        <w:t>(b)</w:t>
      </w:r>
      <w:r>
        <w:rPr>
          <w:noProof/>
        </w:rPr>
        <w:tab/>
        <w:t>orice aspecte administrative și bugetare legate de secretariatul CERS;</w:t>
      </w:r>
    </w:p>
    <w:p>
      <w:pPr>
        <w:ind w:left="1701" w:hanging="567"/>
        <w:rPr>
          <w:noProof/>
        </w:rPr>
      </w:pPr>
      <w:r>
        <w:rPr>
          <w:noProof/>
        </w:rPr>
        <w:t>(c)</w:t>
      </w:r>
      <w:r>
        <w:rPr>
          <w:noProof/>
        </w:rPr>
        <w:tab/>
        <w:t>coordonarea și pregătirea activităților și a procesului decizional al Consiliului general;</w:t>
      </w:r>
    </w:p>
    <w:p>
      <w:pPr>
        <w:ind w:left="1701" w:hanging="567"/>
        <w:rPr>
          <w:noProof/>
        </w:rPr>
      </w:pPr>
      <w:r>
        <w:rPr>
          <w:noProof/>
        </w:rPr>
        <w:t>(d)</w:t>
      </w:r>
      <w:r>
        <w:rPr>
          <w:noProof/>
        </w:rPr>
        <w:tab/>
        <w:t>elaborarea propunerii de program anual al CERS și implementarea acestuia;</w:t>
      </w:r>
    </w:p>
    <w:p>
      <w:pPr>
        <w:ind w:left="1701" w:hanging="567"/>
        <w:rPr>
          <w:noProof/>
        </w:rPr>
      </w:pPr>
      <w:r>
        <w:rPr>
          <w:noProof/>
        </w:rPr>
        <w:t>(e)</w:t>
      </w:r>
      <w:r>
        <w:rPr>
          <w:noProof/>
        </w:rPr>
        <w:tab/>
        <w:t>elaborarea raportului anual cu privire la activitățile CERS și raportarea către Consiliul general cu privire la punerea sa în aplicare”.</w:t>
      </w:r>
    </w:p>
    <w:p>
      <w:pPr>
        <w:tabs>
          <w:tab w:val="left" w:pos="567"/>
        </w:tabs>
        <w:rPr>
          <w:noProof/>
        </w:rPr>
      </w:pPr>
      <w:r>
        <w:rPr>
          <w:noProof/>
        </w:rPr>
        <w:t>(2)</w:t>
      </w:r>
      <w:r>
        <w:rPr>
          <w:noProof/>
        </w:rPr>
        <w:tab/>
        <w:t>Articolul 5 se modifică după cum urmează:</w:t>
      </w:r>
    </w:p>
    <w:p>
      <w:pPr>
        <w:ind w:left="1134" w:hanging="567"/>
        <w:rPr>
          <w:noProof/>
        </w:rPr>
      </w:pPr>
      <w:r>
        <w:rPr>
          <w:noProof/>
        </w:rPr>
        <w:t>(a)</w:t>
      </w:r>
      <w:r>
        <w:rPr>
          <w:noProof/>
        </w:rPr>
        <w:tab/>
        <w:t>alineatele (1) și (2) se înlocuiesc cu următorul text:</w:t>
      </w:r>
    </w:p>
    <w:p>
      <w:pPr>
        <w:tabs>
          <w:tab w:val="left" w:pos="1701"/>
        </w:tabs>
        <w:ind w:left="1134"/>
        <w:rPr>
          <w:noProof/>
        </w:rPr>
      </w:pPr>
      <w:r>
        <w:rPr>
          <w:noProof/>
        </w:rPr>
        <w:t>„(1)</w:t>
      </w:r>
      <w:r>
        <w:rPr>
          <w:noProof/>
        </w:rPr>
        <w:tab/>
        <w:t>CERS este prezidat de președintele BCE.</w:t>
      </w:r>
    </w:p>
    <w:p>
      <w:pPr>
        <w:tabs>
          <w:tab w:val="left" w:pos="1701"/>
        </w:tabs>
        <w:ind w:left="1134"/>
        <w:rPr>
          <w:rFonts w:eastAsia="Times New Roman"/>
          <w:noProof/>
          <w:szCs w:val="24"/>
        </w:rPr>
      </w:pPr>
      <w:r>
        <w:rPr>
          <w:noProof/>
        </w:rPr>
        <w:t>(2)</w:t>
      </w:r>
      <w:r>
        <w:rPr>
          <w:noProof/>
        </w:rPr>
        <w:tab/>
        <w:t>Prim-vicepreședintele este ales de către membrii Consiliului general al BCE și din rândul acestora, pentru un mandat de 5 ani, ținându-se seama de necesitatea unei reprezentări echilibrate a statelor membre în ansamblu și a existenței unui raport echitabil între statele membre participante, în sensul definiției de la articolul 2 alineatul (1) din Regulamentul (UE) nr. 1024/2013 al Consiliului**, și cele neparticipante. Mandatul prim-vicepreședintelui poate fi reînnoit o singură dată.</w:t>
      </w:r>
    </w:p>
    <w:p>
      <w:pPr>
        <w:ind w:left="1134"/>
        <w:rPr>
          <w:rFonts w:eastAsia="Times New Roman"/>
          <w:noProof/>
          <w:szCs w:val="24"/>
        </w:rPr>
      </w:pPr>
      <w:r>
        <w:rPr>
          <w:noProof/>
        </w:rPr>
        <w:t>__________________________________________________________________</w:t>
      </w:r>
    </w:p>
    <w:p>
      <w:pPr>
        <w:ind w:left="1701" w:hanging="567"/>
        <w:rPr>
          <w:rFonts w:eastAsia="Times New Roman"/>
          <w:noProof/>
          <w:sz w:val="20"/>
          <w:szCs w:val="20"/>
        </w:rPr>
      </w:pPr>
      <w:r>
        <w:rPr>
          <w:noProof/>
          <w:sz w:val="20"/>
        </w:rPr>
        <w:t>**</w:t>
      </w:r>
      <w:r>
        <w:rPr>
          <w:noProof/>
        </w:rPr>
        <w:tab/>
      </w:r>
      <w:r>
        <w:rPr>
          <w:noProof/>
          <w:sz w:val="20"/>
        </w:rPr>
        <w:t>Regulamentul (UE) nr. 1024/2013 al Consiliului din 15 octombrie 2013 de conferire a unor atribuții specifice Băncii Centrale Europene în ceea ce privește politicile legate de supravegherea prudențială a instituțiilor de credit (JO L 287, 29.10.2013, p. 63).”;</w:t>
      </w:r>
    </w:p>
    <w:p>
      <w:pPr>
        <w:ind w:left="1134" w:hanging="567"/>
        <w:rPr>
          <w:rFonts w:eastAsia="Times New Roman"/>
          <w:noProof/>
          <w:szCs w:val="24"/>
        </w:rPr>
      </w:pPr>
      <w:r>
        <w:rPr>
          <w:noProof/>
        </w:rPr>
        <w:t>(b)</w:t>
      </w:r>
      <w:r>
        <w:rPr>
          <w:noProof/>
        </w:rPr>
        <w:tab/>
        <w:t>alineatul (8) se înlocuiește cu următorul text:</w:t>
      </w:r>
    </w:p>
    <w:p>
      <w:pPr>
        <w:tabs>
          <w:tab w:val="left" w:pos="1701"/>
        </w:tabs>
        <w:ind w:left="1134"/>
        <w:rPr>
          <w:rFonts w:eastAsia="Times New Roman"/>
          <w:noProof/>
          <w:szCs w:val="24"/>
        </w:rPr>
      </w:pPr>
      <w:r>
        <w:rPr>
          <w:noProof/>
        </w:rPr>
        <w:t>„(8)</w:t>
      </w:r>
      <w:r>
        <w:rPr>
          <w:noProof/>
        </w:rPr>
        <w:tab/>
        <w:t>Președintele reprezintă CERS pe plan extern. Președintele poate delega șefului secretariatului sarcini legate de reprezentarea externă a CERS.”.</w:t>
      </w:r>
    </w:p>
    <w:p>
      <w:pPr>
        <w:tabs>
          <w:tab w:val="left" w:pos="567"/>
        </w:tabs>
        <w:rPr>
          <w:noProof/>
        </w:rPr>
      </w:pPr>
      <w:r>
        <w:rPr>
          <w:noProof/>
        </w:rPr>
        <w:t>(3)</w:t>
      </w:r>
      <w:r>
        <w:rPr>
          <w:noProof/>
        </w:rPr>
        <w:tab/>
        <w:t>Articolul 6 se modifică după cum urmează:</w:t>
      </w:r>
    </w:p>
    <w:p>
      <w:pPr>
        <w:ind w:left="1134" w:hanging="567"/>
        <w:rPr>
          <w:noProof/>
        </w:rPr>
      </w:pPr>
      <w:r>
        <w:rPr>
          <w:noProof/>
        </w:rPr>
        <w:t>(a)</w:t>
      </w:r>
      <w:r>
        <w:rPr>
          <w:noProof/>
        </w:rPr>
        <w:tab/>
        <w:t>alineatul (1) se modifică după cum urmează:</w:t>
      </w:r>
    </w:p>
    <w:p>
      <w:pPr>
        <w:ind w:left="1701" w:hanging="567"/>
        <w:rPr>
          <w:noProof/>
        </w:rPr>
      </w:pPr>
      <w:r>
        <w:rPr>
          <w:noProof/>
        </w:rPr>
        <w:t>(i)</w:t>
      </w:r>
      <w:r>
        <w:rPr>
          <w:noProof/>
        </w:rPr>
        <w:tab/>
        <w:t>se introduc următoarele litere (fa) și (fb):</w:t>
      </w:r>
    </w:p>
    <w:p>
      <w:pPr>
        <w:ind w:left="2268" w:hanging="567"/>
        <w:rPr>
          <w:rFonts w:eastAsia="Times New Roman"/>
          <w:noProof/>
          <w:szCs w:val="24"/>
        </w:rPr>
      </w:pPr>
      <w:r>
        <w:rPr>
          <w:noProof/>
        </w:rPr>
        <w:t>„(fa)</w:t>
      </w:r>
      <w:r>
        <w:rPr>
          <w:noProof/>
        </w:rPr>
        <w:tab/>
        <w:t>președintele Consiliului de supraveghere al BCE;</w:t>
      </w:r>
    </w:p>
    <w:p>
      <w:pPr>
        <w:ind w:left="2268" w:hanging="567"/>
        <w:rPr>
          <w:rFonts w:eastAsia="Times New Roman"/>
          <w:noProof/>
          <w:szCs w:val="24"/>
        </w:rPr>
      </w:pPr>
      <w:r>
        <w:rPr>
          <w:noProof/>
        </w:rPr>
        <w:t>(fb)</w:t>
      </w:r>
      <w:r>
        <w:rPr>
          <w:noProof/>
        </w:rPr>
        <w:tab/>
        <w:t>președintele Comitetului unic de rezoluție;”;</w:t>
      </w:r>
    </w:p>
    <w:p>
      <w:pPr>
        <w:ind w:left="1701" w:hanging="567"/>
        <w:rPr>
          <w:rFonts w:eastAsia="Times New Roman"/>
          <w:noProof/>
          <w:szCs w:val="24"/>
        </w:rPr>
      </w:pPr>
      <w:r>
        <w:rPr>
          <w:noProof/>
        </w:rPr>
        <w:t>(ii)</w:t>
      </w:r>
      <w:r>
        <w:rPr>
          <w:noProof/>
        </w:rPr>
        <w:tab/>
        <w:t>litera (g) se înlocuiește cu următorul text:</w:t>
      </w:r>
    </w:p>
    <w:p>
      <w:pPr>
        <w:ind w:left="2268" w:hanging="567"/>
        <w:rPr>
          <w:rFonts w:eastAsia="Times New Roman"/>
          <w:noProof/>
          <w:szCs w:val="24"/>
        </w:rPr>
      </w:pPr>
      <w:r>
        <w:rPr>
          <w:noProof/>
        </w:rPr>
        <w:t>„(g)</w:t>
      </w:r>
      <w:r>
        <w:rPr>
          <w:noProof/>
        </w:rPr>
        <w:tab/>
        <w:t>președintele Comitetului consultativ științific;”;</w:t>
      </w:r>
    </w:p>
    <w:p>
      <w:pPr>
        <w:ind w:left="1134" w:hanging="567"/>
        <w:rPr>
          <w:rFonts w:eastAsia="Times New Roman"/>
          <w:noProof/>
          <w:szCs w:val="24"/>
        </w:rPr>
      </w:pPr>
      <w:r>
        <w:rPr>
          <w:noProof/>
        </w:rPr>
        <w:t>(b)</w:t>
      </w:r>
      <w:r>
        <w:rPr>
          <w:noProof/>
        </w:rPr>
        <w:tab/>
        <w:t>alineatul (2) se modifică după cum urmează:</w:t>
      </w:r>
    </w:p>
    <w:p>
      <w:pPr>
        <w:ind w:left="1701" w:hanging="567"/>
        <w:rPr>
          <w:noProof/>
        </w:rPr>
      </w:pPr>
      <w:r>
        <w:rPr>
          <w:noProof/>
        </w:rPr>
        <w:t>(i)</w:t>
      </w:r>
      <w:r>
        <w:rPr>
          <w:noProof/>
        </w:rPr>
        <w:tab/>
        <w:t>litera (a) se înlocuiește cu următorul text:</w:t>
      </w:r>
    </w:p>
    <w:p>
      <w:pPr>
        <w:ind w:left="2268" w:hanging="567"/>
        <w:rPr>
          <w:rFonts w:eastAsia="Times New Roman"/>
          <w:noProof/>
          <w:szCs w:val="24"/>
        </w:rPr>
      </w:pPr>
      <w:r>
        <w:rPr>
          <w:noProof/>
        </w:rPr>
        <w:t>„(a)</w:t>
      </w:r>
      <w:r>
        <w:rPr>
          <w:noProof/>
        </w:rPr>
        <w:tab/>
        <w:t>un reprezentant la nivel înalt din fiecare stat membru, fie din partea autorităților naționale competente, fie a autorităților naționale desemnate în scopul aplicării unor măsuri care vizează abordarea riscurilor sistemice sau macroprudențiale, în conformitate cu alineatul (3);”;</w:t>
      </w:r>
    </w:p>
    <w:p>
      <w:pPr>
        <w:ind w:left="1134" w:hanging="567"/>
        <w:rPr>
          <w:rFonts w:eastAsia="Times New Roman"/>
          <w:noProof/>
          <w:szCs w:val="24"/>
        </w:rPr>
      </w:pPr>
      <w:r>
        <w:rPr>
          <w:noProof/>
        </w:rPr>
        <w:t>(c)</w:t>
      </w:r>
      <w:r>
        <w:rPr>
          <w:noProof/>
        </w:rPr>
        <w:tab/>
        <w:t>alineatul (3) se înlocuiește cu următorul text:</w:t>
      </w:r>
    </w:p>
    <w:p>
      <w:pPr>
        <w:tabs>
          <w:tab w:val="left" w:pos="1701"/>
        </w:tabs>
        <w:ind w:left="1134"/>
        <w:rPr>
          <w:rFonts w:eastAsia="Times New Roman"/>
          <w:noProof/>
          <w:szCs w:val="24"/>
        </w:rPr>
      </w:pPr>
      <w:r>
        <w:rPr>
          <w:noProof/>
        </w:rPr>
        <w:t>„(3)</w:t>
      </w:r>
      <w:r>
        <w:rPr>
          <w:noProof/>
        </w:rPr>
        <w:tab/>
        <w:t>În ceea ce privește reprezentarea autorităților naționale menționate la alineatul (2) litera (a), respectivii reprezentanți la nivel înalt din fiecare stat membru ocupă această poziție prin rotație în funcție de punctele discutate, cu excepția cazului în care autoritățile naționale dintr-un anumit stat membru au convenit asupra unui reprezentant comun.”.</w:t>
      </w:r>
    </w:p>
    <w:p>
      <w:pPr>
        <w:ind w:left="567" w:hanging="567"/>
        <w:rPr>
          <w:rFonts w:eastAsia="Times New Roman"/>
          <w:noProof/>
          <w:szCs w:val="24"/>
        </w:rPr>
      </w:pPr>
      <w:r>
        <w:rPr>
          <w:noProof/>
        </w:rPr>
        <w:t>(4)</w:t>
      </w:r>
      <w:r>
        <w:rPr>
          <w:noProof/>
        </w:rPr>
        <w:tab/>
        <w:t xml:space="preserve">La articolul 9, alineatul (5) se elimină; </w:t>
      </w:r>
    </w:p>
    <w:p>
      <w:pPr>
        <w:ind w:left="567" w:hanging="567"/>
        <w:rPr>
          <w:rFonts w:eastAsia="Times New Roman"/>
          <w:noProof/>
          <w:szCs w:val="24"/>
        </w:rPr>
      </w:pPr>
      <w:r>
        <w:rPr>
          <w:noProof/>
        </w:rPr>
        <w:t>(5)</w:t>
      </w:r>
      <w:r>
        <w:rPr>
          <w:noProof/>
        </w:rPr>
        <w:tab/>
        <w:t>Articolul 11 se modifică după cum urmează:</w:t>
      </w:r>
    </w:p>
    <w:p>
      <w:pPr>
        <w:ind w:left="1134" w:hanging="567"/>
        <w:rPr>
          <w:rFonts w:eastAsia="Times New Roman"/>
          <w:noProof/>
          <w:szCs w:val="24"/>
        </w:rPr>
      </w:pPr>
      <w:r>
        <w:rPr>
          <w:noProof/>
        </w:rPr>
        <w:t>(a)</w:t>
      </w:r>
      <w:r>
        <w:rPr>
          <w:noProof/>
        </w:rPr>
        <w:tab/>
        <w:t>alineatul (1) se modifică după cum urmează:</w:t>
      </w:r>
    </w:p>
    <w:p>
      <w:pPr>
        <w:ind w:left="1701" w:hanging="567"/>
        <w:rPr>
          <w:rFonts w:eastAsia="Times New Roman"/>
          <w:noProof/>
          <w:szCs w:val="24"/>
        </w:rPr>
      </w:pPr>
      <w:r>
        <w:rPr>
          <w:noProof/>
        </w:rPr>
        <w:t>(i)</w:t>
      </w:r>
      <w:r>
        <w:rPr>
          <w:noProof/>
        </w:rPr>
        <w:tab/>
        <w:t>litera (c) se înlocuiește cu următorul text:</w:t>
      </w:r>
    </w:p>
    <w:p>
      <w:pPr>
        <w:ind w:left="2268" w:hanging="567"/>
        <w:rPr>
          <w:rFonts w:eastAsia="Times New Roman"/>
          <w:noProof/>
          <w:szCs w:val="24"/>
        </w:rPr>
      </w:pPr>
      <w:r>
        <w:rPr>
          <w:noProof/>
        </w:rPr>
        <w:t>„(c)</w:t>
      </w:r>
      <w:r>
        <w:rPr>
          <w:noProof/>
        </w:rPr>
        <w:tab/>
        <w:t>patru alți membri ai Consiliului general ai CERS care sunt și membri ai Consiliului general al BCE, ținându-se seama de necesitatea unei reprezentări echilibrate a statelor membre în ansamblu și în raportul dintre cele care sunt state membre participante, în sensul definiției de la articolul 2 alineatul (1) din Regulamentul (UE) nr. 1024/2013, și cele neparticipante. Aceștia sunt aleși de către membrii Consiliului general ai CERS care sunt și membri ai Consiliului general al BCE și din rândul acestora, pentru o perioadă de 3 ani;”;</w:t>
      </w:r>
    </w:p>
    <w:p>
      <w:pPr>
        <w:ind w:left="1701" w:hanging="567"/>
        <w:rPr>
          <w:rFonts w:eastAsia="Times New Roman"/>
          <w:noProof/>
          <w:szCs w:val="24"/>
        </w:rPr>
      </w:pPr>
      <w:r>
        <w:rPr>
          <w:noProof/>
        </w:rPr>
        <w:t>(ii)</w:t>
      </w:r>
      <w:r>
        <w:rPr>
          <w:noProof/>
        </w:rPr>
        <w:tab/>
        <w:t>se introduc următoarele litere (ga) și (gb):</w:t>
      </w:r>
    </w:p>
    <w:p>
      <w:pPr>
        <w:ind w:left="2268" w:hanging="567"/>
        <w:rPr>
          <w:rFonts w:eastAsia="Times New Roman"/>
          <w:noProof/>
          <w:szCs w:val="24"/>
        </w:rPr>
      </w:pPr>
      <w:r>
        <w:rPr>
          <w:noProof/>
        </w:rPr>
        <w:t>„(ga)</w:t>
      </w:r>
      <w:r>
        <w:rPr>
          <w:noProof/>
        </w:rPr>
        <w:tab/>
        <w:t>președintele Consiliului de supraveghere al BCE;</w:t>
      </w:r>
    </w:p>
    <w:p>
      <w:pPr>
        <w:ind w:left="2268" w:hanging="567"/>
        <w:rPr>
          <w:rFonts w:eastAsia="Times New Roman"/>
          <w:noProof/>
          <w:szCs w:val="24"/>
        </w:rPr>
      </w:pPr>
      <w:r>
        <w:rPr>
          <w:noProof/>
        </w:rPr>
        <w:t>(gb)</w:t>
      </w:r>
      <w:r>
        <w:rPr>
          <w:noProof/>
        </w:rPr>
        <w:tab/>
        <w:t>președintele Comitetului unic de rezoluție;”.</w:t>
      </w:r>
    </w:p>
    <w:p>
      <w:pPr>
        <w:tabs>
          <w:tab w:val="left" w:pos="567"/>
        </w:tabs>
        <w:rPr>
          <w:rFonts w:eastAsia="Times New Roman"/>
          <w:noProof/>
          <w:szCs w:val="24"/>
        </w:rPr>
      </w:pPr>
      <w:r>
        <w:rPr>
          <w:noProof/>
        </w:rPr>
        <w:t>(6)</w:t>
      </w:r>
      <w:r>
        <w:rPr>
          <w:noProof/>
        </w:rPr>
        <w:tab/>
        <w:t>Articolul 12 se modifică după cum urmează:</w:t>
      </w:r>
    </w:p>
    <w:p>
      <w:pPr>
        <w:ind w:left="1134" w:hanging="567"/>
        <w:rPr>
          <w:rFonts w:eastAsia="Times New Roman"/>
          <w:noProof/>
          <w:szCs w:val="24"/>
        </w:rPr>
      </w:pPr>
      <w:r>
        <w:rPr>
          <w:noProof/>
        </w:rPr>
        <w:t>(a)</w:t>
      </w:r>
      <w:r>
        <w:rPr>
          <w:noProof/>
        </w:rPr>
        <w:tab/>
        <w:t>alineatul (5) se înlocuiește cu următorul text:</w:t>
      </w:r>
    </w:p>
    <w:p>
      <w:pPr>
        <w:tabs>
          <w:tab w:val="left" w:pos="1701"/>
        </w:tabs>
        <w:ind w:left="1134"/>
        <w:rPr>
          <w:rFonts w:eastAsia="Times New Roman"/>
          <w:noProof/>
          <w:szCs w:val="24"/>
        </w:rPr>
      </w:pPr>
      <w:r>
        <w:rPr>
          <w:noProof/>
        </w:rPr>
        <w:t>„(5)</w:t>
      </w:r>
      <w:r>
        <w:rPr>
          <w:noProof/>
        </w:rPr>
        <w:tab/>
        <w:t>După caz, Comitetul consultativ științific organizează consultări cu părțile interesate într-un stadiu timpuriu și într-un mod deschis și transparent, ținând seama în același timp de obligația de confidențialitate.”.</w:t>
      </w:r>
    </w:p>
    <w:p>
      <w:pPr>
        <w:tabs>
          <w:tab w:val="left" w:pos="567"/>
        </w:tabs>
        <w:rPr>
          <w:rFonts w:eastAsia="Times New Roman"/>
          <w:noProof/>
          <w:szCs w:val="24"/>
        </w:rPr>
      </w:pPr>
      <w:r>
        <w:rPr>
          <w:noProof/>
        </w:rPr>
        <w:t xml:space="preserve"> (7)</w:t>
      </w:r>
      <w:r>
        <w:rPr>
          <w:noProof/>
        </w:rPr>
        <w:tab/>
        <w:t>Articolul 13 se modifică după cum urmează:</w:t>
      </w:r>
    </w:p>
    <w:p>
      <w:pPr>
        <w:ind w:left="1134" w:hanging="567"/>
        <w:rPr>
          <w:rFonts w:eastAsia="Times New Roman"/>
          <w:noProof/>
          <w:szCs w:val="24"/>
        </w:rPr>
      </w:pPr>
      <w:r>
        <w:rPr>
          <w:noProof/>
        </w:rPr>
        <w:t>(a)</w:t>
      </w:r>
      <w:r>
        <w:rPr>
          <w:noProof/>
        </w:rPr>
        <w:tab/>
        <w:t>alineatul (1) se modifică după cum urmează:</w:t>
      </w:r>
    </w:p>
    <w:p>
      <w:pPr>
        <w:ind w:left="1701" w:hanging="567"/>
        <w:rPr>
          <w:rFonts w:eastAsia="Times New Roman"/>
          <w:noProof/>
          <w:szCs w:val="24"/>
        </w:rPr>
      </w:pPr>
      <w:r>
        <w:rPr>
          <w:noProof/>
        </w:rPr>
        <w:t>(i)</w:t>
      </w:r>
      <w:r>
        <w:rPr>
          <w:noProof/>
        </w:rPr>
        <w:tab/>
        <w:t>litera (f) se înlocuiește cu următorul text:</w:t>
      </w:r>
    </w:p>
    <w:p>
      <w:pPr>
        <w:ind w:left="2268" w:hanging="567"/>
        <w:rPr>
          <w:rFonts w:eastAsia="Times New Roman"/>
          <w:noProof/>
          <w:szCs w:val="24"/>
        </w:rPr>
      </w:pPr>
      <w:r>
        <w:rPr>
          <w:noProof/>
        </w:rPr>
        <w:t>„(f)</w:t>
      </w:r>
      <w:r>
        <w:rPr>
          <w:noProof/>
        </w:rPr>
        <w:tab/>
        <w:t>un reprezentant al Comisiei;”;</w:t>
      </w:r>
    </w:p>
    <w:p>
      <w:pPr>
        <w:ind w:left="1701" w:hanging="567"/>
        <w:rPr>
          <w:rFonts w:eastAsia="Times New Roman"/>
          <w:noProof/>
          <w:szCs w:val="24"/>
        </w:rPr>
      </w:pPr>
      <w:r>
        <w:rPr>
          <w:noProof/>
        </w:rPr>
        <w:t>(ii)</w:t>
      </w:r>
      <w:r>
        <w:rPr>
          <w:noProof/>
        </w:rPr>
        <w:tab/>
        <w:t>se introduc următoarele litere (fa) și (fb):</w:t>
      </w:r>
    </w:p>
    <w:p>
      <w:pPr>
        <w:ind w:left="2268" w:hanging="567"/>
        <w:rPr>
          <w:rFonts w:eastAsia="Times New Roman"/>
          <w:noProof/>
          <w:szCs w:val="24"/>
        </w:rPr>
      </w:pPr>
      <w:r>
        <w:rPr>
          <w:noProof/>
        </w:rPr>
        <w:t>„(fa)</w:t>
      </w:r>
      <w:r>
        <w:rPr>
          <w:noProof/>
        </w:rPr>
        <w:tab/>
        <w:t>un reprezentant al Consiliului de supraveghere al BCE;</w:t>
      </w:r>
    </w:p>
    <w:p>
      <w:pPr>
        <w:ind w:left="2268" w:hanging="567"/>
        <w:rPr>
          <w:rFonts w:eastAsia="Times New Roman"/>
          <w:noProof/>
          <w:szCs w:val="24"/>
        </w:rPr>
      </w:pPr>
      <w:r>
        <w:rPr>
          <w:noProof/>
        </w:rPr>
        <w:t>(fb)</w:t>
      </w:r>
      <w:r>
        <w:rPr>
          <w:noProof/>
        </w:rPr>
        <w:tab/>
        <w:t>un reprezentant al Comitetului unic de rezoluție;”;</w:t>
      </w:r>
    </w:p>
    <w:p>
      <w:pPr>
        <w:ind w:left="1134" w:hanging="567"/>
        <w:rPr>
          <w:rFonts w:eastAsia="Times New Roman"/>
          <w:noProof/>
          <w:szCs w:val="24"/>
        </w:rPr>
      </w:pPr>
      <w:r>
        <w:rPr>
          <w:noProof/>
        </w:rPr>
        <w:t>(b)</w:t>
      </w:r>
      <w:r>
        <w:rPr>
          <w:noProof/>
        </w:rPr>
        <w:tab/>
        <w:t>se introduce următorul alineat (4a):</w:t>
      </w:r>
    </w:p>
    <w:p>
      <w:pPr>
        <w:tabs>
          <w:tab w:val="left" w:pos="1701"/>
        </w:tabs>
        <w:ind w:left="1134"/>
        <w:rPr>
          <w:rFonts w:eastAsia="Times New Roman"/>
          <w:noProof/>
          <w:szCs w:val="24"/>
        </w:rPr>
      </w:pPr>
      <w:r>
        <w:rPr>
          <w:noProof/>
        </w:rPr>
        <w:t>„(4a)</w:t>
      </w:r>
      <w:r>
        <w:rPr>
          <w:noProof/>
        </w:rPr>
        <w:tab/>
        <w:t>După caz, Comitetul consultativ științific organizează consultări cu părțile interesate într-un stadiu timpuriu și într-un mod deschis și transparent, ținând seama în același timp de obligația de confidențialitate.”.</w:t>
      </w:r>
    </w:p>
    <w:p>
      <w:pPr>
        <w:tabs>
          <w:tab w:val="left" w:pos="567"/>
        </w:tabs>
        <w:rPr>
          <w:rFonts w:eastAsia="Times New Roman"/>
          <w:noProof/>
          <w:szCs w:val="24"/>
        </w:rPr>
      </w:pPr>
      <w:r>
        <w:rPr>
          <w:noProof/>
        </w:rPr>
        <w:t>(8)</w:t>
      </w:r>
      <w:r>
        <w:rPr>
          <w:noProof/>
        </w:rPr>
        <w:tab/>
        <w:t>Articolul 16 se modifică după cum urmează:</w:t>
      </w:r>
    </w:p>
    <w:p>
      <w:pPr>
        <w:ind w:left="1134" w:hanging="567"/>
        <w:rPr>
          <w:rFonts w:eastAsia="Times New Roman"/>
          <w:noProof/>
          <w:szCs w:val="24"/>
        </w:rPr>
      </w:pPr>
      <w:r>
        <w:rPr>
          <w:noProof/>
        </w:rPr>
        <w:t>(a)</w:t>
      </w:r>
      <w:r>
        <w:rPr>
          <w:noProof/>
        </w:rPr>
        <w:tab/>
        <w:t>la alineatul (2), prima teză se înlocuiește cu următorul text:</w:t>
      </w:r>
    </w:p>
    <w:p>
      <w:pPr>
        <w:ind w:left="1134"/>
        <w:rPr>
          <w:rFonts w:eastAsia="Times New Roman"/>
          <w:noProof/>
          <w:szCs w:val="24"/>
        </w:rPr>
      </w:pPr>
      <w:r>
        <w:rPr>
          <w:noProof/>
        </w:rPr>
        <w:t>„Avertismentele și recomandările emise de CERS în conformitate cu articolul 3 alineatul (2) literele (c) și (d) pot să aibă fie un caracter general , fie unul specific și se adresează în special Uniunii, unuia sau mai multor state membre, uneia sau mai multor AES sau uneia sau mai multor autorități naționale competente ori BCE pentru atribuțiile conferite acesteia în conformitate cu articolul 4 alineatele (1) și (2) și cu articolul 5 alineatul (2) din Regulamentul (UE) nr. 1024/2013.”;</w:t>
      </w:r>
    </w:p>
    <w:p>
      <w:pPr>
        <w:ind w:left="1134" w:hanging="567"/>
        <w:rPr>
          <w:rFonts w:eastAsia="Times New Roman"/>
          <w:noProof/>
          <w:szCs w:val="24"/>
        </w:rPr>
      </w:pPr>
      <w:r>
        <w:rPr>
          <w:noProof/>
        </w:rPr>
        <w:t>(b)</w:t>
      </w:r>
      <w:r>
        <w:rPr>
          <w:noProof/>
        </w:rPr>
        <w:tab/>
        <w:t>alineatul (3) se înlocuiește cu următorul text:</w:t>
      </w:r>
    </w:p>
    <w:p>
      <w:pPr>
        <w:tabs>
          <w:tab w:val="left" w:pos="1701"/>
        </w:tabs>
        <w:ind w:left="1134"/>
        <w:rPr>
          <w:rFonts w:eastAsia="Times New Roman"/>
          <w:noProof/>
          <w:szCs w:val="24"/>
        </w:rPr>
      </w:pPr>
      <w:r>
        <w:rPr>
          <w:noProof/>
        </w:rPr>
        <w:t>„(3)</w:t>
      </w:r>
      <w:r>
        <w:rPr>
          <w:noProof/>
        </w:rPr>
        <w:tab/>
        <w:t xml:space="preserve">În același timp în care se transmit destinatarilor în conformitate cu alineatul (2), avertismentele și recomandările se transmit, în condiții de strictă confidențialitate, și Consiliului, Parlamentului European, Comisiei și AES.”. </w:t>
      </w:r>
    </w:p>
    <w:p>
      <w:pPr>
        <w:tabs>
          <w:tab w:val="left" w:pos="567"/>
        </w:tabs>
        <w:rPr>
          <w:rFonts w:eastAsia="Times New Roman"/>
          <w:noProof/>
          <w:szCs w:val="24"/>
        </w:rPr>
      </w:pPr>
      <w:r>
        <w:rPr>
          <w:noProof/>
        </w:rPr>
        <w:t>(9)</w:t>
      </w:r>
      <w:r>
        <w:rPr>
          <w:noProof/>
        </w:rPr>
        <w:tab/>
        <w:t>La articolul 17, alineatele (1) și (2) se înlocuiesc cu următorul text:</w:t>
      </w:r>
    </w:p>
    <w:p>
      <w:pPr>
        <w:tabs>
          <w:tab w:val="left" w:pos="1701"/>
        </w:tabs>
        <w:ind w:left="1134"/>
        <w:rPr>
          <w:rFonts w:eastAsia="Times New Roman"/>
          <w:noProof/>
          <w:szCs w:val="24"/>
        </w:rPr>
      </w:pPr>
      <w:r>
        <w:rPr>
          <w:noProof/>
        </w:rPr>
        <w:t>„(1)</w:t>
      </w:r>
      <w:r>
        <w:rPr>
          <w:noProof/>
        </w:rPr>
        <w:tab/>
        <w:t>În cazul în care o recomandare menționată la articolul 3 alineatul (2) litera (d) se adresează Comisiei, unuia sau mai multor state membre, uneia sau mai multor AES sau uneia sau mai multor autorități naționale competente, destinatarii comunică Parlamentului European, Consiliului și CERS acțiunile întreprinse ca răspuns la recomandare și își justifică decizia de a nu întreprinde nicio acțiune. Dacă este cazul, CERS informează fără întârziere AES, în condiții de strictă confidențialitate, cu privire la răspunsurile primite.”;</w:t>
      </w:r>
    </w:p>
    <w:p>
      <w:pPr>
        <w:tabs>
          <w:tab w:val="left" w:pos="1701"/>
        </w:tabs>
        <w:ind w:left="1134"/>
        <w:rPr>
          <w:rFonts w:eastAsia="Times New Roman"/>
          <w:noProof/>
          <w:szCs w:val="24"/>
        </w:rPr>
      </w:pPr>
      <w:r>
        <w:rPr>
          <w:noProof/>
        </w:rPr>
        <w:t>(2)</w:t>
      </w:r>
      <w:r>
        <w:rPr>
          <w:noProof/>
        </w:rPr>
        <w:tab/>
        <w:t>În cazul în care decide că nu s-a dat curs recomandării sale sau că destinatarii nu și-au justificat în mod adecvat lipsa de acțiune, CERS îi informează cu privire la acest lucru, în condiții de strictă confidențialitate, pe destinatari, Parlamentul European, Consiliul și AES relevante.”.</w:t>
      </w:r>
    </w:p>
    <w:p>
      <w:pPr>
        <w:ind w:left="567" w:hanging="567"/>
        <w:rPr>
          <w:rFonts w:eastAsia="Times New Roman"/>
          <w:noProof/>
          <w:szCs w:val="24"/>
        </w:rPr>
      </w:pPr>
      <w:r>
        <w:rPr>
          <w:noProof/>
        </w:rPr>
        <w:t>(10)</w:t>
      </w:r>
      <w:r>
        <w:rPr>
          <w:noProof/>
        </w:rPr>
        <w:tab/>
        <w:t>Articolul 20 se înlocuiește cu următorul text:</w:t>
      </w:r>
    </w:p>
    <w:p>
      <w:pPr>
        <w:ind w:left="567"/>
        <w:rPr>
          <w:rFonts w:eastAsia="Times New Roman"/>
          <w:noProof/>
          <w:szCs w:val="24"/>
        </w:rPr>
      </w:pPr>
      <w:r>
        <w:rPr>
          <w:noProof/>
        </w:rPr>
        <w:t xml:space="preserve">„După cel puțin cinci ani de la data de [JO, a se introduce data intrării în vigoare], Comisia va efectua o evaluare a prezentului regulament și va prezenta Parlamentului European, Consiliului și Comitetului Economic și Social European un raport conținând principalele sale constatări.” </w:t>
      </w:r>
    </w:p>
    <w:p>
      <w:pPr>
        <w:pStyle w:val="Titrearticle"/>
        <w:rPr>
          <w:noProof/>
        </w:rPr>
      </w:pPr>
      <w:r>
        <w:rPr>
          <w:noProof/>
        </w:rPr>
        <w:t>Articolul 2</w:t>
      </w:r>
    </w:p>
    <w:p>
      <w:pPr>
        <w:rPr>
          <w:noProof/>
        </w:rPr>
      </w:pPr>
      <w:r>
        <w:rPr>
          <w:noProof/>
        </w:rPr>
        <w:t xml:space="preserve">Prezentul regulament intră în vigoare în a […] zi de la data publicării în </w:t>
      </w:r>
      <w:r>
        <w:rPr>
          <w:i/>
          <w:noProof/>
        </w:rPr>
        <w:t>Jurnalul Oficial al Uniunii Europene</w:t>
      </w:r>
      <w:r>
        <w:rPr>
          <w:noProof/>
        </w:rPr>
        <w:t>.</w:t>
      </w:r>
    </w:p>
    <w:p>
      <w:pPr>
        <w:pStyle w:val="Applicationdirecte"/>
        <w:rPr>
          <w:noProof/>
        </w:rPr>
      </w:pPr>
      <w:r>
        <w:rPr>
          <w:noProof/>
        </w:rPr>
        <w:t>Prezentul regulament este obligatoriu în toate elementele sale și se aplică direct în toate statele membre.</w:t>
      </w:r>
    </w:p>
    <w:p>
      <w:pPr>
        <w:pStyle w:val="Fait"/>
        <w:rPr>
          <w:noProof/>
        </w:rPr>
      </w:pPr>
      <w:r>
        <w:rPr>
          <w:noProof/>
        </w:rPr>
        <w:t>Adoptat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Raportul de Larosière (raportul final prezentat la 25 februarie 2009) a recomandat instituirea unei uniuni care supravegheze riscurile în sistemul financiar în ansamblul său.</w:t>
      </w:r>
    </w:p>
  </w:footnote>
  <w:footnote w:id="3">
    <w:p>
      <w:pPr>
        <w:pStyle w:val="FootnoteText"/>
        <w:ind w:left="567" w:hanging="567"/>
      </w:pPr>
      <w:r>
        <w:rPr>
          <w:rStyle w:val="FootnoteReference"/>
        </w:rPr>
        <w:footnoteRef/>
      </w:r>
      <w:r>
        <w:tab/>
        <w:t>JO C , , p. .</w:t>
      </w:r>
    </w:p>
  </w:footnote>
  <w:footnote w:id="4">
    <w:p>
      <w:pPr>
        <w:pStyle w:val="FootnoteText"/>
        <w:ind w:left="567" w:hanging="567"/>
      </w:pPr>
      <w:r>
        <w:rPr>
          <w:rStyle w:val="FootnoteReference"/>
        </w:rPr>
        <w:footnoteRef/>
      </w:r>
      <w:r>
        <w:tab/>
        <w:t>Regulamentul (UE) nr. 1092/2010 al Parlamentului European și al Consiliului din 24 noiembrie 2010 privind supravegherea macroprudențială la nivelul Uniunii Europene a sistemului financiar și de înființare a unui Comitet european pentru risc sistemic (JO L 331, 15.12.2010, p. 1).</w:t>
      </w:r>
    </w:p>
  </w:footnote>
  <w:footnote w:id="5">
    <w:p>
      <w:pPr>
        <w:pStyle w:val="FootnoteText"/>
        <w:ind w:left="567" w:hanging="567"/>
      </w:pPr>
      <w:r>
        <w:rPr>
          <w:rStyle w:val="FootnoteReference"/>
        </w:rPr>
        <w:footnoteRef/>
      </w:r>
      <w:r>
        <w:tab/>
        <w:t>Raport al Comisiei către Parlamentul European și Consiliu privind misiunea și organizarea Comitetului european pentru risc sistemic (CERS), COM(2014) 508 final.</w:t>
      </w:r>
    </w:p>
  </w:footnote>
  <w:footnote w:id="6">
    <w:p>
      <w:pPr>
        <w:pStyle w:val="FootnoteText"/>
        <w:ind w:left="567" w:hanging="567"/>
        <w:jc w:val="left"/>
      </w:pPr>
      <w:r>
        <w:rPr>
          <w:rStyle w:val="FootnoteReference"/>
        </w:rPr>
        <w:footnoteRef/>
      </w:r>
      <w:r>
        <w:tab/>
        <w:t>Documentul de lucru al serviciilor Comisiei, Analiza efectelor, Modificări la Regulamentul privind CERS, COM(2017) 538 final.</w:t>
      </w:r>
    </w:p>
  </w:footnote>
  <w:footnote w:id="7">
    <w:p>
      <w:pPr>
        <w:pStyle w:val="FootnoteText"/>
        <w:ind w:left="567" w:hanging="567"/>
      </w:pPr>
      <w:r>
        <w:rPr>
          <w:rStyle w:val="FootnoteReference"/>
        </w:rPr>
        <w:footnoteRef/>
      </w:r>
      <w:r>
        <w:tab/>
        <w:t>Regulamentul (UE) nr. 1096/2010 al Consiliului din 17 noiembrie 2010 privind acordarea unor competențe specifice Băncii Centrale Europene referitoare la funcționarea Comitetului european pentru risc sistemic (JO L 331, 15.12.2010, p. 162).</w:t>
      </w:r>
    </w:p>
  </w:footnote>
  <w:footnote w:id="8">
    <w:p>
      <w:pPr>
        <w:pStyle w:val="FootnoteText"/>
        <w:ind w:left="567" w:hanging="567"/>
      </w:pPr>
      <w:r>
        <w:rPr>
          <w:rStyle w:val="FootnoteReference"/>
        </w:rPr>
        <w:footnoteRef/>
      </w:r>
      <w:r>
        <w:tab/>
        <w:t>Decizia nr. 198/2016 a Comitetului mixt al SEE din 30 septembrie 2016 de modificare a anexei IX (Servicii financiare) la Acordul privind SEE [2017/275] (JO L 46, 23.2.2017,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4CC48D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28E2D6D8"/>
    <w:lvl w:ilvl="0">
      <w:start w:val="1"/>
      <w:numFmt w:val="decimal"/>
      <w:pStyle w:val="ListNumber3"/>
      <w:lvlText w:val="%1."/>
      <w:lvlJc w:val="left"/>
      <w:pPr>
        <w:tabs>
          <w:tab w:val="num" w:pos="926"/>
        </w:tabs>
        <w:ind w:left="926" w:hanging="360"/>
      </w:pPr>
    </w:lvl>
  </w:abstractNum>
  <w:abstractNum w:abstractNumId="2">
    <w:nsid w:val="FFFFFF7F"/>
    <w:multiLevelType w:val="singleLevel"/>
    <w:tmpl w:val="36B07E2E"/>
    <w:lvl w:ilvl="0">
      <w:start w:val="1"/>
      <w:numFmt w:val="decimal"/>
      <w:pStyle w:val="ListNumber2"/>
      <w:lvlText w:val="%1."/>
      <w:lvlJc w:val="left"/>
      <w:pPr>
        <w:tabs>
          <w:tab w:val="num" w:pos="643"/>
        </w:tabs>
        <w:ind w:left="643" w:hanging="360"/>
      </w:pPr>
    </w:lvl>
  </w:abstractNum>
  <w:abstractNum w:abstractNumId="3">
    <w:nsid w:val="FFFFFF81"/>
    <w:multiLevelType w:val="singleLevel"/>
    <w:tmpl w:val="EA369C9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9B40E3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BF63D6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27EABF90"/>
    <w:lvl w:ilvl="0">
      <w:start w:val="1"/>
      <w:numFmt w:val="decimal"/>
      <w:pStyle w:val="ListNumber"/>
      <w:lvlText w:val="%1."/>
      <w:lvlJc w:val="left"/>
      <w:pPr>
        <w:tabs>
          <w:tab w:val="num" w:pos="360"/>
        </w:tabs>
        <w:ind w:left="360" w:hanging="360"/>
      </w:pPr>
    </w:lvl>
  </w:abstractNum>
  <w:abstractNum w:abstractNumId="7">
    <w:nsid w:val="FFFFFF89"/>
    <w:multiLevelType w:val="singleLevel"/>
    <w:tmpl w:val="67F6B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4D0C058A"/>
    <w:multiLevelType w:val="singleLevel"/>
    <w:tmpl w:val="BAE8D90E"/>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num>
  <w:num w:numId="10">
    <w:abstractNumId w:val="17"/>
    <w:lvlOverride w:ilvl="0">
      <w:startOverride w:val="1"/>
    </w:lvlOverride>
  </w:num>
  <w:num w:numId="11">
    <w:abstractNumId w:val="19"/>
  </w:num>
  <w:num w:numId="12">
    <w:abstractNumId w:val="12"/>
  </w:num>
  <w:num w:numId="13">
    <w:abstractNumId w:val="21"/>
  </w:num>
  <w:num w:numId="14">
    <w:abstractNumId w:val="11"/>
  </w:num>
  <w:num w:numId="15">
    <w:abstractNumId w:val="13"/>
  </w:num>
  <w:num w:numId="16">
    <w:abstractNumId w:val="9"/>
  </w:num>
  <w:num w:numId="17">
    <w:abstractNumId w:val="20"/>
  </w:num>
  <w:num w:numId="18">
    <w:abstractNumId w:val="8"/>
  </w:num>
  <w:num w:numId="19">
    <w:abstractNumId w:val="14"/>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9"/>
  </w:num>
  <w:num w:numId="31">
    <w:abstractNumId w:val="20"/>
  </w:num>
  <w:num w:numId="32">
    <w:abstractNumId w:val="8"/>
  </w:num>
  <w:num w:numId="33">
    <w:abstractNumId w:val="14"/>
  </w:num>
  <w:num w:numId="34">
    <w:abstractNumId w:val="17"/>
  </w:num>
  <w:num w:numId="35">
    <w:abstractNumId w:val="18"/>
  </w:num>
  <w:num w:numId="36">
    <w:abstractNumId w:val="10"/>
  </w:num>
  <w:num w:numId="37">
    <w:abstractNumId w:val="16"/>
  </w:num>
  <w:num w:numId="38">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5"/>
  <w:hideSpellingErrors/>
  <w:hideGrammaticalErrors/>
  <w:attachedTemplate r:id="rId1"/>
  <w:revisionView w:markup="0"/>
  <w:doNotTrackFormatting/>
  <w:defaultTabStop w:val="720"/>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10-17 10:20:3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61"/>
    <w:docVar w:name="DQCResult_ModifiedMarkers" w:val="0;0"/>
    <w:docVar w:name="DQCResult_ModifiedNumbering" w:val="0;0"/>
    <w:docVar w:name="DQCResult_Objects" w:val="0;0"/>
    <w:docVar w:name="DQCResult_Sections" w:val="0;0"/>
    <w:docVar w:name="DQCResult_StructureCheck" w:val="0;0"/>
    <w:docVar w:name="DQCResult_SuperfluousWhitespace" w:val="0;5"/>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C09A01BF6977495CBCEB8FD8E7E4FE23"/>
    <w:docVar w:name="LW_CROSSREFERENCE" w:val="{SWD(2017) 313 final}"/>
    <w:docVar w:name="LW_DocType" w:val="COM"/>
    <w:docVar w:name="LW_EMISSION" w:val="20.9.2017"/>
    <w:docVar w:name="LW_EMISSION_ISODATE" w:val="2017-09-20"/>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TERETEEE.CP" w:val="(Text cu relevan\u539?\u259? pentru SEE)"/>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232"/>
    <w:docVar w:name="LW_REF.II.NEW.CP_YEAR" w:val="2017"/>
    <w:docVar w:name="LW_REF.INST.NEW" w:val="COM"/>
    <w:docVar w:name="LW_REF.INST.NEW_ADOPTED" w:val="final"/>
    <w:docVar w:name="LW_REF.INST.NEW_TEXT" w:val="(2017) 538"/>
    <w:docVar w:name="LW_REF.INTERNE" w:val="&lt;UNUSED&gt;"/>
    <w:docVar w:name="LW_SOUS.TITRE.OBJ.CP" w:val="&lt;UNUSED&gt;"/>
    <w:docVar w:name="LW_STATUT.CP" w:val="Propunere de"/>
    <w:docVar w:name="LW_SUPERTITRE" w:val="&lt;UNUSED&gt;"/>
    <w:docVar w:name="LW_TITRE.OBJ.CP" w:val="de modificare a Regulamentului (UE) nr. 1092/2010 privind supravegherea macropruden\u539?ial\u259? la nivelul Uniunii Europene a sistemului financiar \u537?i de înfiin\u539?are a unui Comitet european pentru risc sistemic"/>
    <w:docVar w:name="LW_TYPE.DOC.CP" w:val="REGULAMENT AL PARLAMENTULUI EUROPEAN \u350?I AL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ListDash1">
    <w:name w:val="List Dash 1"/>
    <w:basedOn w:val="Normal"/>
    <w:qFormat/>
    <w:pPr>
      <w:numPr>
        <w:numId w:val="9"/>
      </w:numPr>
    </w:pPr>
    <w:rPr>
      <w:rFonts w:eastAsia="Times New Roman"/>
    </w:rPr>
  </w:style>
  <w:style w:type="paragraph" w:styleId="Caption">
    <w:name w:val="caption"/>
    <w:basedOn w:val="Normal"/>
    <w:next w:val="Normal"/>
    <w:uiPriority w:val="35"/>
    <w:unhideWhenUsed/>
    <w:qFormat/>
    <w:pPr>
      <w:spacing w:before="0" w:after="200"/>
    </w:pPr>
    <w:rPr>
      <w:b/>
      <w:bCs/>
      <w:color w:val="4F81BD" w:themeColor="accent1"/>
      <w:sz w:val="18"/>
      <w:szCs w:val="18"/>
    </w:rPr>
  </w:style>
  <w:style w:type="character" w:styleId="Strong">
    <w:name w:val="Strong"/>
    <w:basedOn w:val="DefaultParagraphFont"/>
    <w:uiPriority w:val="22"/>
    <w:qFormat/>
    <w:rPr>
      <w:b/>
      <w:bCs/>
    </w:rPr>
  </w:style>
  <w:style w:type="paragraph" w:styleId="ListParagraph">
    <w:name w:val="List Paragraph"/>
    <w:basedOn w:val="Normal"/>
    <w:link w:val="ListParagraphChar"/>
    <w:uiPriority w:val="34"/>
    <w:qFormat/>
    <w:pPr>
      <w:spacing w:before="0" w:after="0"/>
      <w:ind w:left="720"/>
      <w:jc w:val="left"/>
    </w:pPr>
    <w:rPr>
      <w:rFonts w:ascii="Calibri" w:eastAsia="Times New Roman" w:hAnsi="Calibri"/>
      <w:sz w:val="22"/>
    </w:rPr>
  </w:style>
  <w:style w:type="character" w:customStyle="1" w:styleId="ListParagraphChar">
    <w:name w:val="List Paragraph Char"/>
    <w:basedOn w:val="DefaultParagraphFont"/>
    <w:link w:val="ListParagraph"/>
    <w:uiPriority w:val="34"/>
    <w:locked/>
    <w:rPr>
      <w:rFonts w:ascii="Calibri" w:eastAsia="Times New Roman" w:hAnsi="Calibri" w:cs="Times New Roman"/>
      <w:lang w:val="ro-RO"/>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ListDash1">
    <w:name w:val="List Dash 1"/>
    <w:basedOn w:val="Normal"/>
    <w:qFormat/>
    <w:pPr>
      <w:numPr>
        <w:numId w:val="9"/>
      </w:numPr>
    </w:pPr>
    <w:rPr>
      <w:rFonts w:eastAsia="Times New Roman"/>
    </w:rPr>
  </w:style>
  <w:style w:type="paragraph" w:styleId="Caption">
    <w:name w:val="caption"/>
    <w:basedOn w:val="Normal"/>
    <w:next w:val="Normal"/>
    <w:uiPriority w:val="35"/>
    <w:unhideWhenUsed/>
    <w:qFormat/>
    <w:pPr>
      <w:spacing w:before="0" w:after="200"/>
    </w:pPr>
    <w:rPr>
      <w:b/>
      <w:bCs/>
      <w:color w:val="4F81BD" w:themeColor="accent1"/>
      <w:sz w:val="18"/>
      <w:szCs w:val="18"/>
    </w:rPr>
  </w:style>
  <w:style w:type="character" w:styleId="Strong">
    <w:name w:val="Strong"/>
    <w:basedOn w:val="DefaultParagraphFont"/>
    <w:uiPriority w:val="22"/>
    <w:qFormat/>
    <w:rPr>
      <w:b/>
      <w:bCs/>
    </w:rPr>
  </w:style>
  <w:style w:type="paragraph" w:styleId="ListParagraph">
    <w:name w:val="List Paragraph"/>
    <w:basedOn w:val="Normal"/>
    <w:link w:val="ListParagraphChar"/>
    <w:uiPriority w:val="34"/>
    <w:qFormat/>
    <w:pPr>
      <w:spacing w:before="0" w:after="0"/>
      <w:ind w:left="720"/>
      <w:jc w:val="left"/>
    </w:pPr>
    <w:rPr>
      <w:rFonts w:ascii="Calibri" w:eastAsia="Times New Roman" w:hAnsi="Calibri"/>
      <w:sz w:val="22"/>
    </w:rPr>
  </w:style>
  <w:style w:type="character" w:customStyle="1" w:styleId="ListParagraphChar">
    <w:name w:val="List Paragraph Char"/>
    <w:basedOn w:val="DefaultParagraphFont"/>
    <w:link w:val="ListParagraph"/>
    <w:uiPriority w:val="34"/>
    <w:locked/>
    <w:rPr>
      <w:rFonts w:ascii="Calibri" w:eastAsia="Times New Roman" w:hAnsi="Calibri" w:cs="Times New Roman"/>
      <w:lang w:val="ro-RO"/>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1108717">
      <w:bodyDiv w:val="1"/>
      <w:marLeft w:val="0"/>
      <w:marRight w:val="0"/>
      <w:marTop w:val="0"/>
      <w:marBottom w:val="0"/>
      <w:divBdr>
        <w:top w:val="none" w:sz="0" w:space="0" w:color="auto"/>
        <w:left w:val="none" w:sz="0" w:space="0" w:color="auto"/>
        <w:bottom w:val="none" w:sz="0" w:space="0" w:color="auto"/>
        <w:right w:val="none" w:sz="0" w:space="0" w:color="auto"/>
      </w:divBdr>
    </w:div>
    <w:div w:id="191581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9777fc59-4bfd-4309-88dc-a0c9db34825d">Not Started</EC_Collab_Status>
    <EC_Collab_DocumentLanguage xmlns="9777fc59-4bfd-4309-88dc-a0c9db34825d">EN</EC_Collab_DocumentLanguage>
    <EC_Collab_Reference xmlns="9777fc59-4bfd-4309-88dc-a0c9db34825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EEF55457B25D324AB5A962373D51122B" ma:contentTypeVersion="12" ma:contentTypeDescription="Create a new document in this library." ma:contentTypeScope="" ma:versionID="ce20a0fec3b8eca0de618e1f293e03d1">
  <xsd:schema xmlns:xsd="http://www.w3.org/2001/XMLSchema" xmlns:xs="http://www.w3.org/2001/XMLSchema" xmlns:p="http://schemas.microsoft.com/office/2006/metadata/properties" xmlns:ns3="9777fc59-4bfd-4309-88dc-a0c9db34825d" targetNamespace="http://schemas.microsoft.com/office/2006/metadata/properties" ma:root="true" ma:fieldsID="241a214c4651a1e2d4036c5aaa3854e7" ns3:_="">
    <xsd:import namespace="9777fc59-4bfd-4309-88dc-a0c9db34825d"/>
    <xsd:element name="properties">
      <xsd:complexType>
        <xsd:sequence>
          <xsd:element name="documentManagement">
            <xsd:complexType>
              <xsd:all>
                <xsd:element ref="ns3:EC_Collab_Status"/>
                <xsd:element ref="ns3:EC_Collab_DocumentLanguage"/>
                <xsd:element ref="ns3:EC_Collab_Refer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77fc59-4bfd-4309-88dc-a0c9db34825d" elementFormDefault="qualified">
    <xsd:import namespace="http://schemas.microsoft.com/office/2006/documentManagement/types"/>
    <xsd:import namespace="http://schemas.microsoft.com/office/infopath/2007/PartnerControls"/>
    <xsd:element name="EC_Collab_Status" ma:index="12"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Reference" ma:index="14" nillable="true" ma:displayName="Reference" ma:internalName="EC_Collab_Referenc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2CB00-DD17-40A9-A1BA-3A019C073B01}">
  <ds:schemaRefs>
    <ds:schemaRef ds:uri="http://schemas.microsoft.com/office/2006/metadata/properties"/>
    <ds:schemaRef ds:uri="http://schemas.microsoft.com/office/infopath/2007/PartnerControls"/>
    <ds:schemaRef ds:uri="9777fc59-4bfd-4309-88dc-a0c9db34825d"/>
  </ds:schemaRefs>
</ds:datastoreItem>
</file>

<file path=customXml/itemProps2.xml><?xml version="1.0" encoding="utf-8"?>
<ds:datastoreItem xmlns:ds="http://schemas.openxmlformats.org/officeDocument/2006/customXml" ds:itemID="{62CC6D82-41CF-47C2-A5DD-36AAB1845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77fc59-4bfd-4309-88dc-a0c9db3482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8E6CBB-6688-41F2-8BA9-70E2548E3E15}">
  <ds:schemaRefs>
    <ds:schemaRef ds:uri="http://schemas.microsoft.com/sharepoint/v3/contenttype/forms"/>
  </ds:schemaRefs>
</ds:datastoreItem>
</file>

<file path=customXml/itemProps4.xml><?xml version="1.0" encoding="utf-8"?>
<ds:datastoreItem xmlns:ds="http://schemas.openxmlformats.org/officeDocument/2006/customXml" ds:itemID="{8D95998A-E262-456F-B89E-F61623648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12</Pages>
  <Words>3610</Words>
  <Characters>21880</Characters>
  <Application>Microsoft Office Word</Application>
  <DocSecurity>0</DocSecurity>
  <Lines>383</Lines>
  <Paragraphs>180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2017-09-13T13:58:00Z</cp:lastPrinted>
  <dcterms:created xsi:type="dcterms:W3CDTF">2017-10-16T12:27:00Z</dcterms:created>
  <dcterms:modified xsi:type="dcterms:W3CDTF">2017-10-17T08:20:00Z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ContentTypeId">
    <vt:lpwstr>0x010100258AA79CEB83498886A3A0868112325000EEF55457B25D324AB5A962373D51122B</vt:lpwstr>
  </property>
  <property fmtid="{D5CDD505-2E9C-101B-9397-08002B2CF9AE}" pid="11" name="DQCStatus">
    <vt:lpwstr>Green (DQC version 03)</vt:lpwstr>
  </property>
</Properties>
</file>