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5" type="#_x0000_t75" alt="225D19B956DF4638A3C1A82D63899AB5" style="width:450.5pt;height:321pt">
            <v:imagedata r:id="rId12" o:title=""/>
          </v:shape>
        </w:pict>
      </w:r>
    </w:p>
    <w:bookmarkEnd w:id="0"/>
    <w:p>
      <w:pPr>
        <w:pStyle w:val="Title"/>
        <w:rPr>
          <w:rFonts w:hint="eastAsia"/>
          <w:noProof/>
        </w:rPr>
        <w:sectPr>
          <w:headerReference w:type="even" r:id="rId13"/>
          <w:headerReference w:type="default" r:id="rId14"/>
          <w:footerReference w:type="even" r:id="rId15"/>
          <w:footerReference w:type="default" r:id="rId16"/>
          <w:headerReference w:type="first" r:id="rId17"/>
          <w:footerReference w:type="first" r:id="rId18"/>
          <w:pgSz w:w="11906" w:h="16838"/>
          <w:pgMar w:top="1134" w:right="1417" w:bottom="1134" w:left="1417" w:header="709" w:footer="709" w:gutter="0"/>
          <w:pgNumType w:start="1"/>
          <w:cols w:space="720"/>
          <w:docGrid w:linePitch="360"/>
        </w:sectPr>
      </w:pPr>
    </w:p>
    <w:p>
      <w:pPr>
        <w:pStyle w:val="Title"/>
        <w:rPr>
          <w:rFonts w:ascii="Times New Roman" w:eastAsia="Times New Roman" w:hAnsi="Times New Roman" w:cstheme="minorBidi"/>
          <w:b w:val="0"/>
          <w:bCs/>
          <w:noProof/>
        </w:rPr>
      </w:pPr>
      <w:bookmarkStart w:id="1" w:name="_GoBack"/>
      <w:bookmarkEnd w:id="1"/>
      <w:r>
        <w:rPr>
          <w:noProof/>
        </w:rPr>
        <w:lastRenderedPageBreak/>
        <w:t>Cuprins</w:t>
      </w:r>
    </w:p>
    <w:sdt>
      <w:sdtPr>
        <w:rPr>
          <w:rFonts w:ascii="Times New Roman" w:eastAsia="Times New Roman" w:hAnsi="Times New Roman" w:cstheme="minorBidi"/>
          <w:b w:val="0"/>
          <w:bCs w:val="0"/>
          <w:noProof/>
        </w:rPr>
        <w:id w:val="1050727816"/>
        <w:docPartObj>
          <w:docPartGallery w:val="Table of Contents"/>
          <w:docPartUnique/>
        </w:docPartObj>
      </w:sdtPr>
      <w:sdtContent>
        <w:p>
          <w:pPr>
            <w:pStyle w:val="TOCHeading"/>
            <w:rPr>
              <w:rFonts w:asciiTheme="minorHAnsi" w:hAnsiTheme="minorHAnsi" w:cstheme="minorHAnsi"/>
              <w:noProof/>
            </w:rPr>
          </w:pPr>
        </w:p>
        <w:p>
          <w:pPr>
            <w:pStyle w:val="TOC1"/>
            <w:rPr>
              <w:rFonts w:asciiTheme="minorHAnsi" w:eastAsiaTheme="minorEastAsia" w:hAnsiTheme="minorHAnsi" w:cstheme="minorHAnsi"/>
              <w:noProof/>
              <w:sz w:val="22"/>
              <w:szCs w:val="22"/>
              <w:lang w:val="en-GB" w:eastAsia="en-GB" w:bidi="ar-SA"/>
            </w:rPr>
          </w:pPr>
          <w:r>
            <w:rPr>
              <w:noProof/>
            </w:rPr>
            <w:fldChar w:fldCharType="begin"/>
          </w:r>
          <w:r>
            <w:rPr>
              <w:noProof/>
            </w:rPr>
            <w:instrText xml:space="preserve"> TOC \o "1-3" \h \z \u </w:instrText>
          </w:r>
          <w:r>
            <w:rPr>
              <w:noProof/>
            </w:rPr>
            <w:fldChar w:fldCharType="separate"/>
          </w:r>
          <w:hyperlink w:anchor="_Toc494882529" w:history="1">
            <w:r>
              <w:rPr>
                <w:rStyle w:val="Hyperlink"/>
                <w:rFonts w:asciiTheme="minorHAnsi" w:hAnsiTheme="minorHAnsi" w:cstheme="minorHAnsi"/>
                <w:noProof/>
              </w:rPr>
              <w:t>1.</w:t>
            </w:r>
            <w:r>
              <w:rPr>
                <w:rFonts w:asciiTheme="minorHAnsi" w:eastAsiaTheme="minorEastAsia" w:hAnsiTheme="minorHAnsi" w:cstheme="minorHAnsi"/>
                <w:noProof/>
                <w:sz w:val="22"/>
                <w:szCs w:val="22"/>
                <w:lang w:val="en-GB" w:eastAsia="en-GB" w:bidi="ar-SA"/>
              </w:rPr>
              <w:tab/>
            </w:r>
            <w:r>
              <w:rPr>
                <w:rStyle w:val="Hyperlink"/>
                <w:rFonts w:asciiTheme="minorHAnsi" w:hAnsiTheme="minorHAnsi" w:cstheme="minorHAnsi"/>
                <w:noProof/>
              </w:rPr>
              <w:t>INTRODUCERE – CALEA CĂTRE UN SPAȚIU UNIC EUROPEAN PENTRU TVA</w:t>
            </w:r>
            <w:r>
              <w:rPr>
                <w:rFonts w:asciiTheme="minorHAnsi" w:hAnsiTheme="minorHAnsi" w:cstheme="minorHAnsi"/>
                <w:noProof/>
                <w:webHidden/>
              </w:rPr>
              <w:tab/>
            </w:r>
            <w:r>
              <w:rPr>
                <w:rFonts w:asciiTheme="minorHAnsi" w:hAnsiTheme="minorHAnsi" w:cstheme="minorHAnsi"/>
                <w:noProof/>
                <w:webHidden/>
              </w:rPr>
              <w:fldChar w:fldCharType="begin"/>
            </w:r>
            <w:r>
              <w:rPr>
                <w:rFonts w:asciiTheme="minorHAnsi" w:hAnsiTheme="minorHAnsi" w:cstheme="minorHAnsi"/>
                <w:noProof/>
                <w:webHidden/>
              </w:rPr>
              <w:instrText xml:space="preserve"> PAGEREF _Toc494882529 \h </w:instrText>
            </w:r>
            <w:r>
              <w:rPr>
                <w:rFonts w:asciiTheme="minorHAnsi" w:hAnsiTheme="minorHAnsi" w:cstheme="minorHAnsi"/>
                <w:noProof/>
                <w:webHidden/>
              </w:rPr>
            </w:r>
            <w:r>
              <w:rPr>
                <w:rFonts w:asciiTheme="minorHAnsi" w:hAnsiTheme="minorHAnsi" w:cstheme="minorHAnsi"/>
                <w:noProof/>
                <w:webHidden/>
              </w:rPr>
              <w:fldChar w:fldCharType="separate"/>
            </w:r>
            <w:r>
              <w:rPr>
                <w:rFonts w:asciiTheme="minorHAnsi" w:hAnsiTheme="minorHAnsi" w:cstheme="minorHAnsi"/>
                <w:noProof/>
                <w:webHidden/>
              </w:rPr>
              <w:t>3</w:t>
            </w:r>
            <w:r>
              <w:rPr>
                <w:rFonts w:asciiTheme="minorHAnsi" w:hAnsiTheme="minorHAnsi" w:cstheme="minorHAnsi"/>
                <w:noProof/>
                <w:webHidden/>
              </w:rPr>
              <w:fldChar w:fldCharType="end"/>
            </w:r>
          </w:hyperlink>
        </w:p>
        <w:p>
          <w:pPr>
            <w:pStyle w:val="TOC1"/>
            <w:rPr>
              <w:rFonts w:asciiTheme="minorHAnsi" w:eastAsiaTheme="minorEastAsia" w:hAnsiTheme="minorHAnsi" w:cstheme="minorHAnsi"/>
              <w:noProof/>
              <w:sz w:val="22"/>
              <w:szCs w:val="22"/>
              <w:lang w:val="en-GB" w:eastAsia="en-GB" w:bidi="ar-SA"/>
            </w:rPr>
          </w:pPr>
          <w:hyperlink w:anchor="_Toc494882530" w:history="1">
            <w:r>
              <w:rPr>
                <w:rStyle w:val="Hyperlink"/>
                <w:rFonts w:asciiTheme="minorHAnsi" w:hAnsiTheme="minorHAnsi" w:cstheme="minorHAnsi"/>
                <w:noProof/>
              </w:rPr>
              <w:t>2.</w:t>
            </w:r>
            <w:r>
              <w:rPr>
                <w:rFonts w:asciiTheme="minorHAnsi" w:eastAsiaTheme="minorEastAsia" w:hAnsiTheme="minorHAnsi" w:cstheme="minorHAnsi"/>
                <w:noProof/>
                <w:sz w:val="22"/>
                <w:szCs w:val="22"/>
                <w:lang w:val="en-GB" w:eastAsia="en-GB" w:bidi="ar-SA"/>
              </w:rPr>
              <w:tab/>
            </w:r>
            <w:r>
              <w:rPr>
                <w:rStyle w:val="Hyperlink"/>
                <w:rFonts w:asciiTheme="minorHAnsi" w:hAnsiTheme="minorHAnsi" w:cstheme="minorHAnsi"/>
                <w:noProof/>
              </w:rPr>
              <w:t>PROGRESELE ÎNREGISTRATE DE LA ADOPTAREA PLANULUI DE ACȚIUNE PRIVIND TVA</w:t>
            </w:r>
            <w:r>
              <w:rPr>
                <w:rFonts w:asciiTheme="minorHAnsi" w:hAnsiTheme="minorHAnsi" w:cstheme="minorHAnsi"/>
                <w:noProof/>
                <w:webHidden/>
              </w:rPr>
              <w:tab/>
            </w:r>
            <w:r>
              <w:rPr>
                <w:rFonts w:asciiTheme="minorHAnsi" w:hAnsiTheme="minorHAnsi" w:cstheme="minorHAnsi"/>
                <w:noProof/>
                <w:webHidden/>
              </w:rPr>
              <w:fldChar w:fldCharType="begin"/>
            </w:r>
            <w:r>
              <w:rPr>
                <w:rFonts w:asciiTheme="minorHAnsi" w:hAnsiTheme="minorHAnsi" w:cstheme="minorHAnsi"/>
                <w:noProof/>
                <w:webHidden/>
              </w:rPr>
              <w:instrText xml:space="preserve"> PAGEREF _Toc494882530 \h </w:instrText>
            </w:r>
            <w:r>
              <w:rPr>
                <w:rFonts w:asciiTheme="minorHAnsi" w:hAnsiTheme="minorHAnsi" w:cstheme="minorHAnsi"/>
                <w:noProof/>
                <w:webHidden/>
              </w:rPr>
            </w:r>
            <w:r>
              <w:rPr>
                <w:rFonts w:asciiTheme="minorHAnsi" w:hAnsiTheme="minorHAnsi" w:cstheme="minorHAnsi"/>
                <w:noProof/>
                <w:webHidden/>
              </w:rPr>
              <w:fldChar w:fldCharType="separate"/>
            </w:r>
            <w:r>
              <w:rPr>
                <w:rFonts w:asciiTheme="minorHAnsi" w:hAnsiTheme="minorHAnsi" w:cstheme="minorHAnsi"/>
                <w:noProof/>
                <w:webHidden/>
              </w:rPr>
              <w:t>4</w:t>
            </w:r>
            <w:r>
              <w:rPr>
                <w:rFonts w:asciiTheme="minorHAnsi" w:hAnsiTheme="minorHAnsi" w:cstheme="minorHAnsi"/>
                <w:noProof/>
                <w:webHidden/>
              </w:rPr>
              <w:fldChar w:fldCharType="end"/>
            </w:r>
          </w:hyperlink>
        </w:p>
        <w:p>
          <w:pPr>
            <w:pStyle w:val="TOC2"/>
            <w:rPr>
              <w:rFonts w:asciiTheme="minorHAnsi" w:eastAsiaTheme="minorEastAsia" w:hAnsiTheme="minorHAnsi" w:cstheme="minorHAnsi"/>
              <w:noProof/>
              <w:sz w:val="22"/>
              <w:szCs w:val="22"/>
              <w:lang w:val="en-GB" w:eastAsia="en-GB" w:bidi="ar-SA"/>
            </w:rPr>
          </w:pPr>
          <w:hyperlink w:anchor="_Toc494882531" w:history="1">
            <w:r>
              <w:rPr>
                <w:rStyle w:val="Hyperlink"/>
                <w:rFonts w:asciiTheme="minorHAnsi" w:hAnsiTheme="minorHAnsi" w:cstheme="minorHAnsi"/>
                <w:noProof/>
              </w:rPr>
              <w:t>2.1</w:t>
            </w:r>
            <w:r>
              <w:rPr>
                <w:rFonts w:asciiTheme="minorHAnsi" w:eastAsiaTheme="minorEastAsia" w:hAnsiTheme="minorHAnsi" w:cstheme="minorHAnsi"/>
                <w:noProof/>
                <w:sz w:val="22"/>
                <w:szCs w:val="22"/>
                <w:lang w:val="en-GB" w:eastAsia="en-GB" w:bidi="ar-SA"/>
              </w:rPr>
              <w:tab/>
            </w:r>
            <w:r>
              <w:rPr>
                <w:rStyle w:val="Hyperlink"/>
                <w:rFonts w:asciiTheme="minorHAnsi" w:hAnsiTheme="minorHAnsi" w:cstheme="minorHAnsi"/>
                <w:noProof/>
              </w:rPr>
              <w:t>Adaptarea sistemului de TVA la economia digitală și pregătirile pentru o politică modernizată privind cotele</w:t>
            </w:r>
            <w:r>
              <w:rPr>
                <w:rFonts w:asciiTheme="minorHAnsi" w:hAnsiTheme="minorHAnsi" w:cstheme="minorHAnsi"/>
                <w:noProof/>
                <w:webHidden/>
              </w:rPr>
              <w:tab/>
            </w:r>
            <w:r>
              <w:rPr>
                <w:rFonts w:asciiTheme="minorHAnsi" w:hAnsiTheme="minorHAnsi" w:cstheme="minorHAnsi"/>
                <w:noProof/>
                <w:webHidden/>
              </w:rPr>
              <w:fldChar w:fldCharType="begin"/>
            </w:r>
            <w:r>
              <w:rPr>
                <w:rFonts w:asciiTheme="minorHAnsi" w:hAnsiTheme="minorHAnsi" w:cstheme="minorHAnsi"/>
                <w:noProof/>
                <w:webHidden/>
              </w:rPr>
              <w:instrText xml:space="preserve"> PAGEREF _Toc494882531 \h </w:instrText>
            </w:r>
            <w:r>
              <w:rPr>
                <w:rFonts w:asciiTheme="minorHAnsi" w:hAnsiTheme="minorHAnsi" w:cstheme="minorHAnsi"/>
                <w:noProof/>
                <w:webHidden/>
              </w:rPr>
            </w:r>
            <w:r>
              <w:rPr>
                <w:rFonts w:asciiTheme="minorHAnsi" w:hAnsiTheme="minorHAnsi" w:cstheme="minorHAnsi"/>
                <w:noProof/>
                <w:webHidden/>
              </w:rPr>
              <w:fldChar w:fldCharType="separate"/>
            </w:r>
            <w:r>
              <w:rPr>
                <w:rFonts w:asciiTheme="minorHAnsi" w:hAnsiTheme="minorHAnsi" w:cstheme="minorHAnsi"/>
                <w:noProof/>
                <w:webHidden/>
              </w:rPr>
              <w:t>4</w:t>
            </w:r>
            <w:r>
              <w:rPr>
                <w:rFonts w:asciiTheme="minorHAnsi" w:hAnsiTheme="minorHAnsi" w:cstheme="minorHAnsi"/>
                <w:noProof/>
                <w:webHidden/>
              </w:rPr>
              <w:fldChar w:fldCharType="end"/>
            </w:r>
          </w:hyperlink>
        </w:p>
        <w:p>
          <w:pPr>
            <w:pStyle w:val="TOC3"/>
            <w:rPr>
              <w:rFonts w:asciiTheme="minorHAnsi" w:eastAsiaTheme="minorEastAsia" w:hAnsiTheme="minorHAnsi" w:cstheme="minorHAnsi"/>
              <w:noProof/>
              <w:sz w:val="22"/>
              <w:szCs w:val="22"/>
              <w:lang w:val="en-GB" w:eastAsia="en-GB" w:bidi="ar-SA"/>
            </w:rPr>
          </w:pPr>
          <w:hyperlink w:anchor="_Toc494882532" w:history="1">
            <w:r>
              <w:rPr>
                <w:rStyle w:val="Hyperlink"/>
                <w:rFonts w:asciiTheme="minorHAnsi" w:hAnsiTheme="minorHAnsi" w:cstheme="minorHAnsi"/>
                <w:noProof/>
              </w:rPr>
              <w:t>2.1.1.</w:t>
            </w:r>
            <w:r>
              <w:rPr>
                <w:rFonts w:asciiTheme="minorHAnsi" w:eastAsiaTheme="minorEastAsia" w:hAnsiTheme="minorHAnsi" w:cstheme="minorHAnsi"/>
                <w:noProof/>
                <w:sz w:val="22"/>
                <w:szCs w:val="22"/>
                <w:lang w:val="en-GB" w:eastAsia="en-GB" w:bidi="ar-SA"/>
              </w:rPr>
              <w:tab/>
            </w:r>
            <w:r>
              <w:rPr>
                <w:rStyle w:val="Hyperlink"/>
                <w:rFonts w:asciiTheme="minorHAnsi" w:hAnsiTheme="minorHAnsi" w:cstheme="minorHAnsi"/>
                <w:noProof/>
              </w:rPr>
              <w:t>Propunerile în materie de TVA pentru comerțul electronic</w:t>
            </w:r>
            <w:r>
              <w:rPr>
                <w:rFonts w:asciiTheme="minorHAnsi" w:hAnsiTheme="minorHAnsi" w:cstheme="minorHAnsi"/>
                <w:noProof/>
                <w:webHidden/>
              </w:rPr>
              <w:tab/>
            </w:r>
            <w:r>
              <w:rPr>
                <w:rFonts w:asciiTheme="minorHAnsi" w:hAnsiTheme="minorHAnsi" w:cstheme="minorHAnsi"/>
                <w:noProof/>
                <w:webHidden/>
              </w:rPr>
              <w:fldChar w:fldCharType="begin"/>
            </w:r>
            <w:r>
              <w:rPr>
                <w:rFonts w:asciiTheme="minorHAnsi" w:hAnsiTheme="minorHAnsi" w:cstheme="minorHAnsi"/>
                <w:noProof/>
                <w:webHidden/>
              </w:rPr>
              <w:instrText xml:space="preserve"> PAGEREF _Toc494882532 \h </w:instrText>
            </w:r>
            <w:r>
              <w:rPr>
                <w:rFonts w:asciiTheme="minorHAnsi" w:hAnsiTheme="minorHAnsi" w:cstheme="minorHAnsi"/>
                <w:noProof/>
                <w:webHidden/>
              </w:rPr>
            </w:r>
            <w:r>
              <w:rPr>
                <w:rFonts w:asciiTheme="minorHAnsi" w:hAnsiTheme="minorHAnsi" w:cstheme="minorHAnsi"/>
                <w:noProof/>
                <w:webHidden/>
              </w:rPr>
              <w:fldChar w:fldCharType="separate"/>
            </w:r>
            <w:r>
              <w:rPr>
                <w:rFonts w:asciiTheme="minorHAnsi" w:hAnsiTheme="minorHAnsi" w:cstheme="minorHAnsi"/>
                <w:noProof/>
                <w:webHidden/>
              </w:rPr>
              <w:t>5</w:t>
            </w:r>
            <w:r>
              <w:rPr>
                <w:rFonts w:asciiTheme="minorHAnsi" w:hAnsiTheme="minorHAnsi" w:cstheme="minorHAnsi"/>
                <w:noProof/>
                <w:webHidden/>
              </w:rPr>
              <w:fldChar w:fldCharType="end"/>
            </w:r>
          </w:hyperlink>
        </w:p>
        <w:p>
          <w:pPr>
            <w:pStyle w:val="TOC3"/>
            <w:rPr>
              <w:rFonts w:asciiTheme="minorHAnsi" w:eastAsiaTheme="minorEastAsia" w:hAnsiTheme="minorHAnsi" w:cstheme="minorHAnsi"/>
              <w:noProof/>
              <w:sz w:val="22"/>
              <w:szCs w:val="22"/>
              <w:lang w:val="en-GB" w:eastAsia="en-GB" w:bidi="ar-SA"/>
            </w:rPr>
          </w:pPr>
          <w:hyperlink w:anchor="_Toc494882533" w:history="1">
            <w:r>
              <w:rPr>
                <w:rStyle w:val="Hyperlink"/>
                <w:rFonts w:asciiTheme="minorHAnsi" w:hAnsiTheme="minorHAnsi" w:cstheme="minorHAnsi"/>
                <w:noProof/>
              </w:rPr>
              <w:t>2.1.2.</w:t>
            </w:r>
            <w:r>
              <w:rPr>
                <w:rFonts w:asciiTheme="minorHAnsi" w:eastAsiaTheme="minorEastAsia" w:hAnsiTheme="minorHAnsi" w:cstheme="minorHAnsi"/>
                <w:noProof/>
                <w:sz w:val="22"/>
                <w:szCs w:val="22"/>
                <w:lang w:val="en-GB" w:eastAsia="en-GB" w:bidi="ar-SA"/>
              </w:rPr>
              <w:tab/>
            </w:r>
            <w:r>
              <w:rPr>
                <w:rStyle w:val="Hyperlink"/>
                <w:rFonts w:asciiTheme="minorHAnsi" w:hAnsiTheme="minorHAnsi" w:cstheme="minorHAnsi"/>
                <w:noProof/>
              </w:rPr>
              <w:t>Propunerea în materie de TVA pentru publicațiile electronice</w:t>
            </w:r>
            <w:r>
              <w:rPr>
                <w:rFonts w:asciiTheme="minorHAnsi" w:hAnsiTheme="minorHAnsi" w:cstheme="minorHAnsi"/>
                <w:noProof/>
                <w:webHidden/>
              </w:rPr>
              <w:tab/>
            </w:r>
            <w:r>
              <w:rPr>
                <w:rFonts w:asciiTheme="minorHAnsi" w:hAnsiTheme="minorHAnsi" w:cstheme="minorHAnsi"/>
                <w:noProof/>
                <w:webHidden/>
              </w:rPr>
              <w:fldChar w:fldCharType="begin"/>
            </w:r>
            <w:r>
              <w:rPr>
                <w:rFonts w:asciiTheme="minorHAnsi" w:hAnsiTheme="minorHAnsi" w:cstheme="minorHAnsi"/>
                <w:noProof/>
                <w:webHidden/>
              </w:rPr>
              <w:instrText xml:space="preserve"> PAGEREF _Toc494882533 \h </w:instrText>
            </w:r>
            <w:r>
              <w:rPr>
                <w:rFonts w:asciiTheme="minorHAnsi" w:hAnsiTheme="minorHAnsi" w:cstheme="minorHAnsi"/>
                <w:noProof/>
                <w:webHidden/>
              </w:rPr>
            </w:r>
            <w:r>
              <w:rPr>
                <w:rFonts w:asciiTheme="minorHAnsi" w:hAnsiTheme="minorHAnsi" w:cstheme="minorHAnsi"/>
                <w:noProof/>
                <w:webHidden/>
              </w:rPr>
              <w:fldChar w:fldCharType="separate"/>
            </w:r>
            <w:r>
              <w:rPr>
                <w:rFonts w:asciiTheme="minorHAnsi" w:hAnsiTheme="minorHAnsi" w:cstheme="minorHAnsi"/>
                <w:noProof/>
                <w:webHidden/>
              </w:rPr>
              <w:t>5</w:t>
            </w:r>
            <w:r>
              <w:rPr>
                <w:rFonts w:asciiTheme="minorHAnsi" w:hAnsiTheme="minorHAnsi" w:cstheme="minorHAnsi"/>
                <w:noProof/>
                <w:webHidden/>
              </w:rPr>
              <w:fldChar w:fldCharType="end"/>
            </w:r>
          </w:hyperlink>
        </w:p>
        <w:p>
          <w:pPr>
            <w:pStyle w:val="TOC2"/>
            <w:rPr>
              <w:rFonts w:asciiTheme="minorHAnsi" w:eastAsiaTheme="minorEastAsia" w:hAnsiTheme="minorHAnsi" w:cstheme="minorHAnsi"/>
              <w:noProof/>
              <w:sz w:val="22"/>
              <w:szCs w:val="22"/>
              <w:lang w:val="en-GB" w:eastAsia="en-GB" w:bidi="ar-SA"/>
            </w:rPr>
          </w:pPr>
          <w:hyperlink w:anchor="_Toc494882534" w:history="1">
            <w:r>
              <w:rPr>
                <w:rStyle w:val="Hyperlink"/>
                <w:rFonts w:asciiTheme="minorHAnsi" w:hAnsiTheme="minorHAnsi" w:cstheme="minorHAnsi"/>
                <w:noProof/>
              </w:rPr>
              <w:t>2.2</w:t>
            </w:r>
            <w:r>
              <w:rPr>
                <w:rFonts w:asciiTheme="minorHAnsi" w:eastAsiaTheme="minorEastAsia" w:hAnsiTheme="minorHAnsi" w:cstheme="minorHAnsi"/>
                <w:noProof/>
                <w:sz w:val="22"/>
                <w:szCs w:val="22"/>
                <w:lang w:val="en-GB" w:eastAsia="en-GB" w:bidi="ar-SA"/>
              </w:rPr>
              <w:tab/>
            </w:r>
            <w:r>
              <w:rPr>
                <w:rStyle w:val="Hyperlink"/>
                <w:rFonts w:asciiTheme="minorHAnsi" w:hAnsiTheme="minorHAnsi" w:cstheme="minorHAnsi"/>
                <w:noProof/>
              </w:rPr>
              <w:t>Măsuri specifice de combatere a fraudei</w:t>
            </w:r>
            <w:r>
              <w:rPr>
                <w:rFonts w:asciiTheme="minorHAnsi" w:hAnsiTheme="minorHAnsi" w:cstheme="minorHAnsi"/>
                <w:noProof/>
                <w:webHidden/>
              </w:rPr>
              <w:tab/>
            </w:r>
            <w:r>
              <w:rPr>
                <w:rFonts w:asciiTheme="minorHAnsi" w:hAnsiTheme="minorHAnsi" w:cstheme="minorHAnsi"/>
                <w:noProof/>
                <w:webHidden/>
              </w:rPr>
              <w:fldChar w:fldCharType="begin"/>
            </w:r>
            <w:r>
              <w:rPr>
                <w:rFonts w:asciiTheme="minorHAnsi" w:hAnsiTheme="minorHAnsi" w:cstheme="minorHAnsi"/>
                <w:noProof/>
                <w:webHidden/>
              </w:rPr>
              <w:instrText xml:space="preserve"> PAGEREF _Toc494882534 \h </w:instrText>
            </w:r>
            <w:r>
              <w:rPr>
                <w:rFonts w:asciiTheme="minorHAnsi" w:hAnsiTheme="minorHAnsi" w:cstheme="minorHAnsi"/>
                <w:noProof/>
                <w:webHidden/>
              </w:rPr>
            </w:r>
            <w:r>
              <w:rPr>
                <w:rFonts w:asciiTheme="minorHAnsi" w:hAnsiTheme="minorHAnsi" w:cstheme="minorHAnsi"/>
                <w:noProof/>
                <w:webHidden/>
              </w:rPr>
              <w:fldChar w:fldCharType="separate"/>
            </w:r>
            <w:r>
              <w:rPr>
                <w:rFonts w:asciiTheme="minorHAnsi" w:hAnsiTheme="minorHAnsi" w:cstheme="minorHAnsi"/>
                <w:noProof/>
                <w:webHidden/>
              </w:rPr>
              <w:t>6</w:t>
            </w:r>
            <w:r>
              <w:rPr>
                <w:rFonts w:asciiTheme="minorHAnsi" w:hAnsiTheme="minorHAnsi" w:cstheme="minorHAnsi"/>
                <w:noProof/>
                <w:webHidden/>
              </w:rPr>
              <w:fldChar w:fldCharType="end"/>
            </w:r>
          </w:hyperlink>
        </w:p>
        <w:p>
          <w:pPr>
            <w:pStyle w:val="TOC3"/>
            <w:rPr>
              <w:rFonts w:asciiTheme="minorHAnsi" w:eastAsiaTheme="minorEastAsia" w:hAnsiTheme="minorHAnsi" w:cstheme="minorHAnsi"/>
              <w:noProof/>
              <w:sz w:val="22"/>
              <w:szCs w:val="22"/>
              <w:lang w:val="en-GB" w:eastAsia="en-GB" w:bidi="ar-SA"/>
            </w:rPr>
          </w:pPr>
          <w:hyperlink w:anchor="_Toc494882535" w:history="1">
            <w:r>
              <w:rPr>
                <w:rStyle w:val="Hyperlink"/>
                <w:rFonts w:asciiTheme="minorHAnsi" w:hAnsiTheme="minorHAnsi" w:cstheme="minorHAnsi"/>
                <w:noProof/>
              </w:rPr>
              <w:t>2.2.1.</w:t>
            </w:r>
            <w:r>
              <w:rPr>
                <w:rFonts w:asciiTheme="minorHAnsi" w:eastAsiaTheme="minorEastAsia" w:hAnsiTheme="minorHAnsi" w:cstheme="minorHAnsi"/>
                <w:noProof/>
                <w:sz w:val="22"/>
                <w:szCs w:val="22"/>
                <w:lang w:val="en-GB" w:eastAsia="en-GB" w:bidi="ar-SA"/>
              </w:rPr>
              <w:tab/>
            </w:r>
            <w:r>
              <w:rPr>
                <w:rStyle w:val="Hyperlink"/>
                <w:rFonts w:asciiTheme="minorHAnsi" w:hAnsiTheme="minorHAnsi" w:cstheme="minorHAnsi"/>
                <w:noProof/>
              </w:rPr>
              <w:t>Îmbunătățirea colectării impozitelor și a cooperării administrative</w:t>
            </w:r>
            <w:r>
              <w:rPr>
                <w:rFonts w:asciiTheme="minorHAnsi" w:hAnsiTheme="minorHAnsi" w:cstheme="minorHAnsi"/>
                <w:noProof/>
                <w:webHidden/>
              </w:rPr>
              <w:tab/>
            </w:r>
            <w:r>
              <w:rPr>
                <w:rFonts w:asciiTheme="minorHAnsi" w:hAnsiTheme="minorHAnsi" w:cstheme="minorHAnsi"/>
                <w:noProof/>
                <w:webHidden/>
              </w:rPr>
              <w:fldChar w:fldCharType="begin"/>
            </w:r>
            <w:r>
              <w:rPr>
                <w:rFonts w:asciiTheme="minorHAnsi" w:hAnsiTheme="minorHAnsi" w:cstheme="minorHAnsi"/>
                <w:noProof/>
                <w:webHidden/>
              </w:rPr>
              <w:instrText xml:space="preserve"> PAGEREF _Toc494882535 \h </w:instrText>
            </w:r>
            <w:r>
              <w:rPr>
                <w:rFonts w:asciiTheme="minorHAnsi" w:hAnsiTheme="minorHAnsi" w:cstheme="minorHAnsi"/>
                <w:noProof/>
                <w:webHidden/>
              </w:rPr>
            </w:r>
            <w:r>
              <w:rPr>
                <w:rFonts w:asciiTheme="minorHAnsi" w:hAnsiTheme="minorHAnsi" w:cstheme="minorHAnsi"/>
                <w:noProof/>
                <w:webHidden/>
              </w:rPr>
              <w:fldChar w:fldCharType="separate"/>
            </w:r>
            <w:r>
              <w:rPr>
                <w:rFonts w:asciiTheme="minorHAnsi" w:hAnsiTheme="minorHAnsi" w:cstheme="minorHAnsi"/>
                <w:noProof/>
                <w:webHidden/>
              </w:rPr>
              <w:t>6</w:t>
            </w:r>
            <w:r>
              <w:rPr>
                <w:rFonts w:asciiTheme="minorHAnsi" w:hAnsiTheme="minorHAnsi" w:cstheme="minorHAnsi"/>
                <w:noProof/>
                <w:webHidden/>
              </w:rPr>
              <w:fldChar w:fldCharType="end"/>
            </w:r>
          </w:hyperlink>
        </w:p>
        <w:p>
          <w:pPr>
            <w:pStyle w:val="TOC3"/>
            <w:rPr>
              <w:rFonts w:asciiTheme="minorHAnsi" w:eastAsiaTheme="minorEastAsia" w:hAnsiTheme="minorHAnsi" w:cstheme="minorHAnsi"/>
              <w:noProof/>
              <w:sz w:val="22"/>
              <w:szCs w:val="22"/>
              <w:lang w:val="en-GB" w:eastAsia="en-GB" w:bidi="ar-SA"/>
            </w:rPr>
          </w:pPr>
          <w:hyperlink w:anchor="_Toc494882536" w:history="1">
            <w:r>
              <w:rPr>
                <w:rStyle w:val="Hyperlink"/>
                <w:rFonts w:asciiTheme="minorHAnsi" w:hAnsiTheme="minorHAnsi" w:cstheme="minorHAnsi"/>
                <w:noProof/>
              </w:rPr>
              <w:t>2.2.2</w:t>
            </w:r>
            <w:r>
              <w:rPr>
                <w:rFonts w:asciiTheme="minorHAnsi" w:eastAsiaTheme="minorEastAsia" w:hAnsiTheme="minorHAnsi" w:cstheme="minorHAnsi"/>
                <w:noProof/>
                <w:sz w:val="22"/>
                <w:szCs w:val="22"/>
                <w:lang w:val="en-GB" w:eastAsia="en-GB" w:bidi="ar-SA"/>
              </w:rPr>
              <w:tab/>
            </w:r>
            <w:r>
              <w:rPr>
                <w:rStyle w:val="Hyperlink"/>
                <w:rFonts w:asciiTheme="minorHAnsi" w:hAnsiTheme="minorHAnsi" w:cstheme="minorHAnsi"/>
                <w:noProof/>
              </w:rPr>
              <w:t>Derogarea temporară</w:t>
            </w:r>
            <w:r>
              <w:rPr>
                <w:rFonts w:asciiTheme="minorHAnsi" w:hAnsiTheme="minorHAnsi" w:cstheme="minorHAnsi"/>
                <w:noProof/>
                <w:webHidden/>
              </w:rPr>
              <w:tab/>
            </w:r>
            <w:r>
              <w:rPr>
                <w:rFonts w:asciiTheme="minorHAnsi" w:hAnsiTheme="minorHAnsi" w:cstheme="minorHAnsi"/>
                <w:noProof/>
                <w:webHidden/>
              </w:rPr>
              <w:fldChar w:fldCharType="begin"/>
            </w:r>
            <w:r>
              <w:rPr>
                <w:rFonts w:asciiTheme="minorHAnsi" w:hAnsiTheme="minorHAnsi" w:cstheme="minorHAnsi"/>
                <w:noProof/>
                <w:webHidden/>
              </w:rPr>
              <w:instrText xml:space="preserve"> PAGEREF _Toc494882536 \h </w:instrText>
            </w:r>
            <w:r>
              <w:rPr>
                <w:rFonts w:asciiTheme="minorHAnsi" w:hAnsiTheme="minorHAnsi" w:cstheme="minorHAnsi"/>
                <w:noProof/>
                <w:webHidden/>
              </w:rPr>
            </w:r>
            <w:r>
              <w:rPr>
                <w:rFonts w:asciiTheme="minorHAnsi" w:hAnsiTheme="minorHAnsi" w:cstheme="minorHAnsi"/>
                <w:noProof/>
                <w:webHidden/>
              </w:rPr>
              <w:fldChar w:fldCharType="separate"/>
            </w:r>
            <w:r>
              <w:rPr>
                <w:rFonts w:asciiTheme="minorHAnsi" w:hAnsiTheme="minorHAnsi" w:cstheme="minorHAnsi"/>
                <w:noProof/>
                <w:webHidden/>
              </w:rPr>
              <w:t>6</w:t>
            </w:r>
            <w:r>
              <w:rPr>
                <w:rFonts w:asciiTheme="minorHAnsi" w:hAnsiTheme="minorHAnsi" w:cstheme="minorHAnsi"/>
                <w:noProof/>
                <w:webHidden/>
              </w:rPr>
              <w:fldChar w:fldCharType="end"/>
            </w:r>
          </w:hyperlink>
        </w:p>
        <w:p>
          <w:pPr>
            <w:pStyle w:val="TOC1"/>
            <w:rPr>
              <w:rFonts w:asciiTheme="minorHAnsi" w:eastAsiaTheme="minorEastAsia" w:hAnsiTheme="minorHAnsi" w:cstheme="minorHAnsi"/>
              <w:noProof/>
              <w:sz w:val="22"/>
              <w:szCs w:val="22"/>
              <w:lang w:val="en-GB" w:eastAsia="en-GB" w:bidi="ar-SA"/>
            </w:rPr>
          </w:pPr>
          <w:hyperlink w:anchor="_Toc494882537" w:history="1">
            <w:r>
              <w:rPr>
                <w:rStyle w:val="Hyperlink"/>
                <w:rFonts w:asciiTheme="minorHAnsi" w:hAnsiTheme="minorHAnsi" w:cstheme="minorHAnsi"/>
                <w:noProof/>
              </w:rPr>
              <w:t>3.</w:t>
            </w:r>
            <w:r>
              <w:rPr>
                <w:rFonts w:asciiTheme="minorHAnsi" w:eastAsiaTheme="minorEastAsia" w:hAnsiTheme="minorHAnsi" w:cstheme="minorHAnsi"/>
                <w:noProof/>
                <w:sz w:val="22"/>
                <w:szCs w:val="22"/>
                <w:lang w:val="en-GB" w:eastAsia="en-GB" w:bidi="ar-SA"/>
              </w:rPr>
              <w:tab/>
            </w:r>
            <w:r>
              <w:rPr>
                <w:rStyle w:val="Hyperlink"/>
                <w:rFonts w:asciiTheme="minorHAnsi" w:hAnsiTheme="minorHAnsi" w:cstheme="minorHAnsi"/>
                <w:noProof/>
              </w:rPr>
              <w:t>PUNEREA ÎN APLICARE A PROPUNERILOR VIITOARE</w:t>
            </w:r>
            <w:r>
              <w:rPr>
                <w:rFonts w:asciiTheme="minorHAnsi" w:hAnsiTheme="minorHAnsi" w:cstheme="minorHAnsi"/>
                <w:noProof/>
                <w:webHidden/>
              </w:rPr>
              <w:tab/>
            </w:r>
            <w:r>
              <w:rPr>
                <w:rFonts w:asciiTheme="minorHAnsi" w:hAnsiTheme="minorHAnsi" w:cstheme="minorHAnsi"/>
                <w:noProof/>
                <w:webHidden/>
              </w:rPr>
              <w:fldChar w:fldCharType="begin"/>
            </w:r>
            <w:r>
              <w:rPr>
                <w:rFonts w:asciiTheme="minorHAnsi" w:hAnsiTheme="minorHAnsi" w:cstheme="minorHAnsi"/>
                <w:noProof/>
                <w:webHidden/>
              </w:rPr>
              <w:instrText xml:space="preserve"> PAGEREF _Toc494882537 \h </w:instrText>
            </w:r>
            <w:r>
              <w:rPr>
                <w:rFonts w:asciiTheme="minorHAnsi" w:hAnsiTheme="minorHAnsi" w:cstheme="minorHAnsi"/>
                <w:noProof/>
                <w:webHidden/>
              </w:rPr>
            </w:r>
            <w:r>
              <w:rPr>
                <w:rFonts w:asciiTheme="minorHAnsi" w:hAnsiTheme="minorHAnsi" w:cstheme="minorHAnsi"/>
                <w:noProof/>
                <w:webHidden/>
              </w:rPr>
              <w:fldChar w:fldCharType="separate"/>
            </w:r>
            <w:r>
              <w:rPr>
                <w:rFonts w:asciiTheme="minorHAnsi" w:hAnsiTheme="minorHAnsi" w:cstheme="minorHAnsi"/>
                <w:noProof/>
                <w:webHidden/>
              </w:rPr>
              <w:t>7</w:t>
            </w:r>
            <w:r>
              <w:rPr>
                <w:rFonts w:asciiTheme="minorHAnsi" w:hAnsiTheme="minorHAnsi" w:cstheme="minorHAnsi"/>
                <w:noProof/>
                <w:webHidden/>
              </w:rPr>
              <w:fldChar w:fldCharType="end"/>
            </w:r>
          </w:hyperlink>
        </w:p>
        <w:p>
          <w:pPr>
            <w:pStyle w:val="TOC2"/>
            <w:rPr>
              <w:rFonts w:asciiTheme="minorHAnsi" w:eastAsiaTheme="minorEastAsia" w:hAnsiTheme="minorHAnsi" w:cstheme="minorHAnsi"/>
              <w:noProof/>
              <w:sz w:val="22"/>
              <w:szCs w:val="22"/>
              <w:lang w:val="en-GB" w:eastAsia="en-GB" w:bidi="ar-SA"/>
            </w:rPr>
          </w:pPr>
          <w:hyperlink w:anchor="_Toc494882538" w:history="1">
            <w:r>
              <w:rPr>
                <w:rStyle w:val="Hyperlink"/>
                <w:rFonts w:asciiTheme="minorHAnsi" w:hAnsiTheme="minorHAnsi" w:cstheme="minorHAnsi"/>
                <w:noProof/>
              </w:rPr>
              <w:t>3.1</w:t>
            </w:r>
            <w:r>
              <w:rPr>
                <w:rFonts w:asciiTheme="minorHAnsi" w:eastAsiaTheme="minorEastAsia" w:hAnsiTheme="minorHAnsi" w:cstheme="minorHAnsi"/>
                <w:noProof/>
                <w:sz w:val="22"/>
                <w:szCs w:val="22"/>
                <w:lang w:val="en-GB" w:eastAsia="en-GB" w:bidi="ar-SA"/>
              </w:rPr>
              <w:tab/>
            </w:r>
            <w:r>
              <w:rPr>
                <w:rStyle w:val="Hyperlink"/>
                <w:rFonts w:asciiTheme="minorHAnsi" w:hAnsiTheme="minorHAnsi" w:cstheme="minorHAnsi"/>
                <w:noProof/>
              </w:rPr>
              <w:t>Către un spațiu unic european solid pentru TVA</w:t>
            </w:r>
            <w:r>
              <w:rPr>
                <w:rFonts w:asciiTheme="minorHAnsi" w:hAnsiTheme="minorHAnsi" w:cstheme="minorHAnsi"/>
                <w:noProof/>
                <w:webHidden/>
              </w:rPr>
              <w:tab/>
            </w:r>
            <w:r>
              <w:rPr>
                <w:rFonts w:asciiTheme="minorHAnsi" w:hAnsiTheme="minorHAnsi" w:cstheme="minorHAnsi"/>
                <w:noProof/>
                <w:webHidden/>
              </w:rPr>
              <w:fldChar w:fldCharType="begin"/>
            </w:r>
            <w:r>
              <w:rPr>
                <w:rFonts w:asciiTheme="minorHAnsi" w:hAnsiTheme="minorHAnsi" w:cstheme="minorHAnsi"/>
                <w:noProof/>
                <w:webHidden/>
              </w:rPr>
              <w:instrText xml:space="preserve"> PAGEREF _Toc494882538 \h </w:instrText>
            </w:r>
            <w:r>
              <w:rPr>
                <w:rFonts w:asciiTheme="minorHAnsi" w:hAnsiTheme="minorHAnsi" w:cstheme="minorHAnsi"/>
                <w:noProof/>
                <w:webHidden/>
              </w:rPr>
            </w:r>
            <w:r>
              <w:rPr>
                <w:rFonts w:asciiTheme="minorHAnsi" w:hAnsiTheme="minorHAnsi" w:cstheme="minorHAnsi"/>
                <w:noProof/>
                <w:webHidden/>
              </w:rPr>
              <w:fldChar w:fldCharType="separate"/>
            </w:r>
            <w:r>
              <w:rPr>
                <w:rFonts w:asciiTheme="minorHAnsi" w:hAnsiTheme="minorHAnsi" w:cstheme="minorHAnsi"/>
                <w:noProof/>
                <w:webHidden/>
              </w:rPr>
              <w:t>7</w:t>
            </w:r>
            <w:r>
              <w:rPr>
                <w:rFonts w:asciiTheme="minorHAnsi" w:hAnsiTheme="minorHAnsi" w:cstheme="minorHAnsi"/>
                <w:noProof/>
                <w:webHidden/>
              </w:rPr>
              <w:fldChar w:fldCharType="end"/>
            </w:r>
          </w:hyperlink>
        </w:p>
        <w:p>
          <w:pPr>
            <w:pStyle w:val="TOC3"/>
            <w:rPr>
              <w:rFonts w:asciiTheme="minorHAnsi" w:eastAsiaTheme="minorEastAsia" w:hAnsiTheme="minorHAnsi" w:cstheme="minorHAnsi"/>
              <w:noProof/>
              <w:sz w:val="22"/>
              <w:szCs w:val="22"/>
              <w:lang w:val="en-GB" w:eastAsia="en-GB" w:bidi="ar-SA"/>
            </w:rPr>
          </w:pPr>
          <w:hyperlink w:anchor="_Toc494882539" w:history="1">
            <w:r>
              <w:rPr>
                <w:rStyle w:val="Hyperlink"/>
                <w:rFonts w:asciiTheme="minorHAnsi" w:hAnsiTheme="minorHAnsi" w:cstheme="minorHAnsi"/>
                <w:noProof/>
              </w:rPr>
              <w:t>3.1.1.</w:t>
            </w:r>
            <w:r>
              <w:rPr>
                <w:rFonts w:asciiTheme="minorHAnsi" w:eastAsiaTheme="minorEastAsia" w:hAnsiTheme="minorHAnsi" w:cstheme="minorHAnsi"/>
                <w:noProof/>
                <w:sz w:val="22"/>
                <w:szCs w:val="22"/>
                <w:lang w:val="en-GB" w:eastAsia="en-GB" w:bidi="ar-SA"/>
              </w:rPr>
              <w:tab/>
            </w:r>
            <w:r>
              <w:rPr>
                <w:rStyle w:val="Hyperlink"/>
                <w:rFonts w:asciiTheme="minorHAnsi" w:hAnsiTheme="minorHAnsi" w:cstheme="minorHAnsi"/>
                <w:noProof/>
              </w:rPr>
              <w:t>Punerea în aplicare a primei etape a sistemului definitiv de TVA</w:t>
            </w:r>
            <w:r>
              <w:rPr>
                <w:rFonts w:asciiTheme="minorHAnsi" w:hAnsiTheme="minorHAnsi" w:cstheme="minorHAnsi"/>
                <w:noProof/>
                <w:webHidden/>
              </w:rPr>
              <w:tab/>
            </w:r>
            <w:r>
              <w:rPr>
                <w:rFonts w:asciiTheme="minorHAnsi" w:hAnsiTheme="minorHAnsi" w:cstheme="minorHAnsi"/>
                <w:noProof/>
                <w:webHidden/>
              </w:rPr>
              <w:fldChar w:fldCharType="begin"/>
            </w:r>
            <w:r>
              <w:rPr>
                <w:rFonts w:asciiTheme="minorHAnsi" w:hAnsiTheme="minorHAnsi" w:cstheme="minorHAnsi"/>
                <w:noProof/>
                <w:webHidden/>
              </w:rPr>
              <w:instrText xml:space="preserve"> PAGEREF _Toc494882539 \h </w:instrText>
            </w:r>
            <w:r>
              <w:rPr>
                <w:rFonts w:asciiTheme="minorHAnsi" w:hAnsiTheme="minorHAnsi" w:cstheme="minorHAnsi"/>
                <w:noProof/>
                <w:webHidden/>
              </w:rPr>
            </w:r>
            <w:r>
              <w:rPr>
                <w:rFonts w:asciiTheme="minorHAnsi" w:hAnsiTheme="minorHAnsi" w:cstheme="minorHAnsi"/>
                <w:noProof/>
                <w:webHidden/>
              </w:rPr>
              <w:fldChar w:fldCharType="separate"/>
            </w:r>
            <w:r>
              <w:rPr>
                <w:rFonts w:asciiTheme="minorHAnsi" w:hAnsiTheme="minorHAnsi" w:cstheme="minorHAnsi"/>
                <w:noProof/>
                <w:webHidden/>
              </w:rPr>
              <w:t>7</w:t>
            </w:r>
            <w:r>
              <w:rPr>
                <w:rFonts w:asciiTheme="minorHAnsi" w:hAnsiTheme="minorHAnsi" w:cstheme="minorHAnsi"/>
                <w:noProof/>
                <w:webHidden/>
              </w:rPr>
              <w:fldChar w:fldCharType="end"/>
            </w:r>
          </w:hyperlink>
        </w:p>
        <w:p>
          <w:pPr>
            <w:pStyle w:val="TOC3"/>
            <w:rPr>
              <w:rFonts w:asciiTheme="minorHAnsi" w:eastAsiaTheme="minorEastAsia" w:hAnsiTheme="minorHAnsi" w:cstheme="minorHAnsi"/>
              <w:noProof/>
              <w:sz w:val="22"/>
              <w:szCs w:val="22"/>
              <w:lang w:val="en-GB" w:eastAsia="en-GB" w:bidi="ar-SA"/>
            </w:rPr>
          </w:pPr>
          <w:hyperlink w:anchor="_Toc494882540" w:history="1">
            <w:r>
              <w:rPr>
                <w:rStyle w:val="Hyperlink"/>
                <w:rFonts w:asciiTheme="minorHAnsi" w:hAnsiTheme="minorHAnsi" w:cstheme="minorHAnsi"/>
                <w:noProof/>
              </w:rPr>
              <w:t xml:space="preserve">3.1.2. </w:t>
            </w:r>
            <w:r>
              <w:rPr>
                <w:rFonts w:asciiTheme="minorHAnsi" w:eastAsiaTheme="minorEastAsia" w:hAnsiTheme="minorHAnsi" w:cstheme="minorHAnsi"/>
                <w:noProof/>
                <w:sz w:val="22"/>
                <w:szCs w:val="22"/>
                <w:lang w:val="en-GB" w:eastAsia="en-GB" w:bidi="ar-SA"/>
              </w:rPr>
              <w:tab/>
            </w:r>
            <w:r>
              <w:rPr>
                <w:rStyle w:val="Hyperlink"/>
                <w:rFonts w:asciiTheme="minorHAnsi" w:hAnsiTheme="minorHAnsi" w:cstheme="minorHAnsi"/>
                <w:noProof/>
              </w:rPr>
              <w:t>Combaterea fraudei în domeniul TVA în prezent: o cooperare administrativă mai bună pentru rezultate mai rapide</w:t>
            </w:r>
            <w:r>
              <w:rPr>
                <w:rFonts w:asciiTheme="minorHAnsi" w:hAnsiTheme="minorHAnsi" w:cstheme="minorHAnsi"/>
                <w:noProof/>
                <w:webHidden/>
              </w:rPr>
              <w:tab/>
            </w:r>
            <w:r>
              <w:rPr>
                <w:rFonts w:asciiTheme="minorHAnsi" w:hAnsiTheme="minorHAnsi" w:cstheme="minorHAnsi"/>
                <w:noProof/>
                <w:webHidden/>
              </w:rPr>
              <w:fldChar w:fldCharType="begin"/>
            </w:r>
            <w:r>
              <w:rPr>
                <w:rFonts w:asciiTheme="minorHAnsi" w:hAnsiTheme="minorHAnsi" w:cstheme="minorHAnsi"/>
                <w:noProof/>
                <w:webHidden/>
              </w:rPr>
              <w:instrText xml:space="preserve"> PAGEREF _Toc494882540 \h </w:instrText>
            </w:r>
            <w:r>
              <w:rPr>
                <w:rFonts w:asciiTheme="minorHAnsi" w:hAnsiTheme="minorHAnsi" w:cstheme="minorHAnsi"/>
                <w:noProof/>
                <w:webHidden/>
              </w:rPr>
            </w:r>
            <w:r>
              <w:rPr>
                <w:rFonts w:asciiTheme="minorHAnsi" w:hAnsiTheme="minorHAnsi" w:cstheme="minorHAnsi"/>
                <w:noProof/>
                <w:webHidden/>
              </w:rPr>
              <w:fldChar w:fldCharType="separate"/>
            </w:r>
            <w:r>
              <w:rPr>
                <w:rFonts w:asciiTheme="minorHAnsi" w:hAnsiTheme="minorHAnsi" w:cstheme="minorHAnsi"/>
                <w:noProof/>
                <w:webHidden/>
              </w:rPr>
              <w:t>10</w:t>
            </w:r>
            <w:r>
              <w:rPr>
                <w:rFonts w:asciiTheme="minorHAnsi" w:hAnsiTheme="minorHAnsi" w:cstheme="minorHAnsi"/>
                <w:noProof/>
                <w:webHidden/>
              </w:rPr>
              <w:fldChar w:fldCharType="end"/>
            </w:r>
          </w:hyperlink>
        </w:p>
        <w:p>
          <w:pPr>
            <w:pStyle w:val="TOC3"/>
            <w:rPr>
              <w:rFonts w:asciiTheme="minorHAnsi" w:eastAsiaTheme="minorEastAsia" w:hAnsiTheme="minorHAnsi" w:cstheme="minorHAnsi"/>
              <w:noProof/>
              <w:sz w:val="22"/>
              <w:szCs w:val="22"/>
              <w:lang w:val="en-GB" w:eastAsia="en-GB" w:bidi="ar-SA"/>
            </w:rPr>
          </w:pPr>
          <w:hyperlink w:anchor="_Toc494882541" w:history="1">
            <w:r>
              <w:rPr>
                <w:rStyle w:val="Hyperlink"/>
                <w:rFonts w:asciiTheme="minorHAnsi" w:hAnsiTheme="minorHAnsi" w:cstheme="minorHAnsi"/>
                <w:noProof/>
              </w:rPr>
              <w:t>3.1.3.</w:t>
            </w:r>
            <w:r>
              <w:rPr>
                <w:rFonts w:asciiTheme="minorHAnsi" w:eastAsiaTheme="minorEastAsia" w:hAnsiTheme="minorHAnsi" w:cstheme="minorHAnsi"/>
                <w:noProof/>
                <w:sz w:val="22"/>
                <w:szCs w:val="22"/>
                <w:lang w:val="en-GB" w:eastAsia="en-GB" w:bidi="ar-SA"/>
              </w:rPr>
              <w:tab/>
            </w:r>
            <w:r>
              <w:rPr>
                <w:rStyle w:val="Hyperlink"/>
                <w:rFonts w:asciiTheme="minorHAnsi" w:hAnsiTheme="minorHAnsi" w:cstheme="minorHAnsi"/>
                <w:noProof/>
              </w:rPr>
              <w:t>Către administrații fiscale mai eficiente</w:t>
            </w:r>
            <w:r>
              <w:rPr>
                <w:rFonts w:asciiTheme="minorHAnsi" w:hAnsiTheme="minorHAnsi" w:cstheme="minorHAnsi"/>
                <w:noProof/>
                <w:webHidden/>
              </w:rPr>
              <w:tab/>
            </w:r>
            <w:r>
              <w:rPr>
                <w:rFonts w:asciiTheme="minorHAnsi" w:hAnsiTheme="minorHAnsi" w:cstheme="minorHAnsi"/>
                <w:noProof/>
                <w:webHidden/>
              </w:rPr>
              <w:fldChar w:fldCharType="begin"/>
            </w:r>
            <w:r>
              <w:rPr>
                <w:rFonts w:asciiTheme="minorHAnsi" w:hAnsiTheme="minorHAnsi" w:cstheme="minorHAnsi"/>
                <w:noProof/>
                <w:webHidden/>
              </w:rPr>
              <w:instrText xml:space="preserve"> PAGEREF _Toc494882541 \h </w:instrText>
            </w:r>
            <w:r>
              <w:rPr>
                <w:rFonts w:asciiTheme="minorHAnsi" w:hAnsiTheme="minorHAnsi" w:cstheme="minorHAnsi"/>
                <w:noProof/>
                <w:webHidden/>
              </w:rPr>
            </w:r>
            <w:r>
              <w:rPr>
                <w:rFonts w:asciiTheme="minorHAnsi" w:hAnsiTheme="minorHAnsi" w:cstheme="minorHAnsi"/>
                <w:noProof/>
                <w:webHidden/>
              </w:rPr>
              <w:fldChar w:fldCharType="separate"/>
            </w:r>
            <w:r>
              <w:rPr>
                <w:rFonts w:asciiTheme="minorHAnsi" w:hAnsiTheme="minorHAnsi" w:cstheme="minorHAnsi"/>
                <w:noProof/>
                <w:webHidden/>
              </w:rPr>
              <w:t>11</w:t>
            </w:r>
            <w:r>
              <w:rPr>
                <w:rFonts w:asciiTheme="minorHAnsi" w:hAnsiTheme="minorHAnsi" w:cstheme="minorHAnsi"/>
                <w:noProof/>
                <w:webHidden/>
              </w:rPr>
              <w:fldChar w:fldCharType="end"/>
            </w:r>
          </w:hyperlink>
        </w:p>
        <w:p>
          <w:pPr>
            <w:pStyle w:val="TOC2"/>
            <w:rPr>
              <w:rFonts w:asciiTheme="minorHAnsi" w:eastAsiaTheme="minorEastAsia" w:hAnsiTheme="minorHAnsi" w:cstheme="minorHAnsi"/>
              <w:noProof/>
              <w:sz w:val="22"/>
              <w:szCs w:val="22"/>
              <w:lang w:val="en-GB" w:eastAsia="en-GB" w:bidi="ar-SA"/>
            </w:rPr>
          </w:pPr>
          <w:hyperlink w:anchor="_Toc494882542" w:history="1">
            <w:r>
              <w:rPr>
                <w:rStyle w:val="Hyperlink"/>
                <w:rFonts w:asciiTheme="minorHAnsi" w:hAnsiTheme="minorHAnsi" w:cstheme="minorHAnsi"/>
                <w:noProof/>
              </w:rPr>
              <w:t>3.2</w:t>
            </w:r>
            <w:r>
              <w:rPr>
                <w:rFonts w:asciiTheme="minorHAnsi" w:eastAsiaTheme="minorEastAsia" w:hAnsiTheme="minorHAnsi" w:cstheme="minorHAnsi"/>
                <w:noProof/>
                <w:sz w:val="22"/>
                <w:szCs w:val="22"/>
                <w:lang w:val="en-GB" w:eastAsia="en-GB" w:bidi="ar-SA"/>
              </w:rPr>
              <w:tab/>
            </w:r>
            <w:r>
              <w:rPr>
                <w:rStyle w:val="Hyperlink"/>
                <w:rFonts w:asciiTheme="minorHAnsi" w:hAnsiTheme="minorHAnsi" w:cstheme="minorHAnsi"/>
                <w:noProof/>
              </w:rPr>
              <w:t>Către o politică modernizată privind cotele</w:t>
            </w:r>
            <w:r>
              <w:rPr>
                <w:rFonts w:asciiTheme="minorHAnsi" w:hAnsiTheme="minorHAnsi" w:cstheme="minorHAnsi"/>
                <w:noProof/>
                <w:webHidden/>
              </w:rPr>
              <w:tab/>
            </w:r>
            <w:r>
              <w:rPr>
                <w:rFonts w:asciiTheme="minorHAnsi" w:hAnsiTheme="minorHAnsi" w:cstheme="minorHAnsi"/>
                <w:noProof/>
                <w:webHidden/>
              </w:rPr>
              <w:fldChar w:fldCharType="begin"/>
            </w:r>
            <w:r>
              <w:rPr>
                <w:rFonts w:asciiTheme="minorHAnsi" w:hAnsiTheme="minorHAnsi" w:cstheme="minorHAnsi"/>
                <w:noProof/>
                <w:webHidden/>
              </w:rPr>
              <w:instrText xml:space="preserve"> PAGEREF _Toc494882542 \h </w:instrText>
            </w:r>
            <w:r>
              <w:rPr>
                <w:rFonts w:asciiTheme="minorHAnsi" w:hAnsiTheme="minorHAnsi" w:cstheme="minorHAnsi"/>
                <w:noProof/>
                <w:webHidden/>
              </w:rPr>
            </w:r>
            <w:r>
              <w:rPr>
                <w:rFonts w:asciiTheme="minorHAnsi" w:hAnsiTheme="minorHAnsi" w:cstheme="minorHAnsi"/>
                <w:noProof/>
                <w:webHidden/>
              </w:rPr>
              <w:fldChar w:fldCharType="separate"/>
            </w:r>
            <w:r>
              <w:rPr>
                <w:rFonts w:asciiTheme="minorHAnsi" w:hAnsiTheme="minorHAnsi" w:cstheme="minorHAnsi"/>
                <w:noProof/>
                <w:webHidden/>
              </w:rPr>
              <w:t>11</w:t>
            </w:r>
            <w:r>
              <w:rPr>
                <w:rFonts w:asciiTheme="minorHAnsi" w:hAnsiTheme="minorHAnsi" w:cstheme="minorHAnsi"/>
                <w:noProof/>
                <w:webHidden/>
              </w:rPr>
              <w:fldChar w:fldCharType="end"/>
            </w:r>
          </w:hyperlink>
        </w:p>
        <w:p>
          <w:pPr>
            <w:pStyle w:val="TOC2"/>
            <w:rPr>
              <w:rFonts w:asciiTheme="minorHAnsi" w:eastAsiaTheme="minorEastAsia" w:hAnsiTheme="minorHAnsi" w:cstheme="minorHAnsi"/>
              <w:noProof/>
              <w:sz w:val="22"/>
              <w:szCs w:val="22"/>
              <w:lang w:val="en-GB" w:eastAsia="en-GB" w:bidi="ar-SA"/>
            </w:rPr>
          </w:pPr>
          <w:hyperlink w:anchor="_Toc494882543" w:history="1">
            <w:r>
              <w:rPr>
                <w:rStyle w:val="Hyperlink"/>
                <w:rFonts w:asciiTheme="minorHAnsi" w:hAnsiTheme="minorHAnsi" w:cstheme="minorHAnsi"/>
                <w:noProof/>
              </w:rPr>
              <w:t>3.3</w:t>
            </w:r>
            <w:r>
              <w:rPr>
                <w:rFonts w:asciiTheme="minorHAnsi" w:eastAsiaTheme="minorEastAsia" w:hAnsiTheme="minorHAnsi" w:cstheme="minorHAnsi"/>
                <w:noProof/>
                <w:sz w:val="22"/>
                <w:szCs w:val="22"/>
                <w:lang w:val="en-GB" w:eastAsia="en-GB" w:bidi="ar-SA"/>
              </w:rPr>
              <w:tab/>
            </w:r>
            <w:r>
              <w:rPr>
                <w:rStyle w:val="Hyperlink"/>
                <w:rFonts w:asciiTheme="minorHAnsi" w:hAnsiTheme="minorHAnsi" w:cstheme="minorHAnsi"/>
                <w:noProof/>
              </w:rPr>
              <w:t>Către un pachet de măsuri privind TVA în favoarea IMM-urilor</w:t>
            </w:r>
            <w:r>
              <w:rPr>
                <w:rFonts w:asciiTheme="minorHAnsi" w:hAnsiTheme="minorHAnsi" w:cstheme="minorHAnsi"/>
                <w:noProof/>
                <w:webHidden/>
              </w:rPr>
              <w:tab/>
            </w:r>
            <w:r>
              <w:rPr>
                <w:rFonts w:asciiTheme="minorHAnsi" w:hAnsiTheme="minorHAnsi" w:cstheme="minorHAnsi"/>
                <w:noProof/>
                <w:webHidden/>
              </w:rPr>
              <w:fldChar w:fldCharType="begin"/>
            </w:r>
            <w:r>
              <w:rPr>
                <w:rFonts w:asciiTheme="minorHAnsi" w:hAnsiTheme="minorHAnsi" w:cstheme="minorHAnsi"/>
                <w:noProof/>
                <w:webHidden/>
              </w:rPr>
              <w:instrText xml:space="preserve"> PAGEREF _Toc494882543 \h </w:instrText>
            </w:r>
            <w:r>
              <w:rPr>
                <w:rFonts w:asciiTheme="minorHAnsi" w:hAnsiTheme="minorHAnsi" w:cstheme="minorHAnsi"/>
                <w:noProof/>
                <w:webHidden/>
              </w:rPr>
            </w:r>
            <w:r>
              <w:rPr>
                <w:rFonts w:asciiTheme="minorHAnsi" w:hAnsiTheme="minorHAnsi" w:cstheme="minorHAnsi"/>
                <w:noProof/>
                <w:webHidden/>
              </w:rPr>
              <w:fldChar w:fldCharType="separate"/>
            </w:r>
            <w:r>
              <w:rPr>
                <w:rFonts w:asciiTheme="minorHAnsi" w:hAnsiTheme="minorHAnsi" w:cstheme="minorHAnsi"/>
                <w:noProof/>
                <w:webHidden/>
              </w:rPr>
              <w:t>12</w:t>
            </w:r>
            <w:r>
              <w:rPr>
                <w:rFonts w:asciiTheme="minorHAnsi" w:hAnsiTheme="minorHAnsi" w:cstheme="minorHAnsi"/>
                <w:noProof/>
                <w:webHidden/>
              </w:rPr>
              <w:fldChar w:fldCharType="end"/>
            </w:r>
          </w:hyperlink>
        </w:p>
        <w:p>
          <w:pPr>
            <w:pStyle w:val="TOC1"/>
            <w:rPr>
              <w:rFonts w:asciiTheme="minorHAnsi" w:eastAsiaTheme="minorEastAsia" w:hAnsiTheme="minorHAnsi"/>
              <w:noProof/>
              <w:sz w:val="22"/>
              <w:szCs w:val="22"/>
              <w:lang w:val="en-GB" w:eastAsia="en-GB" w:bidi="ar-SA"/>
            </w:rPr>
          </w:pPr>
          <w:hyperlink w:anchor="_Toc494882544" w:history="1">
            <w:r>
              <w:rPr>
                <w:rStyle w:val="Hyperlink"/>
                <w:rFonts w:asciiTheme="minorHAnsi" w:hAnsiTheme="minorHAnsi" w:cstheme="minorHAnsi"/>
                <w:noProof/>
              </w:rPr>
              <w:t>4.</w:t>
            </w:r>
            <w:r>
              <w:rPr>
                <w:rFonts w:asciiTheme="minorHAnsi" w:eastAsiaTheme="minorEastAsia" w:hAnsiTheme="minorHAnsi" w:cstheme="minorHAnsi"/>
                <w:noProof/>
                <w:sz w:val="22"/>
                <w:szCs w:val="22"/>
                <w:lang w:val="en-GB" w:eastAsia="en-GB" w:bidi="ar-SA"/>
              </w:rPr>
              <w:tab/>
            </w:r>
            <w:r>
              <w:rPr>
                <w:rStyle w:val="Hyperlink"/>
                <w:rFonts w:asciiTheme="minorHAnsi" w:hAnsiTheme="minorHAnsi" w:cstheme="minorHAnsi"/>
                <w:noProof/>
              </w:rPr>
              <w:t>CONCLUZII</w:t>
            </w:r>
            <w:r>
              <w:rPr>
                <w:rFonts w:asciiTheme="minorHAnsi" w:hAnsiTheme="minorHAnsi" w:cstheme="minorHAnsi"/>
                <w:noProof/>
                <w:webHidden/>
              </w:rPr>
              <w:tab/>
            </w:r>
            <w:r>
              <w:rPr>
                <w:rFonts w:asciiTheme="minorHAnsi" w:hAnsiTheme="minorHAnsi" w:cstheme="minorHAnsi"/>
                <w:noProof/>
                <w:webHidden/>
              </w:rPr>
              <w:fldChar w:fldCharType="begin"/>
            </w:r>
            <w:r>
              <w:rPr>
                <w:rFonts w:asciiTheme="minorHAnsi" w:hAnsiTheme="minorHAnsi" w:cstheme="minorHAnsi"/>
                <w:noProof/>
                <w:webHidden/>
              </w:rPr>
              <w:instrText xml:space="preserve"> PAGEREF _Toc494882544 \h </w:instrText>
            </w:r>
            <w:r>
              <w:rPr>
                <w:rFonts w:asciiTheme="minorHAnsi" w:hAnsiTheme="minorHAnsi" w:cstheme="minorHAnsi"/>
                <w:noProof/>
                <w:webHidden/>
              </w:rPr>
            </w:r>
            <w:r>
              <w:rPr>
                <w:rFonts w:asciiTheme="minorHAnsi" w:hAnsiTheme="minorHAnsi" w:cstheme="minorHAnsi"/>
                <w:noProof/>
                <w:webHidden/>
              </w:rPr>
              <w:fldChar w:fldCharType="separate"/>
            </w:r>
            <w:r>
              <w:rPr>
                <w:rFonts w:asciiTheme="minorHAnsi" w:hAnsiTheme="minorHAnsi" w:cstheme="minorHAnsi"/>
                <w:noProof/>
                <w:webHidden/>
              </w:rPr>
              <w:t>12</w:t>
            </w:r>
            <w:r>
              <w:rPr>
                <w:rFonts w:asciiTheme="minorHAnsi" w:hAnsiTheme="minorHAnsi" w:cstheme="minorHAnsi"/>
                <w:noProof/>
                <w:webHidden/>
              </w:rPr>
              <w:fldChar w:fldCharType="end"/>
            </w:r>
          </w:hyperlink>
        </w:p>
        <w:p>
          <w:pPr>
            <w:pStyle w:val="TOC1"/>
            <w:rPr>
              <w:rFonts w:eastAsiaTheme="minorEastAsia"/>
              <w:noProof/>
              <w:sz w:val="22"/>
              <w:szCs w:val="22"/>
            </w:rPr>
          </w:pPr>
          <w:r>
            <w:rPr>
              <w:b/>
              <w:bCs/>
              <w:noProof/>
            </w:rPr>
            <w:fldChar w:fldCharType="end"/>
          </w:r>
        </w:p>
      </w:sdtContent>
    </w:sdt>
    <w:p>
      <w:pPr>
        <w:rPr>
          <w:noProof/>
        </w:rPr>
      </w:pPr>
    </w:p>
    <w:p>
      <w:pPr>
        <w:rPr>
          <w:noProof/>
        </w:rPr>
      </w:pPr>
    </w:p>
    <w:p>
      <w:pPr>
        <w:rPr>
          <w:noProof/>
        </w:rPr>
        <w:sectPr>
          <w:headerReference w:type="even" r:id="rId19"/>
          <w:headerReference w:type="default" r:id="rId20"/>
          <w:footerReference w:type="even" r:id="rId21"/>
          <w:footerReference w:type="default" r:id="rId22"/>
          <w:headerReference w:type="first" r:id="rId23"/>
          <w:footerReference w:type="first" r:id="rId24"/>
          <w:pgSz w:w="11906" w:h="16838"/>
          <w:pgMar w:top="1134" w:right="1417" w:bottom="1134" w:left="1417" w:header="709" w:footer="709" w:gutter="0"/>
          <w:pgNumType w:start="2"/>
          <w:cols w:space="720"/>
          <w:docGrid w:linePitch="360"/>
        </w:sectPr>
      </w:pPr>
    </w:p>
    <w:p>
      <w:pPr>
        <w:pStyle w:val="Heading1"/>
        <w:spacing w:before="240"/>
        <w:rPr>
          <w:noProof/>
        </w:rPr>
      </w:pPr>
      <w:bookmarkStart w:id="2" w:name="_Toc487461369"/>
      <w:bookmarkStart w:id="3" w:name="_Toc488250027"/>
      <w:bookmarkStart w:id="4" w:name="_Toc492458725"/>
      <w:bookmarkStart w:id="5" w:name="_Toc494882529"/>
      <w:r>
        <w:rPr>
          <w:noProof/>
        </w:rPr>
        <w:t>INTRODUCERE</w:t>
      </w:r>
      <w:bookmarkEnd w:id="2"/>
      <w:r>
        <w:rPr>
          <w:noProof/>
        </w:rPr>
        <w:t xml:space="preserve"> – CALEA CĂTRE UN SPAȚIU UNIC EUROPEAN PENTRU TVA</w:t>
      </w:r>
      <w:bookmarkEnd w:id="3"/>
      <w:bookmarkEnd w:id="4"/>
      <w:bookmarkEnd w:id="5"/>
    </w:p>
    <w:p>
      <w:pPr>
        <w:rPr>
          <w:noProof/>
        </w:rPr>
      </w:pPr>
      <w:r>
        <w:rPr>
          <w:noProof/>
        </w:rPr>
        <w:t xml:space="preserve">Sistemul de TVA al UE este un punct forte al pieței unice. </w:t>
      </w:r>
      <w:r>
        <w:rPr>
          <w:noProof/>
          <w:sz w:val="23"/>
        </w:rPr>
        <w:t xml:space="preserve">Prin eliminarea obstacolelor care denaturau concurența și împiedicau libera circulație a mărfurilor, el a înlesnit foarte mult schimburile comerciale în cadrul UE. </w:t>
      </w:r>
      <w:r>
        <w:rPr>
          <w:noProof/>
        </w:rPr>
        <w:t>Fiind un impozit pe consum cu o bază largă, taxa pe valoarea adăugată (TVA) este considerată una dintre formele de impozitare cele mai favorabile creșterii. TVA-ul este deopotrivă una dintre sursele principale, cu o pondere în creștere, de venituri fiscale în Uniunea Europeană</w:t>
      </w:r>
      <w:r>
        <w:rPr>
          <w:noProof/>
          <w:vertAlign w:val="superscript"/>
        </w:rPr>
        <w:footnoteReference w:id="2"/>
      </w:r>
      <w:r>
        <w:rPr>
          <w:noProof/>
        </w:rPr>
        <w:t>. În ultimii ani însă, sistemul de TVA nu a putut ține pasul cu globalizarea și cu digitalizarea economiei. Mai exact, sistemul actual de impozitare a schimburilor comerciale dintre statele membre funcționează în continuare pe baza unui „regim tranzitoriu” vechi de 25 de ani</w:t>
      </w:r>
      <w:r>
        <w:rPr>
          <w:rStyle w:val="FootnoteReference"/>
          <w:noProof/>
        </w:rPr>
        <w:footnoteReference w:id="3"/>
      </w:r>
      <w:r>
        <w:rPr>
          <w:noProof/>
        </w:rPr>
        <w:t>. În cadrul acestuia, operațiunile interne și operațiunile transfrontaliere fac obiectul a două regimuri TVA complet diferite. Drept urmare, întreprinderile care efectuează operațiuni comerciale transfrontaliere suportă un cost suplimentar de conformitate de 11 % comparativ cu întreprinderile care efectuează operațiuni comerciale exclusiv la nivel național. În plus, dat fiind că permite achiziționarea transfrontalieră de bunuri cu scutire de TVA, acest regim este predispus în mod deosebit la fraudă. În 2015, din cauza fraudei și a altor deficiențe, s-au înregistrat pierderi de 151 de miliarde EUR, echivalentul a 12,8 % din obligațiile de plată a TVA</w:t>
      </w:r>
      <w:r>
        <w:rPr>
          <w:rStyle w:val="FootnoteReference"/>
          <w:noProof/>
        </w:rPr>
        <w:footnoteReference w:id="4"/>
      </w:r>
      <w:r>
        <w:rPr>
          <w:noProof/>
        </w:rPr>
        <w:t xml:space="preserve">. S-a estimat că 50 de miliarde EUR din aceste pierderi se datorează fraudei transfrontaliere în domeniul TVA, fraudă săvârșită în mare parte de organizații criminale, iar, potrivit rapoartelor recente, o parte din această sumă a fost folosită pentru finanțarea terorismului. </w:t>
      </w:r>
    </w:p>
    <w:p>
      <w:pPr>
        <w:rPr>
          <w:noProof/>
        </w:rPr>
      </w:pPr>
      <w:r>
        <w:rPr>
          <w:noProof/>
        </w:rPr>
        <w:t>În prezent, sistemul de TVA al UE este prea fragmentat și prea predispus la fraudă. În cadrul agendei sale pentru un sistem fiscal echitabil și eficient în UE, Comisia urmărește relansarea sistemului de TVA pentru a se asigura că acesta rămâne un punct forte pe viitor. Potrivit estimărilor, crearea unui regim TVA unificat pe piața unică ar reduce frauda transfrontalieră în domeniul TVA cu 41 de miliarde EUR</w:t>
      </w:r>
      <w:r>
        <w:rPr>
          <w:rStyle w:val="FootnoteReference"/>
          <w:noProof/>
        </w:rPr>
        <w:footnoteReference w:id="5"/>
      </w:r>
      <w:r>
        <w:rPr>
          <w:noProof/>
        </w:rPr>
        <w:t xml:space="preserve"> și costurile de conformare pentru întreprinderi cu 1 miliard de EUR</w:t>
      </w:r>
      <w:r>
        <w:rPr>
          <w:rStyle w:val="FootnoteReference"/>
          <w:noProof/>
        </w:rPr>
        <w:footnoteReference w:id="6"/>
      </w:r>
      <w:r>
        <w:rPr>
          <w:noProof/>
        </w:rPr>
        <w:t>.</w:t>
      </w:r>
    </w:p>
    <w:p>
      <w:pPr>
        <w:rPr>
          <w:noProof/>
        </w:rPr>
      </w:pPr>
      <w:r>
        <w:rPr>
          <w:noProof/>
        </w:rPr>
        <w:t>În Planul său de acțiune privind TVA (denumit în continuare „Planul de acțiune privind TVA”) din 7 aprilie 2016</w:t>
      </w:r>
      <w:r>
        <w:rPr>
          <w:rStyle w:val="FootnoteReference"/>
          <w:noProof/>
        </w:rPr>
        <w:footnoteReference w:id="7"/>
      </w:r>
      <w:r>
        <w:rPr>
          <w:noProof/>
        </w:rPr>
        <w:t>, Comisia a subliniat necesitatea de a crea un spațiu unic european în materie de TVA care să poată face față provocărilor secolului 21. Au fost anunțate o serie de măsuri-cheie care urmează a fi adoptate pe termen scurt și mediu pentru a moderniza sistemul de TVA al UE și pentru a-l face mai simplu, mai puțin vulnerabil la fraudă și mai favorabil întreprinderilor. Aceste măsuri răspund mai multor obiective: adaptarea sistemului de TVA la economia globală, digitală și mobilă, satisfacerea nevoilor IMM-urilor, prevederea unei politici adecvate în materie de cote de TVA, eradicarea fraudei transfrontaliere în domeniul TVA și ajutarea statelor membre să combată deficitul de încasări de TVA.</w:t>
      </w:r>
    </w:p>
    <w:p>
      <w:pPr>
        <w:rPr>
          <w:noProof/>
        </w:rPr>
      </w:pPr>
      <w:r>
        <w:rPr>
          <w:noProof/>
        </w:rPr>
        <w:t>Modernizarea sistemului de TVA existent se va realiza printr-o serie de măsuri progresive. Prezenta comunicare indică acțiunile care au fost deja întreprinse (punctul 2) și oferă mai multe detalii despre etapele următoare (punctul 3), inclusiv despre inițiativele care vor fi adoptate în cursul acestui an:</w:t>
      </w:r>
    </w:p>
    <w:p>
      <w:pPr>
        <w:pStyle w:val="ListParagraph"/>
        <w:numPr>
          <w:ilvl w:val="0"/>
          <w:numId w:val="22"/>
        </w:numPr>
        <w:rPr>
          <w:noProof/>
        </w:rPr>
      </w:pPr>
      <w:r>
        <w:rPr>
          <w:noProof/>
        </w:rPr>
        <w:t>un pachet legislativ privind sistemul de TVA definitiv pentru comerțul între întreprinderi (B2B) în interiorul Uniunii (denumit în continuare „sistemul de TVA definitiv”);</w:t>
      </w:r>
    </w:p>
    <w:p>
      <w:pPr>
        <w:pStyle w:val="ListParagraph"/>
        <w:numPr>
          <w:ilvl w:val="0"/>
          <w:numId w:val="22"/>
        </w:numPr>
        <w:rPr>
          <w:noProof/>
        </w:rPr>
      </w:pPr>
      <w:r>
        <w:rPr>
          <w:noProof/>
        </w:rPr>
        <w:t>o propunere de reformare a cotelor de TVA;</w:t>
      </w:r>
    </w:p>
    <w:p>
      <w:pPr>
        <w:pStyle w:val="ListParagraph"/>
        <w:numPr>
          <w:ilvl w:val="0"/>
          <w:numId w:val="22"/>
        </w:numPr>
        <w:rPr>
          <w:noProof/>
        </w:rPr>
      </w:pPr>
      <w:r>
        <w:rPr>
          <w:noProof/>
        </w:rPr>
        <w:t>o propunere de consolidare a instrumentelor existente de cooperare administrativă în domeniul TVA-ului și</w:t>
      </w:r>
    </w:p>
    <w:p>
      <w:pPr>
        <w:pStyle w:val="ListParagraph"/>
        <w:numPr>
          <w:ilvl w:val="0"/>
          <w:numId w:val="22"/>
        </w:numPr>
        <w:rPr>
          <w:noProof/>
        </w:rPr>
      </w:pPr>
      <w:r>
        <w:rPr>
          <w:noProof/>
        </w:rPr>
        <w:t>o propunere de simplificare a normelor în materie de TVA pentru IMM-uri.</w:t>
      </w:r>
    </w:p>
    <w:p>
      <w:pPr>
        <w:pStyle w:val="Heading1"/>
        <w:spacing w:before="240"/>
        <w:ind w:left="851" w:hanging="851"/>
        <w:rPr>
          <w:noProof/>
        </w:rPr>
      </w:pPr>
      <w:bookmarkStart w:id="6" w:name="_Toc487461370"/>
      <w:bookmarkStart w:id="7" w:name="_Toc488250028"/>
      <w:bookmarkStart w:id="8" w:name="_Toc492458726"/>
      <w:bookmarkStart w:id="9" w:name="_Toc494882530"/>
      <w:r>
        <w:rPr>
          <w:noProof/>
        </w:rPr>
        <w:t>PROGRESELE ÎNREGISTRATE DE LA ADOPTAREA PLANULUI DE ACȚIUNE PRIVIND TVA</w:t>
      </w:r>
      <w:bookmarkEnd w:id="6"/>
      <w:bookmarkEnd w:id="7"/>
      <w:bookmarkEnd w:id="8"/>
      <w:bookmarkEnd w:id="9"/>
    </w:p>
    <w:p>
      <w:pPr>
        <w:pStyle w:val="Heading2"/>
        <w:rPr>
          <w:noProof/>
        </w:rPr>
      </w:pPr>
      <w:bookmarkStart w:id="10" w:name="_Toc487461371"/>
      <w:bookmarkStart w:id="11" w:name="_Toc488250029"/>
      <w:bookmarkStart w:id="12" w:name="_Toc492458727"/>
      <w:bookmarkStart w:id="13" w:name="_Toc494882531"/>
      <w:r>
        <w:rPr>
          <w:noProof/>
        </w:rPr>
        <w:t>2.1</w:t>
      </w:r>
      <w:r>
        <w:rPr>
          <w:noProof/>
        </w:rPr>
        <w:tab/>
        <w:t>Adaptarea sistemului de TVA la economia digitală și pregătirile pentru o politică modernizată privind cotele</w:t>
      </w:r>
      <w:bookmarkEnd w:id="10"/>
      <w:bookmarkEnd w:id="11"/>
      <w:bookmarkEnd w:id="12"/>
      <w:bookmarkEnd w:id="13"/>
    </w:p>
    <w:p>
      <w:pPr>
        <w:rPr>
          <w:noProof/>
        </w:rPr>
      </w:pPr>
      <w:r>
        <w:rPr>
          <w:noProof/>
        </w:rPr>
        <w:t>La 1 decembrie 2016, Comisia a adoptat mai multe propuneri</w:t>
      </w:r>
      <w:r>
        <w:rPr>
          <w:rStyle w:val="FootnoteReference"/>
          <w:noProof/>
        </w:rPr>
        <w:footnoteReference w:id="8"/>
      </w:r>
      <w:r>
        <w:rPr>
          <w:noProof/>
        </w:rPr>
        <w:t xml:space="preserve"> de modernizare a TVA-ului pentru comerțul electronic transfrontalier și o propunere privind cota de TVA pentru publicațiile electronice. Aceste propuneri, care reprezintă o parte importantă a Strategiei privind piața unică digitală</w:t>
      </w:r>
      <w:r>
        <w:rPr>
          <w:rStyle w:val="FootnoteReference"/>
          <w:noProof/>
        </w:rPr>
        <w:footnoteReference w:id="9"/>
      </w:r>
      <w:r>
        <w:rPr>
          <w:noProof/>
        </w:rPr>
        <w:t>, urmăresc adaptarea sistemului de TVA la economia digitală.</w:t>
      </w:r>
    </w:p>
    <w:p>
      <w:pPr>
        <w:pStyle w:val="Heading3"/>
        <w:rPr>
          <w:noProof/>
        </w:rPr>
      </w:pPr>
      <w:bookmarkStart w:id="14" w:name="_Toc488250030"/>
      <w:bookmarkStart w:id="15" w:name="_Toc492458728"/>
      <w:bookmarkStart w:id="16" w:name="_Toc494882532"/>
      <w:r>
        <w:rPr>
          <w:noProof/>
        </w:rPr>
        <w:t>2.1.1.</w:t>
      </w:r>
      <w:r>
        <w:rPr>
          <w:noProof/>
        </w:rPr>
        <w:tab/>
        <w:t>Propunerile în materie de TVA pentru comerțul electronic</w:t>
      </w:r>
      <w:bookmarkEnd w:id="14"/>
      <w:bookmarkEnd w:id="15"/>
      <w:bookmarkEnd w:id="16"/>
    </w:p>
    <w:p>
      <w:pPr>
        <w:rPr>
          <w:noProof/>
        </w:rPr>
      </w:pPr>
      <w:r>
        <w:rPr>
          <w:noProof/>
        </w:rPr>
        <w:t xml:space="preserve">Digitalizarea economiei a generat provocări din ce în ce mai presante pentru politica fiscală. Se impune găsirea unor soluții inovatoare și de viitor pentru a ține pasul cu aceste noi tendințe în afaceri. Normele fiscale trebuie să evolueze pentru a se adapta la schimbările rapide ale modelelor de afaceri și de consum. În același timp, impozitarea ar trebui să fie echitabilă și eficientă pentru întreprinderile emergente și ar trebui să contribuie în mod pozitiv la dezvoltarea pieței unice digitale. </w:t>
      </w:r>
    </w:p>
    <w:p>
      <w:pPr>
        <w:rPr>
          <w:noProof/>
        </w:rPr>
      </w:pPr>
      <w:r>
        <w:rPr>
          <w:noProof/>
        </w:rPr>
        <w:t>Fiind o taxă pe consum, TVA-ul are un rol important în strategia de atingere a acestor obiective. Propunerile referitoare la comerțul electronic sunt menite să aducă beneficii întreprinderilor, cetățenilor și statelor membre și au făcut ca UE să fie percepută drept lider la nivel mondial.</w:t>
      </w:r>
    </w:p>
    <w:p>
      <w:pPr>
        <w:rPr>
          <w:noProof/>
        </w:rPr>
      </w:pPr>
      <w:r>
        <w:rPr>
          <w:noProof/>
        </w:rPr>
        <w:t>Noile norme ar permite întreprinderilor care vând bunuri online să se achite cu ușurință și într-un singur loc de toate obligațiile în materie de TVA care le revin în UE și ar simplifica regimul TVA pentru întreprinderile nou-înființate și pentru microîntreprinderile care fac vânzări online transfrontaliere mai mici de 10 000 EUR. Și IMM-urile ar beneficia de proceduri mai simple pentru vânzările transfrontaliere de până la 100 000 EUR. Totodată, noile norme ar elimina actuala scutire de TVA pentru expedierile mici importate în UE care au o valoare de până în 22 EUR și ar asigura condiții de concurență echitabile în beneficiul întreprinderilor din UE.</w:t>
      </w:r>
    </w:p>
    <w:p>
      <w:pPr>
        <w:rPr>
          <w:noProof/>
        </w:rPr>
      </w:pPr>
      <w:r>
        <w:rPr>
          <w:noProof/>
        </w:rPr>
        <w:t>Aceste propuneri sunt discutate în prezent în cadrul Consiliului.</w:t>
      </w:r>
    </w:p>
    <w:p>
      <w:pPr>
        <w:rPr>
          <w:noProof/>
        </w:rPr>
      </w:pPr>
      <w:r>
        <w:rPr>
          <w:noProof/>
        </w:rPr>
        <w:t>În plus, în cadrul Forumului UE privind TVA</w:t>
      </w:r>
      <w:r>
        <w:rPr>
          <w:rStyle w:val="FootnoteReference"/>
          <w:rFonts w:eastAsiaTheme="majorEastAsia"/>
          <w:noProof/>
        </w:rPr>
        <w:footnoteReference w:id="10"/>
      </w:r>
      <w:r>
        <w:rPr>
          <w:noProof/>
        </w:rPr>
        <w:t>, Comisia explorează modalitățile de instituire a unei cooperări structurate între domeniul public și cel privat cu administrațiile fiscale, întreprinderile de logistică, platformele de internet, prestatorii de servicii de plată și asociațiile de întreprinderi, în vederea îmbunătățirii colectării TVA-ului, a reducerii fraudei în materie de comerț electronic și a asigurării unor condiții de concurență echitabile pentru întreprinderile care își respectă obligațiile. Rezultatul acestei consultări va oferi baza documentară pentru o inițiativă a Comisiei ce va fi lansată în 2018.</w:t>
      </w:r>
    </w:p>
    <w:p>
      <w:pPr>
        <w:pStyle w:val="Heading3"/>
        <w:rPr>
          <w:b/>
          <w:noProof/>
        </w:rPr>
      </w:pPr>
      <w:bookmarkStart w:id="17" w:name="_Toc488250031"/>
      <w:bookmarkStart w:id="18" w:name="_Toc492458729"/>
      <w:bookmarkStart w:id="19" w:name="_Toc494882533"/>
      <w:r>
        <w:rPr>
          <w:noProof/>
        </w:rPr>
        <w:t>2.1.2.</w:t>
      </w:r>
      <w:r>
        <w:rPr>
          <w:noProof/>
        </w:rPr>
        <w:tab/>
        <w:t>Propunerea în materie de TVA pentru publicațiile electronice</w:t>
      </w:r>
      <w:bookmarkEnd w:id="17"/>
      <w:bookmarkEnd w:id="18"/>
      <w:bookmarkEnd w:id="19"/>
      <w:r>
        <w:rPr>
          <w:noProof/>
        </w:rPr>
        <w:t xml:space="preserve"> </w:t>
      </w:r>
    </w:p>
    <w:p>
      <w:pPr>
        <w:rPr>
          <w:rFonts w:cs="Times New Roman"/>
          <w:noProof/>
        </w:rPr>
      </w:pPr>
      <w:r>
        <w:rPr>
          <w:noProof/>
        </w:rPr>
        <w:t>Comisia și-a îndeplinit de asemenea angajamentul de a permite statelor membre să aplice aceeași cotă de TVA publicațiilor electronice (de exemplu cărțile electronice și ziarele accesibile online) ca în cazul echivalentelor lor tipărite, eliminând dispozițiile care nu permiteau publicațiilor electronice să se bucure de regimul fiscal favorabil permis în cazul publicațiilor tipărite tradiționale. Această propunere reprezintă un pas către obiectivul de a asigura neutralitatea tehnologică și de a elimina obstacolele fiscale din calea dezvoltării pieței publicațiilor electronice. Propunerea este dezbătută în prezent în cadrul Consiliului.</w:t>
      </w:r>
    </w:p>
    <w:p>
      <w:pPr>
        <w:pStyle w:val="Heading2"/>
        <w:rPr>
          <w:noProof/>
        </w:rPr>
      </w:pPr>
      <w:bookmarkStart w:id="20" w:name="_Toc487461372"/>
      <w:bookmarkStart w:id="21" w:name="_Toc488250032"/>
      <w:bookmarkStart w:id="22" w:name="_Toc492458730"/>
      <w:bookmarkStart w:id="23" w:name="_Toc494882534"/>
      <w:r>
        <w:rPr>
          <w:noProof/>
        </w:rPr>
        <w:t>2.2</w:t>
      </w:r>
      <w:r>
        <w:rPr>
          <w:noProof/>
        </w:rPr>
        <w:tab/>
      </w:r>
      <w:bookmarkEnd w:id="20"/>
      <w:bookmarkEnd w:id="21"/>
      <w:r>
        <w:rPr>
          <w:noProof/>
        </w:rPr>
        <w:t>Măsuri specifice de combatere a fraudei</w:t>
      </w:r>
      <w:bookmarkEnd w:id="22"/>
      <w:bookmarkEnd w:id="23"/>
    </w:p>
    <w:p>
      <w:pPr>
        <w:pStyle w:val="Heading3"/>
        <w:rPr>
          <w:b/>
          <w:noProof/>
        </w:rPr>
      </w:pPr>
      <w:bookmarkStart w:id="24" w:name="_Toc492458731"/>
      <w:bookmarkStart w:id="25" w:name="_Toc494882535"/>
      <w:bookmarkStart w:id="26" w:name="_Toc487461373"/>
      <w:bookmarkStart w:id="27" w:name="_Toc488250033"/>
      <w:r>
        <w:rPr>
          <w:noProof/>
        </w:rPr>
        <w:t>2.2.1.</w:t>
      </w:r>
      <w:r>
        <w:rPr>
          <w:noProof/>
        </w:rPr>
        <w:tab/>
        <w:t>Îmbunătățirea colectării impozitelor și a cooperării administrative</w:t>
      </w:r>
      <w:bookmarkEnd w:id="24"/>
      <w:bookmarkEnd w:id="25"/>
    </w:p>
    <w:p>
      <w:pPr>
        <w:rPr>
          <w:noProof/>
        </w:rPr>
      </w:pPr>
      <w:r>
        <w:rPr>
          <w:noProof/>
        </w:rPr>
        <w:t>Comisia a început să dezvolte instrumentul de analiză a rețelelor de tranzacții pentru schimbul și prelucrarea în comun a datelor specifice cu privire la TVA de către funcționarii din rețeaua Eurofisc responsabili cu analiza riscurilor</w:t>
      </w:r>
      <w:r>
        <w:rPr>
          <w:rStyle w:val="FootnoteReference"/>
          <w:noProof/>
        </w:rPr>
        <w:footnoteReference w:id="11"/>
      </w:r>
      <w:r>
        <w:rPr>
          <w:noProof/>
        </w:rPr>
        <w:t xml:space="preserve">. Acest nou instrument va permite administrațiilor fiscale să anihileze rețelele frauduloase într-un mod mai simplu, mai rapid și mai securizat. </w:t>
      </w:r>
    </w:p>
    <w:p>
      <w:pPr>
        <w:rPr>
          <w:noProof/>
        </w:rPr>
      </w:pPr>
      <w:r>
        <w:rPr>
          <w:noProof/>
        </w:rPr>
        <w:t>În plus, în luna iulie a fost adoptată, în domeniul dreptului penal, Directiva privind combaterea fraudelor îndreptate împotriva intereselor financiare ale Uniunii prin mijloace de drept penal</w:t>
      </w:r>
      <w:r>
        <w:rPr>
          <w:rStyle w:val="FootnoteReference"/>
          <w:noProof/>
        </w:rPr>
        <w:footnoteReference w:id="12"/>
      </w:r>
      <w:r>
        <w:rPr>
          <w:noProof/>
        </w:rPr>
        <w:t>, care prevede norme minime privind definirea infracțiunilor care aduc atingere intereselor financiare ale Uniunii, a sancțiunilor și a termenelor de prescripție. Directiva definește competența materială a viitorului Parchet European (EPPO)</w:t>
      </w:r>
      <w:r>
        <w:rPr>
          <w:rStyle w:val="FootnoteReference"/>
          <w:noProof/>
        </w:rPr>
        <w:footnoteReference w:id="13"/>
      </w:r>
      <w:r>
        <w:rPr>
          <w:noProof/>
        </w:rPr>
        <w:t xml:space="preserve">. Mai exact, EPPO va avea competența de a investiga și de a urmări penal </w:t>
      </w:r>
      <w:r>
        <w:rPr>
          <w:rFonts w:asciiTheme="minorHAnsi" w:hAnsiTheme="minorHAnsi"/>
          <w:noProof/>
        </w:rPr>
        <w:t>frauda în domeniul TVA care este legată de teritoriile a două sau a mai multe state membre și care implică un prejudiciu total de cel puțin 10 000 000 EUR</w:t>
      </w:r>
      <w:r>
        <w:rPr>
          <w:noProof/>
        </w:rPr>
        <w:t>.</w:t>
      </w:r>
    </w:p>
    <w:p>
      <w:pPr>
        <w:rPr>
          <w:noProof/>
        </w:rPr>
      </w:pPr>
      <w:r>
        <w:rPr>
          <w:noProof/>
        </w:rPr>
        <w:t>În ceea ce privește relațiile internaționale, Comisia derulează negocieri pentru un acord UE-Norvegia de cooperare administrativă, de combatere a fraudei și de recuperare a creanțelor în domeniul TVA. Acordul va intra în vigoare după adoptarea de către Consiliu a unei decizii de semnare și a unei decizii de încheiere a acestuia. În plus, s-a semnat un acord administrativ de cooperare între serviciile Comisiei și Organizația Intra-europeană a Administrațiilor Fiscale (IOTA), pentru schimbul celor mai bune practici între statele membre și membrii IOTA.</w:t>
      </w:r>
    </w:p>
    <w:p>
      <w:pPr>
        <w:rPr>
          <w:noProof/>
        </w:rPr>
      </w:pPr>
      <w:r>
        <w:rPr>
          <w:noProof/>
        </w:rPr>
        <w:t>În fine, mai multe state membre au solicitat sprijin pentru mărirea capacității administrației fiscale. Prin programul FISCALIS</w:t>
      </w:r>
      <w:r>
        <w:rPr>
          <w:rStyle w:val="FootnoteReference"/>
          <w:noProof/>
        </w:rPr>
        <w:footnoteReference w:id="14"/>
      </w:r>
      <w:r>
        <w:rPr>
          <w:noProof/>
        </w:rPr>
        <w:t xml:space="preserve"> se corelează îndeaproape o serie de acțiuni de sprijin întreprinse în cadrul Programului de sprijin pentru reforme structurale.</w:t>
      </w:r>
    </w:p>
    <w:p>
      <w:pPr>
        <w:pStyle w:val="Heading3"/>
        <w:rPr>
          <w:b/>
          <w:noProof/>
        </w:rPr>
      </w:pPr>
      <w:bookmarkStart w:id="28" w:name="_Toc492458732"/>
      <w:bookmarkStart w:id="29" w:name="_Toc494882536"/>
      <w:bookmarkStart w:id="30" w:name="_Toc488250034"/>
      <w:bookmarkStart w:id="31" w:name="_Toc487461375"/>
      <w:bookmarkEnd w:id="26"/>
      <w:bookmarkEnd w:id="27"/>
      <w:r>
        <w:rPr>
          <w:noProof/>
        </w:rPr>
        <w:t>2.2.2</w:t>
      </w:r>
      <w:r>
        <w:rPr>
          <w:noProof/>
        </w:rPr>
        <w:tab/>
        <w:t>Derogarea temporară</w:t>
      </w:r>
      <w:bookmarkEnd w:id="28"/>
      <w:bookmarkEnd w:id="29"/>
      <w:r>
        <w:rPr>
          <w:noProof/>
        </w:rPr>
        <w:t xml:space="preserve"> </w:t>
      </w:r>
    </w:p>
    <w:p>
      <w:pPr>
        <w:rPr>
          <w:noProof/>
        </w:rPr>
      </w:pPr>
      <w:r>
        <w:rPr>
          <w:noProof/>
        </w:rPr>
        <w:t>La 21 decembrie 2016, Comisia și-a îndeplinit angajamentul de a prezenta o propunere de directivă a Consiliului</w:t>
      </w:r>
      <w:r>
        <w:rPr>
          <w:rStyle w:val="FootnoteReference"/>
          <w:noProof/>
        </w:rPr>
        <w:footnoteReference w:id="15"/>
      </w:r>
      <w:r>
        <w:rPr>
          <w:noProof/>
        </w:rPr>
        <w:t xml:space="preserve"> privind aplicarea temporară a unui mecanism generalizat de taxare inversă în legătură cu furnizarea de bunuri și servicii care depășesc un prag de 10 000 EUR pe factură. Într-un astfel de sistem, TVA-ul este „suspendat” de-a lungul întregului lanț economic (între întreprinderi) și se aplică numai consumatorilor finali. Această măsură are menirea de a ajuta statele membre care sunt în mod special afectate de fraudă să lupte împotriva fraudei de tip carusel</w:t>
      </w:r>
      <w:r>
        <w:rPr>
          <w:rStyle w:val="FootnoteReference"/>
          <w:noProof/>
        </w:rPr>
        <w:footnoteReference w:id="16"/>
      </w:r>
      <w:r>
        <w:rPr>
          <w:noProof/>
        </w:rPr>
        <w:t xml:space="preserve">, oferindu-se, în același timp, și o soluție cuprinzătoare la nivelul întregii UE. Negocierile sunt în curs de desfășurare în cadrul Consiliului. </w:t>
      </w:r>
    </w:p>
    <w:p>
      <w:pPr>
        <w:pStyle w:val="Heading1"/>
        <w:spacing w:before="240"/>
        <w:ind w:left="851" w:hanging="851"/>
        <w:rPr>
          <w:noProof/>
        </w:rPr>
      </w:pPr>
      <w:bookmarkStart w:id="32" w:name="_Toc487461377"/>
      <w:bookmarkStart w:id="33" w:name="_Toc488250035"/>
      <w:bookmarkStart w:id="34" w:name="_Toc492458733"/>
      <w:bookmarkStart w:id="35" w:name="_Toc494882537"/>
      <w:bookmarkEnd w:id="30"/>
      <w:bookmarkEnd w:id="31"/>
      <w:r>
        <w:rPr>
          <w:noProof/>
        </w:rPr>
        <w:t>PUNEREA ÎN APLICARE A PROPUNERILOR VIITOARE</w:t>
      </w:r>
      <w:bookmarkEnd w:id="32"/>
      <w:bookmarkEnd w:id="33"/>
      <w:bookmarkEnd w:id="34"/>
      <w:bookmarkEnd w:id="35"/>
    </w:p>
    <w:p>
      <w:pPr>
        <w:pStyle w:val="Heading2"/>
        <w:rPr>
          <w:noProof/>
        </w:rPr>
      </w:pPr>
      <w:bookmarkStart w:id="36" w:name="_Toc487461378"/>
      <w:bookmarkStart w:id="37" w:name="_Toc488250036"/>
      <w:bookmarkStart w:id="38" w:name="_Toc492458734"/>
      <w:bookmarkStart w:id="39" w:name="_Toc494882538"/>
      <w:r>
        <w:rPr>
          <w:noProof/>
        </w:rPr>
        <w:t>3.1</w:t>
      </w:r>
      <w:r>
        <w:rPr>
          <w:noProof/>
        </w:rPr>
        <w:tab/>
        <w:t>Către un spațiu unic european solid pentru TVA</w:t>
      </w:r>
      <w:bookmarkEnd w:id="36"/>
      <w:bookmarkEnd w:id="37"/>
      <w:bookmarkEnd w:id="38"/>
      <w:bookmarkEnd w:id="39"/>
    </w:p>
    <w:p>
      <w:pPr>
        <w:pStyle w:val="Heading3"/>
        <w:rPr>
          <w:b/>
          <w:noProof/>
        </w:rPr>
      </w:pPr>
      <w:bookmarkStart w:id="40" w:name="_Toc488250037"/>
      <w:bookmarkStart w:id="41" w:name="_Toc492458735"/>
      <w:bookmarkStart w:id="42" w:name="_Toc494882539"/>
      <w:r>
        <w:rPr>
          <w:noProof/>
        </w:rPr>
        <w:t>3.1.1.</w:t>
      </w:r>
      <w:r>
        <w:rPr>
          <w:noProof/>
        </w:rPr>
        <w:tab/>
        <w:t>Punerea în aplicare a primei etape a sistemului definitiv de TVA</w:t>
      </w:r>
      <w:bookmarkEnd w:id="40"/>
      <w:bookmarkEnd w:id="41"/>
      <w:bookmarkEnd w:id="42"/>
    </w:p>
    <w:p>
      <w:pPr>
        <w:rPr>
          <w:rFonts w:eastAsiaTheme="majorEastAsia"/>
          <w:noProof/>
        </w:rPr>
      </w:pPr>
      <w:r>
        <w:rPr>
          <w:noProof/>
        </w:rPr>
        <w:t>Astfel cum s-a anunțat în Planul de acțiune privind TVA, Comisia propune înlocuirea actualului regim tranzitoriu de impozitare a schimburilor comerciale dintre statele membre printr-un regim definitiv. În concordanță cu solicitările formulate de Parlamentul European</w:t>
      </w:r>
      <w:r>
        <w:rPr>
          <w:rStyle w:val="FootnoteReference"/>
          <w:rFonts w:eastAsiaTheme="majorEastAsia"/>
          <w:noProof/>
        </w:rPr>
        <w:footnoteReference w:id="17"/>
      </w:r>
      <w:r>
        <w:rPr>
          <w:noProof/>
        </w:rPr>
        <w:t xml:space="preserve"> și de Consiliu</w:t>
      </w:r>
      <w:r>
        <w:rPr>
          <w:rStyle w:val="FootnoteReference"/>
          <w:rFonts w:eastAsiaTheme="majorEastAsia"/>
          <w:noProof/>
        </w:rPr>
        <w:footnoteReference w:id="18"/>
      </w:r>
      <w:r>
        <w:rPr>
          <w:noProof/>
        </w:rPr>
        <w:t>, acest sistem definitiv de TVA va funcționa pe baza principiului impozitării în statul membru de destinație</w:t>
      </w:r>
      <w:r>
        <w:rPr>
          <w:rStyle w:val="FootnoteReference"/>
          <w:rFonts w:eastAsiaTheme="majorEastAsia"/>
          <w:noProof/>
        </w:rPr>
        <w:footnoteReference w:id="19"/>
      </w:r>
      <w:r>
        <w:rPr>
          <w:noProof/>
        </w:rPr>
        <w:t xml:space="preserve">. </w:t>
      </w:r>
    </w:p>
    <w:p>
      <w:pPr>
        <w:rPr>
          <w:rFonts w:eastAsiaTheme="majorEastAsia"/>
          <w:noProof/>
        </w:rPr>
      </w:pPr>
      <w:r>
        <w:rPr>
          <w:noProof/>
        </w:rPr>
        <w:t>Pentru ca tranziția să fie ușoară pentru administrațiile fiscale și pentru întreprinderi, această modificare va fi realizată treptat, în două etape</w:t>
      </w:r>
      <w:r>
        <w:rPr>
          <w:rStyle w:val="FootnoteReference"/>
          <w:rFonts w:eastAsiaTheme="majorEastAsia"/>
          <w:noProof/>
        </w:rPr>
        <w:footnoteReference w:id="20"/>
      </w:r>
      <w:r>
        <w:rPr>
          <w:noProof/>
        </w:rPr>
        <w:t>.</w:t>
      </w:r>
    </w:p>
    <w:p>
      <w:pPr>
        <w:rPr>
          <w:rFonts w:eastAsiaTheme="majorEastAsia"/>
          <w:noProof/>
        </w:rPr>
      </w:pPr>
      <w:r>
        <w:rPr>
          <w:noProof/>
        </w:rPr>
        <w:t xml:space="preserve">Într-o primă fază, la nivel legislativ urmează să se stabilească regimul TVA aplicabil furnizării de bunuri între întreprinderi (B2B) în interiorul Uniunii . Implementarea acestei prime faze în domeniul legislativ va presupune două etape (a se vedea punctele 3.1.1.1 și 3.1.1.2 de mai jos) care cuprind o serie de propuneri ce urmează să fie adoptate de Comisie în cursul acestui an (etapa 1) și o altă serie ce urmează să fie adoptate anul următor (etapa 2). </w:t>
      </w:r>
    </w:p>
    <w:p>
      <w:pPr>
        <w:rPr>
          <w:rFonts w:eastAsiaTheme="majorEastAsia"/>
          <w:noProof/>
        </w:rPr>
      </w:pPr>
      <w:r>
        <w:rPr>
          <w:noProof/>
        </w:rPr>
        <w:t>Într-o a doua fază în domeniul legislativ, noul regim TVA va fi extins la toate furnizările transfrontaliere, aplicându-se prin urmare și prestărilor de servicii. Implementarea acestei a doua faze la nivel legislativ ar urma să fie propusă de Comisie după monitorizarea corespunzătoare a implementării primei faze, modul de funcționare al acesteia fiind evaluat de Comisie la cinci ani după intrarea sa în vigoare. În acel moment sistemul definitiv va fi implementat în întregime.</w:t>
      </w:r>
    </w:p>
    <w:p>
      <w:pPr>
        <w:rPr>
          <w:rFonts w:eastAsiaTheme="majorEastAsia"/>
          <w:noProof/>
        </w:rPr>
      </w:pPr>
      <w:r>
        <w:rPr>
          <w:noProof/>
        </w:rPr>
        <w:t>După consultarea corespunzătoare a tuturor părților interesate și după analiza detaliată a diferitor opțiuni de implementare a principiului impozitării la destinație, Comisia a optat pentru norme de impozitare potrivit cărora, la furnizarea transfrontalieră de bunuri în interiorul Uniunii, furnizorul va percepe TVA clientului său la cota stabilită de statul membru în care sosesc bunurile respective. TVA-ul va fi declarat și plătit în statul membru în care este stabilit furnizorul, printr-un mecanism de ghișeu unic. Totuși, în prima fază de implementare a sistemului definitiv de TVA, ca excepție de la acest principiu general</w:t>
      </w:r>
      <w:r>
        <w:rPr>
          <w:rStyle w:val="FootnoteReference"/>
          <w:rFonts w:eastAsiaTheme="majorEastAsia"/>
          <w:noProof/>
        </w:rPr>
        <w:footnoteReference w:id="21"/>
      </w:r>
      <w:r>
        <w:rPr>
          <w:noProof/>
        </w:rPr>
        <w:t>, dacă clientul este atestat ca întreprindere care își respectă obligațiile de către administrația fiscală de care ține (posibilitate oferită și IMM-urilor), respectivul client va continua să fie obligat la plata TVA</w:t>
      </w:r>
      <w:r>
        <w:rPr>
          <w:noProof/>
        </w:rPr>
        <w:noBreakHyphen/>
        <w:t>ului pentru bunurile achiziționate din alte state membre, așa cum este cazul în prezent</w:t>
      </w:r>
      <w:r>
        <w:rPr>
          <w:rStyle w:val="FootnoteReference"/>
          <w:rFonts w:eastAsiaTheme="majorEastAsia"/>
          <w:noProof/>
        </w:rPr>
        <w:footnoteReference w:id="22"/>
      </w:r>
      <w:r>
        <w:rPr>
          <w:noProof/>
        </w:rPr>
        <w:t>.</w:t>
      </w:r>
    </w:p>
    <w:p>
      <w:pPr>
        <w:rPr>
          <w:rFonts w:eastAsiaTheme="majorEastAsia"/>
          <w:noProof/>
        </w:rPr>
      </w:pPr>
      <w:r>
        <w:rPr>
          <w:noProof/>
        </w:rPr>
        <w:t>În plus, din concluziile Consiliului</w:t>
      </w:r>
      <w:r>
        <w:rPr>
          <w:rStyle w:val="FootnoteReference"/>
          <w:rFonts w:eastAsiaTheme="majorEastAsia"/>
          <w:noProof/>
        </w:rPr>
        <w:footnoteReference w:id="23"/>
      </w:r>
      <w:r>
        <w:rPr>
          <w:noProof/>
        </w:rPr>
        <w:t xml:space="preserve"> și din discuțiile purtate cu statele membre și cu alte părți interesate pe tema planului de acțiune privind TVA a reieșit necesitatea de a face unele îmbunătățiri pe termen scurt ale actualului sistem de TVA („soluții rapide”). Aceste patru soluții rapide sunt propuse în acest an, alături de fundamentele juridice ale sistemului definitiv de TVA (etapa 1 de mai jos). În continuare, în 2018 va fi înaintată o propunere (etapa 2 de mai jos) care va furniza dispozițiile tehnice detaliate de implementare efectivă a primei faze a sistemului definitiv de TVA. </w:t>
      </w:r>
    </w:p>
    <w:p>
      <w:pPr>
        <w:pStyle w:val="Heading4"/>
        <w:rPr>
          <w:noProof/>
        </w:rPr>
      </w:pPr>
      <w:r>
        <w:rPr>
          <w:noProof/>
        </w:rPr>
        <w:t>3.1.1.1.</w:t>
      </w:r>
      <w:r>
        <w:rPr>
          <w:noProof/>
        </w:rPr>
        <w:tab/>
        <w:t>Prima etapă: pachetul privind sistemul definitiv de TVA din octombrie 2017</w:t>
      </w:r>
    </w:p>
    <w:p>
      <w:pPr>
        <w:rPr>
          <w:rFonts w:eastAsiaTheme="majorEastAsia"/>
          <w:noProof/>
        </w:rPr>
      </w:pPr>
      <w:r>
        <w:rPr>
          <w:noProof/>
        </w:rPr>
        <w:t>Pachetul privind sistemul definitiv de TVA din octombrie 2017 constă în următoarele trei acte legislative:</w:t>
      </w:r>
    </w:p>
    <w:p>
      <w:pPr>
        <w:rPr>
          <w:noProof/>
        </w:rPr>
      </w:pPr>
      <w:r>
        <w:rPr>
          <w:noProof/>
        </w:rPr>
        <w:t>A. O propunere de Directivă de modificare a Directivei TVA</w:t>
      </w:r>
    </w:p>
    <w:p>
      <w:pPr>
        <w:rPr>
          <w:noProof/>
        </w:rPr>
      </w:pPr>
      <w:r>
        <w:rPr>
          <w:noProof/>
        </w:rPr>
        <w:t>Propunerea introduce următoarele:</w:t>
      </w:r>
    </w:p>
    <w:p>
      <w:pPr>
        <w:ind w:left="567" w:hanging="567"/>
        <w:rPr>
          <w:noProof/>
        </w:rPr>
      </w:pPr>
      <w:r>
        <w:rPr>
          <w:noProof/>
        </w:rPr>
        <w:t>(a)</w:t>
      </w:r>
      <w:r>
        <w:rPr>
          <w:noProof/>
        </w:rPr>
        <w:tab/>
        <w:t>noțiunea de persoană impozabilă atestată, modelată pe baza conceptului operatorului economic autorizat existent în domeniul vamal. Conceptul de persoană impozabilă atestată permite atestarea faptului că o anumită întreprindere poate fi considerată , la nivel global, un contribuabil de încredere. Persoanele impozabile atestate urmează să beneficieze de anumite simplificări</w:t>
      </w:r>
      <w:r>
        <w:rPr>
          <w:rStyle w:val="FootnoteReference"/>
          <w:noProof/>
        </w:rPr>
        <w:footnoteReference w:id="24"/>
      </w:r>
      <w:r>
        <w:rPr>
          <w:noProof/>
        </w:rPr>
        <w:t>. Propunerea prevede criteriile care trebuie îndeplinite pentru a obține statutul de persoană impozabilă atestată, excluderile, statele membre care sunt competente să acorde sau să retragă statutul de persoană impozabilă atestată, dreptul persoanelor impozabile de a contesta deciziile administrative luate în această privință și obligația recunoașterii reciproce de către statele membre.</w:t>
      </w:r>
    </w:p>
    <w:p>
      <w:pPr>
        <w:ind w:left="567" w:hanging="567"/>
        <w:rPr>
          <w:noProof/>
        </w:rPr>
      </w:pPr>
    </w:p>
    <w:p>
      <w:pPr>
        <w:ind w:left="567" w:hanging="567"/>
        <w:rPr>
          <w:noProof/>
        </w:rPr>
      </w:pPr>
    </w:p>
    <w:p>
      <w:pPr>
        <w:ind w:left="567" w:hanging="567"/>
        <w:rPr>
          <w:noProof/>
        </w:rPr>
      </w:pPr>
      <w:r>
        <w:rPr>
          <w:noProof/>
        </w:rPr>
        <w:t>(b)</w:t>
      </w:r>
      <w:r>
        <w:rPr>
          <w:noProof/>
        </w:rPr>
        <w:tab/>
        <w:t>trei „soluții rapide” solicitate de Consiliu, și anume:</w:t>
      </w:r>
    </w:p>
    <w:p>
      <w:pPr>
        <w:ind w:left="567" w:hanging="567"/>
        <w:rPr>
          <w:noProof/>
        </w:rPr>
      </w:pPr>
      <w:r>
        <w:rPr>
          <w:noProof/>
        </w:rPr>
        <w:t xml:space="preserve">- </w:t>
      </w:r>
      <w:r>
        <w:rPr>
          <w:noProof/>
        </w:rPr>
        <w:tab/>
        <w:t>simplificarea și armonizarea normelor referitoare la regimul stocurilor la dispoziția clientului</w:t>
      </w:r>
      <w:r>
        <w:rPr>
          <w:rStyle w:val="FootnoteReference"/>
          <w:noProof/>
        </w:rPr>
        <w:footnoteReference w:id="25"/>
      </w:r>
      <w:r>
        <w:rPr>
          <w:noProof/>
        </w:rPr>
        <w:t>;</w:t>
      </w:r>
    </w:p>
    <w:p>
      <w:pPr>
        <w:ind w:left="567" w:hanging="567"/>
        <w:rPr>
          <w:noProof/>
        </w:rPr>
      </w:pPr>
      <w:r>
        <w:rPr>
          <w:noProof/>
        </w:rPr>
        <w:t xml:space="preserve">- </w:t>
      </w:r>
      <w:r>
        <w:rPr>
          <w:noProof/>
        </w:rPr>
        <w:tab/>
        <w:t>recunoașterea codului de identificare în scopuri de TVA al clientului drept condiție de fond pentru scutirea de TVA a unei furnizări intracomunitare de bunuri</w:t>
      </w:r>
      <w:r>
        <w:rPr>
          <w:rStyle w:val="FootnoteReference"/>
          <w:noProof/>
        </w:rPr>
        <w:footnoteReference w:id="26"/>
      </w:r>
      <w:r>
        <w:rPr>
          <w:noProof/>
        </w:rPr>
        <w:t>;</w:t>
      </w:r>
    </w:p>
    <w:p>
      <w:pPr>
        <w:ind w:left="567" w:hanging="567"/>
        <w:rPr>
          <w:noProof/>
        </w:rPr>
      </w:pPr>
      <w:r>
        <w:rPr>
          <w:noProof/>
        </w:rPr>
        <w:t>-</w:t>
      </w:r>
      <w:r>
        <w:rPr>
          <w:noProof/>
        </w:rPr>
        <w:tab/>
        <w:t>simplificarea normelor pentru asigurarea securității juridice în privința operațiunilor în lanț</w:t>
      </w:r>
      <w:r>
        <w:rPr>
          <w:rStyle w:val="FootnoteReference"/>
          <w:noProof/>
        </w:rPr>
        <w:footnoteReference w:id="27"/>
      </w:r>
      <w:r>
        <w:rPr>
          <w:noProof/>
        </w:rPr>
        <w:t xml:space="preserve">. </w:t>
      </w:r>
    </w:p>
    <w:p>
      <w:pPr>
        <w:ind w:left="567"/>
        <w:rPr>
          <w:noProof/>
        </w:rPr>
      </w:pPr>
      <w:r>
        <w:rPr>
          <w:noProof/>
        </w:rPr>
        <w:t>Aceste „soluții rapide” ar urma să fie disponibile numai pentru persoanele impozabile atestate (cu excepția soluției rapide legate de codul de identificare în scopuri de TVA care, prin însăși natura sa, nu poate fi restrânsă în acest mod).</w:t>
      </w:r>
    </w:p>
    <w:p>
      <w:pPr>
        <w:ind w:left="567" w:hanging="567"/>
        <w:rPr>
          <w:noProof/>
        </w:rPr>
      </w:pPr>
      <w:r>
        <w:rPr>
          <w:noProof/>
        </w:rPr>
        <w:t>(c)</w:t>
      </w:r>
      <w:r>
        <w:rPr>
          <w:noProof/>
        </w:rPr>
        <w:tab/>
        <w:t>Fundamentele juridice ale sistemului definitiv de TVA. Printre acestea se numără îndeosebi introducerea principiului impozitării în statul membru de destinație și a răspunderii furnizorului ca regulă generală (cu excepția cazului în care clientul este o persoană impozabilă atestată)</w:t>
      </w:r>
      <w:r>
        <w:rPr>
          <w:rStyle w:val="FootnoteReference"/>
          <w:noProof/>
        </w:rPr>
        <w:footnoteReference w:id="28"/>
      </w:r>
      <w:r>
        <w:rPr>
          <w:noProof/>
        </w:rPr>
        <w:t xml:space="preserve">. Se introduce, de asemenea, un ghișeu unic care va permite furnizorilor să plătească TVA-ul datorat pentru furnizările de bunuri către alte state membre în statul membru în care sunt stabiliți. Acest ghișeu unic ar permite compensarea TVA-ului datorat pentru furnizările efectuate cu TVA-ul aferent achizițiilor efectuate în cadrul UE. </w:t>
      </w:r>
    </w:p>
    <w:p>
      <w:pPr>
        <w:rPr>
          <w:noProof/>
        </w:rPr>
      </w:pPr>
      <w:bookmarkStart w:id="43" w:name="_Toc487461379"/>
      <w:r>
        <w:rPr>
          <w:noProof/>
        </w:rPr>
        <w:t>B. O propunere de modificare a Regulamentului de punere în aplicare (UE) nr. 282/2011</w:t>
      </w:r>
      <w:bookmarkEnd w:id="43"/>
      <w:r>
        <w:rPr>
          <w:noProof/>
        </w:rPr>
        <w:t xml:space="preserve"> pentru a introduce a patra „soluție rapidă”</w:t>
      </w:r>
    </w:p>
    <w:p>
      <w:pPr>
        <w:rPr>
          <w:noProof/>
        </w:rPr>
      </w:pPr>
      <w:r>
        <w:rPr>
          <w:noProof/>
        </w:rPr>
        <w:t>Propunerea introduce cea de-a patra „soluție rapidă” solicitată de Consiliu, și anume armonizarea și simplificarea normelor privind dovada transportului intracomunitar de bunuri în vederea scutirii de TVA a unei furnizări intracomunitare de bunuri. Această simplificare ar urma să fie disponibilă numai în cazul în care este implicată o persoană impozabilă atestată.</w:t>
      </w:r>
    </w:p>
    <w:p>
      <w:pPr>
        <w:rPr>
          <w:noProof/>
        </w:rPr>
      </w:pPr>
      <w:bookmarkStart w:id="44" w:name="_Toc487461380"/>
      <w:r>
        <w:rPr>
          <w:noProof/>
        </w:rPr>
        <w:t>C. O propunere de modificare a Regulamentului privind cooperarea administrativă în domeniul TVA</w:t>
      </w:r>
      <w:bookmarkEnd w:id="44"/>
    </w:p>
    <w:p>
      <w:pPr>
        <w:rPr>
          <w:noProof/>
        </w:rPr>
      </w:pPr>
      <w:r>
        <w:rPr>
          <w:noProof/>
        </w:rPr>
        <w:t>Propunerea este necesară pentru a asigura includerea statutului persoanei impozabile atestate în sistemul VIES</w:t>
      </w:r>
      <w:r>
        <w:rPr>
          <w:rStyle w:val="FootnoteReference"/>
          <w:noProof/>
          <w:color w:val="000000"/>
        </w:rPr>
        <w:footnoteReference w:id="29"/>
      </w:r>
      <w:r>
        <w:rPr>
          <w:noProof/>
        </w:rPr>
        <w:t>. Ea va oferi temeiul juridic pentru un instrument IT tehnic eficient care să permită statelor membre și operatorilor să verifice imediat, în format electronic, dacă unui operator i s-a acordat acest statut.</w:t>
      </w:r>
    </w:p>
    <w:p>
      <w:pPr>
        <w:pStyle w:val="Heading4"/>
        <w:rPr>
          <w:b/>
          <w:noProof/>
        </w:rPr>
      </w:pPr>
      <w:r>
        <w:rPr>
          <w:noProof/>
        </w:rPr>
        <w:t>3.1.1.2.</w:t>
      </w:r>
      <w:r>
        <w:rPr>
          <w:noProof/>
        </w:rPr>
        <w:tab/>
        <w:t>A doua etapă: dispoziții tehnice detaliate pentru sistemul definitiv adoptate în 2018</w:t>
      </w:r>
    </w:p>
    <w:p>
      <w:pPr>
        <w:rPr>
          <w:rFonts w:eastAsiaTheme="majorEastAsia"/>
          <w:noProof/>
        </w:rPr>
      </w:pPr>
      <w:r>
        <w:rPr>
          <w:noProof/>
        </w:rPr>
        <w:t>Fundamentele juridice susmenționate ale sistemului definitiv de TVA vor constitui acordul de principiu al statelor membre pentru trecerea de la actualul regim tranzitoriu în domeniul TVA la un sistem definitiv de TVA bazat pe principiul impozitării la destinație. În 2018, Comisia va adopta o propunere de directivă, însoțită de măsurile relevante de punere în aplicare, prin care se vor stabili dispozițiile tehnice detaliate necesare pentru funcționarea sistemului definitiv de TVA.</w:t>
      </w:r>
    </w:p>
    <w:p>
      <w:pPr>
        <w:rPr>
          <w:rFonts w:eastAsiaTheme="majorEastAsia"/>
          <w:noProof/>
        </w:rPr>
      </w:pPr>
      <w:r>
        <w:rPr>
          <w:noProof/>
        </w:rPr>
        <w:t xml:space="preserve">Propunerea din 2018 va introduce dispozițiile specifice de implementare a fundamentelor juridice. Totodată se vor propune măsuri de punere în aplicare care să stea la baza dezvoltării soluțiilor IT necesare pentru ca noul sistem să funcționeze până în 2022. </w:t>
      </w:r>
    </w:p>
    <w:p>
      <w:pPr>
        <w:pStyle w:val="Heading3"/>
        <w:rPr>
          <w:b/>
          <w:noProof/>
        </w:rPr>
      </w:pPr>
      <w:bookmarkStart w:id="45" w:name="_Toc488250038"/>
      <w:bookmarkStart w:id="46" w:name="_Toc492458736"/>
      <w:bookmarkStart w:id="47" w:name="_Toc494882540"/>
      <w:r>
        <w:rPr>
          <w:noProof/>
        </w:rPr>
        <w:t xml:space="preserve">3.1.2. </w:t>
      </w:r>
      <w:r>
        <w:rPr>
          <w:noProof/>
        </w:rPr>
        <w:tab/>
        <w:t>Combaterea fraudei în domeniul TVA în prezent: o cooperare administrativă mai bună pentru rezultate mai rapide</w:t>
      </w:r>
      <w:bookmarkEnd w:id="45"/>
      <w:bookmarkEnd w:id="46"/>
      <w:bookmarkEnd w:id="47"/>
    </w:p>
    <w:p>
      <w:pPr>
        <w:rPr>
          <w:rFonts w:eastAsiaTheme="majorEastAsia"/>
          <w:noProof/>
        </w:rPr>
      </w:pPr>
      <w:r>
        <w:rPr>
          <w:noProof/>
        </w:rPr>
        <w:t>O serie de articole de presă publicate recent în întreaga Europă, precum și anchetele derulate de autoritățile naționale au subliniat legătura de netăgăduit dintre cazurile de fraudă pe scară largă în domeniul TVA și criminalitatea organizată. Aceste materiale au arătat că banii obținuți de pe urma fraudei intră în sisteme de spălare a banilor înainte de a fi investiți în alte activități infracționale, chiar și în finanțarea terorismului. În acest context, după cum au recunoscut Parlamentul European</w:t>
      </w:r>
      <w:r>
        <w:rPr>
          <w:rStyle w:val="FootnoteReference"/>
          <w:noProof/>
        </w:rPr>
        <w:footnoteReference w:id="30"/>
      </w:r>
      <w:r>
        <w:rPr>
          <w:noProof/>
        </w:rPr>
        <w:t>, statele membre</w:t>
      </w:r>
      <w:r>
        <w:rPr>
          <w:rStyle w:val="FootnoteReference"/>
          <w:noProof/>
        </w:rPr>
        <w:footnoteReference w:id="31"/>
      </w:r>
      <w:r>
        <w:rPr>
          <w:noProof/>
        </w:rPr>
        <w:t xml:space="preserve"> și Curtea de Conturi Europeană</w:t>
      </w:r>
      <w:r>
        <w:rPr>
          <w:rStyle w:val="FootnoteReference"/>
          <w:noProof/>
        </w:rPr>
        <w:footnoteReference w:id="32"/>
      </w:r>
      <w:r>
        <w:rPr>
          <w:noProof/>
        </w:rPr>
        <w:t xml:space="preserve">, trebuie consolidate instrumentele de cooperare administrativă în domeniul TVA. </w:t>
      </w:r>
    </w:p>
    <w:p>
      <w:pPr>
        <w:rPr>
          <w:rFonts w:eastAsiaTheme="majorEastAsia"/>
          <w:noProof/>
        </w:rPr>
      </w:pPr>
      <w:r>
        <w:rPr>
          <w:noProof/>
        </w:rPr>
        <w:t>Până în noiembrie 2017, Comisia va prezenta o propunere legislativă pentru a consolida instrumentele de cooperare administrativă existente. Unul dintre obiective va fi să se consolideze capacitatea statelor membre de a efectua analize de risc comune mai rapide ale informațiilor disponibile în Eurofisc, de a demara acțiuni ulterioare și de a împărtăși informații strategice în materie de TVA cu organismele de asigurare a aplicării legii la nivelul UE, precum Europol, OLAF și EPPO. Propunerea ar trebui, de asemenea, să cuprindă măsuri care să abordeze deficiențele existente la nivelul sistemului de import în temeiul „procedurii 42”</w:t>
      </w:r>
      <w:r>
        <w:rPr>
          <w:rStyle w:val="FootnoteReference"/>
          <w:rFonts w:eastAsiaTheme="majorEastAsia"/>
          <w:noProof/>
        </w:rPr>
        <w:footnoteReference w:id="33"/>
      </w:r>
      <w:r>
        <w:rPr>
          <w:noProof/>
        </w:rPr>
        <w:t>, facilitându-se accesul sistematic al autorităților fiscale și vamale la informații relevante.</w:t>
      </w:r>
    </w:p>
    <w:p>
      <w:pPr>
        <w:rPr>
          <w:rFonts w:eastAsiaTheme="majorEastAsia"/>
          <w:noProof/>
        </w:rPr>
      </w:pPr>
      <w:r>
        <w:rPr>
          <w:noProof/>
        </w:rPr>
        <w:t>Toate aceste măsuri vor contribui la sporirea încrederii reciproce a administrațiilor fiscale, de care va fi nevoie pentru implementarea în întregime a sistemului definitiv de TVA.</w:t>
      </w:r>
    </w:p>
    <w:p>
      <w:pPr>
        <w:pStyle w:val="Heading3"/>
        <w:rPr>
          <w:b/>
          <w:noProof/>
        </w:rPr>
      </w:pPr>
      <w:bookmarkStart w:id="48" w:name="_Toc488250039"/>
      <w:bookmarkStart w:id="49" w:name="_Toc492458737"/>
      <w:bookmarkStart w:id="50" w:name="_Toc494882541"/>
      <w:r>
        <w:rPr>
          <w:noProof/>
        </w:rPr>
        <w:t>3.1.3.</w:t>
      </w:r>
      <w:r>
        <w:rPr>
          <w:noProof/>
        </w:rPr>
        <w:tab/>
        <w:t>Către administrații fiscale mai eficiente</w:t>
      </w:r>
      <w:bookmarkEnd w:id="48"/>
      <w:bookmarkEnd w:id="49"/>
      <w:bookmarkEnd w:id="50"/>
    </w:p>
    <w:p>
      <w:pPr>
        <w:rPr>
          <w:rFonts w:eastAsiaTheme="majorEastAsia"/>
          <w:noProof/>
        </w:rPr>
      </w:pPr>
      <w:r>
        <w:rPr>
          <w:noProof/>
        </w:rPr>
        <w:t xml:space="preserve">Până la finele anului 2017, Comisia va prezenta un pachet separat de două rapoarte Parlamentului European și Consiliului: </w:t>
      </w:r>
    </w:p>
    <w:p>
      <w:pPr>
        <w:pStyle w:val="ListParagraph"/>
        <w:numPr>
          <w:ilvl w:val="0"/>
          <w:numId w:val="37"/>
        </w:numPr>
        <w:rPr>
          <w:rFonts w:eastAsiaTheme="majorEastAsia"/>
          <w:noProof/>
        </w:rPr>
      </w:pPr>
      <w:r>
        <w:rPr>
          <w:noProof/>
        </w:rPr>
        <w:t>un raport în temeiul articolului 12 din Regulamentul 1553/89 al Consiliului referitor la procedurile aplicate în statele membre pentru înregistrarea persoanelor impozabile și pentru determinarea și colectarea TVA-ului, precum și la modalitățile și rezultatele sistemelor lor de control al TVA</w:t>
      </w:r>
      <w:r>
        <w:rPr>
          <w:rStyle w:val="FootnoteReference"/>
          <w:rFonts w:eastAsiaTheme="majorEastAsia" w:cstheme="minorHAnsi"/>
          <w:noProof/>
        </w:rPr>
        <w:footnoteReference w:id="34"/>
      </w:r>
      <w:r>
        <w:rPr>
          <w:noProof/>
        </w:rPr>
        <w:t>;</w:t>
      </w:r>
    </w:p>
    <w:p>
      <w:pPr>
        <w:pStyle w:val="ListParagraph"/>
        <w:numPr>
          <w:ilvl w:val="0"/>
          <w:numId w:val="37"/>
        </w:numPr>
        <w:rPr>
          <w:rFonts w:eastAsiaTheme="majorEastAsia"/>
          <w:noProof/>
        </w:rPr>
      </w:pPr>
      <w:r>
        <w:rPr>
          <w:noProof/>
        </w:rPr>
        <w:t>un raport în temeiul articolului 27 din Directiva 2010/24/UE referitor la utilizarea asistenței reciproce între statele membre pentru recuperarea impozitelor – în special a TVA-ului – care nu sunt plătite voluntar de persoanele impozabile</w:t>
      </w:r>
      <w:r>
        <w:rPr>
          <w:rStyle w:val="FootnoteReference"/>
          <w:rFonts w:eastAsiaTheme="majorEastAsia" w:cstheme="minorHAnsi"/>
          <w:noProof/>
        </w:rPr>
        <w:footnoteReference w:id="35"/>
      </w:r>
      <w:r>
        <w:rPr>
          <w:noProof/>
        </w:rPr>
        <w:t>.</w:t>
      </w:r>
    </w:p>
    <w:p>
      <w:pPr>
        <w:rPr>
          <w:rFonts w:eastAsiaTheme="majorEastAsia"/>
          <w:noProof/>
        </w:rPr>
      </w:pPr>
      <w:r>
        <w:rPr>
          <w:noProof/>
        </w:rPr>
        <w:t xml:space="preserve">Aceste rapoarte vor revela provocările cu care se confruntă administrațiile fiscale la colectarea impozitelor într-un mediu social, economic și financiar aflat în schimbare. Digitalizarea, globalizarea, noile modele de afaceri, frauda și evaziunea fiscală și resursele limitate determină administrațiile fiscale să își revizuiască practicile și să găsească modalități moderne sau alternative de colectare a impozitelor în cadrul pieței unice. Acest fapt oferă Comisiei șansa de a deschide un dialog strategic la nivel înalt cu autoritățile naționale, cu scopul de a concepe soluții coerente la nivelul întregii UE și aliniate la normele UE. </w:t>
      </w:r>
    </w:p>
    <w:p>
      <w:pPr>
        <w:pStyle w:val="Heading2"/>
        <w:rPr>
          <w:noProof/>
        </w:rPr>
      </w:pPr>
      <w:bookmarkStart w:id="51" w:name="_Toc487461381"/>
      <w:bookmarkStart w:id="52" w:name="_Toc488250040"/>
      <w:bookmarkStart w:id="53" w:name="_Toc492458738"/>
      <w:bookmarkStart w:id="54" w:name="_Toc494882542"/>
      <w:r>
        <w:rPr>
          <w:noProof/>
        </w:rPr>
        <w:t>3.2</w:t>
      </w:r>
      <w:r>
        <w:rPr>
          <w:noProof/>
        </w:rPr>
        <w:tab/>
        <w:t>Către o politică modernizată privind cotele</w:t>
      </w:r>
      <w:bookmarkEnd w:id="51"/>
      <w:bookmarkEnd w:id="52"/>
      <w:bookmarkEnd w:id="53"/>
      <w:bookmarkEnd w:id="54"/>
    </w:p>
    <w:p>
      <w:pPr>
        <w:rPr>
          <w:rFonts w:eastAsiaTheme="majorEastAsia"/>
          <w:noProof/>
        </w:rPr>
      </w:pPr>
      <w:r>
        <w:rPr>
          <w:noProof/>
        </w:rPr>
        <w:t>Astfel cum s-a anunțat în Planul de acțiune privind TVA, Comisia intenționează, deopotrivă, să modernizeze normele care îngrădesc în prezent libertatea statelor membre de a stabili cotele de TVA.</w:t>
      </w:r>
    </w:p>
    <w:p>
      <w:pPr>
        <w:rPr>
          <w:rFonts w:eastAsiaTheme="majorEastAsia"/>
          <w:noProof/>
        </w:rPr>
      </w:pPr>
      <w:r>
        <w:rPr>
          <w:noProof/>
        </w:rPr>
        <w:t xml:space="preserve">Pe lângă propunerea referitoare la publicațiile electronice, menționată la punctul 2.1.2 de mai sus, până în noiembrie 2017, Comisia va propune o reformă a cotelor de TVA. Demersul este în concordanță cu regimul definitiv bazat pe principiul impozitării la destinație, care va înlocui treptat actualul regim tranzitoriu aplicabil impozitării schimburilor comerciale dintre statele membre. </w:t>
      </w:r>
    </w:p>
    <w:p>
      <w:pPr>
        <w:rPr>
          <w:rFonts w:eastAsiaTheme="majorEastAsia"/>
          <w:noProof/>
        </w:rPr>
      </w:pPr>
      <w:r>
        <w:rPr>
          <w:noProof/>
        </w:rPr>
        <w:t>În fapt, dacă bunurile și serviciile sunt impozitate în statul membru de destinație, furnizorii nu obțin niciun avantaj semnificativ dacă se stabilesc într-un stat membru cu o cotă de TVA mai mică. Existența unei diversități de cote de TVA nu ar mai putea perturba funcționarea pieței unice, cu condiția să fie însoțită de garanții prin care să se evite riscurile potențiale, cum ar fi erodarea veniturilor, denaturarea concurenței, complexitatea și lipsa securității juridice.</w:t>
      </w:r>
    </w:p>
    <w:p>
      <w:pPr>
        <w:pStyle w:val="Heading2"/>
        <w:rPr>
          <w:noProof/>
        </w:rPr>
      </w:pPr>
      <w:bookmarkStart w:id="55" w:name="_Toc487461382"/>
      <w:bookmarkStart w:id="56" w:name="_Toc488250041"/>
      <w:bookmarkStart w:id="57" w:name="_Toc492458739"/>
      <w:bookmarkStart w:id="58" w:name="_Toc494882543"/>
      <w:r>
        <w:rPr>
          <w:noProof/>
        </w:rPr>
        <w:t>3.3</w:t>
      </w:r>
      <w:r>
        <w:rPr>
          <w:noProof/>
        </w:rPr>
        <w:tab/>
        <w:t>Către un pachet de măsuri privind TVA în favoarea IMM-urilor</w:t>
      </w:r>
      <w:bookmarkEnd w:id="55"/>
      <w:bookmarkEnd w:id="56"/>
      <w:bookmarkEnd w:id="57"/>
      <w:bookmarkEnd w:id="58"/>
    </w:p>
    <w:p>
      <w:pPr>
        <w:rPr>
          <w:rFonts w:eastAsiaTheme="majorEastAsia"/>
          <w:noProof/>
        </w:rPr>
      </w:pPr>
      <w:r>
        <w:rPr>
          <w:noProof/>
        </w:rPr>
        <w:t>IMM-urile suportă costuri de conformare în domeniul TVA care sunt proporțional mai ridicate decât cele ale întreprinderilor mari, din cauza complexității și a fragmentării sistemului de TVA din UE. În încercarea de a reduce aceste costuri de conformare, Comisia va pregăti, până în noiembrie 2017, un pachet cuprinzător de măsuri de simplificare pentru IMM-uri în vederea creării unui mediu propice dezvoltării acestora și favorabil comerțului transfrontalier.</w:t>
      </w:r>
    </w:p>
    <w:p>
      <w:pPr>
        <w:rPr>
          <w:rFonts w:eastAsiaTheme="majorEastAsia"/>
          <w:noProof/>
        </w:rPr>
      </w:pPr>
      <w:bookmarkStart w:id="59" w:name="_Toc488250042"/>
      <w:r>
        <w:rPr>
          <w:noProof/>
        </w:rPr>
        <w:t xml:space="preserve">Regimul special pentru întreprinderile mici existent în prezent vizează reducerea costurilor de conformare pentru IMM-uri, dar nu este potrivit pentru un sistem bazat pe destinație. El ar trebui să fie adaptat, astfel încât să se asigure tratamentul egal al IMM-urilor, indiferent de locul în care sunt stabilite în UE, și să le încurajeze să se angajeze în activități transfrontaliere și să profite pe deplin de oportunitățile oferite de piața unică. </w:t>
      </w:r>
    </w:p>
    <w:p>
      <w:pPr>
        <w:pStyle w:val="Heading1"/>
        <w:spacing w:before="240"/>
        <w:ind w:left="851" w:hanging="851"/>
        <w:rPr>
          <w:noProof/>
        </w:rPr>
      </w:pPr>
      <w:bookmarkStart w:id="60" w:name="_Toc492458740"/>
      <w:bookmarkStart w:id="61" w:name="_Toc494882544"/>
      <w:r>
        <w:rPr>
          <w:noProof/>
        </w:rPr>
        <w:t>CONCLUZII</w:t>
      </w:r>
      <w:bookmarkEnd w:id="59"/>
      <w:bookmarkEnd w:id="60"/>
      <w:bookmarkEnd w:id="61"/>
    </w:p>
    <w:p>
      <w:pPr>
        <w:rPr>
          <w:rFonts w:eastAsiaTheme="majorEastAsia"/>
          <w:noProof/>
        </w:rPr>
      </w:pPr>
      <w:r>
        <w:rPr>
          <w:noProof/>
        </w:rPr>
        <w:t xml:space="preserve">Modernizarea sistemului de TVA și adaptarea acestuia la provocările prezentate de lupta împotriva fraudei reprezintă elemente-cheie pentru viitorul pieței unice. Reforma actualului sistem de TVA ar trebui să contribuie la dezvoltarea pieței unice digitale și să completeze agenda stabilită de Comisie pentru crearea unui sistem de impozitare a societăților mai echitabil și mai eficient în UE. </w:t>
      </w:r>
    </w:p>
    <w:p>
      <w:pPr>
        <w:rPr>
          <w:noProof/>
        </w:rPr>
      </w:pPr>
      <w:r>
        <w:rPr>
          <w:noProof/>
        </w:rPr>
        <w:t xml:space="preserve">În acest context, este deopotrivă necesar și urgent să se avanseze în continuare pe calea către un sistem de TVA la nivelul UE care să poată stimula crearea de locuri de muncă, creșterea economică, investițiile și competitivitatea și care să fie potrivit pentru o economie tot mai digitalizată. Comisia își menține angajamentul de a-și respecta aceste promisiuni. </w:t>
      </w:r>
    </w:p>
    <w:p>
      <w:pPr>
        <w:rPr>
          <w:noProof/>
        </w:rPr>
      </w:pPr>
    </w:p>
    <w:p>
      <w:pPr>
        <w:rPr>
          <w:noProof/>
        </w:rPr>
      </w:pPr>
    </w:p>
    <w:sectPr>
      <w:headerReference w:type="even" r:id="rId25"/>
      <w:headerReference w:type="default" r:id="rId26"/>
      <w:footerReference w:type="even" r:id="rId27"/>
      <w:footerReference w:type="default" r:id="rId28"/>
      <w:headerReference w:type="first" r:id="rId29"/>
      <w:footerReference w:type="first" r:id="rId30"/>
      <w:pgSz w:w="11906" w:h="16838"/>
      <w:pgMar w:top="1417" w:right="1417" w:bottom="1417" w:left="1417" w:header="708" w:footer="708" w:gutter="0"/>
      <w:cols w:space="720"/>
      <w:docGrid w:linePitch="360"/>
    </w:sectPr>
  </w:body>
</w:document>
</file>

<file path=word/commentsExtended.xml><?xml version="1.0" encoding="utf-8"?>
<w15:commentsEx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5CFCED8D" w15:done="0"/>
  <w15:commentEx w15:paraId="64EE41BA" w15:done="0"/>
  <w15:commentEx w15:paraId="0F65A621" w15:done="0"/>
  <w15:commentEx w15:paraId="6A9EF54D" w15:done="0"/>
  <w15:commentEx w15:paraId="493EE5E4" w15:done="0"/>
  <w15:commentEx w15:paraId="5A68F793" w15:done="0"/>
  <w15:commentEx w15:paraId="3465CC1C" w15:done="0"/>
  <w15:commentEx w15:paraId="596F18EE" w15:done="0"/>
  <w15:commentEx w15:paraId="3B3BF94C" w15:done="0"/>
  <w15:commentEx w15:paraId="188B3EE6" w15:done="0"/>
  <w15:commentEx w15:paraId="43491578" w15:done="0"/>
  <w15:commentEx w15:paraId="1AC14068" w15:done="0"/>
  <w15:commentEx w15:paraId="5B73EA26" w15:done="0"/>
  <w15:commentEx w15:paraId="20414397" w15:done="0"/>
  <w15:commentEx w15:paraId="4DA17EE4" w15:done="0"/>
  <w15:commentEx w15:paraId="028E668B" w15:done="0"/>
  <w15:commentEx w15:paraId="2AD40D38" w15:done="0"/>
  <w15:commentEx w15:paraId="4DF05A90" w15:done="0"/>
  <w15:commentEx w15:paraId="75ED978B" w15:done="0"/>
  <w15:commentEx w15:paraId="61974D94" w15:done="0"/>
  <w15:commentEx w15:paraId="0E071020" w15:done="0"/>
  <w15:commentEx w15:paraId="5197365C"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Hei">
    <w:altName w:val="黑体"/>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84099551"/>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b/>
        <w:sz w:val="48"/>
      </w:rPr>
      <w:t>EN</w:t>
    </w:r>
    <w:r>
      <w:tab/>
    </w:r>
    <w:r>
      <w:tab/>
    </w:r>
    <w:r>
      <w:tab/>
    </w:r>
    <w:r>
      <w:rPr>
        <w:rFonts w:ascii="Arial" w:hAnsi="Arial"/>
        <w:b/>
        <w:sz w:val="48"/>
      </w:rPr>
      <w:t>EN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62279269"/>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13</w:t>
        </w:r>
        <w:r>
          <w:rPr>
            <w:noProof/>
          </w:rPr>
          <w:fldChar w:fldCharType="end"/>
        </w:r>
      </w:p>
    </w:sdtContent>
  </w:sdt>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pPr>
      <w:r>
        <w:separator/>
      </w:r>
    </w:p>
  </w:footnote>
  <w:footnote w:type="continuationSeparator" w:id="0">
    <w:p>
      <w:r>
        <w:continuationSeparator/>
      </w:r>
    </w:p>
  </w:footnote>
  <w:footnote w:type="continuationNotice" w:id="1">
    <w:p/>
  </w:footnote>
  <w:footnote w:id="2">
    <w:p>
      <w:pPr>
        <w:pStyle w:val="FootnoteText"/>
      </w:pPr>
      <w:r>
        <w:rPr>
          <w:rStyle w:val="FootnoteReference"/>
        </w:rPr>
        <w:footnoteRef/>
      </w:r>
      <w:r>
        <w:tab/>
        <w:t>TVA-ul a adus la buget peste 1 000 de miliarde EUR în 2015, ceea ce reprezintă 7 % din PIB-ul UE sau 17,6 % din totalul veniturilor fiscale naționale (sursă: Eurostat, Statistici privind veniturile fiscale).</w:t>
      </w:r>
    </w:p>
  </w:footnote>
  <w:footnote w:id="3">
    <w:p>
      <w:pPr>
        <w:pStyle w:val="FootnoteText"/>
      </w:pPr>
      <w:r>
        <w:rPr>
          <w:rStyle w:val="FootnoteReference"/>
        </w:rPr>
        <w:footnoteRef/>
      </w:r>
      <w:r>
        <w:tab/>
        <w:t>Articolul 402 din Directiva 2006/112/CE a Consiliului din 28 noiembrie 2006 privind sistemul comun al taxei pe valoarea adăugată (JO L 347, 11.12.2006, p. 1) și COM(2016) 148 final, 7.4.2016.</w:t>
      </w:r>
    </w:p>
  </w:footnote>
  <w:footnote w:id="4">
    <w:p>
      <w:pPr>
        <w:pStyle w:val="FootnoteText"/>
      </w:pPr>
      <w:r>
        <w:rPr>
          <w:rStyle w:val="FootnoteReference"/>
        </w:rPr>
        <w:footnoteRef/>
      </w:r>
      <w:r>
        <w:tab/>
        <w:t xml:space="preserve">Studiu și rapoarte privind discrepanțele în materie de TVA între statele membre ale UE-28, CASE 2017; </w:t>
      </w:r>
    </w:p>
    <w:p>
      <w:pPr>
        <w:spacing w:after="0"/>
        <w:ind w:firstLine="284"/>
        <w:rPr>
          <w:sz w:val="20"/>
          <w:szCs w:val="20"/>
        </w:rPr>
      </w:pPr>
      <w:r>
        <w:rPr>
          <w:sz w:val="20"/>
        </w:rPr>
        <w:t>A se vedea:</w:t>
      </w:r>
      <w:r>
        <w:rPr>
          <w:sz w:val="20"/>
        </w:rPr>
        <w:tab/>
        <w:t xml:space="preserve"> </w:t>
      </w:r>
      <w:r>
        <w:rPr>
          <w:sz w:val="20"/>
        </w:rPr>
        <w:br/>
      </w:r>
      <w:hyperlink w:history="1"/>
      <w:hyperlink r:id="rId1">
        <w:r>
          <w:rPr>
            <w:rStyle w:val="Hyperlink"/>
            <w:rFonts w:ascii="Times New Roman" w:hAnsi="Times New Roman"/>
            <w:sz w:val="20"/>
          </w:rPr>
          <w:t>https://ec.europa.eu/taxation_customs/sites/taxation/files/study_and_reports_on_the_vat_gap_2017.pdf</w:t>
        </w:r>
      </w:hyperlink>
      <w:r>
        <w:rPr>
          <w:color w:val="0000FF"/>
          <w:sz w:val="20"/>
          <w:u w:val="single"/>
        </w:rPr>
        <w:t xml:space="preserve"> </w:t>
      </w:r>
    </w:p>
  </w:footnote>
  <w:footnote w:id="5">
    <w:p>
      <w:pPr>
        <w:pStyle w:val="FootnoteText"/>
      </w:pPr>
      <w:r>
        <w:rPr>
          <w:rStyle w:val="FootnoteReference"/>
        </w:rPr>
        <w:footnoteRef/>
      </w:r>
      <w:r>
        <w:tab/>
        <w:t>În privința altor tipuri de fraudă în domeniul TVA, în special a celei săvârșite pe piețele naționale, Comisia este implicată într-o serie de acțiuni pe care intenționează să le ducă la bun sfârșit împreună cu statele membre și cu alte părți interesate. A se vedea, în acest sens, punctul 3.1.3 din prezenta comunicare. A se vedea, de asemenea, documentul „20 measures to tackle the VAT gap” (20 de măsuri pentru a combate deficitul de încasări de TVA), disponibil la următoarea adresă:</w:t>
      </w:r>
    </w:p>
    <w:p>
      <w:pPr>
        <w:pStyle w:val="FootnoteText"/>
      </w:pPr>
      <w:r>
        <w:tab/>
      </w:r>
      <w:hyperlink r:id="rId2">
        <w:r>
          <w:rPr>
            <w:rStyle w:val="Hyperlink"/>
            <w:rFonts w:ascii="Times New Roman" w:hAnsi="Times New Roman"/>
          </w:rPr>
          <w:t>https://ec.europa.eu/taxation_customs/sites/taxation/files/docs/body/2016-03_20_measures_en.pdf</w:t>
        </w:r>
      </w:hyperlink>
    </w:p>
  </w:footnote>
  <w:footnote w:id="6">
    <w:p>
      <w:pPr>
        <w:pStyle w:val="FootnoteText"/>
      </w:pPr>
      <w:r>
        <w:rPr>
          <w:rStyle w:val="FootnoteReference"/>
        </w:rPr>
        <w:footnoteRef/>
      </w:r>
      <w:r>
        <w:tab/>
        <w:t>A se vedea rezumatul evaluării impactului care însoțește propunerea de Directivă de modificare a Directivei 2006/112/CE în ceea ce privește armonizarea și simplificarea anumitor norme din sistemul taxei pe valoarea adăugată și introducerea sistemului definitiv de impozitare a comerțului dintre statele membre [SWD(2017) 326].</w:t>
      </w:r>
    </w:p>
  </w:footnote>
  <w:footnote w:id="7">
    <w:p>
      <w:pPr>
        <w:pStyle w:val="FootnoteText"/>
      </w:pPr>
      <w:r>
        <w:rPr>
          <w:rStyle w:val="FootnoteReference"/>
        </w:rPr>
        <w:footnoteRef/>
      </w:r>
      <w:r>
        <w:tab/>
        <w:t>Comunicare a Comisiei către Parlamentul European, Consiliu și Comitetul Economic și Social European referitoare la un plan de acțiune privind TVA, „Către un spațiu unic pentru TVA în UE - Momentul deciziei”, COM(2016)148 final.</w:t>
      </w:r>
    </w:p>
    <w:p>
      <w:pPr>
        <w:spacing w:after="0"/>
        <w:ind w:firstLine="284"/>
        <w:rPr>
          <w:color w:val="0000FF"/>
          <w:sz w:val="20"/>
          <w:szCs w:val="20"/>
        </w:rPr>
      </w:pPr>
      <w:r>
        <w:rPr>
          <w:sz w:val="20"/>
        </w:rPr>
        <w:t xml:space="preserve">A se vedea: </w:t>
      </w:r>
      <w:hyperlink r:id="rId3">
        <w:r>
          <w:rPr>
            <w:rStyle w:val="Hyperlink"/>
            <w:rFonts w:asciiTheme="minorHAnsi" w:hAnsiTheme="minorHAnsi"/>
            <w:sz w:val="20"/>
          </w:rPr>
          <w:t>https://ec.europa.eu/taxation_customs/sites/taxation/files/com_2016_148_ro.pdf</w:t>
        </w:r>
      </w:hyperlink>
    </w:p>
  </w:footnote>
  <w:footnote w:id="8">
    <w:p>
      <w:pPr>
        <w:pStyle w:val="FootnoteText"/>
      </w:pPr>
      <w:r>
        <w:rPr>
          <w:rStyle w:val="FootnoteReference"/>
        </w:rPr>
        <w:footnoteRef/>
      </w:r>
      <w:r>
        <w:tab/>
        <w:t>Propunere de Directivă a Consiliului de modificare a Directivei 2006/112/CE și a Directivei 2009/132/CE în ceea ce privește anumite obligații privind taxa pe valoarea adăugată pentru prestările de servicii și vânzările de bunuri la distanță, COM(2016) 757 final.</w:t>
      </w:r>
    </w:p>
    <w:p>
      <w:pPr>
        <w:spacing w:after="0"/>
        <w:ind w:firstLine="284"/>
        <w:rPr>
          <w:sz w:val="20"/>
          <w:szCs w:val="20"/>
        </w:rPr>
      </w:pPr>
      <w:r>
        <w:rPr>
          <w:sz w:val="20"/>
        </w:rPr>
        <w:t xml:space="preserve">A se vedea: </w:t>
      </w:r>
      <w:hyperlink r:id="rId4">
        <w:r>
          <w:rPr>
            <w:rStyle w:val="Hyperlink"/>
            <w:rFonts w:asciiTheme="minorHAnsi" w:hAnsiTheme="minorHAnsi"/>
            <w:sz w:val="20"/>
          </w:rPr>
          <w:t>https://ec.europa.eu/taxation_customs/sites/taxation/files/com_2016_757_en.pdf</w:t>
        </w:r>
      </w:hyperlink>
    </w:p>
    <w:p>
      <w:pPr>
        <w:spacing w:after="0"/>
        <w:ind w:left="284"/>
        <w:rPr>
          <w:sz w:val="20"/>
          <w:szCs w:val="20"/>
        </w:rPr>
      </w:pPr>
      <w:r>
        <w:rPr>
          <w:sz w:val="20"/>
        </w:rPr>
        <w:t>Propunere de Regulament de punere în aplicare al Consiliului de modificare a Regulamentului de punere în aplicare (UE) nr. 282/2011 de stabilire a măsurilor de punere în aplicare a Directivei 2006/112/CE privind sistemul comun al taxei pe valoarea adăugată, COM(2016)756.</w:t>
      </w:r>
    </w:p>
    <w:p>
      <w:pPr>
        <w:spacing w:after="0"/>
        <w:ind w:firstLine="284"/>
        <w:rPr>
          <w:sz w:val="20"/>
          <w:szCs w:val="20"/>
        </w:rPr>
      </w:pPr>
      <w:r>
        <w:rPr>
          <w:sz w:val="20"/>
        </w:rPr>
        <w:t xml:space="preserve">A se vedea </w:t>
      </w:r>
      <w:hyperlink r:id="rId5">
        <w:r>
          <w:rPr>
            <w:rStyle w:val="Hyperlink"/>
            <w:rFonts w:asciiTheme="minorHAnsi" w:hAnsiTheme="minorHAnsi"/>
            <w:sz w:val="20"/>
          </w:rPr>
          <w:t>https://ec.europa.eu/taxation_customs/sites/taxation/files/com_2016_756_en.pdf</w:t>
        </w:r>
      </w:hyperlink>
    </w:p>
    <w:p>
      <w:pPr>
        <w:pStyle w:val="FootnoteText"/>
        <w:ind w:firstLine="0"/>
      </w:pPr>
      <w:r>
        <w:t>Propunere de Regulament al Consiliului de modificare a Regulamentului (UE) nr. 904/2010 privind cooperarea administrativă și combaterea fraudei în domeniul taxei pe valoarea adăugată (COM(2016)755).</w:t>
      </w:r>
    </w:p>
    <w:p>
      <w:pPr>
        <w:pStyle w:val="FootnoteText"/>
        <w:ind w:firstLine="0"/>
      </w:pPr>
      <w:r>
        <w:t xml:space="preserve">A se vedea: </w:t>
      </w:r>
      <w:hyperlink r:id="rId6">
        <w:r>
          <w:rPr>
            <w:rStyle w:val="Hyperlink"/>
            <w:rFonts w:asciiTheme="minorHAnsi" w:hAnsiTheme="minorHAnsi"/>
          </w:rPr>
          <w:t>https://ec.europa.eu/taxation_customs/sites/taxation/files/com_2016_755_en.pdf</w:t>
        </w:r>
      </w:hyperlink>
    </w:p>
    <w:p>
      <w:pPr>
        <w:pStyle w:val="FootnoteText"/>
        <w:ind w:firstLine="0"/>
      </w:pPr>
      <w:r>
        <w:t xml:space="preserve">Propunere de Directivă a Consiliului de modificare a Directivei 2006/112/CE în ceea ce privește cotele taxei pe valoarea adăugată aplicate cărților, ziarelor și periodicelor, COM(2016)758. </w:t>
      </w:r>
    </w:p>
    <w:p>
      <w:pPr>
        <w:pStyle w:val="FootnoteText"/>
        <w:ind w:firstLine="0"/>
      </w:pPr>
      <w:r>
        <w:t xml:space="preserve">A se vedea: </w:t>
      </w:r>
      <w:hyperlink r:id="rId7">
        <w:r>
          <w:rPr>
            <w:rStyle w:val="Hyperlink"/>
            <w:rFonts w:asciiTheme="minorHAnsi" w:hAnsiTheme="minorHAnsi"/>
          </w:rPr>
          <w:t>https://ec.europa.eu/taxation_customs/sites/taxation/files/com_2016_758_en.pdf</w:t>
        </w:r>
      </w:hyperlink>
    </w:p>
  </w:footnote>
  <w:footnote w:id="9">
    <w:p>
      <w:pPr>
        <w:pStyle w:val="FootnoteText"/>
      </w:pPr>
      <w:r>
        <w:rPr>
          <w:rStyle w:val="FootnoteReference"/>
        </w:rPr>
        <w:footnoteRef/>
      </w:r>
      <w:r>
        <w:tab/>
        <w:t>A se vedea:</w:t>
      </w:r>
      <w:r>
        <w:tab/>
      </w:r>
      <w:r>
        <w:br/>
      </w:r>
      <w:hyperlink r:id="rId8">
        <w:r>
          <w:rPr>
            <w:rStyle w:val="Hyperlink"/>
            <w:rFonts w:asciiTheme="minorHAnsi" w:hAnsiTheme="minorHAnsi"/>
          </w:rPr>
          <w:t>http://eur-lex.europa.eu/legal-content/RO/TXT/?qid=1447773803386&amp;uri=CELEX%3A52015DC0192</w:t>
        </w:r>
      </w:hyperlink>
    </w:p>
  </w:footnote>
  <w:footnote w:id="10">
    <w:p>
      <w:pPr>
        <w:pStyle w:val="FootnoteText"/>
      </w:pPr>
      <w:r>
        <w:rPr>
          <w:rStyle w:val="FootnoteReference"/>
        </w:rPr>
        <w:footnoteRef/>
      </w:r>
      <w:r>
        <w:tab/>
        <w:t>Decizia 2012/C 198/05 a Comisiei din 3 iulie 2012 de înființare a Forumului UE privind TVA, JO C198 din 6 iulie 2012. A se vedea:</w:t>
      </w:r>
      <w:r>
        <w:tab/>
        <w:t xml:space="preserve"> </w:t>
      </w:r>
      <w:r>
        <w:br/>
      </w:r>
      <w:hyperlink r:id="rId9">
        <w:r>
          <w:rPr>
            <w:rStyle w:val="Hyperlink"/>
            <w:rFonts w:asciiTheme="minorHAnsi" w:hAnsiTheme="minorHAnsi"/>
          </w:rPr>
          <w:t>http://eur-lex.europa.eu/legal-content/EN/TXT/?uri=CELEX:32012D0706%2802%29</w:t>
        </w:r>
      </w:hyperlink>
    </w:p>
  </w:footnote>
  <w:footnote w:id="11">
    <w:p>
      <w:pPr>
        <w:pStyle w:val="FootnoteText"/>
      </w:pPr>
      <w:r>
        <w:rPr>
          <w:rStyle w:val="FootnoteReference"/>
        </w:rPr>
        <w:footnoteRef/>
      </w:r>
      <w:r>
        <w:tab/>
        <w:t>Eurofisc este o rețea de schimburi rapide de informații specifice între statele membre.</w:t>
      </w:r>
      <w:r>
        <w:rPr>
          <w:color w:val="000000"/>
        </w:rPr>
        <w:t xml:space="preserve"> </w:t>
      </w:r>
      <w:r>
        <w:t xml:space="preserve">A se vedea informațiile de la linkul următor </w:t>
      </w:r>
      <w:hyperlink r:id="rId10">
        <w:r>
          <w:rPr>
            <w:rStyle w:val="Hyperlink"/>
            <w:rFonts w:asciiTheme="minorHAnsi" w:hAnsiTheme="minorHAnsi" w:cstheme="minorHAnsi"/>
          </w:rPr>
          <w:t>EUROFISC</w:t>
        </w:r>
      </w:hyperlink>
      <w:r>
        <w:rPr>
          <w:rStyle w:val="Hyperlink"/>
          <w:rFonts w:asciiTheme="minorHAnsi" w:hAnsiTheme="minorHAnsi" w:cstheme="minorHAnsi"/>
        </w:rPr>
        <w:t>.</w:t>
      </w:r>
    </w:p>
  </w:footnote>
  <w:footnote w:id="12">
    <w:p>
      <w:pPr>
        <w:pStyle w:val="FootnoteText"/>
      </w:pPr>
      <w:r>
        <w:rPr>
          <w:rStyle w:val="FootnoteReference"/>
        </w:rPr>
        <w:footnoteRef/>
      </w:r>
      <w:r>
        <w:tab/>
        <w:t>Directiva (UE) 2017/1371 a Parlamentului European și a Consiliului din 5 iulie 2017 privind combaterea fraudelor îndreptate împotriva intereselor financiare ale Uniunii prin mijloace de drept penal (JO L 198, 28.7.2017, p. 29-41).</w:t>
      </w:r>
    </w:p>
  </w:footnote>
  <w:footnote w:id="13">
    <w:p>
      <w:pPr>
        <w:pStyle w:val="FootnoteText"/>
      </w:pPr>
      <w:r>
        <w:rPr>
          <w:rStyle w:val="FootnoteReference"/>
        </w:rPr>
        <w:footnoteRef/>
      </w:r>
      <w:r>
        <w:tab/>
        <w:t>Douăzeci de state membre au ajuns la un acord politic la 8 iunie 2017. Parlamentul European va trebui să își dea acordul înainte ca regulamentul să poată fi adoptat.</w:t>
      </w:r>
    </w:p>
    <w:p>
      <w:pPr>
        <w:pStyle w:val="FootnoteText"/>
        <w:ind w:firstLine="0"/>
      </w:pPr>
      <w:r>
        <w:t xml:space="preserve">A se vedea: </w:t>
      </w:r>
      <w:hyperlink r:id="rId11">
        <w:r>
          <w:rPr>
            <w:rStyle w:val="Hyperlink"/>
            <w:rFonts w:asciiTheme="minorHAnsi" w:hAnsiTheme="minorHAnsi"/>
          </w:rPr>
          <w:t>http://www.consilium.europa.eu/ro/press/press-releases/2017/06/08-eppo/</w:t>
        </w:r>
      </w:hyperlink>
    </w:p>
  </w:footnote>
  <w:footnote w:id="14">
    <w:p>
      <w:pPr>
        <w:pStyle w:val="FootnoteText"/>
      </w:pPr>
      <w:r>
        <w:rPr>
          <w:rStyle w:val="FootnoteReference"/>
        </w:rPr>
        <w:footnoteRef/>
      </w:r>
      <w:r>
        <w:tab/>
        <w:t>Statele membre pot solicita Comisiei asistență tehnică în domeniul politicii fiscale și în chestiuni legate de administrația fiscală. Cererile lor sunt corelate, analizate și monitorizate de Serviciul de sprijin pentru reforme structurale (SRSS). Acest tip de asistență se poate finanța prin programul Fiscalis.</w:t>
      </w:r>
    </w:p>
  </w:footnote>
  <w:footnote w:id="15">
    <w:p>
      <w:pPr>
        <w:pStyle w:val="FootnoteText"/>
      </w:pPr>
      <w:r>
        <w:rPr>
          <w:rStyle w:val="FootnoteReference"/>
        </w:rPr>
        <w:footnoteRef/>
      </w:r>
      <w:r>
        <w:tab/>
        <w:t xml:space="preserve">Propunere de Directivă a Consiliului de modificare a Directivei 2006/112/CE privind sistemul comun al taxei pe valoarea adăugată în ceea ce privește aplicarea temporară a unui mecanism generalizat de taxare inversă în legătură cu furnizarea de bunuri și servicii care depășesc un anumit prag, COM(2016)811 din 21.12.2016. </w:t>
      </w:r>
    </w:p>
    <w:p>
      <w:pPr>
        <w:pStyle w:val="FootnoteText"/>
        <w:ind w:firstLine="0"/>
      </w:pPr>
      <w:r>
        <w:t xml:space="preserve">A se vedea: </w:t>
      </w:r>
      <w:hyperlink r:id="rId12">
        <w:r>
          <w:rPr>
            <w:rStyle w:val="Hyperlink"/>
            <w:rFonts w:asciiTheme="minorHAnsi" w:hAnsiTheme="minorHAnsi"/>
          </w:rPr>
          <w:t>https://ec.europa.eu/taxation_customs/sites/taxation/files/com_2016_811_en.pdf</w:t>
        </w:r>
      </w:hyperlink>
    </w:p>
  </w:footnote>
  <w:footnote w:id="16">
    <w:p>
      <w:pPr>
        <w:pStyle w:val="FootnoteText"/>
      </w:pPr>
      <w:r>
        <w:rPr>
          <w:rStyle w:val="FootnoteReference"/>
        </w:rPr>
        <w:footnoteRef/>
      </w:r>
      <w:r>
        <w:tab/>
        <w:t>Frauda de tip carusel este un tip specific de fraudă în domeniul TVA comisă de grupuri infracționale care exploatează faptul că, în temeiul regimului tranzitoriu, comerțul între jurisdicțiile Uniunii Europene este scutit de TVA.</w:t>
      </w:r>
    </w:p>
  </w:footnote>
  <w:footnote w:id="17">
    <w:p>
      <w:pPr>
        <w:pStyle w:val="FootnoteText"/>
      </w:pPr>
      <w:r>
        <w:rPr>
          <w:rStyle w:val="FootnoteReference"/>
        </w:rPr>
        <w:footnoteRef/>
      </w:r>
      <w:r>
        <w:tab/>
        <w:t xml:space="preserve">Rezoluția Parlamentului European din 13 octombrie 2011 referitoare la viitorul taxei pe valoarea adăugată (P7_TA(2011)0436): </w:t>
      </w:r>
      <w:hyperlink r:id="rId13">
        <w:r>
          <w:rPr>
            <w:rStyle w:val="Hyperlink"/>
            <w:rFonts w:asciiTheme="minorHAnsi" w:hAnsiTheme="minorHAnsi"/>
          </w:rPr>
          <w:t>http://www.europarl.europa.eu/sides/getDoc.do?pubRef=-//EP//TEXT+TA+P7-TA-2011-0436+0+DOC+XML+V0//RO</w:t>
        </w:r>
      </w:hyperlink>
      <w:r>
        <w:rPr>
          <w:rStyle w:val="Hyperlink"/>
          <w:rFonts w:asciiTheme="minorHAnsi" w:hAnsiTheme="minorHAnsi"/>
        </w:rPr>
        <w:t>.</w:t>
      </w:r>
    </w:p>
  </w:footnote>
  <w:footnote w:id="18">
    <w:p>
      <w:pPr>
        <w:pStyle w:val="FootnoteText"/>
      </w:pPr>
      <w:r>
        <w:rPr>
          <w:rStyle w:val="FootnoteReference"/>
        </w:rPr>
        <w:footnoteRef/>
      </w:r>
      <w:r>
        <w:tab/>
        <w:t>Concluziile Consiliului privind viitorul taxei pe valoarea adăugată - cea de a 3167-a reuniune a Consiliului Afaceri Economice și Financiare, Bruxelles, 15 mai 2012 (a se vedea în special punctul B.4):</w:t>
      </w:r>
    </w:p>
    <w:p>
      <w:pPr>
        <w:pStyle w:val="FootnoteText"/>
        <w:ind w:firstLine="0"/>
      </w:pPr>
      <w:hyperlink r:id="rId14">
        <w:r>
          <w:rPr>
            <w:rStyle w:val="Hyperlink"/>
            <w:rFonts w:asciiTheme="minorHAnsi" w:hAnsiTheme="minorHAnsi"/>
          </w:rPr>
          <w:t>http://europa.eu/rapid/press-release_PRES-12-198_ro.pdf</w:t>
        </w:r>
      </w:hyperlink>
      <w:r>
        <w:rPr>
          <w:rStyle w:val="Hyperlink"/>
          <w:rFonts w:asciiTheme="minorHAnsi" w:hAnsiTheme="minorHAnsi"/>
        </w:rPr>
        <w:t>.</w:t>
      </w:r>
    </w:p>
  </w:footnote>
  <w:footnote w:id="19">
    <w:p>
      <w:pPr>
        <w:pStyle w:val="FootnoteText"/>
      </w:pPr>
      <w:r>
        <w:rPr>
          <w:rStyle w:val="FootnoteReference"/>
        </w:rPr>
        <w:footnoteRef/>
      </w:r>
      <w:r>
        <w:tab/>
        <w:t>Un sistem de TVA bazat pe impozitarea la destinație înseamnă că bunurile comercializate la nivel transfrontalier sunt impozitate în țara în care sunt consumate (țara de destinație) și că li se aplică cotele de TVA din respectiva țară de destinație, nu din cea în care sunt fabricate (țara de origine).</w:t>
      </w:r>
    </w:p>
  </w:footnote>
  <w:footnote w:id="20">
    <w:p>
      <w:pPr>
        <w:pStyle w:val="FootnoteText"/>
      </w:pPr>
      <w:r>
        <w:rPr>
          <w:rStyle w:val="FootnoteReference"/>
        </w:rPr>
        <w:footnoteRef/>
      </w:r>
      <w:r>
        <w:tab/>
        <w:t>A se vedea punctul 4 din Planul de acțiune privind TVA.</w:t>
      </w:r>
    </w:p>
  </w:footnote>
  <w:footnote w:id="21">
    <w:p>
      <w:pPr>
        <w:pStyle w:val="FootnoteText"/>
      </w:pPr>
      <w:r>
        <w:rPr>
          <w:rStyle w:val="FootnoteReference"/>
        </w:rPr>
        <w:footnoteRef/>
      </w:r>
      <w:r>
        <w:tab/>
        <w:t>A se vedea nota de subsol 27.</w:t>
      </w:r>
    </w:p>
  </w:footnote>
  <w:footnote w:id="22">
    <w:p>
      <w:pPr>
        <w:pStyle w:val="FootnoteText"/>
      </w:pPr>
      <w:r>
        <w:rPr>
          <w:rStyle w:val="FootnoteReference"/>
        </w:rPr>
        <w:footnoteRef/>
      </w:r>
      <w:r>
        <w:tab/>
        <w:t>În cea de-a doua fază de implementare legislativă a sistemului definitiv de TVA, vor fi impozitate toate furnizările transfrontaliere de bunuri și servicii (așadar, furnizorul, nu clientul, va fi obligat la plata TVA pentru toate bunurile și serviciile achiziționate din alte state membre), astfel încât se va aplica același regim tuturor furnizărilor de bunuri și servicii de pe piața unică, la nivel atât național, cât și transfrontalier.</w:t>
      </w:r>
    </w:p>
  </w:footnote>
  <w:footnote w:id="23">
    <w:p>
      <w:pPr>
        <w:pStyle w:val="FootnoteText"/>
      </w:pPr>
      <w:r>
        <w:rPr>
          <w:rStyle w:val="FootnoteReference"/>
        </w:rPr>
        <w:footnoteRef/>
      </w:r>
      <w:r>
        <w:tab/>
        <w:t xml:space="preserve">Concluziile Consiliului din 8 noiembrie 2016 privind îmbunătățirea normelor actuale ale UE privind TVA pentru tranzacțiile transfrontaliere (doc. 14257/16 FISC 190 ECOFIN 1023). </w:t>
      </w:r>
    </w:p>
    <w:p>
      <w:pPr>
        <w:pStyle w:val="FootnoteText"/>
        <w:ind w:firstLine="0"/>
      </w:pPr>
      <w:r>
        <w:t xml:space="preserve">A se vedea: </w:t>
      </w:r>
      <w:hyperlink r:id="rId15">
        <w:r>
          <w:rPr>
            <w:rStyle w:val="Hyperlink"/>
            <w:rFonts w:asciiTheme="minorHAnsi" w:hAnsiTheme="minorHAnsi"/>
          </w:rPr>
          <w:t>http://data.consilium.europa.eu/doc/document/ST-14257-2016-INIT/ro/pdf</w:t>
        </w:r>
      </w:hyperlink>
    </w:p>
  </w:footnote>
  <w:footnote w:id="24">
    <w:p>
      <w:pPr>
        <w:pStyle w:val="FootnoteText"/>
      </w:pPr>
      <w:r>
        <w:rPr>
          <w:rStyle w:val="FootnoteReference"/>
        </w:rPr>
        <w:footnoteRef/>
      </w:r>
      <w:r>
        <w:tab/>
        <w:t>Simplificările prevăzute de anumite „soluții rapide” - a se vedea punctul A.(b) și punctul B, și simplificarea normei privind răspunderea pentru persoanele impozabile atestate-clienți în cadrul noului sistem de impozitare – a se vedea punctul A.(c).</w:t>
      </w:r>
    </w:p>
  </w:footnote>
  <w:footnote w:id="25">
    <w:p>
      <w:pPr>
        <w:pStyle w:val="FootnoteText"/>
        <w:keepLines/>
      </w:pPr>
      <w:r>
        <w:rPr>
          <w:rStyle w:val="FootnoteReference"/>
        </w:rPr>
        <w:footnoteRef/>
      </w:r>
      <w:r>
        <w:tab/>
        <w:t>Stocul la dispoziția clientului se referă la situația în care un furnizor transferă un stoc într-un stat membru în care nu este stabilit pentru a-l vinde ulterior unui cumpărător deja cunoscut. În prezent, această practică dă naștere următorului regim complex: (i) o operațiune asimilată unei livrări intracomunitare efectuată de entitatea care realizează transferul, (ii) o operațiune asimilată unei achiziții intracomunitare în statul membru de sosire a bunurilor efectuată de entitatea care realizează transferul și care trebuie să se înregistreze în respectivul stat membru și (iii) o furnizare în interiorul țării.</w:t>
      </w:r>
    </w:p>
  </w:footnote>
  <w:footnote w:id="26">
    <w:p>
      <w:pPr>
        <w:pStyle w:val="FootnoteText"/>
      </w:pPr>
      <w:r>
        <w:rPr>
          <w:rStyle w:val="FootnoteReference"/>
        </w:rPr>
        <w:footnoteRef/>
      </w:r>
      <w:r>
        <w:tab/>
        <w:t>Punerea la dispoziție a unui cod valabil de identificare în scopuri de TVA al clientului ar deveni o condiție de fond pentru ca furnizorul să aplice scutirea de TVA în cazul livrărilor intracomunitare de bunuri. Această modificare ar permite o monitorizare mai bună a fluxului de mărfuri, prin îmbunătățirea calității declarațiilor recapitulative schimbate (declarațiile recapitulative depuse de furnizor și schimbate între statele membre prin sistemul VIES vor include codul de identificare în scopuri de TVA al cumpărătorului).</w:t>
      </w:r>
    </w:p>
  </w:footnote>
  <w:footnote w:id="27">
    <w:p>
      <w:pPr>
        <w:pStyle w:val="FootnoteText"/>
      </w:pPr>
      <w:r>
        <w:rPr>
          <w:rStyle w:val="FootnoteReference"/>
        </w:rPr>
        <w:footnoteRef/>
      </w:r>
      <w:r>
        <w:tab/>
        <w:t>Operațiunile în lanț sunt furnizările succesive ale acelorași bunuri atunci când bunurile furnizate fac obiectul unui transport intracomunitar unic între două state membre. În această situație, transportul trebuie atribuit unei singure furnizări din lanț, astfel încât să se determine căreia dintre operațiuni i s-a aplica scutirea pentru furnizările intracomunitare în conformitate cu articolul 138 din Directiva TVA. Statele membre au solicitat îmbunătățiri legislative în vederea sporirii gradului de securitate juridică pentru operatori la identificarea, în cadrul operațiunilor în lanț, a furnizării căreia trebuie să i se atribuie transportul intracomunitar.</w:t>
      </w:r>
    </w:p>
  </w:footnote>
  <w:footnote w:id="28">
    <w:p>
      <w:pPr>
        <w:pStyle w:val="FootnoteText"/>
      </w:pPr>
      <w:r>
        <w:rPr>
          <w:rStyle w:val="FootnoteReference"/>
        </w:rPr>
        <w:footnoteRef/>
      </w:r>
      <w:r>
        <w:tab/>
        <w:t>Ca în cazul operațiunilor interne, în cadrul operațiunilor cu bunuri în interiorul Uniunii, furnizorul ar putea factura clientului său TVA-ul datorat (cel din statul membru de destinație a bunurilor). Dacă clientul său este însă o persoană impozabilă atestată, furnizorul nu va putea să îi factureze TVA-ul datorat. Așa cum este cazul și în prezent, clientul își va autoevalua TVA-ul datorat în declarația sa națională de TVA. Pentru a realiza aceste schimbări, se va introduce conceptul de „furnizări de bunuri în interiorul Uniunii”, iar noțiunea de „achiziție intracomunitară de bunuri” se va elimina.</w:t>
      </w:r>
    </w:p>
  </w:footnote>
  <w:footnote w:id="29">
    <w:p>
      <w:pPr>
        <w:pStyle w:val="FootnoteText"/>
      </w:pPr>
      <w:r>
        <w:rPr>
          <w:rStyle w:val="FootnoteReference"/>
        </w:rPr>
        <w:footnoteRef/>
      </w:r>
      <w:r>
        <w:tab/>
        <w:t>Sistemul de schimb de informații privind TVA (VIES) este un mijloc electronic de validare a numerelor de identificare în scopuri de TVA ale operatorilor economici înregistrați în Uniunea Europeană pentru furnizări transfrontaliere de bunuri sau de servicii.</w:t>
      </w:r>
    </w:p>
    <w:p>
      <w:pPr>
        <w:pStyle w:val="FootnoteText"/>
        <w:ind w:firstLine="0"/>
      </w:pPr>
      <w:r>
        <w:t xml:space="preserve">Pentru mai multe informații a se consulta: </w:t>
      </w:r>
      <w:hyperlink r:id="rId16">
        <w:r>
          <w:rPr>
            <w:color w:val="0000FF"/>
            <w:u w:val="single"/>
          </w:rPr>
          <w:t>http://ec.europa.eu/taxation_customs/vies/</w:t>
        </w:r>
      </w:hyperlink>
    </w:p>
  </w:footnote>
  <w:footnote w:id="30">
    <w:p>
      <w:pPr>
        <w:pStyle w:val="FootnoteText"/>
      </w:pPr>
      <w:r>
        <w:rPr>
          <w:rStyle w:val="FootnoteReference"/>
        </w:rPr>
        <w:footnoteRef/>
      </w:r>
      <w:r>
        <w:tab/>
        <w:t>Rezoluția Parlamentului European din 24 noiembrie 2016.</w:t>
      </w:r>
    </w:p>
    <w:p>
      <w:pPr>
        <w:pStyle w:val="FootnoteText"/>
        <w:ind w:firstLine="0"/>
      </w:pPr>
      <w:r>
        <w:t xml:space="preserve">A se vedea: </w:t>
      </w:r>
      <w:hyperlink r:id="rId17">
        <w:r>
          <w:rPr>
            <w:rStyle w:val="Hyperlink"/>
            <w:rFonts w:asciiTheme="minorHAnsi" w:hAnsiTheme="minorHAnsi"/>
          </w:rPr>
          <w:t>http://www.europarl.europa.eu/sides/getDoc.do?pubRef=-//EP//TEXT+TA+P8-TA-2016-0453+0+DOC+XML+V0//RO</w:t>
        </w:r>
      </w:hyperlink>
      <w:r>
        <w:t>.</w:t>
      </w:r>
    </w:p>
  </w:footnote>
  <w:footnote w:id="31">
    <w:p>
      <w:pPr>
        <w:pStyle w:val="FootnoteText"/>
      </w:pPr>
      <w:r>
        <w:rPr>
          <w:rStyle w:val="FootnoteReference"/>
        </w:rPr>
        <w:footnoteRef/>
      </w:r>
      <w:r>
        <w:tab/>
        <w:t xml:space="preserve">Concluziile Consiliului din 25 mai 2016. </w:t>
      </w:r>
    </w:p>
    <w:p>
      <w:pPr>
        <w:pStyle w:val="FootnoteText"/>
        <w:ind w:firstLine="0"/>
      </w:pPr>
      <w:r>
        <w:t xml:space="preserve">A se vedea: </w:t>
      </w:r>
      <w:hyperlink r:id="rId18">
        <w:r>
          <w:rPr>
            <w:rStyle w:val="Hyperlink"/>
            <w:rFonts w:asciiTheme="minorHAnsi" w:hAnsiTheme="minorHAnsi"/>
          </w:rPr>
          <w:t>http://www.consilium.europa.eu/press-releases-pdf/2016/5/47244641288_en.pdf</w:t>
        </w:r>
      </w:hyperlink>
    </w:p>
  </w:footnote>
  <w:footnote w:id="32">
    <w:p>
      <w:pPr>
        <w:pStyle w:val="FootnoteText"/>
      </w:pPr>
      <w:r>
        <w:rPr>
          <w:rStyle w:val="FootnoteReference"/>
        </w:rPr>
        <w:footnoteRef/>
      </w:r>
      <w:r>
        <w:tab/>
        <w:t>Raportul special nr. 24, „Combaterea fraudei intracomunitare în domeniul TVA: sunt necesare eforturi suplimentare”, 2015.</w:t>
      </w:r>
    </w:p>
    <w:p>
      <w:pPr>
        <w:pStyle w:val="FootnoteText"/>
        <w:ind w:firstLine="0"/>
      </w:pPr>
      <w:r>
        <w:t xml:space="preserve">A se vedea: </w:t>
      </w:r>
      <w:hyperlink r:id="rId19">
        <w:r>
          <w:rPr>
            <w:rStyle w:val="Hyperlink"/>
            <w:rFonts w:asciiTheme="minorHAnsi" w:hAnsiTheme="minorHAnsi"/>
          </w:rPr>
          <w:t>http://www.eca.europa.eu/Lists/ECADocuments/SR15_24/SR_VAT_FRAUD_RO.pdf</w:t>
        </w:r>
      </w:hyperlink>
    </w:p>
  </w:footnote>
  <w:footnote w:id="33">
    <w:p>
      <w:pPr>
        <w:pStyle w:val="FootnoteText"/>
        <w:keepLines/>
      </w:pPr>
      <w:r>
        <w:rPr>
          <w:rStyle w:val="FootnoteReference"/>
        </w:rPr>
        <w:footnoteRef/>
      </w:r>
      <w:r>
        <w:tab/>
        <w:t xml:space="preserve">Procedura 42 este un regim vamal prin care mărfurile sunt importate și puse în liberă circulație într-un stat membru, fiind clar, la acel moment, că mărfurile vor părăsi teritoriul respectivului stat membru către un alt stat membru. Drept consecință, taxele vamale vor fi percepute în statul membru de import în momentul importului, dar se aplică scutirea de TVA, întrucât TVA-ul va fi plătit ulterior, la achiziționarea în urma importului în statul membru de sosire a mărfurilor. În momentul importului, persoana care prezintă mărfurile în vamă indică, în declarația vamală de import, regimul vamal cu codul 4200 (pentru import) sau cu codul 6300 (pentru reimport). </w:t>
      </w:r>
    </w:p>
  </w:footnote>
  <w:footnote w:id="34">
    <w:p>
      <w:pPr>
        <w:pStyle w:val="FootnoteText"/>
      </w:pPr>
      <w:r>
        <w:rPr>
          <w:rStyle w:val="FootnoteReference"/>
        </w:rPr>
        <w:footnoteRef/>
      </w:r>
      <w:r>
        <w:t xml:space="preserve"> </w:t>
      </w:r>
      <w:r>
        <w:tab/>
        <w:t>Regulamentul (CEE, Euratom) nr. 1553/89 al Consiliului din 29 mai 1989 privind regimul unitar definitiv de colectare a resurselor proprii provenite din taxa pe valoarea adăugată (JO L 155/13, 7.6.1989).</w:t>
      </w:r>
    </w:p>
  </w:footnote>
  <w:footnote w:id="35">
    <w:p>
      <w:pPr>
        <w:pStyle w:val="FootnoteText"/>
      </w:pPr>
      <w:r>
        <w:rPr>
          <w:rStyle w:val="FootnoteReference"/>
        </w:rPr>
        <w:footnoteRef/>
      </w:r>
      <w:r>
        <w:t xml:space="preserve"> </w:t>
      </w:r>
      <w:r>
        <w:tab/>
        <w:t>Directiva 2010/24/UE a Consiliului din 16 martie 2010 privind asistența reciprocă în materie de recuperare a creanțelor legate de taxe, impozite, drepturi și alte măsuri (JO L 84/1, 31.3.2010).</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E"/>
    <w:multiLevelType w:val="singleLevel"/>
    <w:tmpl w:val="9C5E2E70"/>
    <w:lvl w:ilvl="0">
      <w:start w:val="1"/>
      <w:numFmt w:val="decimal"/>
      <w:pStyle w:val="ListNumber3"/>
      <w:lvlText w:val="%1."/>
      <w:lvlJc w:val="left"/>
      <w:pPr>
        <w:tabs>
          <w:tab w:val="num" w:pos="926"/>
        </w:tabs>
        <w:ind w:left="926" w:hanging="360"/>
      </w:pPr>
    </w:lvl>
  </w:abstractNum>
  <w:abstractNum w:abstractNumId="1">
    <w:nsid w:val="FFFFFF80"/>
    <w:multiLevelType w:val="singleLevel"/>
    <w:tmpl w:val="1A1283A0"/>
    <w:lvl w:ilvl="0">
      <w:start w:val="1"/>
      <w:numFmt w:val="bullet"/>
      <w:lvlText w:val=""/>
      <w:lvlJc w:val="left"/>
      <w:pPr>
        <w:tabs>
          <w:tab w:val="num" w:pos="1492"/>
        </w:tabs>
        <w:ind w:left="1492" w:hanging="360"/>
      </w:pPr>
      <w:rPr>
        <w:rFonts w:ascii="Symbol" w:hAnsi="Symbol" w:hint="default"/>
      </w:rPr>
    </w:lvl>
  </w:abstractNum>
  <w:abstractNum w:abstractNumId="2">
    <w:nsid w:val="FFFFFF81"/>
    <w:multiLevelType w:val="singleLevel"/>
    <w:tmpl w:val="97645774"/>
    <w:lvl w:ilvl="0">
      <w:start w:val="1"/>
      <w:numFmt w:val="bullet"/>
      <w:pStyle w:val="ListBullet4"/>
      <w:lvlText w:val=""/>
      <w:lvlJc w:val="left"/>
      <w:pPr>
        <w:tabs>
          <w:tab w:val="num" w:pos="1209"/>
        </w:tabs>
        <w:ind w:left="1209" w:hanging="360"/>
      </w:pPr>
      <w:rPr>
        <w:rFonts w:ascii="Symbol" w:hAnsi="Symbol" w:hint="default"/>
      </w:rPr>
    </w:lvl>
  </w:abstractNum>
  <w:abstractNum w:abstractNumId="3">
    <w:nsid w:val="FFFFFF89"/>
    <w:multiLevelType w:val="singleLevel"/>
    <w:tmpl w:val="518491BC"/>
    <w:lvl w:ilvl="0">
      <w:start w:val="1"/>
      <w:numFmt w:val="bullet"/>
      <w:lvlText w:val=""/>
      <w:lvlJc w:val="left"/>
      <w:pPr>
        <w:tabs>
          <w:tab w:val="num" w:pos="360"/>
        </w:tabs>
        <w:ind w:left="360" w:hanging="360"/>
      </w:pPr>
      <w:rPr>
        <w:rFonts w:ascii="Symbol" w:hAnsi="Symbol" w:hint="default"/>
      </w:rPr>
    </w:lvl>
  </w:abstractNum>
  <w:abstractNum w:abstractNumId="4">
    <w:nsid w:val="02B215CF"/>
    <w:multiLevelType w:val="hybridMultilevel"/>
    <w:tmpl w:val="856C0878"/>
    <w:lvl w:ilvl="0" w:tplc="B558975A">
      <w:start w:val="1"/>
      <w:numFmt w:val="decimal"/>
      <w:lvlText w:val="%1."/>
      <w:lvlJc w:val="left"/>
      <w:pPr>
        <w:ind w:left="3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nsid w:val="02F46D5D"/>
    <w:multiLevelType w:val="multilevel"/>
    <w:tmpl w:val="88024650"/>
    <w:lvl w:ilvl="0">
      <w:start w:val="1"/>
      <w:numFmt w:val="decimal"/>
      <w:pStyle w:val="Heading1"/>
      <w:lvlText w:val="%1."/>
      <w:lvlJc w:val="left"/>
      <w:pPr>
        <w:ind w:left="360" w:hanging="360"/>
      </w:pPr>
    </w:lvl>
    <w:lvl w:ilvl="1">
      <w:start w:val="1"/>
      <w:numFmt w:val="decimal"/>
      <w:isLgl/>
      <w:lvlText w:val="%1.%2."/>
      <w:lvlJc w:val="left"/>
      <w:pPr>
        <w:ind w:left="540" w:hanging="540"/>
      </w:pPr>
      <w:rPr>
        <w:rFonts w:hint="default"/>
      </w:rPr>
    </w:lvl>
    <w:lvl w:ilvl="2">
      <w:start w:val="2"/>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
    <w:nsid w:val="0E3F2AA7"/>
    <w:multiLevelType w:val="hybridMultilevel"/>
    <w:tmpl w:val="F02677E8"/>
    <w:lvl w:ilvl="0" w:tplc="5AA4D3BA">
      <w:start w:val="1"/>
      <w:numFmt w:val="decimal"/>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15494620"/>
    <w:multiLevelType w:val="multilevel"/>
    <w:tmpl w:val="7666AFD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nsid w:val="15E80E12"/>
    <w:multiLevelType w:val="hybridMultilevel"/>
    <w:tmpl w:val="8A78C5C6"/>
    <w:lvl w:ilvl="0" w:tplc="03FE5F7C">
      <w:start w:val="2"/>
      <w:numFmt w:val="decimal"/>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248E0412"/>
    <w:multiLevelType w:val="hybridMultilevel"/>
    <w:tmpl w:val="BA76D0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24DB2CEB"/>
    <w:multiLevelType w:val="hybridMultilevel"/>
    <w:tmpl w:val="F96C3F3E"/>
    <w:lvl w:ilvl="0" w:tplc="5AA4D3BA">
      <w:start w:val="1"/>
      <w:numFmt w:val="decimal"/>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27535819"/>
    <w:multiLevelType w:val="hybridMultilevel"/>
    <w:tmpl w:val="59707450"/>
    <w:lvl w:ilvl="0" w:tplc="F9DC2F48">
      <w:start w:val="1"/>
      <w:numFmt w:val="decimal"/>
      <w:lvlText w:val="2.1.%1"/>
      <w:lvlJc w:val="left"/>
      <w:pPr>
        <w:ind w:left="720" w:hanging="360"/>
      </w:pPr>
      <w:rPr>
        <w:rFonts w:ascii="Times New Roman" w:hAnsi="Times New Roman" w:cs="Times New Roman" w:hint="default"/>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2DA666C1"/>
    <w:multiLevelType w:val="hybridMultilevel"/>
    <w:tmpl w:val="A72E250A"/>
    <w:lvl w:ilvl="0" w:tplc="38509D84">
      <w:start w:val="1"/>
      <w:numFmt w:val="decimal"/>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33EE7F43"/>
    <w:multiLevelType w:val="hybridMultilevel"/>
    <w:tmpl w:val="E1867DF2"/>
    <w:lvl w:ilvl="0" w:tplc="FD262B8E">
      <w:start w:val="2"/>
      <w:numFmt w:val="decimal"/>
      <w:lvlText w:val="%1.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3A1275D6"/>
    <w:multiLevelType w:val="hybridMultilevel"/>
    <w:tmpl w:val="ED00B2B2"/>
    <w:lvl w:ilvl="0" w:tplc="072ED87A">
      <w:start w:val="2"/>
      <w:numFmt w:val="decimal"/>
      <w:lvlText w:val="%1.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3A3412DA"/>
    <w:multiLevelType w:val="hybridMultilevel"/>
    <w:tmpl w:val="350ECDC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432A6EB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nsid w:val="458E27FF"/>
    <w:multiLevelType w:val="hybridMultilevel"/>
    <w:tmpl w:val="3A705BD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4F953C6F"/>
    <w:multiLevelType w:val="hybridMultilevel"/>
    <w:tmpl w:val="71EE48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5E9C5029"/>
    <w:multiLevelType w:val="multilevel"/>
    <w:tmpl w:val="074C3A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616645FA"/>
    <w:multiLevelType w:val="hybridMultilevel"/>
    <w:tmpl w:val="7B5630DC"/>
    <w:lvl w:ilvl="0" w:tplc="54BE7FD6">
      <w:start w:val="2"/>
      <w:numFmt w:val="decimal"/>
      <w:lvlText w:val="%1.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63E92081"/>
    <w:multiLevelType w:val="hybridMultilevel"/>
    <w:tmpl w:val="7D4647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6EAB5B8F"/>
    <w:multiLevelType w:val="hybridMultilevel"/>
    <w:tmpl w:val="AB1CC610"/>
    <w:lvl w:ilvl="0" w:tplc="2912E14C">
      <w:start w:val="1"/>
      <w:numFmt w:val="decimal"/>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6EAD4459"/>
    <w:multiLevelType w:val="hybridMultilevel"/>
    <w:tmpl w:val="422CDF4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nsid w:val="74604BE7"/>
    <w:multiLevelType w:val="hybridMultilevel"/>
    <w:tmpl w:val="E1867DF2"/>
    <w:lvl w:ilvl="0" w:tplc="FD262B8E">
      <w:start w:val="2"/>
      <w:numFmt w:val="decimal"/>
      <w:lvlText w:val="%1.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nsid w:val="7B8A3E71"/>
    <w:multiLevelType w:val="hybridMultilevel"/>
    <w:tmpl w:val="595A6AE8"/>
    <w:lvl w:ilvl="0" w:tplc="191CA1B0">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17"/>
  </w:num>
  <w:num w:numId="3">
    <w:abstractNumId w:val="11"/>
  </w:num>
  <w:num w:numId="4">
    <w:abstractNumId w:val="23"/>
  </w:num>
  <w:num w:numId="5">
    <w:abstractNumId w:val="12"/>
  </w:num>
  <w:num w:numId="6">
    <w:abstractNumId w:val="10"/>
  </w:num>
  <w:num w:numId="7">
    <w:abstractNumId w:val="13"/>
  </w:num>
  <w:num w:numId="8">
    <w:abstractNumId w:val="24"/>
  </w:num>
  <w:num w:numId="9">
    <w:abstractNumId w:val="8"/>
  </w:num>
  <w:num w:numId="10">
    <w:abstractNumId w:val="8"/>
  </w:num>
  <w:num w:numId="11">
    <w:abstractNumId w:val="16"/>
  </w:num>
  <w:num w:numId="12">
    <w:abstractNumId w:val="5"/>
  </w:num>
  <w:num w:numId="13">
    <w:abstractNumId w:val="4"/>
  </w:num>
  <w:num w:numId="14">
    <w:abstractNumId w:val="6"/>
  </w:num>
  <w:num w:numId="15">
    <w:abstractNumId w:val="22"/>
  </w:num>
  <w:num w:numId="16">
    <w:abstractNumId w:val="14"/>
  </w:num>
  <w:num w:numId="17">
    <w:abstractNumId w:val="20"/>
  </w:num>
  <w:num w:numId="18">
    <w:abstractNumId w:val="7"/>
  </w:num>
  <w:num w:numId="19">
    <w:abstractNumId w:val="4"/>
  </w:num>
  <w:num w:numId="20">
    <w:abstractNumId w:val="4"/>
  </w:num>
  <w:num w:numId="21">
    <w:abstractNumId w:val="4"/>
  </w:num>
  <w:num w:numId="22">
    <w:abstractNumId w:val="21"/>
  </w:num>
  <w:num w:numId="23">
    <w:abstractNumId w:val="25"/>
  </w:num>
  <w:num w:numId="24">
    <w:abstractNumId w:val="4"/>
  </w:num>
  <w:num w:numId="25">
    <w:abstractNumId w:val="5"/>
  </w:num>
  <w:num w:numId="26">
    <w:abstractNumId w:val="5"/>
  </w:num>
  <w:num w:numId="27">
    <w:abstractNumId w:val="5"/>
  </w:num>
  <w:num w:numId="28">
    <w:abstractNumId w:val="5"/>
  </w:num>
  <w:num w:numId="29">
    <w:abstractNumId w:val="0"/>
  </w:num>
  <w:num w:numId="30">
    <w:abstractNumId w:val="3"/>
  </w:num>
  <w:num w:numId="31">
    <w:abstractNumId w:val="1"/>
  </w:num>
  <w:num w:numId="32">
    <w:abstractNumId w:val="2"/>
  </w:num>
  <w:num w:numId="33">
    <w:abstractNumId w:val="2"/>
  </w:num>
  <w:num w:numId="34">
    <w:abstractNumId w:val="15"/>
  </w:num>
  <w:num w:numId="35">
    <w:abstractNumId w:val="2"/>
  </w:num>
  <w:num w:numId="36">
    <w:abstractNumId w:val="9"/>
  </w:num>
  <w:num w:numId="37">
    <w:abstractNumId w:val="18"/>
  </w:num>
  <w:num w:numId="38">
    <w:abstractNumId w:val="19"/>
  </w:num>
  <w:num w:numId="39">
    <w:abstractNumId w:val="5"/>
  </w:num>
  <w:num w:numId="40">
    <w:abstractNumId w:val="5"/>
  </w:num>
  <w:num w:numId="41">
    <w:abstractNumId w:val="5"/>
  </w:num>
</w:numbering>
</file>

<file path=word/people.xml><?xml version="1.0" encoding="utf-8"?>
<w15:people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David O'Sullivan">
    <w15:presenceInfo w15:providerId="Windows Live" w15:userId="2a2f8b2b9d07e03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hideSpellingErrors/>
  <w:hideGrammaticalErrors/>
  <w:revisionView w:markup="0"/>
  <w:defaultTabStop w:val="720"/>
  <w:hyphenationZone w:val="425"/>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
    <w:docVar w:name="LW_CORRIGENDUM" w:val="&lt;UNUSED&gt;"/>
    <w:docVar w:name="LW_COVERPAGE_GUID" w:val="225D19B956DF4638A3C1A82D63899AB5"/>
    <w:docVar w:name="LW_CROSSREFERENCE" w:val="&lt;UNUSED&gt;"/>
    <w:docVar w:name="LW_DocType" w:val="NORMAL"/>
    <w:docVar w:name="LW_EMISSION" w:val="4.10.2017"/>
    <w:docVar w:name="LW_EMISSION_ISODATE" w:val="2017-10-04"/>
    <w:docVar w:name="LW_EMISSION_LOCATION" w:val="BRX"/>
    <w:docVar w:name="LW_EMISSION_PREFIX" w:val="Bruxelles, "/>
    <w:docVar w:name="LW_EMISSION_SUFFIX" w:val=" "/>
    <w:docVar w:name="LW_ID_DOCTYPE_NONLW" w:val="CP-013"/>
    <w:docVar w:name="LW_LANGUE" w:val="RO"/>
    <w:docVar w:name="LW_MARKING" w:val="&lt;UNUSED&g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17) 566"/>
    <w:docVar w:name="LW_REF.INTERNE" w:val="&lt;UNUSED&gt;"/>
    <w:docVar w:name="LW_SOUS.TITRE.OBJ.CP" w:val="&lt;UNUSED&gt;"/>
    <w:docVar w:name="LW_SUPERTITRE" w:val="&lt;UNUSED&gt;"/>
    <w:docVar w:name="LW_TITRE.OBJ.CP" w:val="În continuarea Planului de ac\u539?iune privind TVA_x000b_C\u259?tre un spa\u539?iu unic pentru TVA în UE \u8211? Momentul ac\u539?iunii"/>
    <w:docVar w:name="LW_TYPE.DOC.CP" w:val="COMUNICARE A COMISIEI C\u258?TRE PARLAMENTUL EUROPEAN, CONSILIU \u536?I COMITETUL ECONOMIC \u536?I SOCIAL EUROPEAN"/>
    <w:docVar w:name="LW_TYPE.DOC.CP.USERTEXT" w:val="&lt;EMPTY&gt;"/>
  </w:docVar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40" w:line="240" w:lineRule="auto"/>
      <w:jc w:val="both"/>
    </w:pPr>
    <w:rPr>
      <w:rFonts w:ascii="Times New Roman" w:eastAsia="Times New Roman" w:hAnsi="Times New Roman"/>
      <w:sz w:val="24"/>
      <w:szCs w:val="24"/>
    </w:rPr>
  </w:style>
  <w:style w:type="paragraph" w:styleId="Heading1">
    <w:name w:val="heading 1"/>
    <w:basedOn w:val="Normal"/>
    <w:next w:val="Normal"/>
    <w:link w:val="Heading1Char"/>
    <w:uiPriority w:val="9"/>
    <w:qFormat/>
    <w:pPr>
      <w:keepNext/>
      <w:keepLines/>
      <w:numPr>
        <w:numId w:val="12"/>
      </w:numPr>
      <w:spacing w:before="480"/>
      <w:outlineLvl w:val="0"/>
    </w:pPr>
    <w:rPr>
      <w:rFonts w:eastAsiaTheme="majorEastAsia" w:cs="Times New Roman"/>
      <w:b/>
      <w:bCs/>
    </w:rPr>
  </w:style>
  <w:style w:type="paragraph" w:styleId="Heading2">
    <w:name w:val="heading 2"/>
    <w:basedOn w:val="Normal"/>
    <w:next w:val="Normal"/>
    <w:link w:val="Heading2Char"/>
    <w:uiPriority w:val="9"/>
    <w:unhideWhenUsed/>
    <w:qFormat/>
    <w:pPr>
      <w:keepNext/>
      <w:keepLines/>
      <w:tabs>
        <w:tab w:val="left" w:pos="851"/>
      </w:tabs>
      <w:ind w:left="851" w:hanging="851"/>
      <w:outlineLvl w:val="1"/>
    </w:pPr>
    <w:rPr>
      <w:rFonts w:eastAsiaTheme="majorEastAsia" w:cs="Times New Roman"/>
      <w:b/>
      <w:bCs/>
      <w:szCs w:val="26"/>
    </w:rPr>
  </w:style>
  <w:style w:type="paragraph" w:styleId="Heading3">
    <w:name w:val="heading 3"/>
    <w:basedOn w:val="Normal"/>
    <w:next w:val="Normal"/>
    <w:link w:val="Heading3Char"/>
    <w:uiPriority w:val="9"/>
    <w:unhideWhenUsed/>
    <w:qFormat/>
    <w:pPr>
      <w:keepNext/>
      <w:keepLines/>
      <w:tabs>
        <w:tab w:val="left" w:pos="851"/>
      </w:tabs>
      <w:ind w:left="851" w:hanging="851"/>
      <w:outlineLvl w:val="2"/>
    </w:pPr>
    <w:rPr>
      <w:rFonts w:eastAsiaTheme="majorEastAsia" w:cs="Times New Roman"/>
      <w:bCs/>
      <w:i/>
    </w:rPr>
  </w:style>
  <w:style w:type="paragraph" w:styleId="Heading4">
    <w:name w:val="heading 4"/>
    <w:basedOn w:val="Normal"/>
    <w:next w:val="Normal"/>
    <w:link w:val="Heading4Char"/>
    <w:uiPriority w:val="9"/>
    <w:unhideWhenUsed/>
    <w:qFormat/>
    <w:pPr>
      <w:keepNext/>
      <w:keepLines/>
      <w:tabs>
        <w:tab w:val="left" w:pos="1134"/>
      </w:tabs>
      <w:ind w:left="1134" w:hanging="1134"/>
      <w:outlineLvl w:val="3"/>
    </w:pPr>
    <w:rPr>
      <w:rFonts w:eastAsiaTheme="majorEastAsia" w:cs="Times New Roman"/>
      <w:bCs/>
      <w:i/>
      <w:iCs/>
    </w:rPr>
  </w:style>
  <w:style w:type="paragraph" w:styleId="Heading5">
    <w:name w:val="heading 5"/>
    <w:basedOn w:val="Normal"/>
    <w:next w:val="Normal"/>
    <w:link w:val="Heading5Char"/>
    <w:uiPriority w:val="9"/>
    <w:unhideWhenUsed/>
    <w:qFormat/>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pPr>
    <w:rPr>
      <w:rFonts w:cs="Times New Roman"/>
    </w:rPr>
  </w:style>
  <w:style w:type="paragraph" w:styleId="Header">
    <w:name w:val="header"/>
    <w:basedOn w:val="Normal"/>
    <w:link w:val="HeaderChar"/>
    <w:uiPriority w:val="99"/>
    <w:unhideWhenUsed/>
    <w:pPr>
      <w:tabs>
        <w:tab w:val="center" w:pos="4536"/>
        <w:tab w:val="right" w:pos="9072"/>
      </w:tabs>
      <w:spacing w:after="0"/>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rPr>
      <w:rFonts w:eastAsiaTheme="minorHAnsi" w:cs="Times New Roman"/>
      <w:szCs w:val="22"/>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HeaderCoverPage">
    <w:name w:val="Header Cover Page"/>
    <w:basedOn w:val="Normal"/>
    <w:link w:val="HeaderCoverPageChar"/>
    <w:pPr>
      <w:tabs>
        <w:tab w:val="center" w:pos="4535"/>
        <w:tab w:val="right" w:pos="9071"/>
      </w:tabs>
      <w:spacing w:after="120"/>
    </w:pPr>
    <w:rPr>
      <w:rFonts w:eastAsiaTheme="minorHAnsi" w:cs="Times New Roman"/>
      <w:szCs w:val="22"/>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z w:val="24"/>
      <w:szCs w:val="24"/>
    </w:rPr>
  </w:style>
  <w:style w:type="character" w:styleId="Hyperlink">
    <w:name w:val="Hyperlink"/>
    <w:basedOn w:val="DefaultParagraphFont"/>
    <w:uiPriority w:val="99"/>
    <w:unhideWhenUsed/>
    <w:rPr>
      <w:rFonts w:ascii="Verdana" w:hAnsi="Verdana" w:hint="default"/>
      <w:strike w:val="0"/>
      <w:dstrike w:val="0"/>
      <w:color w:val="0000FF"/>
      <w:u w:val="none"/>
      <w:effect w:val="none"/>
    </w:rPr>
  </w:style>
  <w:style w:type="paragraph" w:styleId="NormalWeb">
    <w:name w:val="Normal (Web)"/>
    <w:basedOn w:val="Normal"/>
    <w:uiPriority w:val="99"/>
    <w:semiHidden/>
    <w:unhideWhenUsed/>
    <w:pPr>
      <w:spacing w:before="100" w:beforeAutospacing="1" w:after="100" w:afterAutospacing="1"/>
    </w:pPr>
    <w:rPr>
      <w:rFonts w:cs="Times New Roman"/>
    </w:rPr>
  </w:style>
  <w:style w:type="character" w:customStyle="1" w:styleId="Heading2Char">
    <w:name w:val="Heading 2 Char"/>
    <w:basedOn w:val="DefaultParagraphFont"/>
    <w:link w:val="Heading2"/>
    <w:uiPriority w:val="9"/>
    <w:rPr>
      <w:rFonts w:ascii="Times New Roman" w:eastAsiaTheme="majorEastAsia" w:hAnsi="Times New Roman" w:cs="Times New Roman"/>
      <w:b/>
      <w:bCs/>
      <w:sz w:val="24"/>
      <w:szCs w:val="26"/>
    </w:rPr>
  </w:style>
  <w:style w:type="paragraph" w:styleId="Subtitle">
    <w:name w:val="Subtitle"/>
    <w:basedOn w:val="Normal"/>
    <w:next w:val="Normal"/>
    <w:link w:val="SubtitleChar"/>
    <w:uiPriority w:val="11"/>
    <w:qFormat/>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pPr>
      <w:ind w:left="720"/>
      <w:contextualSpacing/>
    </w:pPr>
  </w:style>
  <w:style w:type="paragraph" w:styleId="FootnoteText">
    <w:name w:val="footnote text"/>
    <w:aliases w:val="Char,Fußnote,Carattere,fn,Footnotes,Footnote ak,Footnote Text Char1,Footnote Text Char Char,fn Char Char,footnote text Char Char,Footnotes Char Char,Footnote ak Char Char,fn Char1,footnote text Char1,Footnotes Char1,ft,Footnote Text_EP-LC"/>
    <w:link w:val="FootnoteTextChar"/>
    <w:uiPriority w:val="99"/>
    <w:unhideWhenUsed/>
    <w:qFormat/>
    <w:pPr>
      <w:spacing w:after="0" w:line="240" w:lineRule="auto"/>
      <w:ind w:left="284" w:hanging="284"/>
      <w:jc w:val="both"/>
    </w:pPr>
    <w:rPr>
      <w:rFonts w:ascii="Times New Roman" w:eastAsia="Times New Roman" w:hAnsi="Times New Roman"/>
      <w:sz w:val="20"/>
      <w:szCs w:val="20"/>
    </w:rPr>
  </w:style>
  <w:style w:type="character" w:customStyle="1" w:styleId="FootnoteTextChar">
    <w:name w:val="Footnote Text Char"/>
    <w:aliases w:val="Char Char,Fußnote Char,Carattere Char,fn Char,Footnotes Char,Footnote ak Char,Footnote Text Char1 Char,Footnote Text Char Char Char,fn Char Char Char,footnote text Char Char Char,Footnotes Char Char Char,Footnote ak Char Char Char"/>
    <w:basedOn w:val="DefaultParagraphFont"/>
    <w:link w:val="FootnoteText"/>
    <w:uiPriority w:val="99"/>
    <w:rPr>
      <w:rFonts w:ascii="Times New Roman" w:eastAsia="Times New Roman" w:hAnsi="Times New Roman"/>
      <w:sz w:val="20"/>
      <w:szCs w:val="20"/>
    </w:rPr>
  </w:style>
  <w:style w:type="character" w:styleId="FootnoteReference">
    <w:name w:val="footnote reference"/>
    <w:aliases w:val="Footnote Reference Superscript,BVI fnr, BVI fnr,Footnote symbol,Footnote reference number,note TESI,Appel note de bas de p,Nota,SUPERS,Footnote number,EN Footnote Reference,-E Fußnotenzeichen,number Char Char,number,Ref,styl,Footnote"/>
    <w:basedOn w:val="DefaultParagraphFont"/>
    <w:link w:val="FootnotesymbolCarZchn"/>
    <w:unhideWhenUsed/>
    <w:qFormat/>
    <w:rPr>
      <w:vertAlign w:val="superscript"/>
    </w:rPr>
  </w:style>
  <w:style w:type="character" w:customStyle="1" w:styleId="Heading3Char">
    <w:name w:val="Heading 3 Char"/>
    <w:basedOn w:val="DefaultParagraphFont"/>
    <w:link w:val="Heading3"/>
    <w:uiPriority w:val="9"/>
    <w:rPr>
      <w:rFonts w:ascii="Times New Roman" w:eastAsiaTheme="majorEastAsia" w:hAnsi="Times New Roman" w:cs="Times New Roman"/>
      <w:bCs/>
      <w:i/>
      <w:sz w:val="24"/>
      <w:szCs w:val="24"/>
    </w:rPr>
  </w:style>
  <w:style w:type="character" w:customStyle="1" w:styleId="Heading4Char">
    <w:name w:val="Heading 4 Char"/>
    <w:basedOn w:val="DefaultParagraphFont"/>
    <w:link w:val="Heading4"/>
    <w:uiPriority w:val="9"/>
    <w:rPr>
      <w:rFonts w:ascii="Times New Roman" w:eastAsiaTheme="majorEastAsia" w:hAnsi="Times New Roman" w:cs="Times New Roman"/>
      <w:bCs/>
      <w:i/>
      <w:iCs/>
      <w:sz w:val="24"/>
      <w:szCs w:val="24"/>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BalloonText">
    <w:name w:val="Balloon Text"/>
    <w:basedOn w:val="Normal"/>
    <w:link w:val="BalloonTextChar"/>
    <w:uiPriority w:val="99"/>
    <w:semiHidden/>
    <w:unhideWhenUsed/>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TOCHeading">
    <w:name w:val="TOC Heading"/>
    <w:basedOn w:val="Heading1"/>
    <w:next w:val="Normal"/>
    <w:uiPriority w:val="39"/>
    <w:unhideWhenUsed/>
    <w:qFormat/>
    <w:pPr>
      <w:numPr>
        <w:numId w:val="0"/>
      </w:numPr>
      <w:jc w:val="left"/>
      <w:outlineLvl w:val="9"/>
    </w:pPr>
    <w:rPr>
      <w:rFonts w:asciiTheme="majorHAnsi" w:hAnsiTheme="majorHAnsi" w:cstheme="majorBidi"/>
    </w:rPr>
  </w:style>
  <w:style w:type="paragraph" w:styleId="TOC1">
    <w:name w:val="toc 1"/>
    <w:basedOn w:val="Normal"/>
    <w:next w:val="Normal"/>
    <w:autoRedefine/>
    <w:uiPriority w:val="39"/>
    <w:unhideWhenUsed/>
    <w:qFormat/>
    <w:pPr>
      <w:tabs>
        <w:tab w:val="left" w:pos="8760"/>
      </w:tabs>
      <w:spacing w:after="100"/>
      <w:ind w:left="284" w:hanging="284"/>
    </w:pPr>
  </w:style>
  <w:style w:type="paragraph" w:styleId="TOC2">
    <w:name w:val="toc 2"/>
    <w:basedOn w:val="Normal"/>
    <w:next w:val="Normal"/>
    <w:autoRedefine/>
    <w:uiPriority w:val="39"/>
    <w:unhideWhenUsed/>
    <w:qFormat/>
    <w:pPr>
      <w:tabs>
        <w:tab w:val="left" w:pos="567"/>
        <w:tab w:val="right" w:leader="dot" w:pos="9062"/>
      </w:tabs>
      <w:spacing w:after="100"/>
      <w:ind w:left="567" w:hanging="567"/>
    </w:pPr>
  </w:style>
  <w:style w:type="paragraph" w:styleId="TOC3">
    <w:name w:val="toc 3"/>
    <w:basedOn w:val="Normal"/>
    <w:next w:val="Normal"/>
    <w:autoRedefine/>
    <w:uiPriority w:val="39"/>
    <w:unhideWhenUsed/>
    <w:qFormat/>
    <w:pPr>
      <w:tabs>
        <w:tab w:val="left" w:pos="851"/>
        <w:tab w:val="right" w:leader="dot" w:pos="9062"/>
      </w:tabs>
      <w:spacing w:after="100"/>
      <w:ind w:left="851" w:hanging="851"/>
    </w:pPr>
  </w:style>
  <w:style w:type="character" w:styleId="FollowedHyperlink">
    <w:name w:val="FollowedHyperlink"/>
    <w:basedOn w:val="DefaultParagraphFont"/>
    <w:uiPriority w:val="99"/>
    <w:semiHidden/>
    <w:unhideWhenUsed/>
    <w:rPr>
      <w:color w:val="800080" w:themeColor="followedHyperlink"/>
      <w:u w:val="single"/>
    </w:rPr>
  </w:style>
  <w:style w:type="character" w:customStyle="1" w:styleId="Heading5Char">
    <w:name w:val="Heading 5 Char"/>
    <w:basedOn w:val="DefaultParagraphFont"/>
    <w:link w:val="Heading5"/>
    <w:uiPriority w:val="9"/>
    <w:rPr>
      <w:rFonts w:asciiTheme="majorHAnsi" w:eastAsiaTheme="majorEastAsia" w:hAnsiTheme="majorHAnsi" w:cstheme="majorBidi"/>
      <w:color w:val="243F60" w:themeColor="accent1" w:themeShade="7F"/>
    </w:rPr>
  </w:style>
  <w:style w:type="paragraph" w:styleId="Index4">
    <w:name w:val="index 4"/>
    <w:basedOn w:val="Normal"/>
    <w:next w:val="Normal"/>
    <w:autoRedefine/>
    <w:uiPriority w:val="99"/>
    <w:unhideWhenUsed/>
    <w:pPr>
      <w:spacing w:after="0"/>
      <w:ind w:left="880" w:hanging="220"/>
    </w:pPr>
  </w:style>
  <w:style w:type="paragraph" w:styleId="ListNumber3">
    <w:name w:val="List Number 3"/>
    <w:basedOn w:val="Normal"/>
    <w:uiPriority w:val="99"/>
    <w:unhideWhenUsed/>
    <w:pPr>
      <w:numPr>
        <w:numId w:val="29"/>
      </w:numPr>
      <w:contextualSpacing/>
    </w:pPr>
  </w:style>
  <w:style w:type="paragraph" w:styleId="ListBullet4">
    <w:name w:val="List Bullet 4"/>
    <w:basedOn w:val="Normal"/>
    <w:uiPriority w:val="99"/>
    <w:unhideWhenUsed/>
    <w:pPr>
      <w:numPr>
        <w:numId w:val="32"/>
      </w:numPr>
      <w:contextualSpacing/>
    </w:pPr>
  </w:style>
  <w:style w:type="paragraph" w:styleId="Revision">
    <w:name w:val="Revision"/>
    <w:hidden/>
    <w:uiPriority w:val="99"/>
    <w:semiHidden/>
    <w:pPr>
      <w:spacing w:after="0" w:line="240" w:lineRule="auto"/>
    </w:p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pPr>
      <w:spacing w:after="0" w:line="160" w:lineRule="exact"/>
      <w:ind w:left="284" w:hanging="284"/>
    </w:pPr>
    <w:rPr>
      <w:vertAlign w:val="superscript"/>
    </w:rPr>
  </w:style>
  <w:style w:type="character" w:customStyle="1" w:styleId="affairetitle">
    <w:name w:val="affaire_title"/>
    <w:basedOn w:val="DefaultParagraphFont"/>
  </w:style>
  <w:style w:type="paragraph" w:customStyle="1" w:styleId="ChapterTitle">
    <w:name w:val="ChapterTitle"/>
    <w:basedOn w:val="Normal"/>
    <w:next w:val="Normal"/>
    <w:pPr>
      <w:keepNext/>
      <w:spacing w:after="480"/>
      <w:jc w:val="center"/>
    </w:pPr>
    <w:rPr>
      <w:rFonts w:cs="Times New Roman"/>
      <w:b/>
      <w:sz w:val="32"/>
      <w:szCs w:val="20"/>
    </w:rPr>
  </w:style>
  <w:style w:type="paragraph" w:styleId="Title">
    <w:name w:val="Title"/>
    <w:basedOn w:val="Normal"/>
    <w:next w:val="Normal"/>
    <w:link w:val="TitleChar"/>
    <w:uiPriority w:val="10"/>
    <w:qFormat/>
    <w:pPr>
      <w:spacing w:after="300"/>
      <w:contextualSpacing/>
      <w:jc w:val="center"/>
    </w:pPr>
    <w:rPr>
      <w:rFonts w:ascii="Times New Roman Bold" w:eastAsiaTheme="majorEastAsia" w:hAnsi="Times New Roman Bold" w:cs="Times New Roman"/>
      <w:b/>
      <w:smallCaps/>
      <w:spacing w:val="5"/>
      <w:kern w:val="28"/>
      <w:sz w:val="32"/>
      <w:szCs w:val="32"/>
    </w:rPr>
  </w:style>
  <w:style w:type="character" w:customStyle="1" w:styleId="TitleChar">
    <w:name w:val="Title Char"/>
    <w:basedOn w:val="DefaultParagraphFont"/>
    <w:link w:val="Title"/>
    <w:uiPriority w:val="10"/>
    <w:rPr>
      <w:rFonts w:ascii="Times New Roman Bold" w:eastAsiaTheme="majorEastAsia" w:hAnsi="Times New Roman Bold" w:cs="Times New Roman"/>
      <w:b/>
      <w:smallCaps/>
      <w:spacing w:val="5"/>
      <w:kern w:val="28"/>
      <w:sz w:val="32"/>
      <w:szCs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40" w:line="240" w:lineRule="auto"/>
      <w:jc w:val="both"/>
    </w:pPr>
    <w:rPr>
      <w:rFonts w:ascii="Times New Roman" w:eastAsia="Times New Roman" w:hAnsi="Times New Roman"/>
      <w:sz w:val="24"/>
      <w:szCs w:val="24"/>
    </w:rPr>
  </w:style>
  <w:style w:type="paragraph" w:styleId="Heading1">
    <w:name w:val="heading 1"/>
    <w:basedOn w:val="Normal"/>
    <w:next w:val="Normal"/>
    <w:link w:val="Heading1Char"/>
    <w:uiPriority w:val="9"/>
    <w:qFormat/>
    <w:pPr>
      <w:keepNext/>
      <w:keepLines/>
      <w:numPr>
        <w:numId w:val="12"/>
      </w:numPr>
      <w:spacing w:before="480"/>
      <w:outlineLvl w:val="0"/>
    </w:pPr>
    <w:rPr>
      <w:rFonts w:eastAsiaTheme="majorEastAsia" w:cs="Times New Roman"/>
      <w:b/>
      <w:bCs/>
    </w:rPr>
  </w:style>
  <w:style w:type="paragraph" w:styleId="Heading2">
    <w:name w:val="heading 2"/>
    <w:basedOn w:val="Normal"/>
    <w:next w:val="Normal"/>
    <w:link w:val="Heading2Char"/>
    <w:uiPriority w:val="9"/>
    <w:unhideWhenUsed/>
    <w:qFormat/>
    <w:pPr>
      <w:keepNext/>
      <w:keepLines/>
      <w:tabs>
        <w:tab w:val="left" w:pos="851"/>
      </w:tabs>
      <w:ind w:left="851" w:hanging="851"/>
      <w:outlineLvl w:val="1"/>
    </w:pPr>
    <w:rPr>
      <w:rFonts w:eastAsiaTheme="majorEastAsia" w:cs="Times New Roman"/>
      <w:b/>
      <w:bCs/>
      <w:szCs w:val="26"/>
    </w:rPr>
  </w:style>
  <w:style w:type="paragraph" w:styleId="Heading3">
    <w:name w:val="heading 3"/>
    <w:basedOn w:val="Normal"/>
    <w:next w:val="Normal"/>
    <w:link w:val="Heading3Char"/>
    <w:uiPriority w:val="9"/>
    <w:unhideWhenUsed/>
    <w:qFormat/>
    <w:pPr>
      <w:keepNext/>
      <w:keepLines/>
      <w:tabs>
        <w:tab w:val="left" w:pos="851"/>
      </w:tabs>
      <w:ind w:left="851" w:hanging="851"/>
      <w:outlineLvl w:val="2"/>
    </w:pPr>
    <w:rPr>
      <w:rFonts w:eastAsiaTheme="majorEastAsia" w:cs="Times New Roman"/>
      <w:bCs/>
      <w:i/>
    </w:rPr>
  </w:style>
  <w:style w:type="paragraph" w:styleId="Heading4">
    <w:name w:val="heading 4"/>
    <w:basedOn w:val="Normal"/>
    <w:next w:val="Normal"/>
    <w:link w:val="Heading4Char"/>
    <w:uiPriority w:val="9"/>
    <w:unhideWhenUsed/>
    <w:qFormat/>
    <w:pPr>
      <w:keepNext/>
      <w:keepLines/>
      <w:tabs>
        <w:tab w:val="left" w:pos="1134"/>
      </w:tabs>
      <w:ind w:left="1134" w:hanging="1134"/>
      <w:outlineLvl w:val="3"/>
    </w:pPr>
    <w:rPr>
      <w:rFonts w:eastAsiaTheme="majorEastAsia" w:cs="Times New Roman"/>
      <w:bCs/>
      <w:i/>
      <w:iCs/>
    </w:rPr>
  </w:style>
  <w:style w:type="paragraph" w:styleId="Heading5">
    <w:name w:val="heading 5"/>
    <w:basedOn w:val="Normal"/>
    <w:next w:val="Normal"/>
    <w:link w:val="Heading5Char"/>
    <w:uiPriority w:val="9"/>
    <w:unhideWhenUsed/>
    <w:qFormat/>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pPr>
    <w:rPr>
      <w:rFonts w:cs="Times New Roman"/>
    </w:rPr>
  </w:style>
  <w:style w:type="paragraph" w:styleId="Header">
    <w:name w:val="header"/>
    <w:basedOn w:val="Normal"/>
    <w:link w:val="HeaderChar"/>
    <w:uiPriority w:val="99"/>
    <w:unhideWhenUsed/>
    <w:pPr>
      <w:tabs>
        <w:tab w:val="center" w:pos="4536"/>
        <w:tab w:val="right" w:pos="9072"/>
      </w:tabs>
      <w:spacing w:after="0"/>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rPr>
      <w:rFonts w:eastAsiaTheme="minorHAnsi" w:cs="Times New Roman"/>
      <w:szCs w:val="22"/>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HeaderCoverPage">
    <w:name w:val="Header Cover Page"/>
    <w:basedOn w:val="Normal"/>
    <w:link w:val="HeaderCoverPageChar"/>
    <w:pPr>
      <w:tabs>
        <w:tab w:val="center" w:pos="4535"/>
        <w:tab w:val="right" w:pos="9071"/>
      </w:tabs>
      <w:spacing w:after="120"/>
    </w:pPr>
    <w:rPr>
      <w:rFonts w:eastAsiaTheme="minorHAnsi" w:cs="Times New Roman"/>
      <w:szCs w:val="22"/>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z w:val="24"/>
      <w:szCs w:val="24"/>
    </w:rPr>
  </w:style>
  <w:style w:type="character" w:styleId="Hyperlink">
    <w:name w:val="Hyperlink"/>
    <w:basedOn w:val="DefaultParagraphFont"/>
    <w:uiPriority w:val="99"/>
    <w:unhideWhenUsed/>
    <w:rPr>
      <w:rFonts w:ascii="Verdana" w:hAnsi="Verdana" w:hint="default"/>
      <w:strike w:val="0"/>
      <w:dstrike w:val="0"/>
      <w:color w:val="0000FF"/>
      <w:u w:val="none"/>
      <w:effect w:val="none"/>
    </w:rPr>
  </w:style>
  <w:style w:type="paragraph" w:styleId="NormalWeb">
    <w:name w:val="Normal (Web)"/>
    <w:basedOn w:val="Normal"/>
    <w:uiPriority w:val="99"/>
    <w:semiHidden/>
    <w:unhideWhenUsed/>
    <w:pPr>
      <w:spacing w:before="100" w:beforeAutospacing="1" w:after="100" w:afterAutospacing="1"/>
    </w:pPr>
    <w:rPr>
      <w:rFonts w:cs="Times New Roman"/>
    </w:rPr>
  </w:style>
  <w:style w:type="character" w:customStyle="1" w:styleId="Heading2Char">
    <w:name w:val="Heading 2 Char"/>
    <w:basedOn w:val="DefaultParagraphFont"/>
    <w:link w:val="Heading2"/>
    <w:uiPriority w:val="9"/>
    <w:rPr>
      <w:rFonts w:ascii="Times New Roman" w:eastAsiaTheme="majorEastAsia" w:hAnsi="Times New Roman" w:cs="Times New Roman"/>
      <w:b/>
      <w:bCs/>
      <w:sz w:val="24"/>
      <w:szCs w:val="26"/>
    </w:rPr>
  </w:style>
  <w:style w:type="paragraph" w:styleId="Subtitle">
    <w:name w:val="Subtitle"/>
    <w:basedOn w:val="Normal"/>
    <w:next w:val="Normal"/>
    <w:link w:val="SubtitleChar"/>
    <w:uiPriority w:val="11"/>
    <w:qFormat/>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pPr>
      <w:ind w:left="720"/>
      <w:contextualSpacing/>
    </w:pPr>
  </w:style>
  <w:style w:type="paragraph" w:styleId="FootnoteText">
    <w:name w:val="footnote text"/>
    <w:aliases w:val="Char,Fußnote,Carattere,fn,Footnotes,Footnote ak,Footnote Text Char1,Footnote Text Char Char,fn Char Char,footnote text Char Char,Footnotes Char Char,Footnote ak Char Char,fn Char1,footnote text Char1,Footnotes Char1,ft,Footnote Text_EP-LC"/>
    <w:link w:val="FootnoteTextChar"/>
    <w:uiPriority w:val="99"/>
    <w:unhideWhenUsed/>
    <w:qFormat/>
    <w:pPr>
      <w:spacing w:after="0" w:line="240" w:lineRule="auto"/>
      <w:ind w:left="284" w:hanging="284"/>
      <w:jc w:val="both"/>
    </w:pPr>
    <w:rPr>
      <w:rFonts w:ascii="Times New Roman" w:eastAsia="Times New Roman" w:hAnsi="Times New Roman"/>
      <w:sz w:val="20"/>
      <w:szCs w:val="20"/>
    </w:rPr>
  </w:style>
  <w:style w:type="character" w:customStyle="1" w:styleId="FootnoteTextChar">
    <w:name w:val="Footnote Text Char"/>
    <w:aliases w:val="Char Char,Fußnote Char,Carattere Char,fn Char,Footnotes Char,Footnote ak Char,Footnote Text Char1 Char,Footnote Text Char Char Char,fn Char Char Char,footnote text Char Char Char,Footnotes Char Char Char,Footnote ak Char Char Char"/>
    <w:basedOn w:val="DefaultParagraphFont"/>
    <w:link w:val="FootnoteText"/>
    <w:uiPriority w:val="99"/>
    <w:rPr>
      <w:rFonts w:ascii="Times New Roman" w:eastAsia="Times New Roman" w:hAnsi="Times New Roman"/>
      <w:sz w:val="20"/>
      <w:szCs w:val="20"/>
    </w:rPr>
  </w:style>
  <w:style w:type="character" w:styleId="FootnoteReference">
    <w:name w:val="footnote reference"/>
    <w:aliases w:val="Footnote Reference Superscript,BVI fnr, BVI fnr,Footnote symbol,Footnote reference number,note TESI,Appel note de bas de p,Nota,SUPERS,Footnote number,EN Footnote Reference,-E Fußnotenzeichen,number Char Char,number,Ref,styl,Footnote"/>
    <w:basedOn w:val="DefaultParagraphFont"/>
    <w:link w:val="FootnotesymbolCarZchn"/>
    <w:unhideWhenUsed/>
    <w:qFormat/>
    <w:rPr>
      <w:vertAlign w:val="superscript"/>
    </w:rPr>
  </w:style>
  <w:style w:type="character" w:customStyle="1" w:styleId="Heading3Char">
    <w:name w:val="Heading 3 Char"/>
    <w:basedOn w:val="DefaultParagraphFont"/>
    <w:link w:val="Heading3"/>
    <w:uiPriority w:val="9"/>
    <w:rPr>
      <w:rFonts w:ascii="Times New Roman" w:eastAsiaTheme="majorEastAsia" w:hAnsi="Times New Roman" w:cs="Times New Roman"/>
      <w:bCs/>
      <w:i/>
      <w:sz w:val="24"/>
      <w:szCs w:val="24"/>
    </w:rPr>
  </w:style>
  <w:style w:type="character" w:customStyle="1" w:styleId="Heading4Char">
    <w:name w:val="Heading 4 Char"/>
    <w:basedOn w:val="DefaultParagraphFont"/>
    <w:link w:val="Heading4"/>
    <w:uiPriority w:val="9"/>
    <w:rPr>
      <w:rFonts w:ascii="Times New Roman" w:eastAsiaTheme="majorEastAsia" w:hAnsi="Times New Roman" w:cs="Times New Roman"/>
      <w:bCs/>
      <w:i/>
      <w:iCs/>
      <w:sz w:val="24"/>
      <w:szCs w:val="24"/>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BalloonText">
    <w:name w:val="Balloon Text"/>
    <w:basedOn w:val="Normal"/>
    <w:link w:val="BalloonTextChar"/>
    <w:uiPriority w:val="99"/>
    <w:semiHidden/>
    <w:unhideWhenUsed/>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TOCHeading">
    <w:name w:val="TOC Heading"/>
    <w:basedOn w:val="Heading1"/>
    <w:next w:val="Normal"/>
    <w:uiPriority w:val="39"/>
    <w:unhideWhenUsed/>
    <w:qFormat/>
    <w:pPr>
      <w:numPr>
        <w:numId w:val="0"/>
      </w:numPr>
      <w:jc w:val="left"/>
      <w:outlineLvl w:val="9"/>
    </w:pPr>
    <w:rPr>
      <w:rFonts w:asciiTheme="majorHAnsi" w:hAnsiTheme="majorHAnsi" w:cstheme="majorBidi"/>
    </w:rPr>
  </w:style>
  <w:style w:type="paragraph" w:styleId="TOC1">
    <w:name w:val="toc 1"/>
    <w:basedOn w:val="Normal"/>
    <w:next w:val="Normal"/>
    <w:autoRedefine/>
    <w:uiPriority w:val="39"/>
    <w:unhideWhenUsed/>
    <w:qFormat/>
    <w:pPr>
      <w:tabs>
        <w:tab w:val="left" w:pos="8760"/>
      </w:tabs>
      <w:spacing w:after="100"/>
      <w:ind w:left="284" w:hanging="284"/>
    </w:pPr>
  </w:style>
  <w:style w:type="paragraph" w:styleId="TOC2">
    <w:name w:val="toc 2"/>
    <w:basedOn w:val="Normal"/>
    <w:next w:val="Normal"/>
    <w:autoRedefine/>
    <w:uiPriority w:val="39"/>
    <w:unhideWhenUsed/>
    <w:qFormat/>
    <w:pPr>
      <w:tabs>
        <w:tab w:val="left" w:pos="567"/>
        <w:tab w:val="right" w:leader="dot" w:pos="9062"/>
      </w:tabs>
      <w:spacing w:after="100"/>
      <w:ind w:left="567" w:hanging="567"/>
    </w:pPr>
  </w:style>
  <w:style w:type="paragraph" w:styleId="TOC3">
    <w:name w:val="toc 3"/>
    <w:basedOn w:val="Normal"/>
    <w:next w:val="Normal"/>
    <w:autoRedefine/>
    <w:uiPriority w:val="39"/>
    <w:unhideWhenUsed/>
    <w:qFormat/>
    <w:pPr>
      <w:tabs>
        <w:tab w:val="left" w:pos="851"/>
        <w:tab w:val="right" w:leader="dot" w:pos="9062"/>
      </w:tabs>
      <w:spacing w:after="100"/>
      <w:ind w:left="851" w:hanging="851"/>
    </w:pPr>
  </w:style>
  <w:style w:type="character" w:styleId="FollowedHyperlink">
    <w:name w:val="FollowedHyperlink"/>
    <w:basedOn w:val="DefaultParagraphFont"/>
    <w:uiPriority w:val="99"/>
    <w:semiHidden/>
    <w:unhideWhenUsed/>
    <w:rPr>
      <w:color w:val="800080" w:themeColor="followedHyperlink"/>
      <w:u w:val="single"/>
    </w:rPr>
  </w:style>
  <w:style w:type="character" w:customStyle="1" w:styleId="Heading5Char">
    <w:name w:val="Heading 5 Char"/>
    <w:basedOn w:val="DefaultParagraphFont"/>
    <w:link w:val="Heading5"/>
    <w:uiPriority w:val="9"/>
    <w:rPr>
      <w:rFonts w:asciiTheme="majorHAnsi" w:eastAsiaTheme="majorEastAsia" w:hAnsiTheme="majorHAnsi" w:cstheme="majorBidi"/>
      <w:color w:val="243F60" w:themeColor="accent1" w:themeShade="7F"/>
    </w:rPr>
  </w:style>
  <w:style w:type="paragraph" w:styleId="Index4">
    <w:name w:val="index 4"/>
    <w:basedOn w:val="Normal"/>
    <w:next w:val="Normal"/>
    <w:autoRedefine/>
    <w:uiPriority w:val="99"/>
    <w:unhideWhenUsed/>
    <w:pPr>
      <w:spacing w:after="0"/>
      <w:ind w:left="880" w:hanging="220"/>
    </w:pPr>
  </w:style>
  <w:style w:type="paragraph" w:styleId="ListNumber3">
    <w:name w:val="List Number 3"/>
    <w:basedOn w:val="Normal"/>
    <w:uiPriority w:val="99"/>
    <w:unhideWhenUsed/>
    <w:pPr>
      <w:numPr>
        <w:numId w:val="29"/>
      </w:numPr>
      <w:contextualSpacing/>
    </w:pPr>
  </w:style>
  <w:style w:type="paragraph" w:styleId="ListBullet4">
    <w:name w:val="List Bullet 4"/>
    <w:basedOn w:val="Normal"/>
    <w:uiPriority w:val="99"/>
    <w:unhideWhenUsed/>
    <w:pPr>
      <w:numPr>
        <w:numId w:val="32"/>
      </w:numPr>
      <w:contextualSpacing/>
    </w:pPr>
  </w:style>
  <w:style w:type="paragraph" w:styleId="Revision">
    <w:name w:val="Revision"/>
    <w:hidden/>
    <w:uiPriority w:val="99"/>
    <w:semiHidden/>
    <w:pPr>
      <w:spacing w:after="0" w:line="240" w:lineRule="auto"/>
    </w:p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pPr>
      <w:spacing w:after="0" w:line="160" w:lineRule="exact"/>
      <w:ind w:left="284" w:hanging="284"/>
    </w:pPr>
    <w:rPr>
      <w:vertAlign w:val="superscript"/>
    </w:rPr>
  </w:style>
  <w:style w:type="character" w:customStyle="1" w:styleId="affairetitle">
    <w:name w:val="affaire_title"/>
    <w:basedOn w:val="DefaultParagraphFont"/>
  </w:style>
  <w:style w:type="paragraph" w:customStyle="1" w:styleId="ChapterTitle">
    <w:name w:val="ChapterTitle"/>
    <w:basedOn w:val="Normal"/>
    <w:next w:val="Normal"/>
    <w:pPr>
      <w:keepNext/>
      <w:spacing w:after="480"/>
      <w:jc w:val="center"/>
    </w:pPr>
    <w:rPr>
      <w:rFonts w:cs="Times New Roman"/>
      <w:b/>
      <w:sz w:val="32"/>
      <w:szCs w:val="20"/>
    </w:rPr>
  </w:style>
  <w:style w:type="paragraph" w:styleId="Title">
    <w:name w:val="Title"/>
    <w:basedOn w:val="Normal"/>
    <w:next w:val="Normal"/>
    <w:link w:val="TitleChar"/>
    <w:uiPriority w:val="10"/>
    <w:qFormat/>
    <w:pPr>
      <w:spacing w:after="300"/>
      <w:contextualSpacing/>
      <w:jc w:val="center"/>
    </w:pPr>
    <w:rPr>
      <w:rFonts w:ascii="Times New Roman Bold" w:eastAsiaTheme="majorEastAsia" w:hAnsi="Times New Roman Bold" w:cs="Times New Roman"/>
      <w:b/>
      <w:smallCaps/>
      <w:spacing w:val="5"/>
      <w:kern w:val="28"/>
      <w:sz w:val="32"/>
      <w:szCs w:val="32"/>
    </w:rPr>
  </w:style>
  <w:style w:type="character" w:customStyle="1" w:styleId="TitleChar">
    <w:name w:val="Title Char"/>
    <w:basedOn w:val="DefaultParagraphFont"/>
    <w:link w:val="Title"/>
    <w:uiPriority w:val="10"/>
    <w:rPr>
      <w:rFonts w:ascii="Times New Roman Bold" w:eastAsiaTheme="majorEastAsia" w:hAnsi="Times New Roman Bold" w:cs="Times New Roman"/>
      <w:b/>
      <w:smallCaps/>
      <w:spacing w:val="5"/>
      <w:kern w:val="28"/>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8216063">
      <w:bodyDiv w:val="1"/>
      <w:marLeft w:val="0"/>
      <w:marRight w:val="0"/>
      <w:marTop w:val="0"/>
      <w:marBottom w:val="0"/>
      <w:divBdr>
        <w:top w:val="none" w:sz="0" w:space="0" w:color="auto"/>
        <w:left w:val="none" w:sz="0" w:space="0" w:color="auto"/>
        <w:bottom w:val="none" w:sz="0" w:space="0" w:color="auto"/>
        <w:right w:val="none" w:sz="0" w:space="0" w:color="auto"/>
      </w:divBdr>
    </w:div>
    <w:div w:id="406071534">
      <w:bodyDiv w:val="1"/>
      <w:marLeft w:val="0"/>
      <w:marRight w:val="0"/>
      <w:marTop w:val="0"/>
      <w:marBottom w:val="0"/>
      <w:divBdr>
        <w:top w:val="none" w:sz="0" w:space="0" w:color="auto"/>
        <w:left w:val="none" w:sz="0" w:space="0" w:color="auto"/>
        <w:bottom w:val="none" w:sz="0" w:space="0" w:color="auto"/>
        <w:right w:val="none" w:sz="0" w:space="0" w:color="auto"/>
      </w:divBdr>
      <w:divsChild>
        <w:div w:id="2076009826">
          <w:marLeft w:val="0"/>
          <w:marRight w:val="0"/>
          <w:marTop w:val="0"/>
          <w:marBottom w:val="0"/>
          <w:divBdr>
            <w:top w:val="none" w:sz="0" w:space="0" w:color="auto"/>
            <w:left w:val="none" w:sz="0" w:space="0" w:color="auto"/>
            <w:bottom w:val="none" w:sz="0" w:space="0" w:color="auto"/>
            <w:right w:val="none" w:sz="0" w:space="0" w:color="auto"/>
          </w:divBdr>
          <w:divsChild>
            <w:div w:id="131866963">
              <w:marLeft w:val="0"/>
              <w:marRight w:val="0"/>
              <w:marTop w:val="0"/>
              <w:marBottom w:val="150"/>
              <w:divBdr>
                <w:top w:val="none" w:sz="0" w:space="0" w:color="auto"/>
                <w:left w:val="none" w:sz="0" w:space="0" w:color="auto"/>
                <w:bottom w:val="none" w:sz="0" w:space="0" w:color="auto"/>
                <w:right w:val="none" w:sz="0" w:space="0" w:color="auto"/>
              </w:divBdr>
              <w:divsChild>
                <w:div w:id="2071076025">
                  <w:marLeft w:val="0"/>
                  <w:marRight w:val="0"/>
                  <w:marTop w:val="0"/>
                  <w:marBottom w:val="0"/>
                  <w:divBdr>
                    <w:top w:val="none" w:sz="0" w:space="0" w:color="auto"/>
                    <w:left w:val="none" w:sz="0" w:space="0" w:color="auto"/>
                    <w:bottom w:val="none" w:sz="0" w:space="0" w:color="auto"/>
                    <w:right w:val="none" w:sz="0" w:space="0" w:color="auto"/>
                  </w:divBdr>
                  <w:divsChild>
                    <w:div w:id="1641031122">
                      <w:marLeft w:val="0"/>
                      <w:marRight w:val="0"/>
                      <w:marTop w:val="0"/>
                      <w:marBottom w:val="0"/>
                      <w:divBdr>
                        <w:top w:val="none" w:sz="0" w:space="0" w:color="auto"/>
                        <w:left w:val="none" w:sz="0" w:space="0" w:color="auto"/>
                        <w:bottom w:val="none" w:sz="0" w:space="0" w:color="auto"/>
                        <w:right w:val="none" w:sz="0" w:space="0" w:color="auto"/>
                      </w:divBdr>
                      <w:divsChild>
                        <w:div w:id="1293487297">
                          <w:marLeft w:val="0"/>
                          <w:marRight w:val="0"/>
                          <w:marTop w:val="0"/>
                          <w:marBottom w:val="0"/>
                          <w:divBdr>
                            <w:top w:val="none" w:sz="0" w:space="0" w:color="auto"/>
                            <w:left w:val="none" w:sz="0" w:space="0" w:color="auto"/>
                            <w:bottom w:val="none" w:sz="0" w:space="0" w:color="auto"/>
                            <w:right w:val="none" w:sz="0" w:space="0" w:color="auto"/>
                          </w:divBdr>
                          <w:divsChild>
                            <w:div w:id="1903906640">
                              <w:marLeft w:val="0"/>
                              <w:marRight w:val="0"/>
                              <w:marTop w:val="0"/>
                              <w:marBottom w:val="0"/>
                              <w:divBdr>
                                <w:top w:val="none" w:sz="0" w:space="0" w:color="auto"/>
                                <w:left w:val="none" w:sz="0" w:space="0" w:color="auto"/>
                                <w:bottom w:val="none" w:sz="0" w:space="0" w:color="auto"/>
                                <w:right w:val="none" w:sz="0" w:space="0" w:color="auto"/>
                              </w:divBdr>
                              <w:divsChild>
                                <w:div w:id="1359937899">
                                  <w:marLeft w:val="0"/>
                                  <w:marRight w:val="-3600"/>
                                  <w:marTop w:val="150"/>
                                  <w:marBottom w:val="0"/>
                                  <w:divBdr>
                                    <w:top w:val="none" w:sz="0" w:space="0" w:color="auto"/>
                                    <w:left w:val="none" w:sz="0" w:space="0" w:color="auto"/>
                                    <w:bottom w:val="none" w:sz="0" w:space="0" w:color="auto"/>
                                    <w:right w:val="none" w:sz="0" w:space="0" w:color="auto"/>
                                  </w:divBdr>
                                  <w:divsChild>
                                    <w:div w:id="1299147836">
                                      <w:marLeft w:val="0"/>
                                      <w:marRight w:val="3600"/>
                                      <w:marTop w:val="0"/>
                                      <w:marBottom w:val="0"/>
                                      <w:divBdr>
                                        <w:top w:val="none" w:sz="0" w:space="0" w:color="auto"/>
                                        <w:left w:val="none" w:sz="0" w:space="0" w:color="auto"/>
                                        <w:bottom w:val="none" w:sz="0" w:space="0" w:color="auto"/>
                                        <w:right w:val="none" w:sz="0" w:space="0" w:color="auto"/>
                                      </w:divBdr>
                                      <w:divsChild>
                                        <w:div w:id="669602644">
                                          <w:marLeft w:val="0"/>
                                          <w:marRight w:val="0"/>
                                          <w:marTop w:val="0"/>
                                          <w:marBottom w:val="0"/>
                                          <w:divBdr>
                                            <w:top w:val="none" w:sz="0" w:space="0" w:color="auto"/>
                                            <w:left w:val="none" w:sz="0" w:space="0" w:color="auto"/>
                                            <w:bottom w:val="none" w:sz="0" w:space="0" w:color="auto"/>
                                            <w:right w:val="none" w:sz="0" w:space="0" w:color="auto"/>
                                          </w:divBdr>
                                          <w:divsChild>
                                            <w:div w:id="1875116497">
                                              <w:marLeft w:val="0"/>
                                              <w:marRight w:val="0"/>
                                              <w:marTop w:val="0"/>
                                              <w:marBottom w:val="0"/>
                                              <w:divBdr>
                                                <w:top w:val="none" w:sz="0" w:space="0" w:color="auto"/>
                                                <w:left w:val="none" w:sz="0" w:space="0" w:color="auto"/>
                                                <w:bottom w:val="none" w:sz="0" w:space="0" w:color="auto"/>
                                                <w:right w:val="none" w:sz="0" w:space="0" w:color="auto"/>
                                              </w:divBdr>
                                              <w:divsChild>
                                                <w:div w:id="293607602">
                                                  <w:marLeft w:val="0"/>
                                                  <w:marRight w:val="0"/>
                                                  <w:marTop w:val="0"/>
                                                  <w:marBottom w:val="0"/>
                                                  <w:divBdr>
                                                    <w:top w:val="none" w:sz="0" w:space="0" w:color="auto"/>
                                                    <w:left w:val="none" w:sz="0" w:space="0" w:color="auto"/>
                                                    <w:bottom w:val="none" w:sz="0" w:space="0" w:color="auto"/>
                                                    <w:right w:val="none" w:sz="0" w:space="0" w:color="auto"/>
                                                  </w:divBdr>
                                                  <w:divsChild>
                                                    <w:div w:id="1219822396">
                                                      <w:marLeft w:val="0"/>
                                                      <w:marRight w:val="0"/>
                                                      <w:marTop w:val="0"/>
                                                      <w:marBottom w:val="0"/>
                                                      <w:divBdr>
                                                        <w:top w:val="none" w:sz="0" w:space="0" w:color="auto"/>
                                                        <w:left w:val="none" w:sz="0" w:space="0" w:color="auto"/>
                                                        <w:bottom w:val="none" w:sz="0" w:space="0" w:color="auto"/>
                                                        <w:right w:val="none" w:sz="0" w:space="0" w:color="auto"/>
                                                      </w:divBdr>
                                                      <w:divsChild>
                                                        <w:div w:id="1519464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998461417">
      <w:bodyDiv w:val="1"/>
      <w:marLeft w:val="0"/>
      <w:marRight w:val="0"/>
      <w:marTop w:val="0"/>
      <w:marBottom w:val="0"/>
      <w:divBdr>
        <w:top w:val="none" w:sz="0" w:space="0" w:color="auto"/>
        <w:left w:val="none" w:sz="0" w:space="0" w:color="auto"/>
        <w:bottom w:val="none" w:sz="0" w:space="0" w:color="auto"/>
        <w:right w:val="none" w:sz="0" w:space="0" w:color="auto"/>
      </w:divBdr>
    </w:div>
    <w:div w:id="1230070599">
      <w:bodyDiv w:val="1"/>
      <w:marLeft w:val="0"/>
      <w:marRight w:val="0"/>
      <w:marTop w:val="0"/>
      <w:marBottom w:val="0"/>
      <w:divBdr>
        <w:top w:val="none" w:sz="0" w:space="0" w:color="auto"/>
        <w:left w:val="none" w:sz="0" w:space="0" w:color="auto"/>
        <w:bottom w:val="none" w:sz="0" w:space="0" w:color="auto"/>
        <w:right w:val="none" w:sz="0" w:space="0" w:color="auto"/>
      </w:divBdr>
    </w:div>
    <w:div w:id="1488786092">
      <w:bodyDiv w:val="1"/>
      <w:marLeft w:val="0"/>
      <w:marRight w:val="0"/>
      <w:marTop w:val="0"/>
      <w:marBottom w:val="0"/>
      <w:divBdr>
        <w:top w:val="none" w:sz="0" w:space="0" w:color="auto"/>
        <w:left w:val="none" w:sz="0" w:space="0" w:color="auto"/>
        <w:bottom w:val="none" w:sz="0" w:space="0" w:color="auto"/>
        <w:right w:val="none" w:sz="0" w:space="0" w:color="auto"/>
      </w:divBdr>
    </w:div>
    <w:div w:id="1715227157">
      <w:bodyDiv w:val="1"/>
      <w:marLeft w:val="0"/>
      <w:marRight w:val="0"/>
      <w:marTop w:val="0"/>
      <w:marBottom w:val="0"/>
      <w:divBdr>
        <w:top w:val="none" w:sz="0" w:space="0" w:color="auto"/>
        <w:left w:val="none" w:sz="0" w:space="0" w:color="auto"/>
        <w:bottom w:val="none" w:sz="0" w:space="0" w:color="auto"/>
        <w:right w:val="none" w:sz="0" w:space="0" w:color="auto"/>
      </w:divBdr>
    </w:div>
    <w:div w:id="18431608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header" Target="header8.xml"/><Relationship Id="rId3" Type="http://schemas.openxmlformats.org/officeDocument/2006/relationships/customXml" Target="../customXml/item3.xml"/><Relationship Id="rId21" Type="http://schemas.openxmlformats.org/officeDocument/2006/relationships/footer" Target="footer4.xml"/><Relationship Id="rId34" Type="http://schemas.microsoft.com/office/2011/relationships/commentsExtended" Target="commentsExtended.xml"/><Relationship Id="rId7" Type="http://schemas.microsoft.com/office/2007/relationships/stylesWithEffects" Target="stylesWithEffects.xml"/><Relationship Id="rId12" Type="http://schemas.openxmlformats.org/officeDocument/2006/relationships/image" Target="media/image1.emf"/><Relationship Id="rId17" Type="http://schemas.openxmlformats.org/officeDocument/2006/relationships/header" Target="header3.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29"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footer" Target="footer6.xm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6.xml"/><Relationship Id="rId28" Type="http://schemas.openxmlformats.org/officeDocument/2006/relationships/footer" Target="footer8.xml"/><Relationship Id="rId10" Type="http://schemas.openxmlformats.org/officeDocument/2006/relationships/footnotes" Target="footnotes.xml"/><Relationship Id="rId19" Type="http://schemas.openxmlformats.org/officeDocument/2006/relationships/header" Target="header4.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footer" Target="footer5.xml"/><Relationship Id="rId27" Type="http://schemas.openxmlformats.org/officeDocument/2006/relationships/footer" Target="footer7.xml"/><Relationship Id="rId30" Type="http://schemas.openxmlformats.org/officeDocument/2006/relationships/footer" Target="footer9.xml"/><Relationship Id="rId35" Type="http://schemas.microsoft.com/office/2011/relationships/people" Target="people.xml"/></Relationships>
</file>

<file path=word/_rels/footnotes.xml.rels><?xml version="1.0" encoding="UTF-8" standalone="yes"?>
<Relationships xmlns="http://schemas.openxmlformats.org/package/2006/relationships"><Relationship Id="rId8" Type="http://schemas.openxmlformats.org/officeDocument/2006/relationships/hyperlink" Target="http://eur-lex.europa.eu/legal-content/RO/TXT/?qid=1447773803386&amp;uri=CELEX%3A52015DC0192" TargetMode="External"/><Relationship Id="rId13" Type="http://schemas.openxmlformats.org/officeDocument/2006/relationships/hyperlink" Target="http://www.europarl.europa.eu/sides/getDoc.do?pubRef=-//EP//TEXT+TA+P7-TA-2011-0436+0+DOC+XML+V0//RO" TargetMode="External"/><Relationship Id="rId18" Type="http://schemas.openxmlformats.org/officeDocument/2006/relationships/hyperlink" Target="http://www.consilium.europa.eu/press-releases-pdf/2016/5/47244641288_en.pdf" TargetMode="External"/><Relationship Id="rId3" Type="http://schemas.openxmlformats.org/officeDocument/2006/relationships/hyperlink" Target="https://ec.europa.eu/taxation_customs/sites/taxation/files/com_2016_148_ro.pdf" TargetMode="External"/><Relationship Id="rId7" Type="http://schemas.openxmlformats.org/officeDocument/2006/relationships/hyperlink" Target="https://ec.europa.eu/taxation_customs/sites/taxation/files/com_2016_758_en.pdf" TargetMode="External"/><Relationship Id="rId12" Type="http://schemas.openxmlformats.org/officeDocument/2006/relationships/hyperlink" Target="https://ec.europa.eu/taxation_customs/sites/taxation/files/com_2016_811_en.pdf" TargetMode="External"/><Relationship Id="rId17" Type="http://schemas.openxmlformats.org/officeDocument/2006/relationships/hyperlink" Target="http://www.europarl.europa.eu/sides/getDoc.do?pubRef=-//EP//TEXT+TA+P8-TA-2016-0453+0+DOC+XML+V0//RO" TargetMode="External"/><Relationship Id="rId2" Type="http://schemas.openxmlformats.org/officeDocument/2006/relationships/hyperlink" Target="https://ec.europa.eu/taxation_customs/sites/taxation/files/docs/body/2016-03_20_measures_en.pdf" TargetMode="External"/><Relationship Id="rId16" Type="http://schemas.openxmlformats.org/officeDocument/2006/relationships/hyperlink" Target="http://ec.europa.eu/taxation_customs/vies/" TargetMode="External"/><Relationship Id="rId1" Type="http://schemas.openxmlformats.org/officeDocument/2006/relationships/hyperlink" Target="https://ec.europa.eu/taxation_customs/sites/taxation/files/study_and_reports_on_the_vat_gap_2017.pdf" TargetMode="External"/><Relationship Id="rId6" Type="http://schemas.openxmlformats.org/officeDocument/2006/relationships/hyperlink" Target="https://ec.europa.eu/taxation_customs/sites/taxation/files/com_2016_755_en.pdf" TargetMode="External"/><Relationship Id="rId11" Type="http://schemas.openxmlformats.org/officeDocument/2006/relationships/hyperlink" Target="http://www.consilium.europa.eu/ro/press/press-releases/2017/06/08-eppo/" TargetMode="External"/><Relationship Id="rId5" Type="http://schemas.openxmlformats.org/officeDocument/2006/relationships/hyperlink" Target="https://ec.europa.eu/taxation_customs/sites/taxation/files/com_2016_756_en.pdf" TargetMode="External"/><Relationship Id="rId15" Type="http://schemas.openxmlformats.org/officeDocument/2006/relationships/hyperlink" Target="http://data.consilium.europa.eu/doc/document/ST-14257-2016-INIT/ro/pdf" TargetMode="External"/><Relationship Id="rId10" Type="http://schemas.openxmlformats.org/officeDocument/2006/relationships/hyperlink" Target="https://ec.europa.eu/taxation_customs/sites/taxation/files/docs/body/2011-02-07_eurofisc_pressrelease_en.pdf" TargetMode="External"/><Relationship Id="rId19" Type="http://schemas.openxmlformats.org/officeDocument/2006/relationships/hyperlink" Target="http://www.eca.europa.eu/Lists/ECADocuments/SR15_24/SR_VAT_FRAUD_RO.pdf" TargetMode="External"/><Relationship Id="rId4" Type="http://schemas.openxmlformats.org/officeDocument/2006/relationships/hyperlink" Target="https://ec.europa.eu/taxation_customs/sites/taxation/files/com_2016_757_en.pdf" TargetMode="External"/><Relationship Id="rId9" Type="http://schemas.openxmlformats.org/officeDocument/2006/relationships/hyperlink" Target="http://eur-lex.europa.eu/legal-content/EN/TXT/?uri=CELEX:32012D0706(02)" TargetMode="External"/><Relationship Id="rId14" Type="http://schemas.openxmlformats.org/officeDocument/2006/relationships/hyperlink" Target="http://europa.eu/rapid/press-release_PRES-12-198_ro.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EC_Collab_Reference xmlns="bdf60e78-a03e-437e-9717-7369c04d4e42" xsi:nil="true"/>
    <EC_Collab_DocumentLanguage xmlns="bdf60e78-a03e-437e-9717-7369c04d4e42">EN</EC_Collab_DocumentLanguage>
    <EC_Collab_Status xmlns="bdf60e78-a03e-437e-9717-7369c04d4e42">Not Started</EC_Collab_Statu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EC Document" ma:contentTypeID="0x010100258AA79CEB83498886A3A0868112325000CD4CDFEEBEDF764FAB126859C09062E8" ma:contentTypeVersion="1" ma:contentTypeDescription="Create a new document in this library." ma:contentTypeScope="" ma:versionID="5008c6496899bed68a2b3cc65a3af05f">
  <xsd:schema xmlns:xsd="http://www.w3.org/2001/XMLSchema" xmlns:xs="http://www.w3.org/2001/XMLSchema" xmlns:p="http://schemas.microsoft.com/office/2006/metadata/properties" xmlns:ns3="bdf60e78-a03e-437e-9717-7369c04d4e42" targetNamespace="http://schemas.microsoft.com/office/2006/metadata/properties" ma:root="true" ma:fieldsID="2238814e938f334923e4ada7bea32c07" ns3:_="">
    <xsd:import namespace="bdf60e78-a03e-437e-9717-7369c04d4e42"/>
    <xsd:element name="properties">
      <xsd:complexType>
        <xsd:sequence>
          <xsd:element name="documentManagement">
            <xsd:complexType>
              <xsd:all>
                <xsd:element ref="ns3:EC_Collab_Reference" minOccurs="0"/>
                <xsd:element ref="ns3:EC_Collab_DocumentLanguage"/>
                <xsd:element ref="ns3:EC_Collab_Status"/>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f60e78-a03e-437e-9717-7369c04d4e42"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3"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4" ma:displayName="EC Status" ma:default="Not Started"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75EA19-CB2E-4970-874D-54722D50012B}">
  <ds:schemaRefs>
    <ds:schemaRef ds:uri="http://schemas.microsoft.com/office/2006/metadata/properties"/>
    <ds:schemaRef ds:uri="http://schemas.microsoft.com/office/infopath/2007/PartnerControls"/>
    <ds:schemaRef ds:uri="bdf60e78-a03e-437e-9717-7369c04d4e42"/>
  </ds:schemaRefs>
</ds:datastoreItem>
</file>

<file path=customXml/itemProps2.xml><?xml version="1.0" encoding="utf-8"?>
<ds:datastoreItem xmlns:ds="http://schemas.openxmlformats.org/officeDocument/2006/customXml" ds:itemID="{52513DAF-F3C7-4A14-BDAC-ED55AAD4A661}">
  <ds:schemaRefs>
    <ds:schemaRef ds:uri="http://schemas.microsoft.com/sharepoint/v3/contenttype/forms"/>
  </ds:schemaRefs>
</ds:datastoreItem>
</file>

<file path=customXml/itemProps3.xml><?xml version="1.0" encoding="utf-8"?>
<ds:datastoreItem xmlns:ds="http://schemas.openxmlformats.org/officeDocument/2006/customXml" ds:itemID="{AA29D3DA-5485-44FB-A131-ADB48C3053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f60e78-a03e-437e-9717-7369c04d4e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F86B6C8-C9FF-4470-B597-D2B40D9238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13</Pages>
  <Words>3733</Words>
  <Characters>21469</Characters>
  <Application>Microsoft Office Word</Application>
  <DocSecurity>0</DocSecurity>
  <Lines>335</Lines>
  <Paragraphs>111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25091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DIGIT/A3</cp:lastModifiedBy>
  <cp:revision>18</cp:revision>
  <cp:lastPrinted>2017-09-29T09:32:00Z</cp:lastPrinted>
  <dcterms:created xsi:type="dcterms:W3CDTF">2017-10-02T15:07:00Z</dcterms:created>
  <dcterms:modified xsi:type="dcterms:W3CDTF">2017-10-13T08:20:00Z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Classification">
    <vt:lpwstr> </vt:lpwstr>
  </property>
  <property fmtid="{D5CDD505-2E9C-101B-9397-08002B2CF9AE}" pid="5" name="ContentTypeId">
    <vt:lpwstr>0x010100258AA79CEB83498886A3A0868112325000CD4CDFEEBEDF764FAB126859C09062E8</vt:lpwstr>
  </property>
  <property fmtid="{D5CDD505-2E9C-101B-9397-08002B2CF9AE}" pid="6" name="DocStatus">
    <vt:lpwstr>Green</vt:lpwstr>
  </property>
</Properties>
</file>