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B6FD3A85-D1B0-4F96-A099-67B712C72838" style="width:450.85pt;height:306.8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26"/>
        </w:sectPr>
      </w:pPr>
    </w:p>
    <w:p>
      <w:pPr>
        <w:pStyle w:val="Heading1"/>
        <w:rPr>
          <w:noProof/>
        </w:rPr>
      </w:pPr>
      <w:bookmarkStart w:id="1" w:name="_GoBack"/>
      <w:bookmarkEnd w:id="1"/>
      <w:r>
        <w:rPr>
          <w:noProof/>
        </w:rPr>
        <w:lastRenderedPageBreak/>
        <w:t>Consolidarea pieței unice pentru mărfuri</w:t>
      </w:r>
    </w:p>
    <w:p>
      <w:pPr>
        <w:pStyle w:val="Text1"/>
        <w:rPr>
          <w:noProof/>
        </w:rPr>
      </w:pPr>
      <w:r>
        <w:rPr>
          <w:noProof/>
        </w:rPr>
        <w:t>Piața unică a mărfurilor este una dintre cele mai importante realizări ale Uniunii Europene. Vom sărbători cea de a 25-a aniversare a sa în 2018. Ea se bazează pe încredere între consumatori, companii și autorități. Consumatorii trebuie să aibă încredere că produsele pe care le cumpără și le folosesc sunt sigure. Întreprinderile trebuie să poată avea încredere că există condiții de concurență echitabile astfel încât normele să se aplice tuturor și să îi protejeze pe toți în mod egal. În special întreprinderile mici și mijlocii (IMM-urile) ar trebui să fie scutite de birocrație, pentru a promova antreprenoriatul și crearea de locuri de muncă. Climatul de încredere a permis integrarea fără precedent a piețelor în interiorul UE și a fost și continuă să fie o piatră de temelie a creșterii economice. Numai valoarea adăugată a industriei a crescut, în termeni reali,cu 25 % în UE27 (23 % în UE28) începând din 2009. Drept urmare, cota sa ca proporție din economie a crescut semnificativ din 2009 de la 15,5 % (14,7 % în UE28) la 17,1 % (16,1 % în UE28) în prezent</w:t>
      </w:r>
      <w:r>
        <w:rPr>
          <w:rStyle w:val="FootnoteReference"/>
          <w:noProof/>
        </w:rPr>
        <w:footnoteReference w:id="2"/>
      </w:r>
      <w:r>
        <w:rPr>
          <w:noProof/>
        </w:rPr>
        <w:t>.</w:t>
      </w:r>
    </w:p>
    <w:p>
      <w:pPr>
        <w:pStyle w:val="Text1"/>
        <w:rPr>
          <w:noProof/>
        </w:rPr>
      </w:pPr>
      <w:r>
        <w:rPr>
          <w:noProof/>
        </w:rPr>
        <w:t>Astfel cum se subliniază în strategia pentru piața unică</w:t>
      </w:r>
      <w:r>
        <w:rPr>
          <w:rStyle w:val="FootnoteReference"/>
          <w:noProof/>
        </w:rPr>
        <w:footnoteReference w:id="3"/>
      </w:r>
      <w:r>
        <w:rPr>
          <w:noProof/>
        </w:rPr>
        <w:t xml:space="preserve">, UE și piața unică trebuie să se adapteze la un mediu în schimbare. Obstacolele de pe piețele de produse și servicii afectează eficiența, productivitatea și competitivitatea economiei europene. Deseori, întreprinderile se simt sufocate de reglementări depășite și excesiv de împovărătoare și nu reușesc să obțină informațiile de care au nevoie. De asemenea, nerespectarea normelor UE privind produsele împiedică crearea unor condiții de concurență cu adevărat echitabile. </w:t>
      </w:r>
    </w:p>
    <w:p>
      <w:pPr>
        <w:pStyle w:val="Text1"/>
        <w:rPr>
          <w:noProof/>
        </w:rPr>
      </w:pPr>
      <w:r>
        <w:rPr>
          <w:noProof/>
        </w:rPr>
        <w:t>Atât Parlamentul European, cât și Consiliul European au sprijinit obiectivele Strategiei privind piața unică și au solicitat Comisiei să elimine obstacolele rămase și să faciliteze găsirea de soluții</w:t>
      </w:r>
      <w:r>
        <w:rPr>
          <w:rStyle w:val="FootnoteReference"/>
          <w:noProof/>
        </w:rPr>
        <w:footnoteReference w:id="4"/>
      </w:r>
      <w:r>
        <w:rPr>
          <w:noProof/>
        </w:rPr>
        <w:t>. Conform Agendei Liderilor, Consiliul European va trece în revistă progresele înregistrate, în vederea respectării termenelor din 2018 ale strategiilor privind piața unică în martie 2018</w:t>
      </w:r>
      <w:r>
        <w:rPr>
          <w:rStyle w:val="FootnoteReference"/>
          <w:noProof/>
        </w:rPr>
        <w:footnoteReference w:id="5"/>
      </w:r>
      <w:r>
        <w:rPr>
          <w:noProof/>
        </w:rPr>
        <w:t>.</w:t>
      </w:r>
    </w:p>
    <w:p>
      <w:pPr>
        <w:pStyle w:val="Text1"/>
        <w:rPr>
          <w:noProof/>
        </w:rPr>
      </w:pPr>
      <w:r>
        <w:rPr>
          <w:noProof/>
        </w:rPr>
        <w:t xml:space="preserve">În ceea ce privește piața unică a mărfurilor mai există încă două deficiențe structurale care trebuie să fie soluționate rapid pentru a-i valorifica pe deplin potențialul și pentru a justifica climatul de încredere. Potențialul există, consumatorii, companiile și autoritățile sunt pregătite; trebuie doar să creăm mediul necesar pentru ca aceasta să funcționeze. </w:t>
      </w:r>
    </w:p>
    <w:p>
      <w:pPr>
        <w:pStyle w:val="Text1"/>
        <w:rPr>
          <w:noProof/>
        </w:rPr>
      </w:pPr>
      <w:r>
        <w:rPr>
          <w:noProof/>
        </w:rPr>
        <w:t xml:space="preserve">Prima deficiență structurală a pieței unice a mărfurilor se referă la respectarea aplicării normelor de siguranță a produselor armonizate la nivelul UE. În pofida normelor de securitate stricte, există încă prea multe produse nesigure și ilegale pe piață. Aceste produse sunt sursa unor pericole majore pentru consumatori. Aceștia nu obțin un raport bun calitate-preț și pot fi expuși la riscuri pentru sănătate. O lipsă a asigurării aplicării normelor UE privind produsele nu ar trebui să conducă la un avantaj nejustificat pentru cei care încearcă în mod deliberat să eludeze normele esențiale privind siguranța. Comisia a adoptat recent măsuri de îmbunătățire a </w:t>
      </w:r>
      <w:r>
        <w:rPr>
          <w:noProof/>
        </w:rPr>
        <w:lastRenderedPageBreak/>
        <w:t>asigurării aplicării legislației în lupta împotriva încălcării drepturilor de proprietate intelectuală</w:t>
      </w:r>
      <w:r>
        <w:rPr>
          <w:rStyle w:val="FootnoteReference"/>
          <w:noProof/>
        </w:rPr>
        <w:footnoteReference w:id="6"/>
      </w:r>
      <w:r>
        <w:rPr>
          <w:noProof/>
        </w:rPr>
        <w:t xml:space="preserve">. Însă este momentul să se depună mai multe eforturi pentru a asigura conformitatea. Pe o piață de dimensiunea pieței unice, autoritățile de aplicare a legii din statele membre trebuie să coopereze unele cu altele pentru a elimina de pe piață produsele nesigure într-o manieră rapidă și eficientă. </w:t>
      </w:r>
    </w:p>
    <w:p>
      <w:pPr>
        <w:pStyle w:val="Text1"/>
        <w:rPr>
          <w:noProof/>
        </w:rPr>
      </w:pPr>
      <w:r>
        <w:rPr>
          <w:noProof/>
        </w:rPr>
        <w:t>A doua deficiență structurală se referă la produse care nu intră sub incidența normelor UE privind siguranța produselor armonizate sau care fac obiectul acestor norme doar parțial, de exemplu în domeniul articolelor de mobilier, al veselei de masă sau al anumitor produse pentru construcții. Astfel de produse pot fi considerate sigure și în conformitate cu interesul public într-un stat membru, dar se pot confrunta cu dificultăți legate de accesul pe piață în alt stat membru. Pot exista diferențe legitime ca urmare a particularităților naționale. Cu toate acestea, orice refuz trebuie să fie justificat și explicat în mod corespunzător pe baza unor considerații de politică publică. Ar trebui să se ofere asistență pentru o mai bună înțelegere și, în cele din urmă, pentru depășirea obstacolelor de acces pe piață pentru aceste produse. Oportunitățile de afaceri, acest lucru fiind în special relevant pentru IMM-uri, trebuie îmbunătățite.</w:t>
      </w:r>
    </w:p>
    <w:p>
      <w:pPr>
        <w:pStyle w:val="Text1"/>
        <w:rPr>
          <w:noProof/>
        </w:rPr>
      </w:pPr>
      <w:r>
        <w:rPr>
          <w:noProof/>
        </w:rPr>
        <w:t>Prin urmare, Comisia propune astăzi un așa-numit „pachet privind mărfurile”, care va aborda în mod cuprinzător aceste deficiențe, pentru o mai bună funcționare a pieței unice a mărfurilor. Acesta conține două propuneri legislative ambițioase. Prima urmărește să consolideze respectarea și asigurarea aplicării normelor UE privind produsele</w:t>
      </w:r>
      <w:r>
        <w:rPr>
          <w:noProof/>
          <w:vertAlign w:val="superscript"/>
        </w:rPr>
        <w:footnoteReference w:id="7"/>
      </w:r>
      <w:r>
        <w:rPr>
          <w:noProof/>
        </w:rPr>
        <w:t>. A doua intenționează să restructureze și să faciliteze utilizarea recunoașterii reciproce în cadrul pieței unice</w:t>
      </w:r>
      <w:r>
        <w:rPr>
          <w:noProof/>
          <w:vertAlign w:val="superscript"/>
        </w:rPr>
        <w:footnoteReference w:id="8"/>
      </w:r>
      <w:r>
        <w:rPr>
          <w:noProof/>
        </w:rPr>
        <w:t>. „Pachetul privind mărfurile” este completat de un raport asupra funcționării Directivei (UE) 2015/1535 referitoare la procedura de furnizare de informații în domeniul reglementărilor tehnice și al normelor privind serviciile societății informaționale din 2014 până în 2015</w:t>
      </w:r>
      <w:r>
        <w:rPr>
          <w:noProof/>
          <w:vertAlign w:val="superscript"/>
        </w:rPr>
        <w:footnoteReference w:id="9"/>
      </w:r>
      <w:r>
        <w:rPr>
          <w:noProof/>
        </w:rPr>
        <w:t>, un raport privind punerea în aplicare a Regulamentului (CE) nr. 765/2008</w:t>
      </w:r>
      <w:r>
        <w:rPr>
          <w:noProof/>
          <w:vertAlign w:val="superscript"/>
        </w:rPr>
        <w:footnoteReference w:id="10"/>
      </w:r>
      <w:r>
        <w:rPr>
          <w:noProof/>
        </w:rPr>
        <w:t>, precum și instrumente juridice neobligatorii prezentate în prezenta comunicare care vizează consolidarea încrederii în piața unică.</w:t>
      </w:r>
    </w:p>
    <w:p>
      <w:pPr>
        <w:pStyle w:val="Heading1"/>
        <w:rPr>
          <w:noProof/>
        </w:rPr>
      </w:pPr>
      <w:r>
        <w:rPr>
          <w:noProof/>
        </w:rPr>
        <w:t>Încrederea în punerea în aplicare a normelor UE privind produsele</w:t>
      </w:r>
    </w:p>
    <w:p>
      <w:pPr>
        <w:pStyle w:val="Text1"/>
        <w:rPr>
          <w:noProof/>
        </w:rPr>
      </w:pPr>
      <w:r>
        <w:rPr>
          <w:noProof/>
        </w:rPr>
        <w:t>Siguranța consumatorilor și protecția mediului sunt pietrele de temelie ale pieței unice a mărfurilor. La nivelul UE, am convenit cu privire la norme de siguranță și de mediu comune, deoarece ne protejează împotriva riscurilor privind siguranța, poluării și daunelor aduse mediului. Cu toate acestea, numeroși consumatori au fost cu bună știință și în mod deliberat induși în eroare atunci când au cumpărat un autoturism diesel. Din păcate, autoturismele nu au fost singurele produse în cazul cărora a existat o concurență neloială prin eludarea normelor. Un număr mare de produse nesigure sunt vândute în Europa în fiecare zi. Acestea variază de la produse etichetate greșit la produse care prezintă riscuri grave pentru sănătate sau pentru mediu.</w:t>
      </w:r>
      <w:r>
        <w:rPr>
          <w:rStyle w:val="FootnoteReference"/>
          <w:noProof/>
        </w:rPr>
        <w:t xml:space="preserve"> </w:t>
      </w:r>
      <w:r>
        <w:rPr>
          <w:noProof/>
        </w:rPr>
        <w:t>Între 2011 și 2017, s-au înregistrat un număr de 2 500 de incidente în care produsele ilegale au trebuit să fie retrase de pe piață</w:t>
      </w:r>
      <w:r>
        <w:rPr>
          <w:rStyle w:val="FootnoteReference"/>
          <w:noProof/>
        </w:rPr>
        <w:footnoteReference w:id="11"/>
      </w:r>
      <w:r>
        <w:rPr>
          <w:noProof/>
        </w:rPr>
        <w:t>. Și acest lucru este probabil vârful icebergului.</w:t>
      </w:r>
    </w:p>
    <w:p>
      <w:pPr>
        <w:pStyle w:val="Text1"/>
        <w:rPr>
          <w:noProof/>
        </w:rPr>
      </w:pPr>
      <w:r>
        <w:rPr>
          <w:noProof/>
        </w:rPr>
        <w:t>Normele UE privind produsele acoperă o mare parte din produsele fabricate în UE. Acestea au o valoare de 2 400 de miliarde EUR și sunt produse sau distribuite de aproximativ 5 milioane de întreprinderi. Normele UE permit produselor să circule liber în întreaga Uniune, asigurând în același timp un nivel înalt de protecție a mediului, a sănătății și a siguranței. În cazul mai multor sectoare, cum ar fi jucăriile și echipamentele electrice, UE dispune de modalități nebirocratice simplificate pentru permiterea accesului pe piață. Pentru ca piața unică să funcționeze, sunt necesare condiții de concurență echitabile pentru întreprinderi, cu norme clare și un nivel ridicat de protecție a consumatorilor.</w:t>
      </w:r>
      <w:r>
        <w:rPr>
          <w:rStyle w:val="FootnoteReference"/>
          <w:noProof/>
        </w:rPr>
        <w:t xml:space="preserve"> </w:t>
      </w:r>
      <w:r>
        <w:rPr>
          <w:noProof/>
        </w:rPr>
        <w:t>Încrederea și condițiile de concurență echitabile există deja în alte sectoare, cum ar fi produsele alimentare, sănătatea plantelor sau sănătatea animală, pe baza normelor stricte convenite la nivelul UE.</w:t>
      </w:r>
    </w:p>
    <w:p>
      <w:pPr>
        <w:pStyle w:val="Text1"/>
        <w:rPr>
          <w:noProof/>
        </w:rPr>
      </w:pPr>
      <w:r>
        <w:rPr>
          <w:noProof/>
        </w:rPr>
        <w:t>De asemenea, trăim într-o lume din ce în ce mai afectată de schimbările societale, cum ar fi globalizarea și digitalizarea. Produsele și lanțurile de distribuție din întreaga UE sunt din ce în ce mai interconectate. Pe de altă parte, autoritățile naționale de supraveghere a pieței nu dispun de resursele necesare și sunt limitate la teritoriul lor național. Avem nevoie de o perspectivă europeană pentru respectarea aplicării legii. De prea multe ori, investigațiile lansate într-un stat membru se opresc la frontierele naționale. Pentru a soluționa această discrepanță, supravegherea pieței trebuie să fie coerentă, indiferent dacă produsul este fabricat în afara sau în interiorul UE sau dacă este comercializat online sau offline.</w:t>
      </w:r>
    </w:p>
    <w:p>
      <w:pPr>
        <w:pStyle w:val="Text1"/>
        <w:rPr>
          <w:noProof/>
        </w:rPr>
      </w:pPr>
      <w:r>
        <w:rPr>
          <w:noProof/>
        </w:rPr>
        <w:t>În conformitate cu alte inițiative ale UE, cum ar fi strategia privind politica industrială</w:t>
      </w:r>
      <w:r>
        <w:rPr>
          <w:rStyle w:val="FootnoteReference"/>
          <w:noProof/>
        </w:rPr>
        <w:footnoteReference w:id="12"/>
      </w:r>
      <w:r>
        <w:rPr>
          <w:noProof/>
        </w:rPr>
        <w:t>, Strategia privind piața unică digitală</w:t>
      </w:r>
      <w:r>
        <w:rPr>
          <w:rStyle w:val="FootnoteReference"/>
          <w:noProof/>
        </w:rPr>
        <w:footnoteReference w:id="13"/>
      </w:r>
      <w:r>
        <w:rPr>
          <w:noProof/>
        </w:rPr>
        <w:t xml:space="preserve"> și evaluarea sa intermediară</w:t>
      </w:r>
      <w:r>
        <w:rPr>
          <w:rStyle w:val="FootnoteReference"/>
          <w:noProof/>
        </w:rPr>
        <w:footnoteReference w:id="14"/>
      </w:r>
      <w:r>
        <w:rPr>
          <w:noProof/>
        </w:rPr>
        <w:t xml:space="preserve"> și planul de acțiune pentru managementul vamal</w:t>
      </w:r>
      <w:r>
        <w:rPr>
          <w:rStyle w:val="FootnoteReference"/>
          <w:noProof/>
        </w:rPr>
        <w:footnoteReference w:id="15"/>
      </w:r>
      <w:r>
        <w:rPr>
          <w:noProof/>
        </w:rPr>
        <w:t xml:space="preserve">, Comisia propune, prin urmare, să accelereze </w:t>
      </w:r>
      <w:r>
        <w:rPr>
          <w:b/>
          <w:noProof/>
        </w:rPr>
        <w:t>asigurarea aplicării normelor de siguranță comune la nivelul UE</w:t>
      </w:r>
      <w:r>
        <w:rPr>
          <w:noProof/>
        </w:rPr>
        <w:t>. Consumatorii trebuie să își recapete încrederea că produsele pe care le cumpără online sau offline sunt sigure. În cazul în care apar probleme, este necesar să avem un cadru adecvat pentru a aborda riscurile și pentru a restabili condiții de concurență echitabile.</w:t>
      </w:r>
    </w:p>
    <w:p>
      <w:pPr>
        <w:pStyle w:val="Text1"/>
        <w:rPr>
          <w:noProof/>
        </w:rPr>
      </w:pPr>
      <w:r>
        <w:rPr>
          <w:noProof/>
        </w:rPr>
        <w:t>Piața unică a bunurilor se referă la crearea de oportunități economice, la stimularea competitivității și la luarea de măsuri pentru ca UE să poată face față provocărilor unei economii globale În același timp, după cum s-a subliniat în documentul de reflecție al Comisiei privind valorificarea oportunităților globalizării, UE trebuie să acționeze și să restabilească condiții de concurență echitabile cu o aplicare riguroasă a normelor UE</w:t>
      </w:r>
      <w:r>
        <w:rPr>
          <w:rStyle w:val="FootnoteReference"/>
          <w:noProof/>
        </w:rPr>
        <w:footnoteReference w:id="16"/>
      </w:r>
      <w:r>
        <w:rPr>
          <w:noProof/>
        </w:rPr>
        <w:t>. În cadrul unei piețe unice deschise, normele au rolul de a proteja siguranța cetățenilor UE. Ea nu poate funcționa bine dacă nu se poate garanta un nivel ridicat de încredere în această protecție. Respectarea riguroasă a punerii în aplicare a legislației este esențială pentru a se asigura că există concurență între produse conforme, și nu între produse conforme și produse neconforme.</w:t>
      </w:r>
    </w:p>
    <w:p>
      <w:pPr>
        <w:pStyle w:val="Text1"/>
        <w:ind w:left="1200" w:hanging="718"/>
        <w:rPr>
          <w:b/>
          <w:noProof/>
        </w:rPr>
      </w:pPr>
      <w:r>
        <w:rPr>
          <w:b/>
          <w:noProof/>
        </w:rPr>
        <w:t>a)</w:t>
      </w:r>
      <w:r>
        <w:rPr>
          <w:noProof/>
        </w:rPr>
        <w:tab/>
      </w:r>
      <w:r>
        <w:rPr>
          <w:b/>
          <w:noProof/>
          <w:u w:val="single"/>
        </w:rPr>
        <w:t>Asigurarea într-un mod inteligent a respectării legislației în cadrul unei piețe unice fără frontiere</w:t>
      </w:r>
      <w:r>
        <w:rPr>
          <w:b/>
          <w:noProof/>
        </w:rPr>
        <w:t xml:space="preserve"> </w:t>
      </w:r>
    </w:p>
    <w:p>
      <w:pPr>
        <w:pStyle w:val="Text1"/>
        <w:rPr>
          <w:noProof/>
        </w:rPr>
      </w:pPr>
      <w:r>
        <w:rPr>
          <w:noProof/>
        </w:rPr>
        <w:t>Supravegherea pieței cade în mod justificat în sarcina statelor membre. Acestea sunt cel mai bine plasate pentru a-și monitoriza piețele și a impune sancțiuni în caz de necesitate, deoarece ele sunt cele mai apropiate de orice incidente, sunt primele care reacționează și cele mai familiarizate cu economia lor națională.</w:t>
      </w:r>
    </w:p>
    <w:p>
      <w:pPr>
        <w:pStyle w:val="Text1"/>
        <w:rPr>
          <w:noProof/>
        </w:rPr>
      </w:pPr>
      <w:r>
        <w:rPr>
          <w:noProof/>
        </w:rPr>
        <w:t>Cu toate acestea, asigurarea aplicării legislației la nivel pur național este insuficientă. Există peste 500 de autorități diferite de supraveghere a pieței (de la 1 la peste 200 per stat membru), care controlează o singură piață unică pentru produse specifice. De cele mai multe ori, întreprinderile își au sediul într-un alt loc față de cel în care autoritatea de supraveghere a pieței detectează o problemă. Această situație generează dificultăți în ceea ce privește stabilirea legislației aplicabile și a jurisdicției, accesul la justiție și asigurarea aplicării deciziilor. În prezent, furnizorii necinstiți abuzează de această fragmentare a pieței, ceea ce este în detrimentul siguranței consumatorilor și a produselor.</w:t>
      </w:r>
    </w:p>
    <w:p>
      <w:pPr>
        <w:pStyle w:val="Text1"/>
        <w:rPr>
          <w:noProof/>
        </w:rPr>
      </w:pPr>
      <w:r>
        <w:rPr>
          <w:noProof/>
        </w:rPr>
        <w:t>În ciuda unei voințe de a acționa la nivel național, asigurarea respectării legii pe piața unică în cazul mărfurilor este adesea împiedicată de o deficiențe în materie de resurse (personal, buget, capacitatea de laborator), de coordonare și de schimb de informații. Comercianții necinstiți pot obține venituri din introducerea unor produse nesigure pe piață, însă autoritățile sunt cele care trebuie să plătească, de exemplu, pentru a distruge produsele nesigure. Într-o piață unică integrată a mărfurilor, activitatea autorităților naționale de a controla produsele nesigure trebuie, prin urmare, să fie mai bine coordonată, astfel încât comercianții necinstiți să nu se poată ascunde în spatele frontierelor și răspunsul în caz de neconformitate cu normele UE să fie uniform pe întreg teritoriul Uniunii.</w:t>
      </w:r>
    </w:p>
    <w:p>
      <w:pPr>
        <w:pStyle w:val="Text1"/>
        <w:rPr>
          <w:noProof/>
        </w:rPr>
      </w:pPr>
      <w:r>
        <w:rPr>
          <w:noProof/>
        </w:rPr>
        <w:t>Prin urmare, acest pachet reprezintă un pas important către o asigurare a aplicării legislației mai inteligentă, consolidând și venind în completarea, acolo unde este necesar, a legislației actuale și viitoare de armonizare a Uniunii</w:t>
      </w:r>
      <w:r>
        <w:rPr>
          <w:rStyle w:val="FootnoteReference"/>
          <w:noProof/>
        </w:rPr>
        <w:footnoteReference w:id="17"/>
      </w:r>
      <w:r>
        <w:rPr>
          <w:noProof/>
        </w:rPr>
        <w:t xml:space="preserve">: </w:t>
      </w:r>
    </w:p>
    <w:p>
      <w:pPr>
        <w:pStyle w:val="Text1"/>
        <w:rPr>
          <w:noProof/>
        </w:rPr>
      </w:pPr>
      <w:r>
        <w:rPr>
          <w:noProof/>
        </w:rPr>
        <w:t xml:space="preserve">Autoritățile responsabile cu asigurarea aplicării legislației vor colabora îndeaproape prin intermediul </w:t>
      </w:r>
      <w:r>
        <w:rPr>
          <w:b/>
          <w:noProof/>
        </w:rPr>
        <w:t>birourilor unice de legătură</w:t>
      </w:r>
      <w:r>
        <w:rPr>
          <w:noProof/>
        </w:rPr>
        <w:t>. Utilizarea unor elemente de probă, rapoarte de testare și decizii ale unui alt stat membru va deveni mai ușoară. Va exista o prezumție conform căreia dacă un produs care nu se conformează normelor UE privind produsele într-un stat membru, elementele de probă și deciziile pot fi transferate altui stat membru, pentru a facilita asigurarea aplicării legislației în întreaga UE.</w:t>
      </w:r>
    </w:p>
    <w:p>
      <w:pPr>
        <w:pStyle w:val="Text1"/>
        <w:rPr>
          <w:noProof/>
        </w:rPr>
      </w:pPr>
      <w:r>
        <w:rPr>
          <w:noProof/>
        </w:rPr>
        <w:t xml:space="preserve">Acțiunile împotriva produselor neconforme pot fi eficiente doar atunci când autoritățile </w:t>
      </w:r>
      <w:r>
        <w:rPr>
          <w:b/>
          <w:noProof/>
        </w:rPr>
        <w:t>fac un schimb mai extins de informații cu privire la anchete și produsele ilegale</w:t>
      </w:r>
      <w:r>
        <w:rPr>
          <w:noProof/>
        </w:rPr>
        <w:t>. Comisia va colabora mai intens în ceea ce privește asigurarea colectării în comun de informații de către autoritățile responsabile cu asigurarea aplicării legislației și convergența diferitelor instrumente informatice, cum ar fi Sistemul de alertă rapidă pentru produsele nealimentare periculoase (RAPEX) și Sistemul de informare și comunicare pentru supravegherea pieței (ICSMS), pentru a facilita desfășurarea de către autorități a activităților de asigurare a aplicării legislației.</w:t>
      </w:r>
    </w:p>
    <w:p>
      <w:pPr>
        <w:pStyle w:val="Text1"/>
        <w:rPr>
          <w:noProof/>
        </w:rPr>
      </w:pPr>
      <w:r>
        <w:rPr>
          <w:noProof/>
        </w:rPr>
        <w:t xml:space="preserve">În plus, </w:t>
      </w:r>
      <w:r>
        <w:rPr>
          <w:b/>
          <w:noProof/>
        </w:rPr>
        <w:t>indicatorii privind supravegherea pieței</w:t>
      </w:r>
      <w:r>
        <w:rPr>
          <w:noProof/>
        </w:rPr>
        <w:t xml:space="preserve"> fiabili ar trebui să asigure faptul că există o înțelegere comună a provocărilor cu care se confruntă supravegherea pieței.</w:t>
      </w:r>
    </w:p>
    <w:p>
      <w:pPr>
        <w:pStyle w:val="Text1"/>
        <w:rPr>
          <w:noProof/>
        </w:rPr>
      </w:pPr>
      <w:r>
        <w:rPr>
          <w:noProof/>
        </w:rPr>
        <w:t xml:space="preserve">Autoritățile naționale responsabile cu asigurarea aplicării legislației vor beneficia de mai mult sprijin pentru coordonarea și executarea sarcinilor lor. Se va institui o </w:t>
      </w:r>
      <w:r>
        <w:rPr>
          <w:b/>
          <w:noProof/>
        </w:rPr>
        <w:t>rețea a conformității produselor în Uniune</w:t>
      </w:r>
      <w:r>
        <w:rPr>
          <w:noProof/>
        </w:rPr>
        <w:t xml:space="preserve">. Această rețea va oferi sprijin administrativ pentru investigațiile comune necesare cu scopul de a coordona acțiunile de asigurare a aplicării legislației desfășurate de peste 500 de autorități naționale. Rețeaua va permite autorităților să pună în comun cunoștințe, să organizeze schimburi de funcționari, să elaboreze un tablou comun al informațiilor și să creeze metode eficiente pentru controale mai bine orientate și bazate pe riscuri. De asemenea, aceasta va oferi un standard de formare pentru inspectori și asistență la achiziționarea în comun a capacității de testare a produselor. Rețeaua va injecta supravegherea pieței cu o perspectivă europeană comună, necesară de altfel într-o piață europeană comună. Cu toate acestea, principiul subsidiarității va fi respectat pe deplin. Autoritățile naționale de supraveghere a pieței vor asigura aplicarea unor decizii concrete de către comercianți. </w:t>
      </w:r>
    </w:p>
    <w:p>
      <w:pPr>
        <w:pStyle w:val="Text1"/>
        <w:rPr>
          <w:noProof/>
        </w:rPr>
      </w:pPr>
      <w:r>
        <w:rPr>
          <w:b/>
          <w:noProof/>
        </w:rPr>
        <w:t>O cooperare mai strânsă între întreprinderi și autoritățile responsabile cu asigurarea aplicării legislației</w:t>
      </w:r>
      <w:r>
        <w:rPr>
          <w:noProof/>
        </w:rPr>
        <w:t xml:space="preserve"> este, de asemenea, esențială. Ambele părți trebuie să dea dovadă de încredere reciprocă. Se au în vedere următoarele componente ale unei cooperări mai strânse:</w:t>
      </w:r>
    </w:p>
    <w:p>
      <w:pPr>
        <w:pStyle w:val="Text1"/>
        <w:numPr>
          <w:ilvl w:val="0"/>
          <w:numId w:val="39"/>
        </w:numPr>
        <w:rPr>
          <w:noProof/>
        </w:rPr>
      </w:pPr>
      <w:r>
        <w:rPr>
          <w:noProof/>
        </w:rPr>
        <w:t>Informații privind conformitatea: Producătorii consideră că ei ar trebui să fie primii care să fie contactați în cazul în care există indicii că produsele lor nu corespund normelor. În acest fel, ei pot interveni imediat, pot lămuri neînțelegerile și pot lua, dacă este cazul, măsuri corective. De asemenea, ei vor ști dacă produsul în cauză este vândut în altă parte. Majoritatea producătorilor care vând în Uniune au deja un reprezentant care poate fi contactat cu ușurință. Această bună practică va deveni obligatorie</w:t>
      </w:r>
      <w:r>
        <w:rPr>
          <w:rStyle w:val="FootnoteReference"/>
          <w:noProof/>
        </w:rPr>
        <w:footnoteReference w:id="18"/>
      </w:r>
      <w:r>
        <w:rPr>
          <w:noProof/>
        </w:rPr>
        <w:t>.</w:t>
      </w:r>
    </w:p>
    <w:p>
      <w:pPr>
        <w:pStyle w:val="Text1"/>
        <w:numPr>
          <w:ilvl w:val="0"/>
          <w:numId w:val="39"/>
        </w:numPr>
        <w:rPr>
          <w:noProof/>
        </w:rPr>
      </w:pPr>
      <w:r>
        <w:rPr>
          <w:noProof/>
        </w:rPr>
        <w:t xml:space="preserve">„Acordurile de parteneriat privind conformitatea” încheiate cu autoritățile lor locale le vor permite întreprinderilor să obțină consiliere cu privire la problemele de conformitate. </w:t>
      </w:r>
    </w:p>
    <w:p>
      <w:pPr>
        <w:pStyle w:val="Text1"/>
        <w:numPr>
          <w:ilvl w:val="0"/>
          <w:numId w:val="39"/>
        </w:numPr>
        <w:rPr>
          <w:noProof/>
        </w:rPr>
      </w:pPr>
      <w:r>
        <w:rPr>
          <w:noProof/>
        </w:rPr>
        <w:t>Întreprinderile și autoritățile pot încheia „memorandumuri de înțelegere” cu privire la proiecte comune pentru a identifica produsele neconforme</w:t>
      </w:r>
      <w:r>
        <w:rPr>
          <w:rStyle w:val="FootnoteReference"/>
          <w:noProof/>
        </w:rPr>
        <w:footnoteReference w:id="19"/>
      </w:r>
      <w:r>
        <w:rPr>
          <w:noProof/>
        </w:rPr>
        <w:t>.</w:t>
      </w:r>
    </w:p>
    <w:p>
      <w:pPr>
        <w:pStyle w:val="Text1"/>
        <w:numPr>
          <w:ilvl w:val="0"/>
          <w:numId w:val="39"/>
        </w:numPr>
        <w:rPr>
          <w:noProof/>
        </w:rPr>
      </w:pPr>
      <w:r>
        <w:rPr>
          <w:noProof/>
        </w:rPr>
        <w:t>Dat fiind că prevenirea și aplicarea legii sunt indisociabile, întreprinderile din UE și din întreaga lume pot solicita consiliere de la „punctele de informare despre produs”</w:t>
      </w:r>
      <w:r>
        <w:rPr>
          <w:rStyle w:val="FootnoteReference"/>
          <w:noProof/>
        </w:rPr>
        <w:footnoteReference w:id="20"/>
      </w:r>
      <w:r>
        <w:rPr>
          <w:noProof/>
        </w:rPr>
        <w:t xml:space="preserve">. </w:t>
      </w:r>
    </w:p>
    <w:p>
      <w:pPr>
        <w:pStyle w:val="Text1"/>
        <w:rPr>
          <w:noProof/>
        </w:rPr>
      </w:pPr>
      <w:r>
        <w:rPr>
          <w:noProof/>
        </w:rPr>
        <w:t xml:space="preserve">Pentru siguranța și buna funcționare a pieței unice, întreprinderile și consumatorii trebuie să cunoască normele și să dispună de informațiile de care au nevoie pentru a reacționa și a se adapta. </w:t>
      </w:r>
      <w:r>
        <w:rPr>
          <w:b/>
          <w:noProof/>
        </w:rPr>
        <w:t>Autoritățile de supraveghere a pieței vor trebui să își publice rezultatele</w:t>
      </w:r>
      <w:r>
        <w:rPr>
          <w:noProof/>
        </w:rPr>
        <w:t>, în special atunci când acestea limitează introducerea pe piață a anumitor produse.</w:t>
      </w:r>
    </w:p>
    <w:p>
      <w:pPr>
        <w:pStyle w:val="Text1"/>
        <w:ind w:left="1200" w:hanging="718"/>
        <w:rPr>
          <w:b/>
          <w:noProof/>
        </w:rPr>
      </w:pPr>
      <w:r>
        <w:rPr>
          <w:b/>
          <w:noProof/>
        </w:rPr>
        <w:t>b)</w:t>
      </w:r>
      <w:r>
        <w:rPr>
          <w:noProof/>
        </w:rPr>
        <w:tab/>
      </w:r>
      <w:r>
        <w:rPr>
          <w:b/>
          <w:noProof/>
          <w:u w:val="single"/>
        </w:rPr>
        <w:t>Asigurarea aplicării legislației la frontierele externe</w:t>
      </w:r>
    </w:p>
    <w:p>
      <w:pPr>
        <w:pStyle w:val="Text1"/>
        <w:rPr>
          <w:noProof/>
        </w:rPr>
      </w:pPr>
      <w:r>
        <w:rPr>
          <w:noProof/>
        </w:rPr>
        <w:t>Consumatorii ar trebui să se aștepte la același nivel de protecție pentru produsele fabricate în interiorul sau în afara UE. Într-o lume globalizată, a se asigura că produsele importate îndeplinesc, de asemenea, cerințele UE și nu concurează neloial prin încălcarea normelor UE rămâne încă o provocare. În principiu, produsele importate ar trebui să fie verificate la intrarea pe piața unică. Însă, având în vedere volumul importurilor, este imposibil să se controleze toate loturile. Peste 30 % din toate mărfurile de pe piețele UE au fost importuri în 2015. Acestea au avut o valoare estimată de aproximativ 750 de miliarde EUR</w:t>
      </w:r>
      <w:r>
        <w:rPr>
          <w:rStyle w:val="FootnoteReference"/>
          <w:noProof/>
        </w:rPr>
        <w:footnoteReference w:id="21"/>
      </w:r>
      <w:r>
        <w:rPr>
          <w:noProof/>
        </w:rPr>
        <w:t>.</w:t>
      </w:r>
    </w:p>
    <w:p>
      <w:pPr>
        <w:pStyle w:val="Text1"/>
        <w:rPr>
          <w:noProof/>
        </w:rPr>
      </w:pPr>
    </w:p>
    <w:p>
      <w:pPr>
        <w:pStyle w:val="Text1"/>
        <w:keepNext/>
        <w:spacing w:after="0"/>
        <w:rPr>
          <w:b/>
          <w:noProof/>
        </w:rPr>
      </w:pPr>
      <w:r>
        <w:rPr>
          <w:b/>
          <w:noProof/>
        </w:rPr>
        <w:t>Comerțul cu produse armonizate: producția vândută și comerțul cu țările din afara UE (2008-2015, UE-28), miliarde EUR</w:t>
      </w:r>
    </w:p>
    <w:p>
      <w:pPr>
        <w:spacing w:after="0"/>
        <w:ind w:left="720"/>
        <w:jc w:val="center"/>
        <w:rPr>
          <w:noProof/>
        </w:rPr>
      </w:pPr>
      <w:r>
        <w:rPr>
          <w:noProof/>
          <w:lang w:val="en-US" w:eastAsia="en-US" w:bidi="ar-SA"/>
        </w:rPr>
        <w:drawing>
          <wp:inline distT="0" distB="0" distL="0" distR="0">
            <wp:extent cx="5063320" cy="2429301"/>
            <wp:effectExtent l="0" t="0" r="444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62589" cy="2428950"/>
                    </a:xfrm>
                    <a:prstGeom prst="rect">
                      <a:avLst/>
                    </a:prstGeom>
                    <a:noFill/>
                    <a:ln>
                      <a:noFill/>
                    </a:ln>
                  </pic:spPr>
                </pic:pic>
              </a:graphicData>
            </a:graphic>
          </wp:inline>
        </w:drawing>
      </w:r>
    </w:p>
    <w:p>
      <w:pPr>
        <w:jc w:val="center"/>
        <w:rPr>
          <w:noProof/>
        </w:rPr>
      </w:pPr>
      <w:r>
        <w:rPr>
          <w:rStyle w:val="SubtleEmphasis"/>
          <w:noProof/>
        </w:rPr>
        <w:t>Sursă: Prodcom - statistici în funcție de produs, EUROSTAT (2016)</w:t>
      </w:r>
    </w:p>
    <w:p>
      <w:pPr>
        <w:pStyle w:val="Text1"/>
        <w:rPr>
          <w:noProof/>
        </w:rPr>
      </w:pPr>
      <w:r>
        <w:rPr>
          <w:noProof/>
        </w:rPr>
        <w:t>Normele privind asigurarea aplicării legislației la frontierele externe trebuie adaptate la noile realități ale secolului 21, inclusiv la numărul tot mai mare de vânzări online și la noul Cod vamal al Uniunii.</w:t>
      </w:r>
    </w:p>
    <w:p>
      <w:pPr>
        <w:pStyle w:val="Text1"/>
        <w:rPr>
          <w:noProof/>
        </w:rPr>
      </w:pPr>
      <w:r>
        <w:rPr>
          <w:b/>
          <w:noProof/>
        </w:rPr>
        <w:t>Noua propunere adaptează actualul cadru juridic la noile reglementări vamale.</w:t>
      </w:r>
      <w:r>
        <w:rPr>
          <w:noProof/>
        </w:rPr>
        <w:t xml:space="preserve"> Aceasta oferă mai multă claritate în ceea ce privește controlul produselor care intră în UE și coordonarea și cooperarea între autoritățile vamale și autoritățile de supraveghere a pieței.</w:t>
      </w:r>
    </w:p>
    <w:p>
      <w:pPr>
        <w:pStyle w:val="Text1"/>
        <w:rPr>
          <w:b/>
          <w:noProof/>
        </w:rPr>
      </w:pPr>
      <w:r>
        <w:rPr>
          <w:b/>
          <w:noProof/>
        </w:rPr>
        <w:t xml:space="preserve">De asemenea, se simplifică formalitățile administrative pentru importatori. </w:t>
      </w:r>
      <w:r>
        <w:rPr>
          <w:noProof/>
        </w:rPr>
        <w:t>Întreprinderile care se bucură de încredere vor beneficia de controale mai puțin stricte și, ca urmare, autoritățile vor fi în măsură să își concentreze eforturile acolo unde riscul pentru siguranța produselor este mai mare.</w:t>
      </w:r>
      <w:r>
        <w:rPr>
          <w:b/>
          <w:noProof/>
        </w:rPr>
        <w:t xml:space="preserve"> </w:t>
      </w:r>
    </w:p>
    <w:p>
      <w:pPr>
        <w:pStyle w:val="Text1"/>
        <w:rPr>
          <w:b/>
          <w:noProof/>
        </w:rPr>
      </w:pPr>
      <w:r>
        <w:rPr>
          <w:noProof/>
        </w:rPr>
        <w:t xml:space="preserve">De asemenea, în cazul în care autoritățile responsabile cu asigurarea aplicării legislației au îndoieli cu privire la legalitatea unui produs, acestea vor </w:t>
      </w:r>
      <w:r>
        <w:rPr>
          <w:b/>
          <w:noProof/>
        </w:rPr>
        <w:t>suspenda punerea în liberă circulație</w:t>
      </w:r>
      <w:r>
        <w:rPr>
          <w:noProof/>
        </w:rPr>
        <w:t xml:space="preserve"> în UE până când nu vor primi dovada că produsul este apt pentru a fi vândut în UE.</w:t>
      </w:r>
    </w:p>
    <w:p>
      <w:pPr>
        <w:pStyle w:val="Text1"/>
        <w:ind w:left="1200" w:hanging="718"/>
        <w:rPr>
          <w:b/>
          <w:noProof/>
        </w:rPr>
      </w:pPr>
      <w:r>
        <w:rPr>
          <w:b/>
          <w:noProof/>
        </w:rPr>
        <w:t>c)</w:t>
      </w:r>
      <w:r>
        <w:rPr>
          <w:noProof/>
        </w:rPr>
        <w:tab/>
      </w:r>
      <w:r>
        <w:rPr>
          <w:b/>
          <w:noProof/>
          <w:u w:val="single"/>
        </w:rPr>
        <w:t>Acreditarea și marcajul CE</w:t>
      </w:r>
    </w:p>
    <w:p>
      <w:pPr>
        <w:pStyle w:val="Text1"/>
        <w:rPr>
          <w:noProof/>
        </w:rPr>
      </w:pPr>
      <w:r>
        <w:rPr>
          <w:noProof/>
        </w:rPr>
        <w:t>Deși actualele norme de supraveghere a pieței trebuie îmbunătățite, normele UE privind acreditarea și marcajul CE s-au dovedit a funcționa suficient de bine. Prezenta comunicare este însoțită de un raport care subliniază importanța unui program bine coordonat și fiabil de acreditare și de evaluare a conformității, sistem care stă la baza politicii UE și care consolidează încrederea în siguranța produselor.</w:t>
      </w:r>
    </w:p>
    <w:p>
      <w:pPr>
        <w:pStyle w:val="Heading1"/>
        <w:rPr>
          <w:noProof/>
        </w:rPr>
      </w:pPr>
      <w:r>
        <w:rPr>
          <w:noProof/>
        </w:rPr>
        <w:t>Unitate în diversitate în ceea ce privește piața unică a mărfurilor: Recunoaștere reciprocă</w:t>
      </w:r>
    </w:p>
    <w:p>
      <w:pPr>
        <w:pStyle w:val="Text1"/>
        <w:rPr>
          <w:noProof/>
        </w:rPr>
      </w:pPr>
      <w:r>
        <w:rPr>
          <w:noProof/>
        </w:rPr>
        <w:t>În cazul în care nu există norme comune ale UE privind produsele, de exemplu în domeniul articolelor de îngrijire a copilului sau al caselor de marcat, principiul recunoașterii reciproce ar trebui să asigure faptul că un produs comercializat în mod legal într-un stat membru poate fi vândut în orice alt stat membru - atât timp cât acest lucru are loc în condiții de siguranță și cu respectarea interesului public</w:t>
      </w:r>
      <w:r>
        <w:rPr>
          <w:rStyle w:val="FootnoteReference"/>
          <w:noProof/>
        </w:rPr>
        <w:footnoteReference w:id="22"/>
      </w:r>
      <w:r>
        <w:rPr>
          <w:noProof/>
        </w:rPr>
        <w:t>. Cu toate acestea, în prezent, se întâmplă des ca multe întreprinderi să nu se poată baza pe recunoașterea reciprocă pentru a pătrunde pe piețele de pe teritoriul UE. În special întreprinderile mici și mijlocii raportează dificultăți serioase atunci când încearcă să se bazeze pe recunoașterea reciprocă pentru a-și vinde produsele într-un alt stat membru. Statele membre introduc cerințe suplimentare și duplicarea testelor, mărind astfel inutil birocrația și costurile. Acest lucru privează operatorii economici de creșterile eficienței de scară ale pieței unice, crește prețurile pentru consumatori și reduce numărul schimburilor comerciale în detrimentul tuturor părților</w:t>
      </w:r>
      <w:r>
        <w:rPr>
          <w:rStyle w:val="FootnoteReference"/>
          <w:noProof/>
        </w:rPr>
        <w:footnoteReference w:id="23"/>
      </w:r>
      <w:r>
        <w:rPr>
          <w:noProof/>
        </w:rPr>
        <w:t>.</w:t>
      </w:r>
    </w:p>
    <w:p>
      <w:pPr>
        <w:pStyle w:val="Text1"/>
        <w:rPr>
          <w:noProof/>
        </w:rPr>
      </w:pPr>
      <w:r>
        <w:rPr>
          <w:noProof/>
        </w:rPr>
        <w:t xml:space="preserve">Deseori, autoritățile naționale nu au încredere în raționamentul autorităților din alte state membre, ceea ce conduce la cerințe suplimentare și la duplicarea testelor, mărind astfel inutil birocrația și costurile. În plus, contestațiile apărute ca urmare a hotărârilor judecătorești care refuză sau restricționează accesul la piață sunt de lungă durată și costisitoare pentru operatori. În consecință, întreprinderile se confruntă cu costuri nejustificate, deoarece ele trebuie </w:t>
      </w:r>
      <w:r>
        <w:rPr>
          <w:b/>
          <w:noProof/>
        </w:rPr>
        <w:t>să își adapteze produsele</w:t>
      </w:r>
      <w:r>
        <w:rPr>
          <w:noProof/>
        </w:rPr>
        <w:t xml:space="preserve"> la cerințele mai multor piețe naționale și se confruntă cu </w:t>
      </w:r>
      <w:r>
        <w:rPr>
          <w:b/>
          <w:noProof/>
        </w:rPr>
        <w:t>întârzieri la intrarea pe piață</w:t>
      </w:r>
      <w:r>
        <w:rPr>
          <w:noProof/>
        </w:rPr>
        <w:t xml:space="preserve"> și </w:t>
      </w:r>
      <w:r>
        <w:rPr>
          <w:b/>
          <w:noProof/>
        </w:rPr>
        <w:t>oportunități ratate</w:t>
      </w:r>
      <w:r>
        <w:rPr>
          <w:noProof/>
        </w:rPr>
        <w:t>. Acest lucru afectează în special întreprinderile mici și mijlocii</w:t>
      </w:r>
      <w:r>
        <w:rPr>
          <w:rStyle w:val="FootnoteReference"/>
          <w:noProof/>
        </w:rPr>
        <w:footnoteReference w:id="24"/>
      </w:r>
      <w:r>
        <w:rPr>
          <w:noProof/>
        </w:rPr>
        <w:t xml:space="preserve">. </w:t>
      </w:r>
    </w:p>
    <w:p>
      <w:pPr>
        <w:pStyle w:val="Text1"/>
        <w:rPr>
          <w:noProof/>
        </w:rPr>
      </w:pPr>
      <w:r>
        <w:rPr>
          <w:noProof/>
        </w:rPr>
        <w:t>Această situație trebuie să se schimbe. Sistemul actual poate și trebuie să fie îmbunătățit. Prin urmare, Comisia propune consolidarea și clarificarea posibilităților existente și facilitarea accesului pe piață.</w:t>
      </w:r>
    </w:p>
    <w:p>
      <w:pPr>
        <w:pStyle w:val="Text1"/>
        <w:rPr>
          <w:noProof/>
        </w:rPr>
      </w:pPr>
      <w:r>
        <w:rPr>
          <w:noProof/>
        </w:rPr>
        <w:t xml:space="preserve">O abordare orientată și bazată pe cooperare va fi, de asemenea, urmată în cazul punerii în aplicare a Directivei (UE) 2015/1535 privind transparența pe piața unică. Prezenta directivă reprezintă un instrument important de prevenire a apariției de obstacole pentru produsele care nu sunt armonizate sau care sunt doar parțial armonizate. Statele membre sunt obligate să notifice orice proiect de legislație privind aceste produse, astfel încât apariția obstacolelor să poată fi împiedicată </w:t>
      </w:r>
      <w:r>
        <w:rPr>
          <w:i/>
          <w:noProof/>
        </w:rPr>
        <w:t>ex ante</w:t>
      </w:r>
      <w:r>
        <w:rPr>
          <w:noProof/>
        </w:rPr>
        <w:t>. În conformitate cu rezultatele raportului privind punerea în aplicare a directivei, publicate tot astăzi, Comisia și statele membre trebuie să soluționeze dificultățile într-o etapă anterioară, să se axeze pe preocupările cel mai des întâlnite și pe cele mai importante sectoare din punct de vedere economic din statele membre.</w:t>
      </w:r>
    </w:p>
    <w:p>
      <w:pPr>
        <w:pStyle w:val="Text1"/>
        <w:ind w:left="1200" w:hanging="718"/>
        <w:rPr>
          <w:b/>
          <w:noProof/>
        </w:rPr>
      </w:pPr>
      <w:r>
        <w:rPr>
          <w:b/>
          <w:noProof/>
        </w:rPr>
        <w:t>a)</w:t>
      </w:r>
      <w:r>
        <w:rPr>
          <w:noProof/>
        </w:rPr>
        <w:tab/>
      </w:r>
      <w:r>
        <w:rPr>
          <w:b/>
          <w:noProof/>
          <w:u w:val="single"/>
        </w:rPr>
        <w:t>Funcționarea în practică</w:t>
      </w:r>
    </w:p>
    <w:p>
      <w:pPr>
        <w:pStyle w:val="Text1"/>
        <w:rPr>
          <w:noProof/>
        </w:rPr>
      </w:pPr>
      <w:r>
        <w:rPr>
          <w:noProof/>
        </w:rPr>
        <w:t>Principiul recunoașterii reciproce a mărfurilor derivă din Tratatul privind funcționarea Uniunii Europene (TFUE)</w:t>
      </w:r>
      <w:r>
        <w:rPr>
          <w:rStyle w:val="FootnoteReference"/>
          <w:noProof/>
        </w:rPr>
        <w:footnoteReference w:id="25"/>
      </w:r>
      <w:r>
        <w:rPr>
          <w:noProof/>
        </w:rPr>
        <w:t xml:space="preserve">. Acesta a fost în mod repetat susținut și consolidat de Curtea de Justiție a Uniunii Europene. Cu toate acestea, cadrul legislativ actual nu s-a dovedit suficient pentru a se asigura aplicarea consecventă și eficace. Prin urmare, se propune înlocuirea </w:t>
      </w:r>
      <w:r>
        <w:rPr>
          <w:b/>
          <w:noProof/>
        </w:rPr>
        <w:t>Regulamentului privind recunoașterea reciprocă</w:t>
      </w:r>
      <w:r>
        <w:rPr>
          <w:rStyle w:val="FootnoteReference"/>
          <w:b/>
          <w:noProof/>
        </w:rPr>
        <w:footnoteReference w:id="26"/>
      </w:r>
      <w:r>
        <w:rPr>
          <w:b/>
          <w:noProof/>
        </w:rPr>
        <w:t xml:space="preserve"> cu un nou regulament</w:t>
      </w:r>
      <w:r>
        <w:rPr>
          <w:noProof/>
        </w:rPr>
        <w:t xml:space="preserve"> care clarifică și simplifică procedurile care trebuie urmate de întreprinderi și administrații publice.</w:t>
      </w:r>
    </w:p>
    <w:p>
      <w:pPr>
        <w:pStyle w:val="Text1"/>
        <w:rPr>
          <w:noProof/>
        </w:rPr>
      </w:pPr>
      <w:r>
        <w:rPr>
          <w:noProof/>
        </w:rPr>
        <w:t xml:space="preserve">Accesul pe piață pe baza recunoașterii reciproce ar trebui interzis numai dacă există un motiv legitim și proporțional cu interesul public aflat în joc. În prezent, în cazul în care refuzul este nelegitim și disproporționat, singura modalitate de a contesta hotărârea este prin intermediul instanțelor naționale. Astfel de procese sunt lungi și costisitoare și nu răspund nevoilor specifice de recunoaștere reciprocă. Contestarea unei decizii de refuz al accesului pe piață poate costa între 10 000 EUR și 100 000 EUR per produs și per piață. Întreprinderile afirmă că acesta este cel mai important obstacol în calea bunei funcționări a sistemului de recunoaștere reciprocă. În multe cazuri, mai degrabă decât să se confrunte cu rezultate incerte, întreprinderile își adaptează produsele, însă la costuri suplimentare, ceea ce corespunde unui cost suplimentar pentru consumatori și unei slăbiri a eficienței economiei europene. </w:t>
      </w:r>
    </w:p>
    <w:p>
      <w:pPr>
        <w:pStyle w:val="Text1"/>
        <w:rPr>
          <w:noProof/>
        </w:rPr>
      </w:pPr>
      <w:r>
        <w:rPr>
          <w:noProof/>
        </w:rPr>
        <w:t xml:space="preserve">Noua propunere privind principiul recunoașterii reciproce introduce o </w:t>
      </w:r>
      <w:r>
        <w:rPr>
          <w:b/>
          <w:noProof/>
        </w:rPr>
        <w:t>procedură de soluționare a problemelor</w:t>
      </w:r>
      <w:r>
        <w:rPr>
          <w:noProof/>
        </w:rPr>
        <w:t xml:space="preserve"> pentru a oferi măsuri reparatorii eficace și pentru a restabili încrederea în recunoașterea reciprocă. În primul rând, se vor căuta soluții practice și pe cale amiabilă, prin </w:t>
      </w:r>
      <w:r>
        <w:rPr>
          <w:b/>
          <w:noProof/>
        </w:rPr>
        <w:t>utilizarea mecanismelor SOLVIT existente</w:t>
      </w:r>
      <w:r>
        <w:rPr>
          <w:noProof/>
        </w:rPr>
        <w:t>.</w:t>
      </w:r>
      <w:r>
        <w:rPr>
          <w:b/>
          <w:noProof/>
        </w:rPr>
        <w:t xml:space="preserve"> </w:t>
      </w:r>
      <w:r>
        <w:rPr>
          <w:noProof/>
        </w:rPr>
        <w:t xml:space="preserve">În cazul în care dialogul este nesatisfăcător, Comisia poate interveni în această chestiune prin emiterea unui aviz și, după caz, prin formularea de recomandări pentru a asista părțile la soluționarea cazului respectiv. În acest fel, întreprinderile și statele membre exportatoare, în loc să aștepte ani pentru ca produsele și legislația să le fie recunoscute de alte state membre, vor ști la ce să se aștepte în doar câteva săptămâni sau luni. În plus, Comisia va fi în măsură să își implementeze în mod strategic competențele de asigurare a aplicării legislației în temeiul articolului 258 din TFUE în cazul în care sunt identificate probleme sistemice în anumite sectoare. </w:t>
      </w:r>
    </w:p>
    <w:p>
      <w:pPr>
        <w:pStyle w:val="Text1"/>
        <w:rPr>
          <w:noProof/>
        </w:rPr>
      </w:pPr>
      <w:r>
        <w:rPr>
          <w:noProof/>
        </w:rPr>
        <w:t xml:space="preserve">În prezent, întreprinderile trebuie să dovedească faptul că produsul lor este deja comercializat într-un alt stat membru al UE dacă doresc să obțină recunoașterea reciprocă. Gama de probe solicitate de autorități variază de la o simplă factură la declarații făcute de un stat membru conform cărora produsul a fost comercializat în mod legal. Pentru a ajuta întreprinderile să demonstreze că produsul îndeplinește deja cerințele din alt stat membru, să ofere garanții autorităților și să faciliteze cooperarea transfrontalieră, propunem o nouă </w:t>
      </w:r>
      <w:r>
        <w:rPr>
          <w:b/>
          <w:noProof/>
        </w:rPr>
        <w:t>declarație voluntară simplă privind recunoașterea reciprocă</w:t>
      </w:r>
      <w:r>
        <w:rPr>
          <w:noProof/>
        </w:rPr>
        <w:t xml:space="preserve"> care să fie completată de către operatorii economici, ceea ce va reduce sarcina administrativă.</w:t>
      </w:r>
    </w:p>
    <w:p>
      <w:pPr>
        <w:pStyle w:val="Text1"/>
        <w:rPr>
          <w:noProof/>
        </w:rPr>
      </w:pPr>
      <w:r>
        <w:rPr>
          <w:noProof/>
        </w:rPr>
        <w:t xml:space="preserve">Cei implicați în recunoașterea reciprocă nu comunică suficient de bine unii cu alții. Acest lucru se întâmplă adesea deoarece competențele și responsabilitățile legate de anumite regulamente specifice sunt dispersate, ceea ce îngreunează navigarea în jurul acestor chestiuni tehnice, care sunt de multe ori foarte tehnice. Prin urmare, obiectivul nostru este de a consolida </w:t>
      </w:r>
      <w:r>
        <w:rPr>
          <w:b/>
          <w:noProof/>
        </w:rPr>
        <w:t>punctele de informare despre produs drept canale de comunicare pentru recunoașterea reciprocă</w:t>
      </w:r>
      <w:r>
        <w:rPr>
          <w:rStyle w:val="FootnoteReference"/>
          <w:noProof/>
        </w:rPr>
        <w:footnoteReference w:id="27"/>
      </w:r>
      <w:r>
        <w:rPr>
          <w:noProof/>
        </w:rPr>
        <w:t xml:space="preserve">. Pentru a face ca aceste puncte de informare să devină ușor de diferențiat, s-ar putea elabora o identitate vizuală comună. </w:t>
      </w:r>
      <w:r>
        <w:rPr>
          <w:b/>
          <w:noProof/>
        </w:rPr>
        <w:t>Cooperarea transfrontalieră între punctele de informare</w:t>
      </w:r>
      <w:r>
        <w:rPr>
          <w:noProof/>
        </w:rPr>
        <w:t xml:space="preserve"> va fi îmbunătățită. O platformă on-line va permite autorităților să intre în legătură unele cu altele.</w:t>
      </w:r>
    </w:p>
    <w:p>
      <w:pPr>
        <w:pStyle w:val="Text1"/>
        <w:ind w:left="1200" w:hanging="720"/>
        <w:rPr>
          <w:b/>
          <w:noProof/>
        </w:rPr>
      </w:pPr>
      <w:r>
        <w:rPr>
          <w:b/>
          <w:noProof/>
        </w:rPr>
        <w:t>b)</w:t>
      </w:r>
      <w:r>
        <w:rPr>
          <w:noProof/>
        </w:rPr>
        <w:tab/>
      </w:r>
      <w:r>
        <w:rPr>
          <w:b/>
          <w:noProof/>
          <w:u w:val="single"/>
        </w:rPr>
        <w:t>O cooperare mai strânsă și un nivel mai ridicat de încredere</w:t>
      </w:r>
    </w:p>
    <w:p>
      <w:pPr>
        <w:pStyle w:val="Text1"/>
        <w:rPr>
          <w:noProof/>
        </w:rPr>
      </w:pPr>
      <w:r>
        <w:rPr>
          <w:noProof/>
        </w:rPr>
        <w:t xml:space="preserve">Este nevoie de cooperare și de încredere pentru ca recunoașterea reciprocă să funcționeze bine. Acestea vor contribui la consolidarea înțelegerii reciproce a diferitelor abordări și preocupări naționale. Acest lucru va fi susținut prin </w:t>
      </w:r>
      <w:r>
        <w:rPr>
          <w:b/>
          <w:noProof/>
        </w:rPr>
        <w:t>schimburi de funcționari</w:t>
      </w:r>
      <w:r>
        <w:rPr>
          <w:noProof/>
        </w:rPr>
        <w:t xml:space="preserve"> care lucrează în sectoare deosebit de problematice, cum ar fi materialele de construcții. La fel de important, Comisia va colabora mai strâns cu</w:t>
      </w:r>
      <w:r>
        <w:rPr>
          <w:b/>
          <w:noProof/>
        </w:rPr>
        <w:t xml:space="preserve"> anumite țări și sectoare</w:t>
      </w:r>
      <w:r>
        <w:rPr>
          <w:noProof/>
        </w:rPr>
        <w:t xml:space="preserve"> pentru a se asigura că recunoașterea reciprocă funcționează. </w:t>
      </w:r>
    </w:p>
    <w:p>
      <w:pPr>
        <w:pStyle w:val="Text1"/>
        <w:rPr>
          <w:noProof/>
        </w:rPr>
      </w:pPr>
      <w:r>
        <w:rPr>
          <w:noProof/>
        </w:rPr>
        <w:t>În continuare, Comisia va evalua posibilele beneficii pentru întreprinderi și pentru autoritățile publice de a dezvolta în continuare</w:t>
      </w:r>
      <w:r>
        <w:rPr>
          <w:b/>
          <w:noProof/>
        </w:rPr>
        <w:t xml:space="preserve"> lista produselor existente în vederea recunoașterii reciproce</w:t>
      </w:r>
      <w:r>
        <w:rPr>
          <w:rStyle w:val="FootnoteReference"/>
          <w:b/>
          <w:noProof/>
        </w:rPr>
        <w:footnoteReference w:id="28"/>
      </w:r>
      <w:r>
        <w:rPr>
          <w:noProof/>
        </w:rPr>
        <w:t>.</w:t>
      </w:r>
    </w:p>
    <w:p>
      <w:pPr>
        <w:pStyle w:val="Text1"/>
        <w:rPr>
          <w:noProof/>
        </w:rPr>
      </w:pPr>
      <w:r>
        <w:rPr>
          <w:noProof/>
        </w:rPr>
        <w:t xml:space="preserve">Pentru a consolida modul în care autoritățile naționale se bazează pe încrederea și recunoașterea reciprocă, Comisia va încerca, de asemenea, să sensibilizeze autoritățile naționale cu privire la modul în care funcționează recunoașterea reciprocă prin intermediul unor eforturi de formare consacrate. Acestea vor fi destinate mai ales administrațiilor naționale (de exemplu, la punctele de informare despre produs, departamentele responsabile cu categoriile de produse problematice, instanțele naționale, autoritățile de supraveghere a pieței și personalul SOLVIT) și întreprinderilor. Un pachet specific de </w:t>
      </w:r>
      <w:r>
        <w:rPr>
          <w:b/>
          <w:noProof/>
        </w:rPr>
        <w:t>„formare a formatorilor”</w:t>
      </w:r>
      <w:r>
        <w:rPr>
          <w:noProof/>
        </w:rPr>
        <w:t xml:space="preserve"> privind recunoașterea reciprocă destinat autorităților și întreprinderilor și </w:t>
      </w:r>
      <w:r>
        <w:rPr>
          <w:b/>
          <w:noProof/>
        </w:rPr>
        <w:t>un ghid privind recunoașterea reciprocă</w:t>
      </w:r>
      <w:r>
        <w:rPr>
          <w:noProof/>
        </w:rPr>
        <w:t xml:space="preserve"> vor oferi orientări cuprinzătoare cu privire la modul în care trebuie să se aplice recunoașterea reciprocă.</w:t>
      </w:r>
    </w:p>
    <w:p>
      <w:pPr>
        <w:pStyle w:val="Text1"/>
        <w:rPr>
          <w:noProof/>
        </w:rPr>
      </w:pPr>
      <w:r>
        <w:rPr>
          <w:noProof/>
        </w:rPr>
        <w:t xml:space="preserve">În fine, statele membre ar trebui să continue să furnizeze în mod explicit recunoașterea reciprocă în propriile lor norme tehnice naționale, dar ar trebui să facă acest lucru într-un mod ușor de înțeles. Prin urmare, Comisia încurajează statele membre să introducă în reglementările tehnice naționale o </w:t>
      </w:r>
      <w:r>
        <w:rPr>
          <w:b/>
          <w:noProof/>
        </w:rPr>
        <w:t>„clauză privind piața unică” clară și lipsită de ambiguități</w:t>
      </w:r>
      <w:r>
        <w:rPr>
          <w:rStyle w:val="FootnoteReference"/>
          <w:noProof/>
        </w:rPr>
        <w:footnoteReference w:id="29"/>
      </w:r>
      <w:r>
        <w:rPr>
          <w:noProof/>
        </w:rPr>
        <w:t xml:space="preserve"> și va elabora orientări specifice pentru utilizarea acesteia: </w:t>
      </w:r>
    </w:p>
    <w:p>
      <w:pPr>
        <w:pStyle w:val="BlockText"/>
        <w:spacing w:after="240"/>
        <w:rPr>
          <w:noProof/>
        </w:rPr>
      </w:pPr>
      <w:r>
        <w:rPr>
          <w:noProof/>
        </w:rPr>
        <w:t>„Mărfurile comercializate în mod legal în alt stat membru al Uniunii Europene sau în Turcia sau originare și comercializate în mod legal într-un stat AELS care este parte contractantă la Acordul privind SEE sunt considerate a fi compatibile cu această măsură. Aplicarea acestei măsuri se află sub incidența Regulamentului [trimitere].”</w:t>
      </w:r>
    </w:p>
    <w:p>
      <w:pPr>
        <w:pStyle w:val="Heading1"/>
        <w:rPr>
          <w:noProof/>
        </w:rPr>
      </w:pPr>
      <w:r>
        <w:rPr>
          <w:noProof/>
        </w:rPr>
        <w:t>Concluzie</w:t>
      </w:r>
    </w:p>
    <w:p>
      <w:pPr>
        <w:pStyle w:val="Text1"/>
        <w:rPr>
          <w:noProof/>
        </w:rPr>
      </w:pPr>
      <w:r>
        <w:rPr>
          <w:noProof/>
        </w:rPr>
        <w:t>Piața unică a produselor este unul dintre atuurile cele mai de preț ale UE. Ea oferă UE un avantaj competitiv în soluționarea provocărilor legate de fluxurile comerciale și lanțurile valorice globalizate. Pentru a răspunde acestor provocări, trebuie să ne asigurăm că piața unică reușește să ofere cu succes oportunități de piață pentru întreprinderi și prezintă un nivel ridicat de protecție pentru toți actorii. Toți cei implicați - publicul larg, lucrătorii, consumatorii, întreprinderile și autoritățile - trebuie să aibă siguranța că pot să acționeze și să achiziționeze produse sigure într-un mediu transparent și corect în care normele se aplică în același mod pentru toți. Ei trebuie să poată avea încredere că produsele sunt sigure și respectă legislația.</w:t>
      </w:r>
    </w:p>
    <w:p>
      <w:pPr>
        <w:pStyle w:val="Text1"/>
        <w:rPr>
          <w:noProof/>
        </w:rPr>
      </w:pPr>
      <w:r>
        <w:rPr>
          <w:noProof/>
        </w:rPr>
        <w:t>Cu acest pachet vrem să ne asigurăm că stabilim o astfel de piață unică transparentă și echitabilă a produselor sigure pentru toată lumea. Autoritățile și întreprinderile vor câștiga încredere în recunoașterea reciprocă ca un principiu care protejează interesul public pentru toți și care deschide piața unică. O mai bună respectare și asigurare a aplicării legislației va consolida încrederea consumatorilor în siguranța produselor introduse pe piața unică. Acest lucru este din ce în ce mai important într-o lume mai integrată și în schimbare.</w:t>
      </w:r>
    </w:p>
    <w:p>
      <w:pPr>
        <w:pStyle w:val="Text1"/>
        <w:rPr>
          <w:noProof/>
        </w:rPr>
      </w:pPr>
      <w:r>
        <w:rPr>
          <w:noProof/>
        </w:rPr>
        <w:t>Pe lângă propunerile legislative din acest pachet, vom colabora strâns cu autoritățile competente și părțile interesate, luând măsurile necesare pentru a construi această încredere. Acest lucru va garanta că, începând chiar de acum, impactul real și beneficiile pentru toți vor avea un impact semnificativ asupra pieței unice de mărfuri de mâine.</w:t>
      </w:r>
    </w:p>
    <w:p>
      <w:pPr>
        <w:spacing w:after="0"/>
        <w:jc w:val="left"/>
        <w:rPr>
          <w:b/>
          <w:noProof/>
        </w:rPr>
      </w:pPr>
      <w:r>
        <w:rPr>
          <w:noProof/>
        </w:rPr>
        <w:br w:type="page"/>
      </w:r>
    </w:p>
    <w:p>
      <w:pPr>
        <w:rPr>
          <w:noProof/>
        </w:rPr>
      </w:pPr>
      <w:r>
        <w:rPr>
          <w:b/>
          <w:noProof/>
        </w:rPr>
        <w:t>Apendice:</w:t>
      </w:r>
      <w:r>
        <w:rPr>
          <w:noProof/>
        </w:rPr>
        <w:tab/>
      </w:r>
      <w:r>
        <w:rPr>
          <w:b/>
          <w:noProof/>
        </w:rPr>
        <w:t>Calendarul propus pentru măsurile privind instrumentele juridice neobligatorii</w:t>
      </w:r>
    </w:p>
    <w:tbl>
      <w:tblPr>
        <w:tblStyle w:val="TableGrid"/>
        <w:tblW w:w="7229" w:type="dxa"/>
        <w:tblInd w:w="1526" w:type="dxa"/>
        <w:tblLook w:val="04A0" w:firstRow="1" w:lastRow="0" w:firstColumn="1" w:lastColumn="0" w:noHBand="0" w:noVBand="1"/>
      </w:tblPr>
      <w:tblGrid>
        <w:gridCol w:w="7229"/>
      </w:tblGrid>
      <w:tr>
        <w:tc>
          <w:tcPr>
            <w:tcW w:w="7229" w:type="dxa"/>
          </w:tcPr>
          <w:p>
            <w:pPr>
              <w:rPr>
                <w:i/>
                <w:noProof/>
                <w:szCs w:val="24"/>
              </w:rPr>
            </w:pPr>
            <w:r>
              <w:rPr>
                <w:i/>
                <w:noProof/>
              </w:rPr>
              <w:t>2018:</w:t>
            </w:r>
          </w:p>
          <w:p>
            <w:pPr>
              <w:pStyle w:val="ListParagraph"/>
              <w:numPr>
                <w:ilvl w:val="0"/>
                <w:numId w:val="31"/>
              </w:numPr>
              <w:rPr>
                <w:noProof/>
              </w:rPr>
            </w:pPr>
            <w:r>
              <w:rPr>
                <w:noProof/>
              </w:rPr>
              <w:t>Clauza privind piața unică</w:t>
            </w:r>
          </w:p>
          <w:p>
            <w:pPr>
              <w:pStyle w:val="ListParagraph"/>
              <w:numPr>
                <w:ilvl w:val="0"/>
                <w:numId w:val="31"/>
              </w:numPr>
              <w:rPr>
                <w:noProof/>
              </w:rPr>
            </w:pPr>
            <w:r>
              <w:rPr>
                <w:noProof/>
              </w:rPr>
              <w:t xml:space="preserve">În curs: Optimizarea convergenței instrumentelor informatice de supraveghere a pieței (cum ar fi RAPEX și ICSMS) în conformitate cu temeiul juridic aplicabil. </w:t>
            </w:r>
          </w:p>
          <w:p>
            <w:pPr>
              <w:pStyle w:val="ListParagraph"/>
              <w:numPr>
                <w:ilvl w:val="0"/>
                <w:numId w:val="31"/>
              </w:numPr>
              <w:rPr>
                <w:noProof/>
              </w:rPr>
            </w:pPr>
            <w:r>
              <w:rPr>
                <w:noProof/>
              </w:rPr>
              <w:t>Aplicarea indicatorilor de supraveghere a pieței</w:t>
            </w:r>
          </w:p>
          <w:p>
            <w:pPr>
              <w:pStyle w:val="ListParagraph"/>
              <w:numPr>
                <w:ilvl w:val="0"/>
                <w:numId w:val="31"/>
              </w:numPr>
              <w:rPr>
                <w:noProof/>
              </w:rPr>
            </w:pPr>
            <w:r>
              <w:rPr>
                <w:noProof/>
              </w:rPr>
              <w:t>Elaborarea de campanii de sensibilizare privind recunoașterea reciprocă</w:t>
            </w:r>
          </w:p>
          <w:p>
            <w:pPr>
              <w:pStyle w:val="ListParagraph"/>
              <w:numPr>
                <w:ilvl w:val="0"/>
                <w:numId w:val="31"/>
              </w:numPr>
              <w:rPr>
                <w:noProof/>
              </w:rPr>
            </w:pPr>
            <w:r>
              <w:rPr>
                <w:noProof/>
              </w:rPr>
              <w:t>Elaborarea de programe de formare a formatorilor pentru recunoașterea reciprocă</w:t>
            </w:r>
          </w:p>
          <w:p>
            <w:pPr>
              <w:pStyle w:val="ListParagraph"/>
              <w:numPr>
                <w:ilvl w:val="0"/>
                <w:numId w:val="31"/>
              </w:numPr>
              <w:rPr>
                <w:noProof/>
              </w:rPr>
            </w:pPr>
            <w:r>
              <w:rPr>
                <w:noProof/>
              </w:rPr>
              <w:t xml:space="preserve">O abordare bazată pe cooperare a sectoarelor specifice în temeiul Directivei privind transparența pieței unice </w:t>
            </w:r>
          </w:p>
          <w:p>
            <w:pPr>
              <w:rPr>
                <w:i/>
                <w:noProof/>
                <w:szCs w:val="24"/>
              </w:rPr>
            </w:pPr>
            <w:r>
              <w:rPr>
                <w:i/>
                <w:noProof/>
                <w:szCs w:val="24"/>
              </w:rPr>
              <w:br/>
            </w:r>
            <w:r>
              <w:rPr>
                <w:i/>
                <w:noProof/>
              </w:rPr>
              <w:t>2019:</w:t>
            </w:r>
          </w:p>
          <w:p>
            <w:pPr>
              <w:pStyle w:val="ListParagraph"/>
              <w:numPr>
                <w:ilvl w:val="0"/>
                <w:numId w:val="32"/>
              </w:numPr>
              <w:rPr>
                <w:noProof/>
              </w:rPr>
            </w:pPr>
            <w:r>
              <w:rPr>
                <w:noProof/>
              </w:rPr>
              <w:t>Corpus de norme privind e recunoaștere reciprocă</w:t>
            </w:r>
          </w:p>
          <w:p>
            <w:pPr>
              <w:pStyle w:val="ListParagraph"/>
              <w:numPr>
                <w:ilvl w:val="0"/>
                <w:numId w:val="32"/>
              </w:numPr>
              <w:rPr>
                <w:noProof/>
              </w:rPr>
            </w:pPr>
            <w:r>
              <w:rPr>
                <w:noProof/>
              </w:rPr>
              <w:t>Schimburi de funcționari</w:t>
            </w:r>
          </w:p>
          <w:p>
            <w:pPr>
              <w:pStyle w:val="ListParagraph"/>
              <w:numPr>
                <w:ilvl w:val="0"/>
                <w:numId w:val="32"/>
              </w:numPr>
              <w:rPr>
                <w:noProof/>
              </w:rPr>
            </w:pPr>
            <w:r>
              <w:rPr>
                <w:noProof/>
              </w:rPr>
              <w:t>Examinarea dezvoltării în continuare a unei liste existente de produse pentru recunoaștere reciprocă</w:t>
            </w:r>
          </w:p>
          <w:p>
            <w:pPr>
              <w:pStyle w:val="ListParagraph"/>
              <w:rPr>
                <w:noProof/>
              </w:rPr>
            </w:pPr>
          </w:p>
        </w:tc>
      </w:tr>
    </w:tbl>
    <w:p>
      <w:pPr>
        <w:pStyle w:val="Text1"/>
        <w:ind w:left="0"/>
        <w:rPr>
          <w:noProof/>
        </w:rPr>
      </w:pPr>
    </w:p>
    <w:sectPr>
      <w:headerReference w:type="even" r:id="rId17"/>
      <w:headerReference w:type="default" r:id="rId18"/>
      <w:footerReference w:type="even" r:id="rId19"/>
      <w:footerReference w:type="default" r:id="rId20"/>
      <w:headerReference w:type="first" r:id="rId21"/>
      <w:footerReference w:type="first" r:id="rId22"/>
      <w:pgSz w:w="11906" w:h="16838"/>
      <w:pgMar w:top="1134" w:right="1134" w:bottom="1134" w:left="1134" w:header="601" w:footer="1077"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413771"/>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rPr>
            <w:noProof/>
          </w:rPr>
          <w:t>2</w:t>
        </w:r>
        <w: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4969306"/>
      <w:docPartObj>
        <w:docPartGallery w:val="Page Numbers (Bottom of Page)"/>
        <w:docPartUnique/>
      </w:docPartObj>
    </w:sdtPr>
    <w:sdtEndPr>
      <w:rPr>
        <w:noProof/>
      </w:rPr>
    </w:sdtEndPr>
    <w:sdtContent>
      <w:p>
        <w:pPr>
          <w:pStyle w:val="Footer"/>
          <w:spacing w:before="240"/>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spacing w:after="0"/>
      </w:pPr>
      <w:r>
        <w:rPr>
          <w:rStyle w:val="FootnoteReference"/>
        </w:rPr>
        <w:footnoteRef/>
      </w:r>
      <w:r>
        <w:t xml:space="preserve"> </w:t>
      </w:r>
      <w:r>
        <w:tab/>
        <w:t>Sursa: Eurostat (cifrele pentru 2016 sunt provizorii). Aceste cifre includ industria prelucrătoare, industria extractivă și industriile de utilități. Sunt excluse serviciile pentru întreprinderi și serviciile de construcții, care sunt totuși strâns legate de industria UE, nu în ultimul rând în contextul rolului din ce în ce mai important al lanțurilor valorice și al servitizării.</w:t>
      </w:r>
    </w:p>
  </w:footnote>
  <w:footnote w:id="3">
    <w:p>
      <w:pPr>
        <w:pStyle w:val="FootnoteText"/>
        <w:spacing w:after="0"/>
      </w:pPr>
      <w:r>
        <w:rPr>
          <w:rStyle w:val="FootnoteReference"/>
        </w:rPr>
        <w:footnoteRef/>
      </w:r>
      <w:r>
        <w:t xml:space="preserve"> </w:t>
      </w:r>
      <w:r>
        <w:tab/>
        <w:t>COM(2015) 550 final „Ameliorarea pieței unice: mai multe oportunități pentru cetățeni și pentru întreprinderi”, 28.10.2015.</w:t>
      </w:r>
    </w:p>
  </w:footnote>
  <w:footnote w:id="4">
    <w:p>
      <w:pPr>
        <w:pStyle w:val="FootnoteText"/>
        <w:spacing w:after="0"/>
      </w:pPr>
      <w:r>
        <w:rPr>
          <w:rStyle w:val="FootnoteReference"/>
        </w:rPr>
        <w:footnoteRef/>
      </w:r>
      <w:r>
        <w:t xml:space="preserve"> </w:t>
      </w:r>
      <w:r>
        <w:tab/>
        <w:t xml:space="preserve">Rezoluția Parlamentului European referitoare la Strategia privind piața unică, 26 mai 2016, P8_TA(2016)0237; Concluziile Consiliului European, 15 decembrie 2015. </w:t>
      </w:r>
    </w:p>
  </w:footnote>
  <w:footnote w:id="5">
    <w:p>
      <w:pPr>
        <w:pStyle w:val="FootnoteText"/>
        <w:spacing w:after="0"/>
      </w:pPr>
      <w:r>
        <w:rPr>
          <w:rStyle w:val="FootnoteReference"/>
        </w:rPr>
        <w:footnoteRef/>
      </w:r>
      <w:r>
        <w:t xml:space="preserve"> </w:t>
      </w:r>
      <w:r>
        <w:tab/>
        <w:t xml:space="preserve">Consiliul European, Agenda Liderilor, </w:t>
      </w:r>
      <w:hyperlink r:id="rId1">
        <w:r>
          <w:rPr>
            <w:rStyle w:val="Hyperlink"/>
          </w:rPr>
          <w:t>http://www.consilium.europa.eu/media/21594/leaders-agenda.pdf</w:t>
        </w:r>
      </w:hyperlink>
      <w:r>
        <w:t>, octombrie 2017.</w:t>
      </w:r>
    </w:p>
  </w:footnote>
  <w:footnote w:id="6">
    <w:p>
      <w:pPr>
        <w:pStyle w:val="FootnoteText"/>
        <w:spacing w:after="0"/>
      </w:pPr>
      <w:r>
        <w:rPr>
          <w:rStyle w:val="FootnoteReference"/>
        </w:rPr>
        <w:footnoteRef/>
      </w:r>
      <w:r>
        <w:t xml:space="preserve"> </w:t>
      </w:r>
      <w:r>
        <w:tab/>
        <w:t xml:space="preserve">A se vedea pachetul privind proprietatea intelectuală, adoptat de Comisie la 29.11.2017, care include o serie de măsuri și în special o comunicare privind </w:t>
      </w:r>
      <w:r>
        <w:rPr>
          <w:color w:val="333333"/>
        </w:rPr>
        <w:t>un sistem echilibrat de asigurare a respectării PI ca răspuns la provocările societale actuale [</w:t>
      </w:r>
      <w:r>
        <w:t>SWD(2017) 430 final].</w:t>
      </w:r>
    </w:p>
  </w:footnote>
  <w:footnote w:id="7">
    <w:p>
      <w:pPr>
        <w:pStyle w:val="FootnoteText"/>
        <w:spacing w:after="0"/>
      </w:pPr>
      <w:r>
        <w:rPr>
          <w:rStyle w:val="FootnoteReference"/>
        </w:rPr>
        <w:footnoteRef/>
      </w:r>
      <w:r>
        <w:t xml:space="preserve"> </w:t>
      </w:r>
      <w:r>
        <w:tab/>
        <w:t>Propunere de regulament al Parlamentului European și al Consiliului de stabilire a unor norme și proceduri pentru respectarea și asigurarea aplicării legislației de armonizare a Uniunii privind produsele și de modificare a Regulamentelor (UE) nr. 305/2011, (UE) 528/2012, (UE) 2016/424, (UE) 2016/425, (UE) 2016/426 și (UE) 2017/1369 ale Parlamentului European și ale Consiliului, precum și a Directivelor 2004/42 (CE), 2009/48/CE, 2010/35/UE, 2013/29/UE, 2013/53/UE, 2014/28/UE, 2014/29/UE, 2014/30/UE, 2014/31/UE, 2014/32/UE, 2014/33/UE, 2014/34/UE, 2014/35/UE, 2014/53/UE, 2014/68/UE și 2014/90/UE ale Parlamentului European și ale Consiliului. [COM(2017)795].</w:t>
      </w:r>
    </w:p>
  </w:footnote>
  <w:footnote w:id="8">
    <w:p>
      <w:pPr>
        <w:pStyle w:val="FootnoteText"/>
        <w:spacing w:after="0"/>
      </w:pPr>
      <w:r>
        <w:rPr>
          <w:rStyle w:val="FootnoteReference"/>
        </w:rPr>
        <w:footnoteRef/>
      </w:r>
      <w:r>
        <w:t xml:space="preserve"> </w:t>
      </w:r>
      <w:r>
        <w:tab/>
        <w:t>Regulamentul Parlamentului European și al Consiliului privind recunoașterea reciprocă a mărfurilor comercializate în mod legal în alt stat membru [COM(2017)796].</w:t>
      </w:r>
    </w:p>
  </w:footnote>
  <w:footnote w:id="9">
    <w:p>
      <w:pPr>
        <w:pStyle w:val="FootnoteText"/>
        <w:spacing w:after="0"/>
      </w:pPr>
      <w:r>
        <w:rPr>
          <w:rStyle w:val="FootnoteReference"/>
        </w:rPr>
        <w:footnoteRef/>
      </w:r>
      <w:r>
        <w:t xml:space="preserve"> </w:t>
      </w:r>
      <w:r>
        <w:tab/>
        <w:t>Raport al Comisiei către Parlamentul European, Consiliu și Comitetul Economic și Social European privind funcționarea Directivei (UE) 2015/1535 în perioada 2014-2015 [COM(2017)788].</w:t>
      </w:r>
    </w:p>
  </w:footnote>
  <w:footnote w:id="10">
    <w:p>
      <w:pPr>
        <w:pStyle w:val="FootnoteText"/>
        <w:spacing w:after="0"/>
      </w:pPr>
      <w:r>
        <w:rPr>
          <w:rStyle w:val="FootnoteReference"/>
        </w:rPr>
        <w:footnoteRef/>
      </w:r>
      <w:r>
        <w:t xml:space="preserve"> </w:t>
      </w:r>
      <w:r>
        <w:tab/>
        <w:t>Raport al Comisiei către Parlamentul European, Consiliu și Comitetul Economic și Social European privind punerea în aplicare a Regulamentului (CE) nr. 765/2008 al Parlamentului European și al Consiliului din 9 iulie 2008 de stabilire a cerințelor de acreditare și de supraveghere a pieței în ceea ce privește comercializarea produselor și de abrogare a Regulamentului (CEE) nr. 339/93 [COM(2017)789].</w:t>
      </w:r>
    </w:p>
  </w:footnote>
  <w:footnote w:id="11">
    <w:p>
      <w:pPr>
        <w:pStyle w:val="FootnoteText"/>
        <w:spacing w:after="0"/>
      </w:pPr>
      <w:r>
        <w:rPr>
          <w:rStyle w:val="FootnoteReference"/>
        </w:rPr>
        <w:footnoteRef/>
      </w:r>
      <w:r>
        <w:t xml:space="preserve"> </w:t>
      </w:r>
      <w:r>
        <w:tab/>
        <w:t>Sursă: RAPEX. Acest număr acoperă numai produsele care sunt reglementate de legislația armonizată a UE.</w:t>
      </w:r>
    </w:p>
  </w:footnote>
  <w:footnote w:id="12">
    <w:p>
      <w:pPr>
        <w:pStyle w:val="FootnoteText"/>
        <w:spacing w:after="0"/>
      </w:pPr>
      <w:r>
        <w:rPr>
          <w:rStyle w:val="FootnoteReference"/>
        </w:rPr>
        <w:footnoteRef/>
      </w:r>
      <w:r>
        <w:t xml:space="preserve"> </w:t>
      </w:r>
      <w:r>
        <w:tab/>
        <w:t>COM(2017) 479 final, „Investițiile într-o industrie inteligentă, inovatoare și durabilă: O strategie reînnoită privind politica industrială a UE.</w:t>
      </w:r>
    </w:p>
  </w:footnote>
  <w:footnote w:id="13">
    <w:p>
      <w:pPr>
        <w:pStyle w:val="FootnoteText"/>
        <w:spacing w:after="0"/>
      </w:pPr>
      <w:r>
        <w:rPr>
          <w:rStyle w:val="FootnoteReference"/>
        </w:rPr>
        <w:footnoteRef/>
      </w:r>
      <w:r>
        <w:t xml:space="preserve"> </w:t>
      </w:r>
      <w:r>
        <w:tab/>
        <w:t>COM(2015) 192 final, „O strategie privind piața unică digitală pentru Europa”.</w:t>
      </w:r>
    </w:p>
  </w:footnote>
  <w:footnote w:id="14">
    <w:p>
      <w:pPr>
        <w:pStyle w:val="FootnoteText"/>
        <w:spacing w:after="0"/>
      </w:pPr>
      <w:r>
        <w:rPr>
          <w:rStyle w:val="FootnoteReference"/>
        </w:rPr>
        <w:footnoteRef/>
      </w:r>
      <w:r>
        <w:t xml:space="preserve"> </w:t>
      </w:r>
      <w:r>
        <w:tab/>
        <w:t>https://ec.europa.eu/digital-single-market/en/news/digital-single-market-mid-term-review.</w:t>
      </w:r>
    </w:p>
  </w:footnote>
  <w:footnote w:id="15">
    <w:p>
      <w:pPr>
        <w:pStyle w:val="FootnoteText"/>
        <w:spacing w:after="0"/>
      </w:pPr>
      <w:r>
        <w:rPr>
          <w:rStyle w:val="FootnoteReference"/>
        </w:rPr>
        <w:footnoteRef/>
      </w:r>
      <w:r>
        <w:t xml:space="preserve"> </w:t>
      </w:r>
      <w:r>
        <w:tab/>
        <w:t>COM(2014) 527 final, Strategia și planul de acțiune UE pentru gestionarea riscurilor vamale: combaterea riscurilor, consolidarea securității lanțului de aprovizionare și facilitarea comerțului.</w:t>
      </w:r>
    </w:p>
  </w:footnote>
  <w:footnote w:id="16">
    <w:p>
      <w:pPr>
        <w:pStyle w:val="FootnoteText"/>
        <w:spacing w:after="0"/>
      </w:pPr>
      <w:r>
        <w:rPr>
          <w:rStyle w:val="FootnoteReference"/>
        </w:rPr>
        <w:footnoteRef/>
      </w:r>
      <w:r>
        <w:t xml:space="preserve"> </w:t>
      </w:r>
      <w:r>
        <w:tab/>
        <w:t xml:space="preserve">Comisia Europeană, </w:t>
      </w:r>
      <w:r>
        <w:rPr>
          <w:i/>
        </w:rPr>
        <w:t>Documentul de reflecție privind valorificarea oportunităților oferite de globalizare</w:t>
      </w:r>
      <w:r>
        <w:t>, 10 mai 2017.</w:t>
      </w:r>
    </w:p>
  </w:footnote>
  <w:footnote w:id="17">
    <w:p>
      <w:pPr>
        <w:pStyle w:val="FootnoteText"/>
      </w:pPr>
      <w:r>
        <w:rPr>
          <w:rStyle w:val="FootnoteReference"/>
        </w:rPr>
        <w:footnoteRef/>
      </w:r>
      <w:r>
        <w:t xml:space="preserve"> </w:t>
      </w:r>
      <w:r>
        <w:tab/>
        <w:t xml:space="preserve">În conformitate cu principiul </w:t>
      </w:r>
      <w:r>
        <w:rPr>
          <w:i/>
        </w:rPr>
        <w:t>lex specialis</w:t>
      </w:r>
      <w:r>
        <w:t>, prezenta propunere de regulament privind asigurarea aplicării legislației ar trebui să se aplice numai în măsura în care nu există dispoziții specifice cu același obiectiv, de aceeași natură sau cu aceleași efecte în alte norme, existente sau viitoare, ale legislației Uniunii de armonizare. Acest lucru este deosebit de relevant pentru legislația Uniunii privind precursorii de droguri, dispozitivele medicale, dispozitivele medicale pentru diagnostic in vitro; etc.</w:t>
      </w:r>
    </w:p>
  </w:footnote>
  <w:footnote w:id="18">
    <w:p>
      <w:pPr>
        <w:pStyle w:val="FootnoteText"/>
        <w:spacing w:after="0"/>
      </w:pPr>
      <w:r>
        <w:rPr>
          <w:rStyle w:val="FootnoteReference"/>
        </w:rPr>
        <w:footnoteRef/>
      </w:r>
      <w:r>
        <w:t xml:space="preserve"> </w:t>
      </w:r>
      <w:r>
        <w:tab/>
        <w:t>Un produs poate fi pus la dispoziție pe piață numai dacă în Uniune există o persoană responsabilă cu oferirea de informații privind conformitatea și dacă aceasta poate fi un interlocutor direct pentru autoritățile de supraveghere a pieței. Această persoană poate fi producătorul, importatorul sau orice alt operator economic mandatat de către producător și ea trebuie să păstreze documentația tehnică relevantă, inclusiv declarația de conformitate UE, atunci când este cazul, a produsului și să o pună la dispoziția autorităților de supraveghere a pieței, la cerere.</w:t>
      </w:r>
    </w:p>
  </w:footnote>
  <w:footnote w:id="19">
    <w:p>
      <w:pPr>
        <w:pStyle w:val="FootnoteText"/>
        <w:spacing w:after="0"/>
      </w:pPr>
      <w:r>
        <w:rPr>
          <w:rStyle w:val="FootnoteReference"/>
        </w:rPr>
        <w:footnoteRef/>
      </w:r>
      <w:r>
        <w:t xml:space="preserve"> </w:t>
      </w:r>
      <w:r>
        <w:tab/>
        <w:t xml:space="preserve">În contextul încălcărilor drepturilor de proprietate intelectuală, memorandumurile de înțelegere sunt utilizate între partenerii din acest sector, a se vedea Comunicarea Comisiei </w:t>
      </w:r>
      <w:r>
        <w:rPr>
          <w:color w:val="333333"/>
        </w:rPr>
        <w:t>privind un sistem echilibrat de asigurare a respectării PI ca răspuns la provocările societale actuale [</w:t>
      </w:r>
      <w:r>
        <w:t xml:space="preserve">SWD(2017) 430 final], p. 8-9. </w:t>
      </w:r>
    </w:p>
  </w:footnote>
  <w:footnote w:id="20">
    <w:p>
      <w:pPr>
        <w:pStyle w:val="FootnoteText"/>
        <w:spacing w:after="0"/>
      </w:pPr>
      <w:r>
        <w:rPr>
          <w:rStyle w:val="FootnoteReference"/>
        </w:rPr>
        <w:footnoteRef/>
      </w:r>
      <w:r>
        <w:t xml:space="preserve"> </w:t>
      </w:r>
      <w:r>
        <w:tab/>
        <w:t>https://ec.europa.eu/growth/single-market/goods/free-movement-sectors/mutual-recognition/contacts-list_ro.</w:t>
      </w:r>
    </w:p>
  </w:footnote>
  <w:footnote w:id="21">
    <w:p>
      <w:pPr>
        <w:pStyle w:val="FootnoteText"/>
        <w:spacing w:after="0"/>
      </w:pPr>
      <w:r>
        <w:rPr>
          <w:rStyle w:val="FootnoteReference"/>
        </w:rPr>
        <w:footnoteRef/>
      </w:r>
      <w:r>
        <w:t xml:space="preserve"> </w:t>
      </w:r>
      <w:r>
        <w:tab/>
        <w:t>SWD(2017)466 - Document de lucru al serviciilor Comisie, Evaluarea impactului care însoțește documentul intitulat Propunere de regulament al Parlamentului European și al Consiliului de stabilire a unor norme și proceduri pentru respectarea și asigurarea aplicării legislației de armonizare a Uniunii privind produsele și de modificare a Regulamentelor (UE) nr. 305/2011, (UE) 2016/424, (UE) 2016/425, (UE) 2016/426 și (UE) 2017/1369 ale Parlamentului European și ale Consiliului, precum și a Directivelor 2009/48/CE, 2010/35/UE, 2013/29/UE, 2013/53/UE, 2014/28/UE, 2014/29/UE, 2014/30/UE, 2014/31/UE, 2014/32/UE, 2014/33/UE, 2014/34/UE, 2014/35/UE, 2014/53/UE, 2014/68/UE și 2014/90/UE ale Parlamentului European și ale Consiliului.</w:t>
      </w:r>
    </w:p>
  </w:footnote>
  <w:footnote w:id="22">
    <w:p>
      <w:pPr>
        <w:pStyle w:val="FootnoteText"/>
        <w:spacing w:after="0"/>
      </w:pPr>
      <w:r>
        <w:rPr>
          <w:rStyle w:val="FootnoteReference"/>
        </w:rPr>
        <w:footnoteRef/>
      </w:r>
      <w:r>
        <w:t xml:space="preserve"> </w:t>
      </w:r>
      <w:r>
        <w:tab/>
        <w:t>Aceste interese includ, de exemplu: moralitatea publică, ordinea publică sau securitatea publică; protecția sănătății și vieții oamenilor, animalelor sau plantelor; protejarea unor bunuri de patrimoniu național cu valoare artistică, istorică sau arheologică; sau protecția proprietății industriale și comerciale.</w:t>
      </w:r>
    </w:p>
  </w:footnote>
  <w:footnote w:id="23">
    <w:p>
      <w:pPr>
        <w:pStyle w:val="FootnoteText"/>
        <w:spacing w:after="0"/>
      </w:pPr>
      <w:r>
        <w:rPr>
          <w:rStyle w:val="FootnoteReference"/>
        </w:rPr>
        <w:footnoteRef/>
      </w:r>
      <w:r>
        <w:t xml:space="preserve"> </w:t>
      </w:r>
      <w:r>
        <w:tab/>
        <w:t xml:space="preserve">A se vedea și: „The Cost of Non- Europe in the Single Market, 'Cecchini Revisited', An overview of the potential economic gains from further completion of the European Single Market,” http://www.europarl.europa.eu/RegData/etudes/STUD/2014/510981 /EPRS STU(2014)510981 REVl_EN.pdf. </w:t>
      </w:r>
    </w:p>
  </w:footnote>
  <w:footnote w:id="24">
    <w:p>
      <w:pPr>
        <w:pStyle w:val="FootnoteText"/>
        <w:spacing w:after="0"/>
      </w:pPr>
      <w:r>
        <w:rPr>
          <w:rStyle w:val="FootnoteReference"/>
        </w:rPr>
        <w:footnoteRef/>
      </w:r>
      <w:r>
        <w:t xml:space="preserve"> </w:t>
      </w:r>
      <w:r>
        <w:tab/>
        <w:t>Idem.</w:t>
      </w:r>
    </w:p>
  </w:footnote>
  <w:footnote w:id="25">
    <w:p>
      <w:pPr>
        <w:pStyle w:val="FootnoteText"/>
        <w:spacing w:after="0"/>
      </w:pPr>
      <w:r>
        <w:rPr>
          <w:rStyle w:val="FootnoteReference"/>
        </w:rPr>
        <w:footnoteRef/>
      </w:r>
      <w:r>
        <w:t xml:space="preserve"> </w:t>
      </w:r>
      <w:r>
        <w:tab/>
        <w:t>Articolele 34 și 36 din tratat.</w:t>
      </w:r>
    </w:p>
  </w:footnote>
  <w:footnote w:id="26">
    <w:p>
      <w:pPr>
        <w:pStyle w:val="FootnoteText"/>
        <w:spacing w:after="0"/>
      </w:pPr>
      <w:r>
        <w:rPr>
          <w:rStyle w:val="FootnoteReference"/>
        </w:rPr>
        <w:footnoteRef/>
      </w:r>
      <w:r>
        <w:t xml:space="preserve"> </w:t>
      </w:r>
      <w:r>
        <w:tab/>
        <w:t>Regulamentul (CE) nr. 764/2008 al Parlamentului European și al Consiliului din 9 iulie 2008 de stabilire a unor proceduri de aplicare a anumitor norme tehnice naționale pentru produsele comercializate în mod legal în alt stat membru și de abrogare a Deciziei nr. 3052/95/CE (JO L 218, 13.8.2008, p. 21).</w:t>
      </w:r>
    </w:p>
  </w:footnote>
  <w:footnote w:id="27">
    <w:p>
      <w:pPr>
        <w:pStyle w:val="FootnoteText"/>
        <w:spacing w:after="0"/>
        <w:rPr>
          <w:rStyle w:val="FootnoteReference"/>
        </w:rPr>
      </w:pPr>
      <w:r>
        <w:rPr>
          <w:rStyle w:val="FootnoteReference"/>
        </w:rPr>
        <w:footnoteRef/>
      </w:r>
      <w:r>
        <w:rPr>
          <w:rStyle w:val="FootnoteReference"/>
        </w:rPr>
        <w:t xml:space="preserve"> </w:t>
      </w:r>
      <w:r>
        <w:tab/>
      </w:r>
      <w:r>
        <w:rPr>
          <w:rStyle w:val="FootnoteReference"/>
          <w:vertAlign w:val="baseline"/>
        </w:rPr>
        <w:t>Punctele</w:t>
      </w:r>
      <w:r>
        <w:t xml:space="preserve"> de informare</w:t>
      </w:r>
      <w:r>
        <w:rPr>
          <w:rStyle w:val="FootnoteReference"/>
          <w:vertAlign w:val="baseline"/>
        </w:rPr>
        <w:t>pentru produs</w:t>
      </w:r>
      <w:r>
        <w:t xml:space="preserve"> reprezintă </w:t>
      </w:r>
      <w:r>
        <w:rPr>
          <w:rStyle w:val="FootnoteReference"/>
          <w:vertAlign w:val="baseline"/>
        </w:rPr>
        <w:t xml:space="preserve">interfața dintre întreprinderi și administrațiile naționale și </w:t>
      </w:r>
      <w:r>
        <w:t>l</w:t>
      </w:r>
      <w:r>
        <w:rPr>
          <w:rStyle w:val="FootnoteReference"/>
          <w:vertAlign w:val="baseline"/>
        </w:rPr>
        <w:t>ocul unde se pot găsi informații cu privire la toate normele naționale aplicabile</w:t>
      </w:r>
      <w:r>
        <w:t>.</w:t>
      </w:r>
      <w:r>
        <w:rPr>
          <w:rStyle w:val="FootnoteReference"/>
          <w:vertAlign w:val="baseline"/>
        </w:rPr>
        <w:t xml:space="preserve"> </w:t>
      </w:r>
    </w:p>
  </w:footnote>
  <w:footnote w:id="28">
    <w:p>
      <w:pPr>
        <w:pStyle w:val="FootnoteText"/>
        <w:spacing w:after="0"/>
      </w:pPr>
      <w:r>
        <w:rPr>
          <w:rStyle w:val="FootnoteReference"/>
        </w:rPr>
        <w:footnoteRef/>
      </w:r>
      <w:r>
        <w:tab/>
      </w:r>
      <w:hyperlink r:id="rId2">
        <w:r>
          <w:rPr>
            <w:rStyle w:val="Hyperlink"/>
          </w:rPr>
          <w:t>http://ec.europa.eu/growth/single-market/goods/free-movement-sectors/mutual-recognition/products-list_ro</w:t>
        </w:r>
      </w:hyperlink>
      <w:r>
        <w:t xml:space="preserve">. </w:t>
      </w:r>
    </w:p>
  </w:footnote>
  <w:footnote w:id="29">
    <w:p>
      <w:pPr>
        <w:spacing w:after="0"/>
        <w:ind w:left="357" w:hanging="357"/>
        <w:rPr>
          <w:i/>
          <w:sz w:val="20"/>
        </w:rPr>
      </w:pPr>
      <w:r>
        <w:rPr>
          <w:rStyle w:val="FootnoteReference"/>
          <w:sz w:val="20"/>
        </w:rPr>
        <w:footnoteRef/>
      </w:r>
      <w:r>
        <w:rPr>
          <w:rStyle w:val="FootnoteReference"/>
          <w:sz w:val="20"/>
        </w:rPr>
        <w:t xml:space="preserve"> </w:t>
      </w:r>
      <w:r>
        <w:tab/>
      </w:r>
      <w:r>
        <w:rPr>
          <w:sz w:val="20"/>
        </w:rPr>
        <w:t>Acest lucru nu se aplică produselor originare din statele AELS și Turcia care au fost excluse din Acordul privind SEE sau din uniunea vamală cu Turcia (de exemplu, peștele și produsele din pește).</w:t>
      </w:r>
    </w:p>
    <w:p>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3201743"/>
    <w:multiLevelType w:val="hybridMultilevel"/>
    <w:tmpl w:val="106A2184"/>
    <w:lvl w:ilvl="0" w:tplc="08090001">
      <w:start w:val="1"/>
      <w:numFmt w:val="bullet"/>
      <w:lvlText w:val=""/>
      <w:lvlJc w:val="left"/>
      <w:pPr>
        <w:ind w:left="1202" w:hanging="360"/>
      </w:pPr>
      <w:rPr>
        <w:rFonts w:ascii="Symbol" w:hAnsi="Symbol" w:hint="default"/>
      </w:rPr>
    </w:lvl>
    <w:lvl w:ilvl="1" w:tplc="08090003" w:tentative="1">
      <w:start w:val="1"/>
      <w:numFmt w:val="bullet"/>
      <w:lvlText w:val="o"/>
      <w:lvlJc w:val="left"/>
      <w:pPr>
        <w:ind w:left="1922" w:hanging="360"/>
      </w:pPr>
      <w:rPr>
        <w:rFonts w:ascii="Courier New" w:hAnsi="Courier New" w:cs="Courier New" w:hint="default"/>
      </w:rPr>
    </w:lvl>
    <w:lvl w:ilvl="2" w:tplc="08090005" w:tentative="1">
      <w:start w:val="1"/>
      <w:numFmt w:val="bullet"/>
      <w:lvlText w:val=""/>
      <w:lvlJc w:val="left"/>
      <w:pPr>
        <w:ind w:left="2642" w:hanging="360"/>
      </w:pPr>
      <w:rPr>
        <w:rFonts w:ascii="Wingdings" w:hAnsi="Wingdings" w:hint="default"/>
      </w:rPr>
    </w:lvl>
    <w:lvl w:ilvl="3" w:tplc="08090001" w:tentative="1">
      <w:start w:val="1"/>
      <w:numFmt w:val="bullet"/>
      <w:lvlText w:val=""/>
      <w:lvlJc w:val="left"/>
      <w:pPr>
        <w:ind w:left="3362" w:hanging="360"/>
      </w:pPr>
      <w:rPr>
        <w:rFonts w:ascii="Symbol" w:hAnsi="Symbol" w:hint="default"/>
      </w:rPr>
    </w:lvl>
    <w:lvl w:ilvl="4" w:tplc="08090003" w:tentative="1">
      <w:start w:val="1"/>
      <w:numFmt w:val="bullet"/>
      <w:lvlText w:val="o"/>
      <w:lvlJc w:val="left"/>
      <w:pPr>
        <w:ind w:left="4082" w:hanging="360"/>
      </w:pPr>
      <w:rPr>
        <w:rFonts w:ascii="Courier New" w:hAnsi="Courier New" w:cs="Courier New" w:hint="default"/>
      </w:rPr>
    </w:lvl>
    <w:lvl w:ilvl="5" w:tplc="08090005" w:tentative="1">
      <w:start w:val="1"/>
      <w:numFmt w:val="bullet"/>
      <w:lvlText w:val=""/>
      <w:lvlJc w:val="left"/>
      <w:pPr>
        <w:ind w:left="4802" w:hanging="360"/>
      </w:pPr>
      <w:rPr>
        <w:rFonts w:ascii="Wingdings" w:hAnsi="Wingdings" w:hint="default"/>
      </w:rPr>
    </w:lvl>
    <w:lvl w:ilvl="6" w:tplc="08090001" w:tentative="1">
      <w:start w:val="1"/>
      <w:numFmt w:val="bullet"/>
      <w:lvlText w:val=""/>
      <w:lvlJc w:val="left"/>
      <w:pPr>
        <w:ind w:left="5522" w:hanging="360"/>
      </w:pPr>
      <w:rPr>
        <w:rFonts w:ascii="Symbol" w:hAnsi="Symbol" w:hint="default"/>
      </w:rPr>
    </w:lvl>
    <w:lvl w:ilvl="7" w:tplc="08090003" w:tentative="1">
      <w:start w:val="1"/>
      <w:numFmt w:val="bullet"/>
      <w:lvlText w:val="o"/>
      <w:lvlJc w:val="left"/>
      <w:pPr>
        <w:ind w:left="6242" w:hanging="360"/>
      </w:pPr>
      <w:rPr>
        <w:rFonts w:ascii="Courier New" w:hAnsi="Courier New" w:cs="Courier New" w:hint="default"/>
      </w:rPr>
    </w:lvl>
    <w:lvl w:ilvl="8" w:tplc="08090005" w:tentative="1">
      <w:start w:val="1"/>
      <w:numFmt w:val="bullet"/>
      <w:lvlText w:val=""/>
      <w:lvlJc w:val="left"/>
      <w:pPr>
        <w:ind w:left="6962" w:hanging="360"/>
      </w:pPr>
      <w:rPr>
        <w:rFonts w:ascii="Wingdings" w:hAnsi="Wingdings" w:hint="default"/>
      </w:rPr>
    </w:lvl>
  </w:abstractNum>
  <w:abstractNum w:abstractNumId="3">
    <w:nsid w:val="08DE61A8"/>
    <w:multiLevelType w:val="hybridMultilevel"/>
    <w:tmpl w:val="686A40CA"/>
    <w:name w:val="LegalNumParListTemplate3"/>
    <w:lvl w:ilvl="0" w:tplc="A588FCC0">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1530A4"/>
    <w:multiLevelType w:val="multilevel"/>
    <w:tmpl w:val="F726392E"/>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1F734306"/>
    <w:multiLevelType w:val="multilevel"/>
    <w:tmpl w:val="BC186E26"/>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3556"/>
        </w:tabs>
        <w:ind w:left="3556"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2E44180"/>
    <w:multiLevelType w:val="multilevel"/>
    <w:tmpl w:val="0A887394"/>
    <w:lvl w:ilvl="0">
      <w:start w:val="1"/>
      <w:numFmt w:val="decimal"/>
      <w:lvlRestart w:val="0"/>
      <w:lvlText w:val="%1."/>
      <w:lvlJc w:val="left"/>
      <w:pPr>
        <w:tabs>
          <w:tab w:val="num" w:pos="850"/>
        </w:tabs>
        <w:ind w:left="850" w:hanging="850"/>
      </w:pPr>
      <w:rPr>
        <w:i w:val="0"/>
      </w:r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9">
    <w:nsid w:val="2C78351F"/>
    <w:multiLevelType w:val="hybridMultilevel"/>
    <w:tmpl w:val="4698BDB8"/>
    <w:lvl w:ilvl="0" w:tplc="08090001">
      <w:start w:val="1"/>
      <w:numFmt w:val="bullet"/>
      <w:lvlText w:val=""/>
      <w:lvlJc w:val="left"/>
      <w:pPr>
        <w:ind w:left="1202" w:hanging="360"/>
      </w:pPr>
      <w:rPr>
        <w:rFonts w:ascii="Symbol" w:hAnsi="Symbol" w:hint="default"/>
      </w:rPr>
    </w:lvl>
    <w:lvl w:ilvl="1" w:tplc="08090003" w:tentative="1">
      <w:start w:val="1"/>
      <w:numFmt w:val="bullet"/>
      <w:lvlText w:val="o"/>
      <w:lvlJc w:val="left"/>
      <w:pPr>
        <w:ind w:left="1922" w:hanging="360"/>
      </w:pPr>
      <w:rPr>
        <w:rFonts w:ascii="Courier New" w:hAnsi="Courier New" w:cs="Courier New" w:hint="default"/>
      </w:rPr>
    </w:lvl>
    <w:lvl w:ilvl="2" w:tplc="08090005" w:tentative="1">
      <w:start w:val="1"/>
      <w:numFmt w:val="bullet"/>
      <w:lvlText w:val=""/>
      <w:lvlJc w:val="left"/>
      <w:pPr>
        <w:ind w:left="2642" w:hanging="360"/>
      </w:pPr>
      <w:rPr>
        <w:rFonts w:ascii="Wingdings" w:hAnsi="Wingdings" w:hint="default"/>
      </w:rPr>
    </w:lvl>
    <w:lvl w:ilvl="3" w:tplc="08090001" w:tentative="1">
      <w:start w:val="1"/>
      <w:numFmt w:val="bullet"/>
      <w:lvlText w:val=""/>
      <w:lvlJc w:val="left"/>
      <w:pPr>
        <w:ind w:left="3362" w:hanging="360"/>
      </w:pPr>
      <w:rPr>
        <w:rFonts w:ascii="Symbol" w:hAnsi="Symbol" w:hint="default"/>
      </w:rPr>
    </w:lvl>
    <w:lvl w:ilvl="4" w:tplc="08090003" w:tentative="1">
      <w:start w:val="1"/>
      <w:numFmt w:val="bullet"/>
      <w:lvlText w:val="o"/>
      <w:lvlJc w:val="left"/>
      <w:pPr>
        <w:ind w:left="4082" w:hanging="360"/>
      </w:pPr>
      <w:rPr>
        <w:rFonts w:ascii="Courier New" w:hAnsi="Courier New" w:cs="Courier New" w:hint="default"/>
      </w:rPr>
    </w:lvl>
    <w:lvl w:ilvl="5" w:tplc="08090005" w:tentative="1">
      <w:start w:val="1"/>
      <w:numFmt w:val="bullet"/>
      <w:lvlText w:val=""/>
      <w:lvlJc w:val="left"/>
      <w:pPr>
        <w:ind w:left="4802" w:hanging="360"/>
      </w:pPr>
      <w:rPr>
        <w:rFonts w:ascii="Wingdings" w:hAnsi="Wingdings" w:hint="default"/>
      </w:rPr>
    </w:lvl>
    <w:lvl w:ilvl="6" w:tplc="08090001" w:tentative="1">
      <w:start w:val="1"/>
      <w:numFmt w:val="bullet"/>
      <w:lvlText w:val=""/>
      <w:lvlJc w:val="left"/>
      <w:pPr>
        <w:ind w:left="5522" w:hanging="360"/>
      </w:pPr>
      <w:rPr>
        <w:rFonts w:ascii="Symbol" w:hAnsi="Symbol" w:hint="default"/>
      </w:rPr>
    </w:lvl>
    <w:lvl w:ilvl="7" w:tplc="08090003" w:tentative="1">
      <w:start w:val="1"/>
      <w:numFmt w:val="bullet"/>
      <w:lvlText w:val="o"/>
      <w:lvlJc w:val="left"/>
      <w:pPr>
        <w:ind w:left="6242" w:hanging="360"/>
      </w:pPr>
      <w:rPr>
        <w:rFonts w:ascii="Courier New" w:hAnsi="Courier New" w:cs="Courier New" w:hint="default"/>
      </w:rPr>
    </w:lvl>
    <w:lvl w:ilvl="8" w:tplc="08090005" w:tentative="1">
      <w:start w:val="1"/>
      <w:numFmt w:val="bullet"/>
      <w:lvlText w:val=""/>
      <w:lvlJc w:val="left"/>
      <w:pPr>
        <w:ind w:left="6962" w:hanging="360"/>
      </w:pPr>
      <w:rPr>
        <w:rFonts w:ascii="Wingdings" w:hAnsi="Wingdings" w:hint="default"/>
      </w:rPr>
    </w:lvl>
  </w:abstractNum>
  <w:abstractNum w:abstractNumId="1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2CF72E2E"/>
    <w:multiLevelType w:val="hybridMultilevel"/>
    <w:tmpl w:val="A0B8657C"/>
    <w:lvl w:ilvl="0" w:tplc="08090001">
      <w:start w:val="1"/>
      <w:numFmt w:val="bullet"/>
      <w:lvlText w:val=""/>
      <w:lvlJc w:val="left"/>
      <w:pPr>
        <w:ind w:left="1202" w:hanging="360"/>
      </w:pPr>
      <w:rPr>
        <w:rFonts w:ascii="Symbol" w:hAnsi="Symbol" w:hint="default"/>
      </w:rPr>
    </w:lvl>
    <w:lvl w:ilvl="1" w:tplc="08090003" w:tentative="1">
      <w:start w:val="1"/>
      <w:numFmt w:val="bullet"/>
      <w:lvlText w:val="o"/>
      <w:lvlJc w:val="left"/>
      <w:pPr>
        <w:ind w:left="1922" w:hanging="360"/>
      </w:pPr>
      <w:rPr>
        <w:rFonts w:ascii="Courier New" w:hAnsi="Courier New" w:cs="Courier New" w:hint="default"/>
      </w:rPr>
    </w:lvl>
    <w:lvl w:ilvl="2" w:tplc="08090005" w:tentative="1">
      <w:start w:val="1"/>
      <w:numFmt w:val="bullet"/>
      <w:lvlText w:val=""/>
      <w:lvlJc w:val="left"/>
      <w:pPr>
        <w:ind w:left="2642" w:hanging="360"/>
      </w:pPr>
      <w:rPr>
        <w:rFonts w:ascii="Wingdings" w:hAnsi="Wingdings" w:hint="default"/>
      </w:rPr>
    </w:lvl>
    <w:lvl w:ilvl="3" w:tplc="08090001" w:tentative="1">
      <w:start w:val="1"/>
      <w:numFmt w:val="bullet"/>
      <w:lvlText w:val=""/>
      <w:lvlJc w:val="left"/>
      <w:pPr>
        <w:ind w:left="3362" w:hanging="360"/>
      </w:pPr>
      <w:rPr>
        <w:rFonts w:ascii="Symbol" w:hAnsi="Symbol" w:hint="default"/>
      </w:rPr>
    </w:lvl>
    <w:lvl w:ilvl="4" w:tplc="08090003" w:tentative="1">
      <w:start w:val="1"/>
      <w:numFmt w:val="bullet"/>
      <w:lvlText w:val="o"/>
      <w:lvlJc w:val="left"/>
      <w:pPr>
        <w:ind w:left="4082" w:hanging="360"/>
      </w:pPr>
      <w:rPr>
        <w:rFonts w:ascii="Courier New" w:hAnsi="Courier New" w:cs="Courier New" w:hint="default"/>
      </w:rPr>
    </w:lvl>
    <w:lvl w:ilvl="5" w:tplc="08090005" w:tentative="1">
      <w:start w:val="1"/>
      <w:numFmt w:val="bullet"/>
      <w:lvlText w:val=""/>
      <w:lvlJc w:val="left"/>
      <w:pPr>
        <w:ind w:left="4802" w:hanging="360"/>
      </w:pPr>
      <w:rPr>
        <w:rFonts w:ascii="Wingdings" w:hAnsi="Wingdings" w:hint="default"/>
      </w:rPr>
    </w:lvl>
    <w:lvl w:ilvl="6" w:tplc="08090001" w:tentative="1">
      <w:start w:val="1"/>
      <w:numFmt w:val="bullet"/>
      <w:lvlText w:val=""/>
      <w:lvlJc w:val="left"/>
      <w:pPr>
        <w:ind w:left="5522" w:hanging="360"/>
      </w:pPr>
      <w:rPr>
        <w:rFonts w:ascii="Symbol" w:hAnsi="Symbol" w:hint="default"/>
      </w:rPr>
    </w:lvl>
    <w:lvl w:ilvl="7" w:tplc="08090003" w:tentative="1">
      <w:start w:val="1"/>
      <w:numFmt w:val="bullet"/>
      <w:lvlText w:val="o"/>
      <w:lvlJc w:val="left"/>
      <w:pPr>
        <w:ind w:left="6242" w:hanging="360"/>
      </w:pPr>
      <w:rPr>
        <w:rFonts w:ascii="Courier New" w:hAnsi="Courier New" w:cs="Courier New" w:hint="default"/>
      </w:rPr>
    </w:lvl>
    <w:lvl w:ilvl="8" w:tplc="08090005" w:tentative="1">
      <w:start w:val="1"/>
      <w:numFmt w:val="bullet"/>
      <w:lvlText w:val=""/>
      <w:lvlJc w:val="left"/>
      <w:pPr>
        <w:ind w:left="6962" w:hanging="360"/>
      </w:pPr>
      <w:rPr>
        <w:rFonts w:ascii="Wingdings" w:hAnsi="Wingdings" w:hint="default"/>
      </w:rPr>
    </w:lvl>
  </w:abstractNum>
  <w:abstractNum w:abstractNumId="12">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4">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8D74D0F"/>
    <w:multiLevelType w:val="hybridMultilevel"/>
    <w:tmpl w:val="0B287C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7">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8">
    <w:nsid w:val="3E28334E"/>
    <w:multiLevelType w:val="hybridMultilevel"/>
    <w:tmpl w:val="6844566E"/>
    <w:lvl w:ilvl="0" w:tplc="08090001">
      <w:start w:val="1"/>
      <w:numFmt w:val="bullet"/>
      <w:lvlText w:val=""/>
      <w:lvlJc w:val="left"/>
      <w:pPr>
        <w:ind w:left="1202" w:hanging="360"/>
      </w:pPr>
      <w:rPr>
        <w:rFonts w:ascii="Symbol" w:hAnsi="Symbol" w:hint="default"/>
      </w:rPr>
    </w:lvl>
    <w:lvl w:ilvl="1" w:tplc="08090003" w:tentative="1">
      <w:start w:val="1"/>
      <w:numFmt w:val="bullet"/>
      <w:lvlText w:val="o"/>
      <w:lvlJc w:val="left"/>
      <w:pPr>
        <w:ind w:left="1922" w:hanging="360"/>
      </w:pPr>
      <w:rPr>
        <w:rFonts w:ascii="Courier New" w:hAnsi="Courier New" w:cs="Courier New" w:hint="default"/>
      </w:rPr>
    </w:lvl>
    <w:lvl w:ilvl="2" w:tplc="08090005" w:tentative="1">
      <w:start w:val="1"/>
      <w:numFmt w:val="bullet"/>
      <w:lvlText w:val=""/>
      <w:lvlJc w:val="left"/>
      <w:pPr>
        <w:ind w:left="2642" w:hanging="360"/>
      </w:pPr>
      <w:rPr>
        <w:rFonts w:ascii="Wingdings" w:hAnsi="Wingdings" w:hint="default"/>
      </w:rPr>
    </w:lvl>
    <w:lvl w:ilvl="3" w:tplc="08090001" w:tentative="1">
      <w:start w:val="1"/>
      <w:numFmt w:val="bullet"/>
      <w:lvlText w:val=""/>
      <w:lvlJc w:val="left"/>
      <w:pPr>
        <w:ind w:left="3362" w:hanging="360"/>
      </w:pPr>
      <w:rPr>
        <w:rFonts w:ascii="Symbol" w:hAnsi="Symbol" w:hint="default"/>
      </w:rPr>
    </w:lvl>
    <w:lvl w:ilvl="4" w:tplc="08090003" w:tentative="1">
      <w:start w:val="1"/>
      <w:numFmt w:val="bullet"/>
      <w:lvlText w:val="o"/>
      <w:lvlJc w:val="left"/>
      <w:pPr>
        <w:ind w:left="4082" w:hanging="360"/>
      </w:pPr>
      <w:rPr>
        <w:rFonts w:ascii="Courier New" w:hAnsi="Courier New" w:cs="Courier New" w:hint="default"/>
      </w:rPr>
    </w:lvl>
    <w:lvl w:ilvl="5" w:tplc="08090005" w:tentative="1">
      <w:start w:val="1"/>
      <w:numFmt w:val="bullet"/>
      <w:lvlText w:val=""/>
      <w:lvlJc w:val="left"/>
      <w:pPr>
        <w:ind w:left="4802" w:hanging="360"/>
      </w:pPr>
      <w:rPr>
        <w:rFonts w:ascii="Wingdings" w:hAnsi="Wingdings" w:hint="default"/>
      </w:rPr>
    </w:lvl>
    <w:lvl w:ilvl="6" w:tplc="08090001" w:tentative="1">
      <w:start w:val="1"/>
      <w:numFmt w:val="bullet"/>
      <w:lvlText w:val=""/>
      <w:lvlJc w:val="left"/>
      <w:pPr>
        <w:ind w:left="5522" w:hanging="360"/>
      </w:pPr>
      <w:rPr>
        <w:rFonts w:ascii="Symbol" w:hAnsi="Symbol" w:hint="default"/>
      </w:rPr>
    </w:lvl>
    <w:lvl w:ilvl="7" w:tplc="08090003" w:tentative="1">
      <w:start w:val="1"/>
      <w:numFmt w:val="bullet"/>
      <w:lvlText w:val="o"/>
      <w:lvlJc w:val="left"/>
      <w:pPr>
        <w:ind w:left="6242" w:hanging="360"/>
      </w:pPr>
      <w:rPr>
        <w:rFonts w:ascii="Courier New" w:hAnsi="Courier New" w:cs="Courier New" w:hint="default"/>
      </w:rPr>
    </w:lvl>
    <w:lvl w:ilvl="8" w:tplc="08090005" w:tentative="1">
      <w:start w:val="1"/>
      <w:numFmt w:val="bullet"/>
      <w:lvlText w:val=""/>
      <w:lvlJc w:val="left"/>
      <w:pPr>
        <w:ind w:left="6962" w:hanging="360"/>
      </w:pPr>
      <w:rPr>
        <w:rFonts w:ascii="Wingdings" w:hAnsi="Wingdings" w:hint="default"/>
      </w:rPr>
    </w:lvl>
  </w:abstractNum>
  <w:abstractNum w:abstractNumId="1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1">
    <w:nsid w:val="5B5A4B9D"/>
    <w:multiLevelType w:val="hybridMultilevel"/>
    <w:tmpl w:val="3B7EBB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23">
    <w:nsid w:val="5F464186"/>
    <w:multiLevelType w:val="hybridMultilevel"/>
    <w:tmpl w:val="7E562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02A632C"/>
    <w:multiLevelType w:val="hybridMultilevel"/>
    <w:tmpl w:val="EEE44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6">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27">
    <w:nsid w:val="6A1B4EB0"/>
    <w:multiLevelType w:val="hybridMultilevel"/>
    <w:tmpl w:val="C59C792C"/>
    <w:lvl w:ilvl="0" w:tplc="08090001">
      <w:start w:val="1"/>
      <w:numFmt w:val="bullet"/>
      <w:lvlText w:val=""/>
      <w:lvlJc w:val="left"/>
      <w:pPr>
        <w:ind w:left="1202" w:hanging="360"/>
      </w:pPr>
      <w:rPr>
        <w:rFonts w:ascii="Symbol" w:hAnsi="Symbol" w:hint="default"/>
      </w:rPr>
    </w:lvl>
    <w:lvl w:ilvl="1" w:tplc="08090003" w:tentative="1">
      <w:start w:val="1"/>
      <w:numFmt w:val="bullet"/>
      <w:lvlText w:val="o"/>
      <w:lvlJc w:val="left"/>
      <w:pPr>
        <w:ind w:left="1922" w:hanging="360"/>
      </w:pPr>
      <w:rPr>
        <w:rFonts w:ascii="Courier New" w:hAnsi="Courier New" w:cs="Courier New" w:hint="default"/>
      </w:rPr>
    </w:lvl>
    <w:lvl w:ilvl="2" w:tplc="08090005" w:tentative="1">
      <w:start w:val="1"/>
      <w:numFmt w:val="bullet"/>
      <w:lvlText w:val=""/>
      <w:lvlJc w:val="left"/>
      <w:pPr>
        <w:ind w:left="2642" w:hanging="360"/>
      </w:pPr>
      <w:rPr>
        <w:rFonts w:ascii="Wingdings" w:hAnsi="Wingdings" w:hint="default"/>
      </w:rPr>
    </w:lvl>
    <w:lvl w:ilvl="3" w:tplc="08090001" w:tentative="1">
      <w:start w:val="1"/>
      <w:numFmt w:val="bullet"/>
      <w:lvlText w:val=""/>
      <w:lvlJc w:val="left"/>
      <w:pPr>
        <w:ind w:left="3362" w:hanging="360"/>
      </w:pPr>
      <w:rPr>
        <w:rFonts w:ascii="Symbol" w:hAnsi="Symbol" w:hint="default"/>
      </w:rPr>
    </w:lvl>
    <w:lvl w:ilvl="4" w:tplc="08090003" w:tentative="1">
      <w:start w:val="1"/>
      <w:numFmt w:val="bullet"/>
      <w:lvlText w:val="o"/>
      <w:lvlJc w:val="left"/>
      <w:pPr>
        <w:ind w:left="4082" w:hanging="360"/>
      </w:pPr>
      <w:rPr>
        <w:rFonts w:ascii="Courier New" w:hAnsi="Courier New" w:cs="Courier New" w:hint="default"/>
      </w:rPr>
    </w:lvl>
    <w:lvl w:ilvl="5" w:tplc="08090005" w:tentative="1">
      <w:start w:val="1"/>
      <w:numFmt w:val="bullet"/>
      <w:lvlText w:val=""/>
      <w:lvlJc w:val="left"/>
      <w:pPr>
        <w:ind w:left="4802" w:hanging="360"/>
      </w:pPr>
      <w:rPr>
        <w:rFonts w:ascii="Wingdings" w:hAnsi="Wingdings" w:hint="default"/>
      </w:rPr>
    </w:lvl>
    <w:lvl w:ilvl="6" w:tplc="08090001" w:tentative="1">
      <w:start w:val="1"/>
      <w:numFmt w:val="bullet"/>
      <w:lvlText w:val=""/>
      <w:lvlJc w:val="left"/>
      <w:pPr>
        <w:ind w:left="5522" w:hanging="360"/>
      </w:pPr>
      <w:rPr>
        <w:rFonts w:ascii="Symbol" w:hAnsi="Symbol" w:hint="default"/>
      </w:rPr>
    </w:lvl>
    <w:lvl w:ilvl="7" w:tplc="08090003" w:tentative="1">
      <w:start w:val="1"/>
      <w:numFmt w:val="bullet"/>
      <w:lvlText w:val="o"/>
      <w:lvlJc w:val="left"/>
      <w:pPr>
        <w:ind w:left="6242" w:hanging="360"/>
      </w:pPr>
      <w:rPr>
        <w:rFonts w:ascii="Courier New" w:hAnsi="Courier New" w:cs="Courier New" w:hint="default"/>
      </w:rPr>
    </w:lvl>
    <w:lvl w:ilvl="8" w:tplc="08090005" w:tentative="1">
      <w:start w:val="1"/>
      <w:numFmt w:val="bullet"/>
      <w:lvlText w:val=""/>
      <w:lvlJc w:val="left"/>
      <w:pPr>
        <w:ind w:left="6962" w:hanging="360"/>
      </w:pPr>
      <w:rPr>
        <w:rFonts w:ascii="Wingdings" w:hAnsi="Wingdings" w:hint="default"/>
      </w:rPr>
    </w:lvl>
  </w:abstractNum>
  <w:abstractNum w:abstractNumId="28">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29">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730B4455"/>
    <w:multiLevelType w:val="hybridMultilevel"/>
    <w:tmpl w:val="52249FF6"/>
    <w:lvl w:ilvl="0" w:tplc="08090001">
      <w:start w:val="1"/>
      <w:numFmt w:val="bullet"/>
      <w:lvlText w:val=""/>
      <w:lvlJc w:val="left"/>
      <w:pPr>
        <w:ind w:left="1202" w:hanging="360"/>
      </w:pPr>
      <w:rPr>
        <w:rFonts w:ascii="Symbol" w:hAnsi="Symbol" w:hint="default"/>
      </w:rPr>
    </w:lvl>
    <w:lvl w:ilvl="1" w:tplc="08090003" w:tentative="1">
      <w:start w:val="1"/>
      <w:numFmt w:val="bullet"/>
      <w:lvlText w:val="o"/>
      <w:lvlJc w:val="left"/>
      <w:pPr>
        <w:ind w:left="1922" w:hanging="360"/>
      </w:pPr>
      <w:rPr>
        <w:rFonts w:ascii="Courier New" w:hAnsi="Courier New" w:cs="Courier New" w:hint="default"/>
      </w:rPr>
    </w:lvl>
    <w:lvl w:ilvl="2" w:tplc="08090005" w:tentative="1">
      <w:start w:val="1"/>
      <w:numFmt w:val="bullet"/>
      <w:lvlText w:val=""/>
      <w:lvlJc w:val="left"/>
      <w:pPr>
        <w:ind w:left="2642" w:hanging="360"/>
      </w:pPr>
      <w:rPr>
        <w:rFonts w:ascii="Wingdings" w:hAnsi="Wingdings" w:hint="default"/>
      </w:rPr>
    </w:lvl>
    <w:lvl w:ilvl="3" w:tplc="08090001" w:tentative="1">
      <w:start w:val="1"/>
      <w:numFmt w:val="bullet"/>
      <w:lvlText w:val=""/>
      <w:lvlJc w:val="left"/>
      <w:pPr>
        <w:ind w:left="3362" w:hanging="360"/>
      </w:pPr>
      <w:rPr>
        <w:rFonts w:ascii="Symbol" w:hAnsi="Symbol" w:hint="default"/>
      </w:rPr>
    </w:lvl>
    <w:lvl w:ilvl="4" w:tplc="08090003" w:tentative="1">
      <w:start w:val="1"/>
      <w:numFmt w:val="bullet"/>
      <w:lvlText w:val="o"/>
      <w:lvlJc w:val="left"/>
      <w:pPr>
        <w:ind w:left="4082" w:hanging="360"/>
      </w:pPr>
      <w:rPr>
        <w:rFonts w:ascii="Courier New" w:hAnsi="Courier New" w:cs="Courier New" w:hint="default"/>
      </w:rPr>
    </w:lvl>
    <w:lvl w:ilvl="5" w:tplc="08090005" w:tentative="1">
      <w:start w:val="1"/>
      <w:numFmt w:val="bullet"/>
      <w:lvlText w:val=""/>
      <w:lvlJc w:val="left"/>
      <w:pPr>
        <w:ind w:left="4802" w:hanging="360"/>
      </w:pPr>
      <w:rPr>
        <w:rFonts w:ascii="Wingdings" w:hAnsi="Wingdings" w:hint="default"/>
      </w:rPr>
    </w:lvl>
    <w:lvl w:ilvl="6" w:tplc="08090001" w:tentative="1">
      <w:start w:val="1"/>
      <w:numFmt w:val="bullet"/>
      <w:lvlText w:val=""/>
      <w:lvlJc w:val="left"/>
      <w:pPr>
        <w:ind w:left="5522" w:hanging="360"/>
      </w:pPr>
      <w:rPr>
        <w:rFonts w:ascii="Symbol" w:hAnsi="Symbol" w:hint="default"/>
      </w:rPr>
    </w:lvl>
    <w:lvl w:ilvl="7" w:tplc="08090003" w:tentative="1">
      <w:start w:val="1"/>
      <w:numFmt w:val="bullet"/>
      <w:lvlText w:val="o"/>
      <w:lvlJc w:val="left"/>
      <w:pPr>
        <w:ind w:left="6242" w:hanging="360"/>
      </w:pPr>
      <w:rPr>
        <w:rFonts w:ascii="Courier New" w:hAnsi="Courier New" w:cs="Courier New" w:hint="default"/>
      </w:rPr>
    </w:lvl>
    <w:lvl w:ilvl="8" w:tplc="08090005" w:tentative="1">
      <w:start w:val="1"/>
      <w:numFmt w:val="bullet"/>
      <w:lvlText w:val=""/>
      <w:lvlJc w:val="left"/>
      <w:pPr>
        <w:ind w:left="6962" w:hanging="360"/>
      </w:pPr>
      <w:rPr>
        <w:rFonts w:ascii="Wingdings" w:hAnsi="Wingdings" w:hint="default"/>
      </w:rPr>
    </w:lvl>
  </w:abstractNum>
  <w:abstractNum w:abstractNumId="31">
    <w:nsid w:val="757D1A09"/>
    <w:multiLevelType w:val="hybridMultilevel"/>
    <w:tmpl w:val="F6663F6A"/>
    <w:lvl w:ilvl="0" w:tplc="08090001">
      <w:start w:val="1"/>
      <w:numFmt w:val="bullet"/>
      <w:lvlText w:val=""/>
      <w:lvlJc w:val="left"/>
      <w:pPr>
        <w:ind w:left="1202" w:hanging="360"/>
      </w:pPr>
      <w:rPr>
        <w:rFonts w:ascii="Symbol" w:hAnsi="Symbol" w:hint="default"/>
      </w:rPr>
    </w:lvl>
    <w:lvl w:ilvl="1" w:tplc="08090003">
      <w:start w:val="1"/>
      <w:numFmt w:val="bullet"/>
      <w:lvlText w:val="o"/>
      <w:lvlJc w:val="left"/>
      <w:pPr>
        <w:ind w:left="1922" w:hanging="360"/>
      </w:pPr>
      <w:rPr>
        <w:rFonts w:ascii="Courier New" w:hAnsi="Courier New" w:cs="Courier New" w:hint="default"/>
      </w:rPr>
    </w:lvl>
    <w:lvl w:ilvl="2" w:tplc="08090005" w:tentative="1">
      <w:start w:val="1"/>
      <w:numFmt w:val="bullet"/>
      <w:lvlText w:val=""/>
      <w:lvlJc w:val="left"/>
      <w:pPr>
        <w:ind w:left="2642" w:hanging="360"/>
      </w:pPr>
      <w:rPr>
        <w:rFonts w:ascii="Wingdings" w:hAnsi="Wingdings" w:hint="default"/>
      </w:rPr>
    </w:lvl>
    <w:lvl w:ilvl="3" w:tplc="08090001" w:tentative="1">
      <w:start w:val="1"/>
      <w:numFmt w:val="bullet"/>
      <w:lvlText w:val=""/>
      <w:lvlJc w:val="left"/>
      <w:pPr>
        <w:ind w:left="3362" w:hanging="360"/>
      </w:pPr>
      <w:rPr>
        <w:rFonts w:ascii="Symbol" w:hAnsi="Symbol" w:hint="default"/>
      </w:rPr>
    </w:lvl>
    <w:lvl w:ilvl="4" w:tplc="08090003" w:tentative="1">
      <w:start w:val="1"/>
      <w:numFmt w:val="bullet"/>
      <w:lvlText w:val="o"/>
      <w:lvlJc w:val="left"/>
      <w:pPr>
        <w:ind w:left="4082" w:hanging="360"/>
      </w:pPr>
      <w:rPr>
        <w:rFonts w:ascii="Courier New" w:hAnsi="Courier New" w:cs="Courier New" w:hint="default"/>
      </w:rPr>
    </w:lvl>
    <w:lvl w:ilvl="5" w:tplc="08090005" w:tentative="1">
      <w:start w:val="1"/>
      <w:numFmt w:val="bullet"/>
      <w:lvlText w:val=""/>
      <w:lvlJc w:val="left"/>
      <w:pPr>
        <w:ind w:left="4802" w:hanging="360"/>
      </w:pPr>
      <w:rPr>
        <w:rFonts w:ascii="Wingdings" w:hAnsi="Wingdings" w:hint="default"/>
      </w:rPr>
    </w:lvl>
    <w:lvl w:ilvl="6" w:tplc="08090001" w:tentative="1">
      <w:start w:val="1"/>
      <w:numFmt w:val="bullet"/>
      <w:lvlText w:val=""/>
      <w:lvlJc w:val="left"/>
      <w:pPr>
        <w:ind w:left="5522" w:hanging="360"/>
      </w:pPr>
      <w:rPr>
        <w:rFonts w:ascii="Symbol" w:hAnsi="Symbol" w:hint="default"/>
      </w:rPr>
    </w:lvl>
    <w:lvl w:ilvl="7" w:tplc="08090003" w:tentative="1">
      <w:start w:val="1"/>
      <w:numFmt w:val="bullet"/>
      <w:lvlText w:val="o"/>
      <w:lvlJc w:val="left"/>
      <w:pPr>
        <w:ind w:left="6242" w:hanging="360"/>
      </w:pPr>
      <w:rPr>
        <w:rFonts w:ascii="Courier New" w:hAnsi="Courier New" w:cs="Courier New" w:hint="default"/>
      </w:rPr>
    </w:lvl>
    <w:lvl w:ilvl="8" w:tplc="08090005" w:tentative="1">
      <w:start w:val="1"/>
      <w:numFmt w:val="bullet"/>
      <w:lvlText w:val=""/>
      <w:lvlJc w:val="left"/>
      <w:pPr>
        <w:ind w:left="6962" w:hanging="360"/>
      </w:pPr>
      <w:rPr>
        <w:rFonts w:ascii="Wingdings" w:hAnsi="Wingdings" w:hint="default"/>
      </w:rPr>
    </w:lvl>
  </w:abstractNum>
  <w:abstractNum w:abstractNumId="32">
    <w:nsid w:val="7C6B63E6"/>
    <w:multiLevelType w:val="singleLevel"/>
    <w:tmpl w:val="0292EEF0"/>
    <w:name w:val="LegalNumParListTemplate"/>
    <w:lvl w:ilvl="0">
      <w:start w:val="1"/>
      <w:numFmt w:val="decimal"/>
      <w:lvlText w:val="%1."/>
      <w:lvlJc w:val="left"/>
      <w:pPr>
        <w:tabs>
          <w:tab w:val="num" w:pos="476"/>
        </w:tabs>
        <w:ind w:left="476" w:hanging="476"/>
      </w:pPr>
    </w:lvl>
  </w:abstractNum>
  <w:num w:numId="1">
    <w:abstractNumId w:val="1"/>
  </w:num>
  <w:num w:numId="2">
    <w:abstractNumId w:val="0"/>
  </w:num>
  <w:num w:numId="3">
    <w:abstractNumId w:val="5"/>
  </w:num>
  <w:num w:numId="4">
    <w:abstractNumId w:val="17"/>
  </w:num>
  <w:num w:numId="5">
    <w:abstractNumId w:val="8"/>
  </w:num>
  <w:num w:numId="6">
    <w:abstractNumId w:val="16"/>
  </w:num>
  <w:num w:numId="7">
    <w:abstractNumId w:val="26"/>
  </w:num>
  <w:num w:numId="8">
    <w:abstractNumId w:val="28"/>
  </w:num>
  <w:num w:numId="9">
    <w:abstractNumId w:val="13"/>
  </w:num>
  <w:num w:numId="10">
    <w:abstractNumId w:val="25"/>
  </w:num>
  <w:num w:numId="11">
    <w:abstractNumId w:val="22"/>
  </w:num>
  <w:num w:numId="12">
    <w:abstractNumId w:val="19"/>
  </w:num>
  <w:num w:numId="13">
    <w:abstractNumId w:val="20"/>
  </w:num>
  <w:num w:numId="14">
    <w:abstractNumId w:val="6"/>
  </w:num>
  <w:num w:numId="15">
    <w:abstractNumId w:val="14"/>
  </w:num>
  <w:num w:numId="16">
    <w:abstractNumId w:val="4"/>
  </w:num>
  <w:num w:numId="17">
    <w:abstractNumId w:val="10"/>
  </w:num>
  <w:num w:numId="18">
    <w:abstractNumId w:val="29"/>
  </w:num>
  <w:num w:numId="19">
    <w:abstractNumId w:val="12"/>
  </w:num>
  <w:num w:numId="20">
    <w:abstractNumId w:val="32"/>
  </w:num>
  <w:num w:numId="21">
    <w:abstractNumId w:val="3"/>
  </w:num>
  <w:num w:numId="22">
    <w:abstractNumId w:val="12"/>
  </w:num>
  <w:num w:numId="23">
    <w:abstractNumId w:val="12"/>
  </w:num>
  <w:num w:numId="24">
    <w:abstractNumId w:val="12"/>
  </w:num>
  <w:num w:numId="25">
    <w:abstractNumId w:val="12"/>
  </w:num>
  <w:num w:numId="26">
    <w:abstractNumId w:val="12"/>
  </w:num>
  <w:num w:numId="27">
    <w:abstractNumId w:val="12"/>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num>
  <w:num w:numId="31">
    <w:abstractNumId w:val="24"/>
  </w:num>
  <w:num w:numId="32">
    <w:abstractNumId w:val="23"/>
  </w:num>
  <w:num w:numId="33">
    <w:abstractNumId w:val="21"/>
  </w:num>
  <w:num w:numId="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
  </w:num>
  <w:num w:numId="36">
    <w:abstractNumId w:val="5"/>
  </w:num>
  <w:num w:numId="37">
    <w:abstractNumId w:val="5"/>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1"/>
  </w:num>
  <w:num w:numId="40">
    <w:abstractNumId w:val="9"/>
  </w:num>
  <w:num w:numId="41">
    <w:abstractNumId w:val="2"/>
  </w:num>
  <w:num w:numId="42">
    <w:abstractNumId w:val="30"/>
  </w:num>
  <w:num w:numId="43">
    <w:abstractNumId w:val="18"/>
  </w:num>
  <w:num w:numId="44">
    <w:abstractNumId w:val="27"/>
  </w:num>
  <w:num w:numId="45">
    <w:abstractNumId w:val="5"/>
  </w:num>
  <w:num w:numId="46">
    <w:abstractNumId w:val="27"/>
  </w:num>
  <w:num w:numId="47">
    <w:abstractNumId w:val="11"/>
  </w:num>
  <w:num w:numId="48">
    <w:abstractNumId w:val="5"/>
  </w:num>
  <w:num w:numId="49">
    <w:abstractNumId w:val="5"/>
  </w:num>
  <w:num w:numId="50">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removePersonalInformation/>
  <w:removeDateAndTime/>
  <w:displayBackgroundShap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FigNum" w:val="1"/>
    <w:docVar w:name="LW_CORRIGENDUM" w:val="&lt;UNUSED&gt;"/>
    <w:docVar w:name="LW_COVERPAGE_EXISTS" w:val="True"/>
    <w:docVar w:name="LW_COVERPAGE_GUID" w:val="B6FD3A85-D1B0-4F96-A099-67B712C72838"/>
    <w:docVar w:name="LW_COVERPAGE_TYPE" w:val="1"/>
    <w:docVar w:name="LW_CROSSREFERENCE" w:val="&lt;UNUSED&gt;"/>
    <w:docVar w:name="LW_DocType" w:val="REP"/>
    <w:docVar w:name="LW_EMISSION" w:val="19.12.2017"/>
    <w:docVar w:name="LW_EMISSION_ISODATE" w:val="2017-12-19"/>
    <w:docVar w:name="LW_EMISSION_LOCATION" w:val="BRX"/>
    <w:docVar w:name="LW_EMISSION_PREFIX" w:val="Bruxelles, "/>
    <w:docVar w:name="LW_EMISSION_SUFFIX" w:val="&lt;EMPTY&gt;"/>
    <w:docVar w:name="LW_ID_DOCTYPE_NONLW" w:val="CP-013"/>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7) 78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UPERTITRE" w:val="&lt;UNUSED&gt;"/>
    <w:docVar w:name="LW_TITRE.OBJ.CP" w:val="Pachetul privind m\u259?rfurile. Consolidarea încrederii în pia\u539?a unic\u259?"/>
    <w:docVar w:name="LW_TYPE.DOC.CP" w:val="COMUNICARE A COMISIEI C\u258?TRE PARLAMENTUL EUROPEAN, CONSILIU \u536?I COMITETUL ECONOMIC \u536?I SOCIAL EUROPEAN"/>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o-RO" w:eastAsia="ro-RO" w:bidi="ro-RO"/>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footnote text" w:uiPriority="99" w:qFormat="1"/>
    <w:lsdException w:name="header" w:uiPriority="99"/>
    <w:lsdException w:name="footer" w:uiPriority="99"/>
    <w:lsdException w:name="caption" w:semiHidden="0" w:unhideWhenUsed="0" w:qFormat="1"/>
    <w:lsdException w:name="footnote reference" w:uiPriority="99" w:qFormat="1"/>
    <w:lsdException w:name="annotation reference" w:uiPriority="99"/>
    <w:lsdException w:name="line number" w:uiPriority="99"/>
    <w:lsdException w:name="page number" w:uiPriority="99"/>
    <w:lsdException w:name="endnote reference"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aliases w:val="M Caption,Char Char Char,Caption1 Char Char Char Char Char Char Char Char Tegn Tegn Tegn Tegn Tegn,Caption1 Char Char Char Char Char Char Char Char Tegn Tegn Tegn,Caption1 Char Char Char Char Char Char Char Char Tegn Tegn,Ch,Inscription,C,label"/>
    <w:basedOn w:val="Normal"/>
    <w:next w:val="Normal"/>
    <w:link w:val="CaptionChar"/>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rFonts w:eastAsiaTheme="minorHAnsi"/>
      <w:szCs w:val="22"/>
    </w:rPr>
  </w:style>
  <w:style w:type="paragraph" w:styleId="FootnoteText">
    <w:name w:val="footnote text"/>
    <w:basedOn w:val="Normal"/>
    <w:uiPriority w:val="99"/>
    <w:qFormat/>
    <w:pPr>
      <w:ind w:left="357" w:hanging="357"/>
    </w:pPr>
    <w:rPr>
      <w:sz w:val="20"/>
    </w:rPr>
  </w:style>
  <w:style w:type="paragraph" w:styleId="Header">
    <w:name w:val="header"/>
    <w:basedOn w:val="Normal"/>
    <w:link w:val="HeaderChar"/>
    <w:uiPriority w:val="99"/>
    <w:unhideWhenUsed/>
    <w:pPr>
      <w:tabs>
        <w:tab w:val="center" w:pos="4535"/>
        <w:tab w:val="right" w:pos="9071"/>
      </w:tabs>
      <w:spacing w:after="120"/>
    </w:pPr>
    <w:rPr>
      <w:rFonts w:eastAsiaTheme="minorHAnsi"/>
      <w:szCs w:val="22"/>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jc w:val="left"/>
    </w:pPr>
    <w:rPr>
      <w:rFonts w:eastAsiaTheme="minorHAnsi"/>
      <w:szCs w:val="22"/>
    </w:rPr>
  </w:style>
  <w:style w:type="paragraph" w:customStyle="1" w:styleId="LegalNumPar2">
    <w:name w:val="LegalNumPar2"/>
    <w:basedOn w:val="Normal"/>
    <w:pPr>
      <w:numPr>
        <w:ilvl w:val="1"/>
        <w:numId w:val="27"/>
      </w:numPr>
      <w:spacing w:line="360" w:lineRule="auto"/>
      <w:ind w:left="952" w:hanging="476"/>
      <w:jc w:val="left"/>
    </w:pPr>
    <w:rPr>
      <w:rFonts w:eastAsiaTheme="minorHAnsi"/>
      <w:szCs w:val="22"/>
    </w:rPr>
  </w:style>
  <w:style w:type="paragraph" w:customStyle="1" w:styleId="LegalNumPar3">
    <w:name w:val="LegalNumPar3"/>
    <w:basedOn w:val="Normal"/>
    <w:pPr>
      <w:numPr>
        <w:ilvl w:val="2"/>
        <w:numId w:val="27"/>
      </w:numPr>
      <w:spacing w:line="360" w:lineRule="auto"/>
      <w:jc w:val="left"/>
    </w:pPr>
    <w:rPr>
      <w:rFonts w:eastAsiaTheme="minorHAnsi"/>
      <w:szCs w:val="22"/>
    </w:rPr>
  </w:style>
  <w:style w:type="character" w:customStyle="1" w:styleId="FooterChar">
    <w:name w:val="Footer Char"/>
    <w:basedOn w:val="DefaultParagraphFont"/>
    <w:link w:val="Footer"/>
    <w:uiPriority w:val="99"/>
    <w:rPr>
      <w:rFonts w:eastAsiaTheme="minorHAnsi"/>
      <w:sz w:val="24"/>
      <w:szCs w:val="22"/>
      <w:lang w:eastAsia="ro-RO"/>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rPr>
  </w:style>
  <w:style w:type="character" w:customStyle="1" w:styleId="HeaderChar">
    <w:name w:val="Header Char"/>
    <w:basedOn w:val="DefaultParagraphFont"/>
    <w:link w:val="Header"/>
    <w:uiPriority w:val="99"/>
    <w:rPr>
      <w:rFonts w:eastAsiaTheme="minorHAnsi"/>
      <w:sz w:val="24"/>
      <w:szCs w:val="22"/>
      <w:lang w:eastAsia="ro-RO"/>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sz w:val="24"/>
    </w:rPr>
  </w:style>
  <w:style w:type="paragraph" w:customStyle="1" w:styleId="Manu">
    <w:name w:val="Manu"/>
    <w:basedOn w:val="ListNumber2"/>
    <w:pPr>
      <w:pBdr>
        <w:top w:val="single" w:sz="4" w:space="1" w:color="auto"/>
        <w:left w:val="single" w:sz="4" w:space="4" w:color="auto"/>
        <w:bottom w:val="single" w:sz="4" w:space="1" w:color="auto"/>
        <w:right w:val="single" w:sz="4" w:space="4" w:color="auto"/>
      </w:pBdr>
    </w:p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ro-RO"/>
    </w:rPr>
  </w:style>
  <w:style w:type="paragraph" w:customStyle="1" w:styleId="Ann">
    <w:name w:val="Ann"/>
    <w:basedOn w:val="Text1"/>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R,F"/>
    <w:basedOn w:val="DefaultParagraphFont"/>
    <w:link w:val="FootnotesymbolCarZchn"/>
    <w:uiPriority w:val="99"/>
    <w:unhideWhenUsed/>
    <w:qFormat/>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ro-RO"/>
    </w:rPr>
  </w:style>
  <w:style w:type="character" w:customStyle="1" w:styleId="CommentSubjectChar">
    <w:name w:val="Comment Subject Char"/>
    <w:basedOn w:val="CommentTextChar"/>
    <w:link w:val="CommentSubject"/>
    <w:uiPriority w:val="99"/>
    <w:semiHidden/>
    <w:rPr>
      <w:b/>
      <w:bCs/>
      <w:lang w:eastAsia="ro-RO"/>
    </w:rPr>
  </w:style>
  <w:style w:type="character" w:styleId="EndnoteReference">
    <w:name w:val="endnote reference"/>
    <w:basedOn w:val="DefaultParagraphFont"/>
    <w:uiPriority w:val="99"/>
    <w:semiHidden/>
    <w:unhideWhenUsed/>
    <w:rPr>
      <w:vertAlign w:val="superscript"/>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uiPriority w:val="99"/>
    <w:rPr>
      <w:lang w:eastAsia="ro-RO"/>
    </w:rPr>
  </w:style>
  <w:style w:type="character" w:styleId="Hyperlink">
    <w:name w:val="Hyperlink"/>
    <w:basedOn w:val="DefaultParagraphFont"/>
    <w:uiPriority w:val="99"/>
    <w:unhideWhenUsed/>
    <w:rPr>
      <w:color w:val="0000FF" w:themeColor="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sz w:val="20"/>
      <w:vertAlign w:val="superscript"/>
    </w:rPr>
  </w:style>
  <w:style w:type="paragraph" w:styleId="ListParagraph">
    <w:name w:val="List Paragraph"/>
    <w:basedOn w:val="Normal"/>
    <w:uiPriority w:val="34"/>
    <w:qFormat/>
    <w:pPr>
      <w:spacing w:after="0"/>
      <w:ind w:left="720"/>
      <w:jc w:val="left"/>
    </w:pPr>
    <w:rPr>
      <w:rFonts w:eastAsiaTheme="minorHAnsi"/>
      <w:szCs w:val="24"/>
    </w:rPr>
  </w:style>
  <w:style w:type="character" w:customStyle="1" w:styleId="Heading2Char">
    <w:name w:val="Heading 2 Char"/>
    <w:basedOn w:val="DefaultParagraphFont"/>
    <w:link w:val="Heading2"/>
    <w:rPr>
      <w:b/>
      <w:sz w:val="24"/>
      <w:lang w:eastAsia="ro-RO"/>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1Char">
    <w:name w:val="Text 1 Char"/>
    <w:link w:val="Text1"/>
    <w:rPr>
      <w:sz w:val="24"/>
      <w:lang w:eastAsia="ro-RO"/>
    </w:rPr>
  </w:style>
  <w:style w:type="character" w:customStyle="1" w:styleId="CaptionChar">
    <w:name w:val="Caption Char"/>
    <w:aliases w:val="M Caption Char,Char Char Char Char,Caption1 Char Char Char Char Char Char Char Char Tegn Tegn Tegn Tegn Tegn Char,Caption1 Char Char Char Char Char Char Char Char Tegn Tegn Tegn Char,Ch Char,Inscription Char,C Char,label Char"/>
    <w:basedOn w:val="DefaultParagraphFont"/>
    <w:link w:val="Caption"/>
    <w:rPr>
      <w:b/>
      <w:sz w:val="24"/>
      <w:lang w:eastAsia="ro-RO"/>
    </w:rPr>
  </w:style>
  <w:style w:type="character" w:styleId="Strong">
    <w:name w:val="Strong"/>
    <w:basedOn w:val="DefaultParagraphFont"/>
    <w:uiPriority w:val="22"/>
    <w:qFormat/>
    <w:rPr>
      <w:b/>
      <w:bCs/>
    </w:rPr>
  </w:style>
  <w:style w:type="character" w:styleId="SubtleEmphasis">
    <w:name w:val="Subtle Emphasis"/>
    <w:basedOn w:val="DefaultParagraphFont"/>
    <w:uiPriority w:val="19"/>
    <w:qFormat/>
    <w:rPr>
      <w:iCs/>
      <w:color w:val="595959" w:themeColor="text1" w:themeTint="A6"/>
      <w:sz w:val="18"/>
    </w:rPr>
  </w:style>
  <w:style w:type="paragraph" w:styleId="Revision">
    <w:name w:val="Revision"/>
    <w:hidden/>
    <w:uiPriority w:val="99"/>
    <w:semiHidden/>
    <w:rPr>
      <w:sz w:val="24"/>
    </w:rPr>
  </w:style>
  <w:style w:type="paragraph" w:customStyle="1" w:styleId="Declassification">
    <w:name w:val="Declassification"/>
    <w:basedOn w:val="Normal"/>
    <w:next w:val="Normal"/>
    <w:pPr>
      <w:spacing w:after="0"/>
    </w:pPr>
    <w:rPr>
      <w:rFonts w:eastAsiaTheme="minorHAnsi"/>
      <w:szCs w:val="22"/>
    </w:rPr>
  </w:style>
  <w:style w:type="paragraph" w:customStyle="1" w:styleId="HeaderLandscape">
    <w:name w:val="HeaderLandscape"/>
    <w:basedOn w:val="Normal"/>
    <w:pPr>
      <w:tabs>
        <w:tab w:val="center" w:pos="7285"/>
        <w:tab w:val="right" w:pos="14003"/>
      </w:tabs>
      <w:spacing w:after="120"/>
    </w:pPr>
    <w:rPr>
      <w:rFonts w:eastAsiaTheme="minorHAnsi"/>
      <w:szCs w:val="22"/>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rFonts w:eastAsiaTheme="minorHAnsi"/>
      <w:szCs w:val="2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styleId="NormalWeb">
    <w:name w:val="Normal (Web)"/>
    <w:basedOn w:val="Normal"/>
    <w:uiPriority w:val="99"/>
    <w:semiHidden/>
    <w:unhideWhenUsed/>
    <w:pPr>
      <w:spacing w:before="100" w:beforeAutospacing="1" w:after="100" w:afterAutospacing="1"/>
      <w:jc w:val="left"/>
    </w:pPr>
    <w:rPr>
      <w:rFonts w:eastAsiaTheme="minorHAnsi"/>
      <w:szCs w:val="24"/>
    </w:r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o-RO" w:eastAsia="ro-RO" w:bidi="ro-RO"/>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footnote text" w:uiPriority="99" w:qFormat="1"/>
    <w:lsdException w:name="header" w:uiPriority="99"/>
    <w:lsdException w:name="footer" w:uiPriority="99"/>
    <w:lsdException w:name="caption" w:semiHidden="0" w:unhideWhenUsed="0" w:qFormat="1"/>
    <w:lsdException w:name="footnote reference" w:uiPriority="99" w:qFormat="1"/>
    <w:lsdException w:name="annotation reference" w:uiPriority="99"/>
    <w:lsdException w:name="line number" w:uiPriority="99"/>
    <w:lsdException w:name="page number" w:uiPriority="99"/>
    <w:lsdException w:name="endnote reference"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link w:val="Heading2Char"/>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aliases w:val="M Caption,Char Char Char,Caption1 Char Char Char Char Char Char Char Char Tegn Tegn Tegn Tegn Tegn,Caption1 Char Char Char Char Char Char Char Char Tegn Tegn Tegn,Caption1 Char Char Char Char Char Char Char Char Tegn Tegn,Ch,Inscription,C,label"/>
    <w:basedOn w:val="Normal"/>
    <w:next w:val="Normal"/>
    <w:link w:val="CaptionChar"/>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rFonts w:eastAsiaTheme="minorHAnsi"/>
      <w:szCs w:val="22"/>
    </w:rPr>
  </w:style>
  <w:style w:type="paragraph" w:styleId="FootnoteText">
    <w:name w:val="footnote text"/>
    <w:basedOn w:val="Normal"/>
    <w:uiPriority w:val="99"/>
    <w:qFormat/>
    <w:pPr>
      <w:ind w:left="357" w:hanging="357"/>
    </w:pPr>
    <w:rPr>
      <w:sz w:val="20"/>
    </w:rPr>
  </w:style>
  <w:style w:type="paragraph" w:styleId="Header">
    <w:name w:val="header"/>
    <w:basedOn w:val="Normal"/>
    <w:link w:val="HeaderChar"/>
    <w:uiPriority w:val="99"/>
    <w:unhideWhenUsed/>
    <w:pPr>
      <w:tabs>
        <w:tab w:val="center" w:pos="4535"/>
        <w:tab w:val="right" w:pos="9071"/>
      </w:tabs>
      <w:spacing w:after="120"/>
    </w:pPr>
    <w:rPr>
      <w:rFonts w:eastAsiaTheme="minorHAnsi"/>
      <w:szCs w:val="22"/>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jc w:val="left"/>
    </w:pPr>
    <w:rPr>
      <w:rFonts w:eastAsiaTheme="minorHAnsi"/>
      <w:szCs w:val="22"/>
    </w:rPr>
  </w:style>
  <w:style w:type="paragraph" w:customStyle="1" w:styleId="LegalNumPar2">
    <w:name w:val="LegalNumPar2"/>
    <w:basedOn w:val="Normal"/>
    <w:pPr>
      <w:numPr>
        <w:ilvl w:val="1"/>
        <w:numId w:val="27"/>
      </w:numPr>
      <w:spacing w:line="360" w:lineRule="auto"/>
      <w:ind w:left="952" w:hanging="476"/>
      <w:jc w:val="left"/>
    </w:pPr>
    <w:rPr>
      <w:rFonts w:eastAsiaTheme="minorHAnsi"/>
      <w:szCs w:val="22"/>
    </w:rPr>
  </w:style>
  <w:style w:type="paragraph" w:customStyle="1" w:styleId="LegalNumPar3">
    <w:name w:val="LegalNumPar3"/>
    <w:basedOn w:val="Normal"/>
    <w:pPr>
      <w:numPr>
        <w:ilvl w:val="2"/>
        <w:numId w:val="27"/>
      </w:numPr>
      <w:spacing w:line="360" w:lineRule="auto"/>
      <w:jc w:val="left"/>
    </w:pPr>
    <w:rPr>
      <w:rFonts w:eastAsiaTheme="minorHAnsi"/>
      <w:szCs w:val="22"/>
    </w:rPr>
  </w:style>
  <w:style w:type="character" w:customStyle="1" w:styleId="FooterChar">
    <w:name w:val="Footer Char"/>
    <w:basedOn w:val="DefaultParagraphFont"/>
    <w:link w:val="Footer"/>
    <w:uiPriority w:val="99"/>
    <w:rPr>
      <w:rFonts w:eastAsiaTheme="minorHAnsi"/>
      <w:sz w:val="24"/>
      <w:szCs w:val="22"/>
      <w:lang w:eastAsia="ro-RO"/>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rPr>
  </w:style>
  <w:style w:type="character" w:customStyle="1" w:styleId="HeaderChar">
    <w:name w:val="Header Char"/>
    <w:basedOn w:val="DefaultParagraphFont"/>
    <w:link w:val="Header"/>
    <w:uiPriority w:val="99"/>
    <w:rPr>
      <w:rFonts w:eastAsiaTheme="minorHAnsi"/>
      <w:sz w:val="24"/>
      <w:szCs w:val="22"/>
      <w:lang w:eastAsia="ro-RO"/>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sz w:val="24"/>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sz w:val="24"/>
    </w:rPr>
  </w:style>
  <w:style w:type="paragraph" w:customStyle="1" w:styleId="Manu">
    <w:name w:val="Manu"/>
    <w:basedOn w:val="ListNumber2"/>
    <w:pPr>
      <w:pBdr>
        <w:top w:val="single" w:sz="4" w:space="1" w:color="auto"/>
        <w:left w:val="single" w:sz="4" w:space="4" w:color="auto"/>
        <w:bottom w:val="single" w:sz="4" w:space="1" w:color="auto"/>
        <w:right w:val="single" w:sz="4" w:space="4" w:color="auto"/>
      </w:pBdr>
    </w:p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ro-RO"/>
    </w:rPr>
  </w:style>
  <w:style w:type="paragraph" w:customStyle="1" w:styleId="Ann">
    <w:name w:val="Ann"/>
    <w:basedOn w:val="Text1"/>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styli,R,F"/>
    <w:basedOn w:val="DefaultParagraphFont"/>
    <w:link w:val="FootnotesymbolCarZchn"/>
    <w:uiPriority w:val="99"/>
    <w:unhideWhenUsed/>
    <w:qFormat/>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ro-RO"/>
    </w:rPr>
  </w:style>
  <w:style w:type="character" w:customStyle="1" w:styleId="CommentSubjectChar">
    <w:name w:val="Comment Subject Char"/>
    <w:basedOn w:val="CommentTextChar"/>
    <w:link w:val="CommentSubject"/>
    <w:uiPriority w:val="99"/>
    <w:semiHidden/>
    <w:rPr>
      <w:b/>
      <w:bCs/>
      <w:lang w:eastAsia="ro-RO"/>
    </w:rPr>
  </w:style>
  <w:style w:type="character" w:styleId="EndnoteReference">
    <w:name w:val="endnote reference"/>
    <w:basedOn w:val="DefaultParagraphFont"/>
    <w:uiPriority w:val="99"/>
    <w:semiHidden/>
    <w:unhideWhenUsed/>
    <w:rPr>
      <w:vertAlign w:val="superscript"/>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uiPriority w:val="99"/>
    <w:rPr>
      <w:lang w:eastAsia="ro-RO"/>
    </w:rPr>
  </w:style>
  <w:style w:type="character" w:styleId="Hyperlink">
    <w:name w:val="Hyperlink"/>
    <w:basedOn w:val="DefaultParagraphFont"/>
    <w:uiPriority w:val="99"/>
    <w:unhideWhenUsed/>
    <w:rPr>
      <w:color w:val="0000FF" w:themeColor="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pPr>
    <w:rPr>
      <w:sz w:val="20"/>
      <w:vertAlign w:val="superscript"/>
    </w:rPr>
  </w:style>
  <w:style w:type="paragraph" w:styleId="ListParagraph">
    <w:name w:val="List Paragraph"/>
    <w:basedOn w:val="Normal"/>
    <w:uiPriority w:val="34"/>
    <w:qFormat/>
    <w:pPr>
      <w:spacing w:after="0"/>
      <w:ind w:left="720"/>
      <w:jc w:val="left"/>
    </w:pPr>
    <w:rPr>
      <w:rFonts w:eastAsiaTheme="minorHAnsi"/>
      <w:szCs w:val="24"/>
    </w:rPr>
  </w:style>
  <w:style w:type="character" w:customStyle="1" w:styleId="Heading2Char">
    <w:name w:val="Heading 2 Char"/>
    <w:basedOn w:val="DefaultParagraphFont"/>
    <w:link w:val="Heading2"/>
    <w:rPr>
      <w:b/>
      <w:sz w:val="24"/>
      <w:lang w:eastAsia="ro-RO"/>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1Char">
    <w:name w:val="Text 1 Char"/>
    <w:link w:val="Text1"/>
    <w:rPr>
      <w:sz w:val="24"/>
      <w:lang w:eastAsia="ro-RO"/>
    </w:rPr>
  </w:style>
  <w:style w:type="character" w:customStyle="1" w:styleId="CaptionChar">
    <w:name w:val="Caption Char"/>
    <w:aliases w:val="M Caption Char,Char Char Char Char,Caption1 Char Char Char Char Char Char Char Char Tegn Tegn Tegn Tegn Tegn Char,Caption1 Char Char Char Char Char Char Char Char Tegn Tegn Tegn Char,Ch Char,Inscription Char,C Char,label Char"/>
    <w:basedOn w:val="DefaultParagraphFont"/>
    <w:link w:val="Caption"/>
    <w:rPr>
      <w:b/>
      <w:sz w:val="24"/>
      <w:lang w:eastAsia="ro-RO"/>
    </w:rPr>
  </w:style>
  <w:style w:type="character" w:styleId="Strong">
    <w:name w:val="Strong"/>
    <w:basedOn w:val="DefaultParagraphFont"/>
    <w:uiPriority w:val="22"/>
    <w:qFormat/>
    <w:rPr>
      <w:b/>
      <w:bCs/>
    </w:rPr>
  </w:style>
  <w:style w:type="character" w:styleId="SubtleEmphasis">
    <w:name w:val="Subtle Emphasis"/>
    <w:basedOn w:val="DefaultParagraphFont"/>
    <w:uiPriority w:val="19"/>
    <w:qFormat/>
    <w:rPr>
      <w:iCs/>
      <w:color w:val="595959" w:themeColor="text1" w:themeTint="A6"/>
      <w:sz w:val="18"/>
    </w:rPr>
  </w:style>
  <w:style w:type="paragraph" w:styleId="Revision">
    <w:name w:val="Revision"/>
    <w:hidden/>
    <w:uiPriority w:val="99"/>
    <w:semiHidden/>
    <w:rPr>
      <w:sz w:val="24"/>
    </w:rPr>
  </w:style>
  <w:style w:type="paragraph" w:customStyle="1" w:styleId="Declassification">
    <w:name w:val="Declassification"/>
    <w:basedOn w:val="Normal"/>
    <w:next w:val="Normal"/>
    <w:pPr>
      <w:spacing w:after="0"/>
    </w:pPr>
    <w:rPr>
      <w:rFonts w:eastAsiaTheme="minorHAnsi"/>
      <w:szCs w:val="22"/>
    </w:rPr>
  </w:style>
  <w:style w:type="paragraph" w:customStyle="1" w:styleId="HeaderLandscape">
    <w:name w:val="HeaderLandscape"/>
    <w:basedOn w:val="Normal"/>
    <w:pPr>
      <w:tabs>
        <w:tab w:val="center" w:pos="7285"/>
        <w:tab w:val="right" w:pos="14003"/>
      </w:tabs>
      <w:spacing w:after="120"/>
    </w:pPr>
    <w:rPr>
      <w:rFonts w:eastAsiaTheme="minorHAnsi"/>
      <w:szCs w:val="22"/>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rFonts w:eastAsiaTheme="minorHAnsi"/>
      <w:szCs w:val="2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styleId="NormalWeb">
    <w:name w:val="Normal (Web)"/>
    <w:basedOn w:val="Normal"/>
    <w:uiPriority w:val="99"/>
    <w:semiHidden/>
    <w:unhideWhenUsed/>
    <w:pPr>
      <w:spacing w:before="100" w:beforeAutospacing="1" w:after="100" w:afterAutospacing="1"/>
      <w:jc w:val="left"/>
    </w:pPr>
    <w:rPr>
      <w:rFonts w:eastAsiaTheme="minorHAnsi"/>
      <w:szCs w:val="24"/>
    </w:r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943595">
      <w:bodyDiv w:val="1"/>
      <w:marLeft w:val="0"/>
      <w:marRight w:val="0"/>
      <w:marTop w:val="0"/>
      <w:marBottom w:val="0"/>
      <w:divBdr>
        <w:top w:val="none" w:sz="0" w:space="0" w:color="auto"/>
        <w:left w:val="none" w:sz="0" w:space="0" w:color="auto"/>
        <w:bottom w:val="none" w:sz="0" w:space="0" w:color="auto"/>
        <w:right w:val="none" w:sz="0" w:space="0" w:color="auto"/>
      </w:divBdr>
    </w:div>
    <w:div w:id="342634975">
      <w:bodyDiv w:val="1"/>
      <w:marLeft w:val="0"/>
      <w:marRight w:val="0"/>
      <w:marTop w:val="0"/>
      <w:marBottom w:val="0"/>
      <w:divBdr>
        <w:top w:val="none" w:sz="0" w:space="0" w:color="auto"/>
        <w:left w:val="none" w:sz="0" w:space="0" w:color="auto"/>
        <w:bottom w:val="none" w:sz="0" w:space="0" w:color="auto"/>
        <w:right w:val="none" w:sz="0" w:space="0" w:color="auto"/>
      </w:divBdr>
    </w:div>
    <w:div w:id="373701993">
      <w:bodyDiv w:val="1"/>
      <w:marLeft w:val="0"/>
      <w:marRight w:val="0"/>
      <w:marTop w:val="0"/>
      <w:marBottom w:val="0"/>
      <w:divBdr>
        <w:top w:val="none" w:sz="0" w:space="0" w:color="auto"/>
        <w:left w:val="none" w:sz="0" w:space="0" w:color="auto"/>
        <w:bottom w:val="none" w:sz="0" w:space="0" w:color="auto"/>
        <w:right w:val="none" w:sz="0" w:space="0" w:color="auto"/>
      </w:divBdr>
    </w:div>
    <w:div w:id="634913740">
      <w:bodyDiv w:val="1"/>
      <w:marLeft w:val="0"/>
      <w:marRight w:val="0"/>
      <w:marTop w:val="0"/>
      <w:marBottom w:val="0"/>
      <w:divBdr>
        <w:top w:val="none" w:sz="0" w:space="0" w:color="auto"/>
        <w:left w:val="none" w:sz="0" w:space="0" w:color="auto"/>
        <w:bottom w:val="none" w:sz="0" w:space="0" w:color="auto"/>
        <w:right w:val="none" w:sz="0" w:space="0" w:color="auto"/>
      </w:divBdr>
    </w:div>
    <w:div w:id="1244992908">
      <w:bodyDiv w:val="1"/>
      <w:marLeft w:val="0"/>
      <w:marRight w:val="0"/>
      <w:marTop w:val="0"/>
      <w:marBottom w:val="0"/>
      <w:divBdr>
        <w:top w:val="none" w:sz="0" w:space="0" w:color="auto"/>
        <w:left w:val="none" w:sz="0" w:space="0" w:color="auto"/>
        <w:bottom w:val="none" w:sz="0" w:space="0" w:color="auto"/>
        <w:right w:val="none" w:sz="0" w:space="0" w:color="auto"/>
      </w:divBdr>
    </w:div>
    <w:div w:id="1284265687">
      <w:bodyDiv w:val="1"/>
      <w:marLeft w:val="0"/>
      <w:marRight w:val="0"/>
      <w:marTop w:val="0"/>
      <w:marBottom w:val="0"/>
      <w:divBdr>
        <w:top w:val="none" w:sz="0" w:space="0" w:color="auto"/>
        <w:left w:val="none" w:sz="0" w:space="0" w:color="auto"/>
        <w:bottom w:val="none" w:sz="0" w:space="0" w:color="auto"/>
        <w:right w:val="none" w:sz="0" w:space="0" w:color="auto"/>
      </w:divBdr>
    </w:div>
    <w:div w:id="1298757890">
      <w:bodyDiv w:val="1"/>
      <w:marLeft w:val="0"/>
      <w:marRight w:val="0"/>
      <w:marTop w:val="0"/>
      <w:marBottom w:val="0"/>
      <w:divBdr>
        <w:top w:val="none" w:sz="0" w:space="0" w:color="auto"/>
        <w:left w:val="none" w:sz="0" w:space="0" w:color="auto"/>
        <w:bottom w:val="none" w:sz="0" w:space="0" w:color="auto"/>
        <w:right w:val="none" w:sz="0" w:space="0" w:color="auto"/>
      </w:divBdr>
    </w:div>
    <w:div w:id="17863467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2" Type="http://schemas.openxmlformats.org/officeDocument/2006/relationships/hyperlink" Target="http://ec.europa.eu/growth/single-market/goods/free-movement-sectors/mutual-recognition/products-list_ro" TargetMode="External"/><Relationship Id="rId1" Type="http://schemas.openxmlformats.org/officeDocument/2006/relationships/hyperlink" Target="http://www.consilium.europa.eu/media/21594/leaders-agend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02896F-48F3-4BE2-90C7-42CB48587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4374</Words>
  <Characters>25416</Characters>
  <Application>Microsoft Office Word</Application>
  <DocSecurity>0</DocSecurity>
  <PresentationFormat>Microsoft Word 14.0</PresentationFormat>
  <Lines>363</Lines>
  <Paragraphs>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2017-12-15T16:01:00Z</dcterms:created>
  <dcterms:modified xsi:type="dcterms:W3CDTF">2018-01-03T13:03:00Z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ies>
</file>