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96284365"/>
      <w:bookmarkStart w:id="1" w:name="_Toc501523432"/>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DF507D4E-A5BA-469E-93BF-78AB9A62DDF6" style="width:451.25pt;height:334.9pt">
            <v:imagedata r:id="rId9" o:title=""/>
          </v:shape>
        </w:pict>
      </w:r>
    </w:p>
    <w:bookmarkEnd w:id="2"/>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numPr>
          <w:ilvl w:val="0"/>
          <w:numId w:val="0"/>
        </w:numPr>
        <w:ind w:left="480"/>
        <w:rPr>
          <w:noProof/>
        </w:rPr>
      </w:pPr>
      <w:bookmarkStart w:id="3" w:name="_Toc503194264"/>
      <w:bookmarkStart w:id="4" w:name="_Toc506891942"/>
      <w:bookmarkStart w:id="5" w:name="_Toc507772020"/>
      <w:bookmarkStart w:id="6" w:name="_GoBack"/>
      <w:bookmarkEnd w:id="6"/>
      <w:r>
        <w:rPr>
          <w:noProof/>
        </w:rPr>
        <w:lastRenderedPageBreak/>
        <w:t>Introducere</w:t>
      </w:r>
      <w:bookmarkEnd w:id="0"/>
      <w:bookmarkEnd w:id="1"/>
      <w:bookmarkEnd w:id="3"/>
      <w:bookmarkEnd w:id="4"/>
      <w:bookmarkEnd w:id="5"/>
    </w:p>
    <w:p>
      <w:pPr>
        <w:rPr>
          <w:noProof/>
        </w:rPr>
      </w:pPr>
      <w:r>
        <w:rPr>
          <w:noProof/>
        </w:rPr>
        <w:t>FinTech — inovarea bazată pe tehnologie în domeniul serviciilor financiare — s-a dezvoltat semnificativ în ultimii ani și are un impact asupra modului în care sunt produse și livrate serviciile financiare. FinTech</w:t>
      </w:r>
      <w:r>
        <w:rPr>
          <w:rStyle w:val="FootnoteReference"/>
          <w:noProof/>
        </w:rPr>
        <w:footnoteReference w:id="2"/>
      </w:r>
      <w:r>
        <w:rPr>
          <w:noProof/>
        </w:rPr>
        <w:t xml:space="preserve"> se află la intersecția dintre serviciile financiare și piața unică digitală. Sectorul financiar este cel mai mare utilizator de tehnologii digitale și reprezintă o forță motrice majoră în ceea ce privește transformarea digitală a economiei și a societății. Există sinergii importante între Strategia Comisiei privind piața unică digitală</w:t>
      </w:r>
      <w:r>
        <w:rPr>
          <w:rStyle w:val="FootnoteReference"/>
          <w:noProof/>
        </w:rPr>
        <w:footnoteReference w:id="3"/>
      </w:r>
      <w:r>
        <w:rPr>
          <w:noProof/>
        </w:rPr>
        <w:t>, Strategia de securitate cibernetică a UE</w:t>
      </w:r>
      <w:r>
        <w:rPr>
          <w:rStyle w:val="FootnoteReference"/>
          <w:noProof/>
        </w:rPr>
        <w:footnoteReference w:id="4"/>
      </w:r>
      <w:r>
        <w:rPr>
          <w:noProof/>
        </w:rPr>
        <w:t>, Regulamentul eIDAS</w:t>
      </w:r>
      <w:r>
        <w:rPr>
          <w:rStyle w:val="FootnoteReference"/>
          <w:noProof/>
        </w:rPr>
        <w:footnoteReference w:id="5"/>
      </w:r>
      <w:r>
        <w:rPr>
          <w:noProof/>
        </w:rPr>
        <w:t xml:space="preserve"> și inițiativele privind serviciile financiare precum planul de acțiune privind serviciile financiare de consum</w:t>
      </w:r>
      <w:r>
        <w:rPr>
          <w:rStyle w:val="FootnoteReference"/>
          <w:noProof/>
        </w:rPr>
        <w:footnoteReference w:id="6"/>
      </w:r>
      <w:r>
        <w:rPr>
          <w:noProof/>
        </w:rPr>
        <w:t xml:space="preserve"> și evaluarea la jumătatea perioadei a uniunii piețelor de capital (CMU)</w:t>
      </w:r>
      <w:r>
        <w:rPr>
          <w:rStyle w:val="FootnoteReference"/>
          <w:noProof/>
        </w:rPr>
        <w:footnoteReference w:id="7"/>
      </w:r>
      <w:r>
        <w:rPr>
          <w:noProof/>
        </w:rPr>
        <w:t xml:space="preserve">. </w:t>
      </w:r>
    </w:p>
    <w:p>
      <w:pPr>
        <w:rPr>
          <w:noProof/>
        </w:rPr>
      </w:pPr>
      <w:r>
        <w:rPr>
          <w:noProof/>
        </w:rPr>
        <w:t>Deși inovarea în domeniul financiar nu este ceva nou, investițiile în tehnologie și ritmul inovării au crescut considerabil. Se introduc soluții FinTech care utilizează identificarea digitală, aplicațiile mobile, cloud computing-ul, analiza volumelor mari de date, inteligența artificială, tehnologia blockchain și tehnologia registrelor distribuite. Noile tehnologii schimbă sectorul financiar și modul în care consumatorii și întreprinderile accesează servicii, creând oportunități pentru ca soluțiile bazate pe FinTech să ofere un acces mai bun la finanțare și să îmbunătățească incluziunea financiară pentru cetățenii conectați la nivel digital. Acestea plasează consumatorul pe poziția celui care conduce, sprijină eficiența operațională și sporesc și mai mult competitivitatea economiei UE. FinTech este importantă, de asemenea, pentru uniunea piețelor de capital. Aceasta poate contribui la aprofundarea și extinderea piețelor de capital ale UE prin integrarea digitalizării, cu scopul de a schimba modelele de afaceri prin soluții bazate pe date, de exemplu în ceea ce privește gestionarea activelor, intermedierea în domeniul investițional și distribuția produselor</w:t>
      </w:r>
      <w:r>
        <w:rPr>
          <w:rStyle w:val="FootnoteReference"/>
          <w:noProof/>
        </w:rPr>
        <w:footnoteReference w:id="8"/>
      </w:r>
      <w:r>
        <w:rPr>
          <w:noProof/>
        </w:rPr>
        <w:t>.</w:t>
      </w:r>
    </w:p>
    <w:p>
      <w:pPr>
        <w:rPr>
          <w:noProof/>
        </w:rPr>
      </w:pPr>
      <w:r>
        <w:rPr>
          <w:noProof/>
        </w:rPr>
        <w:t xml:space="preserve">FinTech prezintă, de asemenea, oportunități și provocări în ceea ce privește conformitatea cu normele și supravegherea reglementară. Aceasta poate facilita, raționaliza și automatiza conformitatea și raportarea și poate îmbunătăți supravegherea. Furnizorii de servicii pot oferi servicii de conformitate bazate pe FinTech entităților reglementate. Entitățile reglementate rămân însă responsabile pentru îndeplinirea obligațiilor care le revin. De exemplu, entitățile care fac obiectul cerințelor de precauție privind clientela în temeiul regulamentului privind </w:t>
      </w:r>
      <w:r>
        <w:rPr>
          <w:noProof/>
        </w:rPr>
        <w:lastRenderedPageBreak/>
        <w:t xml:space="preserve">combaterea spălării de bani nu pot delega responsabilitatea pentru îndeplinirea acestor cerințe către furnizori externi de servicii. </w:t>
      </w:r>
    </w:p>
    <w:p>
      <w:pPr>
        <w:rPr>
          <w:noProof/>
          <w:color w:val="FF0000"/>
        </w:rPr>
      </w:pPr>
      <w:r>
        <w:rPr>
          <w:noProof/>
        </w:rPr>
        <w:t xml:space="preserve">FinTech prezintă, de asemenea, provocări, cum ar fi riscuri legate de spațiul cibernetic, aspecte privind protecția datelor, a consumatorilor și a investitorilor, precum și aspecte privind integritatea pieței. </w:t>
      </w:r>
      <w:r>
        <w:rPr>
          <w:noProof/>
          <w:color w:val="FF0000"/>
        </w:rPr>
        <w:t xml:space="preserve">Regulamentul general privind protecția datelor și directiva privind combaterea spălării banilor prevăd garanții fundamentale pentru protecția datelor cu caracter personal și a integrității sistemului financiar al UE împotriva spălării banilor și finanțării terorismului. O piață financiară a UE bazată pe tehnologie necesită conformitate deplină cu aceste garanții fundamentale. </w:t>
      </w:r>
      <w:r>
        <w:rPr>
          <w:noProof/>
        </w:rPr>
        <w:t>Riscurile cibernetice subminează încrederea și reprezintă o amenințare la adresa stabilității sistemului financiar. Încălcările de securitate periodice</w:t>
      </w:r>
      <w:r>
        <w:rPr>
          <w:rStyle w:val="FootnoteReference"/>
          <w:noProof/>
        </w:rPr>
        <w:footnoteReference w:id="9"/>
      </w:r>
      <w:r>
        <w:rPr>
          <w:noProof/>
        </w:rPr>
        <w:t xml:space="preserve"> evidențiază faptul că atacurile cibernetice sunt o sursă tot mai mare de îngrijorare. Astfel de atacuri ar trebui abordate într-o manieră decisivă pentru a preveni și a atenua eventualele consecințe negative pentru sectorul financiar și pentru clienții și consumatorii săi. Este de o importanță capitală ca sectorul financiar să devină mai rezilient din punct de vedere cibernetic, pentru a asigura că acesta este bine protejat, că serviciile financiare sunt realizate în mod eficace și fără probleme în întreaga UE și că încrederea consumatorilor și a pieței sunt păstrate. </w:t>
      </w:r>
    </w:p>
    <w:p>
      <w:pPr>
        <w:rPr>
          <w:noProof/>
        </w:rPr>
      </w:pPr>
      <w:r>
        <w:rPr>
          <w:noProof/>
        </w:rPr>
        <w:t>Cadrele europene de reglementare și supraveghere ar trebui să le permită societăților comerciale care își desfășoară activitatea pe piața unică a UE să beneficieze de pe urma inovării financiare și să le ofere clienților lor produsele cele mai adecvate și accesibile. Astfel de cadre ar trebui, de asemenea, să asigure un nivel ridicat de protecție a consumatorilor și a investitorilor și să asigure totodată reziliența și integritatea sistemului financiar. Beneficiile inovării tehnologice au constituit deja punctul central al revizuirii Directivei privind serviciile de plată</w:t>
      </w:r>
      <w:r>
        <w:rPr>
          <w:rStyle w:val="FootnoteReference"/>
          <w:noProof/>
        </w:rPr>
        <w:footnoteReference w:id="10"/>
      </w:r>
      <w:r>
        <w:rPr>
          <w:noProof/>
        </w:rPr>
        <w:t xml:space="preserve"> și a directivei și regulamentului privind piețele instrumentelor financiare</w:t>
      </w:r>
      <w:r>
        <w:rPr>
          <w:rStyle w:val="FootnoteReference"/>
          <w:noProof/>
        </w:rPr>
        <w:footnoteReference w:id="11"/>
      </w:r>
      <w:r>
        <w:rPr>
          <w:noProof/>
        </w:rPr>
        <w:t xml:space="preserve">. </w:t>
      </w:r>
    </w:p>
    <w:p>
      <w:pPr>
        <w:rPr>
          <w:noProof/>
        </w:rPr>
      </w:pPr>
      <w:r>
        <w:rPr>
          <w:noProof/>
        </w:rPr>
        <w:t>Inovarea tehnologică a condus la noi tipuri de active financiare, cum ar fi criptomonedele. Astfel de criptomonede și tehnologia blockchain care stă la baza acestora sunt promițătoare pentru piețele și infrastructurile financiare. Utilizarea lor prezintă, de asemenea, riscuri, fapt ilustrat de puternica volatilitate a criptomonedelor, de frauda și deficiențele și vulnerabilitățile operaționale în ceea ce privește schimburile de criptomonede. La nivelul UE s-au luat deja măsuri pentru a aborda unele riscuri specifice. Amenințarea și vulnerabilitatea monedelor virtuale și spălarea de bani și finanțarea terorismului au fost evaluate ca fiind semnificative spre foarte semnificative în raportul Comisiei referitor la evaluarea riscurilor privind spălarea banilor și finanțarea terorismului</w:t>
      </w:r>
      <w:r>
        <w:rPr>
          <w:rStyle w:val="FootnoteReference"/>
          <w:noProof/>
        </w:rPr>
        <w:footnoteReference w:id="12"/>
      </w:r>
      <w:r>
        <w:rPr>
          <w:noProof/>
        </w:rPr>
        <w:t>. În decembrie 2017, legiuitorii europeni au convenit să extindă domeniul de aplicare a Directivei privind combaterea spălării banilor</w:t>
      </w:r>
      <w:r>
        <w:rPr>
          <w:rStyle w:val="FootnoteReference"/>
          <w:noProof/>
        </w:rPr>
        <w:footnoteReference w:id="13"/>
      </w:r>
      <w:r>
        <w:rPr>
          <w:noProof/>
        </w:rPr>
        <w:t xml:space="preserve"> pentru a include schimburile de monede virtuale și furnizorii de portofele digitale. Autoritățile europene de supraveghere (AES) au emis avertismente cu privire la mediul de piață speculativ pentru monedele virtuale și la alte riscuri asociate cu criptomonedele</w:t>
      </w:r>
      <w:r>
        <w:rPr>
          <w:rStyle w:val="FootnoteReference"/>
          <w:noProof/>
        </w:rPr>
        <w:footnoteReference w:id="14"/>
      </w:r>
      <w:r>
        <w:rPr>
          <w:noProof/>
        </w:rPr>
        <w:t>. Toate avertismentele indică faptul că investiția în criptomonede prezintă un risc ridicat și că investitorii pot suporta pierderi substanțiale ca urmare a volatilității acestora, dar și din cauza lipsei de transparență și de integritate a pieței și a deficiențelor operaționale, precum și a vulnerabilităților în ceea ce privește serviciile de criptomonedă și locurile de tranzacționare.</w:t>
      </w:r>
    </w:p>
    <w:p>
      <w:pPr>
        <w:pStyle w:val="Default"/>
        <w:jc w:val="both"/>
        <w:rPr>
          <w:noProof/>
        </w:rPr>
      </w:pPr>
      <w:r>
        <w:rPr>
          <w:noProof/>
        </w:rPr>
        <w:t>În cadrul inițiativei sale recente de revizuire a cadrului european de supraveghere</w:t>
      </w:r>
      <w:r>
        <w:rPr>
          <w:rStyle w:val="FootnoteReference"/>
          <w:noProof/>
        </w:rPr>
        <w:footnoteReference w:id="15"/>
      </w:r>
      <w:r>
        <w:rPr>
          <w:noProof/>
        </w:rPr>
        <w:t>, Comisia a propus ca autoritățile europene de supraveghere să aibă în vedere în mod sistematic FinTech în toate activitățile lor. Regulamentul general privind protecția datelor (RGPD), care va intra în vigoare în mai 2018, este, de asemenea, de o importanță crucială pentru utilizarea corectă a serviciilor financiare inovatoare bazate pe date</w:t>
      </w:r>
      <w:r>
        <w:rPr>
          <w:rStyle w:val="FootnoteReference"/>
          <w:noProof/>
        </w:rPr>
        <w:footnoteReference w:id="16"/>
      </w:r>
      <w:r>
        <w:rPr>
          <w:noProof/>
        </w:rPr>
        <w:t>, la fel ca propunerea de regulament privind un cadru pentru fluxul liber al datelor fără caracter personal în UE</w:t>
      </w:r>
      <w:r>
        <w:rPr>
          <w:rStyle w:val="FootnoteReference"/>
          <w:noProof/>
        </w:rPr>
        <w:footnoteReference w:id="17"/>
      </w:r>
      <w:r>
        <w:rPr>
          <w:noProof/>
        </w:rPr>
        <w:t>, care urmărește să asigure faptul că datele fără caracter personal pot circula liber pe piața unică. În plus, recunoașterea transfrontalieră a mijloacelor electronice de identificare prevăzută în Regulamentul eIDAS va oferi garanții și va diminua riscurile prezentate de tehnologiile emergente, facilitând în același timp îndeplinirea cerințelor de precauție privind clientela pentru combaterea spălării banilor, precum și o autentificare solidă a părților într-un mediu digital.</w:t>
      </w:r>
    </w:p>
    <w:p>
      <w:pPr>
        <w:pStyle w:val="Default"/>
        <w:jc w:val="both"/>
        <w:rPr>
          <w:noProof/>
        </w:rPr>
      </w:pPr>
    </w:p>
    <w:p>
      <w:pPr>
        <w:rPr>
          <w:noProof/>
          <w:szCs w:val="24"/>
          <w:highlight w:val="yellow"/>
        </w:rPr>
      </w:pPr>
      <w:r>
        <w:rPr>
          <w:noProof/>
        </w:rPr>
        <w:t>FinTech este un domeniu prioritar și la nivel internațional, de exemplu pentru G20. Comisia contribuie la discuțiile de politică din cadrul Consiliului pentru stabilitate financiară și al altor forumuri internaționale. Un număr tot mai mare de jurisdicții au elaborat cadre de reglementare și supraveghere pentru a răspunde anumitor forme de inovare FinTech. În afara Europei, autoritățile de reglementare s-au concentrat în special pe instrumente și servicii de plată și pe forme alternative de finanțare, cum ar fi finanțarea participativă și creditarea de la persoană la persoană. Pentru o mai mare interacțiune cu dezvoltatorii FinTech, o serie autorități de supraveghere (de exemplu, din Australia, Canada, Statele Unite ale Americii, Hong Kong, Singapore și Japonia) au înființat centre FinTech. Mai multe autorități au elaborat, de asemenea, cadre de experimentare pentru întreprinderile inovatoare, denumite „spații de testare în materie de reglementare” (de exemplu, din Australia, Hong Kong, Singapore și Canada).</w:t>
      </w:r>
    </w:p>
    <w:p>
      <w:pPr>
        <w:rPr>
          <w:noProof/>
        </w:rPr>
      </w:pPr>
      <w:r>
        <w:rPr>
          <w:noProof/>
        </w:rPr>
        <w:t>Comisia își propune să răspundă apelurilor lansate atât de Parlamentul European</w:t>
      </w:r>
      <w:r>
        <w:rPr>
          <w:rStyle w:val="FootnoteReference"/>
          <w:noProof/>
        </w:rPr>
        <w:footnoteReference w:id="18"/>
      </w:r>
      <w:r>
        <w:rPr>
          <w:noProof/>
        </w:rPr>
        <w:t>, cât și de Consiliul European</w:t>
      </w:r>
      <w:r>
        <w:rPr>
          <w:rStyle w:val="FootnoteReference"/>
          <w:noProof/>
        </w:rPr>
        <w:footnoteReference w:id="19"/>
      </w:r>
      <w:r>
        <w:rPr>
          <w:noProof/>
        </w:rPr>
        <w:t xml:space="preserve"> pentru un cadru de reglementare mai orientat spre viitor, care să cuprindă digitalizarea și să creeze un mediu în care produsele și soluțiile FinTech inovatoare să poată fi lansate rapid în întreaga UE pentru a beneficia de pe urma economiilor de scară ale pieței unice, fără a compromite stabilitatea financiară sau protecția consumatorilor și a investitorilor. </w:t>
      </w:r>
    </w:p>
    <w:p>
      <w:pPr>
        <w:rPr>
          <w:rFonts w:eastAsiaTheme="minorHAnsi"/>
          <w:noProof/>
          <w:color w:val="000000"/>
          <w:szCs w:val="24"/>
        </w:rPr>
      </w:pPr>
      <w:r>
        <w:rPr>
          <w:noProof/>
        </w:rPr>
        <w:t>Pe baza concluziilor consultării publice</w:t>
      </w:r>
      <w:r>
        <w:rPr>
          <w:rStyle w:val="FootnoteReference"/>
          <w:noProof/>
        </w:rPr>
        <w:footnoteReference w:id="20"/>
      </w:r>
      <w:r>
        <w:rPr>
          <w:noProof/>
        </w:rPr>
        <w:t xml:space="preserve"> din perioada martie-iunie 2017 și luând în considerare inițiativele deja prezentate, Comisia consideră că necesitatea unei ample măsuri sau a unor reforme legislative sau de reglementare la nivelul UE în această etapă este limitată. Cu toate acestea, o serie de inițiative specifice care vizează acceptarea de către UE a digitalizării sectorului financiar sunt justificate.</w:t>
      </w:r>
    </w:p>
    <w:p>
      <w:pPr>
        <w:pStyle w:val="Heading1"/>
        <w:rPr>
          <w:noProof/>
        </w:rPr>
      </w:pPr>
      <w:bookmarkStart w:id="7" w:name="_Toc497985280"/>
      <w:bookmarkStart w:id="8" w:name="_Toc497985281"/>
      <w:bookmarkStart w:id="9" w:name="_Toc497985282"/>
      <w:bookmarkStart w:id="10" w:name="_Toc497985283"/>
      <w:bookmarkStart w:id="11" w:name="_Toc497985284"/>
      <w:bookmarkStart w:id="12" w:name="_Toc497985285"/>
      <w:bookmarkStart w:id="13" w:name="_Toc497985286"/>
      <w:bookmarkStart w:id="14" w:name="_Toc496284366"/>
      <w:bookmarkStart w:id="15" w:name="_Toc501523433"/>
      <w:bookmarkStart w:id="16" w:name="_Toc503194265"/>
      <w:bookmarkStart w:id="17" w:name="_Toc506891943"/>
      <w:bookmarkStart w:id="18" w:name="_Toc507772021"/>
      <w:bookmarkEnd w:id="7"/>
      <w:bookmarkEnd w:id="8"/>
      <w:bookmarkEnd w:id="9"/>
      <w:bookmarkEnd w:id="10"/>
      <w:bookmarkEnd w:id="11"/>
      <w:bookmarkEnd w:id="12"/>
      <w:bookmarkEnd w:id="13"/>
      <w:r>
        <w:rPr>
          <w:noProof/>
        </w:rPr>
        <w:t>Luarea măsurilor necesare pentru ca modelele de afaceri inovatoare să dobândească o dimensiune europeană</w:t>
      </w:r>
      <w:bookmarkEnd w:id="14"/>
      <w:bookmarkEnd w:id="15"/>
      <w:bookmarkEnd w:id="16"/>
      <w:bookmarkEnd w:id="17"/>
      <w:bookmarkEnd w:id="18"/>
    </w:p>
    <w:p>
      <w:pPr>
        <w:pStyle w:val="Heading2"/>
        <w:rPr>
          <w:noProof/>
        </w:rPr>
      </w:pPr>
      <w:bookmarkStart w:id="19" w:name="_Toc496284367"/>
      <w:bookmarkStart w:id="20" w:name="_Toc501523434"/>
      <w:bookmarkStart w:id="21" w:name="_Toc503194266"/>
      <w:bookmarkStart w:id="22" w:name="_Toc506891944"/>
      <w:bookmarkStart w:id="23" w:name="_Toc507772022"/>
      <w:r>
        <w:rPr>
          <w:noProof/>
        </w:rPr>
        <w:t>Luarea măsurilor necesare pentru ca modelele de afaceri inovatoare să se dezvolte la o scară mai mare în întreaga UE prin intermediul unor cerințe clare și coerente de acordare a licențelor</w:t>
      </w:r>
      <w:bookmarkEnd w:id="19"/>
      <w:bookmarkEnd w:id="20"/>
      <w:bookmarkEnd w:id="21"/>
      <w:bookmarkEnd w:id="22"/>
      <w:bookmarkEnd w:id="23"/>
    </w:p>
    <w:p>
      <w:pPr>
        <w:pStyle w:val="Text1"/>
        <w:ind w:left="0"/>
        <w:rPr>
          <w:noProof/>
        </w:rPr>
      </w:pPr>
      <w:r>
        <w:rPr>
          <w:noProof/>
        </w:rPr>
        <w:t>În sectorul financiar, societățile sunt autorizate și supravegheate pe baza activităților, serviciilor sau produselor lor, indiferent dacă acestea utilizează sau nu mijloace tradiționale sau inovatoare pentru a furniza serviciile respective. În funcție de serviciile și produsele oferite, societățile pot fi autorizate și reglementate în temeiul legislației UE sau al legislației naționale, sau pot să nu facă obiectul niciunei reglementări specifice serviciilor financiare.</w:t>
      </w:r>
    </w:p>
    <w:p>
      <w:pPr>
        <w:pStyle w:val="Text1"/>
        <w:ind w:left="0"/>
        <w:rPr>
          <w:noProof/>
        </w:rPr>
      </w:pPr>
      <w:r>
        <w:rPr>
          <w:noProof/>
        </w:rPr>
        <w:t>Cerințele de autorizare permit supravegherea eficace a furnizorilor de servicii pentru a asigura stabilitatea, integritatea și echitatea piețelor. Acestea asigură, de asemenea, protecția consumatorilor și a investitorilor. În același timp, condițiile uniforme de funcționare le permit societăților de servicii financiare din UE care sunt autorizate și supravegheate în mod corespunzător de statul lor membru de origine să beneficieze de un pașaport european. Pașaportul le oferă acestor societăți posibilitatea de a-și furniza serviciile în toate celelalte state membre, precum și de a se extinde pe întregul teritoriu al pieței unice a UE.</w:t>
      </w:r>
    </w:p>
    <w:p>
      <w:pPr>
        <w:pStyle w:val="Text1"/>
        <w:ind w:left="0"/>
        <w:rPr>
          <w:noProof/>
        </w:rPr>
      </w:pPr>
      <w:r>
        <w:rPr>
          <w:noProof/>
        </w:rPr>
        <w:t xml:space="preserve">Respondenții la consultarea privind FinTech au considerat că majoritatea modelelor de afaceri inovatoare ar putea funcționa în cadrul normelor actuale ale UE, având în vedere faptul că prin cadrul legislativ al UE se oferă posibilitatea aplicării principiului proporționalității în procesul de autorizare. </w:t>
      </w:r>
    </w:p>
    <w:p>
      <w:pPr>
        <w:pStyle w:val="Text1"/>
        <w:ind w:left="0"/>
        <w:rPr>
          <w:noProof/>
        </w:rPr>
      </w:pPr>
      <w:r>
        <w:rPr>
          <w:noProof/>
        </w:rPr>
        <w:t>Cu toate acestea, autoritățile de supraveghere pot adopta abordări diferite în ceea ce privește identificarea cadrului legislativ aplicabil al UE și aplicarea principiului proporționalității atunci când acordă licențe pentru modele de afaceri inovatoare</w:t>
      </w:r>
      <w:r>
        <w:rPr>
          <w:rStyle w:val="FootnoteReference"/>
          <w:noProof/>
        </w:rPr>
        <w:footnoteReference w:id="21"/>
      </w:r>
      <w:r>
        <w:rPr>
          <w:noProof/>
        </w:rPr>
        <w:t>. Autoritatea Bancară Europeană a identificat diferențele în ceea ce privește regimurile de autorizare și înregistrare</w:t>
      </w:r>
      <w:r>
        <w:rPr>
          <w:rStyle w:val="FootnoteReference"/>
          <w:noProof/>
        </w:rPr>
        <w:footnoteReference w:id="22"/>
      </w:r>
      <w:r>
        <w:rPr>
          <w:noProof/>
        </w:rPr>
        <w:t xml:space="preserve"> ca fiind un domeniu care necesită o atenție sporită. EIOPA a observat tendințe similare</w:t>
      </w:r>
      <w:r>
        <w:rPr>
          <w:rStyle w:val="FootnoteReference"/>
          <w:noProof/>
        </w:rPr>
        <w:footnoteReference w:id="23"/>
      </w:r>
      <w:r>
        <w:rPr>
          <w:noProof/>
        </w:rPr>
        <w:t>. Banca Centrală Europeană (BCE), de asemenea, a lansat recent o consultare privind „Ghidul pentru evaluarea cererilor de acordare a licenței pentru instituțiile de credit FinTech”</w:t>
      </w:r>
      <w:r>
        <w:rPr>
          <w:rStyle w:val="FootnoteReference"/>
          <w:noProof/>
        </w:rPr>
        <w:footnoteReference w:id="24"/>
      </w:r>
      <w:r>
        <w:rPr>
          <w:noProof/>
        </w:rPr>
        <w:t>.</w:t>
      </w:r>
    </w:p>
    <w:p>
      <w:pPr>
        <w:pStyle w:val="Text1"/>
        <w:ind w:left="0"/>
        <w:rPr>
          <w:noProof/>
        </w:rPr>
      </w:pPr>
      <w:r>
        <w:rPr>
          <w:noProof/>
        </w:rPr>
        <w:t>Noile servicii financiare nu sunt întotdeauna pe deplin conforme cu cadrul de reglementare existent al UE; acest lucru este valabil în ceea ce privește activitățile de finanțare participativă și de la persoană la persoană pentru întreprinderile nou-înființate și întreprinderile în curs de extindere. Un număr mare de respondenți la consultarea FinTech au evidențiat faptul că activitățile de finanțare participativă bazate pe investiții și pe împrumuturi sau pe multicreditare ar beneficia de pe urma unui cadru de reglementare al UE solid și proporțional. 11 state membre au adoptat deja regimuri speciale care sunt adesea contradictorii și care împiedică dezvoltarea unei piețe unice pentru serviciile de finanțare participativă. Lipsa unui cadru UE comun împiedică, de asemenea, capacitatea furnizorilor de finanțare participativă de a se dezvolta în cadrul pieței unice, în special din cauza abordărilor divergente în materie de supraveghere și reglementare națională. Cadrul UE propus în prezentul plan de acțiune va oferi o procedură europeană de pașaport cuprinzătoare pentru entitățile de pe piață care decid să funcționeze în calitate de furnizori europeni de servicii de finanțare participativă (ECSP). Acest cadru va oferi stimulente pentru furnizorii de servicii de finanțare participativă pentru ca aceștia să se dezvolte, asigurând, în același timp, protecție adecvată pentru investitori și pentru proprietarii de proiect.</w:t>
      </w:r>
    </w:p>
    <w:p>
      <w:pPr>
        <w:pStyle w:val="Text1"/>
        <w:ind w:left="0"/>
        <w:rPr>
          <w:noProof/>
          <w:szCs w:val="24"/>
        </w:rPr>
      </w:pPr>
      <w:r>
        <w:rPr>
          <w:noProof/>
        </w:rPr>
        <w:t xml:space="preserve">Sunt necesare eforturi suplimentare pentru a identifica cerințele divergente privind acordarea de licențe care afectează întreprinderile FinTech. Acțiunile ulterioare ar putea include: </w:t>
      </w:r>
    </w:p>
    <w:p>
      <w:pPr>
        <w:pStyle w:val="Text1"/>
        <w:numPr>
          <w:ilvl w:val="0"/>
          <w:numId w:val="36"/>
        </w:numPr>
        <w:rPr>
          <w:noProof/>
          <w:szCs w:val="24"/>
        </w:rPr>
      </w:pPr>
      <w:r>
        <w:rPr>
          <w:noProof/>
        </w:rPr>
        <w:t xml:space="preserve">clarificarea cadrului legislativ al UE aplicabil în ceea ce privește serviciile; </w:t>
      </w:r>
    </w:p>
    <w:p>
      <w:pPr>
        <w:pStyle w:val="Text1"/>
        <w:numPr>
          <w:ilvl w:val="0"/>
          <w:numId w:val="36"/>
        </w:numPr>
        <w:rPr>
          <w:noProof/>
          <w:szCs w:val="24"/>
        </w:rPr>
      </w:pPr>
      <w:r>
        <w:rPr>
          <w:noProof/>
        </w:rPr>
        <w:t xml:space="preserve">evaluarea necesității unui cadru UE care să cuprindă noile modele de afaceri inovatoare; precum și </w:t>
      </w:r>
    </w:p>
    <w:p>
      <w:pPr>
        <w:pStyle w:val="Text1"/>
        <w:numPr>
          <w:ilvl w:val="0"/>
          <w:numId w:val="36"/>
        </w:numPr>
        <w:rPr>
          <w:noProof/>
          <w:szCs w:val="24"/>
        </w:rPr>
      </w:pPr>
      <w:r>
        <w:rPr>
          <w:noProof/>
        </w:rPr>
        <w:t>furnizarea de orientări pentru autoritățile naționale de supraveghere în vederea asigurării unei mai mari convergențe între regimurile naționale de reglementare.</w:t>
      </w:r>
    </w:p>
    <w:p>
      <w:pPr>
        <w:pStyle w:val="Text1"/>
        <w:ind w:left="0"/>
        <w:rPr>
          <w:noProof/>
        </w:rPr>
      </w:pPr>
      <w:r>
        <w:rPr>
          <w:noProof/>
        </w:rPr>
        <w:t>În plus, autoritățile de supraveghere evaluează de mai mult timp evoluțiile pieței în ceea ce privește criptomonedele și apariția ofertelor inițiale de monede (ICO), o nouă modalitate de colectare de fonduri prin utilizarea așa-numitelor „monede” sau „tokenuri”. Deși astfel de vânzări de token pot constitui modalități noi și inovatoare de mobilizare a capitalului pentru întreprinderi, acestea pot prezenta, de asemenea, riscuri evidente pentru investitori. Investițiile speculative în criptomonede și tokenurile ICO expun investitorii la un risc de piață semnificativ, la fraudă și la riscuri legate de securitatea cibernetică, apărute de pe urma schimburilor și a furnizorilor de servicii care le permit investitorilor să achiziționeze, să dețină sau să comercializeze criptomonede și tokenuri. În noiembrie 2017, Autoritatea Europeană pentru Valori Mobiliare și Piețe (ESMA) a emis două declarații</w:t>
      </w:r>
      <w:r>
        <w:rPr>
          <w:rStyle w:val="FootnoteReference"/>
          <w:noProof/>
        </w:rPr>
        <w:footnoteReference w:id="25"/>
      </w:r>
      <w:r>
        <w:rPr>
          <w:noProof/>
        </w:rPr>
        <w:t xml:space="preserve"> pentru a informa investitorii cu privire la eventualele riscuri reprezentate de anumite oferte inițiale de monede și pentru a le reaminti societăților implicate în astfel de oferte că aceste activități pot intra sub incidența legislației UE existente, în funcție de structura și caracteristicile precise ale acestora. Autoritățile din UE și din întreaga lume evaluează ofertele inițiale de monede și reglementarea care poate fi aplicabilă acestora, iar China și Coreea de Sud le-au interzis.</w:t>
      </w:r>
    </w:p>
    <w:p>
      <w:pPr>
        <w:pStyle w:val="Text1"/>
        <w:ind w:left="0"/>
        <w:rPr>
          <w:noProof/>
        </w:rPr>
      </w:pPr>
      <w:r>
        <w:rPr>
          <w:noProof/>
        </w:rPr>
        <w:t>Creșterea rapidă a prețurilor și volatilitatea criptomonedelor din ultimele luni impun o mai bună înțelegere a riscurilor și a oportunităților asociate utilizării acestora, precum și o mai bună înțelegere a aplicabilității reglementării UE. Cu toate acestea, criptomonedele și tokenurile pot, de asemenea, să eludeze reglementarea, precum și transparența, guvernanța și obiectivele de protecție a investitorilor urmărite de reglementare. În februarie 2018, în urma unei cereri formulate de Comisia Europeană, cele trei autorități europene de supraveghere (AES) au publicat un avertisment comun pentru investitori și utilizatori cu privire la riscurile asociate achiziționării de criptomonede</w:t>
      </w:r>
      <w:r>
        <w:rPr>
          <w:rStyle w:val="FootnoteReference"/>
          <w:noProof/>
        </w:rPr>
        <w:footnoteReference w:id="26"/>
      </w:r>
      <w:r>
        <w:rPr>
          <w:noProof/>
        </w:rPr>
        <w:t>. De asemenea, modificările aduse celei de a 4-a directive privind combaterea spălării banilor, cu privire la care Parlamentul European și Consiliul au ajuns la un acord în decembrie 2017, vor reduce anonimatul și vor spori trasabilitatea tranzacțiilor prin solicitarea ca schimburile de criptomonede și furnizorii de portofele digitale în Uniunea Europeană să realizeze identificarea clienților și să exercite diligența necesară (</w:t>
      </w:r>
      <w:r>
        <w:rPr>
          <w:i/>
          <w:noProof/>
        </w:rPr>
        <w:t>due diligence</w:t>
      </w:r>
      <w:r>
        <w:rPr>
          <w:noProof/>
        </w:rPr>
        <w:t>).</w:t>
      </w:r>
    </w:p>
    <w:p>
      <w:pPr>
        <w:pStyle w:val="Text1"/>
        <w:ind w:left="0"/>
        <w:rPr>
          <w:noProof/>
        </w:rPr>
      </w:pPr>
      <w:r>
        <w:rPr>
          <w:noProof/>
        </w:rPr>
        <w:t>Este necesară o evaluare a caracterului adecvat al cadrului actual de reglementare al UE în ceea ce privește ofertele inițiale de monede și criptomonedele într-un context general. Pe de o parte, obiectivul ar trebui să fie cel de a se asigura că întreprinderile, investitorii și consumatorii din UE pot beneficia de această inovație tehnică într-un cadru transparent și echitabil, pentru a face din Europa un actor principal în ceea ce privește dezvoltarea de noi modalități de finanțare rapidă a întreprinderilor în curs de dezvoltare. Pe de altă parte, eventualele riscuri legate de stabilitatea financiară, integritatea pieței, protecția investitorilor și a consumatorilor, protecția datelor cu caracter personal și cele legate de spălarea banilor și finanțarea terorismului ar trebui abordate în mod corespunzător. Întrucât criptomonedele sunt un fenomen mondial, coordonarea și coerența la nivel internațional, de exemplu în cadrul G20, al Consiliului pentru Stabilitate Financiară (CSF) și al organismelor internaționale de stabilire a standardelor financiare, vor fi esențiale. Comisia va colabora cu autoritățile de supraveghere, cu autoritățile de reglementare, cu sectorul și societatea civilă, atât în cadrul UE, cât și cu partenerii la nivel internațional, pentru a stabili orice altă măsură adecvată.</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1</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2"/>
              </w:numPr>
              <w:spacing w:before="60" w:after="60"/>
              <w:rPr>
                <w:noProof/>
              </w:rPr>
            </w:pPr>
            <w:r>
              <w:rPr>
                <w:noProof/>
              </w:rPr>
              <w:t>Împreună cu prezenta comunicare, Comisia prezintă o propunere pentru un regulament UE privind furnizorii de servicii de finanțare participativă bazată pe investiții și împrumuturi (ECSP) pentru întreprinderi. Scopul propunerii este de a asigura un cadru de reglementare adecvat și proporțional care să permită platformelor de finanțare participativă care doresc să desfășoare activități transfrontaliere să facă acest lucru utilizând o procedură de pașaport cuprinzătoare, sub supraveghere unificată.</w:t>
            </w:r>
          </w:p>
          <w:p>
            <w:pPr>
              <w:pStyle w:val="Text1"/>
              <w:spacing w:before="60" w:after="60"/>
              <w:ind w:left="720"/>
              <w:rPr>
                <w:noProof/>
              </w:rPr>
            </w:pPr>
          </w:p>
          <w:p>
            <w:pPr>
              <w:pStyle w:val="ListParagraph"/>
              <w:numPr>
                <w:ilvl w:val="0"/>
                <w:numId w:val="22"/>
              </w:numPr>
              <w:spacing w:before="60" w:after="60" w:line="240" w:lineRule="auto"/>
              <w:jc w:val="both"/>
              <w:rPr>
                <w:noProof/>
              </w:rPr>
            </w:pPr>
            <w:r>
              <w:rPr>
                <w:rFonts w:ascii="Times New Roman" w:hAnsi="Times New Roman"/>
                <w:noProof/>
                <w:sz w:val="24"/>
              </w:rPr>
              <w:t>Comisia invită autoritățile europene de supraveghere ca, până în primul trimestru al anului 2019, să realizeze o trecere în revistă a actualelor abordări de autorizare și de acordare a licențelor pentru modele de afaceri inovatoare FinTech. În special, acestea ar trebui să analizeze modul în care sunt aplicate de către autoritățile naționale proporționalitatea și flexibilitatea în legislația din domeniul serviciilor financiare. După caz, autoritățile europene de supraveghere ar trebui să emită orientări privind abordările și procedurile sau să îi prezinte Comisiei recomandări cu privire la necesitatea de a se adapta legislația UE din domeniul serviciilor financiare.</w:t>
            </w:r>
          </w:p>
          <w:p>
            <w:pPr>
              <w:pStyle w:val="ListParagraph"/>
              <w:spacing w:before="60" w:after="60" w:line="240" w:lineRule="auto"/>
              <w:jc w:val="both"/>
              <w:rPr>
                <w:rFonts w:ascii="Times New Roman" w:eastAsia="Times New Roman" w:hAnsi="Times New Roman" w:cs="Times New Roman"/>
                <w:noProof/>
                <w:sz w:val="24"/>
                <w:szCs w:val="20"/>
              </w:rPr>
            </w:pPr>
          </w:p>
          <w:p>
            <w:pPr>
              <w:pStyle w:val="ListParagraph"/>
              <w:numPr>
                <w:ilvl w:val="0"/>
                <w:numId w:val="22"/>
              </w:numPr>
              <w:spacing w:before="60" w:after="60" w:line="240" w:lineRule="auto"/>
              <w:jc w:val="both"/>
              <w:rPr>
                <w:bCs w:val="0"/>
                <w:noProof/>
              </w:rPr>
            </w:pPr>
            <w:r>
              <w:rPr>
                <w:rFonts w:ascii="Times New Roman" w:hAnsi="Times New Roman"/>
                <w:noProof/>
                <w:sz w:val="24"/>
              </w:rPr>
              <w:t>În decursul anului 2018, Comisia va monitoriza în continuare evoluțiile în materie de criptomonede și oferte inițiale de monede împreună cu autoritățile europene de supraveghere, Banca Centrală Europeană și Comitetul pentru servicii financiare, precum și cu alte organisme internaționale de stabilire a standardelor Pe baza evaluării riscurilor, a oportunităților și a caracterului adecvat al cadrului de reglementare aplicabil, Comisia va evalua dacă sunt sau nu necesare acțiuni de reglementare la nivelul UE.</w:t>
            </w:r>
          </w:p>
        </w:tc>
      </w:tr>
    </w:tbl>
    <w:p>
      <w:pPr>
        <w:pStyle w:val="Text1"/>
        <w:ind w:left="0"/>
        <w:rPr>
          <w:noProof/>
        </w:rPr>
      </w:pPr>
    </w:p>
    <w:p>
      <w:pPr>
        <w:pStyle w:val="Heading2"/>
        <w:rPr>
          <w:noProof/>
        </w:rPr>
      </w:pPr>
      <w:bookmarkStart w:id="24" w:name="_Toc496284368"/>
      <w:bookmarkStart w:id="25" w:name="_Toc501523435"/>
      <w:bookmarkStart w:id="26" w:name="_Toc503194267"/>
      <w:bookmarkStart w:id="27" w:name="_Toc506891945"/>
      <w:bookmarkStart w:id="28" w:name="_Toc507772023"/>
      <w:r>
        <w:rPr>
          <w:noProof/>
        </w:rPr>
        <w:t>Creșterea concurenței și a cooperării dintre actorii de pe piață prin intermediul unor standarde comune și al unor soluții interoperabile</w:t>
      </w:r>
      <w:bookmarkEnd w:id="24"/>
      <w:bookmarkEnd w:id="25"/>
      <w:bookmarkEnd w:id="26"/>
      <w:bookmarkEnd w:id="27"/>
      <w:bookmarkEnd w:id="28"/>
      <w:r>
        <w:rPr>
          <w:noProof/>
        </w:rPr>
        <w:t xml:space="preserve"> </w:t>
      </w:r>
    </w:p>
    <w:p>
      <w:pPr>
        <w:pStyle w:val="Text1"/>
        <w:ind w:left="0"/>
        <w:rPr>
          <w:noProof/>
        </w:rPr>
      </w:pPr>
      <w:r>
        <w:rPr>
          <w:noProof/>
        </w:rPr>
        <w:t>Producerea și furnizarea de servicii financiare necesită cooperare și interacțiune între diferiții operatori din lanțul valoric. O piață FinTech la nivelul întregii UE nu își va atinge potențialul maxim fără elaborarea unor standarde deschise, care să sporească interoperabilitatea și concurența și să simplifice schimbul de informații și accesul la date între actorii de pe piață.</w:t>
      </w:r>
    </w:p>
    <w:p>
      <w:pPr>
        <w:pStyle w:val="Text1"/>
        <w:ind w:left="0"/>
        <w:rPr>
          <w:noProof/>
        </w:rPr>
      </w:pPr>
      <w:r>
        <w:rPr>
          <w:noProof/>
        </w:rPr>
        <w:t>Există diferite moduri de punere în aplicare a interoperabilității. Societățile sau furnizorii de tehnologie pot dezvolta interfețe</w:t>
      </w:r>
      <w:r>
        <w:rPr>
          <w:i/>
          <w:noProof/>
        </w:rPr>
        <w:t xml:space="preserve"> ad hoc,</w:t>
      </w:r>
      <w:r>
        <w:rPr>
          <w:noProof/>
        </w:rPr>
        <w:t xml:space="preserve"> la care alte părți trebuie să se adapteze. O altă abordare constă în ajungerea la un consens cu privire la standardele de interoperabilitate pentru întreaga piață, reducându-se astfel eforturile necesare din partea furnizorilor de servicii pentru efectuarea schimbului de date folosind platforme diferite. Procesele de standardizare ar trebui să se bazeze pe principiile deschiderii, transparenței și consensului, în conformitate cu Regulamentul (UE) nr. 1025/2012 privind standardizarea europeană. Pentru ca standardele să fie favorabile concurenței, ar trebui ca participarea să nu fie restricționată, iar procedura de adoptare a standardului ar trebui să fie transparentă, permițându-le părților interesate să se informeze efectiv cu privire la activitatea de standardizare. Accesul efectiv la standard ar trebui să fie acordat în condiții echitabile, rezonabile și nediscriminatorii.</w:t>
      </w:r>
    </w:p>
    <w:p>
      <w:pPr>
        <w:pStyle w:val="Text1"/>
        <w:ind w:left="0"/>
        <w:rPr>
          <w:noProof/>
        </w:rPr>
      </w:pPr>
      <w:r>
        <w:rPr>
          <w:noProof/>
        </w:rPr>
        <w:t>Majoritatea respondenților la consultarea FinTech au subliniat că este prioritar să se elaboreze standarde, să se promoveze adoptarea acestora și să se asigure interoperabilitatea între sisteme. Abordarea preferată va fi condusă de către actorii din sector și participanții pe piață, elaborându-se standarde la nivel mondial, în loc de standarde locale sau regionale. Există cerere, în special, pentru o mai mare standardizare în ceea ce privește tehnologia blockchain/tehnologia registrelor distribuite, interfețele de programare a aplicațiilor și gestionarea identității. Directiva revizuită privind serviciile de plată, în vigoare din ianuarie 2018, constituie un test interesant: băncile sunt obligate să deschidă canale de comunicare adecvate pentru ca societățile FinTech să își ofere serviciile pe baza accesului la conturile de plăți. Dezvoltarea unor interfețe standardizate de programare a aplicațiilor ar crea condiții de concurență echitabile pentru a permite apariția de servicii noi și îmbunătățite într-un mediu cu adevărat deschis, menținând, în același timp, standarde ridicate în ceea ce privește protecția datelor cu caracter personal și protecția consumatorilor.</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2</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3"/>
              </w:numPr>
              <w:spacing w:before="60" w:after="60"/>
              <w:rPr>
                <w:bCs w:val="0"/>
                <w:noProof/>
              </w:rPr>
            </w:pPr>
            <w:r>
              <w:rPr>
                <w:noProof/>
              </w:rPr>
              <w:t xml:space="preserve">Comisia va contribui la dezvoltarea unor abordări mai coordonate în ceea ce privește standardele pentru FinTech până în al patrulea trimestru al anului 2018, prin colaborarea și conlucrarea cu organisme importante de stabilire a standardelor, cum ar fi Comitetul European de Standardizare (CEN) și Organizația Internațională de Standardizare, inclusiv în domeniul blockchain. </w:t>
            </w:r>
          </w:p>
          <w:p>
            <w:pPr>
              <w:pStyle w:val="Text1"/>
              <w:spacing w:before="60" w:after="60"/>
              <w:ind w:left="720"/>
              <w:rPr>
                <w:noProof/>
              </w:rPr>
            </w:pPr>
          </w:p>
          <w:p>
            <w:pPr>
              <w:pStyle w:val="Text1"/>
              <w:numPr>
                <w:ilvl w:val="0"/>
                <w:numId w:val="23"/>
              </w:numPr>
              <w:spacing w:before="60" w:after="60"/>
              <w:rPr>
                <w:bCs w:val="0"/>
                <w:noProof/>
              </w:rPr>
            </w:pPr>
            <w:r>
              <w:rPr>
                <w:noProof/>
              </w:rPr>
              <w:t xml:space="preserve">Comisia încurajează și va sprijini eforturile comune ale actorilor de pe piață în vederea elaborării, până la mijlocul anului 2019, a unor interfețe standardizate de programare a aplicațiilor, care sunt în conformitate cu Directiva privind serviciile de plată și cu Regulamentul general privind protecția datelor, ca bază pentru un ecosistem european bancar deschis care acoperă conturile de plată și alte tipuri de conturi. </w:t>
            </w:r>
          </w:p>
        </w:tc>
      </w:tr>
    </w:tbl>
    <w:p>
      <w:pPr>
        <w:rPr>
          <w:noProof/>
        </w:rPr>
      </w:pPr>
    </w:p>
    <w:p>
      <w:pPr>
        <w:pStyle w:val="Heading2"/>
        <w:rPr>
          <w:noProof/>
        </w:rPr>
      </w:pPr>
      <w:bookmarkStart w:id="29" w:name="_Toc501523436"/>
      <w:bookmarkStart w:id="30" w:name="_Toc503194268"/>
      <w:bookmarkStart w:id="31" w:name="_Toc506891946"/>
      <w:bookmarkStart w:id="32" w:name="_Toc496284369"/>
      <w:bookmarkStart w:id="33" w:name="_Toc507772024"/>
      <w:r>
        <w:rPr>
          <w:noProof/>
        </w:rPr>
        <w:t>Facilitarea apariției unor modele de afaceri inovatoare în întreaga UE prin intermediul facilitatorilor de inovare</w:t>
      </w:r>
      <w:bookmarkEnd w:id="29"/>
      <w:bookmarkEnd w:id="30"/>
      <w:bookmarkEnd w:id="31"/>
      <w:bookmarkEnd w:id="32"/>
      <w:bookmarkEnd w:id="33"/>
    </w:p>
    <w:p>
      <w:pPr>
        <w:pStyle w:val="Text1"/>
        <w:ind w:left="0"/>
        <w:rPr>
          <w:noProof/>
        </w:rPr>
      </w:pPr>
      <w:r>
        <w:rPr>
          <w:noProof/>
        </w:rPr>
        <w:t>Societățile inovatoare aduc noi produse pe piață sau pun la dispoziție modalități de a oferi servicii de renume sub forme inovatoare sau la prețuri mai competitive. Inovatorii trebuie să fie în măsură să își extindă serviciile pentru a cuprinde un număr cât mai mare de utilizatori, mobilizând economiile de scară. Pentru a beneficia pe deplin de piața unică, inovatorii ar trebui să poată utiliza un pașaport european. Pentru aceasta este necesar să se respecte cerințe de reglementare care pot fi greu de îndeplinit. Acest lucru este valabil, în special, pentru întreprinderile nou-înființate și pentru cele care utilizează tehnologii sau modele inovatoare care pot fi diferite de practicile standard în vigoare la momentul adoptării normelor.</w:t>
      </w:r>
    </w:p>
    <w:p>
      <w:pPr>
        <w:pStyle w:val="Text1"/>
        <w:ind w:left="0"/>
        <w:rPr>
          <w:noProof/>
        </w:rPr>
      </w:pPr>
      <w:r>
        <w:rPr>
          <w:noProof/>
        </w:rPr>
        <w:t>Abordările și tehnologiile inovatoare pun, de asemenea, probleme autorităților de supraveghere financiară atunci când acestea iau decizia de a autoriza sau nu o întreprindere sau o activitate și când stabilesc modul în care să își îndeplinească obligațiile de supraveghere. Răspunsurile la consultarea publică organizată de Comisie sugerează că există o dorință puternică în rândul autorităților de supraveghere de a înțelege mai bine tendințele recente în materie de FinTech și de a consolida legăturile cu întreprinderile și cu alți furnizori de tehnologie.</w:t>
      </w:r>
    </w:p>
    <w:p>
      <w:pPr>
        <w:pStyle w:val="Text1"/>
        <w:ind w:left="0"/>
        <w:rPr>
          <w:noProof/>
        </w:rPr>
      </w:pPr>
      <w:r>
        <w:rPr>
          <w:noProof/>
        </w:rPr>
        <w:t>În UE, 13 state membre au creat așa-numiții „facilitatori FinTech” (centre de inovare</w:t>
      </w:r>
      <w:r>
        <w:rPr>
          <w:rStyle w:val="FootnoteReference"/>
          <w:noProof/>
        </w:rPr>
        <w:footnoteReference w:id="27"/>
      </w:r>
      <w:r>
        <w:rPr>
          <w:noProof/>
        </w:rPr>
        <w:t xml:space="preserve"> sau „spații de testare” în materie de reglementare</w:t>
      </w:r>
      <w:r>
        <w:rPr>
          <w:rStyle w:val="FootnoteReference"/>
          <w:noProof/>
        </w:rPr>
        <w:footnoteReference w:id="28"/>
      </w:r>
      <w:r>
        <w:rPr>
          <w:noProof/>
        </w:rPr>
        <w:t>) pentru a le oferi întreprinderilor orientări generale în cursul procesului de autorizare. Acest lucru le permite unor astfel de întreprinderi să obțină un acces mai rapid pe piață și să înțeleagă mai bine normele și așteptările în materie de supraveghere. Facilitatorii pot, de asemenea, să ofere îndrumare instituțiilor financiare stabilite. Din perspectiva autorităților de supraveghere, astfel de abordări constituie o sursă importantă de informații, ajutându-le să dobândească o mai bună înțelegere a modelelor de afaceri inovatoare și a evoluțiilor pieței într-un stadiu incipient.</w:t>
      </w:r>
    </w:p>
    <w:p>
      <w:pPr>
        <w:rPr>
          <w:noProof/>
          <w:szCs w:val="24"/>
        </w:rPr>
      </w:pPr>
      <w:r>
        <w:rPr>
          <w:noProof/>
        </w:rPr>
        <w:t>Spațiile de testare în materie de reglementare duc mai departe ideea centrelor de inovare, prin crearea unui mediu în care supravegherea este adaptată pentru întreprinderile sau serviciile inovatoare. Autoritățile naționale competente trebuie să aplice legislația UE relevantă în domeniul serviciilor financiare. Cu toate acestea, normele în materie includ o marjă de apreciere în ceea ce privește aplicarea principiilor proporționalității și flexibilității care sunt integrate în aceste norme. Acest lucru poate fi deosebit de util în contextul inovării tehnologice.</w:t>
      </w:r>
    </w:p>
    <w:p>
      <w:pPr>
        <w:rPr>
          <w:noProof/>
          <w:szCs w:val="24"/>
        </w:rPr>
      </w:pPr>
      <w:r>
        <w:rPr>
          <w:noProof/>
        </w:rPr>
        <w:t>Abordarea privind spațiul de testare a fost sprijinită de respondenții din sector la consultarea publică. Autoritățile naționale au exprimat puncte de vedere diferite: unele autorități de supraveghere consideră că astfel de inițiative nu fac parte din mandatul lor; în schimb, autoritățile de supraveghere care sunt deschise la ideea spațiilor de testare consideră că celelalte autorități ar trebui să adopte inițiative similare. O abordare coerentă în rândul autorităților de supraveghere ar favoriza introducerea inovării pe întreaga piață unică a UE.</w:t>
      </w:r>
    </w:p>
    <w:p>
      <w:pPr>
        <w:pStyle w:val="Text1"/>
        <w:ind w:left="0"/>
        <w:rPr>
          <w:noProof/>
          <w:szCs w:val="24"/>
        </w:rPr>
      </w:pPr>
      <w:r>
        <w:rPr>
          <w:noProof/>
        </w:rPr>
        <w:t xml:space="preserve">Recent, atât ABE, EIOPA, cât și ESMA au identificat facilitatorii de inovare existenți în întreaga UE. Comisia ar considera binevenite și alte eforturi în vederea identificării celor mai bune practici din întreaga UE și a instituirii de principii și criterii comune pentru centrele de inovare și spațiile de testare în materie de reglementare. Alte acțiuni ulterioare ar putea include promovarea înființării de centre de inovare în toate statele membre și coordonarea activităților lor. Acest lucru ar putea conduce la luarea în considerare a unui cadru UE de experimentare pentru adoptarea noilor tehnologii și adaptarea la acestea.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3</w:t>
            </w:r>
          </w:p>
        </w:tc>
      </w:tr>
      <w:tr>
        <w:trPr>
          <w:cnfStyle w:val="000000100000" w:firstRow="0" w:lastRow="0" w:firstColumn="0" w:lastColumn="0" w:oddVBand="0" w:evenVBand="0" w:oddHBand="1" w:evenHBand="0" w:firstRowFirstColumn="0" w:firstRowLastColumn="0" w:lastRowFirstColumn="0" w:lastRowLastColumn="0"/>
          <w:cantSplit/>
          <w:trHeight w:val="3877"/>
        </w:trPr>
        <w:tc>
          <w:tcPr>
            <w:cnfStyle w:val="001000000000" w:firstRow="0" w:lastRow="0" w:firstColumn="1" w:lastColumn="0" w:oddVBand="0" w:evenVBand="0" w:oddHBand="0" w:evenHBand="0" w:firstRowFirstColumn="0" w:firstRowLastColumn="0" w:lastRowFirstColumn="0" w:lastRowLastColumn="0"/>
            <w:tcW w:w="8755" w:type="dxa"/>
          </w:tcPr>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Pornind de la lucrările recente efectuate de autoritățile europene de supraveghere în vederea identificării facilitatorilor FinTech instituiți de către autoritățile naționale de supraveghere, Comisia invită autoritățile europene de supraveghere să realizeze o analiză aprofundată și să identifice cele mai bune practici până în al patrulea trimestru al anului 2018 și, după caz, să emită orientări privind facilitatorii respectivi.</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Comisia invită autoritățile competente de la nivelul statelor membre și de la nivel UE să ia inițiative pentru facilitarea inovării pe baza acestor bune practici și invită autoritățile europene de supraveghere să faciliteze cooperarea dintre autoritățile de supraveghere, inclusiv coordonarea și diseminarea de informații privind tehnologiile inovatoare, înființarea și funcționarea centrelor de inovare și a spațiilor de testare în materie de reglementare, precum și coerența practicilor de supraveghere.</w:t>
            </w:r>
          </w:p>
          <w:p>
            <w:pPr>
              <w:pStyle w:val="ListParagraph"/>
              <w:spacing w:before="60" w:after="60"/>
              <w:ind w:left="360"/>
              <w:jc w:val="both"/>
              <w:rPr>
                <w:rFonts w:ascii="Times New Roman" w:hAnsi="Times New Roman" w:cs="Times New Roman"/>
                <w:noProof/>
                <w:sz w:val="24"/>
                <w:szCs w:val="24"/>
              </w:rPr>
            </w:pPr>
          </w:p>
          <w:p>
            <w:pPr>
              <w:pStyle w:val="ListParagraph"/>
              <w:numPr>
                <w:ilvl w:val="0"/>
                <w:numId w:val="31"/>
              </w:numPr>
              <w:spacing w:before="60" w:after="60"/>
              <w:jc w:val="both"/>
              <w:rPr>
                <w:rFonts w:ascii="Times New Roman" w:hAnsi="Times New Roman" w:cs="Times New Roman"/>
                <w:noProof/>
                <w:sz w:val="24"/>
                <w:szCs w:val="24"/>
              </w:rPr>
            </w:pPr>
            <w:r>
              <w:rPr>
                <w:rFonts w:ascii="Times New Roman" w:hAnsi="Times New Roman"/>
                <w:noProof/>
                <w:sz w:val="24"/>
              </w:rPr>
              <w:t xml:space="preserve">Pe baza activităților desfășurate de autoritățile europene de supraveghere, Comisia va prezenta un raport cu cele mai bune practici pentru spațiile de testare în materie de reglementare până în primul trimestru al anului 2019. </w:t>
            </w:r>
          </w:p>
        </w:tc>
      </w:tr>
    </w:tbl>
    <w:p>
      <w:pPr>
        <w:spacing w:after="0"/>
        <w:jc w:val="left"/>
        <w:rPr>
          <w:noProof/>
          <w:szCs w:val="24"/>
        </w:rPr>
      </w:pPr>
    </w:p>
    <w:p>
      <w:pPr>
        <w:pStyle w:val="Heading1"/>
        <w:rPr>
          <w:noProof/>
        </w:rPr>
      </w:pPr>
      <w:bookmarkStart w:id="34" w:name="_Toc496284370"/>
      <w:bookmarkStart w:id="35" w:name="_Toc501523437"/>
      <w:bookmarkStart w:id="36" w:name="_Toc503194269"/>
      <w:bookmarkStart w:id="37" w:name="_Toc506891947"/>
      <w:bookmarkStart w:id="38" w:name="_Toc507772025"/>
      <w:r>
        <w:rPr>
          <w:noProof/>
        </w:rPr>
        <w:t>Sprijinirea asimilării inovării tehnologice în sectorul financiar</w:t>
      </w:r>
      <w:bookmarkEnd w:id="34"/>
      <w:bookmarkEnd w:id="35"/>
      <w:bookmarkEnd w:id="36"/>
      <w:bookmarkEnd w:id="37"/>
      <w:bookmarkEnd w:id="38"/>
    </w:p>
    <w:p>
      <w:pPr>
        <w:pStyle w:val="Heading2"/>
        <w:rPr>
          <w:noProof/>
        </w:rPr>
      </w:pPr>
      <w:bookmarkStart w:id="39" w:name="_Toc496284371"/>
      <w:bookmarkStart w:id="40" w:name="_Toc501523438"/>
      <w:bookmarkStart w:id="41" w:name="_Toc503194270"/>
      <w:bookmarkStart w:id="42" w:name="_Toc506891948"/>
      <w:bookmarkStart w:id="43" w:name="_Toc507772026"/>
      <w:r>
        <w:rPr>
          <w:noProof/>
        </w:rPr>
        <w:t>Revizuirea caracterului adecvat al normelor noastre și asigurarea de garanții pentru noile tehnologii în sectorul financiar</w:t>
      </w:r>
      <w:bookmarkEnd w:id="39"/>
      <w:bookmarkEnd w:id="40"/>
      <w:bookmarkEnd w:id="41"/>
      <w:bookmarkEnd w:id="42"/>
      <w:bookmarkEnd w:id="43"/>
    </w:p>
    <w:p>
      <w:pPr>
        <w:pStyle w:val="Text1"/>
        <w:ind w:left="0"/>
        <w:rPr>
          <w:noProof/>
        </w:rPr>
      </w:pPr>
      <w:r>
        <w:rPr>
          <w:noProof/>
        </w:rPr>
        <w:t xml:space="preserve">Neutralitatea tehnologică este unul dintre principiile de bază ale politicilor Comisiei. </w:t>
      </w:r>
    </w:p>
    <w:p>
      <w:pPr>
        <w:pStyle w:val="Text1"/>
        <w:ind w:left="0"/>
        <w:rPr>
          <w:noProof/>
        </w:rPr>
      </w:pPr>
      <w:r>
        <w:rPr>
          <w:noProof/>
        </w:rPr>
        <w:t xml:space="preserve">Cu toate acestea, este posibil ca, în practică, normele UE care datează dinainte de apariția tehnologiilor inovatoare să nu fie întotdeauna neutre din punct de vedere tehnologic față de astfel de inovații. Respondenții la consultarea publică au indicat, de exemplu, cerințe sau preferințe pentru prezentările de informații pe suport de hârtie, sau necesitatea unei prezențe fizice. Lipsa unor procese clare și armonizate pentru identificarea consumatorilor și a întreprinderilor în mediul online, cu respectarea deplină a cadrului de combatere a spălării banilor și a normelor privind protecția datelor, au fost considerate, de asemenea, o provocare pentru soluțiile FinTech. În aceeași ordine de idei, respondenții au exprimat preocupări cu privire la faptul că investițiile în software sunt mai puțin atractive în temeiul actualelor norme prudențiale pentru bănci, în cazul cărora investițiile în software realizate de băncile din UE trebuie să fie deduse din capitalul lor reglementat, spre deosebire de tratamentul mai favorabil de care beneficiază băncile din Statele Unite. </w:t>
      </w:r>
    </w:p>
    <w:p>
      <w:pPr>
        <w:pStyle w:val="Text1"/>
        <w:ind w:left="0"/>
        <w:rPr>
          <w:noProof/>
        </w:rPr>
      </w:pPr>
      <w:r>
        <w:rPr>
          <w:noProof/>
        </w:rPr>
        <w:t>Comisia a examinat deja unele dintre aceste aspecte. În planul de acțiune privind serviciile financiare de consum</w:t>
      </w:r>
      <w:r>
        <w:rPr>
          <w:rStyle w:val="FootnoteReference"/>
          <w:noProof/>
        </w:rPr>
        <w:footnoteReference w:id="29"/>
      </w:r>
      <w:r>
        <w:rPr>
          <w:noProof/>
        </w:rPr>
        <w:t>, Comisia și-a anunțat intenția de a facilita acceptarea transfrontalieră a identificării electronice și a proceselor de cunoaștere a clienților de la distanță. Obiectivul este de a permite băncilor să identifice consumatorii în mod digital, în conformitate cu orice cerințe de combatere a spălării de bani și de protecție a datelor, prin utilizarea pe deplin a instrumentelor de identificare și autentificare electronică prevăzute în Regulamentul eIDAS. Pentru a facilita utilizarea identificării și autentificării electronice, Comisia a înființat</w:t>
      </w:r>
      <w:r>
        <w:rPr>
          <w:rStyle w:val="FootnoteReference"/>
          <w:noProof/>
        </w:rPr>
        <w:footnoteReference w:id="30"/>
      </w:r>
      <w:r>
        <w:rPr>
          <w:noProof/>
        </w:rPr>
        <w:t xml:space="preserve"> un grup specific de experți privind identificarea electronică și procesele de cunoaștere a clienților de la distanță. Utilizarea tehnologiilor disruptive, cum ar fi tehnologia registrelor distribuite și inteligența artificială, pot prezenta provocări suplimentare în materie de reglementare. Ar trebui să fie abordate cerințele privind prezentările de informații pe suport de hârtie. În răspunsurile la consultarea publică s-a exprimat temerea că utilizarea unor astfel de tehnologii poate fi împiedicată sau limitată de normele existente, de exemplu în următoarele moduri:</w:t>
      </w:r>
    </w:p>
    <w:p>
      <w:pPr>
        <w:pStyle w:val="Text1"/>
        <w:numPr>
          <w:ilvl w:val="0"/>
          <w:numId w:val="29"/>
        </w:numPr>
        <w:spacing w:after="120"/>
        <w:ind w:left="714" w:hanging="357"/>
        <w:rPr>
          <w:noProof/>
        </w:rPr>
      </w:pPr>
      <w:r>
        <w:rPr>
          <w:noProof/>
        </w:rPr>
        <w:t>aplicațiile bazate pe blockchain pot ridica probleme de competență cu privire la legislația aplicabilă și cu privire la răspundere;</w:t>
      </w:r>
    </w:p>
    <w:p>
      <w:pPr>
        <w:pStyle w:val="Text1"/>
        <w:numPr>
          <w:ilvl w:val="0"/>
          <w:numId w:val="29"/>
        </w:numPr>
        <w:spacing w:after="120"/>
        <w:ind w:left="714" w:hanging="357"/>
        <w:rPr>
          <w:noProof/>
        </w:rPr>
      </w:pPr>
      <w:r>
        <w:rPr>
          <w:noProof/>
        </w:rPr>
        <w:t>valabilitatea juridică și caracterul executoriu al contractelor inteligente ar putea necesita clarificare;</w:t>
      </w:r>
    </w:p>
    <w:p>
      <w:pPr>
        <w:pStyle w:val="Text1"/>
        <w:numPr>
          <w:ilvl w:val="0"/>
          <w:numId w:val="29"/>
        </w:numPr>
        <w:spacing w:after="120"/>
        <w:ind w:left="714" w:hanging="357"/>
        <w:rPr>
          <w:noProof/>
        </w:rPr>
      </w:pPr>
      <w:r>
        <w:rPr>
          <w:noProof/>
        </w:rPr>
        <w:t>există incertitudini referitoare la statutul juridic al ofertelor inițiale de monede și la normele care le sunt aplicabile, astfel cum s-a arătat deja la punctul 1.1. de mai sus;</w:t>
      </w:r>
    </w:p>
    <w:p>
      <w:pPr>
        <w:pStyle w:val="Text1"/>
        <w:ind w:left="360"/>
        <w:rPr>
          <w:noProof/>
        </w:rPr>
      </w:pPr>
      <w:r>
        <w:rPr>
          <w:noProof/>
        </w:rPr>
        <w:t xml:space="preserve">Este necesară o analiză suplimentară pentru a evalua în ce măsură cadrul juridic pentru servicii financiare este neutru din punct de vedere tehnologic și poate permite inovarea FinTech sau dacă trebuie să fie adaptat în acest scop. În același timp, este necesar să se asigure că stabilitatea financiară, protecția consumatorilor și a investitorilor, cerințele privind combaterea spălării banilor și aplicarea legii sunt respectate.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4</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pStyle w:val="Text1"/>
              <w:spacing w:before="60" w:after="60"/>
              <w:ind w:left="0"/>
              <w:rPr>
                <w:b w:val="0"/>
                <w:bCs w:val="0"/>
                <w:noProof/>
                <w:highlight w:val="yellow"/>
              </w:rPr>
            </w:pPr>
            <w:r>
              <w:rPr>
                <w:noProof/>
              </w:rPr>
              <w:t>Comisia va institui un grup de experți pentru a evalua, până în al doilea trimestru al anului 2019, dacă există sau nu obstacole de reglementare nejustificate în calea inovării financiare în cadrul de reglementare a serviciilor financiare.</w:t>
            </w:r>
          </w:p>
        </w:tc>
      </w:tr>
    </w:tbl>
    <w:p>
      <w:pPr>
        <w:pStyle w:val="Text2"/>
        <w:rPr>
          <w:noProof/>
        </w:rPr>
      </w:pPr>
    </w:p>
    <w:p>
      <w:pPr>
        <w:pStyle w:val="Heading2"/>
        <w:rPr>
          <w:noProof/>
        </w:rPr>
      </w:pPr>
      <w:bookmarkStart w:id="44" w:name="_Toc496284372"/>
      <w:bookmarkStart w:id="45" w:name="_Toc501523439"/>
      <w:bookmarkStart w:id="46" w:name="_Toc503194271"/>
      <w:bookmarkStart w:id="47" w:name="_Toc506891949"/>
      <w:bookmarkStart w:id="48" w:name="_Toc507772027"/>
      <w:r>
        <w:rPr>
          <w:noProof/>
        </w:rPr>
        <w:t>Înlăturarea obstacolelor din calea serviciilor cloud</w:t>
      </w:r>
      <w:bookmarkEnd w:id="44"/>
      <w:bookmarkEnd w:id="45"/>
      <w:bookmarkEnd w:id="46"/>
      <w:bookmarkEnd w:id="47"/>
      <w:bookmarkEnd w:id="48"/>
    </w:p>
    <w:p>
      <w:pPr>
        <w:pStyle w:val="Text1"/>
        <w:ind w:left="0"/>
        <w:rPr>
          <w:noProof/>
        </w:rPr>
      </w:pPr>
      <w:r>
        <w:rPr>
          <w:noProof/>
        </w:rPr>
        <w:t>Tehnologia de tip cloud computing poate spori eficiența infrastructurii digitale care stă la baza serviciilor financiare. Externalizarea prelucrării datelor și a capacității de stocare către furnizorii de servicii cloud reduce costul de găzduire, infrastructură și software pentru întreprinderi și poate contribui la eficientizarea cheltuielilor aferente domeniului informatic. În același timp, aceasta poate asigura o mai mare performanță, flexibilitate și adaptabilitate.</w:t>
      </w:r>
    </w:p>
    <w:p>
      <w:pPr>
        <w:pStyle w:val="Text1"/>
        <w:ind w:left="0"/>
        <w:rPr>
          <w:noProof/>
        </w:rPr>
      </w:pPr>
      <w:r>
        <w:rPr>
          <w:noProof/>
        </w:rPr>
        <w:t>Întreprinderile reglementate care externalizează activități către un furnizor de servicii cloud trebuie să respecte toate cerințele legale (de exemplu, în ceea ce privește buna gestionare a riscurilor, protecția datelor și supravegherea adecvată de către autoritățile de supraveghere). Părțile interesate care au participat la consultarea Comisiei și-au exprimat temerile cu privire la faptul că incertitudinile legate de așteptările autorităților de supraveghere financiară limitau utilizarea serviciilor de cloud computing. Astfel de incertitudini sunt cauzate, în special, de lipsa armonizării normelor naționale și de diferitele interpretări ale normelor privind externalizarea</w:t>
      </w:r>
      <w:r>
        <w:rPr>
          <w:rStyle w:val="FootnoteReference"/>
          <w:noProof/>
        </w:rPr>
        <w:footnoteReference w:id="31"/>
      </w:r>
      <w:r>
        <w:rPr>
          <w:noProof/>
        </w:rPr>
        <w:t>.</w:t>
      </w:r>
    </w:p>
    <w:p>
      <w:pPr>
        <w:pStyle w:val="Text1"/>
        <w:ind w:left="0"/>
        <w:rPr>
          <w:noProof/>
        </w:rPr>
      </w:pPr>
      <w:r>
        <w:rPr>
          <w:noProof/>
        </w:rPr>
        <w:t>ABE a publicat recent recomandări cu privire la externalizarea către serviciile cloud</w:t>
      </w:r>
      <w:r>
        <w:rPr>
          <w:rStyle w:val="FootnoteReference"/>
          <w:noProof/>
        </w:rPr>
        <w:footnoteReference w:id="32"/>
      </w:r>
      <w:r>
        <w:rPr>
          <w:noProof/>
        </w:rPr>
        <w:t>. ESMA, în rolul său de agenție de supraveghere directă a agențiilor de rating de credit și a registrelor centrale de tranzacții, analizează aceste aspecte și, în 2018, intenționează să clarifice care sunt cerințele pe care aceste întreprinderi trebuie să le respecte atunci când externalizează către servicii cloud. Externalizarea către serviciile cloud face parte, de asemenea, din mandatul EIOPA în domeniul InsurTech. Cu toate acestea, subiectul necesită o atenție deosebită care depășește domeniul de aplicare a acestor inițiative existente. S-ar putea obține mai multă certitudine dacă așteptările în materie de supraveghere ar fi exprimate sub forma unor orientări formale ale autorităților europene de supraveghere</w:t>
      </w:r>
      <w:r>
        <w:rPr>
          <w:rStyle w:val="FootnoteReference"/>
          <w:noProof/>
        </w:rPr>
        <w:footnoteReference w:id="33"/>
      </w:r>
      <w:r>
        <w:rPr>
          <w:noProof/>
        </w:rPr>
        <w:t>.</w:t>
      </w:r>
    </w:p>
    <w:p>
      <w:pPr>
        <w:pStyle w:val="Text1"/>
        <w:ind w:left="0"/>
        <w:rPr>
          <w:noProof/>
        </w:rPr>
      </w:pPr>
      <w:r>
        <w:rPr>
          <w:noProof/>
        </w:rPr>
        <w:t xml:space="preserve">Propunerea Comisiei pentru un regulament de stabilire a unui cadru privind fluxul liber al datelor fără caracter personal în UE urmărește să elimine restricțiile nejustificate în materie de localizare a datelor și, prin urmare, să combată una dintre principalele probleme identificate. Propunerea abordează, de asemenea, aspecte suplimentare legate de cloud, cum ar fi prevenirea dependenței față de un furnizor de servicii cloud. Pentru a facilita punerea în aplicare a regulamentului propus, în special în ceea ce privește utilizarea serviciilor cloud, în 2018 Comisia va reuni părțile interesate relevante, formate din utilizatori de cloud, furnizori de servicii cloud și din autoritățile de reglementare. </w:t>
      </w: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5</w:t>
            </w:r>
          </w:p>
        </w:tc>
      </w:tr>
      <w:tr>
        <w:trPr>
          <w:cnfStyle w:val="000000100000" w:firstRow="0" w:lastRow="0" w:firstColumn="0" w:lastColumn="0" w:oddVBand="0" w:evenVBand="0" w:oddHBand="1" w:evenHBand="0" w:firstRowFirstColumn="0" w:firstRowLastColumn="0" w:lastRowFirstColumn="0" w:lastRowLastColumn="0"/>
          <w:cantSplit/>
          <w:trHeight w:val="3528"/>
        </w:trPr>
        <w:tc>
          <w:tcPr>
            <w:cnfStyle w:val="001000000000" w:firstRow="0" w:lastRow="0" w:firstColumn="1" w:lastColumn="0" w:oddVBand="0" w:evenVBand="0" w:oddHBand="0" w:evenHBand="0" w:firstRowFirstColumn="0" w:firstRowLastColumn="0" w:lastRowFirstColumn="0" w:lastRowLastColumn="0"/>
            <w:tcW w:w="8755" w:type="dxa"/>
          </w:tcPr>
          <w:p>
            <w:pPr>
              <w:pStyle w:val="Text1"/>
              <w:numPr>
                <w:ilvl w:val="0"/>
                <w:numId w:val="26"/>
              </w:numPr>
              <w:spacing w:before="60" w:after="60"/>
              <w:rPr>
                <w:bCs w:val="0"/>
                <w:noProof/>
              </w:rPr>
            </w:pPr>
            <w:r>
              <w:rPr>
                <w:noProof/>
              </w:rPr>
              <w:t>Comisia invită autoritățile europene de supraveghere să analizeze necesitatea furnizării unor orientări cu privire la externalizarea către furnizori de servicii cloud până în primul trimestru al anului 2019.</w:t>
            </w:r>
          </w:p>
          <w:p>
            <w:pPr>
              <w:pStyle w:val="Text1"/>
              <w:spacing w:before="60" w:after="60"/>
              <w:ind w:left="720"/>
              <w:rPr>
                <w:bCs w:val="0"/>
                <w:noProof/>
              </w:rPr>
            </w:pPr>
          </w:p>
          <w:p>
            <w:pPr>
              <w:pStyle w:val="Text1"/>
              <w:numPr>
                <w:ilvl w:val="0"/>
                <w:numId w:val="26"/>
              </w:numPr>
              <w:spacing w:before="60" w:after="60"/>
              <w:rPr>
                <w:noProof/>
              </w:rPr>
            </w:pPr>
            <w:r>
              <w:rPr>
                <w:noProof/>
              </w:rPr>
              <w:t>În contextul comunicării privind construirea unei economii europene a datelor, Comisia invită părțile interesate în materie de servicii cloud să elaboreze coduri transsectoriale de conduită de autoreglementare în vederea facilitării comutării între furnizori de servicii cloud. Comisia va invita, de asemenea, reprezentanți din sectorul financiar pentru a facilita transferul de date și pentru instituțiile financiare.</w:t>
            </w:r>
          </w:p>
          <w:p>
            <w:pPr>
              <w:pStyle w:val="Text1"/>
              <w:spacing w:before="60" w:after="60"/>
              <w:ind w:left="720"/>
              <w:rPr>
                <w:noProof/>
              </w:rPr>
            </w:pPr>
          </w:p>
          <w:p>
            <w:pPr>
              <w:pStyle w:val="Text1"/>
              <w:numPr>
                <w:ilvl w:val="0"/>
                <w:numId w:val="26"/>
              </w:numPr>
              <w:spacing w:before="60" w:after="60"/>
              <w:rPr>
                <w:b w:val="0"/>
                <w:bCs w:val="0"/>
                <w:noProof/>
              </w:rPr>
            </w:pPr>
            <w:r>
              <w:rPr>
                <w:noProof/>
              </w:rPr>
              <w:t xml:space="preserve">În acest context, Comisia încurajează și facilitează elaborarea unor clauze contractuale standard pentru externalizarea serviciilor de cloud de către instituțiile financiare, plecând de la eforturile transsectoriale ale părților interesate în materie de servicii cloud deja facilitate de Comisie și asigurând implicarea sectorului financiar în acest proces. Această activitate ar trebui să fie realizată de o combinație echilibrată de societăți din sectorul financiar și de furnizori de servicii cloud și ar trebui să abordeze, în special, cerințele de audit, cerințele de raportare sau determinarea importanței semnificative a activităților care urmează a fi externalizate. </w:t>
            </w:r>
          </w:p>
        </w:tc>
      </w:tr>
    </w:tbl>
    <w:p>
      <w:pPr>
        <w:pStyle w:val="Text1"/>
        <w:rPr>
          <w:noProof/>
        </w:rPr>
      </w:pPr>
    </w:p>
    <w:p>
      <w:pPr>
        <w:pStyle w:val="Heading2"/>
        <w:rPr>
          <w:noProof/>
        </w:rPr>
      </w:pPr>
      <w:bookmarkStart w:id="49" w:name="_Toc496284373"/>
      <w:bookmarkStart w:id="50" w:name="_Toc501523440"/>
      <w:bookmarkStart w:id="51" w:name="_Toc503194272"/>
      <w:bookmarkStart w:id="52" w:name="_Toc506891950"/>
      <w:bookmarkStart w:id="53" w:name="_Toc507772028"/>
      <w:r>
        <w:rPr>
          <w:noProof/>
        </w:rPr>
        <w:t>Favorizarea aplicațiilor FinTech prin intermediul inițiativei UE privind blockchain</w:t>
      </w:r>
      <w:bookmarkEnd w:id="49"/>
      <w:bookmarkEnd w:id="50"/>
      <w:bookmarkEnd w:id="51"/>
      <w:bookmarkEnd w:id="52"/>
      <w:bookmarkEnd w:id="53"/>
    </w:p>
    <w:p>
      <w:pPr>
        <w:pStyle w:val="Text1"/>
        <w:ind w:left="0"/>
        <w:rPr>
          <w:noProof/>
        </w:rPr>
      </w:pPr>
      <w:r>
        <w:rPr>
          <w:noProof/>
        </w:rPr>
        <w:t>Este foarte probabil ca tehnologia blockchain și tehnologia registrelor distribuite să conducă la un progres major care va transforma modul în care se realizează schimbul de informații sau de active, precum și modul în care acestea sunt validate, împărtășite și accesate prin intermediul rețelelor digitale. Acestea vor continua, cu mare probabilitate, să se dezvolte în următorii ani și să devină o componentă esențială a economiei și a societății digitale.</w:t>
      </w:r>
    </w:p>
    <w:p>
      <w:pPr>
        <w:pStyle w:val="Text1"/>
        <w:ind w:left="0"/>
        <w:rPr>
          <w:noProof/>
        </w:rPr>
      </w:pPr>
      <w:r>
        <w:rPr>
          <w:noProof/>
        </w:rPr>
        <w:t xml:space="preserve">Este important să se evite confuzia dintre tehnologiile blockchain și criptomonede (menționate mai sus), care reprezintă doar un tip de aplicație blockchain. Blockchain poate sta la baza unei game largi de aplicații în diverse sectoare, care pot să nu fie limitate doar la criptomonede sau chiar la FinTech. </w:t>
      </w:r>
    </w:p>
    <w:p>
      <w:pPr>
        <w:pStyle w:val="Text1"/>
        <w:ind w:left="0"/>
        <w:rPr>
          <w:noProof/>
        </w:rPr>
      </w:pPr>
      <w:r>
        <w:rPr>
          <w:noProof/>
        </w:rPr>
        <w:t>Sectorul financiar a fost lider în ceea ce privește explorarea potențialului tehnologiei blockchain, cu multe validări de concept și proiecte-pilot într-o gamă largă de domenii, cum ar fi plățile, garanțiile, depozitele și împrumuturile, mobilizarea de capital, gestionarea investițiilor, aprovizionarea pieței, tranzacționarea și post-tranzacționarea, precum și finanțarea comerțului și raportarea (de exemplu, RegTech).</w:t>
      </w:r>
    </w:p>
    <w:p>
      <w:pPr>
        <w:pStyle w:val="Text1"/>
        <w:ind w:left="0"/>
        <w:rPr>
          <w:noProof/>
        </w:rPr>
      </w:pPr>
      <w:r>
        <w:rPr>
          <w:noProof/>
        </w:rPr>
        <w:t>Tehnologia registrelor distribuite și tehnologia blockchain au un mare potențial de a stimula simplitatea și eficiența prin crearea de noi infrastructuri și procese. Aceste tehnologii pot deveni elemente centrale ale infrastructurii viitoare a serviciilor financiare. Aplicațiile cu impactul cel mai pronunțat vor necesita o colaborare aprofundată între operatori, inovatori și autoritățile de reglementare, pentru a dispune de o cale de punere în aplicare reușită și benefică. Domeniul de aplicare a aplicațiilor potențiale este foarte amplu și ar trebui monitorizat îndeaproape.</w:t>
      </w:r>
    </w:p>
    <w:p>
      <w:pPr>
        <w:pStyle w:val="Text1"/>
        <w:ind w:left="0"/>
        <w:rPr>
          <w:noProof/>
        </w:rPr>
      </w:pPr>
      <w:r>
        <w:rPr>
          <w:noProof/>
        </w:rPr>
        <w:t>Chiar dacă tehnologiile blockchain sunt încă într-un stadiu incipient, trebuie abordate o serie de provocări și riscuri. Observatorul și forumul UE privind blockchain</w:t>
      </w:r>
      <w:r>
        <w:rPr>
          <w:rStyle w:val="FootnoteReference"/>
          <w:noProof/>
        </w:rPr>
        <w:footnoteReference w:id="34"/>
      </w:r>
      <w:r>
        <w:rPr>
          <w:noProof/>
        </w:rPr>
        <w:t>, care a fost lansat în februarie 2018 pentru o perioadă de 2 ani, are drept scop monitorizarea tendințelor și a evoluțiilor, punerea în comun a expertizei pentru a aborda aspecte sectoriale și transsectoriale, precum și explorarea unor soluții comune și a cazurilor transfrontaliere de utilizare a tehnologiei blockchain. Parlamentul European a sprijinit, de asemenea, lansarea Portalului european pentru transparență financiară (EFTG), un proiect pilot care utilizează tehnologia registrelor distribuite pentru a facilita accesul la informațiile referitoare la toate societățile cotate pe piețele reglementate de valori ale UE în contextul Directivei privind transparența</w:t>
      </w:r>
      <w:r>
        <w:rPr>
          <w:rStyle w:val="FootnoteReference"/>
          <w:noProof/>
        </w:rPr>
        <w:footnoteReference w:id="35"/>
      </w:r>
      <w:r>
        <w:rPr>
          <w:noProof/>
        </w:rPr>
        <w:t>. Această inițiativă are drept scop creșterea transparenței pe piețele reglementate din UE, promovând atât integrarea pieței, cât și lichiditatea pieței, în conformitate cu obiectivele uniunii piețelor de capital. De asemenea, Comisia Europeană a inițiat, de exemplu, blockchain pentru transformări industriale (# Blockchain4EU) și validarea conceptului pentru a se utiliza tehnologia blockchain în vederea facilitării colectării accizelor.</w:t>
      </w:r>
    </w:p>
    <w:p>
      <w:pPr>
        <w:pStyle w:val="Text1"/>
        <w:ind w:left="0"/>
        <w:rPr>
          <w:noProof/>
        </w:rPr>
      </w:pPr>
      <w:r>
        <w:rPr>
          <w:noProof/>
        </w:rPr>
        <w:t>Având în vedere caracterul transversal al blockchain, care merge dincolo de serviciile financiare și cuprinde în mod potențial în toate sectoarele economiei și ale societății, Comisia a luat deja măsuri pentru a înființa o inițiativă blockchain a UE odată cu lansarea Observatorului și forumului UE privind blockchain. Inițiativa va propune acțiuni, măsuri de finanțare și un cadru care să permită modularitatea, să dezvolte guvernanța și standardele și să susțină interoperabilitatea. Aceasta este o inițiativă transsectorială despre care se preconizează că va permite adoptarea rapidă a acestei tehnologii în sectorul financiar și va crește competitivitatea Europei și poziția sa de lider în domeniul tehnologic, în colaborare cu alte acțiuni din cadrul prezentului plan de acțiune (în special, verificarea caracterului adecvat al legislației financiare a UE). Aceasta se va baza, de asemenea, pe acțiuni-pilot sprijinite prin intermediul programului Orizont 2020, care va fi extins în perioada 2018-2020. Comisia a stabilit, de asemenea, legături cu Comitetul tehnic 307 privind tehnologia blockchain și tehnologia registrelor distribuite al Organizației Internaționale de Standardizare. Organizațiile europene de standardizare</w:t>
      </w:r>
      <w:r>
        <w:rPr>
          <w:rStyle w:val="FootnoteReference"/>
          <w:noProof/>
        </w:rPr>
        <w:footnoteReference w:id="36"/>
      </w:r>
      <w:r>
        <w:rPr>
          <w:noProof/>
        </w:rPr>
        <w:t xml:space="preserve"> au fost invitate să își asume un rol de prim plan în vederea identificării caracteristicilor specifice ale UE în ceea ce privește tehnologia blockchain.</w:t>
      </w:r>
    </w:p>
    <w:p>
      <w:pPr>
        <w:spacing w:after="200" w:line="276" w:lineRule="auto"/>
        <w:jc w:val="left"/>
        <w:rPr>
          <w:noProof/>
        </w:rPr>
      </w:pPr>
      <w:r>
        <w:rPr>
          <w:noProof/>
        </w:rPr>
        <w:br w:type="page"/>
      </w:r>
    </w:p>
    <w:p>
      <w:pPr>
        <w:pStyle w:val="Text1"/>
        <w:ind w:left="0"/>
        <w:rPr>
          <w:noProof/>
        </w:rPr>
      </w:pPr>
    </w:p>
    <w:tbl>
      <w:tblPr>
        <w:tblStyle w:val="LightList-Accent1"/>
        <w:tblpPr w:leftFromText="180" w:rightFromText="180" w:vertAnchor="text" w:horzAnchor="margin" w:tblpY="149"/>
        <w:tblW w:w="9298" w:type="dxa"/>
        <w:tblLayout w:type="fixed"/>
        <w:tblLook w:val="04A0" w:firstRow="1" w:lastRow="0" w:firstColumn="1" w:lastColumn="0" w:noHBand="0" w:noVBand="1"/>
      </w:tblPr>
      <w:tblGrid>
        <w:gridCol w:w="9298"/>
      </w:tblGrid>
      <w:tr>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298" w:type="dxa"/>
          </w:tcPr>
          <w:p>
            <w:pPr>
              <w:pStyle w:val="ListNumber"/>
              <w:keepNext/>
              <w:numPr>
                <w:ilvl w:val="0"/>
                <w:numId w:val="0"/>
              </w:numPr>
              <w:spacing w:after="0"/>
              <w:rPr>
                <w:noProof/>
                <w:szCs w:val="24"/>
              </w:rPr>
            </w:pPr>
            <w:r>
              <w:rPr>
                <w:noProof/>
              </w:rPr>
              <w:t>Caseta 6</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9298" w:type="dxa"/>
          </w:tcPr>
          <w:p>
            <w:pPr>
              <w:pStyle w:val="Text1"/>
              <w:numPr>
                <w:ilvl w:val="0"/>
                <w:numId w:val="27"/>
              </w:numPr>
              <w:spacing w:before="60" w:after="60"/>
              <w:rPr>
                <w:noProof/>
              </w:rPr>
            </w:pPr>
            <w:r>
              <w:rPr>
                <w:noProof/>
              </w:rPr>
              <w:t>Comisia va desfășura o consultare publică cu privire la digitalizarea în continuare a informațiilor reglementate privind societățile cotate pe piețele reglementate din UE, în al doilea trimestru al anului 2018, inclusiv cu privire la posibila realizare a unui Portal european pentru transparență financiară bazat pe tehnologia registrelor distribuite.</w:t>
            </w:r>
          </w:p>
          <w:p>
            <w:pPr>
              <w:pStyle w:val="Text1"/>
              <w:numPr>
                <w:ilvl w:val="0"/>
                <w:numId w:val="27"/>
              </w:numPr>
              <w:spacing w:before="60" w:after="60"/>
              <w:rPr>
                <w:noProof/>
              </w:rPr>
            </w:pPr>
            <w:r>
              <w:rPr>
                <w:noProof/>
              </w:rPr>
              <w:t>Comisia va continua să lucreze la elaborarea unei strategii cuprinzătoare, luând în considerare toate implicațiile juridice relevante, cu privire la tehnologia blockchain și la tehnologia registrelor distribuite, care va viza toate sectoarele economiei și care va favoriza aplicațiile FinTech și RegTech în UE.</w:t>
            </w:r>
          </w:p>
          <w:p>
            <w:pPr>
              <w:pStyle w:val="Text1"/>
              <w:spacing w:before="60" w:after="60"/>
              <w:ind w:left="720"/>
              <w:rPr>
                <w:noProof/>
              </w:rPr>
            </w:pPr>
          </w:p>
          <w:p>
            <w:pPr>
              <w:pStyle w:val="Text1"/>
              <w:numPr>
                <w:ilvl w:val="0"/>
                <w:numId w:val="27"/>
              </w:numPr>
              <w:spacing w:before="60" w:after="60"/>
              <w:rPr>
                <w:noProof/>
              </w:rPr>
            </w:pPr>
            <w:r>
              <w:rPr>
                <w:noProof/>
              </w:rPr>
              <w:t>Comisia a lansat un Observator și forum UE privind blockchain în februarie 2018, precum și un studiu privind fezabilitatea unei infrastructuri blockchain publice a UE pentru dezvoltarea serviciilor transfrontaliere. Se va evalua dacă tehnologia blockchain poate sau nu să fie dezvoltată ca o infrastructură de servicii digitale în cadrul Mecanismului pentru interconectarea Europei. Cu sprijinul Observatorului și forumului UE privind blockchain și al organizațiilor europene de standardizare, Comisia va continua să evalueze aspectele juridice, de guvernanță și de modularitate și să sprijine eforturile de standardizare și de interoperabilitate, printre care evaluarea în continuare a cazurilor de utilizare a tehnologiei blockchain și a aplicațiilor sale în contextul Internetului de nouă generație (</w:t>
            </w:r>
            <w:r>
              <w:rPr>
                <w:i/>
                <w:noProof/>
              </w:rPr>
              <w:t>Next Generation Internet</w:t>
            </w:r>
            <w:r>
              <w:rPr>
                <w:noProof/>
              </w:rPr>
              <w:t xml:space="preserve">). </w:t>
            </w:r>
          </w:p>
        </w:tc>
      </w:tr>
    </w:tbl>
    <w:p>
      <w:pPr>
        <w:pStyle w:val="Heading2"/>
        <w:rPr>
          <w:noProof/>
        </w:rPr>
      </w:pPr>
      <w:bookmarkStart w:id="54" w:name="_Toc496284374"/>
      <w:bookmarkStart w:id="55" w:name="_Toc501523441"/>
      <w:bookmarkStart w:id="56" w:name="_Toc503194273"/>
      <w:bookmarkStart w:id="57" w:name="_Toc506891951"/>
      <w:bookmarkStart w:id="58" w:name="_Toc507772029"/>
      <w:r>
        <w:rPr>
          <w:noProof/>
        </w:rPr>
        <w:t xml:space="preserve">Consolidarea capacității și a cunoștințelor în rândul autorităților de reglementare și de supraveghere în cadrul unui laborator </w:t>
      </w:r>
      <w:bookmarkEnd w:id="54"/>
      <w:r>
        <w:rPr>
          <w:noProof/>
        </w:rPr>
        <w:t>FinTech al UE</w:t>
      </w:r>
      <w:bookmarkEnd w:id="55"/>
      <w:bookmarkEnd w:id="56"/>
      <w:bookmarkEnd w:id="57"/>
      <w:bookmarkEnd w:id="58"/>
    </w:p>
    <w:p>
      <w:pPr>
        <w:pStyle w:val="Text1"/>
        <w:ind w:left="0"/>
        <w:rPr>
          <w:noProof/>
        </w:rPr>
      </w:pPr>
      <w:r>
        <w:rPr>
          <w:noProof/>
        </w:rPr>
        <w:t>Printre principalele obstacole care împiedică sectorul financiar să preia noile tehnologii se numără lipsa de certitudine și de orientări cu privire la modul de utilizare a acestora, fragmentarea și lipsa unor abordări comune în rândul autorităților naționale de reglementare și de supraveghere.</w:t>
      </w:r>
    </w:p>
    <w:p>
      <w:pPr>
        <w:pStyle w:val="Text1"/>
        <w:ind w:left="0"/>
        <w:rPr>
          <w:noProof/>
        </w:rPr>
      </w:pPr>
      <w:r>
        <w:rPr>
          <w:noProof/>
        </w:rPr>
        <w:t>Unii furnizori de tehnologie depun deja eforturi pentru a informa autoritățile de reglementare și de supraveghere cu privire la caracterul tehnologiilor lor și la modul în care acestea sunt aplicate în sectorul financiar. Cu toate acestea, numeroase autorități sunt reticente în a beneficia de formare sau a se implica în discuții atunci când acestea sunt găzduite de către anumiți furnizori.</w:t>
      </w:r>
    </w:p>
    <w:p>
      <w:pPr>
        <w:pStyle w:val="Text1"/>
        <w:ind w:left="0"/>
        <w:rPr>
          <w:noProof/>
        </w:rPr>
      </w:pPr>
      <w:r>
        <w:rPr>
          <w:noProof/>
        </w:rPr>
        <w:t>Comisia va crea un laborator UE FinTech în vederea unei capacități și cunoștințe sporite de reglementare și de supraveghere cu privire la noile tehnologii. Acest demers se va realiza prin demonstrații și discuții purtate de experți în cadrul unui laborator de tehnologie financiară fără caracter comercial și neutru. Laboratorul va reuni mai mulți furnizori, în special din UE, cu autoritățile de reglementare și de supraveghere, astfel încât aceștia să poată aborda și discuta chestiuni referitoare la reglementare și la supraveghere.</w:t>
      </w:r>
    </w:p>
    <w:p>
      <w:pPr>
        <w:pStyle w:val="Text1"/>
        <w:ind w:left="0"/>
        <w:rPr>
          <w:noProof/>
        </w:rPr>
      </w:pPr>
      <w:r>
        <w:rPr>
          <w:noProof/>
        </w:rPr>
        <w:t xml:space="preserve">Printre tehnologiile abordate s-ar putea număra: </w:t>
      </w:r>
    </w:p>
    <w:p>
      <w:pPr>
        <w:pStyle w:val="Text1"/>
        <w:numPr>
          <w:ilvl w:val="0"/>
          <w:numId w:val="37"/>
        </w:numPr>
        <w:spacing w:after="120"/>
        <w:ind w:left="714" w:hanging="357"/>
        <w:rPr>
          <w:noProof/>
        </w:rPr>
      </w:pPr>
      <w:r>
        <w:rPr>
          <w:noProof/>
        </w:rPr>
        <w:t xml:space="preserve">tehnologiile de autentificare și de identificare, </w:t>
      </w:r>
    </w:p>
    <w:p>
      <w:pPr>
        <w:pStyle w:val="Text1"/>
        <w:numPr>
          <w:ilvl w:val="0"/>
          <w:numId w:val="37"/>
        </w:numPr>
        <w:spacing w:after="120"/>
        <w:ind w:left="714" w:hanging="357"/>
        <w:rPr>
          <w:noProof/>
        </w:rPr>
      </w:pPr>
      <w:r>
        <w:rPr>
          <w:noProof/>
        </w:rPr>
        <w:t xml:space="preserve">cazurile specifice de utilizare a tehnologiei registrelor distribuite, a tehnologiei de tip cloud, a învățării automate și a inteligenței artificiale, </w:t>
      </w:r>
    </w:p>
    <w:p>
      <w:pPr>
        <w:pStyle w:val="Text1"/>
        <w:numPr>
          <w:ilvl w:val="0"/>
          <w:numId w:val="37"/>
        </w:numPr>
        <w:spacing w:after="120"/>
        <w:ind w:left="714" w:hanging="357"/>
        <w:rPr>
          <w:noProof/>
        </w:rPr>
      </w:pPr>
      <w:r>
        <w:rPr>
          <w:noProof/>
        </w:rPr>
        <w:t xml:space="preserve">interfețele de programare a aplicațiilor și standardele serviciilor bancare deschise și </w:t>
      </w:r>
    </w:p>
    <w:p>
      <w:pPr>
        <w:pStyle w:val="Text1"/>
        <w:numPr>
          <w:ilvl w:val="0"/>
          <w:numId w:val="37"/>
        </w:numPr>
        <w:spacing w:after="120"/>
        <w:ind w:left="714" w:hanging="357"/>
        <w:rPr>
          <w:noProof/>
        </w:rPr>
      </w:pPr>
      <w:r>
        <w:rPr>
          <w:noProof/>
        </w:rPr>
        <w:t>RegTech.</w:t>
      </w:r>
    </w:p>
    <w:p>
      <w:pPr>
        <w:pStyle w:val="Text1"/>
        <w:spacing w:after="120"/>
        <w:ind w:left="714"/>
        <w:rPr>
          <w:noProof/>
        </w:rPr>
      </w:pPr>
    </w:p>
    <w:tbl>
      <w:tblPr>
        <w:tblStyle w:val="LightList-Accent1"/>
        <w:tblW w:w="8755" w:type="dxa"/>
        <w:tblLayout w:type="fixed"/>
        <w:tblLook w:val="04A0" w:firstRow="1" w:lastRow="0" w:firstColumn="1" w:lastColumn="0" w:noHBand="0" w:noVBand="1"/>
      </w:tblPr>
      <w:tblGrid>
        <w:gridCol w:w="8755"/>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55" w:type="dxa"/>
          </w:tcPr>
          <w:p>
            <w:pPr>
              <w:pStyle w:val="ListNumber"/>
              <w:keepNext/>
              <w:numPr>
                <w:ilvl w:val="0"/>
                <w:numId w:val="0"/>
              </w:numPr>
              <w:spacing w:after="0"/>
              <w:rPr>
                <w:noProof/>
                <w:szCs w:val="24"/>
              </w:rPr>
            </w:pPr>
            <w:r>
              <w:rPr>
                <w:noProof/>
              </w:rPr>
              <w:t>Caseta 7</w:t>
            </w:r>
          </w:p>
        </w:tc>
      </w:tr>
      <w:tr>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755" w:type="dxa"/>
          </w:tcPr>
          <w:p>
            <w:pPr>
              <w:spacing w:before="60" w:after="60"/>
              <w:rPr>
                <w:noProof/>
              </w:rPr>
            </w:pPr>
            <w:r>
              <w:rPr>
                <w:noProof/>
              </w:rPr>
              <w:t>Comisia va găzdui un laborator UE FinTech unde autoritățile europene și naționale vor fi invitate să colaboreze cu furnizorii de soluții tehnologice într-un cadru neutru și necomercial, pe perioada unor sesiuni specifice cu privire la anumite inovații, începând din al doilea trimestru al anului 2018.</w:t>
            </w:r>
          </w:p>
        </w:tc>
      </w:tr>
    </w:tbl>
    <w:p>
      <w:pPr>
        <w:pStyle w:val="Text1"/>
        <w:ind w:left="0"/>
        <w:rPr>
          <w:noProof/>
        </w:rPr>
      </w:pPr>
    </w:p>
    <w:p>
      <w:pPr>
        <w:pStyle w:val="Heading2"/>
        <w:rPr>
          <w:noProof/>
        </w:rPr>
      </w:pPr>
      <w:bookmarkStart w:id="59" w:name="_Toc506891952"/>
      <w:bookmarkStart w:id="60" w:name="_Toc507772030"/>
      <w:r>
        <w:rPr>
          <w:noProof/>
        </w:rPr>
        <w:t>Valorificarea tehnologiei pentru a susține distribuirea de produse de investiții cu amănuntul pe piața unică</w:t>
      </w:r>
      <w:bookmarkEnd w:id="59"/>
      <w:bookmarkEnd w:id="60"/>
    </w:p>
    <w:p>
      <w:pPr>
        <w:pStyle w:val="Text1"/>
        <w:ind w:left="0"/>
        <w:rPr>
          <w:noProof/>
        </w:rPr>
      </w:pPr>
      <w:r>
        <w:rPr>
          <w:noProof/>
        </w:rPr>
        <w:t xml:space="preserve">În prezent, investitorii cu amănuntul activi pe piețele de capital sunt copleșiți de marea complexitate, de costurile și de incertitudinea asociate produselor de investiții. S-au realizat progrese semnificative în ceea ce privește îmbunătățirea comparabilității produselor de investiții cu amănuntul, în special prin intermediul cerințelor de prezentare. Deși acest lucru ar trebui să îmbunătățească calitatea produselor, investitorii cu amănuntul se confruntă în continuare cu costuri substanțiale de căutare în demersul de alegere a celui mai adecvat produs de investiții. </w:t>
      </w:r>
    </w:p>
    <w:p>
      <w:pPr>
        <w:pStyle w:val="Text1"/>
        <w:ind w:left="0"/>
        <w:rPr>
          <w:noProof/>
        </w:rPr>
      </w:pPr>
      <w:r>
        <w:rPr>
          <w:noProof/>
        </w:rPr>
        <w:t>Prin urmare, o mai mare transparență în vederea stimulării concurenței și a extinderii posibilităților de alegere pentru investitorii cu amănuntul de pe piețele de capital ar trebui să fie susținută de soluții bazate pe date care ar utiliza tehnologii noi, mai eficace și care asigură că informațiile sunt complete, comparabile și ușor accesibile. Astfel de instrumente ar putea să se bazeze pe informații disponibile publicului și să ofere o interfață ușor de utilizat care asigură legătura dintre bazele de date existente sau instrumentele digitale, cum ar fi calculatoarele online, instrumentele de comparație online, instrumentele online care oferă consiliere sau „supermarketurile de fonduri”. În acest scop sunt necesare eforturi substanțiale pentru a asigura interoperabilitatea seturilor de date și elaborarea unor algoritmi corespunzători, asigurându-se în același timp o prezentare corectă și ușor de înțeles a rezultatelor. Prin urmare, Comisia va examina contextul actual și situația interfeţelor digitale bazate pe tehnologie care ajută persoanele să găsească produse de investiții cu amănuntul potrivite și eficiente din punctul de vedere al costurilor pe piețele de capital ale UE.</w:t>
      </w:r>
    </w:p>
    <w:p>
      <w:pPr>
        <w:spacing w:after="0"/>
        <w:jc w:val="left"/>
        <w:rPr>
          <w:noProof/>
        </w:rPr>
      </w:pPr>
    </w:p>
    <w:p>
      <w:pPr>
        <w:pStyle w:val="Heading1"/>
        <w:rPr>
          <w:noProof/>
        </w:rPr>
      </w:pPr>
      <w:bookmarkStart w:id="61" w:name="_Toc496284375"/>
      <w:bookmarkStart w:id="62" w:name="_Toc501523442"/>
      <w:bookmarkStart w:id="63" w:name="_Toc503194274"/>
      <w:bookmarkStart w:id="64" w:name="_Toc506891953"/>
      <w:bookmarkStart w:id="65" w:name="_Toc507772031"/>
      <w:r>
        <w:rPr>
          <w:noProof/>
        </w:rPr>
        <w:t>Îmbunătățirea securității și a integrității sectorului financiar</w:t>
      </w:r>
      <w:bookmarkStart w:id="66" w:name="_Toc496284376"/>
      <w:bookmarkEnd w:id="61"/>
      <w:bookmarkEnd w:id="62"/>
      <w:bookmarkEnd w:id="63"/>
      <w:bookmarkEnd w:id="64"/>
      <w:bookmarkEnd w:id="65"/>
      <w:bookmarkEnd w:id="66"/>
    </w:p>
    <w:p>
      <w:pPr>
        <w:pStyle w:val="Text2"/>
        <w:ind w:left="0"/>
        <w:rPr>
          <w:noProof/>
        </w:rPr>
      </w:pPr>
      <w:r>
        <w:rPr>
          <w:noProof/>
        </w:rPr>
        <w:t>Securitatea cibernetică rămâne în centrul acțiunii UE în materie de politici, iar transformarea sectorului financiar al UE într-un sector cu o mai mare reziliență cibernetică reprezintă o prioritate politică pentru Comisie. Cu toate acestea, atacurile cibernetice de anvergură orientează atenția asupra nevoii continue de a asigura reziliența și integritatea sistemelor. Caracterul transfrontalier al amenințărilor informatice impune un grad ridicat de aliniere a cerințelor și așteptărilor naționale de reglementare și de supraveghere. Întrucât sectorul financiar devine din ce în ce mai dependent de tehnologia digitală, este esențial să se asigure că acesta este sigur și rezilient. În acest sens, Comisia recunoaște importanța integrării de către serviciile digitale a unei abordări de „securitate începând cu momentul conceperii” și, în acest scop, a prezentat deja o propunere</w:t>
      </w:r>
      <w:r>
        <w:rPr>
          <w:rStyle w:val="FootnoteReference"/>
          <w:noProof/>
        </w:rPr>
        <w:footnoteReference w:id="37"/>
      </w:r>
      <w:r>
        <w:rPr>
          <w:noProof/>
        </w:rPr>
        <w:t xml:space="preserve"> de creare a unui cadru de certificare la nivelul UE pentru produsele și serviciile de securitate TIC.</w:t>
      </w:r>
    </w:p>
    <w:p>
      <w:pPr>
        <w:pStyle w:val="Text2"/>
        <w:ind w:left="0"/>
        <w:rPr>
          <w:noProof/>
        </w:rPr>
      </w:pPr>
      <w:r>
        <w:rPr>
          <w:noProof/>
        </w:rPr>
        <w:t>Deși sectorul financiar este mai bine pregătit decât alte sectoare, acesta este, de asemenea, sectorul cel mai amenințat. Riscurile operaționale și cibernetice reprezintă o amenințare crescândă la adresa stabilității sistemului financiar și subminează încrederea care este vitală pentru piețele noastre financiare. Recunoscând potențiala amenințare la adresa stabilității sectorului financiar, Parlamentul European a solicitat Comisiei „să facă din securitatea cibernetică prioritatea numărul unu în cadrul planului de acțiune FinTech”</w:t>
      </w:r>
      <w:r>
        <w:rPr>
          <w:rStyle w:val="FootnoteReference"/>
          <w:noProof/>
        </w:rPr>
        <w:footnoteReference w:id="38"/>
      </w:r>
      <w:r>
        <w:rPr>
          <w:noProof/>
        </w:rPr>
        <w:t>. Incidentele cibernetice repetate cauzate de exploatarea defectelor de securitate de bază în sisteme și organizații evidențiază importanța critică a respectării igienei cibernetice fundamentale</w:t>
      </w:r>
      <w:r>
        <w:rPr>
          <w:rStyle w:val="FootnoteReference"/>
          <w:noProof/>
        </w:rPr>
        <w:footnoteReference w:id="39"/>
      </w:r>
      <w:r>
        <w:rPr>
          <w:noProof/>
        </w:rPr>
        <w:t xml:space="preserve"> în cadrul oricărei organizații. Măsurile și cerințele mai stricte în materie de igienă cibernetică sunt esențiale pentru a se asigura integritatea. Cu toate acestea, măsura în care întreprinderile respectă standardele de igienă cibernetică și în care consolidează aceste standarde variază pe cuprinsul UE, depinzând în mare parte de practicile sectorului și de practicile naționale. La nivelul UE, legislația actuală privind serviciile financiare, în special în ceea ce privește infrastructurile pieței financiare și plățile, conține deja cerințe specifice privind integritatea resurselor și sistemelor informatice și guvernanța acestora. În alte domenii, cerințele sunt mai generale, de exemplu în cazul continuității activității sau al cerințelor generale privind riscul operațional. </w:t>
      </w:r>
    </w:p>
    <w:p>
      <w:pPr>
        <w:pStyle w:val="Text2"/>
        <w:ind w:left="0"/>
        <w:rPr>
          <w:noProof/>
        </w:rPr>
      </w:pPr>
      <w:r>
        <w:rPr>
          <w:noProof/>
        </w:rPr>
        <w:t>Transpunerea de către statele membre a dispozițiilor directivei privind securitatea rețelelor și a sistemelor informatice</w:t>
      </w:r>
      <w:r>
        <w:rPr>
          <w:rStyle w:val="FootnoteReference"/>
          <w:noProof/>
        </w:rPr>
        <w:footnoteReference w:id="40"/>
      </w:r>
      <w:r>
        <w:rPr>
          <w:noProof/>
        </w:rPr>
        <w:t xml:space="preserve"> (NIS) referitoare la cerințele de securitate în alte servicii financiare este în desfășurare. Cu toate acestea, pot rămâne lacune în legislația din sectorul financiar UE, care ar trebui remediate pentru a se îmbunătăți reziliența sectorului. Înainte de adoptarea acestor măsuri, cerințele și practicile de supraveghere</w:t>
      </w:r>
      <w:r>
        <w:rPr>
          <w:rStyle w:val="FootnoteReference"/>
          <w:noProof/>
        </w:rPr>
        <w:footnoteReference w:id="41"/>
      </w:r>
      <w:r>
        <w:rPr>
          <w:noProof/>
        </w:rPr>
        <w:t xml:space="preserve"> ar trebui studiate cu atenție. Astfel, pot fi identificate cele mai bune practici în ceea ce privește aplicarea cerințelor generale. </w:t>
      </w:r>
    </w:p>
    <w:p>
      <w:pPr>
        <w:pStyle w:val="Text2"/>
        <w:ind w:left="0"/>
        <w:rPr>
          <w:noProof/>
        </w:rPr>
      </w:pPr>
      <w:r>
        <w:rPr>
          <w:noProof/>
        </w:rPr>
        <w:t>Accesul la informații privind amenințările și schimbul de informații sunt, de asemenea, fundamentale pentru îmbunătățirea securității cibernetice. Cooperarea și coordonarea mai strânsă în cadrul sectorului financiar al UE în materie de schimb de informații privind amenințările va contribui la prevenirea și atenuarea amenințărilor cibernetice. Unii dintre respondenții la consultarea FinTech și-au exprimat temerea cu privire la faptul că schimbul de informații privind amenințările cibernetice ar putea fi limitat de legislație. Acesta ar putea, de exemplu, să nu fie compatibil cu Regulamentul general privind protecția datelor. Cu toate acestea, regulamentul menționat recunoaște că prelucrarea datelor cu caracter personal este necesară și proporțională în scopul asigurării faptului că securitatea rețelelor și a informațiilor constituie un interes legitim.</w:t>
      </w:r>
    </w:p>
    <w:p>
      <w:pPr>
        <w:pStyle w:val="Text2"/>
        <w:tabs>
          <w:tab w:val="clear" w:pos="2302"/>
          <w:tab w:val="left" w:pos="0"/>
        </w:tabs>
        <w:ind w:left="0"/>
        <w:rPr>
          <w:noProof/>
        </w:rPr>
      </w:pPr>
      <w:r>
        <w:rPr>
          <w:noProof/>
        </w:rPr>
        <w:t xml:space="preserve">Autoritățile de supraveghere desfășoară din ce în ce mai mult teste de penetrare și de reziliență pentru a evalua eficacitatea mijloacelor de apărare cibernetică și a cerințelor de securitate. Testările riguroase reprezintă deja o bună practică a sectorului și, din ce în ce mai mult, sunt mandatate de către autorități teste și modalităţi de testare. Întrucât instituțiile financiare și infrastructurile pieței financiare operează la nivel transfrontalier, multiplicarea cadrelor de testare este percepută ca fiind o creștere inutilă a costurilor și o potențială sporire a riscurilor. Părțile interesate au subliniat necesitatea unui nivel mai ridicat de coordonare în materie de reglementare și supraveghere la nivel european. Părțile interesate au afirmat că acest lucru ar trebui combinat cu o cooperare mai strânsă între jurisdicții și cu încredere reciprocă între autorități cu privire la rezultatele testelor al căror caracter sensibil a trebuit să fie protejat. În acest context, Comisia consideră că eforturile pe care BCE, autoritățile europene de supraveghere și autoritățile naționale de supraveghere le depun, de exemplu, în vederea dezvoltării la nivelul UE a unui cadru de testare pentru </w:t>
      </w:r>
      <w:r>
        <w:rPr>
          <w:i/>
          <w:noProof/>
        </w:rPr>
        <w:t>atacul etic bazat pe informații privind amenințările</w:t>
      </w:r>
      <w:r>
        <w:rPr>
          <w:noProof/>
        </w:rPr>
        <w:t xml:space="preserve"> (</w:t>
      </w:r>
      <w:r>
        <w:rPr>
          <w:i/>
          <w:noProof/>
        </w:rPr>
        <w:t xml:space="preserve">Threat Intelligence Based Ethical Red Teaming </w:t>
      </w:r>
      <w:r>
        <w:rPr>
          <w:noProof/>
        </w:rPr>
        <w:t>TIBER-EU) sunt promițătoare. Evaluarea rezilienței cibernetice a entităților importante de pe piețele financiare din sectorul financiar al UE are potențialul de a identifica în mod eficace și eficient vulnerabilitățile stabilității și integrității întregului sistem financiar al UE.</w:t>
      </w:r>
    </w:p>
    <w:p>
      <w:pPr>
        <w:pStyle w:val="Text2"/>
        <w:tabs>
          <w:tab w:val="clear" w:pos="2302"/>
          <w:tab w:val="left" w:pos="0"/>
        </w:tabs>
        <w:ind w:left="0"/>
        <w:rPr>
          <w:noProof/>
        </w:rPr>
      </w:pPr>
      <w:r>
        <w:rPr>
          <w:noProof/>
        </w:rPr>
        <w:t xml:space="preserve">Reziliența cibernetică puternică necesită o abordare cuprinzătoare și colectivă, precum și activități eficace de formare și de sensibilizare. În acest scop, Comisia a adoptat recent </w:t>
      </w:r>
      <w:r>
        <w:rPr>
          <w:i/>
          <w:noProof/>
        </w:rPr>
        <w:t>Planul de acțiune pentru educația digitală</w:t>
      </w:r>
      <w:r>
        <w:rPr>
          <w:noProof/>
        </w:rPr>
        <w:t>, în vederea îmbunătățirii competențelor digitale în întreaga Europă, inclusiv în materie de securitate cibernetică</w:t>
      </w:r>
      <w:r>
        <w:rPr>
          <w:rStyle w:val="FootnoteReference"/>
          <w:noProof/>
        </w:rPr>
        <w:footnoteReference w:id="42"/>
      </w:r>
      <w:r>
        <w:rPr>
          <w:noProof/>
        </w:rPr>
        <w:t>. Caracterul mondial inerent al amenințărilor cibernetice a clarificat faptul că, pentru a aborda astfel de riscuri, cooperarea internațională este esențială: din acest motiv, Comisia este implicată activ în activitatea desfășurată de G20 și G7 privind securitatea cibernetică în domeniul serviciilor financiare.</w:t>
      </w:r>
    </w:p>
    <w:p>
      <w:pPr>
        <w:pageBreakBefore/>
        <w:spacing w:after="200" w:line="276" w:lineRule="auto"/>
        <w:jc w:val="left"/>
        <w:rPr>
          <w:noProof/>
        </w:rPr>
      </w:pPr>
    </w:p>
    <w:tbl>
      <w:tblPr>
        <w:tblStyle w:val="LightList-Accent1"/>
        <w:tblpPr w:leftFromText="180" w:rightFromText="180" w:vertAnchor="text" w:horzAnchor="margin" w:tblpY="124"/>
        <w:tblW w:w="8760" w:type="dxa"/>
        <w:tblLayout w:type="fixed"/>
        <w:tblLook w:val="04A0" w:firstRow="1" w:lastRow="0" w:firstColumn="1" w:lastColumn="0" w:noHBand="0" w:noVBand="1"/>
      </w:tblPr>
      <w:tblGrid>
        <w:gridCol w:w="8760"/>
      </w:tblGrid>
      <w:tr>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760" w:type="dxa"/>
            <w:tcBorders>
              <w:top w:val="single" w:sz="8" w:space="0" w:color="4F81BD" w:themeColor="accent1"/>
              <w:left w:val="single" w:sz="8" w:space="0" w:color="4F81BD" w:themeColor="accent1"/>
              <w:bottom w:val="nil"/>
              <w:right w:val="single" w:sz="8" w:space="0" w:color="4F81BD" w:themeColor="accent1"/>
            </w:tcBorders>
            <w:hideMark/>
          </w:tcPr>
          <w:p>
            <w:pPr>
              <w:pStyle w:val="ListNumber"/>
              <w:keepNext/>
              <w:numPr>
                <w:ilvl w:val="0"/>
                <w:numId w:val="0"/>
              </w:numPr>
              <w:tabs>
                <w:tab w:val="left" w:pos="720"/>
              </w:tabs>
              <w:spacing w:after="0"/>
              <w:rPr>
                <w:noProof/>
                <w:szCs w:val="24"/>
              </w:rPr>
            </w:pPr>
            <w:r>
              <w:rPr>
                <w:noProof/>
              </w:rPr>
              <w:t>Caseta 8</w:t>
            </w:r>
          </w:p>
        </w:tc>
      </w:tr>
      <w:tr>
        <w:trPr>
          <w:cnfStyle w:val="000000100000" w:firstRow="0" w:lastRow="0" w:firstColumn="0" w:lastColumn="0" w:oddVBand="0" w:evenVBand="0" w:oddHBand="1" w:evenHBand="0" w:firstRowFirstColumn="0" w:firstRowLastColumn="0" w:lastRowFirstColumn="0" w:lastRowLastColumn="0"/>
          <w:cantSplit/>
          <w:trHeight w:val="4800"/>
        </w:trPr>
        <w:tc>
          <w:tcPr>
            <w:cnfStyle w:val="001000000000" w:firstRow="0" w:lastRow="0" w:firstColumn="1" w:lastColumn="0" w:oddVBand="0" w:evenVBand="0" w:oddHBand="0" w:evenHBand="0" w:firstRowFirstColumn="0" w:firstRowLastColumn="0" w:lastRowFirstColumn="0" w:lastRowLastColumn="0"/>
            <w:tcW w:w="8760" w:type="dxa"/>
          </w:tcPr>
          <w:p>
            <w:pPr>
              <w:pStyle w:val="ListParagraph"/>
              <w:keepNext/>
              <w:keepLines/>
              <w:numPr>
                <w:ilvl w:val="0"/>
                <w:numId w:val="21"/>
              </w:numPr>
              <w:spacing w:before="60" w:after="60"/>
              <w:jc w:val="both"/>
              <w:rPr>
                <w:noProof/>
              </w:rPr>
            </w:pPr>
            <w:r>
              <w:rPr>
                <w:rFonts w:ascii="Times New Roman" w:hAnsi="Times New Roman"/>
                <w:noProof/>
                <w:sz w:val="24"/>
              </w:rPr>
              <w:t>Comisia va organiza un atelier public-privat în al doilea trimestru al anului 2018 pentru a explora și a evalua barierele care limitează schimbul de informații privind amenințările cibernetice dintre participanții la piețele financiare, precum și pentru a identifica posibile soluții, asigurând, în același timp, respectarea standardelor de protecție a datelor.</w:t>
            </w:r>
          </w:p>
          <w:p>
            <w:pPr>
              <w:pStyle w:val="ListParagraph"/>
              <w:spacing w:before="60" w:after="60"/>
              <w:jc w:val="both"/>
              <w:rPr>
                <w:noProof/>
              </w:rPr>
            </w:pPr>
          </w:p>
          <w:p>
            <w:pPr>
              <w:pStyle w:val="ListParagraph"/>
              <w:numPr>
                <w:ilvl w:val="0"/>
                <w:numId w:val="21"/>
              </w:numPr>
              <w:spacing w:before="60" w:after="60"/>
              <w:jc w:val="both"/>
              <w:rPr>
                <w:noProof/>
              </w:rPr>
            </w:pPr>
            <w:r>
              <w:rPr>
                <w:rFonts w:ascii="Times New Roman" w:hAnsi="Times New Roman"/>
                <w:noProof/>
                <w:sz w:val="24"/>
              </w:rPr>
              <w:t>Comisia invită autoritățile europene de supraveghere să identifice, până în primul trimestru al anului 2019, practicile de supraveghere existente în cadrul sectoarelor financiare aferente cerințelor TIC în materie de securitate și guvernanță și, după caz: a) să analizeze posibilitatea de a emite orientări menite să asigure convergența în materie de supraveghere și aplicarea cerințelor TIC de gestionare și atenuare a riscurilor în sectorul financiar al UE și b) în cazul în care este necesar, să ofere Comisiei consultanță tehnică privind necesitatea de îmbunătățire a legislației.</w:t>
            </w:r>
          </w:p>
          <w:p>
            <w:pPr>
              <w:pStyle w:val="ListParagraph"/>
              <w:spacing w:before="60" w:after="60"/>
              <w:rPr>
                <w:rFonts w:ascii="Times New Roman" w:hAnsi="Times New Roman" w:cs="Times New Roman"/>
                <w:noProof/>
                <w:sz w:val="24"/>
                <w:szCs w:val="24"/>
              </w:rPr>
            </w:pPr>
          </w:p>
          <w:p>
            <w:pPr>
              <w:pStyle w:val="ListParagraph"/>
              <w:numPr>
                <w:ilvl w:val="0"/>
                <w:numId w:val="21"/>
              </w:numPr>
              <w:spacing w:before="60" w:after="60"/>
              <w:jc w:val="both"/>
              <w:rPr>
                <w:noProof/>
              </w:rPr>
            </w:pPr>
            <w:r>
              <w:rPr>
                <w:rFonts w:ascii="Times New Roman" w:hAnsi="Times New Roman"/>
                <w:noProof/>
                <w:sz w:val="24"/>
              </w:rPr>
              <w:t>Comisia invită autoritățile europene de supraveghere să evalueze, până în al patrulea trimestru al anului 2018, costurile și beneficiile dezvoltării unui cadru coerent de testare a rezilienței cibernetice pentru participanții importanți la piață și pentru infrastructurile importante din cadrul întregului sector financiar al UE.</w:t>
            </w:r>
          </w:p>
        </w:tc>
      </w:tr>
    </w:tbl>
    <w:p>
      <w:pPr>
        <w:pStyle w:val="Text1"/>
        <w:rPr>
          <w:noProof/>
        </w:rPr>
      </w:pPr>
      <w:bookmarkStart w:id="67" w:name="_Toc496284378"/>
    </w:p>
    <w:p>
      <w:pPr>
        <w:pStyle w:val="Heading1"/>
        <w:numPr>
          <w:ilvl w:val="0"/>
          <w:numId w:val="0"/>
        </w:numPr>
        <w:rPr>
          <w:noProof/>
        </w:rPr>
      </w:pPr>
      <w:bookmarkStart w:id="68" w:name="_Toc501523444"/>
      <w:bookmarkStart w:id="69" w:name="_Toc503194276"/>
      <w:bookmarkStart w:id="70" w:name="_Toc506891955"/>
      <w:bookmarkStart w:id="71" w:name="_Toc507772032"/>
      <w:r>
        <w:rPr>
          <w:noProof/>
        </w:rPr>
        <w:t>CONCLUZII</w:t>
      </w:r>
      <w:bookmarkEnd w:id="67"/>
      <w:bookmarkEnd w:id="68"/>
      <w:bookmarkEnd w:id="69"/>
      <w:bookmarkEnd w:id="70"/>
      <w:bookmarkEnd w:id="71"/>
    </w:p>
    <w:p>
      <w:pPr>
        <w:spacing w:after="0"/>
        <w:rPr>
          <w:noProof/>
        </w:rPr>
      </w:pPr>
      <w:r>
        <w:rPr>
          <w:noProof/>
        </w:rPr>
        <w:t>Progresele rapide înregistrate de FinTech determină modificări structurale în sectorul financiar. Într-un astfel de mediu care evoluează rapid, o reglementare prea prescriptivă și precipitată riscă să conducă la rezultate nedorite. Cu toate acestea, există, de asemenea, riscul ca evitarea actualizării politicilor și a cadrelor de reglementare să îi pună pe furnizorii de servicii financiare din UE într-o situație dezavantajoasă în contextul unei piețe din ce în ce mai globalizate. De asemenea, există posibilitatea ca, de exemplu în cazul securității cibernetice, principalele riscuri să rămână nesoluționate.</w:t>
      </w:r>
    </w:p>
    <w:p>
      <w:pPr>
        <w:spacing w:after="0"/>
        <w:rPr>
          <w:noProof/>
        </w:rPr>
      </w:pPr>
    </w:p>
    <w:p>
      <w:pPr>
        <w:spacing w:after="0"/>
        <w:rPr>
          <w:noProof/>
          <w:szCs w:val="24"/>
        </w:rPr>
      </w:pPr>
      <w:r>
        <w:rPr>
          <w:noProof/>
        </w:rPr>
        <w:t>Prezentul plan de acțiune privind FinTech combină atât măsuri de sprijin concepute să contribuie la introducerea unor soluții FinTech, cât și măsuri proactive pentru a încuraja și a stimula noi soluții și pentru a aborda în mod hotărât riscurile și provocările emergente. Comisia a prezentat planurile sale de continuare a activității pentru a permite, a crea un mediu propice și, acolo unde este posibil, a încuraja inovarea în sectorul financiar, asigurând în permanență menținerea stabilității financiare și un nivel ridicat de protecție a investitorilor și a consumatorilor. Acesta este un pilon important al unei abordări strategice mai cuprinzătoare în materie de reglementare în mediul post-criză. Obiectivele sunt legate de trei aspecte: valorificarea progreselor tehnologice rapide în beneficiul economiei UE, al cetățenilor și al sectorului, încurajarea unui sector financiar european mai competitiv și mai inovator, precum și asigurarea integrității sistemului financiar al UE.</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163607"/>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3</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661399"/>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FinTech este un termen utilizat pentru a descrie inovarea bazată pe tehnologie în domeniul serviciilor financiare, care ar putea conduce la noi modele de afaceri, aplicații, procese sau produse și ar putea avea un efect asociat semnificativ asupra piețelor și instituțiilor financiare, precum și asupra modului în care sunt furnizate serviciile financiare. A se vedea http://www.fsb.org/what-we-do/policy-development/additional-policy-areas/monitoring-of-FinTech/.</w:t>
      </w:r>
    </w:p>
  </w:footnote>
  <w:footnote w:id="3">
    <w:p>
      <w:pPr>
        <w:pStyle w:val="FootnoteText"/>
        <w:spacing w:after="0"/>
      </w:pPr>
      <w:r>
        <w:rPr>
          <w:rStyle w:val="FootnoteReference"/>
        </w:rPr>
        <w:footnoteRef/>
      </w:r>
      <w:r>
        <w:t xml:space="preserve"> COM(2015) 192 final — O strategie privind piața unică digitală pentru Europa.</w:t>
      </w:r>
    </w:p>
  </w:footnote>
  <w:footnote w:id="4">
    <w:p>
      <w:pPr>
        <w:pStyle w:val="FootnoteText"/>
        <w:spacing w:after="0"/>
      </w:pPr>
      <w:r>
        <w:rPr>
          <w:rStyle w:val="FootnoteReference"/>
        </w:rPr>
        <w:footnoteRef/>
      </w:r>
      <w:r>
        <w:t xml:space="preserve"> JOIN/2017/0450 final — Reziliență, prevenire și apărare: construirea unei securități cibernetice puternice pentru UE.</w:t>
      </w:r>
    </w:p>
  </w:footnote>
  <w:footnote w:id="5">
    <w:p>
      <w:pPr>
        <w:pStyle w:val="FootnoteText"/>
        <w:spacing w:after="0"/>
      </w:pPr>
      <w:r>
        <w:rPr>
          <w:rStyle w:val="FootnoteReference"/>
        </w:rPr>
        <w:footnoteRef/>
      </w:r>
      <w:r>
        <w:t xml:space="preserve"> Regulamentul (UE) nr. 910/2014 al Parlamentului European și al Consiliului din 23 iulie 2014 privind identificarea electronică și serviciile de încredere pentru tranzacțiile electronice pe piața internă și de abrogare a Directivei 1999/93/CE.</w:t>
      </w:r>
    </w:p>
  </w:footnote>
  <w:footnote w:id="6">
    <w:p>
      <w:pPr>
        <w:pStyle w:val="FootnoteText"/>
        <w:spacing w:after="0"/>
      </w:pPr>
      <w:r>
        <w:rPr>
          <w:rStyle w:val="FootnoteReference"/>
        </w:rPr>
        <w:footnoteRef/>
      </w:r>
      <w:r>
        <w:t xml:space="preserve"> COM/2017/0139 final — Plan de acțiune privind serviciile financiare de consum: produse mai bune, mai multe opțiuni.</w:t>
      </w:r>
    </w:p>
  </w:footnote>
  <w:footnote w:id="7">
    <w:p>
      <w:pPr>
        <w:pStyle w:val="FootnoteText"/>
        <w:spacing w:after="0"/>
      </w:pPr>
      <w:r>
        <w:rPr>
          <w:rStyle w:val="FootnoteReference"/>
        </w:rPr>
        <w:footnoteRef/>
      </w:r>
      <w:r>
        <w:t xml:space="preserve"> COM(2017) 292 final — Comunicare referitoare la evaluarea la jumătatea perioadei a Planului de acțiune privind uniunea piețelor de capital.</w:t>
      </w:r>
    </w:p>
  </w:footnote>
  <w:footnote w:id="8">
    <w:p>
      <w:pPr>
        <w:pStyle w:val="FootnoteText"/>
        <w:spacing w:after="0"/>
      </w:pPr>
      <w:r>
        <w:rPr>
          <w:rStyle w:val="FootnoteReference"/>
        </w:rPr>
        <w:footnoteRef/>
      </w:r>
      <w:r>
        <w:t xml:space="preserve"> Evaluarea la jumătatea perioadei a uniunii piețelor de capital, </w:t>
      </w:r>
      <w:hyperlink r:id="rId1">
        <w:r>
          <w:rPr>
            <w:rStyle w:val="Hyperlink"/>
          </w:rPr>
          <w:t>disponibilă aici</w:t>
        </w:r>
      </w:hyperlink>
      <w:r>
        <w:rPr>
          <w:rStyle w:val="Hyperlink"/>
        </w:rPr>
        <w:t>.</w:t>
      </w:r>
    </w:p>
  </w:footnote>
  <w:footnote w:id="9">
    <w:p>
      <w:pPr>
        <w:pStyle w:val="FootnoteText"/>
        <w:spacing w:after="0"/>
      </w:pPr>
      <w:r>
        <w:rPr>
          <w:rStyle w:val="FootnoteReference"/>
        </w:rPr>
        <w:footnoteRef/>
      </w:r>
      <w:r>
        <w:t xml:space="preserve"> În 2016, sectorul financiar a fost ținta atacurilor cibernetice cu o frecvență de 65 % mai mare decât în orice alt sector. Aceasta a avut ca rezultat încălcarea securității a peste 200 de milioane de înregistrări, o creștere cu 937 % față de 2015, când s-au înregistrat încălcări ale securității pentru mai puțin de 20 de milioane. Sursa: Materialul IBM privind „Tendințele în materie de securitate din sectorul serviciilor financiare“, aprilie 2017.</w:t>
      </w:r>
    </w:p>
  </w:footnote>
  <w:footnote w:id="10">
    <w:p>
      <w:pPr>
        <w:pStyle w:val="FootnoteText"/>
        <w:spacing w:after="0"/>
      </w:pPr>
      <w:r>
        <w:rPr>
          <w:rStyle w:val="FootnoteReference"/>
        </w:rPr>
        <w:footnoteRef/>
      </w:r>
      <w:r>
        <w:t xml:space="preserve"> Directiva 2015/2366/CE a Parlamentului European și a Consiliului din 25 noiembrie 2015 privind serviciile de plată în cadrul pieței interne.</w:t>
      </w:r>
    </w:p>
  </w:footnote>
  <w:footnote w:id="11">
    <w:p>
      <w:pPr>
        <w:pStyle w:val="FootnoteText"/>
        <w:spacing w:after="0"/>
      </w:pPr>
      <w:r>
        <w:rPr>
          <w:rStyle w:val="FootnoteReference"/>
        </w:rPr>
        <w:footnoteRef/>
      </w:r>
      <w:r>
        <w:t xml:space="preserve"> Directiva 2014/65/UE a Parlamentului European și a Consiliului din 15 mai 2014 privind piețele instrumentelor financiare și Regulamentul (UE) nr. 600/2014 al Parlamentului European și al Consiliului din 15 mai 2014 privind piețele instrumentelor financiare.</w:t>
      </w:r>
    </w:p>
  </w:footnote>
  <w:footnote w:id="12">
    <w:p>
      <w:pPr>
        <w:pStyle w:val="FootnoteText"/>
        <w:spacing w:after="0"/>
      </w:pPr>
      <w:r>
        <w:rPr>
          <w:rStyle w:val="FootnoteReference"/>
        </w:rPr>
        <w:footnoteRef/>
      </w:r>
      <w:r>
        <w:t xml:space="preserve"> Raport al Comisiei către Parlamentul European și Consiliu privind evaluarea riscurilor privind spălarea banilor și finanțarea terorismului care afectează piața internă și sunt legate de activități transfrontaliere. COM(2017)340 final, 26.6.2017</w:t>
      </w:r>
    </w:p>
  </w:footnote>
  <w:footnote w:id="13">
    <w:p>
      <w:pPr>
        <w:pStyle w:val="FootnoteText"/>
        <w:spacing w:after="0"/>
      </w:pPr>
      <w:r>
        <w:rPr>
          <w:rStyle w:val="FootnoteReference"/>
        </w:rPr>
        <w:footnoteRef/>
      </w:r>
      <w:r>
        <w:t xml:space="preserve"> Directiva (UE) 2015/849 a Parlamentului European și a Consiliului privind prevenirea utilizării sistemului financiar în scopul spălării banilor sau finanțării terorismului.</w:t>
      </w:r>
    </w:p>
  </w:footnote>
  <w:footnote w:id="14">
    <w:p>
      <w:pPr>
        <w:pStyle w:val="FootnoteText"/>
        <w:ind w:left="0" w:firstLine="0"/>
      </w:pPr>
      <w:r>
        <w:rPr>
          <w:rStyle w:val="FootnoteReference"/>
        </w:rPr>
        <w:footnoteRef/>
      </w:r>
      <w:r>
        <w:t xml:space="preserve">Avertizarea consumatorilor cu privire la monedele virtuale. EBA/WRG/2013/01 - </w:t>
      </w:r>
      <w:hyperlink r:id="rId2">
        <w:r>
          <w:rPr>
            <w:rStyle w:val="Hyperlink"/>
          </w:rPr>
          <w:t>https://eba.europa.eu/documents/10180/598344/EBA+Warning+on+Virtual+Currencies.pdf</w:t>
        </w:r>
      </w:hyperlink>
      <w:r>
        <w:t xml:space="preserve">; Aviz ABE cu privire la monedele virtuale – EBA/Op/2014/08 - </w:t>
      </w:r>
      <w:hyperlink r:id="rId3">
        <w:r>
          <w:rPr>
            <w:rStyle w:val="Hyperlink"/>
          </w:rPr>
          <w:t>https://www.eba.europa.eu/documents/10180/657547/EBA-Op-2014-08+Opinion+on+Virtual+Currencies.pdf</w:t>
        </w:r>
      </w:hyperlink>
      <w:r>
        <w:t xml:space="preserve">; ESMA alertează investitorii cu privire la riscurile ridicate ale ofertelor inițiale de monede (ICO) – ESMA50-157-829 - </w:t>
      </w:r>
      <w:hyperlink r:id="rId4">
        <w:r>
          <w:rPr>
            <w:rStyle w:val="Hyperlink"/>
          </w:rPr>
          <w:t>https://www.esma.europa.eu/sites/default/files/library/esma50-157-829_ico_statement_investors.pdf</w:t>
        </w:r>
      </w:hyperlink>
      <w:r>
        <w:t xml:space="preserve">; ESMA alertează întreprinderile implicate în ofertele inițiale de monede (ICO) cu privire la necesitatea îndeplinirii cerințelor de reglementare relevante – ESMA50-157-828 - </w:t>
      </w:r>
      <w:hyperlink r:id="rId5">
        <w:r>
          <w:rPr>
            <w:rStyle w:val="Hyperlink"/>
          </w:rPr>
          <w:t>https://www.esma.europa.eu/sites/default/files/library/esma50-157-828_ico_statement_firms.pdf</w:t>
        </w:r>
      </w:hyperlink>
      <w:r>
        <w:t>; ESMA, ABE și EIOPA avertizează consumatorii cu privire la riscurile monedelor virtuale – 12 februarie 2018 - https://www.eba.europa.eu/documents/10180/2120596/Joint+ESAs+Warning+on+Virtual+Currencies.pdf</w:t>
      </w:r>
    </w:p>
  </w:footnote>
  <w:footnote w:id="15">
    <w:p>
      <w:pPr>
        <w:pStyle w:val="FootnoteText"/>
        <w:spacing w:after="0"/>
        <w:ind w:left="0" w:firstLine="0"/>
      </w:pPr>
      <w:r>
        <w:rPr>
          <w:rStyle w:val="FootnoteReference"/>
        </w:rPr>
        <w:footnoteRef/>
      </w:r>
      <w:hyperlink r:id="rId6" w:anchor="True">
        <w:r>
          <w:rPr>
            <w:rStyle w:val="Hyperlink"/>
          </w:rPr>
          <w:t>https://ec.europa.eu/info/business-economy-euro/banking-and-finance/financial-supervision-and-risk-management/european-system-financial-supervision_ro</w:t>
        </w:r>
      </w:hyperlink>
      <w:r>
        <w:t xml:space="preserve"> .</w:t>
      </w:r>
    </w:p>
  </w:footnote>
  <w:footnote w:id="16">
    <w:p>
      <w:pPr>
        <w:pStyle w:val="FootnoteText"/>
        <w:spacing w:after="0"/>
      </w:pPr>
      <w:r>
        <w:rPr>
          <w:rStyle w:val="FootnoteReference"/>
        </w:rPr>
        <w:footnoteRef/>
      </w:r>
      <w:r>
        <w:t xml:space="preserve"> RGPD creează o veritabilă piață unică pentru libera circulație a datelor cu caracter personal la un nivel ridicat de protecție a acestora. FinTech va fi în deplină conformitate cu normele aplicabile privind protecția datelor cu caracter personal.</w:t>
      </w:r>
    </w:p>
  </w:footnote>
  <w:footnote w:id="17">
    <w:p>
      <w:pPr>
        <w:pStyle w:val="FootnoteText"/>
        <w:spacing w:after="0"/>
      </w:pPr>
      <w:r>
        <w:rPr>
          <w:rStyle w:val="FootnoteReference"/>
        </w:rPr>
        <w:footnoteRef/>
      </w:r>
      <w:r>
        <w:t xml:space="preserve"> Com(2017)495.</w:t>
      </w:r>
    </w:p>
  </w:footnote>
  <w:footnote w:id="18">
    <w:p>
      <w:pPr>
        <w:pStyle w:val="FootnoteText"/>
        <w:spacing w:after="0"/>
      </w:pPr>
      <w:r>
        <w:rPr>
          <w:rStyle w:val="FootnoteReference"/>
        </w:rPr>
        <w:footnoteRef/>
      </w:r>
      <w:r>
        <w:t xml:space="preserve"> Parlamentul European a solicitat Comisiei „să dezvolte o abordare proporțională, intersectorială și holistică față de activitatea sa cu privire la FinTech” — „Raport referitor la tehnologia financiară: influența tehnologiei asupra viitorului sectorului financiar”, Comisia pentru afaceri economice și monetare, raportor: Cora van Nieuwenhuizen, 2016/2243(INI), 28 aprilie 2017.</w:t>
      </w:r>
    </w:p>
  </w:footnote>
  <w:footnote w:id="19">
    <w:p>
      <w:pPr>
        <w:pStyle w:val="FootnoteText"/>
        <w:spacing w:after="0"/>
      </w:pPr>
      <w:r>
        <w:rPr>
          <w:rStyle w:val="FootnoteReference"/>
        </w:rPr>
        <w:footnoteRef/>
      </w:r>
      <w:r>
        <w:t xml:space="preserve"> EUCO 14/17, CO EUR 17, CONCL 5 a se vedea </w:t>
      </w:r>
      <w:hyperlink r:id="rId7">
        <w:r>
          <w:rPr>
            <w:rStyle w:val="Hyperlink"/>
          </w:rPr>
          <w:t>http://data.consilium.europa.eu/doc/document/ST-14-2017-INIT/ro/pdf</w:t>
        </w:r>
      </w:hyperlink>
      <w:r>
        <w:t xml:space="preserve"> </w:t>
      </w:r>
    </w:p>
    <w:p>
      <w:pPr>
        <w:pStyle w:val="FootnoteText"/>
        <w:spacing w:after="0"/>
        <w:ind w:firstLine="0"/>
      </w:pPr>
      <w:r>
        <w:t>Consiliul European „invită Comisia Europeană să prezinte inițiativele necesare pentru consolidarea condițiilor-cadru, pentru a-i permite UE să exploreze noi piețe prin inovații radicale, bazate pe riscuri, și să reafirme rolul de lider al industriei sale”, 19 octombrie 2017.</w:t>
      </w:r>
    </w:p>
  </w:footnote>
  <w:footnote w:id="20">
    <w:p>
      <w:pPr>
        <w:pStyle w:val="FootnoteText"/>
      </w:pPr>
      <w:r>
        <w:rPr>
          <w:rStyle w:val="FootnoteReference"/>
        </w:rPr>
        <w:footnoteRef/>
      </w:r>
      <w:r>
        <w:t xml:space="preserve"> </w:t>
      </w:r>
      <w:hyperlink r:id="rId8">
        <w:r>
          <w:rPr>
            <w:rStyle w:val="Hyperlink"/>
          </w:rPr>
          <w:t>https://ec.europa.eu/info/finance-consultations-2017-fintech_en</w:t>
        </w:r>
      </w:hyperlink>
      <w:r>
        <w:t xml:space="preserve"> </w:t>
      </w:r>
    </w:p>
  </w:footnote>
  <w:footnote w:id="21">
    <w:p>
      <w:pPr>
        <w:pStyle w:val="FootnoteText"/>
        <w:spacing w:after="0"/>
      </w:pPr>
      <w:r>
        <w:rPr>
          <w:rStyle w:val="FootnoteReference"/>
        </w:rPr>
        <w:footnoteRef/>
      </w:r>
      <w:r>
        <w:t xml:space="preserve"> Cum ar fi platformele online care acționează ca brokeri/intermediari, asigurarea p2p (de la persoană la persoană), monedele virtuale și consilierea automatizată în materie de investiții, oferta inițială de monede (</w:t>
      </w:r>
      <w:r>
        <w:rPr>
          <w:i/>
        </w:rPr>
        <w:t>Initial Coin Offering</w:t>
      </w:r>
      <w:r>
        <w:t xml:space="preserve"> - ICO) etc.</w:t>
      </w:r>
    </w:p>
  </w:footnote>
  <w:footnote w:id="22">
    <w:p>
      <w:pPr>
        <w:pStyle w:val="FootnoteText"/>
        <w:spacing w:after="0"/>
      </w:pPr>
      <w:r>
        <w:rPr>
          <w:rStyle w:val="FootnoteReference"/>
        </w:rPr>
        <w:footnoteRef/>
      </w:r>
      <w:r>
        <w:t xml:space="preserve"> </w:t>
      </w:r>
      <w:hyperlink r:id="rId9">
        <w:r>
          <w:rPr>
            <w:rStyle w:val="Hyperlink"/>
          </w:rPr>
          <w:t>https://www.eba.europa.eu/-/eba-publishes-a-discussion-paper-on-its-approach-to-FinTech</w:t>
        </w:r>
      </w:hyperlink>
      <w:r>
        <w:t xml:space="preserve">. </w:t>
      </w:r>
    </w:p>
  </w:footnote>
  <w:footnote w:id="23">
    <w:p>
      <w:pPr>
        <w:pStyle w:val="FootnoteText"/>
        <w:spacing w:after="0"/>
      </w:pPr>
      <w:r>
        <w:rPr>
          <w:rStyle w:val="FootnoteReference"/>
        </w:rPr>
        <w:footnoteRef/>
      </w:r>
      <w:r>
        <w:t xml:space="preserve"> </w:t>
      </w:r>
      <w:hyperlink r:id="rId10">
        <w:r>
          <w:rPr>
            <w:rStyle w:val="Hyperlink"/>
          </w:rPr>
          <w:t>https://eiopa.europa.eu/Publications/Reports/Sixth%20Consumer%20Trends%20report.pdf</w:t>
        </w:r>
      </w:hyperlink>
      <w:r>
        <w:t xml:space="preserve"> </w:t>
      </w:r>
    </w:p>
  </w:footnote>
  <w:footnote w:id="24">
    <w:p>
      <w:pPr>
        <w:pStyle w:val="FootnoteText"/>
        <w:spacing w:after="0"/>
      </w:pPr>
      <w:r>
        <w:rPr>
          <w:rStyle w:val="FootnoteReference"/>
        </w:rPr>
        <w:footnoteRef/>
      </w:r>
      <w:r>
        <w:t xml:space="preserve"> </w:t>
      </w:r>
      <w:hyperlink r:id="rId11">
        <w:r>
          <w:rPr>
            <w:rStyle w:val="Hyperlink"/>
          </w:rPr>
          <w:t>https://www.bankingsupervision.europa.eu/press/pr/date/2017/html/ssm.pr170921.en.html</w:t>
        </w:r>
      </w:hyperlink>
      <w:r>
        <w:t xml:space="preserve">. </w:t>
      </w:r>
    </w:p>
  </w:footnote>
  <w:footnote w:id="25">
    <w:p>
      <w:pPr>
        <w:spacing w:after="0"/>
      </w:pPr>
      <w:r>
        <w:rPr>
          <w:rStyle w:val="FootnoteReference"/>
        </w:rPr>
        <w:footnoteRef/>
      </w:r>
      <w:hyperlink r:id="rId12">
        <w:r>
          <w:rPr>
            <w:sz w:val="20"/>
          </w:rPr>
          <w:t>https://www.esma.europa.eu/press-news/esma-news/esma-highlights-ico-risks-investors-and-firms</w:t>
        </w:r>
      </w:hyperlink>
      <w:r>
        <w:rPr>
          <w:sz w:val="20"/>
        </w:rPr>
        <w:t>, 13 noiembrie 2017</w:t>
      </w:r>
    </w:p>
  </w:footnote>
  <w:footnote w:id="26">
    <w:p>
      <w:pPr>
        <w:pStyle w:val="FootnoteText"/>
        <w:spacing w:after="0"/>
      </w:pPr>
      <w:r>
        <w:rPr>
          <w:rStyle w:val="FootnoteReference"/>
        </w:rPr>
        <w:footnoteRef/>
      </w:r>
      <w:r>
        <w:t xml:space="preserve"> ESMA, ABE și EIOPA avertizează consumatorii cu privire la riscurile monedelor virtuale – 12 februarie 2018 - https://www.eba.europa.eu/documents/10180/2120596/Joint+ESAs+Warning+on+Virtual+Currencies.pdf</w:t>
      </w:r>
    </w:p>
  </w:footnote>
  <w:footnote w:id="27">
    <w:p>
      <w:pPr>
        <w:pStyle w:val="FootnoteText"/>
        <w:spacing w:after="0"/>
      </w:pPr>
      <w:r>
        <w:rPr>
          <w:rStyle w:val="FootnoteReference"/>
        </w:rPr>
        <w:footnoteRef/>
      </w:r>
      <w:r>
        <w:t xml:space="preserve"> A se vedea EBA/DP/2017/02 — „Centru de inovare” înseamnă un mecanism instituțional în care entitățile reglementate sau nereglementate (și anume întreprinderile neautorizate) colaborează cu autoritatea competentă pentru a discuta chestiuni legate de FinTech (schimb de informații și de opinii, etc.) și pentru a solicita clarificări cu privire la conformitatea modelelor de afaceri cu cadrul de reglementare sau cu privire la cerințele de reglementare/cerințele de acordare a licențelor (de exemplu, orientări individuale oferite unei întreprinderi cu privire la interpretarea normelor aplicabile).</w:t>
      </w:r>
    </w:p>
  </w:footnote>
  <w:footnote w:id="28">
    <w:p>
      <w:pPr>
        <w:pStyle w:val="FootnoteText"/>
        <w:spacing w:after="0"/>
      </w:pPr>
      <w:r>
        <w:rPr>
          <w:rStyle w:val="FootnoteReference"/>
        </w:rPr>
        <w:footnoteRef/>
      </w:r>
      <w:r>
        <w:t xml:space="preserve"> A se vedea EBA/DP/2017/02 — „Spațiile de testare” în materie de reglementare le furnizează instituțiilor financiare și societăților nefinanciare un spațiu controlat în care acestea pot testa soluții FinTech inovatoare, cu sprijinul unei autorități pentru o perioadă limitată de timp, fapt care le permite să își valideze și să își testeze modelul de afaceri într-un mediu sigur.</w:t>
      </w:r>
    </w:p>
  </w:footnote>
  <w:footnote w:id="29">
    <w:p>
      <w:pPr>
        <w:pStyle w:val="FootnoteText"/>
        <w:spacing w:after="0"/>
      </w:pPr>
      <w:r>
        <w:rPr>
          <w:rStyle w:val="FootnoteReference"/>
        </w:rPr>
        <w:footnoteRef/>
      </w:r>
      <w:r>
        <w:t xml:space="preserve"> COM(2017)139 final.</w:t>
      </w:r>
    </w:p>
  </w:footnote>
  <w:footnote w:id="30">
    <w:p>
      <w:pPr>
        <w:pStyle w:val="FootnoteText"/>
        <w:spacing w:after="0"/>
      </w:pPr>
      <w:r>
        <w:rPr>
          <w:rStyle w:val="FootnoteReference"/>
        </w:rPr>
        <w:footnoteRef/>
      </w:r>
      <w:r>
        <w:t xml:space="preserve"> Decizia C(2017) 8405 a Comisiei din 14 decembrie 2017.</w:t>
      </w:r>
    </w:p>
  </w:footnote>
  <w:footnote w:id="31">
    <w:p>
      <w:pPr>
        <w:pStyle w:val="FootnoteText"/>
        <w:spacing w:after="0"/>
        <w:ind w:left="0" w:firstLine="0"/>
      </w:pPr>
      <w:r>
        <w:rPr>
          <w:rStyle w:val="FootnoteReference"/>
        </w:rPr>
        <w:footnoteRef/>
      </w:r>
      <w:r>
        <w:t xml:space="preserve"> Respondenții la consultarea FinTech au sugerat că acordurile contractuale standardizate dintre furnizorii de servicii de cloud și de servicii financiare ar putea reflecta mai bine constrângerile lor sectoriale în materie de reglementare (precum obligațiile de audit sau cerințele pentru inspecții la fața locului). Restricțiile privind localizarea datelor de către autoritățile publice a constituit un alt obstacol important identificat de respondenți. În contextul unei piețe cu un grad mare de concentrare pentru serviciile cloud, instituțiile financiare și autoritățile de supraveghere au evidențiat, de asemenea, riscul unei dependențe ridicate de un număr restrâns de furnizori din afara UE, precum și necesitatea de a împiedica instituțiile financiare europene să devină dependente de furnizori.</w:t>
      </w:r>
    </w:p>
  </w:footnote>
  <w:footnote w:id="32">
    <w:p>
      <w:pPr>
        <w:pStyle w:val="FootnoteText"/>
      </w:pPr>
      <w:r>
        <w:rPr>
          <w:rStyle w:val="FootnoteReference"/>
        </w:rPr>
        <w:footnoteRef/>
      </w:r>
      <w:r>
        <w:t xml:space="preserve"> EBA/REC/2017/03, </w:t>
      </w:r>
      <w:r>
        <w:rPr>
          <w:i/>
        </w:rPr>
        <w:t xml:space="preserve">Recomandări privind externalizarea către furnizorii de servicii cloud, </w:t>
      </w:r>
      <w:r>
        <w:t xml:space="preserve">decembrie 2017, </w:t>
      </w:r>
      <w:hyperlink r:id="rId13">
        <w:r>
          <w:rPr>
            <w:rStyle w:val="Hyperlink"/>
          </w:rPr>
          <w:t>disponibile aici</w:t>
        </w:r>
      </w:hyperlink>
      <w:r>
        <w:t>.</w:t>
      </w:r>
    </w:p>
  </w:footnote>
  <w:footnote w:id="33">
    <w:p>
      <w:pPr>
        <w:pStyle w:val="FootnoteText"/>
      </w:pPr>
      <w:r>
        <w:rPr>
          <w:rStyle w:val="FootnoteReference"/>
        </w:rPr>
        <w:footnoteRef/>
      </w:r>
      <w:r>
        <w:t xml:space="preserve"> În ceea ce privește cerințele prevăzute de legislația privind protecția datelor cu caracter personal, coordonarea abordărilor adoptate de autoritățile de supraveghere pentru protecția datelor este reglementată deja în cadrul GDRP.</w:t>
      </w:r>
    </w:p>
  </w:footnote>
  <w:footnote w:id="34">
    <w:p>
      <w:pPr>
        <w:pStyle w:val="FootnoteText"/>
        <w:spacing w:after="0"/>
      </w:pPr>
      <w:r>
        <w:rPr>
          <w:rStyle w:val="FootnoteReference"/>
        </w:rPr>
        <w:footnoteRef/>
      </w:r>
      <w:r>
        <w:t xml:space="preserve"> </w:t>
      </w:r>
      <w:hyperlink r:id="rId14">
        <w:r>
          <w:rPr>
            <w:rStyle w:val="Hyperlink"/>
          </w:rPr>
          <w:t>https://ec.europa.eu/digital-single-market/en/news/pre-information-notice-eu-blockchain-observatory-forum</w:t>
        </w:r>
      </w:hyperlink>
      <w:r>
        <w:t xml:space="preserve">. </w:t>
      </w:r>
    </w:p>
  </w:footnote>
  <w:footnote w:id="35">
    <w:p>
      <w:pPr>
        <w:pStyle w:val="FootnoteText"/>
        <w:spacing w:after="0"/>
      </w:pPr>
      <w:r>
        <w:rPr>
          <w:rStyle w:val="FootnoteReference"/>
        </w:rPr>
        <w:footnoteRef/>
      </w:r>
      <w:r>
        <w:t xml:space="preserve"> Directiva 2013/50/UE.</w:t>
      </w:r>
    </w:p>
  </w:footnote>
  <w:footnote w:id="36">
    <w:p>
      <w:pPr>
        <w:pStyle w:val="FootnoteText"/>
        <w:spacing w:after="0"/>
      </w:pPr>
      <w:r>
        <w:rPr>
          <w:rStyle w:val="FootnoteReference"/>
        </w:rPr>
        <w:footnoteRef/>
      </w:r>
      <w:r>
        <w:t xml:space="preserve"> CEN, CENELEC și ETSI.</w:t>
      </w:r>
    </w:p>
  </w:footnote>
  <w:footnote w:id="37">
    <w:p>
      <w:pPr>
        <w:pStyle w:val="FootnoteText"/>
        <w:spacing w:after="0"/>
      </w:pPr>
      <w:r>
        <w:rPr>
          <w:rStyle w:val="FootnoteReference"/>
        </w:rPr>
        <w:footnoteRef/>
      </w:r>
      <w:r>
        <w:t xml:space="preserve"> Propunere de Regulament al Parlamentului European și al Consiliului privind ENISA, „Agenția UE pentru Securitate Cibernetică”, de abrogare a Regulamentului (UE) nr. 526/2013 și privind certificarea de securitate cibernetică pentru tehnologia informației și comunicațiilor („Legea privind securitatea cibernetică”)</w:t>
      </w:r>
    </w:p>
  </w:footnote>
  <w:footnote w:id="38">
    <w:p>
      <w:pPr>
        <w:pStyle w:val="FootnoteText"/>
        <w:spacing w:after="0"/>
      </w:pPr>
      <w:r>
        <w:rPr>
          <w:rStyle w:val="FootnoteReference"/>
        </w:rPr>
        <w:footnoteRef/>
      </w:r>
      <w:r>
        <w:t xml:space="preserve"> „Raport referitor la FinTech: influența tehnologiei asupra viitorului sectorului financiar”, Comisia pentru afaceri economice și monetare, raportor: Cora van Nieuwenhuizen, 2016/2243(INI), 28 aprilie 2017.</w:t>
      </w:r>
    </w:p>
  </w:footnote>
  <w:footnote w:id="39">
    <w:p>
      <w:pPr>
        <w:pStyle w:val="FootnoteText"/>
        <w:spacing w:after="0"/>
      </w:pPr>
      <w:r>
        <w:rPr>
          <w:rStyle w:val="FootnoteReference"/>
        </w:rPr>
        <w:footnoteRef/>
      </w:r>
      <w:r>
        <w:t xml:space="preserve"> ENISA, </w:t>
      </w:r>
      <w:r>
        <w:rPr>
          <w:i/>
        </w:rPr>
        <w:t xml:space="preserve">Review of the Cyber Hygiene practices (Revizuirea practicilor de igienă informatică), </w:t>
      </w:r>
      <w:r>
        <w:t xml:space="preserve">decembrie 2016, p.14, </w:t>
      </w:r>
      <w:hyperlink r:id="rId15">
        <w:r>
          <w:rPr>
            <w:rStyle w:val="Hyperlink"/>
          </w:rPr>
          <w:t>disponibil aici</w:t>
        </w:r>
      </w:hyperlink>
      <w:r>
        <w:t>.</w:t>
      </w:r>
    </w:p>
    <w:p>
      <w:pPr>
        <w:pStyle w:val="FootnoteText"/>
        <w:spacing w:after="0"/>
      </w:pPr>
      <w:r>
        <w:rPr>
          <w:i/>
        </w:rPr>
        <w:t>Igiena cibernetică este un principiu fundamental care ține de securitatea informațiilor [...], este echivalentă cu stabilirea unor măsuri simple de rutină pentru a minimiza riscurile din partea amenințărilor cibernetice. Ipoteza de bază este că bunele practici de igienă cibernetică pot stimula creșterea imunității în rândul întreprinderilor, reducând riscul ca o organizație vulnerabilă să fie utilizată pentru a se întreprinde atacuri sau pentru a se compromite un lanț de aprovizionare.</w:t>
      </w:r>
    </w:p>
  </w:footnote>
  <w:footnote w:id="40">
    <w:p>
      <w:pPr>
        <w:pStyle w:val="FootnoteText"/>
        <w:spacing w:after="0"/>
      </w:pPr>
      <w:r>
        <w:rPr>
          <w:rStyle w:val="FootnoteReference"/>
        </w:rPr>
        <w:footnoteRef/>
      </w:r>
      <w:r>
        <w:t xml:space="preserve"> Directiva (UE) 2016/1148.</w:t>
      </w:r>
    </w:p>
  </w:footnote>
  <w:footnote w:id="41">
    <w:p>
      <w:pPr>
        <w:pStyle w:val="FootnoteText"/>
        <w:spacing w:after="0"/>
      </w:pPr>
      <w:r>
        <w:rPr>
          <w:rStyle w:val="FootnoteReference"/>
        </w:rPr>
        <w:footnoteRef/>
      </w:r>
      <w:r>
        <w:t xml:space="preserve"> Consiliul pentru Stabilitate Financiară, </w:t>
      </w:r>
      <w:r>
        <w:rPr>
          <w:i/>
        </w:rPr>
        <w:t xml:space="preserve">Stocktake of publicly released cybersecurity regulations, guidance and supervisory practices (Bilanțul reglementărilor, orientărilor și practicilor de supraveghere în materie de securitate cibernetică disponibile publicului), </w:t>
      </w:r>
      <w:r>
        <w:t xml:space="preserve">octombrie 2017, pp. 65-70, </w:t>
      </w:r>
      <w:hyperlink r:id="rId16">
        <w:r>
          <w:rPr>
            <w:rStyle w:val="Hyperlink"/>
          </w:rPr>
          <w:t>disponibil aici</w:t>
        </w:r>
      </w:hyperlink>
      <w:r>
        <w:t xml:space="preserve"> (tbc). </w:t>
      </w:r>
    </w:p>
  </w:footnote>
  <w:footnote w:id="42">
    <w:p>
      <w:pPr>
        <w:pStyle w:val="FootnoteText"/>
      </w:pPr>
      <w:r>
        <w:rPr>
          <w:rStyle w:val="FootnoteReference"/>
        </w:rPr>
        <w:footnoteRef/>
      </w:r>
      <w:r>
        <w:t xml:space="preserve"> Acțiunea 7 din planul de acțiune pentru educația digitală vizează abordarea provocărilor reprezentate de transformarea digitală prin lansarea: (i) în întreaga UE, a unei campanii de sensibilizare destinată profesorilor, părinților și cursanților, de promovare a siguranței online, a igienei cibernetice și a educației în domeniul mass-mediei ; și (ii) unei inițiative de instruire în materie de securitate cibernetică pe baza cadrului de competențe digitale pentru cetățeni, care să le permită oamenilor să utilizeze tehnologia cu încredere și în mod responsabil.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8"/>
    <w:multiLevelType w:val="singleLevel"/>
    <w:tmpl w:val="8410CFC6"/>
    <w:lvl w:ilvl="0">
      <w:start w:val="1"/>
      <w:numFmt w:val="decimal"/>
      <w:pStyle w:val="ListNumber"/>
      <w:lvlText w:val="%1."/>
      <w:lvlJc w:val="left"/>
      <w:pPr>
        <w:tabs>
          <w:tab w:val="num" w:pos="360"/>
        </w:tabs>
        <w:ind w:left="360" w:hanging="360"/>
      </w:pPr>
    </w:lvl>
  </w:abstractNum>
  <w:abstractNum w:abstractNumId="3">
    <w:nsid w:val="01B47DCB"/>
    <w:multiLevelType w:val="hybridMultilevel"/>
    <w:tmpl w:val="59B2692A"/>
    <w:lvl w:ilvl="0" w:tplc="65D64B06">
      <w:start w:val="1"/>
      <w:numFmt w:val="decimal"/>
      <w:lvlText w:val="%1."/>
      <w:lvlJc w:val="left"/>
      <w:pPr>
        <w:ind w:left="360" w:hanging="360"/>
      </w:pPr>
      <w:rPr>
        <w:rFonts w:ascii="Times New Roman" w:hAnsi="Times New Roman" w:cs="Times New Roman" w:hint="default"/>
        <w:sz w:val="24"/>
        <w:szCs w:val="24"/>
      </w:rPr>
    </w:lvl>
    <w:lvl w:ilvl="1" w:tplc="65D64B06">
      <w:start w:val="1"/>
      <w:numFmt w:val="decimal"/>
      <w:lvlText w:val="%2."/>
      <w:lvlJc w:val="left"/>
      <w:pPr>
        <w:ind w:left="1080" w:hanging="360"/>
      </w:pPr>
      <w:rPr>
        <w:rFonts w:ascii="Times New Roman" w:hAnsi="Times New Roman" w:cs="Times New Roman"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26A4D63"/>
    <w:multiLevelType w:val="hybridMultilevel"/>
    <w:tmpl w:val="D48E0468"/>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B0B5015"/>
    <w:multiLevelType w:val="hybridMultilevel"/>
    <w:tmpl w:val="1A56B5F6"/>
    <w:lvl w:ilvl="0" w:tplc="65D64B06">
      <w:start w:val="1"/>
      <w:numFmt w:val="decimal"/>
      <w:lvlText w:val="%1."/>
      <w:lvlJc w:val="left"/>
      <w:pPr>
        <w:ind w:left="720" w:hanging="360"/>
      </w:pPr>
      <w:rPr>
        <w:rFonts w:ascii="Times New Roman" w:hAnsi="Times New Roman" w:cs="Times New Roman" w:hint="default"/>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4D2327"/>
    <w:multiLevelType w:val="hybridMultilevel"/>
    <w:tmpl w:val="80E2D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D9C51E5"/>
    <w:multiLevelType w:val="hybridMultilevel"/>
    <w:tmpl w:val="E8828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34205D2"/>
    <w:multiLevelType w:val="hybridMultilevel"/>
    <w:tmpl w:val="FBBAC07E"/>
    <w:lvl w:ilvl="0" w:tplc="DD3277DC">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F734306"/>
    <w:multiLevelType w:val="multilevel"/>
    <w:tmpl w:val="3760AEE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18F336B"/>
    <w:multiLevelType w:val="hybridMultilevel"/>
    <w:tmpl w:val="6A7C6E14"/>
    <w:lvl w:ilvl="0" w:tplc="65D64B06">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2DD3599"/>
    <w:multiLevelType w:val="multilevel"/>
    <w:tmpl w:val="4EAA5BA6"/>
    <w:lvl w:ilvl="0">
      <w:start w:val="1"/>
      <w:numFmt w:val="decimal"/>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8E6B29"/>
    <w:multiLevelType w:val="hybridMultilevel"/>
    <w:tmpl w:val="7E24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96A4B72"/>
    <w:multiLevelType w:val="hybridMultilevel"/>
    <w:tmpl w:val="D460F5FA"/>
    <w:lvl w:ilvl="0" w:tplc="22601292">
      <w:numFmt w:val="bullet"/>
      <w:lvlText w:val="-"/>
      <w:lvlJc w:val="left"/>
      <w:pPr>
        <w:ind w:left="720" w:hanging="360"/>
      </w:pPr>
      <w:rPr>
        <w:rFonts w:ascii="Times New Roman" w:eastAsia="Times New Roman" w:hAnsi="Times New Roman" w:cs="Times New Roman"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2">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63A5333"/>
    <w:multiLevelType w:val="hybridMultilevel"/>
    <w:tmpl w:val="771495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2A07B92"/>
    <w:multiLevelType w:val="hybridMultilevel"/>
    <w:tmpl w:val="0EC63AA6"/>
    <w:lvl w:ilvl="0" w:tplc="7C08A394">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7">
    <w:nsid w:val="55DB0409"/>
    <w:multiLevelType w:val="hybridMultilevel"/>
    <w:tmpl w:val="F34C46BC"/>
    <w:lvl w:ilvl="0" w:tplc="DE782A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A544F6"/>
    <w:multiLevelType w:val="hybridMultilevel"/>
    <w:tmpl w:val="BA502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0C0EF5"/>
    <w:multiLevelType w:val="hybridMultilevel"/>
    <w:tmpl w:val="1B526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15F4C8F"/>
    <w:multiLevelType w:val="hybridMultilevel"/>
    <w:tmpl w:val="4DE8421A"/>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4">
    <w:nsid w:val="66B756FB"/>
    <w:multiLevelType w:val="hybridMultilevel"/>
    <w:tmpl w:val="A0464C5E"/>
    <w:lvl w:ilvl="0" w:tplc="B364801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88B5C08"/>
    <w:multiLevelType w:val="hybridMultilevel"/>
    <w:tmpl w:val="E8E417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7">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615520E"/>
    <w:multiLevelType w:val="hybridMultilevel"/>
    <w:tmpl w:val="77600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9771F37"/>
    <w:multiLevelType w:val="hybridMultilevel"/>
    <w:tmpl w:val="33D02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1"/>
  </w:num>
  <w:num w:numId="4">
    <w:abstractNumId w:val="22"/>
  </w:num>
  <w:num w:numId="5">
    <w:abstractNumId w:val="15"/>
  </w:num>
  <w:num w:numId="6">
    <w:abstractNumId w:val="21"/>
  </w:num>
  <w:num w:numId="7">
    <w:abstractNumId w:val="33"/>
  </w:num>
  <w:num w:numId="8">
    <w:abstractNumId w:val="36"/>
  </w:num>
  <w:num w:numId="9">
    <w:abstractNumId w:val="18"/>
  </w:num>
  <w:num w:numId="10">
    <w:abstractNumId w:val="31"/>
  </w:num>
  <w:num w:numId="11">
    <w:abstractNumId w:val="30"/>
  </w:num>
  <w:num w:numId="12">
    <w:abstractNumId w:val="23"/>
  </w:num>
  <w:num w:numId="13">
    <w:abstractNumId w:val="26"/>
  </w:num>
  <w:num w:numId="14">
    <w:abstractNumId w:val="13"/>
  </w:num>
  <w:num w:numId="15">
    <w:abstractNumId w:val="19"/>
  </w:num>
  <w:num w:numId="16">
    <w:abstractNumId w:val="10"/>
  </w:num>
  <w:num w:numId="17">
    <w:abstractNumId w:val="16"/>
  </w:num>
  <w:num w:numId="18">
    <w:abstractNumId w:val="37"/>
  </w:num>
  <w:num w:numId="19">
    <w:abstractNumId w:val="17"/>
  </w:num>
  <w:num w:numId="20">
    <w:abstractNumId w:val="2"/>
  </w:num>
  <w:num w:numId="21">
    <w:abstractNumId w:val="9"/>
  </w:num>
  <w:num w:numId="22">
    <w:abstractNumId w:val="25"/>
  </w:num>
  <w:num w:numId="23">
    <w:abstractNumId w:val="29"/>
  </w:num>
  <w:num w:numId="24">
    <w:abstractNumId w:val="12"/>
  </w:num>
  <w:num w:numId="25">
    <w:abstractNumId w:val="39"/>
  </w:num>
  <w:num w:numId="26">
    <w:abstractNumId w:val="32"/>
  </w:num>
  <w:num w:numId="27">
    <w:abstractNumId w:val="4"/>
  </w:num>
  <w:num w:numId="28">
    <w:abstractNumId w:val="34"/>
  </w:num>
  <w:num w:numId="29">
    <w:abstractNumId w:val="14"/>
  </w:num>
  <w:num w:numId="30">
    <w:abstractNumId w:val="6"/>
  </w:num>
  <w:num w:numId="31">
    <w:abstractNumId w:val="3"/>
  </w:num>
  <w:num w:numId="32">
    <w:abstractNumId w:val="35"/>
  </w:num>
  <w:num w:numId="33">
    <w:abstractNumId w:val="38"/>
  </w:num>
  <w:num w:numId="34">
    <w:abstractNumId w:val="28"/>
  </w:num>
  <w:num w:numId="35">
    <w:abstractNumId w:val="2"/>
  </w:num>
  <w:num w:numId="36">
    <w:abstractNumId w:val="7"/>
  </w:num>
  <w:num w:numId="37">
    <w:abstractNumId w:val="8"/>
  </w:num>
  <w:num w:numId="38">
    <w:abstractNumId w:val="24"/>
  </w:num>
  <w:num w:numId="39">
    <w:abstractNumId w:val="27"/>
  </w:num>
  <w:num w:numId="40">
    <w:abstractNumId w:val="2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F507D4E-A5BA-469E-93BF-78AB9A62DDF6"/>
    <w:docVar w:name="LW_COVERPAGE_TYPE" w:val="1"/>
    <w:docVar w:name="LW_CROSSREFERENCE" w:val="&lt;UNUSED&gt;"/>
    <w:docVar w:name="LW_DocType" w:val="NORMAL"/>
    <w:docVar w:name="LW_EMISSION" w:val="8.3.2018"/>
    <w:docVar w:name="LW_EMISSION_ISODATE" w:val="2018-03-08"/>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1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lanul de ac\u539?iune privind FinTech: pentru un sector financiar european mai competitiv \u537?i mai inovator"/>
    <w:docVar w:name="LW_TYPE.DOC.CP" w:val="COMUNICARE A COMISIEI"/>
    <w:docVar w:name="LW_TYPE.DOC.CP.USERTEXT" w:val="C\u258?TRE PARLAMENTUL EUROPEAN, CONSILIU, BANCA CENTRAL\u258? EUROPEAN\u258?, COMITETUL ECONOMIC \u536?I SOCIAL EUROPEAN \u536?I COMITETUL REGIUNILOR"/>
    <w:docVar w:name="Stamp" w:val="\\dossiers.dgt.cec.eu.int\dossiers\FISMA\FISMA-2018-00073\FISMA-2018-00073-00-00-EN-REV-00.201801301401424066116.DOCX"/>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ro-RO"/>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ro-RO"/>
    </w:rPr>
  </w:style>
  <w:style w:type="character" w:customStyle="1" w:styleId="Heading5Char">
    <w:name w:val="Heading 5 Char"/>
    <w:basedOn w:val="DefaultParagraphFont"/>
    <w:link w:val="Heading5"/>
    <w:rPr>
      <w:rFonts w:ascii="Arial" w:eastAsia="Times New Roman" w:hAnsi="Arial" w:cs="Times New Roman"/>
      <w:szCs w:val="20"/>
      <w:lang w:eastAsia="ro-RO"/>
    </w:rPr>
  </w:style>
  <w:style w:type="character" w:customStyle="1" w:styleId="Heading6Char">
    <w:name w:val="Heading 6 Char"/>
    <w:basedOn w:val="DefaultParagraphFont"/>
    <w:link w:val="Heading6"/>
    <w:rPr>
      <w:rFonts w:ascii="Arial" w:eastAsia="Times New Roman" w:hAnsi="Arial" w:cs="Times New Roman"/>
      <w:i/>
      <w:szCs w:val="20"/>
      <w:lang w:eastAsia="ro-RO"/>
    </w:rPr>
  </w:style>
  <w:style w:type="character" w:customStyle="1" w:styleId="Heading7Char">
    <w:name w:val="Heading 7 Char"/>
    <w:basedOn w:val="DefaultParagraphFont"/>
    <w:link w:val="Heading7"/>
    <w:rPr>
      <w:rFonts w:ascii="Arial" w:eastAsia="Times New Roman" w:hAnsi="Arial" w:cs="Times New Roman"/>
      <w:sz w:val="20"/>
      <w:szCs w:val="20"/>
      <w:lang w:eastAsia="ro-RO"/>
    </w:rPr>
  </w:style>
  <w:style w:type="character" w:customStyle="1" w:styleId="Heading8Char">
    <w:name w:val="Heading 8 Char"/>
    <w:basedOn w:val="DefaultParagraphFont"/>
    <w:link w:val="Heading8"/>
    <w:rPr>
      <w:rFonts w:ascii="Arial" w:eastAsia="Times New Roman" w:hAnsi="Arial" w:cs="Times New Roman"/>
      <w:i/>
      <w:sz w:val="20"/>
      <w:szCs w:val="20"/>
      <w:lang w:eastAsia="ro-RO"/>
    </w:rPr>
  </w:style>
  <w:style w:type="character" w:customStyle="1" w:styleId="Heading9Char">
    <w:name w:val="Heading 9 Char"/>
    <w:basedOn w:val="DefaultParagraphFont"/>
    <w:link w:val="Heading9"/>
    <w:rPr>
      <w:rFonts w:ascii="Arial" w:eastAsia="Times New Roman" w:hAnsi="Arial" w:cs="Times New Roman"/>
      <w:i/>
      <w:sz w:val="18"/>
      <w:szCs w:val="20"/>
      <w:lang w:eastAsia="ro-RO"/>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ro-RO"/>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ro-RO"/>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ro-RO"/>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ro-RO"/>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ro-RO"/>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ro-RO"/>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ro-RO"/>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ro-RO"/>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ro-RO"/>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ro-RO"/>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ro-RO"/>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ro-RO"/>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ro-RO"/>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ro-RO"/>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ro-RO"/>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ro-RO"/>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ro-R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ro-RO"/>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ro-R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ro-RO"/>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ro-RO"/>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ro-RO"/>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ro-RO"/>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customStyle="1" w:styleId="Normal1">
    <w:name w:val="Normal1"/>
    <w:basedOn w:val="Normal"/>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p2">
    <w:name w:val="p2"/>
    <w:basedOn w:val="Normal"/>
    <w:pPr>
      <w:spacing w:after="0"/>
      <w:jc w:val="left"/>
    </w:pPr>
    <w:rPr>
      <w:sz w:val="17"/>
      <w:szCs w:val="17"/>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ro-RO"/>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uiPriority="0" w:qFormat="1"/>
    <w:lsdException w:name="table of figures" w:uiPriority="0"/>
    <w:lsdException w:name="envelope address" w:uiPriority="0"/>
    <w:lsdException w:name="envelope return"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link w:val="Heading4Char"/>
    <w:qFormat/>
    <w:pPr>
      <w:keepNext/>
      <w:numPr>
        <w:ilvl w:val="3"/>
        <w:numId w:val="3"/>
      </w:numPr>
      <w:outlineLvl w:val="3"/>
    </w:pPr>
  </w:style>
  <w:style w:type="paragraph" w:styleId="Heading5">
    <w:name w:val="heading 5"/>
    <w:basedOn w:val="Normal"/>
    <w:next w:val="Normal"/>
    <w:link w:val="Heading5Char"/>
    <w:qFormat/>
    <w:pPr>
      <w:tabs>
        <w:tab w:val="num" w:pos="0"/>
      </w:tabs>
      <w:spacing w:before="240" w:after="60"/>
      <w:outlineLvl w:val="4"/>
    </w:pPr>
    <w:rPr>
      <w:rFonts w:ascii="Arial" w:hAnsi="Arial"/>
      <w:sz w:val="22"/>
    </w:rPr>
  </w:style>
  <w:style w:type="paragraph" w:styleId="Heading6">
    <w:name w:val="heading 6"/>
    <w:basedOn w:val="Normal"/>
    <w:next w:val="Normal"/>
    <w:link w:val="Heading6Char"/>
    <w:qFormat/>
    <w:pPr>
      <w:tabs>
        <w:tab w:val="num" w:pos="0"/>
      </w:tabs>
      <w:spacing w:before="240" w:after="60"/>
      <w:outlineLvl w:val="5"/>
    </w:pPr>
    <w:rPr>
      <w:rFonts w:ascii="Arial" w:hAnsi="Arial"/>
      <w:i/>
      <w:sz w:val="22"/>
    </w:rPr>
  </w:style>
  <w:style w:type="paragraph" w:styleId="Heading7">
    <w:name w:val="heading 7"/>
    <w:basedOn w:val="Normal"/>
    <w:next w:val="Normal"/>
    <w:link w:val="Heading7Char"/>
    <w:qFormat/>
    <w:pPr>
      <w:tabs>
        <w:tab w:val="num" w:pos="0"/>
      </w:tabs>
      <w:spacing w:before="240" w:after="60"/>
      <w:outlineLvl w:val="6"/>
    </w:pPr>
    <w:rPr>
      <w:rFonts w:ascii="Arial" w:hAnsi="Arial"/>
      <w:sz w:val="20"/>
    </w:rPr>
  </w:style>
  <w:style w:type="paragraph" w:styleId="Heading8">
    <w:name w:val="heading 8"/>
    <w:basedOn w:val="Normal"/>
    <w:next w:val="Normal"/>
    <w:link w:val="Heading8Char"/>
    <w:qFormat/>
    <w:pPr>
      <w:tabs>
        <w:tab w:val="num" w:pos="0"/>
      </w:tabs>
      <w:spacing w:before="240" w:after="60"/>
      <w:outlineLvl w:val="7"/>
    </w:pPr>
    <w:rPr>
      <w:rFonts w:ascii="Arial" w:hAnsi="Arial"/>
      <w:i/>
      <w:sz w:val="20"/>
    </w:rPr>
  </w:style>
  <w:style w:type="paragraph" w:styleId="Heading9">
    <w:name w:val="heading 9"/>
    <w:basedOn w:val="Normal"/>
    <w:next w:val="Normal"/>
    <w:link w:val="Heading9Char"/>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eastAsia="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eastAsia="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lang w:eastAsia="ro-RO"/>
    </w:rPr>
  </w:style>
  <w:style w:type="character" w:customStyle="1" w:styleId="Heading4Char">
    <w:name w:val="Heading 4 Char"/>
    <w:basedOn w:val="DefaultParagraphFont"/>
    <w:link w:val="Heading4"/>
    <w:rPr>
      <w:rFonts w:ascii="Times New Roman" w:eastAsia="Times New Roman" w:hAnsi="Times New Roman" w:cs="Times New Roman"/>
      <w:sz w:val="24"/>
      <w:szCs w:val="20"/>
      <w:lang w:eastAsia="ro-RO"/>
    </w:rPr>
  </w:style>
  <w:style w:type="character" w:customStyle="1" w:styleId="Heading5Char">
    <w:name w:val="Heading 5 Char"/>
    <w:basedOn w:val="DefaultParagraphFont"/>
    <w:link w:val="Heading5"/>
    <w:rPr>
      <w:rFonts w:ascii="Arial" w:eastAsia="Times New Roman" w:hAnsi="Arial" w:cs="Times New Roman"/>
      <w:szCs w:val="20"/>
      <w:lang w:eastAsia="ro-RO"/>
    </w:rPr>
  </w:style>
  <w:style w:type="character" w:customStyle="1" w:styleId="Heading6Char">
    <w:name w:val="Heading 6 Char"/>
    <w:basedOn w:val="DefaultParagraphFont"/>
    <w:link w:val="Heading6"/>
    <w:rPr>
      <w:rFonts w:ascii="Arial" w:eastAsia="Times New Roman" w:hAnsi="Arial" w:cs="Times New Roman"/>
      <w:i/>
      <w:szCs w:val="20"/>
      <w:lang w:eastAsia="ro-RO"/>
    </w:rPr>
  </w:style>
  <w:style w:type="character" w:customStyle="1" w:styleId="Heading7Char">
    <w:name w:val="Heading 7 Char"/>
    <w:basedOn w:val="DefaultParagraphFont"/>
    <w:link w:val="Heading7"/>
    <w:rPr>
      <w:rFonts w:ascii="Arial" w:eastAsia="Times New Roman" w:hAnsi="Arial" w:cs="Times New Roman"/>
      <w:sz w:val="20"/>
      <w:szCs w:val="20"/>
      <w:lang w:eastAsia="ro-RO"/>
    </w:rPr>
  </w:style>
  <w:style w:type="character" w:customStyle="1" w:styleId="Heading8Char">
    <w:name w:val="Heading 8 Char"/>
    <w:basedOn w:val="DefaultParagraphFont"/>
    <w:link w:val="Heading8"/>
    <w:rPr>
      <w:rFonts w:ascii="Arial" w:eastAsia="Times New Roman" w:hAnsi="Arial" w:cs="Times New Roman"/>
      <w:i/>
      <w:sz w:val="20"/>
      <w:szCs w:val="20"/>
      <w:lang w:eastAsia="ro-RO"/>
    </w:rPr>
  </w:style>
  <w:style w:type="character" w:customStyle="1" w:styleId="Heading9Char">
    <w:name w:val="Heading 9 Char"/>
    <w:basedOn w:val="DefaultParagraphFont"/>
    <w:link w:val="Heading9"/>
    <w:rPr>
      <w:rFonts w:ascii="Arial" w:eastAsia="Times New Roman" w:hAnsi="Arial" w:cs="Times New Roman"/>
      <w:i/>
      <w:sz w:val="18"/>
      <w:szCs w:val="20"/>
      <w:lang w:eastAsia="ro-RO"/>
    </w:rPr>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ascii="Times New Roman" w:eastAsia="Times New Roman" w:hAnsi="Times New Roman" w:cs="Times New Roman"/>
      <w:sz w:val="24"/>
      <w:szCs w:val="20"/>
      <w:lang w:eastAsia="ro-RO"/>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eastAsia="ro-RO"/>
    </w:rPr>
  </w:style>
  <w:style w:type="paragraph" w:styleId="BodyText3">
    <w:name w:val="Body Text 3"/>
    <w:basedOn w:val="Normal"/>
    <w:link w:val="BodyText3Char"/>
    <w:pPr>
      <w:spacing w:after="120"/>
    </w:pPr>
    <w:rPr>
      <w:sz w:val="16"/>
    </w:rPr>
  </w:style>
  <w:style w:type="character" w:customStyle="1" w:styleId="BodyText3Char">
    <w:name w:val="Body Text 3 Char"/>
    <w:basedOn w:val="DefaultParagraphFont"/>
    <w:link w:val="BodyText3"/>
    <w:rPr>
      <w:rFonts w:ascii="Times New Roman" w:eastAsia="Times New Roman" w:hAnsi="Times New Roman" w:cs="Times New Roman"/>
      <w:sz w:val="16"/>
      <w:szCs w:val="20"/>
      <w:lang w:eastAsia="ro-RO"/>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ascii="Times New Roman" w:eastAsia="Times New Roman" w:hAnsi="Times New Roman" w:cs="Times New Roman"/>
      <w:sz w:val="24"/>
      <w:szCs w:val="20"/>
      <w:lang w:eastAsia="ro-RO"/>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lang w:eastAsia="ro-RO"/>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sz w:val="24"/>
      <w:szCs w:val="20"/>
      <w:lang w:eastAsia="ro-RO"/>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0"/>
      <w:lang w:eastAsia="ro-RO"/>
    </w:rPr>
  </w:style>
  <w:style w:type="paragraph" w:styleId="BodyTextIndent3">
    <w:name w:val="Body Text Indent 3"/>
    <w:basedOn w:val="Normal"/>
    <w:link w:val="BodyTextIndent3Char"/>
    <w:pPr>
      <w:spacing w:after="120"/>
      <w:ind w:left="283"/>
    </w:pPr>
    <w:rPr>
      <w:sz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20"/>
      <w:lang w:eastAsia="ro-RO"/>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ascii="Times New Roman" w:eastAsia="Times New Roman" w:hAnsi="Times New Roman" w:cs="Times New Roman"/>
      <w:sz w:val="24"/>
      <w:szCs w:val="20"/>
      <w:lang w:eastAsia="ro-RO"/>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paragraph" w:styleId="Date">
    <w:name w:val="Date"/>
    <w:basedOn w:val="Normal"/>
    <w:next w:val="References"/>
    <w:link w:val="DateChar"/>
    <w:pPr>
      <w:spacing w:after="0"/>
      <w:ind w:left="5103"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eastAsia="ro-RO"/>
    </w:r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ro-RO"/>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lang w:eastAsia="ro-RO"/>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lang w:eastAsia="ro-RO"/>
    </w:rPr>
  </w:style>
  <w:style w:type="paragraph" w:styleId="FootnoteText">
    <w:name w:val="footnote text"/>
    <w:basedOn w:val="Normal"/>
    <w:uiPriority w:val="99"/>
    <w:semiHidden/>
    <w:pPr>
      <w:ind w:left="357" w:hanging="357"/>
    </w:pPr>
    <w:rPr>
      <w:sz w:val="20"/>
    </w:rPr>
  </w:style>
  <w:style w:type="character" w:customStyle="1" w:styleId="FootnoteTextChar">
    <w:name w:val="Footnote Text Char"/>
    <w:basedOn w:val="DefaultParagraphFont"/>
    <w:uiPriority w:val="99"/>
    <w:semiHidden/>
    <w:rPr>
      <w:rFonts w:ascii="Times New Roman" w:eastAsia="Times New Roman" w:hAnsi="Times New Roman" w:cs="Times New Roman"/>
      <w:sz w:val="20"/>
      <w:szCs w:val="20"/>
      <w:lang w:eastAsia="ro-RO"/>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eastAsia="ro-RO"/>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eastAsia="ro-RO"/>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Pr>
      <w:rFonts w:ascii="Arial" w:eastAsia="Times New Roman" w:hAnsi="Arial" w:cs="Times New Roman"/>
      <w:sz w:val="24"/>
      <w:szCs w:val="20"/>
      <w:shd w:val="pct20" w:color="auto" w:fill="auto"/>
      <w:lang w:eastAsia="ro-R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eastAsia="ro-RO"/>
    </w:r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link w:val="PlainTextChar"/>
    <w:rPr>
      <w:rFonts w:ascii="Courier New" w:hAnsi="Courier New"/>
      <w:sz w:val="20"/>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ro-RO"/>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ascii="Times New Roman" w:eastAsia="Times New Roman" w:hAnsi="Times New Roman" w:cs="Times New Roman"/>
      <w:sz w:val="24"/>
      <w:szCs w:val="20"/>
      <w:lang w:eastAsia="ro-RO"/>
    </w:rPr>
  </w:style>
  <w:style w:type="paragraph" w:styleId="Signature">
    <w:name w:val="Signature"/>
    <w:basedOn w:val="Normal"/>
    <w:next w:val="Enclosures"/>
    <w:link w:val="SignatureChar"/>
    <w:pPr>
      <w:tabs>
        <w:tab w:val="left" w:pos="5103"/>
      </w:tabs>
      <w:spacing w:before="1200" w:after="0"/>
      <w:ind w:left="5103"/>
      <w:jc w:val="center"/>
    </w:pPr>
  </w:style>
  <w:style w:type="character" w:customStyle="1" w:styleId="SignatureChar">
    <w:name w:val="Signature Char"/>
    <w:basedOn w:val="DefaultParagraphFont"/>
    <w:link w:val="Signature"/>
    <w:rPr>
      <w:rFonts w:ascii="Times New Roman" w:eastAsia="Times New Roman" w:hAnsi="Times New Roman" w:cs="Times New Roman"/>
      <w:sz w:val="24"/>
      <w:szCs w:val="20"/>
      <w:lang w:eastAsia="ro-RO"/>
    </w:rPr>
  </w:style>
  <w:style w:type="paragraph" w:styleId="Subtitle">
    <w:name w:val="Subtitle"/>
    <w:basedOn w:val="Normal"/>
    <w:link w:val="SubtitleChar"/>
    <w:qFormat/>
    <w:pPr>
      <w:spacing w:after="60"/>
      <w:jc w:val="center"/>
      <w:outlineLvl w:val="1"/>
    </w:pPr>
    <w:rPr>
      <w:rFonts w:ascii="Arial" w:hAnsi="Arial"/>
    </w:rPr>
  </w:style>
  <w:style w:type="character" w:customStyle="1" w:styleId="SubtitleChar">
    <w:name w:val="Subtitle Char"/>
    <w:basedOn w:val="DefaultParagraphFont"/>
    <w:link w:val="Subtitle"/>
    <w:rPr>
      <w:rFonts w:ascii="Arial" w:eastAsia="Times New Roman" w:hAnsi="Arial" w:cs="Times New Roman"/>
      <w:sz w:val="24"/>
      <w:szCs w:val="20"/>
      <w:lang w:eastAsia="ro-RO"/>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pPr>
      <w:spacing w:after="480"/>
      <w:jc w:val="center"/>
    </w:pPr>
    <w:rPr>
      <w:b/>
      <w:kern w:val="28"/>
      <w:sz w:val="48"/>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eastAsia="ro-RO"/>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link w:val="TOCHeadingChar"/>
    <w:uiPriority w:val="39"/>
    <w:qFormat/>
    <w:pPr>
      <w:keepNext/>
      <w:spacing w:before="240"/>
      <w:jc w:val="center"/>
    </w:pPr>
    <w:rPr>
      <w:b/>
    </w:rPr>
  </w:style>
  <w:style w:type="paragraph" w:customStyle="1" w:styleId="Contact">
    <w:name w:val="Contact"/>
    <w:basedOn w:val="Normal"/>
    <w:next w:val="Normal"/>
    <w:uiPriority w:val="99"/>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0"/>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table" w:styleId="LightList-Accent1">
    <w:name w:val="Light List Accent 1"/>
    <w:basedOn w:val="TableNormal"/>
    <w:uiPriority w:val="6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customStyle="1" w:styleId="Normal1">
    <w:name w:val="Normal1"/>
    <w:basedOn w:val="Normal"/>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customStyle="1" w:styleId="p2">
    <w:name w:val="p2"/>
    <w:basedOn w:val="Normal"/>
    <w:pPr>
      <w:spacing w:after="0"/>
      <w:jc w:val="left"/>
    </w:pPr>
    <w:rPr>
      <w:sz w:val="17"/>
      <w:szCs w:val="17"/>
    </w:rPr>
  </w:style>
  <w:style w:type="character" w:styleId="EndnoteReference">
    <w:name w:val="endnote reference"/>
    <w:basedOn w:val="DefaultParagraphFont"/>
    <w:uiPriority w:val="99"/>
    <w:semiHidden/>
    <w:unhideWhenUsed/>
    <w:rPr>
      <w:vertAlign w:val="superscript"/>
    </w:rPr>
  </w:style>
  <w:style w:type="paragraph" w:customStyle="1" w:styleId="s15">
    <w:name w:val="s15"/>
    <w:basedOn w:val="Normal"/>
    <w:pPr>
      <w:spacing w:before="100" w:beforeAutospacing="1" w:after="100" w:afterAutospacing="1"/>
      <w:jc w:val="left"/>
    </w:pPr>
    <w:rPr>
      <w:rFonts w:eastAsiaTheme="minorHAnsi"/>
      <w:szCs w:val="24"/>
    </w:rPr>
  </w:style>
  <w:style w:type="character" w:customStyle="1" w:styleId="s21">
    <w:name w:val="s21"/>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4"/>
      <w:szCs w:val="20"/>
      <w:lang w:eastAsia="ro-RO"/>
    </w:rPr>
  </w:style>
  <w:style w:type="character" w:customStyle="1" w:styleId="FooterSensitivityChar">
    <w:name w:val="Footer Sensitivity Char"/>
    <w:basedOn w:val="TOCHeadingChar"/>
    <w:link w:val="FooterSensitivity"/>
    <w:rPr>
      <w:rFonts w:ascii="Times New Roman" w:eastAsia="Times New Roman" w:hAnsi="Times New Roman" w:cs="Times New Roman"/>
      <w:b/>
      <w:sz w:val="32"/>
      <w:szCs w:val="20"/>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0"/>
      <w:lang w:eastAsia="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OCHeadingChar"/>
    <w:link w:val="HeaderSensitivity"/>
    <w:rPr>
      <w:rFonts w:ascii="Times New Roman" w:eastAsia="Times New Roman" w:hAnsi="Times New Roman" w:cs="Times New Roman"/>
      <w:b/>
      <w:sz w:val="32"/>
      <w:szCs w:val="20"/>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469">
      <w:bodyDiv w:val="1"/>
      <w:marLeft w:val="0"/>
      <w:marRight w:val="0"/>
      <w:marTop w:val="0"/>
      <w:marBottom w:val="0"/>
      <w:divBdr>
        <w:top w:val="none" w:sz="0" w:space="0" w:color="auto"/>
        <w:left w:val="none" w:sz="0" w:space="0" w:color="auto"/>
        <w:bottom w:val="none" w:sz="0" w:space="0" w:color="auto"/>
        <w:right w:val="none" w:sz="0" w:space="0" w:color="auto"/>
      </w:divBdr>
    </w:div>
    <w:div w:id="232131794">
      <w:bodyDiv w:val="1"/>
      <w:marLeft w:val="0"/>
      <w:marRight w:val="0"/>
      <w:marTop w:val="0"/>
      <w:marBottom w:val="0"/>
      <w:divBdr>
        <w:top w:val="none" w:sz="0" w:space="0" w:color="auto"/>
        <w:left w:val="none" w:sz="0" w:space="0" w:color="auto"/>
        <w:bottom w:val="none" w:sz="0" w:space="0" w:color="auto"/>
        <w:right w:val="none" w:sz="0" w:space="0" w:color="auto"/>
      </w:divBdr>
    </w:div>
    <w:div w:id="1418358209">
      <w:bodyDiv w:val="1"/>
      <w:marLeft w:val="0"/>
      <w:marRight w:val="0"/>
      <w:marTop w:val="0"/>
      <w:marBottom w:val="0"/>
      <w:divBdr>
        <w:top w:val="none" w:sz="0" w:space="0" w:color="auto"/>
        <w:left w:val="none" w:sz="0" w:space="0" w:color="auto"/>
        <w:bottom w:val="none" w:sz="0" w:space="0" w:color="auto"/>
        <w:right w:val="none" w:sz="0" w:space="0" w:color="auto"/>
      </w:divBdr>
    </w:div>
    <w:div w:id="151487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inance-consultations-2017-fintech_en" TargetMode="External"/><Relationship Id="rId13" Type="http://schemas.openxmlformats.org/officeDocument/2006/relationships/hyperlink" Target="https://www.eba.europa.eu/regulation-and-policy/internal-governance/recommendations-on-outsourcing-to-cloud-service-providers" TargetMode="External"/><Relationship Id="rId3" Type="http://schemas.openxmlformats.org/officeDocument/2006/relationships/hyperlink" Target="https://www.eba.europa.eu/documents/10180/657547/EBA-Op-2014-08+Opinion+on+Virtual+Currencies.pdf" TargetMode="External"/><Relationship Id="rId7" Type="http://schemas.openxmlformats.org/officeDocument/2006/relationships/hyperlink" Target="http://data.consilium.europa.eu/doc/document/ST-14-2017-INIT/ro/pdf" TargetMode="External"/><Relationship Id="rId12" Type="http://schemas.openxmlformats.org/officeDocument/2006/relationships/hyperlink" Target="https://www.esma.europa.eu/press-news/esma-news/esma-highlights-ico-risks-investors-and-firms" TargetMode="External"/><Relationship Id="rId2" Type="http://schemas.openxmlformats.org/officeDocument/2006/relationships/hyperlink" Target="https://eba.europa.eu/documents/10180/598344/EBA+Warning+on+Virtual+Currencies.pdf" TargetMode="External"/><Relationship Id="rId16" Type="http://schemas.openxmlformats.org/officeDocument/2006/relationships/hyperlink" Target="http://www.fsb.org/wp-content/uploads/P131017-2.pdf" TargetMode="External"/><Relationship Id="rId1" Type="http://schemas.openxmlformats.org/officeDocument/2006/relationships/hyperlink" Target="https://encrypted.google.com/url?sa=t&amp;rct=j&amp;q=&amp;esrc=s&amp;source=web&amp;cd=2&amp;ved=0ahUKEwjB-4mNoMHYAhXHJuwKHZh-BJcQFgguMAE&amp;url=https://ec.europa.eu/info/sites/info/files/communication-cmu-mid-term-review-june2017_en.pdf&amp;usg=AOvVaw1WmlMPtia94qDyqayl9Dom" TargetMode="External"/><Relationship Id="rId6" Type="http://schemas.openxmlformats.org/officeDocument/2006/relationships/hyperlink" Target="https://ec.europa.eu/info/business-economy-euro/banking-and-finance/financial-supervision-and-risk-management/european-system-financial-supervision_ro" TargetMode="External"/><Relationship Id="rId11" Type="http://schemas.openxmlformats.org/officeDocument/2006/relationships/hyperlink" Target="https://www.bankingsupervision.europa.eu/press/pr/date/2017/html/ssm.pr170921.en.html" TargetMode="External"/><Relationship Id="rId5" Type="http://schemas.openxmlformats.org/officeDocument/2006/relationships/hyperlink" Target="https://www.esma.europa.eu/sites/default/files/library/esma50-157-828_ico_statement_firms.pdf" TargetMode="External"/><Relationship Id="rId15" Type="http://schemas.openxmlformats.org/officeDocument/2006/relationships/hyperlink" Target="https://www.enisa.europa.eu/publications/cyber-hygiene/at_download/fullReport" TargetMode="External"/><Relationship Id="rId10" Type="http://schemas.openxmlformats.org/officeDocument/2006/relationships/hyperlink" Target="https://eiopa.europa.eu/Publications/Reports/Sixth%20Consumer%20Trends%20report.pdf" TargetMode="External"/><Relationship Id="rId4" Type="http://schemas.openxmlformats.org/officeDocument/2006/relationships/hyperlink" Target="https://www.esma.europa.eu/sites/default/files/library/esma50-157-829_ico_statement_investors.pdf" TargetMode="External"/><Relationship Id="rId9" Type="http://schemas.openxmlformats.org/officeDocument/2006/relationships/hyperlink" Target="https://www.eba.europa.eu/-/eba-publishes-a-discussion-paper-on-its-approach-to-FinTech" TargetMode="External"/><Relationship Id="rId14" Type="http://schemas.openxmlformats.org/officeDocument/2006/relationships/hyperlink" Target="https://ec.europa.eu/digital-single-market/en/news/pre-information-notice-eu-blockchain-observatory-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12570-CBA3-4B53-97AE-4C025B05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7641</Words>
  <Characters>46921</Characters>
  <Application>Microsoft Office Word</Application>
  <DocSecurity>0</DocSecurity>
  <Lines>680</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2018-03-06T09:08:00Z</dcterms:created>
  <dcterms:modified xsi:type="dcterms:W3CDTF">2018-03-19T08:29:00Z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