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B59" w:rsidRDefault="00034D70" w:rsidP="00034D70">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3052A07-5E25-40FA-BC4B-ECC3089E3331" style="width:450.75pt;height:375pt">
            <v:imagedata r:id="rId9" o:title=""/>
          </v:shape>
        </w:pict>
      </w:r>
    </w:p>
    <w:bookmarkEnd w:id="0"/>
    <w:p w:rsidR="00CB2B59" w:rsidRDefault="00CB2B59">
      <w:pPr>
        <w:rPr>
          <w:noProof/>
          <w:lang w:val="ro-RO"/>
        </w:rPr>
        <w:sectPr w:rsidR="00CB2B59" w:rsidSect="00034D70">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CB2B59" w:rsidRDefault="00CB2B59">
      <w:pPr>
        <w:pStyle w:val="Briefingtext"/>
        <w:ind w:left="360"/>
        <w:jc w:val="right"/>
        <w:rPr>
          <w:rFonts w:ascii="Times New Roman" w:hAnsi="Times New Roman" w:cs="Times New Roman"/>
          <w:i/>
          <w:noProof/>
          <w:sz w:val="24"/>
          <w:lang w:val="ro-RO"/>
        </w:rPr>
      </w:pPr>
      <w:bookmarkStart w:id="1" w:name="_GoBack"/>
      <w:bookmarkEnd w:id="1"/>
    </w:p>
    <w:p w:rsidR="00CB2B59" w:rsidRDefault="00CB2B59">
      <w:pPr>
        <w:pStyle w:val="Briefingtext"/>
        <w:ind w:left="360"/>
        <w:jc w:val="right"/>
        <w:rPr>
          <w:rFonts w:ascii="Times New Roman" w:hAnsi="Times New Roman" w:cs="Times New Roman"/>
          <w:i/>
          <w:noProof/>
          <w:sz w:val="24"/>
          <w:lang w:val="ro-RO"/>
        </w:rPr>
      </w:pPr>
    </w:p>
    <w:p w:rsidR="00CB2B59" w:rsidRDefault="00CB2B59">
      <w:pPr>
        <w:pStyle w:val="Briefingtext"/>
        <w:ind w:left="360"/>
        <w:jc w:val="right"/>
        <w:rPr>
          <w:rFonts w:ascii="Times New Roman" w:hAnsi="Times New Roman" w:cs="Times New Roman"/>
          <w:i/>
          <w:noProof/>
          <w:sz w:val="24"/>
          <w:lang w:val="ro-RO"/>
        </w:rPr>
      </w:pPr>
    </w:p>
    <w:p w:rsidR="00CB2B59" w:rsidRDefault="00CB2B59">
      <w:pPr>
        <w:pStyle w:val="Briefingtext"/>
        <w:ind w:left="360"/>
        <w:jc w:val="right"/>
        <w:rPr>
          <w:rFonts w:ascii="Times New Roman" w:hAnsi="Times New Roman" w:cs="Times New Roman"/>
          <w:i/>
          <w:noProof/>
          <w:sz w:val="24"/>
          <w:lang w:val="ro-RO"/>
        </w:rPr>
      </w:pPr>
    </w:p>
    <w:p w:rsidR="00CB2B59" w:rsidRDefault="00CB2B59">
      <w:pPr>
        <w:pStyle w:val="Briefingtext"/>
        <w:ind w:left="360"/>
        <w:jc w:val="right"/>
        <w:rPr>
          <w:rFonts w:ascii="Times New Roman" w:hAnsi="Times New Roman" w:cs="Times New Roman"/>
          <w:i/>
          <w:noProof/>
          <w:sz w:val="24"/>
          <w:lang w:val="ro-RO"/>
        </w:rPr>
      </w:pPr>
    </w:p>
    <w:p w:rsidR="00CB2B59" w:rsidRDefault="00CB2B59">
      <w:pPr>
        <w:pStyle w:val="Briefingtext"/>
        <w:spacing w:before="240"/>
        <w:ind w:left="360"/>
        <w:jc w:val="right"/>
        <w:rPr>
          <w:rFonts w:ascii="Times New Roman" w:hAnsi="Times New Roman" w:cs="Times New Roman"/>
          <w:i/>
          <w:noProof/>
          <w:sz w:val="24"/>
          <w:lang w:val="ro-RO"/>
        </w:rPr>
      </w:pPr>
    </w:p>
    <w:p w:rsidR="00CB2B59" w:rsidRDefault="00034D70">
      <w:pPr>
        <w:pStyle w:val="Briefingtext"/>
        <w:ind w:left="360"/>
        <w:jc w:val="right"/>
        <w:rPr>
          <w:rFonts w:ascii="Times New Roman" w:hAnsi="Times New Roman" w:cs="Times New Roman"/>
          <w:i/>
          <w:noProof/>
          <w:sz w:val="24"/>
          <w:lang w:val="ro-RO"/>
        </w:rPr>
      </w:pPr>
      <w:r>
        <w:rPr>
          <w:rFonts w:ascii="Times New Roman" w:hAnsi="Times New Roman"/>
          <w:noProof/>
          <w:color w:val="000000"/>
          <w:sz w:val="24"/>
          <w:lang w:val="ro-RO"/>
        </w:rPr>
        <w:br/>
      </w:r>
      <w:r>
        <w:rPr>
          <w:rFonts w:ascii="Times New Roman" w:hAnsi="Times New Roman"/>
          <w:i/>
          <w:noProof/>
          <w:sz w:val="24"/>
          <w:lang w:val="ro-RO"/>
        </w:rPr>
        <w:t>„Viitorul nostru nu poate rămâne la stadiul de scenariu, de schiță, de idee printre multe altele. Astăzi trebuie să pregătim Uniunea de mâine.”</w:t>
      </w:r>
    </w:p>
    <w:p w:rsidR="00CB2B59" w:rsidRDefault="00034D70">
      <w:pPr>
        <w:autoSpaceDE w:val="0"/>
        <w:autoSpaceDN w:val="0"/>
        <w:adjustRightInd w:val="0"/>
        <w:spacing w:after="0" w:line="240" w:lineRule="auto"/>
        <w:jc w:val="right"/>
        <w:rPr>
          <w:rFonts w:ascii="Times New Roman" w:hAnsi="Times New Roman" w:cs="Times New Roman"/>
          <w:noProof/>
          <w:color w:val="000000"/>
          <w:sz w:val="24"/>
          <w:szCs w:val="24"/>
          <w:lang w:val="ro-RO"/>
        </w:rPr>
      </w:pPr>
      <w:r>
        <w:rPr>
          <w:rFonts w:ascii="Times New Roman" w:hAnsi="Times New Roman"/>
          <w:noProof/>
          <w:color w:val="000000"/>
          <w:sz w:val="24"/>
          <w:szCs w:val="24"/>
          <w:lang w:val="ro-RO"/>
        </w:rPr>
        <w:t>Președintele Comisiei, Jean-Claude Juncker</w:t>
      </w:r>
    </w:p>
    <w:p w:rsidR="00CB2B59" w:rsidRDefault="00034D70">
      <w:pPr>
        <w:autoSpaceDE w:val="0"/>
        <w:autoSpaceDN w:val="0"/>
        <w:adjustRightInd w:val="0"/>
        <w:spacing w:after="0" w:line="240" w:lineRule="auto"/>
        <w:jc w:val="right"/>
        <w:rPr>
          <w:rFonts w:ascii="Times New Roman" w:hAnsi="Times New Roman" w:cs="Times New Roman"/>
          <w:noProof/>
          <w:color w:val="000000"/>
          <w:sz w:val="24"/>
          <w:szCs w:val="24"/>
          <w:lang w:val="ro-RO"/>
        </w:rPr>
      </w:pPr>
      <w:r>
        <w:rPr>
          <w:rFonts w:ascii="Times New Roman" w:hAnsi="Times New Roman"/>
          <w:noProof/>
          <w:color w:val="000000"/>
          <w:sz w:val="24"/>
          <w:szCs w:val="24"/>
          <w:lang w:val="ro-RO"/>
        </w:rPr>
        <w:t>Starea Uniunii, Strasbourg, 13 septembrie 2017</w:t>
      </w:r>
    </w:p>
    <w:p w:rsidR="00CB2B59" w:rsidRDefault="00CB2B59">
      <w:pPr>
        <w:pStyle w:val="Briefingtext"/>
        <w:ind w:left="360"/>
        <w:rPr>
          <w:rFonts w:ascii="Times New Roman" w:hAnsi="Times New Roman" w:cs="Times New Roman"/>
          <w:i/>
          <w:noProof/>
          <w:sz w:val="24"/>
          <w:lang w:val="ro-RO"/>
        </w:rPr>
      </w:pPr>
    </w:p>
    <w:p w:rsidR="00CB2B59" w:rsidRDefault="00034D70">
      <w:pPr>
        <w:pStyle w:val="Briefingtext"/>
        <w:ind w:left="360"/>
        <w:jc w:val="right"/>
        <w:rPr>
          <w:rFonts w:ascii="Times New Roman" w:hAnsi="Times New Roman" w:cs="Times New Roman"/>
          <w:i/>
          <w:noProof/>
          <w:sz w:val="24"/>
          <w:lang w:val="ro-RO"/>
        </w:rPr>
      </w:pPr>
      <w:r>
        <w:rPr>
          <w:rFonts w:ascii="Times New Roman" w:hAnsi="Times New Roman"/>
          <w:i/>
          <w:noProof/>
          <w:sz w:val="24"/>
          <w:lang w:val="ro-RO"/>
        </w:rPr>
        <w:t>„Cercetarea și inovarea sunt esențiale pentru viitorul nostru. Acestea reprezintă singura modalitate de a aborda, în mod simultan și durabil, creșterea economică red</w:t>
      </w:r>
      <w:r>
        <w:rPr>
          <w:rFonts w:ascii="Times New Roman" w:hAnsi="Times New Roman"/>
          <w:i/>
          <w:noProof/>
          <w:sz w:val="24"/>
          <w:lang w:val="ro-RO"/>
        </w:rPr>
        <w:t>usă, crearea limitată de locuri de muncă și provocările de la nivel mondial, cum ar fi sănătatea și securitatea, alimentația și oceanele, clima și energia.”</w:t>
      </w:r>
    </w:p>
    <w:p w:rsidR="00CB2B59" w:rsidRDefault="00034D70">
      <w:pPr>
        <w:pStyle w:val="Briefingtext"/>
        <w:spacing w:after="0"/>
        <w:ind w:left="360"/>
        <w:jc w:val="right"/>
        <w:rPr>
          <w:rFonts w:ascii="Times New Roman" w:hAnsi="Times New Roman" w:cs="Times New Roman"/>
          <w:i/>
          <w:noProof/>
          <w:sz w:val="24"/>
          <w:lang w:val="ro-RO"/>
        </w:rPr>
      </w:pPr>
      <w:r>
        <w:rPr>
          <w:rFonts w:ascii="Times New Roman" w:hAnsi="Times New Roman"/>
          <w:noProof/>
          <w:color w:val="000000"/>
          <w:sz w:val="24"/>
          <w:lang w:val="ro-RO"/>
        </w:rPr>
        <w:t>Contribuția Comisiei Europene la reuniunea informală a liderilor din 23 februarie 2018</w:t>
      </w:r>
    </w:p>
    <w:p w:rsidR="00CB2B59" w:rsidRDefault="00CB2B59">
      <w:pPr>
        <w:pStyle w:val="Briefingtext"/>
        <w:spacing w:after="0"/>
        <w:ind w:left="360"/>
        <w:jc w:val="right"/>
        <w:rPr>
          <w:rFonts w:ascii="Times New Roman" w:hAnsi="Times New Roman" w:cs="Times New Roman"/>
          <w:i/>
          <w:noProof/>
          <w:sz w:val="24"/>
          <w:lang w:val="ro-RO"/>
        </w:rPr>
      </w:pPr>
    </w:p>
    <w:p w:rsidR="00CB2B59" w:rsidRDefault="00034D70">
      <w:pPr>
        <w:pStyle w:val="Briefingtext"/>
        <w:spacing w:before="240"/>
        <w:ind w:left="360"/>
        <w:jc w:val="right"/>
        <w:rPr>
          <w:rFonts w:ascii="Times New Roman" w:hAnsi="Times New Roman" w:cs="Times New Roman"/>
          <w:i/>
          <w:noProof/>
          <w:sz w:val="24"/>
          <w:lang w:val="ro-RO"/>
        </w:rPr>
      </w:pPr>
      <w:r>
        <w:rPr>
          <w:rFonts w:ascii="Times New Roman" w:hAnsi="Times New Roman"/>
          <w:i/>
          <w:noProof/>
          <w:sz w:val="24"/>
          <w:lang w:val="ro-RO"/>
        </w:rPr>
        <w:t>„Vom asigur</w:t>
      </w:r>
      <w:r>
        <w:rPr>
          <w:rFonts w:ascii="Times New Roman" w:hAnsi="Times New Roman"/>
          <w:i/>
          <w:noProof/>
          <w:sz w:val="24"/>
          <w:lang w:val="ro-RO"/>
        </w:rPr>
        <w:t>a marja de manevră necesară la diferitele niveluri pentru a consolida potențialul de inovare și de creștere al Europei.”</w:t>
      </w:r>
    </w:p>
    <w:p w:rsidR="00CB2B59" w:rsidRDefault="00034D70">
      <w:pPr>
        <w:autoSpaceDE w:val="0"/>
        <w:autoSpaceDN w:val="0"/>
        <w:adjustRightInd w:val="0"/>
        <w:spacing w:after="0" w:line="240" w:lineRule="auto"/>
        <w:jc w:val="right"/>
        <w:rPr>
          <w:rFonts w:ascii="Times New Roman" w:hAnsi="Times New Roman" w:cs="Times New Roman"/>
          <w:noProof/>
          <w:color w:val="000000"/>
          <w:sz w:val="24"/>
          <w:szCs w:val="24"/>
          <w:lang w:val="ro-RO"/>
        </w:rPr>
      </w:pPr>
      <w:r>
        <w:rPr>
          <w:rFonts w:ascii="Times New Roman" w:hAnsi="Times New Roman"/>
          <w:noProof/>
          <w:color w:val="000000"/>
          <w:sz w:val="24"/>
          <w:szCs w:val="24"/>
          <w:lang w:val="ro-RO"/>
        </w:rPr>
        <w:t>Declarația de la Roma, Roma, 25 martie 2017</w:t>
      </w:r>
    </w:p>
    <w:p w:rsidR="00CB2B59" w:rsidRDefault="00CB2B59">
      <w:pPr>
        <w:pStyle w:val="Briefingtext"/>
        <w:jc w:val="right"/>
        <w:rPr>
          <w:rFonts w:ascii="Times New Roman" w:hAnsi="Times New Roman" w:cs="Times New Roman"/>
          <w:noProof/>
          <w:color w:val="000000"/>
          <w:sz w:val="24"/>
          <w:lang w:val="ro-RO"/>
        </w:rPr>
      </w:pPr>
    </w:p>
    <w:p w:rsidR="00CB2B59" w:rsidRDefault="00034D70">
      <w:pPr>
        <w:pStyle w:val="Briefingtext"/>
        <w:jc w:val="right"/>
        <w:rPr>
          <w:noProof/>
          <w:lang w:val="ro-RO"/>
        </w:rPr>
      </w:pPr>
      <w:r>
        <w:rPr>
          <w:noProof/>
          <w:lang w:val="ro-RO"/>
        </w:rPr>
        <w:br w:type="page"/>
      </w:r>
    </w:p>
    <w:p w:rsidR="00CB2B59" w:rsidRDefault="00034D70">
      <w:pPr>
        <w:spacing w:after="360"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lastRenderedPageBreak/>
        <w:t xml:space="preserve">Comisia Europeană salută decizia președintelui Consiliului European de a programa o </w:t>
      </w:r>
      <w:r>
        <w:rPr>
          <w:rFonts w:ascii="Times New Roman" w:hAnsi="Times New Roman"/>
          <w:i/>
          <w:noProof/>
          <w:sz w:val="24"/>
          <w:szCs w:val="24"/>
          <w:lang w:val="ro-RO"/>
        </w:rPr>
        <w:t>dezbatere între lideri cu privire la cercetare și inovare și la măsurile necesare pentru a asigura competitivitatea Europei la nivel mondial. Prezenta comunicare expune un set de acțiuni concrete menite să stimuleze agenda UE în domeniul cercetării și inov</w:t>
      </w:r>
      <w:r>
        <w:rPr>
          <w:rFonts w:ascii="Times New Roman" w:hAnsi="Times New Roman"/>
          <w:i/>
          <w:noProof/>
          <w:sz w:val="24"/>
          <w:szCs w:val="24"/>
          <w:lang w:val="ro-RO"/>
        </w:rPr>
        <w:t>ării și să fie utilizate în cadrul discuției informale a șefilor de stat sau de guvern care va avea loc la Sofia, în data de 16 mai 2018.</w:t>
      </w:r>
    </w:p>
    <w:p w:rsidR="00CB2B59" w:rsidRDefault="00034D70">
      <w:pPr>
        <w:keepNext/>
        <w:spacing w:line="240" w:lineRule="auto"/>
        <w:jc w:val="both"/>
        <w:rPr>
          <w:rFonts w:ascii="Times New Roman" w:hAnsi="Times New Roman" w:cs="Times New Roman"/>
          <w:b/>
          <w:noProof/>
          <w:sz w:val="24"/>
          <w:szCs w:val="24"/>
          <w:lang w:val="ro-RO"/>
        </w:rPr>
      </w:pPr>
      <w:r>
        <w:rPr>
          <w:rFonts w:ascii="Times New Roman" w:hAnsi="Times New Roman"/>
          <w:b/>
          <w:noProof/>
          <w:sz w:val="24"/>
          <w:szCs w:val="24"/>
          <w:lang w:val="ro-RO"/>
        </w:rPr>
        <w:t>1. Șansa Europei de a investi în viitor</w:t>
      </w:r>
    </w:p>
    <w:p w:rsidR="00CB2B59" w:rsidRDefault="00034D70">
      <w:pPr>
        <w:spacing w:line="264" w:lineRule="auto"/>
        <w:jc w:val="both"/>
        <w:rPr>
          <w:rFonts w:ascii="Times New Roman" w:hAnsi="Times New Roman" w:cs="Times New Roman"/>
          <w:noProof/>
          <w:sz w:val="24"/>
          <w:szCs w:val="24"/>
          <w:lang w:val="ro-RO"/>
        </w:rPr>
      </w:pPr>
      <w:r>
        <w:rPr>
          <w:rFonts w:ascii="Times New Roman" w:hAnsi="Times New Roman"/>
          <w:noProof/>
          <w:sz w:val="24"/>
          <w:szCs w:val="24"/>
          <w:lang w:val="ro-RO"/>
        </w:rPr>
        <w:t>A investi în cercetare și inovare înseamnă a investi în viitorul Europei. Aces</w:t>
      </w:r>
      <w:r>
        <w:rPr>
          <w:rFonts w:ascii="Times New Roman" w:hAnsi="Times New Roman"/>
          <w:noProof/>
          <w:sz w:val="24"/>
          <w:szCs w:val="24"/>
          <w:lang w:val="ro-RO"/>
        </w:rPr>
        <w:t>te investiții ne ajută să concurăm la nivel mondial și să ne păstrăm modelul social unic și îmbunătățesc viața de zi cu zi a milioane de oameni, aici, în Europa, și în întreaga lume, contribuind la soluționarea unora dintre cele mai mari provocări societal</w:t>
      </w:r>
      <w:r>
        <w:rPr>
          <w:rFonts w:ascii="Times New Roman" w:hAnsi="Times New Roman"/>
          <w:noProof/>
          <w:sz w:val="24"/>
          <w:szCs w:val="24"/>
          <w:lang w:val="ro-RO"/>
        </w:rPr>
        <w:t>e și legate de generații. De la punerea la dispoziție a 1,6 milioane de doze de vaccin împotriva virusului Ebola, până la crearea unei baterii care este de 100 de ori mai puternică decât cele obișnuite și până la introducerea în circulație, în orașele noas</w:t>
      </w:r>
      <w:r>
        <w:rPr>
          <w:rFonts w:ascii="Times New Roman" w:hAnsi="Times New Roman"/>
          <w:noProof/>
          <w:sz w:val="24"/>
          <w:szCs w:val="24"/>
          <w:lang w:val="ro-RO"/>
        </w:rPr>
        <w:t>tre, a unor autobuze care funcționează pe bază de pile de combustie cu hidrogen, cercetarea și inovarea se află peste tot în jurul nostru.</w:t>
      </w:r>
    </w:p>
    <w:p w:rsidR="00CB2B59" w:rsidRDefault="00034D70">
      <w:pPr>
        <w:spacing w:line="264" w:lineRule="auto"/>
        <w:jc w:val="both"/>
        <w:rPr>
          <w:rFonts w:ascii="Times New Roman" w:hAnsi="Times New Roman" w:cs="Times New Roman"/>
          <w:noProof/>
          <w:sz w:val="24"/>
          <w:szCs w:val="24"/>
          <w:lang w:val="ro-RO"/>
        </w:rPr>
      </w:pPr>
      <w:r>
        <w:rPr>
          <w:rFonts w:ascii="Times New Roman" w:hAnsi="Times New Roman"/>
          <w:noProof/>
          <w:sz w:val="24"/>
          <w:szCs w:val="24"/>
          <w:lang w:val="ro-RO"/>
        </w:rPr>
        <w:t>Acest lucru reflectă faptul că societatea poate să avanseze doar în ritmul în care inovează. Societatea poate să ofer</w:t>
      </w:r>
      <w:r>
        <w:rPr>
          <w:rFonts w:ascii="Times New Roman" w:hAnsi="Times New Roman"/>
          <w:noProof/>
          <w:sz w:val="24"/>
          <w:szCs w:val="24"/>
          <w:lang w:val="ro-RO"/>
        </w:rPr>
        <w:t xml:space="preserve">e o prosperitate durabilă doar dacă valorifică la maximum cunoștințele, spiritul antreprenorial și productivitatea cetățenilor săi și arată că orice economie își poate devansa concurenții doar dacă rămâne la granița cercetării și inovării de vârf. </w:t>
      </w:r>
    </w:p>
    <w:p w:rsidR="00CB2B59" w:rsidRDefault="00034D70">
      <w:pPr>
        <w:spacing w:line="264" w:lineRule="auto"/>
        <w:jc w:val="both"/>
        <w:rPr>
          <w:rFonts w:ascii="Times New Roman" w:hAnsi="Times New Roman" w:cs="Times New Roman"/>
          <w:noProof/>
          <w:sz w:val="24"/>
          <w:szCs w:val="24"/>
          <w:lang w:val="ro-RO"/>
        </w:rPr>
      </w:pPr>
      <w:r>
        <w:rPr>
          <w:rFonts w:ascii="Times New Roman" w:hAnsi="Times New Roman"/>
          <w:noProof/>
          <w:sz w:val="24"/>
          <w:szCs w:val="24"/>
          <w:lang w:val="ro-RO"/>
        </w:rPr>
        <w:t>Aceasta</w:t>
      </w:r>
      <w:r>
        <w:rPr>
          <w:rFonts w:ascii="Times New Roman" w:hAnsi="Times New Roman"/>
          <w:noProof/>
          <w:sz w:val="24"/>
          <w:szCs w:val="24"/>
          <w:lang w:val="ro-RO"/>
        </w:rPr>
        <w:t xml:space="preserve"> este provocarea cu care se confruntă astăzi Uniunea noastră, pe măsură ce căutăm să menținem și să îmbunătățim modul european de viață. Este vremea să investim în viitor. Inovările bazate pe tehnologie, digitalizarea sporită a tuturor sectoarelor și megat</w:t>
      </w:r>
      <w:r>
        <w:rPr>
          <w:rFonts w:ascii="Times New Roman" w:hAnsi="Times New Roman"/>
          <w:noProof/>
          <w:sz w:val="24"/>
          <w:szCs w:val="24"/>
          <w:lang w:val="ro-RO"/>
        </w:rPr>
        <w:t>endințele mondiale schimbă modul în care trăim, oferind oportunități imense, dar și creând noi provocări. Pe măsură ce această tendință se accelerează, necesitatea de a inova va fi tot mai acută. Țările din întreaga lume investesc masiv în cercetare și ino</w:t>
      </w:r>
      <w:r>
        <w:rPr>
          <w:rFonts w:ascii="Times New Roman" w:hAnsi="Times New Roman"/>
          <w:noProof/>
          <w:sz w:val="24"/>
          <w:szCs w:val="24"/>
          <w:lang w:val="ro-RO"/>
        </w:rPr>
        <w:t>vare în toate domeniile economiei. Acest lucru accentuează concurența mondială și pune în pericol poziția concurențială de prim plan a Europei în sectoare industriale cheie. Aprofundarea capacității de inovare a Europei, asigurarea investițiilor necesare ș</w:t>
      </w:r>
      <w:r>
        <w:rPr>
          <w:rFonts w:ascii="Times New Roman" w:hAnsi="Times New Roman"/>
          <w:noProof/>
          <w:sz w:val="24"/>
          <w:szCs w:val="24"/>
          <w:lang w:val="ro-RO"/>
        </w:rPr>
        <w:t>i accelerarea difuzării inovării în întreaga Europă constituie, prin urmare, o chestiune de necesitate pentru prosperitatea noastră viitoare.</w:t>
      </w:r>
    </w:p>
    <w:p w:rsidR="00CB2B59" w:rsidRDefault="00034D70">
      <w:pPr>
        <w:spacing w:line="264" w:lineRule="auto"/>
        <w:jc w:val="both"/>
        <w:rPr>
          <w:rFonts w:ascii="Times New Roman" w:hAnsi="Times New Roman" w:cs="Times New Roman"/>
          <w:noProof/>
          <w:sz w:val="24"/>
          <w:szCs w:val="24"/>
          <w:lang w:val="ro-RO"/>
        </w:rPr>
      </w:pPr>
      <w:r>
        <w:rPr>
          <w:rFonts w:ascii="Times New Roman" w:hAnsi="Times New Roman"/>
          <w:noProof/>
          <w:sz w:val="24"/>
          <w:szCs w:val="24"/>
          <w:lang w:val="ro-RO"/>
        </w:rPr>
        <w:t>Mizele sunt mari, dar la fel este și potențialul Europei. Următorul val de inovare, care combină domeniul fizic cu</w:t>
      </w:r>
      <w:r>
        <w:rPr>
          <w:rFonts w:ascii="Times New Roman" w:hAnsi="Times New Roman"/>
          <w:noProof/>
          <w:sz w:val="24"/>
          <w:szCs w:val="24"/>
          <w:lang w:val="ro-RO"/>
        </w:rPr>
        <w:t xml:space="preserve"> cel digital, se va baza pe știință, tehnologie și inginerie, domenii în care Europa are și trebuie să își mențină un avantaj competitiv. În condițiile în care locuitorii săi reprezintă 7 % din populația planetei, 20 % din investițiile mondiale în materie </w:t>
      </w:r>
      <w:r>
        <w:rPr>
          <w:rFonts w:ascii="Times New Roman" w:hAnsi="Times New Roman"/>
          <w:noProof/>
          <w:sz w:val="24"/>
          <w:szCs w:val="24"/>
          <w:lang w:val="ro-RO"/>
        </w:rPr>
        <w:t>de cercetare și dezvoltare și aproximativ o treime din toate publicațiile științifice de înaltă calitate</w:t>
      </w:r>
      <w:r>
        <w:rPr>
          <w:rStyle w:val="FootnoteReference"/>
          <w:rFonts w:ascii="Times New Roman" w:hAnsi="Times New Roman" w:cs="Times New Roman"/>
          <w:noProof/>
          <w:sz w:val="24"/>
          <w:szCs w:val="24"/>
          <w:lang w:val="ro-RO"/>
        </w:rPr>
        <w:footnoteReference w:id="2"/>
      </w:r>
      <w:r>
        <w:rPr>
          <w:rFonts w:ascii="Times New Roman" w:hAnsi="Times New Roman"/>
          <w:noProof/>
          <w:sz w:val="24"/>
          <w:szCs w:val="24"/>
          <w:lang w:val="ro-RO"/>
        </w:rPr>
        <w:t xml:space="preserve"> revin Europei. Aceasta găzduiește, de asemenea, o bază industrială puternică.</w:t>
      </w:r>
    </w:p>
    <w:p w:rsidR="00CB2B59" w:rsidRDefault="00034D70">
      <w:pPr>
        <w:spacing w:line="264"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Europa trebuie să se bazeze pe aceste active și pe valorile sale pentru </w:t>
      </w:r>
      <w:r>
        <w:rPr>
          <w:rFonts w:ascii="Times New Roman" w:hAnsi="Times New Roman"/>
          <w:noProof/>
          <w:sz w:val="24"/>
          <w:szCs w:val="24"/>
          <w:lang w:val="ro-RO"/>
        </w:rPr>
        <w:t>a-și dezvolta propriul model distinct de inovare. Ar trebui să își valorifice la maximum cultura colaborativă, bazată pe parteneriat, care contribuie la promovarea inovării în întreaga Uniune. În acest sens, trebuie să se asigure că nivelul înalt al protec</w:t>
      </w:r>
      <w:r>
        <w:rPr>
          <w:rFonts w:ascii="Times New Roman" w:hAnsi="Times New Roman"/>
          <w:noProof/>
          <w:sz w:val="24"/>
          <w:szCs w:val="24"/>
          <w:lang w:val="ro-RO"/>
        </w:rPr>
        <w:t>ț</w:t>
      </w:r>
      <w:r>
        <w:rPr>
          <w:rFonts w:ascii="Times New Roman" w:hAnsi="Times New Roman"/>
          <w:noProof/>
          <w:sz w:val="24"/>
          <w:szCs w:val="24"/>
          <w:lang w:val="ro-RO"/>
        </w:rPr>
        <w:t xml:space="preserve">iei europene a datelor cetățenilor și a vieții </w:t>
      </w:r>
      <w:r>
        <w:rPr>
          <w:rFonts w:ascii="Times New Roman" w:hAnsi="Times New Roman"/>
          <w:noProof/>
          <w:sz w:val="24"/>
          <w:szCs w:val="24"/>
          <w:lang w:val="ro-RO"/>
        </w:rPr>
        <w:lastRenderedPageBreak/>
        <w:t>private a acestora - care este acum cadrul de referință mondial - devine o sursă de avantaj competitiv atunci când este vorba de noile tehnologii, cum ar fi inteligența artificială sau volumele mari de date</w:t>
      </w:r>
      <w:r>
        <w:rPr>
          <w:rStyle w:val="FootnoteReference"/>
          <w:rFonts w:ascii="Times New Roman" w:hAnsi="Times New Roman" w:cs="Times New Roman"/>
          <w:noProof/>
          <w:sz w:val="24"/>
          <w:szCs w:val="24"/>
          <w:lang w:val="ro-RO"/>
        </w:rPr>
        <w:footnoteReference w:id="3"/>
      </w:r>
      <w:r>
        <w:rPr>
          <w:rFonts w:ascii="Times New Roman" w:hAnsi="Times New Roman"/>
          <w:noProof/>
          <w:sz w:val="24"/>
          <w:szCs w:val="24"/>
          <w:lang w:val="ro-RO"/>
        </w:rPr>
        <w:t>.</w:t>
      </w:r>
      <w:r>
        <w:rPr>
          <w:rFonts w:ascii="Times New Roman" w:hAnsi="Times New Roman"/>
          <w:noProof/>
          <w:sz w:val="24"/>
          <w:szCs w:val="24"/>
          <w:lang w:val="ro-RO"/>
        </w:rPr>
        <w:t xml:space="preserve"> </w:t>
      </w:r>
    </w:p>
    <w:p w:rsidR="00CB2B59" w:rsidRDefault="00034D70">
      <w:pPr>
        <w:spacing w:line="264" w:lineRule="auto"/>
        <w:jc w:val="both"/>
        <w:rPr>
          <w:rFonts w:ascii="Times New Roman" w:hAnsi="Times New Roman" w:cs="Times New Roman"/>
          <w:noProof/>
          <w:sz w:val="24"/>
          <w:szCs w:val="24"/>
          <w:lang w:val="ro-RO"/>
        </w:rPr>
      </w:pPr>
      <w:r>
        <w:rPr>
          <w:rFonts w:ascii="Times New Roman" w:hAnsi="Times New Roman"/>
          <w:noProof/>
          <w:sz w:val="24"/>
          <w:szCs w:val="24"/>
          <w:lang w:val="ro-RO"/>
        </w:rPr>
        <w:t>UE este cel mai deschis spațiu de cercetare și inovare din întreaga lume. UE nu numai că salută participarea organizațiilor de cercetare din întreaga lume în cadrul proiectelor sale, ci, de asemenea, colaborează intens cu parteneri internaționali la prog</w:t>
      </w:r>
      <w:r>
        <w:rPr>
          <w:rFonts w:ascii="Times New Roman" w:hAnsi="Times New Roman"/>
          <w:noProof/>
          <w:sz w:val="24"/>
          <w:szCs w:val="24"/>
          <w:lang w:val="ro-RO"/>
        </w:rPr>
        <w:t>rame comune. Pentru a promova condiții de concurență echitabile, ar trebui să încurajeze noi oportunități de piață pentru produsele și serviciile inovatoare. UE ar trebui, de asemenea, să stimuleze sinergiile și investițiile transfrontaliere în domeniul ce</w:t>
      </w:r>
      <w:r>
        <w:rPr>
          <w:rFonts w:ascii="Times New Roman" w:hAnsi="Times New Roman"/>
          <w:noProof/>
          <w:sz w:val="24"/>
          <w:szCs w:val="24"/>
          <w:lang w:val="ro-RO"/>
        </w:rPr>
        <w:t>rcetării și inovării care să aducă beneficii reciproce pentru cetățeni și întreprinderi</w:t>
      </w:r>
      <w:r>
        <w:rPr>
          <w:rStyle w:val="FootnoteReference"/>
          <w:rFonts w:ascii="Times New Roman" w:hAnsi="Times New Roman" w:cs="Times New Roman"/>
          <w:noProof/>
          <w:sz w:val="24"/>
          <w:szCs w:val="24"/>
          <w:lang w:val="ro-RO"/>
        </w:rPr>
        <w:footnoteReference w:id="4"/>
      </w:r>
      <w:r>
        <w:rPr>
          <w:rFonts w:ascii="Times New Roman" w:hAnsi="Times New Roman"/>
          <w:noProof/>
          <w:sz w:val="24"/>
          <w:szCs w:val="24"/>
          <w:lang w:val="ro-RO"/>
        </w:rPr>
        <w:t>, asigurându-se, în același timp, că își poate apăra interesele în sectoare strategice.</w:t>
      </w:r>
    </w:p>
    <w:p w:rsidR="00CB2B59" w:rsidRDefault="00034D70">
      <w:pPr>
        <w:spacing w:line="264"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În alte domenii, Europa se confruntă însă cu un deficit de inovare. Acest lucru </w:t>
      </w:r>
      <w:r>
        <w:rPr>
          <w:rFonts w:ascii="Times New Roman" w:hAnsi="Times New Roman"/>
          <w:noProof/>
          <w:sz w:val="24"/>
          <w:szCs w:val="24"/>
          <w:lang w:val="ro-RO"/>
        </w:rPr>
        <w:t>nu este cauzat de o lipsă de idei sau de întreprinderi nou-înființate: problema este mai degrabă o lipsă de extindere și difuzare, inovațiile nefiind întotdeauna traduse în noi oportunități de piață și de creștere. Și investițiile din industrie în domeniul</w:t>
      </w:r>
      <w:r>
        <w:rPr>
          <w:rFonts w:ascii="Times New Roman" w:hAnsi="Times New Roman"/>
          <w:noProof/>
          <w:sz w:val="24"/>
          <w:szCs w:val="24"/>
          <w:lang w:val="ro-RO"/>
        </w:rPr>
        <w:t xml:space="preserve"> cercetării și inovării trebuie să sporească. UE este depășită de China și Statele Unite în ceea ce privește nivelurile investițiilor în tehnologiile care urmează să predomine în viitor. </w:t>
      </w:r>
    </w:p>
    <w:p w:rsidR="00CB2B59" w:rsidRDefault="00034D70">
      <w:pPr>
        <w:spacing w:line="264" w:lineRule="auto"/>
        <w:jc w:val="both"/>
        <w:rPr>
          <w:rFonts w:ascii="Times New Roman" w:hAnsi="Times New Roman" w:cs="Times New Roman"/>
          <w:noProof/>
          <w:sz w:val="24"/>
          <w:szCs w:val="24"/>
          <w:lang w:val="ro-RO"/>
        </w:rPr>
      </w:pPr>
      <w:r>
        <w:rPr>
          <w:rFonts w:ascii="Times New Roman" w:hAnsi="Times New Roman"/>
          <w:noProof/>
          <w:sz w:val="24"/>
          <w:szCs w:val="24"/>
          <w:lang w:val="ro-RO"/>
        </w:rPr>
        <w:t>Pentru a-și valorifica la maximum potențialul și pentru a depăși obs</w:t>
      </w:r>
      <w:r>
        <w:rPr>
          <w:rFonts w:ascii="Times New Roman" w:hAnsi="Times New Roman"/>
          <w:noProof/>
          <w:sz w:val="24"/>
          <w:szCs w:val="24"/>
          <w:lang w:val="ro-RO"/>
        </w:rPr>
        <w:t>tacolele, Europa trebuie să își concentreze abordarea pe trei niveluri. În primul rând, sunt necesare investiții substanțiale în cercetarea științifică și tehnologică, cu accent pe marile provocări societale și industriale, cum ar fi securitatea, schimbări</w:t>
      </w:r>
      <w:r>
        <w:rPr>
          <w:rFonts w:ascii="Times New Roman" w:hAnsi="Times New Roman"/>
          <w:noProof/>
          <w:sz w:val="24"/>
          <w:szCs w:val="24"/>
          <w:lang w:val="ro-RO"/>
        </w:rPr>
        <w:t xml:space="preserve">le climatice și impactul îmbătrânirii populației. În al doilea rând, mediul de afaceri trebuie să fie mai favorabil inovării și mai puțin reticent în a-și asuma riscuri. În al treilea rând, cetățenii europeni trebuie să fie sprijiniți în trecerea lor prin </w:t>
      </w:r>
      <w:r>
        <w:rPr>
          <w:rFonts w:ascii="Times New Roman" w:hAnsi="Times New Roman"/>
          <w:noProof/>
          <w:sz w:val="24"/>
          <w:szCs w:val="24"/>
          <w:lang w:val="ro-RO"/>
        </w:rPr>
        <w:t>ceea ce va fi o tranziție rapidă și, pentru unii, turbulentă.</w:t>
      </w:r>
    </w:p>
    <w:p w:rsidR="00CB2B59" w:rsidRDefault="00034D70">
      <w:pPr>
        <w:spacing w:line="264" w:lineRule="auto"/>
        <w:jc w:val="both"/>
        <w:rPr>
          <w:rFonts w:ascii="Times New Roman" w:hAnsi="Times New Roman" w:cs="Times New Roman"/>
          <w:noProof/>
          <w:sz w:val="24"/>
          <w:szCs w:val="24"/>
          <w:lang w:val="ro-RO"/>
        </w:rPr>
      </w:pPr>
      <w:r>
        <w:rPr>
          <w:rFonts w:ascii="Times New Roman" w:hAnsi="Times New Roman"/>
          <w:noProof/>
          <w:sz w:val="24"/>
          <w:szCs w:val="24"/>
          <w:lang w:val="ro-RO"/>
        </w:rPr>
        <w:t>Ș</w:t>
      </w:r>
      <w:r>
        <w:rPr>
          <w:rFonts w:ascii="Times New Roman" w:hAnsi="Times New Roman"/>
          <w:noProof/>
          <w:sz w:val="24"/>
          <w:szCs w:val="24"/>
          <w:lang w:val="ro-RO"/>
        </w:rPr>
        <w:t xml:space="preserve">ansa Europei de a conduce următorul val de inovare va depinde de capacitatea noastră de a elabora mixul potrivit de politici și instrumente. Este esențial pentru </w:t>
      </w:r>
      <w:r>
        <w:rPr>
          <w:rFonts w:ascii="Times New Roman" w:hAnsi="Times New Roman" w:cs="Times New Roman"/>
          <w:noProof/>
          <w:sz w:val="24"/>
          <w:szCs w:val="24"/>
          <w:lang w:val="ro-RO"/>
        </w:rPr>
        <w:t xml:space="preserve">Europa să sprijine dezvoltarea </w:t>
      </w:r>
      <w:r>
        <w:rPr>
          <w:rFonts w:ascii="Times New Roman" w:hAnsi="Times New Roman" w:cs="Times New Roman"/>
          <w:noProof/>
          <w:sz w:val="24"/>
          <w:szCs w:val="24"/>
          <w:lang w:val="ro-RO"/>
        </w:rPr>
        <w:t>competitivă a lanțurilor valorice strategice ale viitorului</w:t>
      </w:r>
      <w:r>
        <w:rPr>
          <w:rStyle w:val="FootnoteReference"/>
          <w:rFonts w:ascii="Times New Roman" w:hAnsi="Times New Roman" w:cs="Times New Roman"/>
          <w:noProof/>
          <w:sz w:val="24"/>
          <w:szCs w:val="24"/>
          <w:lang w:val="ro-RO"/>
        </w:rPr>
        <w:footnoteReference w:id="5"/>
      </w:r>
      <w:r>
        <w:rPr>
          <w:rFonts w:ascii="Times New Roman" w:hAnsi="Times New Roman" w:cs="Times New Roman"/>
          <w:noProof/>
          <w:sz w:val="24"/>
          <w:szCs w:val="24"/>
          <w:lang w:val="ro-RO"/>
        </w:rPr>
        <w:t xml:space="preserve">. </w:t>
      </w:r>
      <w:r>
        <w:rPr>
          <w:rFonts w:ascii="Times New Roman" w:hAnsi="Times New Roman"/>
          <w:noProof/>
          <w:sz w:val="24"/>
          <w:szCs w:val="24"/>
          <w:lang w:val="ro-RO"/>
        </w:rPr>
        <w:t>Piața unică digitală</w:t>
      </w:r>
      <w:r>
        <w:rPr>
          <w:rStyle w:val="FootnoteReference"/>
          <w:rFonts w:ascii="Times New Roman" w:hAnsi="Times New Roman" w:cs="Times New Roman"/>
          <w:noProof/>
          <w:sz w:val="24"/>
          <w:szCs w:val="24"/>
          <w:lang w:val="ro-RO"/>
        </w:rPr>
        <w:footnoteReference w:id="6"/>
      </w:r>
      <w:r>
        <w:rPr>
          <w:rFonts w:ascii="Times New Roman" w:hAnsi="Times New Roman"/>
          <w:noProof/>
          <w:sz w:val="24"/>
          <w:szCs w:val="24"/>
          <w:lang w:val="ro-RO"/>
        </w:rPr>
        <w:t>, uniunea energetică</w:t>
      </w:r>
      <w:r>
        <w:rPr>
          <w:rStyle w:val="FootnoteReference"/>
          <w:rFonts w:ascii="Times New Roman" w:hAnsi="Times New Roman" w:cs="Times New Roman"/>
          <w:noProof/>
          <w:sz w:val="24"/>
          <w:szCs w:val="24"/>
          <w:lang w:val="ro-RO"/>
        </w:rPr>
        <w:footnoteReference w:id="7"/>
      </w:r>
      <w:r>
        <w:rPr>
          <w:rFonts w:ascii="Times New Roman" w:hAnsi="Times New Roman"/>
          <w:noProof/>
          <w:sz w:val="24"/>
          <w:szCs w:val="24"/>
          <w:lang w:val="ro-RO"/>
        </w:rPr>
        <w:t>, strategiile industriale</w:t>
      </w:r>
      <w:r>
        <w:rPr>
          <w:rStyle w:val="FootnoteReference"/>
          <w:rFonts w:ascii="Times New Roman" w:hAnsi="Times New Roman" w:cs="Times New Roman"/>
          <w:noProof/>
          <w:sz w:val="24"/>
          <w:szCs w:val="24"/>
          <w:lang w:val="ro-RO"/>
        </w:rPr>
        <w:footnoteReference w:id="8"/>
      </w:r>
      <w:r>
        <w:rPr>
          <w:rFonts w:ascii="Times New Roman" w:hAnsi="Times New Roman"/>
          <w:noProof/>
          <w:sz w:val="24"/>
          <w:szCs w:val="24"/>
          <w:lang w:val="ro-RO"/>
        </w:rPr>
        <w:t xml:space="preserve"> și politica noastră în domeniul concurenței ne oferă un cadru solid. Instrumente cum ar fi Planul de investiții</w:t>
      </w:r>
      <w:r>
        <w:rPr>
          <w:rStyle w:val="FootnoteReference"/>
          <w:rFonts w:ascii="Times New Roman" w:hAnsi="Times New Roman" w:cs="Times New Roman"/>
          <w:noProof/>
          <w:sz w:val="24"/>
          <w:szCs w:val="24"/>
          <w:lang w:val="ro-RO"/>
        </w:rPr>
        <w:footnoteReference w:id="9"/>
      </w:r>
      <w:r>
        <w:rPr>
          <w:rFonts w:ascii="Times New Roman" w:hAnsi="Times New Roman"/>
          <w:noProof/>
          <w:sz w:val="24"/>
          <w:szCs w:val="24"/>
          <w:lang w:val="ro-RO"/>
        </w:rPr>
        <w:t>, Programul p</w:t>
      </w:r>
      <w:r>
        <w:rPr>
          <w:rFonts w:ascii="Times New Roman" w:hAnsi="Times New Roman"/>
          <w:noProof/>
          <w:sz w:val="24"/>
          <w:szCs w:val="24"/>
          <w:lang w:val="ro-RO"/>
        </w:rPr>
        <w:t>entru cercetare și inovare „Orizont 2020”</w:t>
      </w:r>
      <w:r>
        <w:rPr>
          <w:rStyle w:val="FootnoteReference"/>
          <w:rFonts w:ascii="Times New Roman" w:hAnsi="Times New Roman" w:cs="Times New Roman"/>
          <w:noProof/>
          <w:sz w:val="24"/>
          <w:szCs w:val="24"/>
          <w:lang w:val="ro-RO"/>
        </w:rPr>
        <w:footnoteReference w:id="10"/>
      </w:r>
      <w:r>
        <w:rPr>
          <w:rFonts w:ascii="Times New Roman" w:hAnsi="Times New Roman"/>
          <w:noProof/>
          <w:sz w:val="24"/>
          <w:szCs w:val="24"/>
          <w:lang w:val="ro-RO"/>
        </w:rPr>
        <w:t xml:space="preserve"> și fondurile structurale și de investiții europene</w:t>
      </w:r>
      <w:r>
        <w:rPr>
          <w:rStyle w:val="FootnoteReference"/>
          <w:rFonts w:ascii="Times New Roman" w:hAnsi="Times New Roman" w:cs="Times New Roman"/>
          <w:noProof/>
          <w:sz w:val="24"/>
          <w:szCs w:val="24"/>
          <w:lang w:val="ro-RO"/>
        </w:rPr>
        <w:footnoteReference w:id="11"/>
      </w:r>
      <w:r>
        <w:rPr>
          <w:rFonts w:ascii="Times New Roman" w:hAnsi="Times New Roman"/>
          <w:noProof/>
          <w:sz w:val="24"/>
          <w:szCs w:val="24"/>
          <w:lang w:val="ro-RO"/>
        </w:rPr>
        <w:t xml:space="preserve"> au o experiență dovedită. Această bază a contribuit la poziționarea Europei în prima linie a multor domenii ale științei și tehnologiei mondiale și a creat condi</w:t>
      </w:r>
      <w:r>
        <w:rPr>
          <w:rFonts w:ascii="Times New Roman" w:hAnsi="Times New Roman"/>
          <w:noProof/>
          <w:sz w:val="24"/>
          <w:szCs w:val="24"/>
          <w:lang w:val="ro-RO"/>
        </w:rPr>
        <w:t>ț</w:t>
      </w:r>
      <w:r>
        <w:rPr>
          <w:rFonts w:ascii="Times New Roman" w:hAnsi="Times New Roman"/>
          <w:noProof/>
          <w:sz w:val="24"/>
          <w:szCs w:val="24"/>
          <w:lang w:val="ro-RO"/>
        </w:rPr>
        <w:t xml:space="preserve">ii mai bune pentru ca întreprinderile să inoveze și să concureze. </w:t>
      </w:r>
    </w:p>
    <w:p w:rsidR="00CB2B59" w:rsidRDefault="00034D70">
      <w:pPr>
        <w:spacing w:after="240" w:line="264"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Acum este vremea să trecem la nivelul următor. Și putem face acest lucru doar dacă adoptăm o abordare cu adevărat europeană, colaborând dincolo de frontiere și acționând la scara întregii </w:t>
      </w:r>
      <w:r>
        <w:rPr>
          <w:rFonts w:ascii="Times New Roman" w:hAnsi="Times New Roman"/>
          <w:noProof/>
          <w:sz w:val="24"/>
          <w:szCs w:val="24"/>
          <w:lang w:val="ro-RO"/>
        </w:rPr>
        <w:t>Uniuni. Succesul va depinde de capacitatea noastră de a folosi împreună, în mod eficace, capitalul privat și investițiile publice. Aceasta va depinde de cadrele de reglementare europene și naționale adaptate exigențelor viitorului care să fie favorabile in</w:t>
      </w:r>
      <w:r>
        <w:rPr>
          <w:rFonts w:ascii="Times New Roman" w:hAnsi="Times New Roman"/>
          <w:noProof/>
          <w:sz w:val="24"/>
          <w:szCs w:val="24"/>
          <w:lang w:val="ro-RO"/>
        </w:rPr>
        <w:t>ovării. Va depinde de o piață unică în care concurența eficace și echitabilă va recompensa și va stimula investițiile private în inovare. Va depinde de capacitatea de a stimula universitățile europene să devină în mai mare măsură antreprenoriale. Va depind</w:t>
      </w:r>
      <w:r>
        <w:rPr>
          <w:rFonts w:ascii="Times New Roman" w:hAnsi="Times New Roman"/>
          <w:noProof/>
          <w:sz w:val="24"/>
          <w:szCs w:val="24"/>
          <w:lang w:val="ro-RO"/>
        </w:rPr>
        <w:t>e de asigurarea faptului că fiecare stat membru și fiecare regiune din Europa pot contribui la o amplificare a excelenței în materie de știință și inovare. Toți acești factori se află sub controlul colectiv al Uniunii noastre; acum este momentul să ne luăm</w:t>
      </w:r>
      <w:r>
        <w:rPr>
          <w:rFonts w:ascii="Times New Roman" w:hAnsi="Times New Roman"/>
          <w:noProof/>
          <w:sz w:val="24"/>
          <w:szCs w:val="24"/>
          <w:lang w:val="ro-RO"/>
        </w:rPr>
        <w:t xml:space="preserve"> viitorul în propriile mâini.</w:t>
      </w:r>
    </w:p>
    <w:p w:rsidR="00CB2B59" w:rsidRDefault="00034D70">
      <w:pPr>
        <w:keepNext/>
        <w:spacing w:before="240" w:line="240" w:lineRule="auto"/>
        <w:rPr>
          <w:b/>
          <w:noProof/>
          <w:lang w:val="ro-RO"/>
        </w:rPr>
      </w:pPr>
      <w:r>
        <w:rPr>
          <w:rFonts w:ascii="Times New Roman" w:hAnsi="Times New Roman"/>
          <w:b/>
          <w:noProof/>
          <w:sz w:val="24"/>
          <w:szCs w:val="24"/>
          <w:lang w:val="ro-RO"/>
        </w:rPr>
        <w:t>2. O agendă reînnoită pentru un ecosistem european de cercetare și inovare mai puternic</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Cercetarea și inovarea sunt prezente în întreaga noastră societate, cu diferiți actori, diferite instrumente și diferite politici </w:t>
      </w:r>
      <w:r>
        <w:rPr>
          <w:rFonts w:ascii="Times New Roman" w:hAnsi="Times New Roman"/>
          <w:noProof/>
          <w:sz w:val="24"/>
          <w:szCs w:val="24"/>
          <w:lang w:val="ro-RO"/>
        </w:rPr>
        <w:t>implicate la nivel local, național și european. Europa trebuie să apropie mai mult acești factori diferiți și aceste niveluri diferite de guvernanță pentru a crea un mediu favorabil cercetării și inovării. Acest lucru include conectarea diferitelor ecosist</w:t>
      </w:r>
      <w:r>
        <w:rPr>
          <w:rFonts w:ascii="Times New Roman" w:hAnsi="Times New Roman"/>
          <w:noProof/>
          <w:sz w:val="24"/>
          <w:szCs w:val="24"/>
          <w:lang w:val="ro-RO"/>
        </w:rPr>
        <w:t>eme locale și regionale de cercetare și inovare pentru a încuraja inovarea de-a lungul lanțurilor valorice ale UE.</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La nivel european, reglementarea, cooperarea transfrontalieră și bugetul UE pot fi pârghii de politică eficace. Politicile în domenii cum ar </w:t>
      </w:r>
      <w:r>
        <w:rPr>
          <w:rFonts w:ascii="Times New Roman" w:hAnsi="Times New Roman"/>
          <w:noProof/>
          <w:sz w:val="24"/>
          <w:szCs w:val="24"/>
          <w:lang w:val="ro-RO"/>
        </w:rPr>
        <w:t>fi energia, transporturile și industria contribuie la o economie durabilă, cu emisii reduse de carbon. Dezvoltarea economică prin inovare este prevăzută în politicile de coeziune și în politicile agricole. S-au elaborat programe specifice, menite să contri</w:t>
      </w:r>
      <w:r>
        <w:rPr>
          <w:rFonts w:ascii="Times New Roman" w:hAnsi="Times New Roman"/>
          <w:noProof/>
          <w:sz w:val="24"/>
          <w:szCs w:val="24"/>
          <w:lang w:val="ro-RO"/>
        </w:rPr>
        <w:t>buie la stimularea revoluției digitale în UE. Cercetarea și inovarea se află în centrul întregii game de politici educaționale și de formare. Piața internă și politicile în materie de concurență sunt concepute să sprijine și să capaciteze firmele inovatoar</w:t>
      </w:r>
      <w:r>
        <w:rPr>
          <w:rFonts w:ascii="Times New Roman" w:hAnsi="Times New Roman"/>
          <w:noProof/>
          <w:sz w:val="24"/>
          <w:szCs w:val="24"/>
          <w:lang w:val="ro-RO"/>
        </w:rPr>
        <w:t>e, în special întreprinderile mici și mijlocii, și să le ajute să se extindă și să dezvolte noi piețe.</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Cu toate acestea, există lacune și probleme emergente, în care Europa poate și ar trebuie să aducă îmbunătățiri. Prezenta comunicare subliniază progresel</w:t>
      </w:r>
      <w:r>
        <w:rPr>
          <w:rFonts w:ascii="Times New Roman" w:hAnsi="Times New Roman"/>
          <w:noProof/>
          <w:sz w:val="24"/>
          <w:szCs w:val="24"/>
          <w:lang w:val="ro-RO"/>
        </w:rPr>
        <w:t>e înregistrate și propune noi acțiuni în care Uniunea Europeană poate să aibă o contribuție importantă.</w:t>
      </w:r>
    </w:p>
    <w:p w:rsidR="00CB2B59" w:rsidRDefault="00034D70">
      <w:pPr>
        <w:keepNext/>
        <w:spacing w:line="240" w:lineRule="auto"/>
        <w:rPr>
          <w:rFonts w:ascii="Times New Roman" w:hAnsi="Times New Roman" w:cs="Times New Roman"/>
          <w:b/>
          <w:noProof/>
          <w:sz w:val="24"/>
          <w:szCs w:val="24"/>
          <w:lang w:val="ro-RO"/>
        </w:rPr>
      </w:pPr>
      <w:r>
        <w:rPr>
          <w:rFonts w:ascii="Times New Roman" w:hAnsi="Times New Roman"/>
          <w:b/>
          <w:noProof/>
          <w:sz w:val="24"/>
          <w:szCs w:val="24"/>
          <w:lang w:val="ro-RO"/>
        </w:rPr>
        <w:t>2.1 Asigurarea investițiilor publice esențiale și stimularea investițiilor private</w:t>
      </w:r>
    </w:p>
    <w:p w:rsidR="00CB2B59" w:rsidRDefault="00034D70">
      <w:pPr>
        <w:spacing w:after="12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Dovezile confirmă faptul că amploarea investițiilor private și public</w:t>
      </w:r>
      <w:r>
        <w:rPr>
          <w:rFonts w:ascii="Times New Roman" w:hAnsi="Times New Roman"/>
          <w:noProof/>
          <w:sz w:val="24"/>
          <w:szCs w:val="24"/>
          <w:lang w:val="ro-RO"/>
        </w:rPr>
        <w:t>e în cercetare și inovare are un impact direct în creșterea productivității și stimularea competitivității la nivel mondial</w:t>
      </w:r>
      <w:r>
        <w:rPr>
          <w:rStyle w:val="FootnoteReference"/>
          <w:rFonts w:ascii="Times New Roman" w:hAnsi="Times New Roman" w:cs="Times New Roman"/>
          <w:noProof/>
          <w:sz w:val="24"/>
          <w:szCs w:val="24"/>
          <w:lang w:val="ro-RO"/>
        </w:rPr>
        <w:footnoteReference w:id="12"/>
      </w:r>
      <w:r>
        <w:rPr>
          <w:rFonts w:ascii="Times New Roman" w:hAnsi="Times New Roman"/>
          <w:noProof/>
          <w:sz w:val="24"/>
          <w:szCs w:val="24"/>
          <w:lang w:val="ro-RO"/>
        </w:rPr>
        <w:t>. Cu toate acestea, UE este departe de obiectivul global de investiții în cercetare și dezvoltare de 3 % din produsul intern brut</w:t>
      </w:r>
      <w:r>
        <w:rPr>
          <w:rStyle w:val="FootnoteReference"/>
          <w:rFonts w:ascii="Times New Roman" w:hAnsi="Times New Roman" w:cs="Times New Roman"/>
          <w:noProof/>
          <w:sz w:val="24"/>
          <w:szCs w:val="24"/>
          <w:lang w:val="ro-RO"/>
        </w:rPr>
        <w:footnoteReference w:id="13"/>
      </w:r>
      <w:r>
        <w:rPr>
          <w:rFonts w:ascii="Times New Roman" w:hAnsi="Times New Roman"/>
          <w:noProof/>
          <w:sz w:val="24"/>
          <w:szCs w:val="24"/>
          <w:lang w:val="ro-RO"/>
        </w:rPr>
        <w:t>.</w:t>
      </w:r>
    </w:p>
    <w:p w:rsidR="00CB2B59" w:rsidRDefault="00034D70">
      <w:pPr>
        <w:keepNext/>
        <w:spacing w:after="120" w:line="240" w:lineRule="auto"/>
        <w:jc w:val="center"/>
        <w:rPr>
          <w:rFonts w:ascii="Times New Roman" w:hAnsi="Times New Roman" w:cs="Times New Roman"/>
          <w:b/>
          <w:noProof/>
          <w:sz w:val="24"/>
          <w:szCs w:val="24"/>
          <w:lang w:val="ro-RO"/>
        </w:rPr>
      </w:pPr>
      <w:r>
        <w:rPr>
          <w:rFonts w:ascii="Times New Roman" w:hAnsi="Times New Roman"/>
          <w:b/>
          <w:noProof/>
          <w:lang w:val="ro-RO"/>
        </w:rPr>
        <w:t>Intensitatea cercetării și dezvoltării în 2016</w:t>
      </w:r>
      <w:r>
        <w:rPr>
          <w:rStyle w:val="FootnoteReference"/>
          <w:rFonts w:ascii="Times New Roman" w:hAnsi="Times New Roman" w:cs="Times New Roman"/>
          <w:noProof/>
          <w:sz w:val="24"/>
          <w:szCs w:val="24"/>
          <w:lang w:val="ro-RO"/>
        </w:rPr>
        <w:footnoteReference w:id="14"/>
      </w:r>
    </w:p>
    <w:p w:rsidR="00CB2B59" w:rsidRDefault="00034D70">
      <w:pPr>
        <w:spacing w:line="240" w:lineRule="auto"/>
        <w:jc w:val="both"/>
        <w:rPr>
          <w:rFonts w:ascii="Times New Roman" w:hAnsi="Times New Roman" w:cs="Times New Roman"/>
          <w:noProof/>
          <w:lang w:val="ro-RO"/>
        </w:rPr>
      </w:pPr>
      <w:r>
        <w:rPr>
          <w:noProof/>
          <w:lang w:eastAsia="en-GB"/>
        </w:rPr>
        <w:drawing>
          <wp:inline distT="0" distB="0" distL="0" distR="0" wp14:anchorId="5CF6D931" wp14:editId="04F7219E">
            <wp:extent cx="5637530" cy="2600325"/>
            <wp:effectExtent l="0" t="0" r="127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37530" cy="2600325"/>
                    </a:xfrm>
                    <a:prstGeom prst="rect">
                      <a:avLst/>
                    </a:prstGeom>
                    <a:noFill/>
                    <a:ln>
                      <a:noFill/>
                    </a:ln>
                  </pic:spPr>
                </pic:pic>
              </a:graphicData>
            </a:graphic>
          </wp:inline>
        </w:drawing>
      </w:r>
    </w:p>
    <w:p w:rsidR="00CB2B59" w:rsidRDefault="00034D70">
      <w:pPr>
        <w:keepNext/>
        <w:spacing w:before="240"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t>Investiții publice</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Marea majoritate a investițiilor publice în cercetare și inovare în UE - în jur de 85 % - provine din finanțarea națională. Deși finanțarea publică pentru cercetare și dezvoltare în UE și</w:t>
      </w:r>
      <w:r>
        <w:rPr>
          <w:rFonts w:ascii="Times New Roman" w:hAnsi="Times New Roman"/>
          <w:noProof/>
          <w:sz w:val="24"/>
          <w:szCs w:val="24"/>
          <w:lang w:val="ro-RO"/>
        </w:rPr>
        <w:t xml:space="preserve"> în statele sale membre este, în general, comparabilă cu cea din SUA, există diferențe mari între statele membre. Stimularea investițiilor publice în cercetare și inovare în statele membre care alocă fonduri reduse acestora este esențială pentru a maximiza</w:t>
      </w:r>
      <w:r>
        <w:rPr>
          <w:rFonts w:ascii="Times New Roman" w:hAnsi="Times New Roman"/>
          <w:noProof/>
          <w:sz w:val="24"/>
          <w:szCs w:val="24"/>
          <w:lang w:val="ro-RO"/>
        </w:rPr>
        <w:t xml:space="preserve"> potențialul de inovare al UE.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La nivel european, actualul program al UE pentru cercetare și inovare, </w:t>
      </w:r>
      <w:r>
        <w:rPr>
          <w:rFonts w:ascii="Times New Roman" w:hAnsi="Times New Roman"/>
          <w:b/>
          <w:noProof/>
          <w:sz w:val="24"/>
          <w:szCs w:val="24"/>
          <w:lang w:val="ro-RO"/>
        </w:rPr>
        <w:t>„Orizont 2020”</w:t>
      </w:r>
      <w:r>
        <w:rPr>
          <w:rFonts w:ascii="Times New Roman" w:hAnsi="Times New Roman"/>
          <w:noProof/>
          <w:sz w:val="24"/>
          <w:szCs w:val="24"/>
          <w:lang w:val="ro-RO"/>
        </w:rPr>
        <w:t>, a avut un mare succes, plasând UE ca lider mondial în multe domenii ale științei și tehnologiei</w:t>
      </w:r>
      <w:r>
        <w:rPr>
          <w:rStyle w:val="FootnoteReference"/>
          <w:rFonts w:ascii="Times New Roman" w:hAnsi="Times New Roman" w:cs="Times New Roman"/>
          <w:noProof/>
          <w:sz w:val="24"/>
          <w:szCs w:val="24"/>
          <w:lang w:val="ro-RO"/>
        </w:rPr>
        <w:footnoteReference w:id="15"/>
      </w:r>
      <w:r>
        <w:rPr>
          <w:rFonts w:ascii="Times New Roman" w:hAnsi="Times New Roman"/>
          <w:noProof/>
          <w:sz w:val="24"/>
          <w:szCs w:val="24"/>
          <w:lang w:val="ro-RO"/>
        </w:rPr>
        <w:t>. Cu un buget total de peste 13,1 miliard</w:t>
      </w:r>
      <w:r>
        <w:rPr>
          <w:rFonts w:ascii="Times New Roman" w:hAnsi="Times New Roman"/>
          <w:noProof/>
          <w:sz w:val="24"/>
          <w:szCs w:val="24"/>
          <w:lang w:val="ro-RO"/>
        </w:rPr>
        <w:t xml:space="preserve">e EUR pentru perioada 2014-2020, </w:t>
      </w:r>
      <w:r>
        <w:rPr>
          <w:rFonts w:ascii="Times New Roman" w:hAnsi="Times New Roman"/>
          <w:b/>
          <w:noProof/>
          <w:sz w:val="24"/>
          <w:szCs w:val="24"/>
          <w:lang w:val="ro-RO"/>
        </w:rPr>
        <w:t>Consiliul European pentru Cercetare</w:t>
      </w:r>
      <w:r>
        <w:rPr>
          <w:rStyle w:val="FootnoteReference"/>
          <w:rFonts w:ascii="Times New Roman" w:hAnsi="Times New Roman" w:cs="Times New Roman"/>
          <w:noProof/>
          <w:sz w:val="24"/>
          <w:szCs w:val="24"/>
          <w:lang w:val="ro-RO"/>
        </w:rPr>
        <w:footnoteReference w:id="16"/>
      </w:r>
      <w:r>
        <w:rPr>
          <w:rFonts w:ascii="Times New Roman" w:hAnsi="Times New Roman"/>
          <w:noProof/>
          <w:sz w:val="24"/>
          <w:szCs w:val="24"/>
          <w:lang w:val="ro-RO"/>
        </w:rPr>
        <w:t xml:space="preserve"> a contribuit la stimularea excelenței științifice în cercetarea de frontieră și la atragerea unora dintre cele mai mari talente în Europa</w:t>
      </w:r>
      <w:r>
        <w:rPr>
          <w:rStyle w:val="FootnoteReference"/>
          <w:rFonts w:ascii="Times New Roman" w:hAnsi="Times New Roman" w:cs="Times New Roman"/>
          <w:noProof/>
          <w:sz w:val="24"/>
          <w:szCs w:val="24"/>
          <w:lang w:val="ro-RO"/>
        </w:rPr>
        <w:footnoteReference w:id="17"/>
      </w:r>
      <w:r>
        <w:rPr>
          <w:rFonts w:ascii="Times New Roman" w:hAnsi="Times New Roman"/>
          <w:noProof/>
          <w:sz w:val="24"/>
          <w:szCs w:val="24"/>
          <w:lang w:val="ro-RO"/>
        </w:rPr>
        <w:t xml:space="preserve">. Cu un buget de 6,2 miliarde EUR, </w:t>
      </w:r>
      <w:r>
        <w:rPr>
          <w:rFonts w:ascii="Times New Roman" w:hAnsi="Times New Roman"/>
          <w:b/>
          <w:noProof/>
          <w:sz w:val="24"/>
          <w:szCs w:val="24"/>
          <w:lang w:val="ro-RO"/>
        </w:rPr>
        <w:t>acțiunile</w:t>
      </w:r>
      <w:r>
        <w:rPr>
          <w:rFonts w:ascii="Times New Roman" w:hAnsi="Times New Roman"/>
          <w:noProof/>
          <w:sz w:val="24"/>
          <w:szCs w:val="24"/>
          <w:lang w:val="ro-RO"/>
        </w:rPr>
        <w:t xml:space="preserve"> „</w:t>
      </w:r>
      <w:r>
        <w:rPr>
          <w:rFonts w:ascii="Times New Roman" w:hAnsi="Times New Roman"/>
          <w:b/>
          <w:noProof/>
          <w:sz w:val="24"/>
          <w:szCs w:val="24"/>
          <w:lang w:val="ro-RO"/>
        </w:rPr>
        <w:t>Marie Sklodowska Curie”</w:t>
      </w:r>
      <w:r>
        <w:rPr>
          <w:rFonts w:ascii="Times New Roman" w:hAnsi="Times New Roman"/>
          <w:noProof/>
          <w:sz w:val="24"/>
          <w:szCs w:val="24"/>
          <w:lang w:val="ro-RO"/>
        </w:rPr>
        <w:t xml:space="preserve"> i-au sprijinit pe cercetătorii de înaltă calitate pe tot parcursul carierei acestora</w:t>
      </w:r>
      <w:r>
        <w:rPr>
          <w:rStyle w:val="FootnoteReference"/>
          <w:rFonts w:ascii="Times New Roman" w:hAnsi="Times New Roman" w:cs="Times New Roman"/>
          <w:noProof/>
          <w:sz w:val="24"/>
          <w:szCs w:val="24"/>
          <w:lang w:val="ro-RO"/>
        </w:rPr>
        <w:footnoteReference w:id="18"/>
      </w:r>
      <w:r>
        <w:rPr>
          <w:rFonts w:ascii="Times New Roman" w:hAnsi="Times New Roman"/>
          <w:noProof/>
          <w:sz w:val="24"/>
          <w:szCs w:val="24"/>
          <w:lang w:val="ro-RO"/>
        </w:rPr>
        <w:t xml:space="preserve">.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b/>
          <w:noProof/>
          <w:sz w:val="24"/>
          <w:szCs w:val="24"/>
          <w:lang w:val="ro-RO"/>
        </w:rPr>
        <w:t>Planul de investiții pentru Europa</w:t>
      </w:r>
      <w:r>
        <w:rPr>
          <w:rFonts w:ascii="Times New Roman" w:hAnsi="Times New Roman"/>
          <w:noProof/>
          <w:sz w:val="24"/>
          <w:szCs w:val="24"/>
          <w:lang w:val="ro-RO"/>
        </w:rPr>
        <w:t xml:space="preserve"> a sprijinit în special proiectele inovatoare și întreprinderile mici și mijlocii</w:t>
      </w:r>
      <w:r>
        <w:rPr>
          <w:rStyle w:val="FootnoteReference"/>
          <w:rFonts w:ascii="Times New Roman" w:hAnsi="Times New Roman" w:cs="Times New Roman"/>
          <w:noProof/>
          <w:sz w:val="24"/>
          <w:szCs w:val="24"/>
          <w:lang w:val="ro-RO"/>
        </w:rPr>
        <w:footnoteReference w:id="19"/>
      </w:r>
      <w:r>
        <w:rPr>
          <w:rFonts w:ascii="Times New Roman" w:hAnsi="Times New Roman"/>
          <w:noProof/>
          <w:sz w:val="24"/>
          <w:szCs w:val="24"/>
          <w:lang w:val="ro-RO"/>
        </w:rPr>
        <w:t xml:space="preserve">. </w:t>
      </w:r>
      <w:r>
        <w:rPr>
          <w:rFonts w:ascii="Times New Roman" w:hAnsi="Times New Roman"/>
          <w:b/>
          <w:noProof/>
          <w:sz w:val="24"/>
          <w:szCs w:val="24"/>
          <w:lang w:val="ro-RO"/>
        </w:rPr>
        <w:t>Fondurile structurale și d</w:t>
      </w:r>
      <w:r>
        <w:rPr>
          <w:rFonts w:ascii="Times New Roman" w:hAnsi="Times New Roman"/>
          <w:b/>
          <w:noProof/>
          <w:sz w:val="24"/>
          <w:szCs w:val="24"/>
          <w:lang w:val="ro-RO"/>
        </w:rPr>
        <w:t>e investiții europene</w:t>
      </w:r>
      <w:r>
        <w:rPr>
          <w:rFonts w:ascii="Times New Roman" w:hAnsi="Times New Roman"/>
          <w:noProof/>
          <w:sz w:val="24"/>
          <w:szCs w:val="24"/>
          <w:lang w:val="ro-RO"/>
        </w:rPr>
        <w:t xml:space="preserve"> au fost vitale pentru investițiile publice în cercetare și inovare și pentru răspândirea regională a acestora</w:t>
      </w:r>
      <w:r>
        <w:rPr>
          <w:rStyle w:val="FootnoteReference"/>
          <w:rFonts w:ascii="Times New Roman" w:hAnsi="Times New Roman" w:cs="Times New Roman"/>
          <w:noProof/>
          <w:sz w:val="24"/>
          <w:szCs w:val="24"/>
          <w:lang w:val="ro-RO"/>
        </w:rPr>
        <w:footnoteReference w:id="20"/>
      </w:r>
      <w:r>
        <w:rPr>
          <w:noProof/>
          <w:lang w:val="ro-RO"/>
        </w:rPr>
        <w:t>.</w:t>
      </w:r>
    </w:p>
    <w:p w:rsidR="00CB2B59" w:rsidRDefault="00034D70">
      <w:pPr>
        <w:spacing w:line="240" w:lineRule="auto"/>
        <w:jc w:val="both"/>
        <w:rPr>
          <w:rFonts w:ascii="Times New Roman" w:hAnsi="Times New Roman"/>
          <w:noProof/>
          <w:sz w:val="24"/>
          <w:szCs w:val="24"/>
          <w:lang w:val="ro-RO"/>
        </w:rPr>
      </w:pPr>
      <w:r>
        <w:rPr>
          <w:rFonts w:ascii="Times New Roman" w:hAnsi="Times New Roman"/>
          <w:noProof/>
          <w:sz w:val="24"/>
          <w:szCs w:val="24"/>
          <w:lang w:val="ro-RO"/>
        </w:rPr>
        <w:t xml:space="preserve">În propunerea sa din 2 mai 2018 privind </w:t>
      </w:r>
      <w:r>
        <w:rPr>
          <w:rFonts w:ascii="Times New Roman" w:hAnsi="Times New Roman"/>
          <w:b/>
          <w:noProof/>
          <w:sz w:val="24"/>
          <w:szCs w:val="24"/>
          <w:lang w:val="ro-RO"/>
        </w:rPr>
        <w:t>cadrul financiar multianual pentru perioada 2021-2027</w:t>
      </w:r>
      <w:r>
        <w:rPr>
          <w:rStyle w:val="FootnoteReference"/>
          <w:rFonts w:ascii="Times New Roman" w:hAnsi="Times New Roman" w:cs="Times New Roman"/>
          <w:noProof/>
          <w:sz w:val="24"/>
          <w:szCs w:val="24"/>
          <w:lang w:val="ro-RO"/>
        </w:rPr>
        <w:footnoteReference w:id="21"/>
      </w:r>
      <w:r>
        <w:rPr>
          <w:rFonts w:ascii="Times New Roman" w:hAnsi="Times New Roman"/>
          <w:noProof/>
          <w:sz w:val="24"/>
          <w:szCs w:val="24"/>
          <w:lang w:val="ro-RO"/>
        </w:rPr>
        <w:t>, Comisia a precizat că cerc</w:t>
      </w:r>
      <w:r>
        <w:rPr>
          <w:rFonts w:ascii="Times New Roman" w:hAnsi="Times New Roman"/>
          <w:noProof/>
          <w:sz w:val="24"/>
          <w:szCs w:val="24"/>
          <w:lang w:val="ro-RO"/>
        </w:rPr>
        <w:t xml:space="preserve">etarea și inovarea trebuie să rămână în continuare o prioritate esențială a UE. Comisia a propus majorarea investițiilor în cercetare și inovare prin alocarea a 100 de miliarde EUR pentru viitorul program </w:t>
      </w:r>
      <w:r>
        <w:rPr>
          <w:rFonts w:ascii="Times New Roman" w:hAnsi="Times New Roman"/>
          <w:b/>
          <w:noProof/>
          <w:sz w:val="24"/>
          <w:szCs w:val="24"/>
          <w:lang w:val="ro-RO"/>
        </w:rPr>
        <w:t xml:space="preserve">„Orizont Europa” </w:t>
      </w:r>
      <w:r>
        <w:rPr>
          <w:rFonts w:ascii="Times New Roman" w:hAnsi="Times New Roman"/>
          <w:noProof/>
          <w:sz w:val="24"/>
          <w:szCs w:val="24"/>
          <w:lang w:val="ro-RO"/>
        </w:rPr>
        <w:t>ș</w:t>
      </w:r>
      <w:r>
        <w:rPr>
          <w:rFonts w:ascii="Times New Roman" w:hAnsi="Times New Roman"/>
          <w:noProof/>
          <w:sz w:val="24"/>
          <w:szCs w:val="24"/>
          <w:lang w:val="ro-RO"/>
        </w:rPr>
        <w:t>i pentru</w:t>
      </w:r>
      <w:r>
        <w:rPr>
          <w:rFonts w:ascii="Times New Roman" w:hAnsi="Times New Roman"/>
          <w:b/>
          <w:noProof/>
          <w:sz w:val="24"/>
          <w:szCs w:val="24"/>
          <w:lang w:val="ro-RO"/>
        </w:rPr>
        <w:t xml:space="preserve"> Programul de cercetare ș</w:t>
      </w:r>
      <w:r>
        <w:rPr>
          <w:rFonts w:ascii="Times New Roman" w:hAnsi="Times New Roman"/>
          <w:b/>
          <w:noProof/>
          <w:sz w:val="24"/>
          <w:szCs w:val="24"/>
          <w:lang w:val="ro-RO"/>
        </w:rPr>
        <w:t>i formare Euratom</w:t>
      </w:r>
      <w:r>
        <w:rPr>
          <w:rFonts w:ascii="Times New Roman" w:hAnsi="Times New Roman"/>
          <w:noProof/>
          <w:sz w:val="24"/>
          <w:szCs w:val="24"/>
          <w:lang w:val="ro-RO"/>
        </w:rPr>
        <w:t xml:space="preserve">. De asemenea, Comisia a propus mobilizarea a aproximativ 11 miliarde EUR pentru instrumente de piață, inclusiv instrumente financiare și garanții bugetare, în cadrul unei secțiuni specifice a </w:t>
      </w:r>
      <w:r>
        <w:rPr>
          <w:rFonts w:ascii="Times New Roman" w:hAnsi="Times New Roman"/>
          <w:b/>
          <w:noProof/>
          <w:sz w:val="24"/>
          <w:szCs w:val="24"/>
          <w:lang w:val="ro-RO"/>
        </w:rPr>
        <w:t>Fondului InvestEU</w:t>
      </w:r>
      <w:r>
        <w:rPr>
          <w:rFonts w:ascii="Times New Roman" w:hAnsi="Times New Roman"/>
          <w:noProof/>
          <w:sz w:val="24"/>
          <w:szCs w:val="24"/>
          <w:lang w:val="ro-RO"/>
        </w:rPr>
        <w:t>, care, la rândul său, va mob</w:t>
      </w:r>
      <w:r>
        <w:rPr>
          <w:rFonts w:ascii="Times New Roman" w:hAnsi="Times New Roman"/>
          <w:noProof/>
          <w:sz w:val="24"/>
          <w:szCs w:val="24"/>
          <w:lang w:val="ro-RO"/>
        </w:rPr>
        <w:t>iliza 200 de miliarde EUR sub formă de investiții private pentru a sprijini cercetarea și inovarea</w:t>
      </w:r>
      <w:r>
        <w:rPr>
          <w:rStyle w:val="FootnoteReference"/>
          <w:rFonts w:ascii="Times New Roman" w:hAnsi="Times New Roman"/>
          <w:noProof/>
          <w:sz w:val="24"/>
          <w:szCs w:val="24"/>
          <w:lang w:val="ro-RO"/>
        </w:rPr>
        <w:footnoteReference w:id="22"/>
      </w:r>
      <w:r>
        <w:rPr>
          <w:noProof/>
          <w:lang w:val="ro-RO"/>
        </w:rPr>
        <w:t>.</w:t>
      </w:r>
      <w:r>
        <w:rPr>
          <w:rFonts w:ascii="Times New Roman" w:hAnsi="Times New Roman"/>
          <w:noProof/>
          <w:sz w:val="24"/>
          <w:szCs w:val="24"/>
          <w:lang w:val="ro-RO"/>
        </w:rPr>
        <w:t xml:space="preserve"> Aceasta reflectă consensul potrivit căruia investițiile în cercetare și inovare nu sunt esențiale doar pentru locurile de muncă și creșterea economică în U</w:t>
      </w:r>
      <w:r>
        <w:rPr>
          <w:rFonts w:ascii="Times New Roman" w:hAnsi="Times New Roman"/>
          <w:noProof/>
          <w:sz w:val="24"/>
          <w:szCs w:val="24"/>
          <w:lang w:val="ro-RO"/>
        </w:rPr>
        <w:t>E, ci constituie, de asemenea, un domeniu cu o valoare adăugată europeană foarte ridicată.</w:t>
      </w:r>
    </w:p>
    <w:p w:rsidR="00CB2B59" w:rsidRDefault="00034D70">
      <w:pPr>
        <w:spacing w:line="240" w:lineRule="auto"/>
        <w:jc w:val="both"/>
        <w:rPr>
          <w:rFonts w:ascii="Times New Roman" w:hAnsi="Times New Roman"/>
          <w:noProof/>
          <w:sz w:val="24"/>
          <w:szCs w:val="24"/>
          <w:lang w:val="ro-RO"/>
        </w:rPr>
      </w:pPr>
      <w:r>
        <w:rPr>
          <w:rFonts w:ascii="Times New Roman" w:hAnsi="Times New Roman"/>
          <w:noProof/>
          <w:sz w:val="24"/>
          <w:szCs w:val="24"/>
          <w:lang w:val="ro-RO"/>
        </w:rPr>
        <w:t xml:space="preserve">Inovarea trebuie să fie un factor central de stimulare a politicilor și programelor UE pentru perioada 2021-2027. Complementaritățile și sinergiile cu programele de </w:t>
      </w:r>
      <w:r>
        <w:rPr>
          <w:rFonts w:ascii="Times New Roman" w:hAnsi="Times New Roman"/>
          <w:noProof/>
          <w:sz w:val="24"/>
          <w:szCs w:val="24"/>
          <w:lang w:val="ro-RO"/>
        </w:rPr>
        <w:t xml:space="preserve">finanțare ale UE vor fi pe deplin exploatate, astfel încât finanțarea să fie raționalizată și coordonată, în beneficiul îmbunătățirii activităților de cercetare și inovare. </w:t>
      </w:r>
      <w:r>
        <w:rPr>
          <w:rFonts w:ascii="Times New Roman" w:hAnsi="Times New Roman"/>
          <w:noProof/>
          <w:sz w:val="24"/>
          <w:lang w:val="ro-RO"/>
        </w:rPr>
        <w:t>În acest mod, în plus față de programul „Orizont Europa”, alte programe majore de f</w:t>
      </w:r>
      <w:r>
        <w:rPr>
          <w:rFonts w:ascii="Times New Roman" w:hAnsi="Times New Roman"/>
          <w:noProof/>
          <w:sz w:val="24"/>
          <w:lang w:val="ro-RO"/>
        </w:rPr>
        <w:t>inanțare, cum ar fi Mecanismul pentru interconectarea Europei, Fondul european de dezvoltare regională și Fondul de coeziune, Programul „Europa Digitală”, Fondul european de apărare, politica agricolă comună și Programul spațial, vor oferi, de asemenea, un</w:t>
      </w:r>
      <w:r>
        <w:rPr>
          <w:rFonts w:ascii="Times New Roman" w:hAnsi="Times New Roman"/>
          <w:noProof/>
          <w:sz w:val="24"/>
          <w:lang w:val="ro-RO"/>
        </w:rPr>
        <w:t xml:space="preserve"> stimulent semnificativ pentru inovare.</w:t>
      </w:r>
      <w:r>
        <w:rPr>
          <w:rFonts w:ascii="Times New Roman" w:hAnsi="Times New Roman"/>
          <w:noProof/>
          <w:sz w:val="24"/>
          <w:szCs w:val="24"/>
          <w:lang w:val="ro-RO"/>
        </w:rPr>
        <w:t xml:space="preserve"> </w:t>
      </w:r>
    </w:p>
    <w:p w:rsidR="00CB2B59" w:rsidRDefault="00034D70">
      <w:pPr>
        <w:keepNext/>
        <w:spacing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t>Investiții private</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b/>
          <w:noProof/>
          <w:sz w:val="24"/>
          <w:szCs w:val="24"/>
          <w:lang w:val="ro-RO"/>
        </w:rPr>
        <w:t>Investițiile private scăzute în domeniul inovării constituie o deficientă persistentă în Europa.</w:t>
      </w:r>
      <w:r>
        <w:rPr>
          <w:rFonts w:ascii="Times New Roman" w:hAnsi="Times New Roman"/>
          <w:noProof/>
          <w:sz w:val="24"/>
          <w:szCs w:val="24"/>
          <w:lang w:val="ro-RO"/>
        </w:rPr>
        <w:t xml:space="preserve"> Nivelul investițiilor întreprinderilor în cercetare și inovare în UE este de 1,3 % din produsul intern brut. Acest nivel este redus, în comparație cu China (1,6 %), Statele Unite (2 %), Japonia (2,6 %) sau Coreea de Sud (3,3 %)</w:t>
      </w:r>
      <w:r>
        <w:rPr>
          <w:rStyle w:val="FootnoteReference"/>
          <w:rFonts w:ascii="Times New Roman" w:hAnsi="Times New Roman" w:cs="Times New Roman"/>
          <w:noProof/>
          <w:sz w:val="24"/>
          <w:szCs w:val="24"/>
          <w:lang w:val="ro-RO"/>
        </w:rPr>
        <w:footnoteReference w:id="23"/>
      </w:r>
      <w:r>
        <w:rPr>
          <w:rFonts w:ascii="Times New Roman" w:hAnsi="Times New Roman"/>
          <w:noProof/>
          <w:sz w:val="24"/>
          <w:szCs w:val="24"/>
          <w:lang w:val="ro-RO"/>
        </w:rPr>
        <w:t>.</w:t>
      </w:r>
    </w:p>
    <w:p w:rsidR="00CB2B59" w:rsidRDefault="00034D70">
      <w:pPr>
        <w:keepNext/>
        <w:spacing w:after="0" w:line="240" w:lineRule="auto"/>
        <w:jc w:val="center"/>
        <w:rPr>
          <w:rFonts w:ascii="Times New Roman" w:hAnsi="Times New Roman" w:cs="Times New Roman"/>
          <w:b/>
          <w:noProof/>
          <w:sz w:val="24"/>
          <w:szCs w:val="24"/>
          <w:lang w:val="ro-RO"/>
        </w:rPr>
      </w:pPr>
      <w:r>
        <w:rPr>
          <w:rFonts w:ascii="Times New Roman" w:hAnsi="Times New Roman"/>
          <w:b/>
          <w:noProof/>
          <w:szCs w:val="24"/>
          <w:lang w:val="ro-RO"/>
        </w:rPr>
        <w:t xml:space="preserve">Societățile din UE </w:t>
      </w:r>
      <w:r>
        <w:rPr>
          <w:rFonts w:ascii="Times New Roman" w:hAnsi="Times New Roman"/>
          <w:b/>
          <w:noProof/>
          <w:szCs w:val="24"/>
          <w:lang w:val="ro-RO"/>
        </w:rPr>
        <w:t>cheltuiesc mai puțin pentru cercetare și dezvoltare decât concurenții lor</w:t>
      </w:r>
      <w:r>
        <w:rPr>
          <w:rStyle w:val="FootnoteReference"/>
          <w:rFonts w:ascii="Times New Roman" w:hAnsi="Times New Roman" w:cs="Times New Roman"/>
          <w:noProof/>
          <w:szCs w:val="24"/>
          <w:lang w:val="ro-RO"/>
        </w:rPr>
        <w:footnoteReference w:id="24"/>
      </w:r>
    </w:p>
    <w:p w:rsidR="00CB2B59" w:rsidRDefault="00034D70">
      <w:pPr>
        <w:keepNext/>
        <w:spacing w:after="0" w:line="240" w:lineRule="auto"/>
        <w:jc w:val="center"/>
        <w:rPr>
          <w:rFonts w:ascii="Times New Roman" w:hAnsi="Times New Roman" w:cs="Times New Roman"/>
          <w:noProof/>
          <w:szCs w:val="24"/>
          <w:lang w:val="ro-RO"/>
        </w:rPr>
      </w:pPr>
      <w:r>
        <w:rPr>
          <w:rFonts w:ascii="Times New Roman" w:hAnsi="Times New Roman"/>
          <w:noProof/>
          <w:szCs w:val="24"/>
          <w:lang w:val="ro-RO"/>
        </w:rPr>
        <w:t>Evoluția intensității cercetării și dezvoltării (C&amp;D) întreprinderilor, 2000-2016</w:t>
      </w:r>
    </w:p>
    <w:p w:rsidR="00CB2B59" w:rsidRDefault="00034D70">
      <w:pPr>
        <w:spacing w:line="240" w:lineRule="auto"/>
        <w:jc w:val="both"/>
        <w:rPr>
          <w:rFonts w:ascii="Times New Roman" w:hAnsi="Times New Roman" w:cs="Times New Roman"/>
          <w:noProof/>
          <w:sz w:val="24"/>
          <w:szCs w:val="24"/>
          <w:lang w:val="ro-RO"/>
        </w:rPr>
      </w:pPr>
      <w:r>
        <w:rPr>
          <w:noProof/>
          <w:lang w:eastAsia="en-GB"/>
        </w:rPr>
        <w:drawing>
          <wp:inline distT="0" distB="0" distL="0" distR="0" wp14:anchorId="17D164B2" wp14:editId="5710C047">
            <wp:extent cx="5749925" cy="35553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9925" cy="3555365"/>
                    </a:xfrm>
                    <a:prstGeom prst="rect">
                      <a:avLst/>
                    </a:prstGeom>
                    <a:noFill/>
                    <a:ln>
                      <a:noFill/>
                    </a:ln>
                  </pic:spPr>
                </pic:pic>
              </a:graphicData>
            </a:graphic>
          </wp:inline>
        </w:drawing>
      </w:r>
    </w:p>
    <w:p w:rsidR="00CB2B59" w:rsidRDefault="00034D70">
      <w:pPr>
        <w:spacing w:after="0"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Europa are nevoie de o industrie care inovează și investește în inovare. Pentru a stimula investi</w:t>
      </w:r>
      <w:r>
        <w:rPr>
          <w:rFonts w:ascii="Times New Roman" w:hAnsi="Times New Roman"/>
          <w:noProof/>
          <w:sz w:val="24"/>
          <w:szCs w:val="24"/>
          <w:lang w:val="ro-RO"/>
        </w:rPr>
        <w:t>ț</w:t>
      </w:r>
      <w:r>
        <w:rPr>
          <w:rFonts w:ascii="Times New Roman" w:hAnsi="Times New Roman"/>
          <w:noProof/>
          <w:sz w:val="24"/>
          <w:szCs w:val="24"/>
          <w:lang w:val="ro-RO"/>
        </w:rPr>
        <w:t>iile private, Europa are nevoie de un mediu îmbunătățit pentru întreprinderi, cu un cadru de reglementare simplu, clar și eficient. Trebuie să ofere piețe deschise și competitive, stimulentele potrivite pentru investiții și un acces facil la finanțare, în</w:t>
      </w:r>
      <w:r>
        <w:rPr>
          <w:rFonts w:ascii="Times New Roman" w:hAnsi="Times New Roman"/>
          <w:noProof/>
          <w:sz w:val="24"/>
          <w:szCs w:val="24"/>
          <w:lang w:val="ro-RO"/>
        </w:rPr>
        <w:t xml:space="preserve"> special pentru întreprinderile mici și mijlocii. Finanțarea pentru cercetarea industrială, în special prin intermediul parteneriatelor public-privat, este, de asemenea, extrem de importantă pentru a ține pasul cu concurența de la nivel mondial.</w:t>
      </w:r>
    </w:p>
    <w:p w:rsidR="00CB2B59" w:rsidRDefault="00CB2B59">
      <w:pPr>
        <w:spacing w:after="0" w:line="240" w:lineRule="auto"/>
        <w:jc w:val="both"/>
        <w:rPr>
          <w:rFonts w:ascii="Times New Roman" w:hAnsi="Times New Roman" w:cs="Times New Roman"/>
          <w:noProof/>
          <w:sz w:val="24"/>
          <w:szCs w:val="24"/>
          <w:lang w:val="ro-RO"/>
        </w:rPr>
      </w:pPr>
    </w:p>
    <w:p w:rsidR="00CB2B59" w:rsidRDefault="00034D70">
      <w:pPr>
        <w:spacing w:after="0" w:line="240" w:lineRule="auto"/>
        <w:jc w:val="both"/>
        <w:rPr>
          <w:rFonts w:ascii="Times New Roman" w:hAnsi="Times New Roman" w:cs="Times New Roman"/>
          <w:b/>
          <w:noProof/>
          <w:sz w:val="24"/>
          <w:szCs w:val="24"/>
          <w:lang w:val="ro-RO"/>
        </w:rPr>
      </w:pPr>
      <w:r>
        <w:rPr>
          <w:rFonts w:ascii="Times New Roman" w:hAnsi="Times New Roman"/>
          <w:b/>
          <w:noProof/>
          <w:sz w:val="24"/>
          <w:szCs w:val="24"/>
          <w:lang w:val="ro-RO"/>
        </w:rPr>
        <w:t>Strategia</w:t>
      </w:r>
      <w:r>
        <w:rPr>
          <w:rFonts w:ascii="Times New Roman" w:hAnsi="Times New Roman"/>
          <w:b/>
          <w:noProof/>
          <w:sz w:val="24"/>
          <w:szCs w:val="24"/>
          <w:lang w:val="ro-RO"/>
        </w:rPr>
        <w:t xml:space="preserve"> de politică industrială a UE</w:t>
      </w:r>
      <w:r>
        <w:rPr>
          <w:rFonts w:ascii="Times New Roman" w:hAnsi="Times New Roman"/>
          <w:noProof/>
          <w:sz w:val="24"/>
          <w:szCs w:val="24"/>
          <w:lang w:val="ro-RO"/>
        </w:rPr>
        <w:t xml:space="preserve"> vizează îmbunătățirea mediului general de afaceri pentru investițiile private în inovare, inclusiv facilitarea achizițiilor publice de soluții inovatoare. Acest lucru se realizează printr-un set cuprinzător de acțiuni, de la m</w:t>
      </w:r>
      <w:r>
        <w:rPr>
          <w:rFonts w:ascii="Times New Roman" w:hAnsi="Times New Roman"/>
          <w:noProof/>
          <w:sz w:val="24"/>
          <w:szCs w:val="24"/>
          <w:lang w:val="ro-RO"/>
        </w:rPr>
        <w:t>odernizarea cadrelor în materie de proprietate intelectuală până la adoptarea inițiativelor privind piața unică digitală, cum ar fi reglementarea securității cibernetice și a fluxurilor de date</w:t>
      </w:r>
      <w:r>
        <w:rPr>
          <w:rStyle w:val="FootnoteReference"/>
          <w:rFonts w:ascii="Times New Roman" w:hAnsi="Times New Roman" w:cs="Times New Roman"/>
          <w:noProof/>
          <w:sz w:val="24"/>
          <w:szCs w:val="24"/>
          <w:lang w:val="ro-RO"/>
        </w:rPr>
        <w:footnoteReference w:id="25"/>
      </w:r>
      <w:r>
        <w:rPr>
          <w:rFonts w:ascii="Times New Roman" w:hAnsi="Times New Roman"/>
          <w:noProof/>
          <w:sz w:val="24"/>
          <w:szCs w:val="24"/>
          <w:lang w:val="ro-RO"/>
        </w:rPr>
        <w:t xml:space="preserve">. Această strategie completează </w:t>
      </w:r>
      <w:r>
        <w:rPr>
          <w:rFonts w:ascii="Times New Roman" w:hAnsi="Times New Roman"/>
          <w:b/>
          <w:noProof/>
          <w:sz w:val="24"/>
          <w:szCs w:val="24"/>
          <w:lang w:val="ro-RO"/>
        </w:rPr>
        <w:t>Agenda UE privind o mai bună r</w:t>
      </w:r>
      <w:r>
        <w:rPr>
          <w:rFonts w:ascii="Times New Roman" w:hAnsi="Times New Roman"/>
          <w:b/>
          <w:noProof/>
          <w:sz w:val="24"/>
          <w:szCs w:val="24"/>
          <w:lang w:val="ro-RO"/>
        </w:rPr>
        <w:t>eglementare</w:t>
      </w:r>
      <w:r>
        <w:rPr>
          <w:rFonts w:ascii="Times New Roman" w:hAnsi="Times New Roman"/>
          <w:noProof/>
          <w:sz w:val="24"/>
          <w:szCs w:val="24"/>
          <w:lang w:val="ro-RO"/>
        </w:rPr>
        <w:t>, care asigură faptul că politicile și actele legislative ale UE sunt cât mai eficace și eficiente posibil, prin consultări sistematice cu părțile interesate, analize și evaluări ale impactului</w:t>
      </w:r>
      <w:r>
        <w:rPr>
          <w:rStyle w:val="FootnoteReference"/>
          <w:rFonts w:ascii="Times New Roman" w:hAnsi="Times New Roman" w:cs="Times New Roman"/>
          <w:noProof/>
          <w:sz w:val="24"/>
          <w:szCs w:val="24"/>
          <w:lang w:val="ro-RO"/>
        </w:rPr>
        <w:footnoteReference w:id="26"/>
      </w:r>
      <w:r>
        <w:rPr>
          <w:rFonts w:ascii="Times New Roman" w:hAnsi="Times New Roman"/>
          <w:noProof/>
          <w:sz w:val="24"/>
          <w:szCs w:val="24"/>
          <w:lang w:val="ro-RO"/>
        </w:rPr>
        <w:t xml:space="preserve">. </w:t>
      </w:r>
      <w:r>
        <w:rPr>
          <w:rFonts w:ascii="Times New Roman" w:hAnsi="Times New Roman"/>
          <w:noProof/>
          <w:sz w:val="24"/>
          <w:lang w:val="ro-RO"/>
        </w:rPr>
        <w:t xml:space="preserve">Inițiativele recente privind </w:t>
      </w:r>
      <w:r>
        <w:rPr>
          <w:rFonts w:ascii="Times New Roman" w:hAnsi="Times New Roman"/>
          <w:b/>
          <w:noProof/>
          <w:sz w:val="24"/>
          <w:lang w:val="ro-RO"/>
        </w:rPr>
        <w:t>inteligența artifici</w:t>
      </w:r>
      <w:r>
        <w:rPr>
          <w:rFonts w:ascii="Times New Roman" w:hAnsi="Times New Roman"/>
          <w:b/>
          <w:noProof/>
          <w:sz w:val="24"/>
          <w:lang w:val="ro-RO"/>
        </w:rPr>
        <w:t>ală</w:t>
      </w:r>
      <w:r>
        <w:rPr>
          <w:rFonts w:ascii="Times New Roman" w:hAnsi="Times New Roman"/>
          <w:noProof/>
          <w:sz w:val="24"/>
          <w:lang w:val="ro-RO"/>
        </w:rPr>
        <w:t xml:space="preserve">, </w:t>
      </w:r>
      <w:r>
        <w:rPr>
          <w:rFonts w:ascii="Times New Roman" w:hAnsi="Times New Roman"/>
          <w:b/>
          <w:noProof/>
          <w:sz w:val="24"/>
          <w:lang w:val="ro-RO"/>
        </w:rPr>
        <w:t>calculul de înaltă performanță</w:t>
      </w:r>
      <w:r>
        <w:rPr>
          <w:rFonts w:ascii="Times New Roman" w:hAnsi="Times New Roman"/>
          <w:noProof/>
          <w:sz w:val="24"/>
          <w:lang w:val="ro-RO"/>
        </w:rPr>
        <w:t xml:space="preserve"> și </w:t>
      </w:r>
      <w:r>
        <w:rPr>
          <w:rFonts w:ascii="Times New Roman" w:hAnsi="Times New Roman"/>
          <w:b/>
          <w:noProof/>
          <w:sz w:val="24"/>
          <w:lang w:val="ro-RO"/>
        </w:rPr>
        <w:t>economia datelor</w:t>
      </w:r>
      <w:r>
        <w:rPr>
          <w:rFonts w:ascii="Times New Roman" w:hAnsi="Times New Roman"/>
          <w:noProof/>
          <w:sz w:val="24"/>
          <w:lang w:val="ro-RO"/>
        </w:rPr>
        <w:t>, printre altele, vor ajuta Europa să se afle în fruntea următorului val de inovare.</w:t>
      </w:r>
      <w:r>
        <w:rPr>
          <w:rFonts w:ascii="Times New Roman" w:eastAsia="Calibri" w:hAnsi="Times New Roman" w:cs="Times New Roman"/>
          <w:noProof/>
          <w:sz w:val="24"/>
          <w:szCs w:val="24"/>
          <w:vertAlign w:val="superscript"/>
          <w:lang w:val="ro-RO"/>
        </w:rPr>
        <w:footnoteReference w:id="27"/>
      </w:r>
      <w:r>
        <w:rPr>
          <w:rFonts w:ascii="Times New Roman" w:hAnsi="Times New Roman"/>
          <w:noProof/>
          <w:sz w:val="24"/>
          <w:szCs w:val="24"/>
          <w:lang w:val="ro-RO"/>
        </w:rPr>
        <w:t xml:space="preserve"> </w:t>
      </w:r>
      <w:r>
        <w:rPr>
          <w:rFonts w:ascii="Times New Roman" w:hAnsi="Times New Roman"/>
          <w:b/>
          <w:noProof/>
          <w:sz w:val="24"/>
          <w:szCs w:val="24"/>
          <w:lang w:val="ro-RO"/>
        </w:rPr>
        <w:t>Planul de investiții pentru Europa</w:t>
      </w:r>
      <w:r>
        <w:rPr>
          <w:rFonts w:ascii="Times New Roman" w:hAnsi="Times New Roman"/>
          <w:noProof/>
          <w:sz w:val="24"/>
          <w:szCs w:val="24"/>
          <w:lang w:val="ro-RO"/>
        </w:rPr>
        <w:t xml:space="preserve"> elimină obstacolele din calea investițiilor, furnizează vizibilitate și asistență tehnică proiectelor de investiții și asigură o utilizare mai eficientă a resurselor financiare</w:t>
      </w:r>
      <w:r>
        <w:rPr>
          <w:rStyle w:val="FootnoteReference"/>
          <w:rFonts w:ascii="Times New Roman" w:hAnsi="Times New Roman" w:cs="Times New Roman"/>
          <w:noProof/>
          <w:sz w:val="24"/>
          <w:szCs w:val="24"/>
          <w:lang w:val="ro-RO"/>
        </w:rPr>
        <w:footnoteReference w:id="28"/>
      </w:r>
      <w:r>
        <w:rPr>
          <w:noProof/>
          <w:lang w:val="ro-RO"/>
        </w:rPr>
        <w:t>.</w:t>
      </w:r>
      <w:r>
        <w:rPr>
          <w:rFonts w:ascii="Times New Roman" w:hAnsi="Times New Roman"/>
          <w:noProof/>
          <w:sz w:val="24"/>
          <w:szCs w:val="24"/>
          <w:lang w:val="ro-RO"/>
        </w:rPr>
        <w:t xml:space="preserve"> </w:t>
      </w:r>
    </w:p>
    <w:p w:rsidR="00CB2B59" w:rsidRDefault="00034D70">
      <w:pPr>
        <w:spacing w:before="240" w:after="240" w:line="240" w:lineRule="auto"/>
        <w:jc w:val="both"/>
        <w:rPr>
          <w:rFonts w:ascii="Times New Roman" w:hAnsi="Times New Roman"/>
          <w:i/>
          <w:noProof/>
          <w:lang w:val="ro-RO"/>
        </w:rPr>
      </w:pPr>
      <w:r>
        <w:rPr>
          <w:rFonts w:ascii="Times New Roman" w:hAnsi="Times New Roman"/>
          <w:b/>
          <w:noProof/>
          <w:sz w:val="24"/>
          <w:szCs w:val="24"/>
          <w:lang w:val="ro-RO"/>
        </w:rPr>
        <w:t>O deficiență europeană specifică este capitalul de risc</w:t>
      </w:r>
      <w:r>
        <w:rPr>
          <w:rFonts w:ascii="Times New Roman" w:hAnsi="Times New Roman"/>
          <w:noProof/>
          <w:sz w:val="24"/>
          <w:szCs w:val="24"/>
          <w:lang w:val="ro-RO"/>
        </w:rPr>
        <w:t xml:space="preserve"> - o sursă esențială</w:t>
      </w:r>
      <w:r>
        <w:rPr>
          <w:rFonts w:ascii="Times New Roman" w:hAnsi="Times New Roman"/>
          <w:noProof/>
          <w:sz w:val="24"/>
          <w:szCs w:val="24"/>
          <w:lang w:val="ro-RO"/>
        </w:rPr>
        <w:t xml:space="preserve"> de finanțare pentru întreprinderile inovatoare nou-înființate. Investiția totală în capitalul de risc este la o cincime din nivelul Statelor Unite</w:t>
      </w:r>
      <w:r>
        <w:rPr>
          <w:rStyle w:val="FootnoteReference"/>
          <w:rFonts w:ascii="Times New Roman" w:hAnsi="Times New Roman" w:cs="Times New Roman"/>
          <w:noProof/>
          <w:szCs w:val="20"/>
          <w:lang w:val="ro-RO"/>
        </w:rPr>
        <w:footnoteReference w:id="29"/>
      </w:r>
      <w:r>
        <w:rPr>
          <w:noProof/>
          <w:lang w:val="ro-RO"/>
        </w:rPr>
        <w:t>.</w:t>
      </w:r>
      <w:r>
        <w:rPr>
          <w:rFonts w:ascii="Times New Roman" w:hAnsi="Times New Roman"/>
          <w:noProof/>
          <w:sz w:val="24"/>
          <w:szCs w:val="24"/>
          <w:lang w:val="ro-RO"/>
        </w:rPr>
        <w:t xml:space="preserve"> Volumul mediu al acestor fonduri în Europa este prea mic pentru a atrage investitori instituționali și pri</w:t>
      </w:r>
      <w:r>
        <w:rPr>
          <w:rFonts w:ascii="Times New Roman" w:hAnsi="Times New Roman"/>
          <w:noProof/>
          <w:sz w:val="24"/>
          <w:szCs w:val="24"/>
          <w:lang w:val="ro-RO"/>
        </w:rPr>
        <w:t xml:space="preserve">vați majori, ceea ce duce la o deficiență în finanțarea societăților pe măsură ce acestea se dezvoltă, precum și la o dependență prea mare de sprijinul public. </w:t>
      </w:r>
    </w:p>
    <w:p w:rsidR="00CB2B59" w:rsidRDefault="00034D70">
      <w:pPr>
        <w:keepNext/>
        <w:spacing w:before="240" w:after="240" w:line="240" w:lineRule="auto"/>
        <w:jc w:val="center"/>
        <w:rPr>
          <w:rFonts w:ascii="Times New Roman" w:hAnsi="Times New Roman" w:cs="Times New Roman"/>
          <w:b/>
          <w:noProof/>
          <w:sz w:val="24"/>
          <w:szCs w:val="24"/>
          <w:lang w:val="ro-RO"/>
        </w:rPr>
      </w:pPr>
      <w:r>
        <w:rPr>
          <w:rFonts w:ascii="Times New Roman" w:hAnsi="Times New Roman"/>
          <w:b/>
          <w:noProof/>
          <w:szCs w:val="24"/>
          <w:lang w:val="ro-RO"/>
        </w:rPr>
        <w:t>Fondurile de capital de risc au crescut (în miliarde EUR) în UE și în Statele Unite, 2007-2016</w:t>
      </w:r>
      <w:r>
        <w:rPr>
          <w:rStyle w:val="FootnoteReference"/>
          <w:rFonts w:ascii="Times New Roman" w:hAnsi="Times New Roman" w:cs="Times New Roman"/>
          <w:noProof/>
          <w:szCs w:val="24"/>
          <w:lang w:val="ro-RO"/>
        </w:rPr>
        <w:footnoteReference w:id="30"/>
      </w:r>
    </w:p>
    <w:p w:rsidR="00CB2B59" w:rsidRDefault="00034D70">
      <w:pPr>
        <w:spacing w:before="240" w:after="240" w:line="240" w:lineRule="auto"/>
        <w:jc w:val="both"/>
        <w:rPr>
          <w:rFonts w:ascii="Times New Roman" w:hAnsi="Times New Roman" w:cs="Times New Roman"/>
          <w:i/>
          <w:noProof/>
          <w:szCs w:val="20"/>
          <w:lang w:val="ro-RO"/>
        </w:rPr>
      </w:pPr>
      <w:r>
        <w:rPr>
          <w:noProof/>
          <w:lang w:eastAsia="en-GB"/>
        </w:rPr>
        <w:drawing>
          <wp:inline distT="0" distB="0" distL="0" distR="0" wp14:anchorId="38AD45CD" wp14:editId="6A5B936D">
            <wp:extent cx="5760720" cy="3405349"/>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3405349"/>
                    </a:xfrm>
                    <a:prstGeom prst="rect">
                      <a:avLst/>
                    </a:prstGeom>
                    <a:noFill/>
                    <a:ln>
                      <a:noFill/>
                    </a:ln>
                  </pic:spPr>
                </pic:pic>
              </a:graphicData>
            </a:graphic>
          </wp:inline>
        </w:drawing>
      </w:r>
      <w:r>
        <w:rPr>
          <w:noProof/>
          <w:lang w:val="ro-RO"/>
        </w:rPr>
        <w:t xml:space="preserve">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b/>
          <w:noProof/>
          <w:sz w:val="24"/>
          <w:szCs w:val="24"/>
          <w:lang w:val="ro-RO"/>
        </w:rPr>
        <w:t>Fondul european pentru investiții strategice</w:t>
      </w:r>
      <w:r>
        <w:rPr>
          <w:rFonts w:ascii="Times New Roman" w:hAnsi="Times New Roman"/>
          <w:noProof/>
          <w:sz w:val="24"/>
          <w:szCs w:val="24"/>
          <w:lang w:val="ro-RO"/>
        </w:rPr>
        <w:t xml:space="preserve"> a relansat investițiile în proiecte strategice, iar o treime din investiția totală estimată, de peste 500 de miliarde EUR, se preconizează că va fi acordată cercetării și inovării. </w:t>
      </w:r>
    </w:p>
    <w:p w:rsidR="00CB2B59" w:rsidRDefault="00034D70">
      <w:pPr>
        <w:spacing w:line="240" w:lineRule="auto"/>
        <w:jc w:val="both"/>
        <w:rPr>
          <w:rFonts w:ascii="Times New Roman" w:eastAsia="Calibri" w:hAnsi="Times New Roman" w:cs="Times New Roman"/>
          <w:b/>
          <w:bCs/>
          <w:i/>
          <w:iCs/>
          <w:noProof/>
          <w:sz w:val="24"/>
          <w:szCs w:val="24"/>
          <w:u w:val="single"/>
          <w:lang w:val="ro-RO"/>
        </w:rPr>
      </w:pPr>
      <w:r>
        <w:rPr>
          <w:rFonts w:ascii="Times New Roman" w:hAnsi="Times New Roman"/>
          <w:noProof/>
          <w:sz w:val="24"/>
          <w:szCs w:val="24"/>
          <w:lang w:val="ro-RO"/>
        </w:rPr>
        <w:t xml:space="preserve">Comisia a acordat o </w:t>
      </w:r>
      <w:r>
        <w:rPr>
          <w:rFonts w:ascii="Times New Roman" w:hAnsi="Times New Roman"/>
          <w:noProof/>
          <w:sz w:val="24"/>
          <w:szCs w:val="24"/>
          <w:lang w:val="ro-RO"/>
        </w:rPr>
        <w:t>atenție deosebită facilitării accesului la finanțare pentru inovare, atât la început, cât și în etapa de creștere. Acest lucru se face prin intermediul instrumentelor de finanțare InnovFin din cadrul programului „Orizont 2020” (investiții preconizate de 30</w:t>
      </w:r>
      <w:r>
        <w:rPr>
          <w:rFonts w:ascii="Times New Roman" w:hAnsi="Times New Roman"/>
          <w:noProof/>
          <w:sz w:val="24"/>
          <w:szCs w:val="24"/>
          <w:lang w:val="ro-RO"/>
        </w:rPr>
        <w:t> de miliarde EUR) și al Programului pentru competitivitatea întreprinderilor și a întreprinderilor mici și mijlocii (investiții preconizate de 40 de miliarde EUR). Întreprinderile mici și mijlocii pot, de asemenea, să aibă acces la finanțare pentru inovare</w:t>
      </w:r>
      <w:r>
        <w:rPr>
          <w:rFonts w:ascii="Times New Roman" w:hAnsi="Times New Roman"/>
          <w:noProof/>
          <w:sz w:val="24"/>
          <w:szCs w:val="24"/>
          <w:lang w:val="ro-RO"/>
        </w:rPr>
        <w:t xml:space="preserve"> prin intermediul instrumentelor financiare sprijinite de Fondul european de dezvoltare regională</w:t>
      </w:r>
      <w:r>
        <w:rPr>
          <w:rStyle w:val="FootnoteReference"/>
          <w:rFonts w:ascii="Times New Roman" w:eastAsia="Calibri" w:hAnsi="Times New Roman" w:cs="Times New Roman"/>
          <w:noProof/>
          <w:sz w:val="24"/>
          <w:szCs w:val="24"/>
          <w:lang w:val="ro-RO"/>
        </w:rPr>
        <w:footnoteReference w:id="31"/>
      </w:r>
      <w:r>
        <w:rPr>
          <w:noProof/>
          <w:lang w:val="ro-RO"/>
        </w:rPr>
        <w:t>.</w:t>
      </w:r>
      <w:r>
        <w:rPr>
          <w:rFonts w:ascii="Times New Roman" w:hAnsi="Times New Roman"/>
          <w:b/>
          <w:bCs/>
          <w:noProof/>
          <w:sz w:val="24"/>
          <w:szCs w:val="24"/>
          <w:lang w:val="ro-RO"/>
        </w:rPr>
        <w:t xml:space="preserve">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În viitor, trebuie să „facem mai mult cu mai puțin”, folosind instrumentele financiare în mod inteligent și eficient, pentru a atrage și a viza o masă crit</w:t>
      </w:r>
      <w:r>
        <w:rPr>
          <w:rFonts w:ascii="Times New Roman" w:hAnsi="Times New Roman"/>
          <w:noProof/>
          <w:sz w:val="24"/>
          <w:szCs w:val="24"/>
          <w:lang w:val="ro-RO"/>
        </w:rPr>
        <w:t>ică de investiții private. Pentru aceasta, avem nevoie și de un</w:t>
      </w:r>
      <w:r>
        <w:rPr>
          <w:rFonts w:ascii="Times New Roman" w:hAnsi="Times New Roman"/>
          <w:b/>
          <w:noProof/>
          <w:sz w:val="24"/>
          <w:szCs w:val="24"/>
          <w:lang w:val="ro-RO"/>
        </w:rPr>
        <w:t xml:space="preserve"> sistem fiscal care să sprijine inovarea</w:t>
      </w:r>
      <w:r>
        <w:rPr>
          <w:rFonts w:ascii="Times New Roman" w:hAnsi="Times New Roman"/>
          <w:noProof/>
          <w:sz w:val="24"/>
          <w:szCs w:val="24"/>
          <w:lang w:val="ro-RO"/>
        </w:rPr>
        <w:t xml:space="preserve">, permițând deducerea costurilor de investiții în cercetare și inovare, cu indemnizații suplimentare pentru întreprinderile tinere. </w:t>
      </w:r>
      <w:r>
        <w:rPr>
          <w:rFonts w:ascii="Times New Roman" w:hAnsi="Times New Roman"/>
          <w:noProof/>
          <w:sz w:val="24"/>
          <w:lang w:val="ro-RO"/>
        </w:rPr>
        <w:t>Propunerea Comisiei p</w:t>
      </w:r>
      <w:r>
        <w:rPr>
          <w:rFonts w:ascii="Times New Roman" w:hAnsi="Times New Roman"/>
          <w:noProof/>
          <w:sz w:val="24"/>
          <w:lang w:val="ro-RO"/>
        </w:rPr>
        <w:t xml:space="preserve">rivind </w:t>
      </w:r>
      <w:r>
        <w:rPr>
          <w:rFonts w:ascii="Times New Roman" w:hAnsi="Times New Roman"/>
          <w:b/>
          <w:noProof/>
          <w:sz w:val="24"/>
          <w:lang w:val="ro-RO"/>
        </w:rPr>
        <w:t xml:space="preserve">baza fiscală consolidată comună a societăților </w:t>
      </w:r>
      <w:r>
        <w:rPr>
          <w:rFonts w:ascii="Times New Roman" w:hAnsi="Times New Roman"/>
          <w:noProof/>
          <w:sz w:val="24"/>
          <w:lang w:val="ro-RO"/>
        </w:rPr>
        <w:t>vizează realizarea acestui lucru.</w:t>
      </w:r>
      <w:r>
        <w:rPr>
          <w:rFonts w:ascii="Times New Roman" w:hAnsi="Times New Roman"/>
          <w:noProof/>
          <w:sz w:val="24"/>
          <w:szCs w:val="24"/>
          <w:lang w:val="ro-RO"/>
        </w:rPr>
        <w:t xml:space="preserve"> În prezent, este esențial ca Parlamentul European și Consiliul să adopte rapid propunerea pentru a permite statelor membre să utilizeze pe deplin acest instrument-cheie</w:t>
      </w:r>
      <w:r>
        <w:rPr>
          <w:rFonts w:ascii="Times New Roman" w:hAnsi="Times New Roman"/>
          <w:noProof/>
          <w:sz w:val="24"/>
          <w:szCs w:val="24"/>
          <w:lang w:val="ro-RO"/>
        </w:rPr>
        <w:t xml:space="preserve"> în vederea facilitării investițiilor private în cercetare și inovare</w:t>
      </w:r>
      <w:r>
        <w:rPr>
          <w:rStyle w:val="FootnoteReference"/>
          <w:rFonts w:ascii="Times New Roman" w:hAnsi="Times New Roman" w:cs="Times New Roman"/>
          <w:noProof/>
          <w:sz w:val="24"/>
          <w:szCs w:val="24"/>
          <w:lang w:val="ro-RO"/>
        </w:rPr>
        <w:footnoteReference w:id="32"/>
      </w:r>
      <w:r>
        <w:rPr>
          <w:noProof/>
          <w:lang w:val="ro-RO"/>
        </w:rPr>
        <w:t>.</w:t>
      </w:r>
    </w:p>
    <w:p w:rsidR="00CB2B59" w:rsidRDefault="00034D70">
      <w:pPr>
        <w:spacing w:line="240" w:lineRule="auto"/>
        <w:jc w:val="both"/>
        <w:rPr>
          <w:rFonts w:ascii="Times New Roman" w:hAnsi="Times New Roman"/>
          <w:noProof/>
          <w:sz w:val="24"/>
          <w:lang w:val="ro-RO"/>
        </w:rPr>
      </w:pPr>
      <w:r>
        <w:rPr>
          <w:rFonts w:ascii="Times New Roman" w:hAnsi="Times New Roman"/>
          <w:noProof/>
          <w:sz w:val="24"/>
          <w:szCs w:val="24"/>
          <w:lang w:val="ro-RO"/>
        </w:rPr>
        <w:t>O nouă inițiativă majoră a combinat programul „Orizont 2020”, Fondul european pentru investiții strategice și Programul pentru competitivitatea întreprinderilor și a întreprinderilor m</w:t>
      </w:r>
      <w:r>
        <w:rPr>
          <w:rFonts w:ascii="Times New Roman" w:hAnsi="Times New Roman"/>
          <w:noProof/>
          <w:sz w:val="24"/>
          <w:szCs w:val="24"/>
          <w:lang w:val="ro-RO"/>
        </w:rPr>
        <w:t xml:space="preserve">ici și mijlocii pentru a lansa </w:t>
      </w:r>
      <w:r>
        <w:rPr>
          <w:rFonts w:ascii="Times New Roman" w:hAnsi="Times New Roman"/>
          <w:b/>
          <w:noProof/>
          <w:sz w:val="24"/>
          <w:szCs w:val="24"/>
          <w:lang w:val="ro-RO"/>
        </w:rPr>
        <w:t>VentureEU</w:t>
      </w:r>
      <w:r>
        <w:rPr>
          <w:rFonts w:ascii="Times New Roman" w:hAnsi="Times New Roman"/>
          <w:noProof/>
          <w:sz w:val="24"/>
          <w:szCs w:val="24"/>
          <w:lang w:val="ro-RO"/>
        </w:rPr>
        <w:t xml:space="preserve">. </w:t>
      </w:r>
      <w:r>
        <w:rPr>
          <w:rFonts w:ascii="Times New Roman" w:hAnsi="Times New Roman"/>
          <w:noProof/>
          <w:sz w:val="24"/>
          <w:lang w:val="ro-RO"/>
        </w:rPr>
        <w:t xml:space="preserve">Această inițiativă urmărește să stimuleze </w:t>
      </w:r>
      <w:r>
        <w:rPr>
          <w:rFonts w:ascii="Times New Roman" w:hAnsi="Times New Roman"/>
          <w:b/>
          <w:noProof/>
          <w:sz w:val="24"/>
          <w:lang w:val="ro-RO"/>
        </w:rPr>
        <w:t>capitalul de risc în Europa</w:t>
      </w:r>
      <w:r>
        <w:rPr>
          <w:rFonts w:ascii="Times New Roman" w:hAnsi="Times New Roman"/>
          <w:b/>
          <w:i/>
          <w:noProof/>
          <w:sz w:val="24"/>
          <w:lang w:val="ro-RO"/>
        </w:rPr>
        <w:t>,</w:t>
      </w:r>
      <w:r>
        <w:rPr>
          <w:rFonts w:ascii="Times New Roman" w:hAnsi="Times New Roman"/>
          <w:b/>
          <w:i/>
          <w:noProof/>
          <w:sz w:val="24"/>
          <w:szCs w:val="24"/>
          <w:lang w:val="ro-RO"/>
        </w:rPr>
        <w:t xml:space="preserve"> </w:t>
      </w:r>
      <w:r>
        <w:rPr>
          <w:rFonts w:ascii="Times New Roman" w:hAnsi="Times New Roman"/>
          <w:noProof/>
          <w:sz w:val="24"/>
          <w:szCs w:val="24"/>
          <w:lang w:val="ro-RO"/>
        </w:rPr>
        <w:t>administrat de manageri privați și finanțat în majoritate prin investiții private</w:t>
      </w:r>
      <w:r>
        <w:rPr>
          <w:rStyle w:val="FootnoteReference"/>
          <w:rFonts w:ascii="Times New Roman" w:hAnsi="Times New Roman" w:cs="Times New Roman"/>
          <w:noProof/>
          <w:sz w:val="24"/>
          <w:szCs w:val="24"/>
          <w:lang w:val="ro-RO"/>
        </w:rPr>
        <w:footnoteReference w:id="33"/>
      </w:r>
      <w:r>
        <w:rPr>
          <w:noProof/>
          <w:lang w:val="ro-RO"/>
        </w:rPr>
        <w:t>.</w:t>
      </w:r>
      <w:r>
        <w:rPr>
          <w:rFonts w:ascii="Times New Roman" w:hAnsi="Times New Roman"/>
          <w:noProof/>
          <w:sz w:val="24"/>
          <w:szCs w:val="24"/>
          <w:lang w:val="ro-RO"/>
        </w:rPr>
        <w:t xml:space="preserve"> VentureEU ar trebui să-i stimuleze pe investitorii instituționali și să încurajeze mai mulți administratori de fonduri să intre pe piața europeană și să își desfășoare activitatea la nivel transfrontalier pentru a aborda deficitele existente în ceea ce pr</w:t>
      </w:r>
      <w:r>
        <w:rPr>
          <w:rFonts w:ascii="Times New Roman" w:hAnsi="Times New Roman"/>
          <w:noProof/>
          <w:sz w:val="24"/>
          <w:szCs w:val="24"/>
          <w:lang w:val="ro-RO"/>
        </w:rPr>
        <w:t xml:space="preserve">ivește finanțarea pe termen lung. Cu investiții în valoare totală de 410 milioane EUR din partea UE, obiectivul său inițial este de a strânge peste 2,1 miliarde EUR în următoarele 12 luni, generând investiții preconizate de aproximativ 6,5 miliarde EUR în </w:t>
      </w:r>
      <w:r>
        <w:rPr>
          <w:rFonts w:ascii="Times New Roman" w:hAnsi="Times New Roman"/>
          <w:noProof/>
          <w:sz w:val="24"/>
          <w:szCs w:val="24"/>
          <w:lang w:val="ro-RO"/>
        </w:rPr>
        <w:t xml:space="preserve">aproximativ 1 500 de întreprinderi europene nou-înființate și în curs de extindere. </w:t>
      </w:r>
      <w:r>
        <w:rPr>
          <w:rFonts w:ascii="Times New Roman" w:hAnsi="Times New Roman"/>
          <w:b/>
          <w:noProof/>
          <w:sz w:val="24"/>
          <w:lang w:val="ro-RO"/>
        </w:rPr>
        <w:t xml:space="preserve">VentureEU are potențialul de a dubla investițiile de capital de risc în Europa. </w:t>
      </w:r>
      <w:r>
        <w:rPr>
          <w:rFonts w:ascii="Times New Roman" w:hAnsi="Times New Roman"/>
          <w:noProof/>
          <w:sz w:val="24"/>
          <w:lang w:val="ro-RO"/>
        </w:rPr>
        <w:t xml:space="preserve">În plus, Comisia lucrează în prezent la elaborarea conceptului inițiativei Escalar, care ar </w:t>
      </w:r>
      <w:r>
        <w:rPr>
          <w:rFonts w:ascii="Times New Roman" w:hAnsi="Times New Roman"/>
          <w:noProof/>
          <w:sz w:val="24"/>
          <w:lang w:val="ro-RO"/>
        </w:rPr>
        <w:t>avea menirea de a ajuta fondurile de capital de risc să își sporească mai rapid volumul prin mobilizarea unor fonduri private de mari dimensiuni, cum ar fi fondurile de pensii sau de asigurări.</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Pentru a sprijini acest lucru, inițiativele lansate în cadrul </w:t>
      </w:r>
      <w:r>
        <w:rPr>
          <w:rFonts w:ascii="Times New Roman" w:hAnsi="Times New Roman"/>
          <w:b/>
          <w:noProof/>
          <w:sz w:val="24"/>
          <w:szCs w:val="24"/>
          <w:lang w:val="ro-RO"/>
        </w:rPr>
        <w:t>uniunii piețelor de capital</w:t>
      </w:r>
      <w:r>
        <w:rPr>
          <w:rFonts w:ascii="Times New Roman" w:hAnsi="Times New Roman"/>
          <w:noProof/>
          <w:sz w:val="24"/>
          <w:szCs w:val="24"/>
          <w:lang w:val="ro-RO"/>
        </w:rPr>
        <w:t xml:space="preserve"> sunt simplificarea cadrelor de reglementare pentru colectarea și administrarea fondurilor cu capital de risc în Europa. Acest lucru va contribui, în cele din urmă, la sporirea gradului de disponibilitate a capitalului de risc. C</w:t>
      </w:r>
      <w:r>
        <w:rPr>
          <w:rFonts w:ascii="Times New Roman" w:hAnsi="Times New Roman"/>
          <w:noProof/>
          <w:sz w:val="24"/>
          <w:szCs w:val="24"/>
          <w:lang w:val="ro-RO"/>
        </w:rPr>
        <w:t>u toate acestea, sunt necesare eforturi suplimentare pentru a ajunge la o scară adecvată pentru ponderea economică a Europei.</w:t>
      </w:r>
    </w:p>
    <w:p w:rsidR="00CB2B59" w:rsidRDefault="00034D70">
      <w:pPr>
        <w:pStyle w:val="ListParagraph"/>
        <w:keepNext/>
        <w:pBdr>
          <w:top w:val="single" w:sz="4" w:space="1" w:color="auto"/>
          <w:left w:val="single" w:sz="4" w:space="4" w:color="auto"/>
          <w:bottom w:val="single" w:sz="4" w:space="1" w:color="auto"/>
          <w:right w:val="single" w:sz="4" w:space="4" w:color="auto"/>
        </w:pBdr>
        <w:spacing w:line="240" w:lineRule="auto"/>
        <w:ind w:left="0"/>
        <w:jc w:val="both"/>
        <w:rPr>
          <w:rFonts w:ascii="Times New Roman" w:hAnsi="Times New Roman" w:cs="Times New Roman"/>
          <w:i/>
          <w:noProof/>
          <w:sz w:val="24"/>
          <w:szCs w:val="24"/>
          <w:lang w:val="ro-RO"/>
        </w:rPr>
      </w:pPr>
      <w:r>
        <w:rPr>
          <w:rFonts w:ascii="Times New Roman" w:hAnsi="Times New Roman"/>
          <w:i/>
          <w:noProof/>
          <w:sz w:val="24"/>
          <w:szCs w:val="24"/>
          <w:lang w:val="ro-RO"/>
        </w:rPr>
        <w:t xml:space="preserve">Etape esențiale </w:t>
      </w:r>
    </w:p>
    <w:p w:rsidR="00CB2B59" w:rsidRDefault="00CB2B59">
      <w:pPr>
        <w:pStyle w:val="ListParagraph"/>
        <w:keepNext/>
        <w:pBdr>
          <w:top w:val="single" w:sz="4" w:space="1" w:color="auto"/>
          <w:left w:val="single" w:sz="4" w:space="4" w:color="auto"/>
          <w:bottom w:val="single" w:sz="4" w:space="1" w:color="auto"/>
          <w:right w:val="single" w:sz="4" w:space="4" w:color="auto"/>
        </w:pBdr>
        <w:spacing w:line="240" w:lineRule="auto"/>
        <w:ind w:left="0"/>
        <w:jc w:val="both"/>
        <w:rPr>
          <w:rFonts w:ascii="Times New Roman" w:hAnsi="Times New Roman" w:cs="Times New Roman"/>
          <w:i/>
          <w:noProof/>
          <w:sz w:val="24"/>
          <w:szCs w:val="24"/>
          <w:lang w:val="ro-RO"/>
        </w:rPr>
      </w:pPr>
    </w:p>
    <w:p w:rsidR="00CB2B59" w:rsidRDefault="00034D70">
      <w:pPr>
        <w:pStyle w:val="ListParagraph"/>
        <w:pBdr>
          <w:top w:val="single" w:sz="4" w:space="1" w:color="auto"/>
          <w:left w:val="single" w:sz="4" w:space="4" w:color="auto"/>
          <w:bottom w:val="single" w:sz="4" w:space="1" w:color="auto"/>
          <w:right w:val="single" w:sz="4" w:space="4" w:color="auto"/>
        </w:pBdr>
        <w:spacing w:before="240" w:line="240" w:lineRule="auto"/>
        <w:ind w:left="284" w:hanging="284"/>
        <w:jc w:val="both"/>
        <w:rPr>
          <w:rFonts w:ascii="Times New Roman" w:hAnsi="Times New Roman"/>
          <w:noProof/>
          <w:sz w:val="24"/>
          <w:szCs w:val="24"/>
          <w:lang w:val="ro-RO"/>
        </w:rPr>
      </w:pPr>
      <w:r>
        <w:rPr>
          <w:rFonts w:ascii="Times New Roman" w:hAnsi="Times New Roman"/>
          <w:noProof/>
          <w:sz w:val="24"/>
          <w:szCs w:val="24"/>
          <w:lang w:val="ro-RO"/>
        </w:rPr>
        <w:t xml:space="preserve">- </w:t>
      </w:r>
      <w:r>
        <w:rPr>
          <w:rFonts w:ascii="Times New Roman" w:hAnsi="Times New Roman"/>
          <w:noProof/>
          <w:sz w:val="24"/>
          <w:szCs w:val="24"/>
          <w:lang w:val="ro-RO"/>
        </w:rPr>
        <w:tab/>
      </w:r>
      <w:r>
        <w:rPr>
          <w:rFonts w:ascii="Times New Roman" w:hAnsi="Times New Roman"/>
          <w:b/>
          <w:noProof/>
          <w:sz w:val="24"/>
          <w:szCs w:val="24"/>
          <w:lang w:val="ro-RO"/>
        </w:rPr>
        <w:t xml:space="preserve">Adoptarea rapidă a următorului cadru financiar multianual pentru a se asigura faptul că cercetarea și </w:t>
      </w:r>
      <w:r>
        <w:rPr>
          <w:rFonts w:ascii="Times New Roman" w:hAnsi="Times New Roman"/>
          <w:b/>
          <w:noProof/>
          <w:sz w:val="24"/>
          <w:szCs w:val="24"/>
          <w:lang w:val="ro-RO"/>
        </w:rPr>
        <w:t>inovarea continuă să fie în viitor una dintre prioritățile esențiale ale politicii și ale finanțării UE, în cadrul diferitelor instrumente bugetare.</w:t>
      </w:r>
    </w:p>
    <w:p w:rsidR="00CB2B59" w:rsidRDefault="00034D70">
      <w:pPr>
        <w:pStyle w:val="ListParagraph"/>
        <w:pBdr>
          <w:top w:val="single" w:sz="4" w:space="1" w:color="auto"/>
          <w:left w:val="single" w:sz="4" w:space="4" w:color="auto"/>
          <w:bottom w:val="single" w:sz="4" w:space="1" w:color="auto"/>
          <w:right w:val="single" w:sz="4" w:space="4" w:color="auto"/>
        </w:pBdr>
        <w:spacing w:before="240" w:line="240" w:lineRule="auto"/>
        <w:ind w:left="284" w:hanging="284"/>
        <w:jc w:val="both"/>
        <w:rPr>
          <w:rFonts w:ascii="Times New Roman" w:hAnsi="Times New Roman" w:cs="Times New Roman"/>
          <w:noProof/>
          <w:sz w:val="24"/>
          <w:szCs w:val="24"/>
          <w:lang w:val="ro-RO"/>
        </w:rPr>
      </w:pPr>
      <w:r>
        <w:rPr>
          <w:rFonts w:ascii="Times New Roman" w:hAnsi="Times New Roman"/>
          <w:noProof/>
          <w:sz w:val="24"/>
          <w:szCs w:val="24"/>
          <w:lang w:val="ro-RO"/>
        </w:rPr>
        <w:t>-</w:t>
      </w:r>
      <w:r>
        <w:rPr>
          <w:rFonts w:ascii="Times New Roman" w:hAnsi="Times New Roman"/>
          <w:noProof/>
          <w:sz w:val="24"/>
          <w:szCs w:val="24"/>
          <w:lang w:val="ro-RO"/>
        </w:rPr>
        <w:tab/>
      </w:r>
      <w:r>
        <w:rPr>
          <w:rFonts w:ascii="Times New Roman" w:hAnsi="Times New Roman"/>
          <w:b/>
          <w:noProof/>
          <w:sz w:val="24"/>
          <w:szCs w:val="24"/>
          <w:lang w:val="ro-RO"/>
        </w:rPr>
        <w:t xml:space="preserve">Statele membre trebuie să ia măsurile necesare pentru a-și maximiza investițiile în cercetare și inovare </w:t>
      </w:r>
      <w:r>
        <w:rPr>
          <w:rFonts w:ascii="Times New Roman" w:hAnsi="Times New Roman"/>
          <w:b/>
          <w:noProof/>
          <w:sz w:val="24"/>
          <w:szCs w:val="24"/>
          <w:lang w:val="ro-RO"/>
        </w:rPr>
        <w:t xml:space="preserve">în vederea realizării obiectivului de 3 % din produsul intern brut. </w:t>
      </w:r>
    </w:p>
    <w:p w:rsidR="00CB2B59" w:rsidRDefault="00034D70">
      <w:pPr>
        <w:pStyle w:val="ListParagraph"/>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sz w:val="24"/>
          <w:szCs w:val="24"/>
          <w:lang w:val="ro-RO"/>
        </w:rPr>
      </w:pPr>
      <w:r>
        <w:rPr>
          <w:rFonts w:ascii="Times New Roman" w:hAnsi="Times New Roman"/>
          <w:noProof/>
          <w:sz w:val="24"/>
          <w:szCs w:val="24"/>
          <w:lang w:val="ro-RO"/>
        </w:rPr>
        <w:t>-</w:t>
      </w:r>
      <w:r>
        <w:rPr>
          <w:rFonts w:ascii="Times New Roman" w:hAnsi="Times New Roman"/>
          <w:noProof/>
          <w:sz w:val="24"/>
          <w:szCs w:val="24"/>
          <w:lang w:val="ro-RO"/>
        </w:rPr>
        <w:tab/>
      </w:r>
      <w:r>
        <w:rPr>
          <w:rFonts w:ascii="Times New Roman" w:hAnsi="Times New Roman"/>
          <w:b/>
          <w:noProof/>
          <w:sz w:val="24"/>
          <w:szCs w:val="24"/>
          <w:lang w:val="ro-RO"/>
        </w:rPr>
        <w:t>Sporirea investițiilor private în cercetare și inovare și extinderea inițiativelor, cum ar fi VentureEU, pentru stimularea investițiilor private și a capitalului „răbdător” (</w:t>
      </w:r>
      <w:r>
        <w:rPr>
          <w:rFonts w:ascii="Times New Roman" w:hAnsi="Times New Roman"/>
          <w:b/>
          <w:i/>
          <w:noProof/>
          <w:sz w:val="24"/>
          <w:szCs w:val="24"/>
          <w:lang w:val="ro-RO"/>
        </w:rPr>
        <w:t>patient cap</w:t>
      </w:r>
      <w:r>
        <w:rPr>
          <w:rFonts w:ascii="Times New Roman" w:hAnsi="Times New Roman"/>
          <w:b/>
          <w:i/>
          <w:noProof/>
          <w:sz w:val="24"/>
          <w:szCs w:val="24"/>
          <w:lang w:val="ro-RO"/>
        </w:rPr>
        <w:t>ital</w:t>
      </w:r>
      <w:r>
        <w:rPr>
          <w:rFonts w:ascii="Times New Roman" w:hAnsi="Times New Roman"/>
          <w:b/>
          <w:noProof/>
          <w:sz w:val="24"/>
          <w:szCs w:val="24"/>
          <w:lang w:val="ro-RO"/>
        </w:rPr>
        <w:t>).</w:t>
      </w:r>
      <w:r>
        <w:rPr>
          <w:rFonts w:ascii="Times New Roman" w:hAnsi="Times New Roman"/>
          <w:noProof/>
          <w:sz w:val="24"/>
          <w:szCs w:val="24"/>
          <w:lang w:val="ro-RO"/>
        </w:rPr>
        <w:t xml:space="preserve"> </w:t>
      </w:r>
    </w:p>
    <w:p w:rsidR="00CB2B59" w:rsidRDefault="00CB2B59">
      <w:pPr>
        <w:pStyle w:val="ListParagraph"/>
        <w:spacing w:line="240" w:lineRule="auto"/>
        <w:ind w:left="0"/>
        <w:jc w:val="both"/>
        <w:rPr>
          <w:rFonts w:ascii="Times New Roman" w:hAnsi="Times New Roman" w:cs="Times New Roman"/>
          <w:b/>
          <w:noProof/>
          <w:sz w:val="24"/>
          <w:szCs w:val="24"/>
          <w:lang w:val="ro-RO"/>
        </w:rPr>
      </w:pPr>
    </w:p>
    <w:p w:rsidR="00CB2B59" w:rsidRDefault="00034D70">
      <w:pPr>
        <w:pStyle w:val="ListParagraph"/>
        <w:keepNext/>
        <w:spacing w:line="240" w:lineRule="auto"/>
        <w:ind w:left="0"/>
        <w:jc w:val="both"/>
        <w:rPr>
          <w:rFonts w:ascii="Times New Roman" w:hAnsi="Times New Roman" w:cs="Times New Roman"/>
          <w:b/>
          <w:noProof/>
          <w:sz w:val="24"/>
          <w:szCs w:val="24"/>
          <w:lang w:val="ro-RO"/>
        </w:rPr>
      </w:pPr>
      <w:r>
        <w:rPr>
          <w:rFonts w:ascii="Times New Roman" w:hAnsi="Times New Roman"/>
          <w:b/>
          <w:noProof/>
          <w:sz w:val="24"/>
          <w:szCs w:val="24"/>
          <w:lang w:val="ro-RO"/>
        </w:rPr>
        <w:t xml:space="preserve">2.2 </w:t>
      </w:r>
      <w:r>
        <w:rPr>
          <w:rFonts w:ascii="Times New Roman" w:hAnsi="Times New Roman"/>
          <w:b/>
          <w:noProof/>
          <w:sz w:val="24"/>
          <w:szCs w:val="24"/>
          <w:lang w:val="ro-RO"/>
        </w:rPr>
        <w:tab/>
        <w:t xml:space="preserve">Adaptarea cadrelor de reglementare la inovare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Piețele funcționale care stimulează concurența și inovarea creează locuri de muncă și creștere. Economia Europei are nevoie de un </w:t>
      </w:r>
      <w:r>
        <w:rPr>
          <w:rFonts w:ascii="Times New Roman" w:hAnsi="Times New Roman"/>
          <w:b/>
          <w:noProof/>
          <w:sz w:val="24"/>
          <w:szCs w:val="24"/>
          <w:lang w:val="ro-RO"/>
        </w:rPr>
        <w:t>cadru de reglementare</w:t>
      </w:r>
      <w:r>
        <w:rPr>
          <w:rFonts w:ascii="Times New Roman" w:hAnsi="Times New Roman"/>
          <w:noProof/>
          <w:sz w:val="24"/>
          <w:szCs w:val="24"/>
          <w:lang w:val="ro-RO"/>
        </w:rPr>
        <w:t xml:space="preserve"> orientat către inovare, cu flexibilitatea de a se adapta la o industrie și o societate care evoluează rapid. Reglementarea și asigurarea respectării normelor în materie de concurență joacă un rol esențial în stabilirea condițiilor de concurență pentru noi</w:t>
      </w:r>
      <w:r>
        <w:rPr>
          <w:rFonts w:ascii="Times New Roman" w:hAnsi="Times New Roman"/>
          <w:noProof/>
          <w:sz w:val="24"/>
          <w:szCs w:val="24"/>
          <w:lang w:val="ro-RO"/>
        </w:rPr>
        <w:t>i intrați pe piață și în stimularea inovării. Standardele comune și normele privind interoperabilitatea facilitează adoptarea și introducerea pe piață a soluțiilor inovatoare. Prin urmare, reglementarea, atât la nivel european, cât și la nivelul statelor m</w:t>
      </w:r>
      <w:r>
        <w:rPr>
          <w:rFonts w:ascii="Times New Roman" w:hAnsi="Times New Roman"/>
          <w:noProof/>
          <w:sz w:val="24"/>
          <w:szCs w:val="24"/>
          <w:lang w:val="ro-RO"/>
        </w:rPr>
        <w:t xml:space="preserve">embre, ar trebui să asigure un echilibru între previzibilitate și flexibilitate. Reglementarea ar trebui să garanteze o concurență loială, fără a sancționa eșecul sau asumarea de riscuri.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În contextul noului cadru financiar multianual, Comisia va simplifi</w:t>
      </w:r>
      <w:r>
        <w:rPr>
          <w:rFonts w:ascii="Times New Roman" w:hAnsi="Times New Roman"/>
          <w:noProof/>
          <w:sz w:val="24"/>
          <w:szCs w:val="24"/>
          <w:lang w:val="ro-RO"/>
        </w:rPr>
        <w:t xml:space="preserve">ca în continuare </w:t>
      </w:r>
      <w:r>
        <w:rPr>
          <w:rFonts w:ascii="Times New Roman" w:hAnsi="Times New Roman"/>
          <w:b/>
          <w:noProof/>
          <w:sz w:val="24"/>
          <w:szCs w:val="24"/>
          <w:lang w:val="ro-RO"/>
        </w:rPr>
        <w:t>normele privind ajutoarele de stat</w:t>
      </w:r>
      <w:r>
        <w:rPr>
          <w:rFonts w:ascii="Times New Roman" w:hAnsi="Times New Roman"/>
          <w:noProof/>
          <w:sz w:val="24"/>
          <w:szCs w:val="24"/>
          <w:lang w:val="ro-RO"/>
        </w:rPr>
        <w:t xml:space="preserve">, pentru a consolida sinergiile și pentru a sprijini finanțarea publică a proiectelor inovatoare. Aceasta va facilita combinarea fondurilor UE și a celor naționale. De asemenea, va permite proiectelor din </w:t>
      </w:r>
      <w:r>
        <w:rPr>
          <w:rFonts w:ascii="Times New Roman" w:hAnsi="Times New Roman"/>
          <w:noProof/>
          <w:sz w:val="24"/>
          <w:szCs w:val="24"/>
          <w:lang w:val="ro-RO"/>
        </w:rPr>
        <w:t>cadrul programului „Orizont Europa” cu eticheta „marca de excelență” să fie finanțate ușor la nivel regional în cadrul fondurilor structurale și de investiții europene</w:t>
      </w:r>
      <w:r>
        <w:rPr>
          <w:rStyle w:val="FootnoteReference"/>
          <w:rFonts w:ascii="Times New Roman" w:hAnsi="Times New Roman" w:cs="Times New Roman"/>
          <w:noProof/>
          <w:sz w:val="24"/>
          <w:szCs w:val="24"/>
          <w:lang w:val="ro-RO"/>
        </w:rPr>
        <w:footnoteReference w:id="34"/>
      </w:r>
      <w:r>
        <w:rPr>
          <w:noProof/>
          <w:lang w:val="ro-RO"/>
        </w:rPr>
        <w:t>.</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Autoritățile de reglementare sunt actori-cheie în materie de inovare, atât în crearea </w:t>
      </w:r>
      <w:r>
        <w:rPr>
          <w:rFonts w:ascii="Times New Roman" w:hAnsi="Times New Roman"/>
          <w:noProof/>
          <w:sz w:val="24"/>
          <w:szCs w:val="24"/>
          <w:lang w:val="ro-RO"/>
        </w:rPr>
        <w:t>condițiilor adecvate, cât și în asigurarea faptului că reglementarea inovează la fel de repede ca produsele și serviciile. Pentru a se asigura faptul că politicile europene sunt elaborate ținând cont de inovare, Comisia Europeană aplică deja</w:t>
      </w:r>
      <w:r>
        <w:rPr>
          <w:rFonts w:ascii="Times New Roman" w:hAnsi="Times New Roman"/>
          <w:b/>
          <w:noProof/>
          <w:sz w:val="24"/>
          <w:szCs w:val="24"/>
          <w:lang w:val="ro-RO"/>
        </w:rPr>
        <w:t xml:space="preserve"> principiul ino</w:t>
      </w:r>
      <w:r>
        <w:rPr>
          <w:rFonts w:ascii="Times New Roman" w:hAnsi="Times New Roman"/>
          <w:b/>
          <w:noProof/>
          <w:sz w:val="24"/>
          <w:szCs w:val="24"/>
          <w:lang w:val="ro-RO"/>
        </w:rPr>
        <w:t>vării</w:t>
      </w:r>
      <w:r>
        <w:rPr>
          <w:rStyle w:val="FootnoteReference"/>
          <w:rFonts w:ascii="Times New Roman" w:hAnsi="Times New Roman" w:cs="Times New Roman"/>
          <w:noProof/>
          <w:sz w:val="24"/>
          <w:szCs w:val="24"/>
          <w:lang w:val="ro-RO"/>
        </w:rPr>
        <w:footnoteReference w:id="35"/>
      </w:r>
      <w:r>
        <w:rPr>
          <w:rFonts w:ascii="Times New Roman" w:hAnsi="Times New Roman"/>
          <w:noProof/>
          <w:sz w:val="24"/>
          <w:szCs w:val="24"/>
          <w:lang w:val="ro-RO"/>
        </w:rPr>
        <w:t xml:space="preserve"> atunci când pregătește inițiative legislative majore. Statele membre ar trebui să intensifice eforturile similare. Cadrele de reglementare trebuie să poată permite un grad sporit de testare, învățare și adaptare, precum și mai multe politici publice</w:t>
      </w:r>
      <w:r>
        <w:rPr>
          <w:rFonts w:ascii="Times New Roman" w:hAnsi="Times New Roman"/>
          <w:noProof/>
          <w:sz w:val="24"/>
          <w:szCs w:val="24"/>
          <w:lang w:val="ro-RO"/>
        </w:rPr>
        <w:t xml:space="preserve"> pentru a utiliza mai bine toate datele și analizele existente.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Pentru a clarifica modul în care se aplică cerințele de reglementare existente ideilor inovatoare, Comisia testează </w:t>
      </w:r>
      <w:r>
        <w:rPr>
          <w:rFonts w:ascii="Times New Roman" w:hAnsi="Times New Roman"/>
          <w:b/>
          <w:noProof/>
          <w:sz w:val="24"/>
          <w:szCs w:val="24"/>
          <w:lang w:val="ro-RO"/>
        </w:rPr>
        <w:t>Acordurile pentru inovare</w:t>
      </w:r>
      <w:r>
        <w:rPr>
          <w:rFonts w:ascii="Times New Roman" w:hAnsi="Times New Roman"/>
          <w:noProof/>
          <w:sz w:val="24"/>
          <w:szCs w:val="24"/>
          <w:lang w:val="ro-RO"/>
        </w:rPr>
        <w:t>, menite să-i ajute pe inovatori să abordeze obsta</w:t>
      </w:r>
      <w:r>
        <w:rPr>
          <w:rFonts w:ascii="Times New Roman" w:hAnsi="Times New Roman"/>
          <w:noProof/>
          <w:sz w:val="24"/>
          <w:szCs w:val="24"/>
          <w:lang w:val="ro-RO"/>
        </w:rPr>
        <w:t>colele de reglementare percepute ale UE. Primele rezultate ale proiectelor-pilot privind bateriile și reutilizarea apei sugerează că experiența poate oferi un feedback util pentru a îmbunătăți reglementarea și pentru a promova inovarea.</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Pentru a stimula o </w:t>
      </w:r>
      <w:r>
        <w:rPr>
          <w:rFonts w:ascii="Times New Roman" w:hAnsi="Times New Roman"/>
          <w:noProof/>
          <w:sz w:val="24"/>
          <w:szCs w:val="24"/>
          <w:lang w:val="ro-RO"/>
        </w:rPr>
        <w:t xml:space="preserve">cultură de experimentare și de asumare a riscurilor, reglementarea eficace la nivel național este, de asemenea, esențială. Având în vedere acest lucru, Comisia a propus </w:t>
      </w:r>
      <w:r>
        <w:rPr>
          <w:rFonts w:ascii="Times New Roman" w:hAnsi="Times New Roman"/>
          <w:b/>
          <w:noProof/>
          <w:sz w:val="24"/>
          <w:szCs w:val="24"/>
          <w:lang w:val="ro-RO"/>
        </w:rPr>
        <w:t>un nou act legislativ privind insolvența</w:t>
      </w:r>
      <w:r>
        <w:rPr>
          <w:rFonts w:ascii="Times New Roman" w:hAnsi="Times New Roman"/>
          <w:noProof/>
          <w:sz w:val="24"/>
          <w:szCs w:val="24"/>
          <w:lang w:val="ro-RO"/>
        </w:rPr>
        <w:t>, care să permită societăților aflate în dificu</w:t>
      </w:r>
      <w:r>
        <w:rPr>
          <w:rFonts w:ascii="Times New Roman" w:hAnsi="Times New Roman"/>
          <w:noProof/>
          <w:sz w:val="24"/>
          <w:szCs w:val="24"/>
          <w:lang w:val="ro-RO"/>
        </w:rPr>
        <w:t>ltate să se restructureze din timp și să prevină falimentul. Acesta ar oferi o a doua șansă inovatorilor și antreprenorilor onești, prin faptul că ar beneficia de remiterea integrală de datoriile întreprinderilor anterioare, după o perioadă de 3 ani, cu li</w:t>
      </w:r>
      <w:r>
        <w:rPr>
          <w:rFonts w:ascii="Times New Roman" w:hAnsi="Times New Roman"/>
          <w:noProof/>
          <w:sz w:val="24"/>
          <w:szCs w:val="24"/>
          <w:lang w:val="ro-RO"/>
        </w:rPr>
        <w:t>mitări corespunzătoare pentru a proteja interesele generale justificate în mod corespunzător</w:t>
      </w:r>
      <w:r>
        <w:rPr>
          <w:rStyle w:val="FootnoteReference"/>
          <w:rFonts w:ascii="Times New Roman" w:hAnsi="Times New Roman" w:cs="Times New Roman"/>
          <w:noProof/>
          <w:sz w:val="24"/>
          <w:szCs w:val="24"/>
          <w:lang w:val="ro-RO"/>
        </w:rPr>
        <w:footnoteReference w:id="36"/>
      </w:r>
      <w:r>
        <w:rPr>
          <w:rFonts w:ascii="Times New Roman" w:hAnsi="Times New Roman"/>
          <w:noProof/>
          <w:sz w:val="24"/>
          <w:szCs w:val="24"/>
          <w:lang w:val="ro-RO"/>
        </w:rPr>
        <w:t>.</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Pentru a contribui la crearea și la încurajarea cererii de soluții inovatoare de către autoritățile publice, Comisia a publicat astăzi </w:t>
      </w:r>
      <w:r>
        <w:rPr>
          <w:rFonts w:ascii="Times New Roman" w:hAnsi="Times New Roman"/>
          <w:b/>
          <w:noProof/>
          <w:sz w:val="24"/>
          <w:szCs w:val="24"/>
          <w:lang w:val="ro-RO"/>
        </w:rPr>
        <w:t>orientări privind achiziți</w:t>
      </w:r>
      <w:r>
        <w:rPr>
          <w:rFonts w:ascii="Times New Roman" w:hAnsi="Times New Roman"/>
          <w:b/>
          <w:noProof/>
          <w:sz w:val="24"/>
          <w:szCs w:val="24"/>
          <w:lang w:val="ro-RO"/>
        </w:rPr>
        <w:t>ile publice în domeniul inovării</w:t>
      </w:r>
      <w:r>
        <w:rPr>
          <w:rFonts w:ascii="Times New Roman" w:hAnsi="Times New Roman"/>
          <w:noProof/>
          <w:sz w:val="24"/>
          <w:szCs w:val="24"/>
          <w:lang w:val="ro-RO"/>
        </w:rPr>
        <w:t xml:space="preserve"> referitoare la modul în care aceste achiziții publice pot fi puse în aplicare, inclusiv numeroase exemple concrete de bune practici.</w:t>
      </w:r>
      <w:r>
        <w:rPr>
          <w:rFonts w:ascii="Times New Roman" w:hAnsi="Times New Roman" w:cs="Times New Roman"/>
          <w:noProof/>
          <w:sz w:val="24"/>
          <w:szCs w:val="24"/>
          <w:vertAlign w:val="superscript"/>
          <w:lang w:val="ro-RO"/>
        </w:rPr>
        <w:footnoteReference w:id="37"/>
      </w:r>
    </w:p>
    <w:p w:rsidR="00CB2B59" w:rsidRDefault="00CB2B59">
      <w:pPr>
        <w:keepNext/>
        <w:keepLines/>
        <w:spacing w:before="120" w:after="120" w:line="240" w:lineRule="auto"/>
        <w:jc w:val="both"/>
        <w:outlineLvl w:val="2"/>
        <w:rPr>
          <w:rFonts w:ascii="Times New Roman" w:eastAsia="Times New Roman" w:hAnsi="Times New Roman" w:cs="Times New Roman"/>
          <w:noProof/>
          <w:sz w:val="24"/>
          <w:szCs w:val="24"/>
          <w:lang w:val="ro-RO" w:eastAsia="en-GB"/>
        </w:rPr>
      </w:pPr>
    </w:p>
    <w:p w:rsidR="00CB2B59" w:rsidRDefault="00034D70">
      <w:pPr>
        <w:pStyle w:val="ListParagraph"/>
        <w:keepNext/>
        <w:pBdr>
          <w:top w:val="single" w:sz="4" w:space="0" w:color="auto"/>
          <w:left w:val="single" w:sz="4" w:space="4" w:color="auto"/>
          <w:bottom w:val="single" w:sz="4" w:space="0" w:color="auto"/>
          <w:right w:val="single" w:sz="4" w:space="4" w:color="auto"/>
        </w:pBdr>
        <w:spacing w:before="120" w:line="240" w:lineRule="auto"/>
        <w:ind w:left="0"/>
        <w:jc w:val="both"/>
        <w:rPr>
          <w:rFonts w:ascii="Times New Roman" w:hAnsi="Times New Roman" w:cs="Times New Roman"/>
          <w:i/>
          <w:noProof/>
          <w:sz w:val="24"/>
          <w:szCs w:val="24"/>
          <w:lang w:val="ro-RO"/>
        </w:rPr>
      </w:pPr>
      <w:r>
        <w:rPr>
          <w:rFonts w:ascii="Times New Roman" w:hAnsi="Times New Roman"/>
          <w:i/>
          <w:noProof/>
          <w:sz w:val="24"/>
          <w:szCs w:val="24"/>
          <w:lang w:val="ro-RO"/>
        </w:rPr>
        <w:t>Etape esențiale</w:t>
      </w:r>
    </w:p>
    <w:p w:rsidR="00CB2B59" w:rsidRDefault="00CB2B59">
      <w:pPr>
        <w:pStyle w:val="ListParagraph"/>
        <w:keepNext/>
        <w:pBdr>
          <w:top w:val="single" w:sz="4" w:space="0" w:color="auto"/>
          <w:left w:val="single" w:sz="4" w:space="4" w:color="auto"/>
          <w:bottom w:val="single" w:sz="4" w:space="0" w:color="auto"/>
          <w:right w:val="single" w:sz="4" w:space="4" w:color="auto"/>
        </w:pBdr>
        <w:spacing w:before="120" w:line="240" w:lineRule="auto"/>
        <w:ind w:left="0"/>
        <w:jc w:val="both"/>
        <w:rPr>
          <w:rFonts w:ascii="Times New Roman" w:hAnsi="Times New Roman" w:cs="Times New Roman"/>
          <w:i/>
          <w:noProof/>
          <w:sz w:val="24"/>
          <w:szCs w:val="24"/>
          <w:lang w:val="ro-RO"/>
        </w:rPr>
      </w:pPr>
    </w:p>
    <w:p w:rsidR="00CB2B59" w:rsidRDefault="00034D70">
      <w:pPr>
        <w:pStyle w:val="ListParagraph"/>
        <w:pBdr>
          <w:top w:val="single" w:sz="4" w:space="0" w:color="auto"/>
          <w:left w:val="single" w:sz="4" w:space="4" w:color="auto"/>
          <w:bottom w:val="single" w:sz="4" w:space="0" w:color="auto"/>
          <w:right w:val="single" w:sz="4" w:space="4" w:color="auto"/>
        </w:pBdr>
        <w:spacing w:before="240" w:line="240" w:lineRule="auto"/>
        <w:ind w:left="284" w:hanging="284"/>
        <w:jc w:val="both"/>
        <w:rPr>
          <w:rFonts w:ascii="Times New Roman" w:hAnsi="Times New Roman" w:cs="Times New Roman"/>
          <w:noProof/>
          <w:sz w:val="24"/>
          <w:szCs w:val="24"/>
          <w:lang w:val="ro-RO"/>
        </w:rPr>
      </w:pPr>
      <w:r>
        <w:rPr>
          <w:rFonts w:ascii="Times New Roman" w:hAnsi="Times New Roman"/>
          <w:noProof/>
          <w:sz w:val="24"/>
          <w:szCs w:val="24"/>
          <w:lang w:val="ro-RO"/>
        </w:rPr>
        <w:t>-</w:t>
      </w:r>
      <w:r>
        <w:rPr>
          <w:rFonts w:ascii="Times New Roman" w:hAnsi="Times New Roman"/>
          <w:noProof/>
          <w:sz w:val="24"/>
          <w:szCs w:val="24"/>
          <w:lang w:val="ro-RO"/>
        </w:rPr>
        <w:tab/>
      </w:r>
      <w:r>
        <w:rPr>
          <w:rFonts w:ascii="Times New Roman" w:hAnsi="Times New Roman"/>
          <w:b/>
          <w:noProof/>
          <w:sz w:val="24"/>
          <w:szCs w:val="24"/>
          <w:lang w:val="ro-RO"/>
        </w:rPr>
        <w:t xml:space="preserve">Elaborarea unor cadre de reglementare ale UE și naționale adaptate </w:t>
      </w:r>
      <w:r>
        <w:rPr>
          <w:rFonts w:ascii="Times New Roman" w:hAnsi="Times New Roman"/>
          <w:b/>
          <w:noProof/>
          <w:sz w:val="24"/>
          <w:szCs w:val="24"/>
          <w:lang w:val="ro-RO"/>
        </w:rPr>
        <w:t>exigențelor viitorului care să aplice principiul inovării.</w:t>
      </w:r>
      <w:r>
        <w:rPr>
          <w:rFonts w:ascii="Times New Roman" w:hAnsi="Times New Roman"/>
          <w:noProof/>
          <w:sz w:val="24"/>
          <w:szCs w:val="24"/>
          <w:lang w:val="ro-RO"/>
        </w:rPr>
        <w:t xml:space="preserve"> </w:t>
      </w:r>
      <w:r>
        <w:rPr>
          <w:rFonts w:ascii="Times New Roman" w:hAnsi="Times New Roman"/>
          <w:b/>
          <w:noProof/>
          <w:sz w:val="24"/>
          <w:szCs w:val="24"/>
          <w:lang w:val="ro-RO"/>
        </w:rPr>
        <w:t>Acest lucru ar asigura faptul că, de fiecare dată când politica și legislația sunt revizuite, elaborate sau puse în aplicare, impactul asupra inovării este evaluat pe deplin.</w:t>
      </w:r>
    </w:p>
    <w:p w:rsidR="00CB2B59" w:rsidRDefault="00034D70">
      <w:pPr>
        <w:pStyle w:val="ListParagraph"/>
        <w:pBdr>
          <w:top w:val="single" w:sz="4" w:space="0" w:color="auto"/>
          <w:left w:val="single" w:sz="4" w:space="4" w:color="auto"/>
          <w:bottom w:val="single" w:sz="4" w:space="0" w:color="auto"/>
          <w:right w:val="single" w:sz="4" w:space="4" w:color="auto"/>
        </w:pBdr>
        <w:spacing w:before="240" w:line="240" w:lineRule="auto"/>
        <w:ind w:left="284" w:hanging="284"/>
        <w:jc w:val="both"/>
        <w:rPr>
          <w:rFonts w:ascii="Times New Roman" w:hAnsi="Times New Roman" w:cs="Times New Roman"/>
          <w:noProof/>
          <w:sz w:val="24"/>
          <w:szCs w:val="24"/>
          <w:lang w:val="ro-RO"/>
        </w:rPr>
      </w:pPr>
      <w:r>
        <w:rPr>
          <w:rFonts w:ascii="Times New Roman" w:hAnsi="Times New Roman"/>
          <w:noProof/>
          <w:sz w:val="24"/>
          <w:szCs w:val="24"/>
          <w:lang w:val="ro-RO"/>
        </w:rPr>
        <w:t>-</w:t>
      </w:r>
      <w:r>
        <w:rPr>
          <w:rFonts w:ascii="Times New Roman" w:hAnsi="Times New Roman"/>
          <w:noProof/>
          <w:sz w:val="24"/>
          <w:szCs w:val="24"/>
          <w:lang w:val="ro-RO"/>
        </w:rPr>
        <w:tab/>
      </w:r>
      <w:r>
        <w:rPr>
          <w:rFonts w:ascii="Times New Roman" w:hAnsi="Times New Roman"/>
          <w:b/>
          <w:noProof/>
          <w:sz w:val="24"/>
          <w:szCs w:val="24"/>
          <w:lang w:val="ro-RO"/>
        </w:rPr>
        <w:t>Acordarea de priorit</w:t>
      </w:r>
      <w:r>
        <w:rPr>
          <w:rFonts w:ascii="Times New Roman" w:hAnsi="Times New Roman"/>
          <w:b/>
          <w:noProof/>
          <w:sz w:val="24"/>
          <w:szCs w:val="24"/>
          <w:lang w:val="ro-RO"/>
        </w:rPr>
        <w:t>ate transpunerii Directivei privind cadrele de restructurare preventivă, a doua șansă și măsurile de sporire a eficienței procedurilor de restructurare, de insolvență și de remitere de datorie.</w:t>
      </w:r>
    </w:p>
    <w:p w:rsidR="00CB2B59" w:rsidRDefault="00034D70">
      <w:pPr>
        <w:pStyle w:val="ListParagraph"/>
        <w:pBdr>
          <w:top w:val="single" w:sz="4" w:space="0" w:color="auto"/>
          <w:left w:val="single" w:sz="4" w:space="4" w:color="auto"/>
          <w:bottom w:val="single" w:sz="4" w:space="0" w:color="auto"/>
          <w:right w:val="single" w:sz="4" w:space="4" w:color="auto"/>
        </w:pBdr>
        <w:spacing w:before="240" w:line="240" w:lineRule="auto"/>
        <w:ind w:left="284" w:hanging="284"/>
        <w:jc w:val="both"/>
        <w:rPr>
          <w:rFonts w:ascii="Times New Roman" w:hAnsi="Times New Roman" w:cs="Times New Roman"/>
          <w:b/>
          <w:noProof/>
          <w:sz w:val="24"/>
          <w:szCs w:val="24"/>
          <w:lang w:val="ro-RO"/>
        </w:rPr>
      </w:pPr>
      <w:r>
        <w:rPr>
          <w:rFonts w:ascii="Times New Roman" w:hAnsi="Times New Roman"/>
          <w:b/>
          <w:noProof/>
          <w:sz w:val="24"/>
          <w:szCs w:val="24"/>
          <w:lang w:val="ro-RO"/>
        </w:rPr>
        <w:t>-</w:t>
      </w:r>
      <w:r>
        <w:rPr>
          <w:rFonts w:ascii="Times New Roman" w:hAnsi="Times New Roman"/>
          <w:b/>
          <w:noProof/>
          <w:sz w:val="24"/>
          <w:szCs w:val="24"/>
          <w:lang w:val="ro-RO"/>
        </w:rPr>
        <w:tab/>
        <w:t>Comisia va simplifica în continuare normele sale privind aju</w:t>
      </w:r>
      <w:r>
        <w:rPr>
          <w:rFonts w:ascii="Times New Roman" w:hAnsi="Times New Roman"/>
          <w:b/>
          <w:noProof/>
          <w:sz w:val="24"/>
          <w:szCs w:val="24"/>
          <w:lang w:val="ro-RO"/>
        </w:rPr>
        <w:t xml:space="preserve">toarele de stat. Acest lucru va contribui la facilitarea combinării fără sincope a diferitelor fonduri, precum și la îmbunătățirea utilizării standardelor comune de evaluare pentru proiectele de cercetare și inovare. </w:t>
      </w:r>
    </w:p>
    <w:p w:rsidR="00CB2B59" w:rsidRDefault="00034D70">
      <w:pPr>
        <w:keepNext/>
        <w:spacing w:before="360" w:after="240" w:line="240" w:lineRule="auto"/>
        <w:rPr>
          <w:rFonts w:ascii="Times New Roman" w:hAnsi="Times New Roman" w:cs="Times New Roman"/>
          <w:b/>
          <w:noProof/>
          <w:sz w:val="24"/>
          <w:szCs w:val="24"/>
          <w:lang w:val="ro-RO"/>
        </w:rPr>
      </w:pPr>
      <w:r>
        <w:rPr>
          <w:rFonts w:ascii="Times New Roman" w:hAnsi="Times New Roman"/>
          <w:b/>
          <w:noProof/>
          <w:sz w:val="24"/>
          <w:szCs w:val="24"/>
          <w:lang w:val="ro-RO"/>
        </w:rPr>
        <w:t>2.3 Transformarea Europei într-un lide</w:t>
      </w:r>
      <w:r>
        <w:rPr>
          <w:rFonts w:ascii="Times New Roman" w:hAnsi="Times New Roman"/>
          <w:b/>
          <w:noProof/>
          <w:sz w:val="24"/>
          <w:szCs w:val="24"/>
          <w:lang w:val="ro-RO"/>
        </w:rPr>
        <w:t>r în inovarea creatoare de piață</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Europa este lider mondial în domeniul științei. Găzduim unele dintre mințile cele mai creative și antreprenoriale și unele dintre cele mai inovatoare idei din întreaga lume. Acesta este un obiectiv pe termen lung, dar încă </w:t>
      </w:r>
      <w:r>
        <w:rPr>
          <w:rFonts w:ascii="Times New Roman" w:hAnsi="Times New Roman"/>
          <w:noProof/>
          <w:sz w:val="24"/>
          <w:szCs w:val="24"/>
          <w:lang w:val="ro-RO"/>
        </w:rPr>
        <w:t xml:space="preserve">ne străduim să aducem inovația pe piață. </w:t>
      </w:r>
    </w:p>
    <w:p w:rsidR="00CB2B59" w:rsidRDefault="00034D70">
      <w:pPr>
        <w:tabs>
          <w:tab w:val="left" w:pos="284"/>
        </w:tabs>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Europa este relativ puternică în ceea ce privește adăugarea sau menținerea valorii produselor, a serviciilor și a proceselor existente, cunoscute sub numele de inovare progresivă.</w:t>
      </w:r>
      <w:r>
        <w:rPr>
          <w:rFonts w:ascii="Times New Roman" w:hAnsi="Times New Roman"/>
          <w:noProof/>
          <w:sz w:val="24"/>
          <w:szCs w:val="24"/>
          <w:lang w:val="ro-RO"/>
        </w:rPr>
        <w:t xml:space="preserve"> Am văzut acest lucru în sectoare v</w:t>
      </w:r>
      <w:r>
        <w:rPr>
          <w:rFonts w:ascii="Times New Roman" w:hAnsi="Times New Roman"/>
          <w:noProof/>
          <w:sz w:val="24"/>
          <w:szCs w:val="24"/>
          <w:lang w:val="ro-RO"/>
        </w:rPr>
        <w:t>ariate, cum ar fi industria spațială, aeronautică, farmaceutică și electronică, energia regenerabilă, bioindustriile și tehnologiile avansate de fabricație. Am făcut, de asemenea, progrese în sprijinirea inovării prin intermediul tehnologiilor generice ese</w:t>
      </w:r>
      <w:r>
        <w:rPr>
          <w:rFonts w:ascii="Times New Roman" w:hAnsi="Times New Roman"/>
          <w:noProof/>
          <w:sz w:val="24"/>
          <w:szCs w:val="24"/>
          <w:lang w:val="ro-RO"/>
        </w:rPr>
        <w:t>nțiale, cum ar fi robotica, fotonica și biotehnologia</w:t>
      </w:r>
      <w:r>
        <w:rPr>
          <w:rStyle w:val="FootnoteReference"/>
          <w:rFonts w:ascii="Times New Roman" w:hAnsi="Times New Roman" w:cs="Times New Roman"/>
          <w:noProof/>
          <w:sz w:val="24"/>
          <w:szCs w:val="24"/>
          <w:lang w:val="ro-RO"/>
        </w:rPr>
        <w:footnoteReference w:id="38"/>
      </w:r>
      <w:r>
        <w:rPr>
          <w:rFonts w:ascii="Times New Roman" w:hAnsi="Times New Roman"/>
          <w:noProof/>
          <w:sz w:val="24"/>
          <w:szCs w:val="24"/>
          <w:lang w:val="ro-RO"/>
        </w:rPr>
        <w:t xml:space="preserve">. </w:t>
      </w:r>
      <w:r>
        <w:rPr>
          <w:rFonts w:ascii="Times New Roman" w:hAnsi="Times New Roman"/>
          <w:noProof/>
          <w:sz w:val="24"/>
          <w:lang w:val="ro-RO"/>
        </w:rPr>
        <w:t>A</w:t>
      </w:r>
      <w:r>
        <w:rPr>
          <w:rFonts w:ascii="Times New Roman" w:hAnsi="Times New Roman"/>
          <w:noProof/>
          <w:sz w:val="24"/>
          <w:szCs w:val="24"/>
          <w:lang w:val="ro-RO"/>
        </w:rPr>
        <w:t>ceste tehnologii pot fi utilizate și aplicate în multe industrii, generează cunoștințe și noi forme de participare și sunt esențiale pentru abordarea principalelor provocări societale, susținând toto</w:t>
      </w:r>
      <w:r>
        <w:rPr>
          <w:rFonts w:ascii="Times New Roman" w:hAnsi="Times New Roman"/>
          <w:noProof/>
          <w:sz w:val="24"/>
          <w:szCs w:val="24"/>
          <w:lang w:val="ro-RO"/>
        </w:rPr>
        <w:t>dată poziția de lider a UE în sectorul industrial</w:t>
      </w:r>
      <w:r>
        <w:rPr>
          <w:rStyle w:val="FootnoteReference"/>
          <w:rFonts w:ascii="Times New Roman" w:hAnsi="Times New Roman"/>
          <w:noProof/>
          <w:sz w:val="24"/>
          <w:szCs w:val="24"/>
          <w:vertAlign w:val="baseline"/>
          <w:lang w:val="ro-RO"/>
        </w:rPr>
        <w:t xml:space="preserve"> </w:t>
      </w:r>
      <w:r>
        <w:rPr>
          <w:rStyle w:val="FootnoteReference"/>
          <w:rFonts w:ascii="Times New Roman" w:hAnsi="Times New Roman" w:cs="Times New Roman"/>
          <w:noProof/>
          <w:sz w:val="24"/>
          <w:szCs w:val="24"/>
          <w:lang w:val="ro-RO"/>
        </w:rPr>
        <w:footnoteReference w:id="39"/>
      </w:r>
      <w:r>
        <w:rPr>
          <w:noProof/>
          <w:lang w:val="ro-RO"/>
        </w:rPr>
        <w:t>.</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Dar Europa trebuie să obțină rezultate mai bune în ceea ce privește generarea de inovații revoluționare și deschizătoare de drumuri.  </w:t>
      </w:r>
    </w:p>
    <w:p w:rsidR="00CB2B59" w:rsidRDefault="00034D70">
      <w:pPr>
        <w:spacing w:after="0" w:line="240" w:lineRule="auto"/>
        <w:jc w:val="both"/>
        <w:rPr>
          <w:rFonts w:ascii="Calibri" w:eastAsia="Calibri" w:hAnsi="Calibri" w:cs="Times New Roman"/>
          <w:noProof/>
          <w:color w:val="1F497D"/>
          <w:sz w:val="24"/>
          <w:lang w:val="ro-RO"/>
        </w:rPr>
      </w:pPr>
      <w:r>
        <w:rPr>
          <w:rFonts w:ascii="Times New Roman" w:hAnsi="Times New Roman"/>
          <w:noProof/>
          <w:sz w:val="24"/>
          <w:highlight w:val="lightGray"/>
          <w:lang w:val="ro-RO"/>
        </w:rPr>
        <w:t xml:space="preserve">O </w:t>
      </w:r>
      <w:r>
        <w:rPr>
          <w:rFonts w:ascii="Times New Roman" w:hAnsi="Times New Roman"/>
          <w:i/>
          <w:noProof/>
          <w:sz w:val="24"/>
          <w:highlight w:val="lightGray"/>
          <w:lang w:val="ro-RO"/>
        </w:rPr>
        <w:t>inovație revoluționară</w:t>
      </w:r>
      <w:r>
        <w:rPr>
          <w:rFonts w:ascii="Times New Roman" w:hAnsi="Times New Roman"/>
          <w:noProof/>
          <w:sz w:val="24"/>
          <w:highlight w:val="lightGray"/>
          <w:lang w:val="ro-RO"/>
        </w:rPr>
        <w:t xml:space="preserve"> conduce la produse, servicii sau procese complet noi sau la îmbunătățiri substanțiale ale calității celor existente. Un exemplu ar fi dublarea densității energiei într-o baterie pentru o mașină electrică. Această inovație lansează modele de afaceri și opo</w:t>
      </w:r>
      <w:r>
        <w:rPr>
          <w:rFonts w:ascii="Times New Roman" w:hAnsi="Times New Roman"/>
          <w:noProof/>
          <w:sz w:val="24"/>
          <w:highlight w:val="lightGray"/>
          <w:lang w:val="ro-RO"/>
        </w:rPr>
        <w:t>rtunități de piață complet noi.</w:t>
      </w:r>
      <w:r>
        <w:rPr>
          <w:rFonts w:ascii="Calibri" w:hAnsi="Calibri"/>
          <w:noProof/>
          <w:color w:val="1F497D"/>
          <w:sz w:val="24"/>
          <w:highlight w:val="lightGray"/>
          <w:lang w:val="ro-RO"/>
        </w:rPr>
        <w:t xml:space="preserve"> </w:t>
      </w:r>
      <w:r>
        <w:rPr>
          <w:rFonts w:ascii="Times New Roman" w:hAnsi="Times New Roman" w:cs="Times New Roman"/>
          <w:noProof/>
          <w:sz w:val="24"/>
          <w:highlight w:val="lightGray"/>
          <w:lang w:val="ro-RO"/>
        </w:rPr>
        <w:t>În</w:t>
      </w:r>
      <w:r>
        <w:rPr>
          <w:rFonts w:ascii="Times New Roman" w:hAnsi="Times New Roman"/>
          <w:noProof/>
          <w:sz w:val="24"/>
          <w:highlight w:val="lightGray"/>
          <w:lang w:val="ro-RO"/>
        </w:rPr>
        <w:t xml:space="preserve"> comparație cu inovarea progresivă, inovațiile revoluționare tind să provină de la actorii nou-intrați, adesea întreprinderi nou-înființate fără active sau fluxuri de numerar existente. Acești actori au tendința de a-și as</w:t>
      </w:r>
      <w:r>
        <w:rPr>
          <w:rFonts w:ascii="Times New Roman" w:hAnsi="Times New Roman"/>
          <w:noProof/>
          <w:sz w:val="24"/>
          <w:highlight w:val="lightGray"/>
          <w:lang w:val="ro-RO"/>
        </w:rPr>
        <w:t xml:space="preserve">uma riscuri mai mari în ceea ce privește tehnologia, piața și reglementarea. O </w:t>
      </w:r>
      <w:r>
        <w:rPr>
          <w:rFonts w:ascii="Times New Roman" w:hAnsi="Times New Roman"/>
          <w:i/>
          <w:noProof/>
          <w:sz w:val="24"/>
          <w:highlight w:val="lightGray"/>
          <w:lang w:val="ro-RO"/>
        </w:rPr>
        <w:t>inovație deschizătoare de drumuri</w:t>
      </w:r>
      <w:r>
        <w:rPr>
          <w:rFonts w:ascii="Times New Roman" w:hAnsi="Times New Roman"/>
          <w:noProof/>
          <w:sz w:val="24"/>
          <w:highlight w:val="lightGray"/>
          <w:lang w:val="ro-RO"/>
        </w:rPr>
        <w:t xml:space="preserve"> este o inovație în urma căreia o soluție sau o industrie existentă poate deveni depășită. Printre exemplele clasice se numără serviciile de tel</w:t>
      </w:r>
      <w:r>
        <w:rPr>
          <w:rFonts w:ascii="Times New Roman" w:hAnsi="Times New Roman"/>
          <w:noProof/>
          <w:sz w:val="24"/>
          <w:highlight w:val="lightGray"/>
          <w:lang w:val="ro-RO"/>
        </w:rPr>
        <w:t>efonie inteligentă și serviciile de difuzare online în timp real (streaming) de muzică și conținut video. Inovațiile deschizătoare de drumuri creează produse și servicii complet noi, precum și noi modele de afaceri sau, în unele cazuri, chiar noi piețe.</w:t>
      </w:r>
    </w:p>
    <w:p w:rsidR="00CB2B59" w:rsidRDefault="00CB2B59">
      <w:pPr>
        <w:tabs>
          <w:tab w:val="left" w:pos="426"/>
        </w:tabs>
        <w:spacing w:after="0" w:line="240" w:lineRule="auto"/>
        <w:jc w:val="both"/>
        <w:rPr>
          <w:rFonts w:ascii="Times New Roman" w:hAnsi="Times New Roman" w:cs="Times New Roman"/>
          <w:noProof/>
          <w:sz w:val="24"/>
          <w:szCs w:val="24"/>
          <w:lang w:val="ro-RO"/>
        </w:rPr>
      </w:pPr>
    </w:p>
    <w:p w:rsidR="00CB2B59" w:rsidRDefault="00034D70">
      <w:pPr>
        <w:tabs>
          <w:tab w:val="left" w:pos="426"/>
        </w:tabs>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Inovațiile revoluționare și deschizătoare de drumuri sunt încă prea rare în Europa. </w:t>
      </w:r>
      <w:r>
        <w:rPr>
          <w:rFonts w:ascii="Times New Roman" w:hAnsi="Times New Roman"/>
          <w:noProof/>
          <w:sz w:val="24"/>
          <w:szCs w:val="24"/>
          <w:lang w:val="ro-RO"/>
        </w:rPr>
        <w:t>Această situație este generată de o serie de factori, printre care se numără lipsa capitalului de risc, o aversiune profundă față de risc, lipsa transferului de noi tehnolo</w:t>
      </w:r>
      <w:r>
        <w:rPr>
          <w:rFonts w:ascii="Times New Roman" w:hAnsi="Times New Roman"/>
          <w:noProof/>
          <w:sz w:val="24"/>
          <w:szCs w:val="24"/>
          <w:lang w:val="ro-RO"/>
        </w:rPr>
        <w:t xml:space="preserve">gii din baza de cercetare și incapacitatea de a exploata scara Uniunii. Prea puține întreprinderi europene nou-înființate supraviețuiesc dincolo de faza inițială critică, de 2-3 ani. </w:t>
      </w:r>
      <w:r>
        <w:rPr>
          <w:rFonts w:ascii="Times New Roman" w:hAnsi="Times New Roman"/>
          <w:noProof/>
          <w:sz w:val="24"/>
          <w:lang w:val="ro-RO"/>
        </w:rPr>
        <w:t>Dintre cele care trec de acest punct, prea puține ajung să se dezvolte în</w:t>
      </w:r>
      <w:r>
        <w:rPr>
          <w:rFonts w:ascii="Times New Roman" w:hAnsi="Times New Roman"/>
          <w:noProof/>
          <w:sz w:val="24"/>
          <w:lang w:val="ro-RO"/>
        </w:rPr>
        <w:t xml:space="preserve"> firme mai mari și să se extindă la nivel mondial</w:t>
      </w:r>
      <w:r>
        <w:rPr>
          <w:rStyle w:val="FootnoteReference"/>
          <w:rFonts w:ascii="Times New Roman" w:hAnsi="Times New Roman"/>
          <w:noProof/>
          <w:sz w:val="24"/>
          <w:szCs w:val="24"/>
          <w:lang w:val="ro-RO"/>
        </w:rPr>
        <w:footnoteReference w:id="40"/>
      </w:r>
      <w:r>
        <w:rPr>
          <w:noProof/>
          <w:lang w:val="ro-RO"/>
        </w:rPr>
        <w:t>.</w:t>
      </w:r>
      <w:r>
        <w:rPr>
          <w:rFonts w:ascii="Times New Roman" w:hAnsi="Times New Roman"/>
          <w:noProof/>
          <w:sz w:val="24"/>
          <w:szCs w:val="24"/>
          <w:lang w:val="ro-RO"/>
        </w:rPr>
        <w:t xml:space="preserve"> Mai puțin de 5 % din întreprinderile mici și mijlocii europene se extind pe plan internațional</w:t>
      </w:r>
      <w:r>
        <w:rPr>
          <w:rStyle w:val="FootnoteReference"/>
          <w:rFonts w:ascii="Times New Roman" w:hAnsi="Times New Roman" w:cs="Times New Roman"/>
          <w:noProof/>
          <w:sz w:val="24"/>
          <w:szCs w:val="24"/>
          <w:lang w:val="ro-RO"/>
        </w:rPr>
        <w:footnoteReference w:id="41"/>
      </w:r>
      <w:r>
        <w:rPr>
          <w:rFonts w:ascii="Times New Roman" w:hAnsi="Times New Roman"/>
          <w:noProof/>
          <w:sz w:val="24"/>
          <w:szCs w:val="24"/>
          <w:lang w:val="ro-RO"/>
        </w:rPr>
        <w:t>.</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Pentru a contribui la încurajarea inovațiilor revoluționare majore în Europa, Comisia propune crearea unui </w:t>
      </w:r>
      <w:r>
        <w:rPr>
          <w:rFonts w:ascii="Times New Roman" w:hAnsi="Times New Roman"/>
          <w:b/>
          <w:noProof/>
          <w:sz w:val="24"/>
          <w:szCs w:val="24"/>
          <w:lang w:val="ro-RO"/>
        </w:rPr>
        <w:t>Consiliu European pentru Inovare</w:t>
      </w:r>
      <w:r>
        <w:rPr>
          <w:rFonts w:ascii="Times New Roman" w:hAnsi="Times New Roman"/>
          <w:noProof/>
          <w:sz w:val="24"/>
          <w:szCs w:val="24"/>
          <w:lang w:val="ro-RO"/>
        </w:rPr>
        <w:t>.</w:t>
      </w:r>
      <w:r>
        <w:rPr>
          <w:rFonts w:ascii="Times New Roman" w:hAnsi="Times New Roman"/>
          <w:b/>
          <w:noProof/>
          <w:sz w:val="24"/>
          <w:szCs w:val="24"/>
          <w:lang w:val="ro-RO"/>
        </w:rPr>
        <w:t xml:space="preserve"> </w:t>
      </w:r>
      <w:r>
        <w:rPr>
          <w:rFonts w:ascii="Times New Roman" w:hAnsi="Times New Roman"/>
          <w:noProof/>
          <w:sz w:val="24"/>
          <w:szCs w:val="24"/>
          <w:lang w:val="ro-RO"/>
        </w:rPr>
        <w:t>Acesta</w:t>
      </w:r>
      <w:r>
        <w:rPr>
          <w:rFonts w:ascii="Times New Roman" w:hAnsi="Times New Roman"/>
          <w:b/>
          <w:noProof/>
          <w:sz w:val="24"/>
          <w:szCs w:val="24"/>
          <w:lang w:val="ro-RO"/>
        </w:rPr>
        <w:t xml:space="preserve"> </w:t>
      </w:r>
      <w:r>
        <w:rPr>
          <w:rFonts w:ascii="Times New Roman" w:hAnsi="Times New Roman"/>
          <w:noProof/>
          <w:sz w:val="24"/>
          <w:szCs w:val="24"/>
          <w:lang w:val="ro-RO"/>
        </w:rPr>
        <w:t>va oferi un ghișeu unic pentru tehnologiile revoluționare și cu potențial ridicat, precum și pentru societățile inovatoare cu potențial de extindere. Va sprijini traiectoria comercială a ideilor promițătoare de la c</w:t>
      </w:r>
      <w:r>
        <w:rPr>
          <w:rFonts w:ascii="Times New Roman" w:hAnsi="Times New Roman"/>
          <w:noProof/>
          <w:sz w:val="24"/>
          <w:szCs w:val="24"/>
          <w:lang w:val="ro-RO"/>
        </w:rPr>
        <w:t>ercetare la industrie, care se va realiza prin intermediul întreprinderilor nou-înființate, al celor de tip spin-out sau al transferurilor către industrie. Consiliul European pentru Inovare va sprijini extinderea inovării în faza de lansare pentru a se asi</w:t>
      </w:r>
      <w:r>
        <w:rPr>
          <w:rFonts w:ascii="Times New Roman" w:hAnsi="Times New Roman"/>
          <w:noProof/>
          <w:sz w:val="24"/>
          <w:szCs w:val="24"/>
          <w:lang w:val="ro-RO"/>
        </w:rPr>
        <w:t>gura că aceasta se concretizează în mai multe locuri de muncă și creștere economică</w:t>
      </w:r>
      <w:r>
        <w:rPr>
          <w:rFonts w:ascii="Times New Roman" w:hAnsi="Times New Roman" w:cs="Times New Roman"/>
          <w:noProof/>
          <w:sz w:val="24"/>
          <w:szCs w:val="24"/>
          <w:vertAlign w:val="superscript"/>
          <w:lang w:val="ro-RO"/>
        </w:rPr>
        <w:footnoteReference w:id="42"/>
      </w:r>
      <w:r>
        <w:rPr>
          <w:rFonts w:ascii="Times New Roman" w:hAnsi="Times New Roman"/>
          <w:noProof/>
          <w:sz w:val="24"/>
          <w:szCs w:val="24"/>
          <w:lang w:val="ro-RO"/>
        </w:rPr>
        <w:t xml:space="preserve">. Va realiza acest lucru prin optimizarea, raționalizarea și simplificarea structurilor existente. Consiliul European pentru Inovare va lucra în complementaritate cu </w:t>
      </w:r>
      <w:r>
        <w:rPr>
          <w:rFonts w:ascii="Times New Roman" w:hAnsi="Times New Roman"/>
          <w:b/>
          <w:noProof/>
          <w:sz w:val="24"/>
          <w:szCs w:val="24"/>
          <w:lang w:val="ro-RO"/>
        </w:rPr>
        <w:t>Instit</w:t>
      </w:r>
      <w:r>
        <w:rPr>
          <w:rFonts w:ascii="Times New Roman" w:hAnsi="Times New Roman"/>
          <w:b/>
          <w:noProof/>
          <w:sz w:val="24"/>
          <w:szCs w:val="24"/>
          <w:lang w:val="ro-RO"/>
        </w:rPr>
        <w:t>utul European de Inovare și Tehnologie</w:t>
      </w:r>
      <w:r>
        <w:rPr>
          <w:rFonts w:ascii="Times New Roman" w:hAnsi="Times New Roman"/>
          <w:noProof/>
          <w:sz w:val="24"/>
          <w:szCs w:val="24"/>
          <w:lang w:val="ro-RO"/>
        </w:rPr>
        <w:t>.</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A fost lansat deja un proiect-pilot, care grupează schemele existente relevante și introduce primele reforme în cadrul programului „Orizont 2020”. În acest scop, s-au alocat 2,7 miliarde EUR în perioada 2018-2020. Vi</w:t>
      </w:r>
      <w:r>
        <w:rPr>
          <w:rFonts w:ascii="Times New Roman" w:hAnsi="Times New Roman"/>
          <w:noProof/>
          <w:sz w:val="24"/>
          <w:szCs w:val="24"/>
          <w:lang w:val="ro-RO"/>
        </w:rPr>
        <w:t>itorul Consiliu European pentru Inovare, cu drepturi depline, va fi gestionat într-un mod care să permită investiții în proiecte cu risc mai ridicat. Pe baza consilierii strategice oferite de inovatori de vârf, acesta va acorda prioritate excelenței și amp</w:t>
      </w:r>
      <w:r>
        <w:rPr>
          <w:rFonts w:ascii="Times New Roman" w:hAnsi="Times New Roman"/>
          <w:noProof/>
          <w:sz w:val="24"/>
          <w:szCs w:val="24"/>
          <w:lang w:val="ro-RO"/>
        </w:rPr>
        <w:t>lorii impactului. Ar trebui să accelereze comercializarea și extinderea inovațiilor de către întreprinderi nou-înființate, create prin proiectele „Orizont Europa”. De asemenea, ar trebui să ofere consiliere privind schemele de finanțare a cercetării și ino</w:t>
      </w:r>
      <w:r>
        <w:rPr>
          <w:rFonts w:ascii="Times New Roman" w:hAnsi="Times New Roman"/>
          <w:noProof/>
          <w:sz w:val="24"/>
          <w:szCs w:val="24"/>
          <w:lang w:val="ro-RO"/>
        </w:rPr>
        <w:t xml:space="preserve">vării pentru a asigura concentrarea, amploarea și punerea în aplicare a priorităților politicii europene.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Comisia va completa aceste acțiuni cu inițiativa „</w:t>
      </w:r>
      <w:r>
        <w:rPr>
          <w:rFonts w:ascii="Times New Roman" w:hAnsi="Times New Roman"/>
          <w:b/>
          <w:noProof/>
          <w:sz w:val="24"/>
          <w:lang w:val="ro-RO"/>
        </w:rPr>
        <w:t>Radarul inovării</w:t>
      </w:r>
      <w:r>
        <w:rPr>
          <w:rFonts w:ascii="Times New Roman" w:hAnsi="Times New Roman"/>
          <w:noProof/>
          <w:sz w:val="24"/>
          <w:lang w:val="ro-RO"/>
        </w:rPr>
        <w:t xml:space="preserve">”, un instrument care să permită identificarea inovațiilor cu potențial de piață, </w:t>
      </w:r>
      <w:r>
        <w:rPr>
          <w:rFonts w:ascii="Times New Roman" w:hAnsi="Times New Roman"/>
          <w:noProof/>
          <w:sz w:val="24"/>
          <w:lang w:val="ro-RO"/>
        </w:rPr>
        <w:t>finanțate din bugetul UE.</w:t>
      </w:r>
    </w:p>
    <w:p w:rsidR="00CB2B59" w:rsidRDefault="00034D70">
      <w:pPr>
        <w:pStyle w:val="ListParagraph"/>
        <w:keepNext/>
        <w:pBdr>
          <w:top w:val="single" w:sz="4" w:space="1" w:color="auto"/>
          <w:left w:val="single" w:sz="4" w:space="4" w:color="auto"/>
          <w:bottom w:val="single" w:sz="4" w:space="1" w:color="auto"/>
          <w:right w:val="single" w:sz="4" w:space="4" w:color="auto"/>
        </w:pBdr>
        <w:spacing w:before="240" w:line="240" w:lineRule="auto"/>
        <w:ind w:left="0"/>
        <w:jc w:val="both"/>
        <w:rPr>
          <w:rFonts w:ascii="Times New Roman" w:hAnsi="Times New Roman" w:cs="Times New Roman"/>
          <w:i/>
          <w:noProof/>
          <w:sz w:val="24"/>
          <w:szCs w:val="24"/>
          <w:lang w:val="ro-RO"/>
        </w:rPr>
      </w:pPr>
      <w:r>
        <w:rPr>
          <w:rFonts w:ascii="Times New Roman" w:hAnsi="Times New Roman"/>
          <w:i/>
          <w:noProof/>
          <w:sz w:val="24"/>
          <w:szCs w:val="24"/>
          <w:lang w:val="ro-RO"/>
        </w:rPr>
        <w:t>Etape esențiale</w:t>
      </w:r>
    </w:p>
    <w:p w:rsidR="00CB2B59" w:rsidRDefault="00CB2B59">
      <w:pPr>
        <w:pStyle w:val="ListParagraph"/>
        <w:keepNext/>
        <w:pBdr>
          <w:top w:val="single" w:sz="4" w:space="1" w:color="auto"/>
          <w:left w:val="single" w:sz="4" w:space="4" w:color="auto"/>
          <w:bottom w:val="single" w:sz="4" w:space="1" w:color="auto"/>
          <w:right w:val="single" w:sz="4" w:space="4" w:color="auto"/>
        </w:pBdr>
        <w:spacing w:before="240" w:line="240" w:lineRule="auto"/>
        <w:ind w:left="0"/>
        <w:jc w:val="both"/>
        <w:rPr>
          <w:rFonts w:ascii="Times New Roman" w:hAnsi="Times New Roman" w:cs="Times New Roman"/>
          <w:i/>
          <w:noProof/>
          <w:sz w:val="24"/>
          <w:szCs w:val="24"/>
          <w:lang w:val="ro-RO"/>
        </w:rPr>
      </w:pPr>
    </w:p>
    <w:p w:rsidR="00CB2B59" w:rsidRDefault="00034D70">
      <w:pPr>
        <w:pStyle w:val="ListParagraph"/>
        <w:pBdr>
          <w:top w:val="single" w:sz="4" w:space="1" w:color="auto"/>
          <w:left w:val="single" w:sz="4" w:space="4" w:color="auto"/>
          <w:bottom w:val="single" w:sz="4" w:space="1" w:color="auto"/>
          <w:right w:val="single" w:sz="4" w:space="4" w:color="auto"/>
        </w:pBdr>
        <w:spacing w:before="240" w:line="240" w:lineRule="auto"/>
        <w:ind w:left="284" w:hanging="284"/>
        <w:jc w:val="both"/>
        <w:rPr>
          <w:noProof/>
          <w:lang w:val="ro-RO"/>
        </w:rPr>
      </w:pPr>
      <w:r>
        <w:rPr>
          <w:rFonts w:ascii="Times New Roman" w:hAnsi="Times New Roman"/>
          <w:noProof/>
          <w:sz w:val="24"/>
          <w:szCs w:val="24"/>
          <w:lang w:val="ro-RO"/>
        </w:rPr>
        <w:t>-</w:t>
      </w:r>
      <w:r>
        <w:rPr>
          <w:rFonts w:ascii="Times New Roman" w:hAnsi="Times New Roman"/>
          <w:noProof/>
          <w:sz w:val="24"/>
          <w:szCs w:val="24"/>
          <w:lang w:val="ro-RO"/>
        </w:rPr>
        <w:tab/>
      </w:r>
      <w:r>
        <w:rPr>
          <w:rFonts w:ascii="Times New Roman" w:hAnsi="Times New Roman"/>
          <w:b/>
          <w:noProof/>
          <w:sz w:val="24"/>
          <w:szCs w:val="24"/>
          <w:lang w:val="ro-RO"/>
        </w:rPr>
        <w:t xml:space="preserve">Înființarea unui Consiliu European pentru Inovare în vederea identificării și a extinderii inovațiilor revoluționare și deschizătoare de drumuri. </w:t>
      </w:r>
      <w:r>
        <w:rPr>
          <w:rFonts w:ascii="Times New Roman" w:hAnsi="Times New Roman"/>
          <w:b/>
          <w:noProof/>
          <w:sz w:val="24"/>
          <w:lang w:val="ro-RO"/>
        </w:rPr>
        <w:t>Se va pune accentul pe inovațiile rapide, cu grad ridicat de risc</w:t>
      </w:r>
      <w:r>
        <w:rPr>
          <w:rFonts w:ascii="Times New Roman" w:hAnsi="Times New Roman"/>
          <w:b/>
          <w:noProof/>
          <w:sz w:val="24"/>
          <w:lang w:val="ro-RO"/>
        </w:rPr>
        <w:t>, care au un potențial puternic de a crea piețe complet noi.</w:t>
      </w:r>
      <w:r>
        <w:rPr>
          <w:rFonts w:ascii="Arial" w:hAnsi="Arial"/>
          <w:b/>
          <w:noProof/>
          <w:lang w:val="ro-RO"/>
        </w:rPr>
        <w:t xml:space="preserve"> </w:t>
      </w:r>
    </w:p>
    <w:p w:rsidR="00CB2B59" w:rsidRDefault="00CB2B59">
      <w:pPr>
        <w:pStyle w:val="ListParagraph"/>
        <w:spacing w:line="240" w:lineRule="auto"/>
        <w:ind w:left="0"/>
        <w:rPr>
          <w:rFonts w:ascii="Times New Roman" w:hAnsi="Times New Roman" w:cs="Times New Roman"/>
          <w:b/>
          <w:i/>
          <w:noProof/>
          <w:sz w:val="24"/>
          <w:szCs w:val="24"/>
          <w:lang w:val="ro-RO"/>
        </w:rPr>
      </w:pPr>
    </w:p>
    <w:p w:rsidR="00CB2B59" w:rsidRDefault="00CB2B59">
      <w:pPr>
        <w:pStyle w:val="ListParagraph"/>
        <w:spacing w:line="240" w:lineRule="auto"/>
        <w:ind w:left="0"/>
        <w:rPr>
          <w:rFonts w:ascii="Times New Roman" w:hAnsi="Times New Roman" w:cs="Times New Roman"/>
          <w:b/>
          <w:i/>
          <w:noProof/>
          <w:sz w:val="24"/>
          <w:szCs w:val="24"/>
          <w:lang w:val="ro-RO"/>
        </w:rPr>
      </w:pPr>
    </w:p>
    <w:p w:rsidR="00CB2B59" w:rsidRDefault="00034D70">
      <w:pPr>
        <w:pStyle w:val="ListParagraph"/>
        <w:keepNext/>
        <w:spacing w:line="240" w:lineRule="auto"/>
        <w:ind w:left="0"/>
        <w:jc w:val="both"/>
        <w:rPr>
          <w:rFonts w:ascii="Times New Roman" w:hAnsi="Times New Roman" w:cs="Times New Roman"/>
          <w:b/>
          <w:noProof/>
          <w:sz w:val="24"/>
          <w:szCs w:val="24"/>
          <w:lang w:val="ro-RO"/>
        </w:rPr>
      </w:pPr>
      <w:r>
        <w:rPr>
          <w:rFonts w:ascii="Times New Roman" w:hAnsi="Times New Roman"/>
          <w:b/>
          <w:noProof/>
          <w:sz w:val="24"/>
          <w:szCs w:val="24"/>
          <w:lang w:val="ro-RO"/>
        </w:rPr>
        <w:t xml:space="preserve">2.4 </w:t>
      </w:r>
      <w:r>
        <w:rPr>
          <w:rFonts w:ascii="Times New Roman" w:hAnsi="Times New Roman"/>
          <w:b/>
          <w:noProof/>
          <w:sz w:val="24"/>
          <w:szCs w:val="24"/>
          <w:lang w:val="ro-RO"/>
        </w:rPr>
        <w:tab/>
        <w:t xml:space="preserve">Stabilirea misiunilor de cercetare și inovare la nivelul întregii UE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Sprijinul european pentru cercetare și inovare ajută UE să își îndeplinească prioritățile, să faciliteze viața de zi </w:t>
      </w:r>
      <w:r>
        <w:rPr>
          <w:rFonts w:ascii="Times New Roman" w:hAnsi="Times New Roman"/>
          <w:noProof/>
          <w:sz w:val="24"/>
          <w:szCs w:val="24"/>
          <w:lang w:val="ro-RO"/>
        </w:rPr>
        <w:t>cu zi a cetățenilor săi și să contribuie la realizarea unor progrese majore, care vor avea un impact asupra a milioane de persoane din întreaga lume. De la îndeplinirea angajamentelor pe care ni le-am asumat în cadrul Acordului de la Paris privind schimbăr</w:t>
      </w:r>
      <w:r>
        <w:rPr>
          <w:rFonts w:ascii="Times New Roman" w:hAnsi="Times New Roman"/>
          <w:noProof/>
          <w:sz w:val="24"/>
          <w:szCs w:val="24"/>
          <w:lang w:val="ro-RO"/>
        </w:rPr>
        <w:t xml:space="preserve">ile climatice, la descoperirea de noi planete și realizarea de progrese majore în tratarea cancerului, finanțarea UE are o valoare adăugată reală și demonstrabilă. Poate chiar vă va ajuta să printați o versiune 3D a casei dumneavoastră de vis, în viitorul </w:t>
      </w:r>
      <w:r>
        <w:rPr>
          <w:rFonts w:ascii="Times New Roman" w:hAnsi="Times New Roman"/>
          <w:noProof/>
          <w:sz w:val="24"/>
          <w:szCs w:val="24"/>
          <w:lang w:val="ro-RO"/>
        </w:rPr>
        <w:t>apropiat.</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Europa poate prelua această valoare adăugată și poate genera un impact mai accentuat prin stabilirea unor misiuni de cercetare și inovare la nivelul UE. Acestea ar stabili obiective ambițioase care ar extinde limitele cercetării și inovării, ar d</w:t>
      </w:r>
      <w:r>
        <w:rPr>
          <w:rFonts w:ascii="Times New Roman" w:hAnsi="Times New Roman"/>
          <w:noProof/>
          <w:sz w:val="24"/>
          <w:szCs w:val="24"/>
          <w:lang w:val="ro-RO"/>
        </w:rPr>
        <w:t>irecționa agenda noastră în materie de locuri de muncă, creștere și competitivitate și ar contribui la soluționarea unora dintre cele mai mari provocări ale societății. Aceste misiuni ar fi definite în strânsă cooperare cu statele membre, cu părțile intere</w:t>
      </w:r>
      <w:r>
        <w:rPr>
          <w:rFonts w:ascii="Times New Roman" w:hAnsi="Times New Roman"/>
          <w:noProof/>
          <w:sz w:val="24"/>
          <w:szCs w:val="24"/>
          <w:lang w:val="ro-RO"/>
        </w:rPr>
        <w:t xml:space="preserve">sate și cu cetățenii. Acestea ar putea varia de la lupta împotriva bolilor, la transportul curat sau eliminarea plasticului din oceane.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Recunoscând faptul că ceea ce se măsoară se realizează, aceste misiuni ar trebui să stabilească obiective ambițioase, </w:t>
      </w:r>
      <w:r>
        <w:rPr>
          <w:rFonts w:ascii="Times New Roman" w:hAnsi="Times New Roman"/>
          <w:noProof/>
          <w:sz w:val="24"/>
          <w:szCs w:val="24"/>
          <w:lang w:val="ro-RO"/>
        </w:rPr>
        <w:t>direcționate și încadrate în timp. Luând exemplul plasticului din oceane, aceste obiective ar putea include, de exemplu, reducerea cu 90 % a cantității de materiale plastice care intră în mediul marin și colectarea a mai mult de jumătate din materialele pl</w:t>
      </w:r>
      <w:r>
        <w:rPr>
          <w:rFonts w:ascii="Times New Roman" w:hAnsi="Times New Roman"/>
          <w:noProof/>
          <w:sz w:val="24"/>
          <w:szCs w:val="24"/>
          <w:lang w:val="ro-RO"/>
        </w:rPr>
        <w:t>astice prezente în oceanele noastre până în 2025.</w:t>
      </w:r>
    </w:p>
    <w:p w:rsidR="00CB2B59" w:rsidRDefault="00034D70">
      <w:pPr>
        <w:spacing w:line="240" w:lineRule="auto"/>
        <w:jc w:val="both"/>
        <w:rPr>
          <w:rFonts w:ascii="Times New Roman" w:hAnsi="Times New Roman" w:cs="Times New Roman"/>
          <w:b/>
          <w:noProof/>
          <w:sz w:val="24"/>
          <w:szCs w:val="24"/>
          <w:lang w:val="ro-RO"/>
        </w:rPr>
      </w:pPr>
      <w:r>
        <w:rPr>
          <w:rFonts w:ascii="Times New Roman" w:hAnsi="Times New Roman"/>
          <w:noProof/>
          <w:sz w:val="24"/>
          <w:lang w:val="ro-RO"/>
        </w:rPr>
        <w:t>Misiunile vor încuraja investițiile și participarea în mai multe sectoare în toate lanțurile valorice, domeniile de politică (de exemplu, energia și clima, transporturile, producția avansată, sănătatea și n</w:t>
      </w:r>
      <w:r>
        <w:rPr>
          <w:rFonts w:ascii="Times New Roman" w:hAnsi="Times New Roman"/>
          <w:noProof/>
          <w:sz w:val="24"/>
          <w:lang w:val="ro-RO"/>
        </w:rPr>
        <w:t>utriția, domeniul digital); disciplinele științifice (inclusiv științele sociale și umaniste), precum și diferiți actori și diferite părți interesate.</w:t>
      </w:r>
      <w:r>
        <w:rPr>
          <w:rFonts w:ascii="Times New Roman" w:hAnsi="Times New Roman"/>
          <w:b/>
          <w:noProof/>
          <w:sz w:val="24"/>
          <w:szCs w:val="24"/>
          <w:lang w:val="ro-RO"/>
        </w:rPr>
        <w:t xml:space="preserve"> </w:t>
      </w:r>
      <w:r>
        <w:rPr>
          <w:rFonts w:ascii="Times New Roman" w:hAnsi="Times New Roman"/>
          <w:noProof/>
          <w:sz w:val="24"/>
          <w:szCs w:val="24"/>
          <w:lang w:val="ro-RO"/>
        </w:rPr>
        <w:t>Acest lucru necesită un proces cuprinzător, care identifică zonele cu cel mai mare potențial în ceea ce p</w:t>
      </w:r>
      <w:r>
        <w:rPr>
          <w:rFonts w:ascii="Times New Roman" w:hAnsi="Times New Roman"/>
          <w:noProof/>
          <w:sz w:val="24"/>
          <w:szCs w:val="24"/>
          <w:lang w:val="ro-RO"/>
        </w:rPr>
        <w:t>rivește amploarea impactului economic, pe de o parte, și abordează provocările societale, pe de altă parte. Misiunile ar putea să aibă o orientare societală, științifică sau tehnologică și ar trebui să creeze sinergii cu strategiile de cercetare și inovare</w:t>
      </w:r>
      <w:r>
        <w:rPr>
          <w:rFonts w:ascii="Times New Roman" w:hAnsi="Times New Roman"/>
          <w:noProof/>
          <w:sz w:val="24"/>
          <w:szCs w:val="24"/>
          <w:lang w:val="ro-RO"/>
        </w:rPr>
        <w:t xml:space="preserve"> la nivelul statelor membre, precum și la nivel regional și local.</w:t>
      </w:r>
      <w:r>
        <w:rPr>
          <w:rFonts w:ascii="Times New Roman" w:hAnsi="Times New Roman"/>
          <w:noProof/>
          <w:sz w:val="24"/>
          <w:lang w:val="ro-RO"/>
        </w:rPr>
        <w:t xml:space="preserve">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Misiunile ar trebui să încurajeze și chiar să impună experimentarea și asumarea de riscuri. Membrii acestor misiuni vor putea să valorifice și să continue experiența proiectelor emblematic</w:t>
      </w:r>
      <w:r>
        <w:rPr>
          <w:rFonts w:ascii="Times New Roman" w:hAnsi="Times New Roman"/>
          <w:noProof/>
          <w:sz w:val="24"/>
          <w:szCs w:val="24"/>
          <w:lang w:val="ro-RO"/>
        </w:rPr>
        <w:t>e „Grafen” și „Creierul uman”</w:t>
      </w:r>
      <w:r>
        <w:rPr>
          <w:rStyle w:val="FootnoteReference"/>
          <w:rFonts w:ascii="Times New Roman" w:hAnsi="Times New Roman" w:cs="Times New Roman"/>
          <w:noProof/>
          <w:sz w:val="24"/>
          <w:szCs w:val="24"/>
          <w:lang w:val="ro-RO"/>
        </w:rPr>
        <w:footnoteReference w:id="43"/>
      </w:r>
      <w:r>
        <w:rPr>
          <w:rFonts w:ascii="Times New Roman" w:hAnsi="Times New Roman"/>
          <w:noProof/>
          <w:sz w:val="24"/>
          <w:szCs w:val="24"/>
          <w:lang w:val="ro-RO"/>
        </w:rPr>
        <w:t xml:space="preserve"> și, mai recent, a proiectului „Quantum”, care au demonstrat ambiție și o abordare robustă axată pe tehnologie și cercetare multidisciplinară. </w:t>
      </w:r>
    </w:p>
    <w:p w:rsidR="00CB2B59" w:rsidRDefault="00034D70">
      <w:pPr>
        <w:pStyle w:val="ListParagraph"/>
        <w:keepNext/>
        <w:pBdr>
          <w:top w:val="single" w:sz="4" w:space="1" w:color="auto"/>
          <w:left w:val="single" w:sz="4" w:space="4" w:color="auto"/>
          <w:bottom w:val="single" w:sz="4" w:space="1" w:color="auto"/>
          <w:right w:val="single" w:sz="4" w:space="4" w:color="auto"/>
        </w:pBdr>
        <w:spacing w:after="240" w:line="240" w:lineRule="auto"/>
        <w:ind w:left="0"/>
        <w:jc w:val="both"/>
        <w:rPr>
          <w:rFonts w:ascii="Times New Roman" w:hAnsi="Times New Roman" w:cs="Times New Roman"/>
          <w:i/>
          <w:noProof/>
          <w:sz w:val="24"/>
          <w:szCs w:val="24"/>
          <w:lang w:val="ro-RO"/>
        </w:rPr>
      </w:pPr>
      <w:r>
        <w:rPr>
          <w:rFonts w:ascii="Times New Roman" w:hAnsi="Times New Roman"/>
          <w:i/>
          <w:noProof/>
          <w:sz w:val="24"/>
          <w:szCs w:val="24"/>
          <w:lang w:val="ro-RO"/>
        </w:rPr>
        <w:t>Etape esențiale</w:t>
      </w:r>
    </w:p>
    <w:p w:rsidR="00CB2B59" w:rsidRDefault="00CB2B59">
      <w:pPr>
        <w:pStyle w:val="ListParagraph"/>
        <w:keepNext/>
        <w:pBdr>
          <w:top w:val="single" w:sz="4" w:space="1" w:color="auto"/>
          <w:left w:val="single" w:sz="4" w:space="4" w:color="auto"/>
          <w:bottom w:val="single" w:sz="4" w:space="1" w:color="auto"/>
          <w:right w:val="single" w:sz="4" w:space="4" w:color="auto"/>
        </w:pBdr>
        <w:spacing w:after="240" w:line="240" w:lineRule="auto"/>
        <w:ind w:left="0"/>
        <w:jc w:val="both"/>
        <w:rPr>
          <w:rFonts w:ascii="Times New Roman" w:hAnsi="Times New Roman" w:cs="Times New Roman"/>
          <w:i/>
          <w:noProof/>
          <w:sz w:val="24"/>
          <w:szCs w:val="24"/>
          <w:lang w:val="ro-RO"/>
        </w:rPr>
      </w:pPr>
    </w:p>
    <w:p w:rsidR="00CB2B59" w:rsidRDefault="00034D70">
      <w:pPr>
        <w:pStyle w:val="ListParagraph"/>
        <w:pBdr>
          <w:top w:val="single" w:sz="4" w:space="1" w:color="auto"/>
          <w:left w:val="single" w:sz="4" w:space="4" w:color="auto"/>
          <w:bottom w:val="single" w:sz="4" w:space="1" w:color="auto"/>
          <w:right w:val="single" w:sz="4" w:space="4" w:color="auto"/>
        </w:pBdr>
        <w:spacing w:before="240" w:after="240" w:line="240" w:lineRule="auto"/>
        <w:ind w:left="284" w:hanging="284"/>
        <w:jc w:val="both"/>
        <w:rPr>
          <w:rFonts w:ascii="Times New Roman" w:hAnsi="Times New Roman" w:cs="Times New Roman"/>
          <w:noProof/>
          <w:sz w:val="24"/>
          <w:szCs w:val="24"/>
          <w:lang w:val="ro-RO"/>
        </w:rPr>
      </w:pPr>
      <w:r>
        <w:rPr>
          <w:rFonts w:ascii="Times New Roman" w:hAnsi="Times New Roman"/>
          <w:noProof/>
          <w:sz w:val="24"/>
          <w:szCs w:val="24"/>
          <w:lang w:val="ro-RO"/>
        </w:rPr>
        <w:t>-</w:t>
      </w:r>
      <w:r>
        <w:rPr>
          <w:rFonts w:ascii="Times New Roman" w:hAnsi="Times New Roman"/>
          <w:noProof/>
          <w:sz w:val="24"/>
          <w:szCs w:val="24"/>
          <w:lang w:val="ro-RO"/>
        </w:rPr>
        <w:tab/>
      </w:r>
      <w:r>
        <w:rPr>
          <w:rFonts w:ascii="Times New Roman" w:hAnsi="Times New Roman"/>
          <w:b/>
          <w:noProof/>
          <w:sz w:val="24"/>
          <w:szCs w:val="24"/>
          <w:lang w:val="ro-RO"/>
        </w:rPr>
        <w:t xml:space="preserve">Lansarea unui prim set de misiuni de cercetare și inovare la </w:t>
      </w:r>
      <w:r>
        <w:rPr>
          <w:rFonts w:ascii="Times New Roman" w:hAnsi="Times New Roman"/>
          <w:b/>
          <w:noProof/>
          <w:sz w:val="24"/>
          <w:szCs w:val="24"/>
          <w:lang w:val="ro-RO"/>
        </w:rPr>
        <w:t>nivelul UE, cu obiective îndrăznețe, ambițioase și o valoare adăugată europeană accentuată.</w:t>
      </w:r>
      <w:r>
        <w:rPr>
          <w:rFonts w:ascii="Times New Roman" w:hAnsi="Times New Roman"/>
          <w:noProof/>
          <w:sz w:val="24"/>
          <w:szCs w:val="24"/>
          <w:lang w:val="ro-RO"/>
        </w:rPr>
        <w:t xml:space="preserve"> </w:t>
      </w:r>
    </w:p>
    <w:p w:rsidR="00CB2B59" w:rsidRDefault="00CB2B59">
      <w:pPr>
        <w:pStyle w:val="ListParagraph"/>
        <w:spacing w:line="240" w:lineRule="auto"/>
        <w:ind w:left="0"/>
        <w:rPr>
          <w:rFonts w:ascii="Times New Roman" w:hAnsi="Times New Roman" w:cs="Times New Roman"/>
          <w:b/>
          <w:i/>
          <w:noProof/>
          <w:sz w:val="24"/>
          <w:szCs w:val="24"/>
          <w:lang w:val="ro-RO"/>
        </w:rPr>
      </w:pPr>
    </w:p>
    <w:p w:rsidR="00CB2B59" w:rsidRDefault="00CB2B59">
      <w:pPr>
        <w:pStyle w:val="ListParagraph"/>
        <w:spacing w:line="240" w:lineRule="auto"/>
        <w:ind w:left="0"/>
        <w:rPr>
          <w:rFonts w:ascii="Times New Roman" w:hAnsi="Times New Roman" w:cs="Times New Roman"/>
          <w:b/>
          <w:i/>
          <w:noProof/>
          <w:sz w:val="24"/>
          <w:szCs w:val="24"/>
          <w:lang w:val="ro-RO"/>
        </w:rPr>
      </w:pPr>
    </w:p>
    <w:p w:rsidR="00CB2B59" w:rsidRDefault="00034D70">
      <w:pPr>
        <w:pStyle w:val="ListParagraph"/>
        <w:keepNext/>
        <w:spacing w:line="240" w:lineRule="auto"/>
        <w:ind w:left="0"/>
        <w:jc w:val="both"/>
        <w:rPr>
          <w:rFonts w:ascii="Times New Roman" w:hAnsi="Times New Roman" w:cs="Times New Roman"/>
          <w:b/>
          <w:noProof/>
          <w:sz w:val="24"/>
          <w:szCs w:val="24"/>
          <w:lang w:val="ro-RO"/>
        </w:rPr>
      </w:pPr>
      <w:r>
        <w:rPr>
          <w:rFonts w:ascii="Times New Roman" w:hAnsi="Times New Roman"/>
          <w:b/>
          <w:noProof/>
          <w:sz w:val="24"/>
          <w:szCs w:val="24"/>
          <w:lang w:val="ro-RO"/>
        </w:rPr>
        <w:t xml:space="preserve">2.5 Sprijinirea diseminării rapide a inovării și a adoptării în întreaga Uniune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În Europa a existat un decalaj clar în materie de inovare între nord și sud și î</w:t>
      </w:r>
      <w:r>
        <w:rPr>
          <w:rFonts w:ascii="Times New Roman" w:hAnsi="Times New Roman"/>
          <w:noProof/>
          <w:sz w:val="24"/>
          <w:szCs w:val="24"/>
          <w:lang w:val="ro-RO"/>
        </w:rPr>
        <w:t>ntre vest și est. Cu toate acestea, acum această divizare este mult mai nuanțată, deoarece o serie de țări au înregistrat progrese semnificative în ceea ce privește recuperarea, în special în materie de niveluri ale investițiilor. Centre de excelență știin</w:t>
      </w:r>
      <w:r>
        <w:rPr>
          <w:rFonts w:ascii="Times New Roman" w:hAnsi="Times New Roman"/>
          <w:noProof/>
          <w:sz w:val="24"/>
          <w:szCs w:val="24"/>
          <w:lang w:val="ro-RO"/>
        </w:rPr>
        <w:t>ț</w:t>
      </w:r>
      <w:r>
        <w:rPr>
          <w:rFonts w:ascii="Times New Roman" w:hAnsi="Times New Roman"/>
          <w:noProof/>
          <w:sz w:val="24"/>
          <w:szCs w:val="24"/>
          <w:lang w:val="ro-RO"/>
        </w:rPr>
        <w:t>ifică și tehnologică au apărut pretutindeni în Europa. Însă decalajul în materie de inovare între regiuni continuă să persiste, mai multe zone rămânând mult în urmă în ceea ce privește investițiile, capacitatea de inovare și performanța. Deficiențele în d</w:t>
      </w:r>
      <w:r>
        <w:rPr>
          <w:rFonts w:ascii="Times New Roman" w:hAnsi="Times New Roman"/>
          <w:noProof/>
          <w:sz w:val="24"/>
          <w:szCs w:val="24"/>
          <w:lang w:val="ro-RO"/>
        </w:rPr>
        <w:t>iseminarea inovării explică în mare măsură creșterea lentă a productivității agregate a Europei</w:t>
      </w:r>
      <w:r>
        <w:rPr>
          <w:rStyle w:val="FootnoteReference"/>
          <w:rFonts w:ascii="Times New Roman" w:hAnsi="Times New Roman" w:cs="Times New Roman"/>
          <w:noProof/>
          <w:sz w:val="24"/>
          <w:szCs w:val="24"/>
          <w:lang w:val="ro-RO"/>
        </w:rPr>
        <w:footnoteReference w:id="44"/>
      </w:r>
      <w:r>
        <w:rPr>
          <w:rFonts w:ascii="Times New Roman" w:hAnsi="Times New Roman"/>
          <w:noProof/>
          <w:sz w:val="24"/>
          <w:szCs w:val="24"/>
          <w:lang w:val="ro-RO"/>
        </w:rPr>
        <w:t>.</w:t>
      </w:r>
    </w:p>
    <w:p w:rsidR="00CB2B59" w:rsidRDefault="00034D70">
      <w:pPr>
        <w:keepNext/>
        <w:spacing w:after="120" w:line="240" w:lineRule="auto"/>
        <w:jc w:val="center"/>
        <w:rPr>
          <w:rFonts w:ascii="Times New Roman" w:hAnsi="Times New Roman" w:cs="Times New Roman"/>
          <w:i/>
          <w:noProof/>
          <w:szCs w:val="24"/>
          <w:lang w:val="ro-RO"/>
        </w:rPr>
      </w:pPr>
      <w:r>
        <w:rPr>
          <w:rFonts w:ascii="Times New Roman" w:hAnsi="Times New Roman"/>
          <w:b/>
          <w:noProof/>
          <w:lang w:val="ro-RO"/>
        </w:rPr>
        <w:t>Performanța regiunilor UE în ceea ce privește inovarea</w:t>
      </w:r>
      <w:r>
        <w:rPr>
          <w:rStyle w:val="FootnoteReference"/>
          <w:rFonts w:ascii="Times New Roman" w:hAnsi="Times New Roman"/>
          <w:noProof/>
          <w:lang w:val="ro-RO"/>
        </w:rPr>
        <w:footnoteReference w:id="45"/>
      </w:r>
      <w:r>
        <w:rPr>
          <w:rFonts w:ascii="Times New Roman" w:hAnsi="Times New Roman"/>
          <w:i/>
          <w:noProof/>
          <w:szCs w:val="24"/>
          <w:lang w:val="ro-RO"/>
        </w:rPr>
        <w:t xml:space="preserve"> </w:t>
      </w:r>
    </w:p>
    <w:p w:rsidR="00CB2B59" w:rsidRDefault="00034D70">
      <w:pPr>
        <w:spacing w:after="0" w:line="240" w:lineRule="auto"/>
        <w:jc w:val="center"/>
        <w:rPr>
          <w:rFonts w:ascii="Times New Roman" w:hAnsi="Times New Roman" w:cs="Times New Roman"/>
          <w:noProof/>
          <w:sz w:val="24"/>
          <w:szCs w:val="24"/>
          <w:lang w:val="ro-RO"/>
        </w:rPr>
      </w:pPr>
      <w:r>
        <w:rPr>
          <w:noProof/>
          <w:lang w:eastAsia="en-GB"/>
        </w:rPr>
        <w:drawing>
          <wp:inline distT="0" distB="0" distL="0" distR="0" wp14:anchorId="5633A127" wp14:editId="15BA25DE">
            <wp:extent cx="4286580" cy="48243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77982" cy="4814682"/>
                    </a:xfrm>
                    <a:prstGeom prst="rect">
                      <a:avLst/>
                    </a:prstGeom>
                    <a:noFill/>
                    <a:ln>
                      <a:noFill/>
                    </a:ln>
                  </pic:spPr>
                </pic:pic>
              </a:graphicData>
            </a:graphic>
          </wp:inline>
        </w:drawing>
      </w:r>
    </w:p>
    <w:p w:rsidR="00CB2B59" w:rsidRDefault="00CB2B59">
      <w:pPr>
        <w:spacing w:line="240" w:lineRule="auto"/>
        <w:jc w:val="both"/>
        <w:rPr>
          <w:rFonts w:ascii="Times New Roman" w:hAnsi="Times New Roman" w:cs="Times New Roman"/>
          <w:noProof/>
          <w:sz w:val="24"/>
          <w:szCs w:val="24"/>
          <w:lang w:val="ro-RO"/>
        </w:rPr>
      </w:pP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Sunt necesare eforturi suplimentare pentru a accelera adoptarea inovării în regiunile mai puțin </w:t>
      </w:r>
      <w:r>
        <w:rPr>
          <w:rFonts w:ascii="Times New Roman" w:hAnsi="Times New Roman"/>
          <w:noProof/>
          <w:sz w:val="24"/>
          <w:szCs w:val="24"/>
          <w:lang w:val="ro-RO"/>
        </w:rPr>
        <w:t>dezvoltate și în sectoarele mai tradiționale. Investițiile trebuie să devină mai eficiente, mai eficace și mai bine adaptate la nevoile regionale și locale.</w:t>
      </w:r>
      <w:r>
        <w:rPr>
          <w:rFonts w:ascii="Calibri" w:hAnsi="Calibri"/>
          <w:noProof/>
          <w:lang w:val="ro-RO"/>
        </w:rPr>
        <w:t xml:space="preserve"> </w:t>
      </w:r>
      <w:r>
        <w:rPr>
          <w:rFonts w:ascii="Times New Roman" w:hAnsi="Times New Roman"/>
          <w:noProof/>
          <w:sz w:val="24"/>
          <w:szCs w:val="24"/>
          <w:lang w:val="ro-RO"/>
        </w:rPr>
        <w:t xml:space="preserve">Finanțarea UE a avut un rol esențial în dezvoltarea ecosistemelor de inovare regionale, inclusiv a </w:t>
      </w:r>
      <w:r>
        <w:rPr>
          <w:rFonts w:ascii="Times New Roman" w:hAnsi="Times New Roman"/>
          <w:noProof/>
          <w:sz w:val="24"/>
          <w:szCs w:val="24"/>
          <w:lang w:val="ro-RO"/>
        </w:rPr>
        <w:t xml:space="preserve">„centrelor de inovare”, care oferă întreprinderilor mici și mijlocii acces facil la infrastructură și expertiză pentru a experimenta noile tehnologii. Pentru a sprijini aceste eforturi, </w:t>
      </w:r>
      <w:r>
        <w:rPr>
          <w:rFonts w:ascii="Times New Roman" w:hAnsi="Times New Roman"/>
          <w:b/>
          <w:noProof/>
          <w:sz w:val="24"/>
          <w:szCs w:val="24"/>
          <w:lang w:val="ro-RO"/>
        </w:rPr>
        <w:t>strategiile de specializare inteligentă</w:t>
      </w:r>
      <w:r>
        <w:rPr>
          <w:rFonts w:ascii="Times New Roman" w:hAnsi="Times New Roman"/>
          <w:noProof/>
          <w:sz w:val="24"/>
          <w:szCs w:val="24"/>
          <w:lang w:val="ro-RO"/>
        </w:rPr>
        <w:t xml:space="preserve"> sunt esențiale pentru a se asi</w:t>
      </w:r>
      <w:r>
        <w:rPr>
          <w:rFonts w:ascii="Times New Roman" w:hAnsi="Times New Roman"/>
          <w:noProof/>
          <w:sz w:val="24"/>
          <w:szCs w:val="24"/>
          <w:lang w:val="ro-RO"/>
        </w:rPr>
        <w:t>gura faptul că toate regiunile UE își pot valorifica potențialul și reușesc în tranziția industrială bazată pe inovare</w:t>
      </w:r>
      <w:r>
        <w:rPr>
          <w:rStyle w:val="FootnoteReference"/>
          <w:rFonts w:ascii="Times New Roman" w:hAnsi="Times New Roman" w:cs="Times New Roman"/>
          <w:noProof/>
          <w:sz w:val="24"/>
          <w:szCs w:val="24"/>
          <w:lang w:val="ro-RO"/>
        </w:rPr>
        <w:footnoteReference w:id="46"/>
      </w:r>
      <w:r>
        <w:rPr>
          <w:rFonts w:ascii="Times New Roman" w:hAnsi="Times New Roman"/>
          <w:noProof/>
          <w:sz w:val="24"/>
          <w:szCs w:val="24"/>
          <w:lang w:val="ro-RO"/>
        </w:rPr>
        <w:t>.</w:t>
      </w:r>
    </w:p>
    <w:p w:rsidR="00CB2B59" w:rsidRDefault="00034D70">
      <w:pPr>
        <w:shd w:val="clear" w:color="auto" w:fill="B3ABAF" w:themeFill="background1" w:themeFillShade="BF"/>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Începând cu anul 2014, accentul pus pe inovare în cadrul </w:t>
      </w:r>
      <w:r>
        <w:rPr>
          <w:rFonts w:ascii="Times New Roman" w:hAnsi="Times New Roman"/>
          <w:b/>
          <w:noProof/>
          <w:sz w:val="24"/>
          <w:szCs w:val="24"/>
          <w:lang w:val="ro-RO"/>
        </w:rPr>
        <w:t xml:space="preserve">fondurilor structurale și de investiții europene </w:t>
      </w:r>
      <w:r>
        <w:rPr>
          <w:rFonts w:ascii="Times New Roman" w:hAnsi="Times New Roman"/>
          <w:noProof/>
          <w:sz w:val="24"/>
          <w:szCs w:val="24"/>
          <w:lang w:val="ro-RO"/>
        </w:rPr>
        <w:t>a fost consolidat prin interm</w:t>
      </w:r>
      <w:r>
        <w:rPr>
          <w:rFonts w:ascii="Times New Roman" w:hAnsi="Times New Roman"/>
          <w:noProof/>
          <w:sz w:val="24"/>
          <w:szCs w:val="24"/>
          <w:lang w:val="ro-RO"/>
        </w:rPr>
        <w:t xml:space="preserve">ediul a 120 de strategii de specializare inteligentă, care promovează inovarea bazată pe punctele forte ale fiecărei regiuni. Sunt disponibile aproximativ 80 de miliarde EUR din </w:t>
      </w:r>
      <w:r>
        <w:rPr>
          <w:rFonts w:ascii="Times New Roman" w:hAnsi="Times New Roman"/>
          <w:b/>
          <w:noProof/>
          <w:sz w:val="24"/>
          <w:szCs w:val="24"/>
          <w:lang w:val="ro-RO"/>
        </w:rPr>
        <w:t>Fondul european pentru dezvoltare regională,</w:t>
      </w:r>
      <w:r>
        <w:rPr>
          <w:rFonts w:ascii="Times New Roman" w:hAnsi="Times New Roman"/>
          <w:noProof/>
          <w:sz w:val="24"/>
          <w:szCs w:val="24"/>
          <w:lang w:val="ro-RO"/>
        </w:rPr>
        <w:t xml:space="preserve"> cu scopul de a încuraja antrepren</w:t>
      </w:r>
      <w:r>
        <w:rPr>
          <w:rFonts w:ascii="Times New Roman" w:hAnsi="Times New Roman"/>
          <w:noProof/>
          <w:sz w:val="24"/>
          <w:szCs w:val="24"/>
          <w:lang w:val="ro-RO"/>
        </w:rPr>
        <w:t xml:space="preserve">oriatul, digitalizarea și cercetarea în întreprinderi, în special în regiunile cel mai puțin dezvoltate. </w:t>
      </w:r>
      <w:r>
        <w:rPr>
          <w:rFonts w:ascii="Times New Roman" w:hAnsi="Times New Roman"/>
          <w:b/>
          <w:noProof/>
          <w:sz w:val="24"/>
          <w:szCs w:val="24"/>
          <w:lang w:val="ro-RO"/>
        </w:rPr>
        <w:t>Fondul social european și Programul Erasmus +</w:t>
      </w:r>
      <w:r>
        <w:rPr>
          <w:rFonts w:ascii="Times New Roman" w:hAnsi="Times New Roman"/>
          <w:noProof/>
          <w:sz w:val="24"/>
          <w:szCs w:val="24"/>
          <w:lang w:val="ro-RO"/>
        </w:rPr>
        <w:t xml:space="preserve"> sprijină investițiile în dezvoltarea competențelor cetățenilor. </w:t>
      </w:r>
      <w:r>
        <w:rPr>
          <w:rFonts w:ascii="Times New Roman" w:hAnsi="Times New Roman"/>
          <w:b/>
          <w:noProof/>
          <w:sz w:val="24"/>
          <w:szCs w:val="24"/>
          <w:lang w:val="ro-RO"/>
        </w:rPr>
        <w:t>Politica agricolă comună</w:t>
      </w:r>
      <w:r>
        <w:rPr>
          <w:rFonts w:ascii="Times New Roman" w:hAnsi="Times New Roman"/>
          <w:noProof/>
          <w:sz w:val="24"/>
          <w:szCs w:val="24"/>
          <w:lang w:val="ro-RO"/>
        </w:rPr>
        <w:t xml:space="preserve"> consolidează cap</w:t>
      </w:r>
      <w:r>
        <w:rPr>
          <w:rFonts w:ascii="Times New Roman" w:hAnsi="Times New Roman"/>
          <w:noProof/>
          <w:sz w:val="24"/>
          <w:szCs w:val="24"/>
          <w:lang w:val="ro-RO"/>
        </w:rPr>
        <w:t>acitatea de inovare în zonele rurale prin sprijinirea adoptării oportunităților bazate pe soluții digitale.</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Pentru ca Europa să construiască o capacitate de inovare mai puternică și o difuzare mai eficace și mai rapidă a inovării în întreaga Uniune, avem n</w:t>
      </w:r>
      <w:r>
        <w:rPr>
          <w:rFonts w:ascii="Times New Roman" w:hAnsi="Times New Roman"/>
          <w:noProof/>
          <w:sz w:val="24"/>
          <w:szCs w:val="24"/>
          <w:lang w:val="ro-RO"/>
        </w:rPr>
        <w:t>evoie de o coordonare mai puternică și mai strategică în cadrul diferitelor programe de finanțare ale UE, cu o mai bună aliniere a priorităților la nivel european, inclusiv între strategiile de specializare inteligentă și programul „Orizont Europa”. Este n</w:t>
      </w:r>
      <w:r>
        <w:rPr>
          <w:rFonts w:ascii="Times New Roman" w:hAnsi="Times New Roman"/>
          <w:noProof/>
          <w:sz w:val="24"/>
          <w:szCs w:val="24"/>
          <w:lang w:val="ro-RO"/>
        </w:rPr>
        <w:t>evoie de mai mult sprijin pentru colaborările transfrontaliere și transregionale de-a lungul lanțurilor valorice europene și internaționale. Capacitatea instituțională la nivel regional și local trebuie, de asemenea, să fie consolidată pentru a sprijini re</w:t>
      </w:r>
      <w:r>
        <w:rPr>
          <w:rFonts w:ascii="Times New Roman" w:hAnsi="Times New Roman"/>
          <w:noProof/>
          <w:sz w:val="24"/>
          <w:szCs w:val="24"/>
          <w:lang w:val="ro-RO"/>
        </w:rPr>
        <w:t>formele sistemelor de inovare și pentru a contribui la dezvoltarea noilor competențe necesare.</w:t>
      </w:r>
    </w:p>
    <w:tbl>
      <w:tblPr>
        <w:tblStyle w:val="TableGrid"/>
        <w:tblW w:w="0" w:type="auto"/>
        <w:tblLook w:val="04A0" w:firstRow="1" w:lastRow="0" w:firstColumn="1" w:lastColumn="0" w:noHBand="0" w:noVBand="1"/>
      </w:tblPr>
      <w:tblGrid>
        <w:gridCol w:w="9288"/>
      </w:tblGrid>
      <w:tr w:rsidR="00CB2B59" w:rsidRPr="00034D70">
        <w:tc>
          <w:tcPr>
            <w:tcW w:w="9288" w:type="dxa"/>
          </w:tcPr>
          <w:p w:rsidR="00CB2B59" w:rsidRDefault="00034D70">
            <w:pPr>
              <w:pStyle w:val="ListParagraph"/>
              <w:keepNext/>
              <w:pBdr>
                <w:top w:val="single" w:sz="4" w:space="1" w:color="auto"/>
                <w:left w:val="single" w:sz="4" w:space="4" w:color="auto"/>
                <w:bottom w:val="single" w:sz="4" w:space="1" w:color="auto"/>
                <w:right w:val="single" w:sz="4" w:space="4" w:color="auto"/>
              </w:pBdr>
              <w:ind w:left="0"/>
              <w:jc w:val="both"/>
              <w:rPr>
                <w:rFonts w:ascii="Times New Roman" w:hAnsi="Times New Roman" w:cs="Times New Roman"/>
                <w:i/>
                <w:noProof/>
                <w:sz w:val="24"/>
                <w:szCs w:val="24"/>
                <w:lang w:val="ro-RO"/>
              </w:rPr>
            </w:pPr>
            <w:r>
              <w:rPr>
                <w:rFonts w:ascii="Times New Roman" w:hAnsi="Times New Roman"/>
                <w:i/>
                <w:noProof/>
                <w:sz w:val="24"/>
                <w:szCs w:val="24"/>
                <w:lang w:val="ro-RO"/>
              </w:rPr>
              <w:t>Etape esențiale</w:t>
            </w:r>
          </w:p>
          <w:p w:rsidR="00CB2B59" w:rsidRDefault="00CB2B59">
            <w:pPr>
              <w:pStyle w:val="ListParagraph"/>
              <w:keepNext/>
              <w:pBdr>
                <w:top w:val="single" w:sz="4" w:space="1" w:color="auto"/>
                <w:left w:val="single" w:sz="4" w:space="4" w:color="auto"/>
                <w:bottom w:val="single" w:sz="4" w:space="1" w:color="auto"/>
                <w:right w:val="single" w:sz="4" w:space="4" w:color="auto"/>
              </w:pBdr>
              <w:ind w:left="0"/>
              <w:jc w:val="both"/>
              <w:rPr>
                <w:rFonts w:ascii="Times New Roman" w:hAnsi="Times New Roman" w:cs="Times New Roman"/>
                <w:noProof/>
                <w:sz w:val="24"/>
                <w:szCs w:val="24"/>
                <w:lang w:val="ro-RO"/>
              </w:rPr>
            </w:pPr>
          </w:p>
          <w:p w:rsidR="00CB2B59" w:rsidRDefault="00034D70">
            <w:pPr>
              <w:pStyle w:val="ListParagraph"/>
              <w:pBdr>
                <w:top w:val="single" w:sz="4" w:space="1" w:color="auto"/>
                <w:left w:val="single" w:sz="4" w:space="4" w:color="auto"/>
                <w:bottom w:val="single" w:sz="4" w:space="1" w:color="auto"/>
                <w:right w:val="single" w:sz="4" w:space="4" w:color="auto"/>
              </w:pBdr>
              <w:ind w:left="284" w:hanging="284"/>
              <w:jc w:val="both"/>
              <w:rPr>
                <w:noProof/>
                <w:lang w:val="ro-RO"/>
              </w:rPr>
            </w:pPr>
            <w:r>
              <w:rPr>
                <w:rFonts w:ascii="Times New Roman" w:hAnsi="Times New Roman"/>
                <w:b/>
                <w:noProof/>
                <w:sz w:val="24"/>
                <w:szCs w:val="24"/>
                <w:lang w:val="ro-RO"/>
              </w:rPr>
              <w:t>-</w:t>
            </w:r>
            <w:r>
              <w:rPr>
                <w:rFonts w:ascii="Times New Roman" w:hAnsi="Times New Roman"/>
                <w:b/>
                <w:noProof/>
                <w:sz w:val="24"/>
                <w:szCs w:val="24"/>
                <w:lang w:val="ro-RO"/>
              </w:rPr>
              <w:tab/>
              <w:t>Utilizarea fondurilor structurale și de investiții europene pentru a aduce regiunile în economia inovării. Strategiile de specializare intelig</w:t>
            </w:r>
            <w:r>
              <w:rPr>
                <w:rFonts w:ascii="Times New Roman" w:hAnsi="Times New Roman"/>
                <w:b/>
                <w:noProof/>
                <w:sz w:val="24"/>
                <w:szCs w:val="24"/>
                <w:lang w:val="ro-RO"/>
              </w:rPr>
              <w:t xml:space="preserve">entă ar trebui să fie consolidate și optimizate pentru a permite sprijinirea inovării interregionale. Ar trebui să se creeze sinergii cu programul „Orizont Europa”, Fondul InvestEU, Fondul social european, Programul Erasmus +, Programul „Europa digitală”, </w:t>
            </w:r>
            <w:r>
              <w:rPr>
                <w:rFonts w:ascii="Times New Roman" w:hAnsi="Times New Roman"/>
                <w:b/>
                <w:noProof/>
                <w:sz w:val="24"/>
                <w:szCs w:val="24"/>
                <w:lang w:val="ro-RO"/>
              </w:rPr>
              <w:t xml:space="preserve">politica agricolă comună și alte programe. </w:t>
            </w:r>
          </w:p>
        </w:tc>
      </w:tr>
    </w:tbl>
    <w:p w:rsidR="00CB2B59" w:rsidRDefault="00CB2B59">
      <w:pPr>
        <w:pStyle w:val="ListParagraph"/>
        <w:spacing w:line="240" w:lineRule="auto"/>
        <w:ind w:left="1080"/>
        <w:jc w:val="both"/>
        <w:rPr>
          <w:rFonts w:ascii="Times New Roman" w:hAnsi="Times New Roman" w:cs="Times New Roman"/>
          <w:noProof/>
          <w:sz w:val="24"/>
          <w:szCs w:val="24"/>
          <w:lang w:val="ro-RO"/>
        </w:rPr>
      </w:pPr>
    </w:p>
    <w:p w:rsidR="00CB2B59" w:rsidRDefault="00034D70">
      <w:pPr>
        <w:keepNext/>
        <w:spacing w:line="240" w:lineRule="auto"/>
        <w:ind w:left="720" w:hanging="720"/>
        <w:jc w:val="both"/>
        <w:rPr>
          <w:rFonts w:ascii="Times New Roman" w:hAnsi="Times New Roman" w:cs="Times New Roman"/>
          <w:b/>
          <w:noProof/>
          <w:sz w:val="24"/>
          <w:szCs w:val="24"/>
          <w:lang w:val="ro-RO"/>
        </w:rPr>
      </w:pPr>
      <w:r>
        <w:rPr>
          <w:rFonts w:ascii="Times New Roman" w:hAnsi="Times New Roman"/>
          <w:b/>
          <w:noProof/>
          <w:sz w:val="24"/>
          <w:szCs w:val="24"/>
          <w:lang w:val="ro-RO"/>
        </w:rPr>
        <w:t xml:space="preserve">2.6 </w:t>
      </w:r>
      <w:r>
        <w:rPr>
          <w:rFonts w:ascii="Times New Roman" w:hAnsi="Times New Roman"/>
          <w:b/>
          <w:noProof/>
          <w:sz w:val="24"/>
          <w:szCs w:val="24"/>
          <w:lang w:val="ro-RO"/>
        </w:rPr>
        <w:tab/>
        <w:t xml:space="preserve">Investiții în competențe la toate nivelurile și capacitarea universităților europene pentru a deveni mai antreprenoriale și interdisciplinare </w:t>
      </w:r>
    </w:p>
    <w:p w:rsidR="00CB2B59" w:rsidRDefault="00034D70">
      <w:pPr>
        <w:autoSpaceDE w:val="0"/>
        <w:autoSpaceDN w:val="0"/>
        <w:adjustRightInd w:val="0"/>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Dezvoltarea unei societăți a învățării și antreprenoriale în </w:t>
      </w:r>
      <w:r>
        <w:rPr>
          <w:rFonts w:ascii="Times New Roman" w:hAnsi="Times New Roman"/>
          <w:noProof/>
          <w:sz w:val="24"/>
          <w:szCs w:val="24"/>
          <w:lang w:val="ro-RO"/>
        </w:rPr>
        <w:t xml:space="preserve">Europa este esențială pentru stimularea inovării în toate sectoarele economiei și în toate segmentele populației. Aceasta necesită schimbări majore în sistemul educațional, de formare și cercetare, precum și la locul de muncă pentru a se asigura faptul că </w:t>
      </w:r>
      <w:r>
        <w:rPr>
          <w:rFonts w:ascii="Times New Roman" w:hAnsi="Times New Roman"/>
          <w:noProof/>
          <w:sz w:val="24"/>
          <w:szCs w:val="24"/>
          <w:lang w:val="ro-RO"/>
        </w:rPr>
        <w:t>învățarea pe tot parcursul vieții și actualizarea competențelor devin o realitate pentru toți. Acest lucru este necesar pentru a aborda lacunele și necorelările în materie de competențe care există în Europa. Se estimează că aproximativ 40 % din forța de m</w:t>
      </w:r>
      <w:r>
        <w:rPr>
          <w:rFonts w:ascii="Times New Roman" w:hAnsi="Times New Roman"/>
          <w:noProof/>
          <w:sz w:val="24"/>
          <w:szCs w:val="24"/>
          <w:lang w:val="ro-RO"/>
        </w:rPr>
        <w:t>uncă din Europa are nevoie de o actualizare a competențelor digitale, în timp ce 70 de milioane de europeni nu au competențe de bază în materie de citit și calcul.</w:t>
      </w:r>
    </w:p>
    <w:p w:rsidR="00CB2B59" w:rsidRDefault="00034D70">
      <w:pPr>
        <w:keepNext/>
        <w:autoSpaceDE w:val="0"/>
        <w:autoSpaceDN w:val="0"/>
        <w:adjustRightInd w:val="0"/>
        <w:spacing w:line="240" w:lineRule="auto"/>
        <w:jc w:val="center"/>
        <w:rPr>
          <w:rFonts w:ascii="Times New Roman" w:hAnsi="Times New Roman" w:cs="Times New Roman"/>
          <w:b/>
          <w:noProof/>
          <w:szCs w:val="20"/>
          <w:lang w:val="ro-RO"/>
        </w:rPr>
      </w:pPr>
      <w:r>
        <w:rPr>
          <w:rFonts w:ascii="Times New Roman" w:hAnsi="Times New Roman"/>
          <w:b/>
          <w:noProof/>
          <w:szCs w:val="20"/>
          <w:lang w:val="ro-RO"/>
        </w:rPr>
        <w:t xml:space="preserve">Mai mult de jumătate dintre cetățeni au competențe digitale de bază sau nu au deloc </w:t>
      </w:r>
      <w:r>
        <w:rPr>
          <w:rFonts w:ascii="Times New Roman" w:hAnsi="Times New Roman"/>
          <w:b/>
          <w:noProof/>
          <w:szCs w:val="20"/>
          <w:lang w:val="ro-RO"/>
        </w:rPr>
        <w:t>competențe digitale</w:t>
      </w:r>
      <w:r>
        <w:rPr>
          <w:rStyle w:val="FootnoteReference"/>
          <w:rFonts w:ascii="Times New Roman" w:hAnsi="Times New Roman" w:cs="Times New Roman"/>
          <w:b/>
          <w:noProof/>
          <w:szCs w:val="20"/>
          <w:lang w:val="ro-RO"/>
        </w:rPr>
        <w:footnoteReference w:id="47"/>
      </w:r>
    </w:p>
    <w:p w:rsidR="00CB2B59" w:rsidRDefault="00034D70">
      <w:pPr>
        <w:autoSpaceDE w:val="0"/>
        <w:autoSpaceDN w:val="0"/>
        <w:adjustRightInd w:val="0"/>
        <w:spacing w:line="240" w:lineRule="auto"/>
        <w:ind w:left="-426"/>
        <w:jc w:val="center"/>
        <w:rPr>
          <w:rFonts w:ascii="Times New Roman" w:hAnsi="Times New Roman" w:cs="Times New Roman"/>
          <w:noProof/>
          <w:sz w:val="24"/>
          <w:szCs w:val="24"/>
          <w:lang w:val="ro-RO"/>
        </w:rPr>
      </w:pPr>
      <w:r>
        <w:rPr>
          <w:noProof/>
          <w:lang w:eastAsia="en-GB"/>
        </w:rPr>
        <w:drawing>
          <wp:inline distT="0" distB="0" distL="0" distR="0" wp14:anchorId="214B812E" wp14:editId="68A778C8">
            <wp:extent cx="5760720" cy="227534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2275349"/>
                    </a:xfrm>
                    <a:prstGeom prst="rect">
                      <a:avLst/>
                    </a:prstGeom>
                    <a:noFill/>
                    <a:ln>
                      <a:noFill/>
                    </a:ln>
                  </pic:spPr>
                </pic:pic>
              </a:graphicData>
            </a:graphic>
          </wp:inline>
        </w:drawing>
      </w:r>
    </w:p>
    <w:p w:rsidR="00CB2B59" w:rsidRDefault="00034D70">
      <w:pPr>
        <w:pStyle w:val="Default"/>
        <w:jc w:val="both"/>
        <w:rPr>
          <w:rFonts w:ascii="Times New Roman" w:hAnsi="Times New Roman" w:cs="Times New Roman"/>
          <w:noProof/>
          <w:lang w:val="ro-RO"/>
        </w:rPr>
      </w:pPr>
      <w:r>
        <w:rPr>
          <w:rFonts w:ascii="Times New Roman" w:hAnsi="Times New Roman"/>
          <w:noProof/>
          <w:lang w:val="ro-RO"/>
        </w:rPr>
        <w:t>La celălalt capăt al spectrului competențelor, universitățile europene trebuie să își valorifice mai bine potențialul de inovare și antreprenoriat</w:t>
      </w:r>
      <w:r>
        <w:rPr>
          <w:rStyle w:val="FootnoteReference"/>
          <w:rFonts w:ascii="Times New Roman" w:hAnsi="Times New Roman" w:cs="Times New Roman"/>
          <w:noProof/>
          <w:lang w:val="ro-RO"/>
        </w:rPr>
        <w:footnoteReference w:id="48"/>
      </w:r>
      <w:r>
        <w:rPr>
          <w:rFonts w:ascii="Times New Roman" w:hAnsi="Times New Roman"/>
          <w:noProof/>
          <w:lang w:val="ro-RO"/>
        </w:rPr>
        <w:t>. Acest lucru va contribui la generarea de idei și de noi modele de afaceri care se po</w:t>
      </w:r>
      <w:r>
        <w:rPr>
          <w:rFonts w:ascii="Times New Roman" w:hAnsi="Times New Roman"/>
          <w:noProof/>
          <w:lang w:val="ro-RO"/>
        </w:rPr>
        <w:t>t concretiza în întreprinderi nou-înființate și de tip spin-off. Universitățile ar trebui, de asemenea, să fie mai pregătite să elimine barierele disciplinare și să colaboreze cu întreprinderile și cu societatea civilă. De asemenea, atât învățământul gener</w:t>
      </w:r>
      <w:r>
        <w:rPr>
          <w:rFonts w:ascii="Times New Roman" w:hAnsi="Times New Roman"/>
          <w:noProof/>
          <w:lang w:val="ro-RO"/>
        </w:rPr>
        <w:t>al, cât și cel tehnic ar trebui să fie mai bine corelate cu sectoarele de activitate emergente și cu nevoile societale, prin oferirea de programe de învățare mai dinamice, care să contribuie la eliminarea lacunelor în materie de competențe, precum și la ac</w:t>
      </w:r>
      <w:r>
        <w:rPr>
          <w:rFonts w:ascii="Times New Roman" w:hAnsi="Times New Roman"/>
          <w:noProof/>
          <w:lang w:val="ro-RO"/>
        </w:rPr>
        <w:t xml:space="preserve">celerarea difuzării cunoștințelor, a reutilizării cunoștințelor și a accesului la cunoștințe. </w:t>
      </w:r>
    </w:p>
    <w:p w:rsidR="00CB2B59" w:rsidRDefault="00CB2B59">
      <w:pPr>
        <w:shd w:val="clear" w:color="auto" w:fill="EBE9EA" w:themeFill="background1"/>
        <w:spacing w:after="0" w:line="240" w:lineRule="auto"/>
        <w:jc w:val="both"/>
        <w:rPr>
          <w:rFonts w:ascii="Times New Roman" w:hAnsi="Times New Roman" w:cs="Times New Roman"/>
          <w:noProof/>
          <w:sz w:val="24"/>
          <w:szCs w:val="24"/>
          <w:lang w:val="ro-RO"/>
        </w:rPr>
      </w:pPr>
    </w:p>
    <w:p w:rsidR="00CB2B59" w:rsidRDefault="00034D70">
      <w:pPr>
        <w:shd w:val="clear" w:color="auto" w:fill="EBE9EA" w:themeFill="background1"/>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La reuniunea la nivel înalt de la Gothenburg din noiembrie 2017, liderii europeni au recunoscut rolul-cheie al învățământului superior în furnizarea aptitudinil</w:t>
      </w:r>
      <w:r>
        <w:rPr>
          <w:rFonts w:ascii="Times New Roman" w:hAnsi="Times New Roman"/>
          <w:noProof/>
          <w:sz w:val="24"/>
          <w:szCs w:val="24"/>
          <w:lang w:val="ro-RO"/>
        </w:rPr>
        <w:t>or și a competențelor orientate spre viitor pentru a inova cu succes</w:t>
      </w:r>
      <w:r>
        <w:rPr>
          <w:rStyle w:val="FootnoteReference"/>
          <w:rFonts w:ascii="Times New Roman" w:hAnsi="Times New Roman" w:cs="Times New Roman"/>
          <w:noProof/>
          <w:sz w:val="24"/>
          <w:szCs w:val="24"/>
          <w:lang w:val="ro-RO"/>
        </w:rPr>
        <w:footnoteReference w:id="49"/>
      </w:r>
      <w:r>
        <w:rPr>
          <w:rFonts w:ascii="Times New Roman" w:hAnsi="Times New Roman"/>
          <w:noProof/>
          <w:sz w:val="24"/>
          <w:szCs w:val="24"/>
          <w:lang w:val="ro-RO"/>
        </w:rPr>
        <w:t>. Consiliul European a făcut apel la statele membre, la Consiliu și la Comisie să continue activitatea în ceea ce privește o serie de inițiative, inclusiv încurajarea înființării, până în</w:t>
      </w:r>
      <w:r>
        <w:rPr>
          <w:rFonts w:ascii="Times New Roman" w:hAnsi="Times New Roman"/>
          <w:noProof/>
          <w:sz w:val="24"/>
          <w:szCs w:val="24"/>
          <w:lang w:val="ro-RO"/>
        </w:rPr>
        <w:t xml:space="preserve"> 2024, a aproximativ douăzeci de „universități europene”, alcătuite din rețele ascendente de universități în întreaga UE</w:t>
      </w:r>
      <w:r>
        <w:rPr>
          <w:rStyle w:val="FootnoteReference"/>
          <w:rFonts w:ascii="Times New Roman" w:hAnsi="Times New Roman" w:cs="Times New Roman"/>
          <w:noProof/>
          <w:sz w:val="24"/>
          <w:szCs w:val="24"/>
          <w:lang w:val="ro-RO"/>
        </w:rPr>
        <w:footnoteReference w:id="50"/>
      </w:r>
      <w:r>
        <w:rPr>
          <w:rFonts w:ascii="Times New Roman" w:hAnsi="Times New Roman"/>
          <w:noProof/>
          <w:sz w:val="24"/>
          <w:szCs w:val="24"/>
          <w:lang w:val="ro-RO"/>
        </w:rPr>
        <w:t>. „Universitățile europene” vor duce cooperarea transfrontalieră la un nou nivel, depășind ceea ce există astăzi, prin elaborarea de st</w:t>
      </w:r>
      <w:r>
        <w:rPr>
          <w:rFonts w:ascii="Times New Roman" w:hAnsi="Times New Roman"/>
          <w:noProof/>
          <w:sz w:val="24"/>
          <w:szCs w:val="24"/>
          <w:lang w:val="ro-RO"/>
        </w:rPr>
        <w:t>rategii pe termen lung pentru educație, cercetare și inovare de cea mai bună calitate, printr-o mobilitate sporită a studenților, a personalului și a cercetătorilor și prin intermediul unor echipe europene cu adevărat transnaționale de creare a cunoștințel</w:t>
      </w:r>
      <w:r>
        <w:rPr>
          <w:rFonts w:ascii="Times New Roman" w:hAnsi="Times New Roman"/>
          <w:noProof/>
          <w:sz w:val="24"/>
          <w:szCs w:val="24"/>
          <w:lang w:val="ro-RO"/>
        </w:rPr>
        <w:t xml:space="preserve">or. Acestea ar trebui să devină factori-cheie în </w:t>
      </w:r>
      <w:r>
        <w:rPr>
          <w:rFonts w:ascii="Times New Roman" w:hAnsi="Times New Roman"/>
          <w:b/>
          <w:noProof/>
          <w:sz w:val="24"/>
          <w:szCs w:val="24"/>
          <w:lang w:val="ro-RO"/>
        </w:rPr>
        <w:t>Spațiul european al educației</w:t>
      </w:r>
      <w:r>
        <w:rPr>
          <w:rFonts w:ascii="Times New Roman" w:hAnsi="Times New Roman"/>
          <w:noProof/>
          <w:sz w:val="24"/>
          <w:szCs w:val="24"/>
          <w:lang w:val="ro-RO"/>
        </w:rPr>
        <w:t xml:space="preserve"> și să contribuie la competitivitatea internațională a universităților din Europa</w:t>
      </w:r>
      <w:r>
        <w:rPr>
          <w:rStyle w:val="FootnoteReference"/>
          <w:rFonts w:ascii="Times New Roman" w:hAnsi="Times New Roman" w:cs="Times New Roman"/>
          <w:noProof/>
          <w:sz w:val="24"/>
          <w:szCs w:val="24"/>
          <w:lang w:val="ro-RO"/>
        </w:rPr>
        <w:footnoteReference w:id="51"/>
      </w:r>
      <w:r>
        <w:rPr>
          <w:noProof/>
          <w:lang w:val="ro-RO"/>
        </w:rPr>
        <w:t>.</w:t>
      </w:r>
      <w:r>
        <w:rPr>
          <w:rFonts w:ascii="Times New Roman" w:hAnsi="Times New Roman"/>
          <w:noProof/>
          <w:sz w:val="24"/>
          <w:szCs w:val="24"/>
          <w:lang w:val="ro-RO"/>
        </w:rPr>
        <w:t xml:space="preserve"> </w:t>
      </w:r>
    </w:p>
    <w:p w:rsidR="00CB2B59" w:rsidRDefault="00034D70">
      <w:pPr>
        <w:autoSpaceDE w:val="0"/>
        <w:autoSpaceDN w:val="0"/>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Adoptarea practicilor de știință deschisă în diferite stadii ale carierei cercetătorilor poat</w:t>
      </w:r>
      <w:r>
        <w:rPr>
          <w:rFonts w:ascii="Times New Roman" w:hAnsi="Times New Roman"/>
          <w:noProof/>
          <w:sz w:val="24"/>
          <w:szCs w:val="24"/>
          <w:lang w:val="ro-RO"/>
        </w:rPr>
        <w:t>e, de asemenea, să stimuleze medii de carieră atractive pentru toți, să ofere o recunoaștere sporită și să recompenseze mobilitatea internațională și între sectorul științific și cel al întreprinderilor</w:t>
      </w:r>
      <w:r>
        <w:rPr>
          <w:rStyle w:val="FootnoteReference"/>
          <w:rFonts w:ascii="Times New Roman" w:hAnsi="Times New Roman" w:cs="Times New Roman"/>
          <w:noProof/>
          <w:sz w:val="24"/>
          <w:szCs w:val="24"/>
          <w:lang w:val="ro-RO"/>
        </w:rPr>
        <w:footnoteReference w:id="52"/>
      </w:r>
      <w:r>
        <w:rPr>
          <w:rFonts w:ascii="Times New Roman" w:hAnsi="Times New Roman"/>
          <w:noProof/>
          <w:sz w:val="24"/>
          <w:szCs w:val="24"/>
          <w:lang w:val="ro-RO"/>
        </w:rPr>
        <w:t>. Prin urmare, modernizarea universităților și a orga</w:t>
      </w:r>
      <w:r>
        <w:rPr>
          <w:rFonts w:ascii="Times New Roman" w:hAnsi="Times New Roman"/>
          <w:noProof/>
          <w:sz w:val="24"/>
          <w:szCs w:val="24"/>
          <w:lang w:val="ro-RO"/>
        </w:rPr>
        <w:t xml:space="preserve">nizațiilor de cercetare publice ar trebui să fie sprijinită și printr-o </w:t>
      </w:r>
      <w:r>
        <w:rPr>
          <w:rFonts w:ascii="Times New Roman" w:hAnsi="Times New Roman"/>
          <w:b/>
          <w:noProof/>
          <w:sz w:val="24"/>
          <w:szCs w:val="24"/>
          <w:lang w:val="ro-RO"/>
        </w:rPr>
        <w:t>etichetă „știință deschisă”</w:t>
      </w:r>
      <w:r>
        <w:rPr>
          <w:rFonts w:ascii="Times New Roman" w:hAnsi="Times New Roman"/>
          <w:noProof/>
          <w:sz w:val="24"/>
          <w:szCs w:val="24"/>
          <w:lang w:val="ro-RO"/>
        </w:rPr>
        <w:t>. O astfel de etichetă de înaltă calitate ar putea fi acordată universităților individuale și parteneriatelor universitare transnaționale și ar fi recunoscut</w:t>
      </w:r>
      <w:r>
        <w:rPr>
          <w:rFonts w:ascii="Times New Roman" w:hAnsi="Times New Roman"/>
          <w:noProof/>
          <w:sz w:val="24"/>
          <w:szCs w:val="24"/>
          <w:lang w:val="ro-RO"/>
        </w:rPr>
        <w:t>ă în cadrul viitorului sprijin acordat de UE pentru proiectele transnaționale care implică universități</w:t>
      </w:r>
      <w:r>
        <w:rPr>
          <w:rStyle w:val="FootnoteReference"/>
          <w:rFonts w:ascii="Times New Roman" w:hAnsi="Times New Roman" w:cs="Times New Roman"/>
          <w:noProof/>
          <w:sz w:val="24"/>
          <w:szCs w:val="24"/>
          <w:lang w:val="ro-RO"/>
        </w:rPr>
        <w:footnoteReference w:id="53"/>
      </w:r>
      <w:r>
        <w:rPr>
          <w:rFonts w:ascii="Times New Roman" w:hAnsi="Times New Roman"/>
          <w:noProof/>
          <w:sz w:val="24"/>
          <w:szCs w:val="24"/>
          <w:lang w:val="ro-RO"/>
        </w:rPr>
        <w:t>.</w:t>
      </w:r>
    </w:p>
    <w:p w:rsidR="00CB2B59" w:rsidRDefault="00034D70">
      <w:pPr>
        <w:autoSpaceDE w:val="0"/>
        <w:autoSpaceDN w:val="0"/>
        <w:adjustRightInd w:val="0"/>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 xml:space="preserve">La nivel european, ar trebui să urmărim și să îmbunătățim în continuare inițiativele care s-au dovedit a avea rezultate bune, cum ar fi </w:t>
      </w:r>
      <w:r>
        <w:rPr>
          <w:rFonts w:ascii="Times New Roman" w:hAnsi="Times New Roman"/>
          <w:b/>
          <w:noProof/>
          <w:sz w:val="24"/>
          <w:szCs w:val="24"/>
          <w:lang w:val="ro-RO"/>
        </w:rPr>
        <w:t>Institutul Eur</w:t>
      </w:r>
      <w:r>
        <w:rPr>
          <w:rFonts w:ascii="Times New Roman" w:hAnsi="Times New Roman"/>
          <w:b/>
          <w:noProof/>
          <w:sz w:val="24"/>
          <w:szCs w:val="24"/>
          <w:lang w:val="ro-RO"/>
        </w:rPr>
        <w:t>opean de Inovare și Tehnologie, acțiunile „Marie Skłodowska-Curie”</w:t>
      </w:r>
      <w:r>
        <w:rPr>
          <w:noProof/>
          <w:lang w:val="ro-RO"/>
        </w:rPr>
        <w:t xml:space="preserve"> </w:t>
      </w:r>
      <w:r>
        <w:rPr>
          <w:rFonts w:ascii="Times New Roman" w:hAnsi="Times New Roman"/>
          <w:noProof/>
          <w:sz w:val="24"/>
          <w:szCs w:val="24"/>
          <w:lang w:val="ro-RO"/>
        </w:rPr>
        <w:t>ș</w:t>
      </w:r>
      <w:r>
        <w:rPr>
          <w:rFonts w:ascii="Times New Roman" w:hAnsi="Times New Roman"/>
          <w:noProof/>
          <w:sz w:val="24"/>
          <w:szCs w:val="24"/>
          <w:lang w:val="ro-RO"/>
        </w:rPr>
        <w:t>i</w:t>
      </w:r>
      <w:r>
        <w:rPr>
          <w:noProof/>
          <w:lang w:val="ro-RO"/>
        </w:rPr>
        <w:t xml:space="preserve"> </w:t>
      </w:r>
      <w:r>
        <w:rPr>
          <w:rFonts w:ascii="Times New Roman" w:hAnsi="Times New Roman"/>
          <w:b/>
          <w:noProof/>
          <w:sz w:val="24"/>
          <w:szCs w:val="24"/>
          <w:lang w:val="ro-RO"/>
        </w:rPr>
        <w:t>inițiativa de inovare pentru învățământul superior</w:t>
      </w:r>
      <w:r>
        <w:rPr>
          <w:rStyle w:val="FootnoteReference"/>
          <w:rFonts w:ascii="Times New Roman" w:hAnsi="Times New Roman" w:cs="Times New Roman"/>
          <w:noProof/>
          <w:sz w:val="24"/>
          <w:szCs w:val="24"/>
          <w:lang w:val="ro-RO"/>
        </w:rPr>
        <w:footnoteReference w:id="54"/>
      </w:r>
      <w:r>
        <w:rPr>
          <w:rFonts w:ascii="Times New Roman" w:hAnsi="Times New Roman"/>
          <w:noProof/>
          <w:sz w:val="24"/>
          <w:szCs w:val="24"/>
          <w:lang w:val="ro-RO"/>
        </w:rPr>
        <w:t>.</w:t>
      </w:r>
      <w:r>
        <w:rPr>
          <w:noProof/>
          <w:lang w:val="ro-RO"/>
        </w:rPr>
        <w:t xml:space="preserve"> </w:t>
      </w:r>
      <w:r>
        <w:rPr>
          <w:rFonts w:ascii="Times New Roman" w:hAnsi="Times New Roman"/>
          <w:noProof/>
          <w:sz w:val="24"/>
          <w:szCs w:val="24"/>
          <w:lang w:val="ro-RO"/>
        </w:rPr>
        <w:t xml:space="preserve">Acestea conectează întreprinderile, instituțiile de învățământ și organizațiile de cercetare și promovează antreprenoriatul și fluxurile de cunoștințe mai puternice pe tot parcursul lanțului valoric. </w:t>
      </w:r>
    </w:p>
    <w:p w:rsidR="00CB2B59" w:rsidRDefault="00034D70">
      <w:pPr>
        <w:autoSpaceDE w:val="0"/>
        <w:autoSpaceDN w:val="0"/>
        <w:adjustRightInd w:val="0"/>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În vederea consolidării transferului de cunoștințe, est</w:t>
      </w:r>
      <w:r>
        <w:rPr>
          <w:rFonts w:ascii="Times New Roman" w:hAnsi="Times New Roman"/>
          <w:noProof/>
          <w:sz w:val="24"/>
          <w:szCs w:val="24"/>
          <w:lang w:val="ro-RO"/>
        </w:rPr>
        <w:t xml:space="preserve">e necesară o legătură mai strânsă între educația și formarea profesională și sistemele de inovare, pentru a contribui la furnizarea de informații privind competențele și la o mai bună corelare a competențelor în concordanță cu </w:t>
      </w:r>
      <w:r>
        <w:rPr>
          <w:rFonts w:ascii="Times New Roman" w:hAnsi="Times New Roman"/>
          <w:b/>
          <w:noProof/>
          <w:sz w:val="24"/>
          <w:szCs w:val="24"/>
          <w:lang w:val="ro-RO"/>
        </w:rPr>
        <w:t>Agenda pentru competențe în E</w:t>
      </w:r>
      <w:r>
        <w:rPr>
          <w:rFonts w:ascii="Times New Roman" w:hAnsi="Times New Roman"/>
          <w:b/>
          <w:noProof/>
          <w:sz w:val="24"/>
          <w:szCs w:val="24"/>
          <w:lang w:val="ro-RO"/>
        </w:rPr>
        <w:t>uropa</w:t>
      </w:r>
      <w:r>
        <w:rPr>
          <w:rStyle w:val="FootnoteReference"/>
          <w:rFonts w:ascii="Times New Roman" w:hAnsi="Times New Roman" w:cs="Times New Roman"/>
          <w:noProof/>
          <w:sz w:val="24"/>
          <w:szCs w:val="24"/>
          <w:lang w:val="ro-RO"/>
        </w:rPr>
        <w:footnoteReference w:id="55"/>
      </w:r>
      <w:r>
        <w:rPr>
          <w:noProof/>
          <w:lang w:val="ro-RO"/>
        </w:rPr>
        <w:t>.</w:t>
      </w:r>
    </w:p>
    <w:p w:rsidR="00CB2B59" w:rsidRDefault="00034D70">
      <w:pPr>
        <w:autoSpaceDE w:val="0"/>
        <w:autoSpaceDN w:val="0"/>
        <w:adjustRightInd w:val="0"/>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În plus, pentru a răspunde cerințelor noii economii și pentru a contribui la dezvoltarea unei forțe de muncă mai flexibile și cu un caracter antreprenorial mai pronunțat,</w:t>
      </w:r>
      <w:r>
        <w:rPr>
          <w:rFonts w:ascii="Times New Roman" w:hAnsi="Times New Roman"/>
          <w:b/>
          <w:noProof/>
          <w:sz w:val="24"/>
          <w:szCs w:val="24"/>
          <w:lang w:val="ro-RO"/>
        </w:rPr>
        <w:t xml:space="preserve"> Fondul social european</w:t>
      </w:r>
      <w:r>
        <w:rPr>
          <w:rFonts w:ascii="Times New Roman" w:hAnsi="Times New Roman"/>
          <w:noProof/>
          <w:sz w:val="24"/>
          <w:szCs w:val="24"/>
          <w:lang w:val="ro-RO"/>
        </w:rPr>
        <w:t xml:space="preserve"> îi va ajuta în continuare pe europeni să se recalifice</w:t>
      </w:r>
      <w:r>
        <w:rPr>
          <w:rFonts w:ascii="Times New Roman" w:hAnsi="Times New Roman"/>
          <w:noProof/>
          <w:sz w:val="24"/>
          <w:szCs w:val="24"/>
          <w:lang w:val="ro-RO"/>
        </w:rPr>
        <w:t xml:space="preserve"> și să își actualizeze competențele, în timp ce </w:t>
      </w:r>
      <w:r>
        <w:rPr>
          <w:rFonts w:ascii="Times New Roman" w:hAnsi="Times New Roman"/>
          <w:b/>
          <w:noProof/>
          <w:sz w:val="24"/>
          <w:szCs w:val="24"/>
          <w:lang w:val="ro-RO"/>
        </w:rPr>
        <w:t>Planul de cooperare sectorială în materie de competențe</w:t>
      </w:r>
      <w:r>
        <w:rPr>
          <w:rStyle w:val="FootnoteReference"/>
          <w:rFonts w:ascii="Times New Roman" w:hAnsi="Times New Roman" w:cs="Times New Roman"/>
          <w:noProof/>
          <w:sz w:val="24"/>
          <w:szCs w:val="24"/>
          <w:lang w:val="ro-RO"/>
        </w:rPr>
        <w:footnoteReference w:id="56"/>
      </w:r>
      <w:r>
        <w:rPr>
          <w:rFonts w:ascii="Times New Roman" w:hAnsi="Times New Roman"/>
          <w:noProof/>
          <w:sz w:val="24"/>
          <w:szCs w:val="24"/>
          <w:lang w:val="ro-RO"/>
        </w:rPr>
        <w:t xml:space="preserve"> poate să contribuie la ajustarea formării pentru noi profesii în anumite sectoare. </w:t>
      </w:r>
      <w:r>
        <w:rPr>
          <w:rFonts w:ascii="Times New Roman" w:hAnsi="Times New Roman"/>
          <w:b/>
          <w:noProof/>
          <w:sz w:val="24"/>
          <w:szCs w:val="24"/>
          <w:lang w:val="ro-RO"/>
        </w:rPr>
        <w:t>Planul de acțiune privind educația digitală</w:t>
      </w:r>
      <w:r>
        <w:rPr>
          <w:rFonts w:ascii="Times New Roman" w:hAnsi="Times New Roman"/>
          <w:noProof/>
          <w:sz w:val="24"/>
          <w:szCs w:val="24"/>
          <w:lang w:val="ro-RO"/>
        </w:rPr>
        <w:t xml:space="preserve"> și </w:t>
      </w:r>
      <w:r>
        <w:rPr>
          <w:rFonts w:ascii="Times New Roman" w:hAnsi="Times New Roman"/>
          <w:b/>
          <w:noProof/>
          <w:sz w:val="24"/>
          <w:szCs w:val="24"/>
          <w:lang w:val="ro-RO"/>
        </w:rPr>
        <w:t>Strategia privind com</w:t>
      </w:r>
      <w:r>
        <w:rPr>
          <w:rFonts w:ascii="Times New Roman" w:hAnsi="Times New Roman"/>
          <w:b/>
          <w:noProof/>
          <w:sz w:val="24"/>
          <w:szCs w:val="24"/>
          <w:lang w:val="ro-RO"/>
        </w:rPr>
        <w:t xml:space="preserve">petențele digitale acționează în direcția </w:t>
      </w:r>
      <w:r>
        <w:rPr>
          <w:rFonts w:ascii="Times New Roman" w:hAnsi="Times New Roman"/>
          <w:noProof/>
          <w:sz w:val="24"/>
          <w:szCs w:val="24"/>
          <w:lang w:val="ro-RO"/>
        </w:rPr>
        <w:t>identificării și a dezvoltării nevoilor viitoare în materie de competențe.</w:t>
      </w:r>
    </w:p>
    <w:p w:rsidR="00CB2B59" w:rsidRDefault="00034D70">
      <w:pPr>
        <w:pStyle w:val="ListParagraph"/>
        <w:keepNext/>
        <w:pBdr>
          <w:top w:val="single" w:sz="4" w:space="1" w:color="auto"/>
          <w:left w:val="single" w:sz="4" w:space="4" w:color="auto"/>
          <w:bottom w:val="single" w:sz="4" w:space="1" w:color="auto"/>
          <w:right w:val="single" w:sz="4" w:space="4" w:color="auto"/>
        </w:pBdr>
        <w:spacing w:line="240" w:lineRule="auto"/>
        <w:ind w:left="0"/>
        <w:jc w:val="both"/>
        <w:rPr>
          <w:rFonts w:ascii="Times New Roman" w:hAnsi="Times New Roman" w:cs="Times New Roman"/>
          <w:i/>
          <w:noProof/>
          <w:sz w:val="24"/>
          <w:szCs w:val="24"/>
          <w:lang w:val="ro-RO"/>
        </w:rPr>
      </w:pPr>
      <w:r>
        <w:rPr>
          <w:rFonts w:ascii="Times New Roman" w:hAnsi="Times New Roman"/>
          <w:i/>
          <w:noProof/>
          <w:sz w:val="24"/>
          <w:szCs w:val="24"/>
          <w:lang w:val="ro-RO"/>
        </w:rPr>
        <w:t>Etape esențiale</w:t>
      </w:r>
    </w:p>
    <w:p w:rsidR="00CB2B59" w:rsidRDefault="00CB2B59">
      <w:pPr>
        <w:pStyle w:val="ListParagraph"/>
        <w:keepNext/>
        <w:pBdr>
          <w:top w:val="single" w:sz="4" w:space="1" w:color="auto"/>
          <w:left w:val="single" w:sz="4" w:space="4" w:color="auto"/>
          <w:bottom w:val="single" w:sz="4" w:space="1" w:color="auto"/>
          <w:right w:val="single" w:sz="4" w:space="4" w:color="auto"/>
        </w:pBdr>
        <w:spacing w:line="240" w:lineRule="auto"/>
        <w:ind w:left="0"/>
        <w:jc w:val="both"/>
        <w:rPr>
          <w:rFonts w:ascii="Times New Roman" w:hAnsi="Times New Roman" w:cs="Times New Roman"/>
          <w:noProof/>
          <w:sz w:val="24"/>
          <w:szCs w:val="24"/>
          <w:lang w:val="ro-RO"/>
        </w:rPr>
      </w:pPr>
    </w:p>
    <w:p w:rsidR="00CB2B59" w:rsidRDefault="00034D70">
      <w:pPr>
        <w:pStyle w:val="ListParagraph"/>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noProof/>
          <w:sz w:val="24"/>
          <w:szCs w:val="24"/>
          <w:lang w:val="ro-RO"/>
        </w:rPr>
      </w:pPr>
      <w:r>
        <w:rPr>
          <w:rFonts w:ascii="Times New Roman" w:hAnsi="Times New Roman"/>
          <w:noProof/>
          <w:sz w:val="24"/>
          <w:szCs w:val="24"/>
          <w:lang w:val="ro-RO"/>
        </w:rPr>
        <w:t>-</w:t>
      </w:r>
      <w:r>
        <w:rPr>
          <w:rFonts w:ascii="Times New Roman" w:hAnsi="Times New Roman"/>
          <w:noProof/>
          <w:sz w:val="24"/>
          <w:szCs w:val="24"/>
          <w:lang w:val="ro-RO"/>
        </w:rPr>
        <w:tab/>
      </w:r>
      <w:r>
        <w:rPr>
          <w:rFonts w:ascii="Times New Roman" w:hAnsi="Times New Roman"/>
          <w:b/>
          <w:noProof/>
          <w:sz w:val="24"/>
          <w:szCs w:val="24"/>
          <w:lang w:val="ro-RO"/>
        </w:rPr>
        <w:t>Contribuirea la modernizarea universităților și a organizațiilor publice de cercetare cu ajutorul unei etichete „știință</w:t>
      </w:r>
      <w:r>
        <w:rPr>
          <w:rFonts w:ascii="Times New Roman" w:hAnsi="Times New Roman"/>
          <w:b/>
          <w:noProof/>
          <w:sz w:val="24"/>
          <w:szCs w:val="24"/>
          <w:lang w:val="ro-RO"/>
        </w:rPr>
        <w:t xml:space="preserve"> deschisă”.</w:t>
      </w:r>
      <w:r>
        <w:rPr>
          <w:rFonts w:ascii="Times New Roman" w:hAnsi="Times New Roman"/>
          <w:noProof/>
          <w:sz w:val="24"/>
          <w:szCs w:val="24"/>
          <w:lang w:val="ro-RO"/>
        </w:rPr>
        <w:t xml:space="preserve"> </w:t>
      </w:r>
    </w:p>
    <w:p w:rsidR="00CB2B59" w:rsidRDefault="00CB2B59">
      <w:pPr>
        <w:pStyle w:val="ListParagraph"/>
        <w:spacing w:line="240" w:lineRule="auto"/>
        <w:ind w:left="0"/>
        <w:jc w:val="both"/>
        <w:rPr>
          <w:rFonts w:ascii="Times New Roman" w:hAnsi="Times New Roman" w:cs="Times New Roman"/>
          <w:b/>
          <w:i/>
          <w:noProof/>
          <w:sz w:val="24"/>
          <w:szCs w:val="24"/>
          <w:lang w:val="ro-RO"/>
        </w:rPr>
      </w:pPr>
    </w:p>
    <w:p w:rsidR="00CB2B59" w:rsidRDefault="00034D70">
      <w:pPr>
        <w:keepNext/>
        <w:spacing w:line="240" w:lineRule="auto"/>
        <w:rPr>
          <w:rFonts w:ascii="Times New Roman" w:hAnsi="Times New Roman" w:cs="Times New Roman"/>
          <w:b/>
          <w:noProof/>
          <w:sz w:val="24"/>
          <w:szCs w:val="24"/>
          <w:lang w:val="ro-RO"/>
        </w:rPr>
      </w:pPr>
      <w:r>
        <w:rPr>
          <w:rFonts w:ascii="Times New Roman" w:hAnsi="Times New Roman"/>
          <w:b/>
          <w:noProof/>
          <w:sz w:val="24"/>
          <w:szCs w:val="24"/>
          <w:lang w:val="ro-RO"/>
        </w:rPr>
        <w:t>3. Concluzii</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Prosperitatea economică și socială a Europei depinde de capacitatea noastră de a inova. Susținerea modelului social și economic al Europei, modernizarea industriei și construirea unei Uniuni Europene solidare și favorabile incluziunii înseamnă asigurarea f</w:t>
      </w:r>
      <w:r>
        <w:rPr>
          <w:rFonts w:ascii="Times New Roman" w:hAnsi="Times New Roman"/>
          <w:noProof/>
          <w:sz w:val="24"/>
          <w:szCs w:val="24"/>
          <w:lang w:val="ro-RO"/>
        </w:rPr>
        <w:t xml:space="preserve">aptului că inovarea este luată în considerare în toate politicile, precum și în deciziile sociale, economice și industriale.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Caracterul evolutiv al inovării va aduce noi oportunități de stimulare a creării de locuri de muncă și a creșterii în Europa. T</w:t>
      </w:r>
      <w:r>
        <w:rPr>
          <w:rFonts w:ascii="Times New Roman" w:hAnsi="Times New Roman"/>
          <w:noProof/>
          <w:sz w:val="24"/>
          <w:szCs w:val="24"/>
          <w:lang w:val="ro-RO"/>
        </w:rPr>
        <w:t xml:space="preserve">rebuie să fim în măsură să profităm de aceste oportunități, abordând în același timp provocările și incertitudinea. În acest sens, trebuie să ne asigurăm că beneficiile sunt distribuite în mod echitabil în cadrul societății noastre. </w:t>
      </w:r>
    </w:p>
    <w:p w:rsidR="00CB2B59" w:rsidRDefault="00034D70">
      <w:pPr>
        <w:spacing w:line="240" w:lineRule="auto"/>
        <w:jc w:val="both"/>
        <w:rPr>
          <w:rFonts w:ascii="Times New Roman" w:hAnsi="Times New Roman" w:cs="Times New Roman"/>
          <w:noProof/>
          <w:sz w:val="24"/>
          <w:szCs w:val="24"/>
          <w:lang w:val="ro-RO"/>
        </w:rPr>
      </w:pPr>
      <w:r>
        <w:rPr>
          <w:rFonts w:ascii="Times New Roman" w:hAnsi="Times New Roman"/>
          <w:noProof/>
          <w:sz w:val="24"/>
          <w:szCs w:val="24"/>
          <w:lang w:val="ro-RO"/>
        </w:rPr>
        <w:t>Această transformare v</w:t>
      </w:r>
      <w:r>
        <w:rPr>
          <w:rFonts w:ascii="Times New Roman" w:hAnsi="Times New Roman"/>
          <w:noProof/>
          <w:sz w:val="24"/>
          <w:szCs w:val="24"/>
          <w:lang w:val="ro-RO"/>
        </w:rPr>
        <w:t>a necesita o ambiție comună și o modificare a mentalității privind inovarea și știința în Europa. O agendă comună a regiunilor, a statelor membre și a Comisiei Europene este esențială. Trebuie să clădim pe punctele forte ale Europei și să oferim o nouă dir</w:t>
      </w:r>
      <w:r>
        <w:rPr>
          <w:rFonts w:ascii="Times New Roman" w:hAnsi="Times New Roman"/>
          <w:noProof/>
          <w:sz w:val="24"/>
          <w:szCs w:val="24"/>
          <w:lang w:val="ro-RO"/>
        </w:rPr>
        <w:t xml:space="preserve">ecție și un nou impuls, astfel încât Europa să devină un adevărat lider mondial în domeniul inovării, pentru toți. </w:t>
      </w:r>
    </w:p>
    <w:p w:rsidR="00CB2B59" w:rsidRDefault="00034D70">
      <w:pPr>
        <w:keepNext/>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t xml:space="preserve">Comisia îi invită pe lideri să discute și să ofere o orientare strategică în vederea: </w:t>
      </w:r>
    </w:p>
    <w:p w:rsidR="00CB2B59" w:rsidRDefault="00034D70">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t xml:space="preserve">adoptării rapide a următorului cadru financiar </w:t>
      </w:r>
      <w:r>
        <w:rPr>
          <w:rFonts w:ascii="Times New Roman" w:hAnsi="Times New Roman"/>
          <w:i/>
          <w:noProof/>
          <w:sz w:val="24"/>
          <w:szCs w:val="24"/>
          <w:lang w:val="ro-RO"/>
        </w:rPr>
        <w:t>multianual pentru a se asigura faptul că cercetarea și inovarea continuă să fie în viitor una dintre prioritățile esențiale ale politicii și ale finanțării UE, în cadrul diferitelor instrumente bugetare;</w:t>
      </w:r>
    </w:p>
    <w:p w:rsidR="00CB2B59" w:rsidRDefault="00034D70">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t>luării măsurilor necesare de către statele membre pe</w:t>
      </w:r>
      <w:r>
        <w:rPr>
          <w:rFonts w:ascii="Times New Roman" w:hAnsi="Times New Roman"/>
          <w:i/>
          <w:noProof/>
          <w:sz w:val="24"/>
          <w:szCs w:val="24"/>
          <w:lang w:val="ro-RO"/>
        </w:rPr>
        <w:t>ntru a-și maximiza investițiile în cercetare și inovare în vederea realizării obiectivului de 3 % din produsul intern brut;</w:t>
      </w:r>
    </w:p>
    <w:p w:rsidR="00CB2B59" w:rsidRDefault="00034D70">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t>sporirii investițiilor private în cercetare și inovare și a extinderii inițiativelor, cum ar fi VentureEU, pentru stimularea investi</w:t>
      </w:r>
      <w:r>
        <w:rPr>
          <w:rFonts w:ascii="Times New Roman" w:hAnsi="Times New Roman"/>
          <w:i/>
          <w:noProof/>
          <w:sz w:val="24"/>
          <w:szCs w:val="24"/>
          <w:lang w:val="ro-RO"/>
        </w:rPr>
        <w:t>ț</w:t>
      </w:r>
      <w:r>
        <w:rPr>
          <w:rFonts w:ascii="Times New Roman" w:hAnsi="Times New Roman"/>
          <w:i/>
          <w:noProof/>
          <w:sz w:val="24"/>
          <w:szCs w:val="24"/>
          <w:lang w:val="ro-RO"/>
        </w:rPr>
        <w:t xml:space="preserve">iilor private și a capitalului „răbdător”; </w:t>
      </w:r>
    </w:p>
    <w:p w:rsidR="00CB2B59" w:rsidRDefault="00034D70">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t xml:space="preserve">elaborării unor cadre de reglementare ale UE și naționale adaptate exigențelor viitorului prin aplicarea principiului inovării, asigurând faptul că, de fiecare dată când politicile și legislația sunt revizuite, </w:t>
      </w:r>
      <w:r>
        <w:rPr>
          <w:rFonts w:ascii="Times New Roman" w:hAnsi="Times New Roman"/>
          <w:i/>
          <w:noProof/>
          <w:sz w:val="24"/>
          <w:szCs w:val="24"/>
          <w:lang w:val="ro-RO"/>
        </w:rPr>
        <w:t xml:space="preserve">elaborate sau puse în aplicare, impactul asupra inovării este evaluat pe deplin; </w:t>
      </w:r>
    </w:p>
    <w:p w:rsidR="00CB2B59" w:rsidRDefault="00034D70">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t>acordării de prioritate transpunerii Directivei privind cadrele de restructurare preventivă, a doua șansă și măsurile de sporire a eficienței procedurilor de restructurare, d</w:t>
      </w:r>
      <w:r>
        <w:rPr>
          <w:rFonts w:ascii="Times New Roman" w:hAnsi="Times New Roman"/>
          <w:i/>
          <w:noProof/>
          <w:sz w:val="24"/>
          <w:szCs w:val="24"/>
          <w:lang w:val="ro-RO"/>
        </w:rPr>
        <w:t>e insolvență și de remitere de datorie;</w:t>
      </w:r>
    </w:p>
    <w:p w:rsidR="00CB2B59" w:rsidRDefault="00034D70">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t>simplificării în continuare a normelor privind ajutoarele de stat pentru a facilita combinarea fără sincope a diferitelor fonduri și îmbunătățirea utilizării standardelor comune de evaluare pentru proiectele de cerce</w:t>
      </w:r>
      <w:r>
        <w:rPr>
          <w:rFonts w:ascii="Times New Roman" w:hAnsi="Times New Roman"/>
          <w:i/>
          <w:noProof/>
          <w:sz w:val="24"/>
          <w:szCs w:val="24"/>
          <w:lang w:val="ro-RO"/>
        </w:rPr>
        <w:t>tare și inovare;</w:t>
      </w:r>
    </w:p>
    <w:p w:rsidR="00CB2B59" w:rsidRDefault="00034D70">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t>înființării unui Consiliu European pentru Inovare în vederea identificării și a extinderii inovațiilor revoluționare și deschizătoare de drumuri, cu accent pe inovațiile rapide, cu grad ridicat de risc, care au un potențial puternic de a c</w:t>
      </w:r>
      <w:r>
        <w:rPr>
          <w:rFonts w:ascii="Times New Roman" w:hAnsi="Times New Roman"/>
          <w:i/>
          <w:noProof/>
          <w:sz w:val="24"/>
          <w:szCs w:val="24"/>
          <w:lang w:val="ro-RO"/>
        </w:rPr>
        <w:t>rea piețe complet noi;</w:t>
      </w:r>
    </w:p>
    <w:p w:rsidR="00CB2B59" w:rsidRDefault="00034D70">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t xml:space="preserve">lansării unui prim set de misiuni de cercetare și inovare europene, cu obiective îndrăznețe, ambițioase și o valoare adăugată europeană accentuată; </w:t>
      </w:r>
    </w:p>
    <w:p w:rsidR="00CB2B59" w:rsidRDefault="00034D70">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t>utilizării fondurilor structurale și de investiții europene pentru a aduce regiunile</w:t>
      </w:r>
      <w:r>
        <w:rPr>
          <w:rFonts w:ascii="Times New Roman" w:hAnsi="Times New Roman"/>
          <w:i/>
          <w:noProof/>
          <w:sz w:val="24"/>
          <w:szCs w:val="24"/>
          <w:lang w:val="ro-RO"/>
        </w:rPr>
        <w:t xml:space="preserve"> în economia inovării. Strategiile de specializare inteligentă ar trebui să fie consolidate și optimizate pentru a permite sprijinirea inovării interregionale. Ar trebui să se creeze sinergii cu programul „Orizont Europa”, Fondul InvestEU, Fondul social eu</w:t>
      </w:r>
      <w:r>
        <w:rPr>
          <w:rFonts w:ascii="Times New Roman" w:hAnsi="Times New Roman"/>
          <w:i/>
          <w:noProof/>
          <w:sz w:val="24"/>
          <w:szCs w:val="24"/>
          <w:lang w:val="ro-RO"/>
        </w:rPr>
        <w:t>ropean, Programul Erasmus +, Programul „Europa digitală”, politica agricolă comună și alte programe;</w:t>
      </w:r>
    </w:p>
    <w:p w:rsidR="00CB2B59" w:rsidRDefault="00034D70">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ro-RO"/>
        </w:rPr>
      </w:pPr>
      <w:r>
        <w:rPr>
          <w:rFonts w:ascii="Times New Roman" w:hAnsi="Times New Roman"/>
          <w:i/>
          <w:noProof/>
          <w:sz w:val="24"/>
          <w:szCs w:val="24"/>
          <w:lang w:val="ro-RO"/>
        </w:rPr>
        <w:t xml:space="preserve">contribuirii la modernizarea universităților și organizațiilor publice de cercetare cu ajutorul unei etichete „știință deschisă”. </w:t>
      </w:r>
    </w:p>
    <w:p w:rsidR="00CB2B59" w:rsidRDefault="00CB2B59">
      <w:pPr>
        <w:spacing w:line="240" w:lineRule="auto"/>
        <w:jc w:val="both"/>
        <w:rPr>
          <w:rFonts w:ascii="Times New Roman" w:hAnsi="Times New Roman" w:cs="Times New Roman"/>
          <w:b/>
          <w:noProof/>
          <w:sz w:val="24"/>
          <w:szCs w:val="24"/>
          <w:lang w:val="ro-RO"/>
        </w:rPr>
      </w:pPr>
    </w:p>
    <w:sectPr w:rsidR="00CB2B59">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B49C7CA" w15:done="0"/>
  <w15:commentEx w15:paraId="48824941" w15:done="0"/>
  <w15:commentEx w15:paraId="49411748" w15:done="0"/>
  <w15:commentEx w15:paraId="612708BC" w15:done="0"/>
  <w15:commentEx w15:paraId="3186FD7F" w15:done="0"/>
  <w15:commentEx w15:paraId="22B7CBE1" w15:done="0"/>
  <w15:commentEx w15:paraId="001528F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49C7CA" w16cid:durableId="1E8F0712"/>
  <w16cid:commentId w16cid:paraId="48824941" w16cid:durableId="1E8EFE5B"/>
  <w16cid:commentId w16cid:paraId="49411748" w16cid:durableId="1E8F0196"/>
  <w16cid:commentId w16cid:paraId="612708BC" w16cid:durableId="1E8F02DD"/>
  <w16cid:commentId w16cid:paraId="3186FD7F" w16cid:durableId="1E8EFBF1"/>
  <w16cid:commentId w16cid:paraId="22B7CBE1" w16cid:durableId="1E8F04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B59" w:rsidRDefault="00034D70">
      <w:pPr>
        <w:spacing w:after="0" w:line="240" w:lineRule="auto"/>
      </w:pPr>
      <w:r>
        <w:separator/>
      </w:r>
    </w:p>
  </w:endnote>
  <w:endnote w:type="continuationSeparator" w:id="0">
    <w:p w:rsidR="00CB2B59" w:rsidRDefault="00034D70">
      <w:pPr>
        <w:spacing w:after="0" w:line="240" w:lineRule="auto"/>
      </w:pPr>
      <w:r>
        <w:continuationSeparator/>
      </w:r>
    </w:p>
  </w:endnote>
  <w:endnote w:type="continuationNotice" w:id="1">
    <w:p w:rsidR="00CB2B59" w:rsidRDefault="00CB2B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C Square Sans Pro">
    <w:altName w:val="Calibri"/>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D70" w:rsidRPr="00034D70" w:rsidRDefault="00034D70" w:rsidP="00034D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D70" w:rsidRPr="00034D70" w:rsidRDefault="00034D70" w:rsidP="00034D70">
    <w:pPr>
      <w:pStyle w:val="FooterCoverPage"/>
      <w:rPr>
        <w:rFonts w:ascii="Arial" w:hAnsi="Arial" w:cs="Arial"/>
        <w:b/>
        <w:sz w:val="48"/>
      </w:rPr>
    </w:pPr>
    <w:r w:rsidRPr="00034D70">
      <w:rPr>
        <w:rFonts w:ascii="Arial" w:hAnsi="Arial" w:cs="Arial"/>
        <w:b/>
        <w:sz w:val="48"/>
      </w:rPr>
      <w:t>RO</w:t>
    </w:r>
    <w:r w:rsidRPr="00034D70">
      <w:rPr>
        <w:rFonts w:ascii="Arial" w:hAnsi="Arial" w:cs="Arial"/>
        <w:b/>
        <w:sz w:val="48"/>
      </w:rPr>
      <w:tab/>
    </w:r>
    <w:r w:rsidRPr="00034D70">
      <w:rPr>
        <w:rFonts w:ascii="Arial" w:hAnsi="Arial" w:cs="Arial"/>
        <w:b/>
        <w:sz w:val="48"/>
      </w:rPr>
      <w:tab/>
    </w:r>
    <w:r w:rsidRPr="00034D70">
      <w:tab/>
    </w:r>
    <w:r w:rsidRPr="00034D70">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D70" w:rsidRPr="00034D70" w:rsidRDefault="00034D70" w:rsidP="00034D70">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B59" w:rsidRDefault="00CB2B5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138944833"/>
      <w:docPartObj>
        <w:docPartGallery w:val="Page Numbers (Bottom of Page)"/>
        <w:docPartUnique/>
      </w:docPartObj>
    </w:sdtPr>
    <w:sdtEndPr>
      <w:rPr>
        <w:noProof/>
      </w:rPr>
    </w:sdtEndPr>
    <w:sdtContent>
      <w:p w:rsidR="00CB2B59" w:rsidRDefault="00034D70">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w:instrText>
        </w:r>
        <w:r>
          <w:rPr>
            <w:rFonts w:ascii="Times New Roman" w:hAnsi="Times New Roman" w:cs="Times New Roman"/>
          </w:rPr>
          <w:instrText xml:space="preserve">AT </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B59" w:rsidRDefault="00CB2B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B59" w:rsidRDefault="00034D70">
      <w:pPr>
        <w:spacing w:after="0" w:line="240" w:lineRule="auto"/>
      </w:pPr>
      <w:r>
        <w:separator/>
      </w:r>
    </w:p>
  </w:footnote>
  <w:footnote w:type="continuationSeparator" w:id="0">
    <w:p w:rsidR="00CB2B59" w:rsidRDefault="00034D70">
      <w:pPr>
        <w:spacing w:after="0" w:line="240" w:lineRule="auto"/>
      </w:pPr>
      <w:r>
        <w:continuationSeparator/>
      </w:r>
    </w:p>
  </w:footnote>
  <w:footnote w:type="continuationNotice" w:id="1">
    <w:p w:rsidR="00CB2B59" w:rsidRDefault="00CB2B59">
      <w:pPr>
        <w:spacing w:after="0" w:line="240" w:lineRule="auto"/>
      </w:pPr>
    </w:p>
  </w:footnote>
  <w:footnote w:id="2">
    <w:p w:rsidR="00CB2B59" w:rsidRDefault="00034D70">
      <w:pPr>
        <w:pStyle w:val="FootnoteText"/>
        <w:tabs>
          <w:tab w:val="left" w:pos="284"/>
        </w:tabs>
        <w:ind w:left="284" w:hanging="284"/>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lang w:val="ro-RO"/>
        </w:rPr>
        <w:tab/>
        <w:t>Raportul „Performanța UE în ceea ce privește știința, cercetarea și inovarea în 2018”.</w:t>
      </w:r>
    </w:p>
  </w:footnote>
  <w:footnote w:id="3">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 xml:space="preserve">COM (2018) 237. </w:t>
      </w:r>
    </w:p>
  </w:footnote>
  <w:footnote w:id="4">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 xml:space="preserve">Acest lucru este relevant în special în cazul în care UE a negociat acorduri comerciale. A se vedea propunerea Comisiei privind </w:t>
      </w:r>
      <w:r>
        <w:rPr>
          <w:rFonts w:ascii="Times New Roman" w:hAnsi="Times New Roman"/>
          <w:lang w:val="ro-RO"/>
        </w:rPr>
        <w:t>un regulament de stabilire a unui cadru pentru examinarea investițiilor străine directe în UE, COM(2017)487.</w:t>
      </w:r>
    </w:p>
  </w:footnote>
  <w:footnote w:id="5">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cs="Times New Roman"/>
          <w:lang w:val="ro-RO"/>
        </w:rPr>
        <w:tab/>
        <w:t>Raportul „Regăsirea industriei – Definirea inovării”, elaborat de Grupul independent la înalt nivel al tehnologiilor industriale, prezidat de Jür</w:t>
      </w:r>
      <w:r>
        <w:rPr>
          <w:rFonts w:ascii="Times New Roman" w:hAnsi="Times New Roman" w:cs="Times New Roman"/>
          <w:lang w:val="ro-RO"/>
        </w:rPr>
        <w:t>gen Rüttgers, Comisia Europeană, 2018.</w:t>
      </w:r>
    </w:p>
  </w:footnote>
  <w:footnote w:id="6">
    <w:p w:rsidR="00CB2B59" w:rsidRDefault="00034D70">
      <w:pPr>
        <w:pStyle w:val="FootnoteText"/>
        <w:tabs>
          <w:tab w:val="left" w:pos="284"/>
        </w:tabs>
        <w:ind w:left="284" w:hanging="284"/>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lang w:val="ro-RO"/>
        </w:rPr>
        <w:tab/>
        <w:t>COM (2015) 192, COM (2015) 550.</w:t>
      </w:r>
    </w:p>
  </w:footnote>
  <w:footnote w:id="7">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COM (2015) 80, COM (2016) 763.</w:t>
      </w:r>
    </w:p>
  </w:footnote>
  <w:footnote w:id="8">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COM (2017) 479.</w:t>
      </w:r>
    </w:p>
  </w:footnote>
  <w:footnote w:id="9">
    <w:p w:rsidR="00CB2B59" w:rsidRDefault="00034D70">
      <w:pPr>
        <w:pStyle w:val="FootnoteText"/>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30 % din fondurile furnizate prin Planul de investiții au fost alocate întreprinderilor mici și mijlocii, 22 % proiectelor de cerc</w:t>
      </w:r>
      <w:r>
        <w:rPr>
          <w:rFonts w:ascii="Times New Roman" w:hAnsi="Times New Roman"/>
          <w:lang w:val="ro-RO"/>
        </w:rPr>
        <w:t xml:space="preserve">etare și inovare și 11 % proiectelor care vizează îmbunătățirea capacității digitale a Europei. </w:t>
      </w:r>
    </w:p>
  </w:footnote>
  <w:footnote w:id="10">
    <w:p w:rsidR="00CB2B59" w:rsidRDefault="00034D70">
      <w:pPr>
        <w:pStyle w:val="FootnoteText"/>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 xml:space="preserve">În prezent, UE cheltuiește aproape 80 de miliarde EUR pentru programul său cadru pentru cercetare și inovare „Orizont 2020”, în perioada 2014-2020. </w:t>
      </w:r>
    </w:p>
  </w:footnote>
  <w:footnote w:id="11">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Fondur</w:t>
      </w:r>
      <w:r>
        <w:rPr>
          <w:rFonts w:ascii="Times New Roman" w:hAnsi="Times New Roman"/>
          <w:lang w:val="ro-RO"/>
        </w:rPr>
        <w:t>ile structurale și de investiții europene investesc peste 44 de miliarde EUR în cercetare și inovare, inclusiv aproximativ 30 de miliarde EUR în regiunile în tranziție, mai puțin dezvoltate, ultraperiferice și slab populate.</w:t>
      </w:r>
    </w:p>
  </w:footnote>
  <w:footnote w:id="12">
    <w:p w:rsidR="00CB2B59" w:rsidRDefault="00034D70">
      <w:pPr>
        <w:pStyle w:val="FootnoteText"/>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COM (2018) 2.</w:t>
      </w:r>
    </w:p>
  </w:footnote>
  <w:footnote w:id="13">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COM (2010) 20</w:t>
      </w:r>
      <w:r>
        <w:rPr>
          <w:rFonts w:ascii="Times New Roman" w:hAnsi="Times New Roman"/>
          <w:lang w:val="ro-RO"/>
        </w:rPr>
        <w:t xml:space="preserve">20, COM (2017) 690. A se vedea, de asemenea, raportul „Performanța UE în ceea ce privește știința, cercetarea și inovarea în 2018” și raportul </w:t>
      </w:r>
      <w:r>
        <w:rPr>
          <w:rFonts w:ascii="Times New Roman" w:hAnsi="Times New Roman"/>
          <w:i/>
          <w:lang w:val="ro-RO"/>
        </w:rPr>
        <w:t xml:space="preserve">„Lab, Fab, App” </w:t>
      </w:r>
      <w:r>
        <w:rPr>
          <w:rFonts w:ascii="Times New Roman" w:hAnsi="Times New Roman"/>
          <w:lang w:val="ro-RO"/>
        </w:rPr>
        <w:t>elaborat de Grupul independent la nivel înalt privind maximizarea impactului programelor de cerce</w:t>
      </w:r>
      <w:r>
        <w:rPr>
          <w:rFonts w:ascii="Times New Roman" w:hAnsi="Times New Roman"/>
          <w:lang w:val="ro-RO"/>
        </w:rPr>
        <w:t>tare și inovare ale UE, prezidat de Pascal Lamy.</w:t>
      </w:r>
    </w:p>
  </w:footnote>
  <w:footnote w:id="14">
    <w:p w:rsidR="00CB2B59" w:rsidRDefault="00034D70">
      <w:pPr>
        <w:tabs>
          <w:tab w:val="left" w:pos="284"/>
        </w:tabs>
        <w:spacing w:after="0" w:line="240" w:lineRule="auto"/>
        <w:ind w:left="284" w:hanging="284"/>
        <w:jc w:val="both"/>
        <w:rPr>
          <w:rFonts w:ascii="Times New Roman" w:hAnsi="Times New Roman" w:cs="Times New Roman"/>
          <w:sz w:val="20"/>
          <w:szCs w:val="20"/>
          <w:lang w:val="ro-RO"/>
        </w:rPr>
      </w:pPr>
      <w:r>
        <w:rPr>
          <w:rStyle w:val="FootnoteReference"/>
          <w:rFonts w:ascii="Times New Roman" w:hAnsi="Times New Roman" w:cs="Times New Roman"/>
          <w:sz w:val="20"/>
          <w:szCs w:val="20"/>
          <w:lang w:val="ro-RO"/>
        </w:rPr>
        <w:footnoteRef/>
      </w:r>
      <w:r>
        <w:rPr>
          <w:rFonts w:ascii="Times New Roman" w:hAnsi="Times New Roman"/>
          <w:sz w:val="20"/>
          <w:szCs w:val="20"/>
          <w:lang w:val="ro-RO"/>
        </w:rPr>
        <w:tab/>
        <w:t xml:space="preserve">Sursa: Comisia Europeană, Direcția Generală pentru Cercetare și Inovare. Date: Eurostat. </w:t>
      </w:r>
    </w:p>
  </w:footnote>
  <w:footnote w:id="15">
    <w:p w:rsidR="00CB2B59" w:rsidRDefault="00034D70">
      <w:pPr>
        <w:pStyle w:val="FootnoteText"/>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COM (2018) 2 și raportul „</w:t>
      </w:r>
      <w:r>
        <w:rPr>
          <w:rFonts w:ascii="Times New Roman" w:hAnsi="Times New Roman"/>
          <w:i/>
          <w:lang w:val="ro-RO"/>
        </w:rPr>
        <w:t>Lab, Fab, App</w:t>
      </w:r>
      <w:r>
        <w:rPr>
          <w:rFonts w:ascii="Times New Roman" w:hAnsi="Times New Roman"/>
          <w:lang w:val="ro-RO"/>
        </w:rPr>
        <w:t>”.</w:t>
      </w:r>
    </w:p>
  </w:footnote>
  <w:footnote w:id="16">
    <w:p w:rsidR="00CB2B59" w:rsidRDefault="00034D70">
      <w:pPr>
        <w:pStyle w:val="FootnoteText"/>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 xml:space="preserve">Consiliul European pentru Cercetare a fost instituit în 2013 pentru </w:t>
      </w:r>
      <w:r>
        <w:rPr>
          <w:rFonts w:ascii="Times New Roman" w:hAnsi="Times New Roman"/>
          <w:lang w:val="ro-RO"/>
        </w:rPr>
        <w:t>punerea în aplicare a unei părți din programul „Orizont 2020”. Acesta este alcătuit dintr-un consiliu științific independent, organul său de conducere fiind format din cercetători distinși, și dintr-o agenție executivă însărcinată cu punerea în aplicare. C</w:t>
      </w:r>
      <w:r>
        <w:rPr>
          <w:rFonts w:ascii="Times New Roman" w:hAnsi="Times New Roman"/>
          <w:lang w:val="ro-RO"/>
        </w:rPr>
        <w:t>onsiliul face parte din programul „Orizont 2020”.</w:t>
      </w:r>
    </w:p>
  </w:footnote>
  <w:footnote w:id="17">
    <w:p w:rsidR="00CB2B59" w:rsidRDefault="00034D70">
      <w:pPr>
        <w:pStyle w:val="FootnoteText"/>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De exemplu, profesorul Feringa, beneficiar al unui grant acordat de Consiliul European pentru Cercetare și om de știință responsabil de un proiect de cofinanțare „Marie Skłodowska-Curie”, a câștigat, în 2</w:t>
      </w:r>
      <w:r>
        <w:rPr>
          <w:rFonts w:ascii="Times New Roman" w:hAnsi="Times New Roman"/>
          <w:lang w:val="ro-RO"/>
        </w:rPr>
        <w:t>016, Premiul Nobel pentru Chimie.</w:t>
      </w:r>
    </w:p>
  </w:footnote>
  <w:footnote w:id="18">
    <w:p w:rsidR="00CB2B59" w:rsidRDefault="00034D70">
      <w:pPr>
        <w:pStyle w:val="FootnoteText"/>
        <w:tabs>
          <w:tab w:val="left" w:pos="240"/>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Acțiunile „Marie Skłodowska-Curie” fac parte din programul „Orizont 2020”. Începând din 2013, nouă câștigători ai premiului Nobel au fost fie foști bursieri, fie responsabili de supravegherea acțiunilor „Marie Skłodowska</w:t>
      </w:r>
      <w:r>
        <w:rPr>
          <w:rFonts w:ascii="Times New Roman" w:hAnsi="Times New Roman"/>
          <w:lang w:val="ro-RO"/>
        </w:rPr>
        <w:t>-Curie”.</w:t>
      </w:r>
    </w:p>
  </w:footnote>
  <w:footnote w:id="19">
    <w:p w:rsidR="00CB2B59" w:rsidRDefault="00034D70">
      <w:pPr>
        <w:pStyle w:val="FootnoteText"/>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 xml:space="preserve">30 % din fondurile furnizate prin Planul de investiții au fost alocate IMM-urilor, 22 % proiectelor de cercetare și inovare și 11 % proiectelor care vizează îmbunătățirea capacității digitale a Europei. </w:t>
      </w:r>
    </w:p>
  </w:footnote>
  <w:footnote w:id="20">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 xml:space="preserve">A se vedea raportul „Performanța UE în </w:t>
      </w:r>
      <w:r>
        <w:rPr>
          <w:rFonts w:ascii="Times New Roman" w:hAnsi="Times New Roman"/>
          <w:lang w:val="ro-RO"/>
        </w:rPr>
        <w:t>ceea ce privește știința, cercetarea și inovarea” în BG, CZ, EE, HR, LV, LT, HU, MT, PL, RO, SI și SK. Fondurile structurale și de investiții europene reprezintă principala sursă de finanțare pentru cercetare și inovare</w:t>
      </w:r>
    </w:p>
  </w:footnote>
  <w:footnote w:id="21">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COM (2018) 321.</w:t>
      </w:r>
    </w:p>
  </w:footnote>
  <w:footnote w:id="22">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Alte programe, c</w:t>
      </w:r>
      <w:r>
        <w:rPr>
          <w:rFonts w:ascii="Times New Roman" w:hAnsi="Times New Roman"/>
          <w:lang w:val="ro-RO"/>
        </w:rPr>
        <w:t>um ar fi Fondul pentru inovare, Programul pentru piața unică, fondurile pentru agricultură și politici maritime, Fondul social european, programul Erasmus +, programele UE privind cultura și valorile, vor avea componente de inovare esențiale.</w:t>
      </w:r>
    </w:p>
  </w:footnote>
  <w:footnote w:id="23">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r>
      <w:r>
        <w:rPr>
          <w:rFonts w:ascii="Times New Roman" w:hAnsi="Times New Roman"/>
          <w:lang w:val="ro-RO"/>
        </w:rPr>
        <w:t xml:space="preserve">Raportul „Performanța UE în ceea ce privește știința, cercetarea și inovarea în 2018”. </w:t>
      </w:r>
    </w:p>
  </w:footnote>
  <w:footnote w:id="24">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Sursa: Comisia Europeană, Direcția Generală pentru Cercetare și Inovare. Date: Eurostat, OECD.</w:t>
      </w:r>
    </w:p>
  </w:footnote>
  <w:footnote w:id="25">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 xml:space="preserve">COM (2017) 479. </w:t>
      </w:r>
    </w:p>
  </w:footnote>
  <w:footnote w:id="26">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COM (2015) 215 și COM (2017) 651.</w:t>
      </w:r>
    </w:p>
  </w:footnote>
  <w:footnote w:id="27">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COM (2018) 008</w:t>
      </w:r>
      <w:r>
        <w:rPr>
          <w:rFonts w:ascii="Times New Roman" w:hAnsi="Times New Roman"/>
          <w:lang w:val="ro-RO"/>
        </w:rPr>
        <w:t>, COM (2018) 237.</w:t>
      </w:r>
    </w:p>
  </w:footnote>
  <w:footnote w:id="28">
    <w:p w:rsidR="00CB2B59" w:rsidRDefault="00034D70">
      <w:pPr>
        <w:pStyle w:val="FootnoteText"/>
        <w:tabs>
          <w:tab w:val="left" w:pos="284"/>
        </w:tabs>
        <w:ind w:left="284" w:hanging="284"/>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vertAlign w:val="superscript"/>
          <w:lang w:val="ro-RO"/>
        </w:rPr>
        <w:t xml:space="preserve"> </w:t>
      </w:r>
      <w:r>
        <w:rPr>
          <w:rFonts w:ascii="Times New Roman" w:hAnsi="Times New Roman"/>
          <w:vertAlign w:val="superscript"/>
          <w:lang w:val="ro-RO"/>
        </w:rPr>
        <w:tab/>
      </w:r>
      <w:hyperlink r:id="rId1" w:history="1">
        <w:r>
          <w:rPr>
            <w:rStyle w:val="Hyperlink"/>
            <w:rFonts w:ascii="Times New Roman" w:hAnsi="Times New Roman"/>
            <w:lang w:val="ro-RO"/>
          </w:rPr>
          <w:t>http://www.consilium.europa.eu/ro/policies/investment-plan/</w:t>
        </w:r>
      </w:hyperlink>
      <w:r>
        <w:rPr>
          <w:rFonts w:ascii="Times New Roman" w:hAnsi="Times New Roman"/>
          <w:lang w:val="ro-RO"/>
        </w:rPr>
        <w:t xml:space="preserve"> </w:t>
      </w:r>
    </w:p>
  </w:footnote>
  <w:footnote w:id="29">
    <w:p w:rsidR="00CB2B59" w:rsidRDefault="00034D70">
      <w:pPr>
        <w:pStyle w:val="FootnoteText"/>
        <w:tabs>
          <w:tab w:val="left" w:pos="284"/>
        </w:tabs>
        <w:ind w:left="284" w:hanging="284"/>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vertAlign w:val="superscript"/>
          <w:lang w:val="ro-RO"/>
        </w:rPr>
        <w:tab/>
      </w:r>
      <w:r>
        <w:rPr>
          <w:rFonts w:ascii="Times New Roman" w:hAnsi="Times New Roman"/>
          <w:lang w:val="ro-RO"/>
        </w:rPr>
        <w:t>Raportul PwC/CB „Insights MoneyTree™”, T4 2017.</w:t>
      </w:r>
    </w:p>
  </w:footnote>
  <w:footnote w:id="30">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Sursa: Comisia Europeană, Direcția Generală pe</w:t>
      </w:r>
      <w:r>
        <w:rPr>
          <w:rFonts w:ascii="Times New Roman" w:hAnsi="Times New Roman"/>
          <w:lang w:val="ro-RO"/>
        </w:rPr>
        <w:t>ntru Cercetare și Inovare - Date: Invest Europe, NVCA/Pitchbook/.</w:t>
      </w:r>
    </w:p>
  </w:footnote>
  <w:footnote w:id="31">
    <w:p w:rsidR="00CB2B59" w:rsidRDefault="00034D70">
      <w:pPr>
        <w:pStyle w:val="FootnoteText"/>
        <w:ind w:left="284" w:hanging="284"/>
        <w:jc w:val="both"/>
        <w:rPr>
          <w:lang w:val="ro-RO"/>
        </w:rPr>
      </w:pPr>
      <w:r>
        <w:rPr>
          <w:rStyle w:val="FootnoteReference"/>
          <w:lang w:val="ro-RO"/>
        </w:rPr>
        <w:footnoteRef/>
      </w:r>
      <w:r>
        <w:rPr>
          <w:lang w:val="ro-RO"/>
        </w:rPr>
        <w:t xml:space="preserve"> </w:t>
      </w:r>
      <w:r>
        <w:rPr>
          <w:lang w:val="ro-RO"/>
        </w:rPr>
        <w:tab/>
      </w:r>
      <w:r>
        <w:rPr>
          <w:rFonts w:ascii="Times New Roman" w:hAnsi="Times New Roman"/>
          <w:lang w:val="ro-RO"/>
        </w:rPr>
        <w:t>În prezent, 9,2 miliarde EUR sunt planificate pentru creșterea inteligentă legată de instrumentele de împrumut, de garantare și de capital care mobilizează importante fonduri suplimentare</w:t>
      </w:r>
      <w:r>
        <w:rPr>
          <w:rFonts w:ascii="Times New Roman" w:hAnsi="Times New Roman"/>
          <w:lang w:val="ro-RO"/>
        </w:rPr>
        <w:t xml:space="preserve"> publice și private.</w:t>
      </w:r>
    </w:p>
  </w:footnote>
  <w:footnote w:id="32">
    <w:p w:rsidR="00CB2B59" w:rsidRDefault="00034D70">
      <w:pPr>
        <w:pStyle w:val="FootnoteText"/>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Propunerea privind bază fiscală consolidată comună a societăților vizează stimularea investițiilor în cercetare și dezvoltare cu o deducere suplimentară, COM (2016) 685.</w:t>
      </w:r>
    </w:p>
  </w:footnote>
  <w:footnote w:id="33">
    <w:p w:rsidR="00CB2B59" w:rsidRDefault="00034D70">
      <w:pPr>
        <w:pStyle w:val="FootnoteText"/>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VentureEU este un fond de fonduri paneuropean de capital de r</w:t>
      </w:r>
      <w:r>
        <w:rPr>
          <w:rFonts w:ascii="Times New Roman" w:hAnsi="Times New Roman"/>
          <w:lang w:val="ro-RO"/>
        </w:rPr>
        <w:t>isc, care include un set de șase fonduri private (</w:t>
      </w:r>
      <w:hyperlink r:id="rId2" w:history="1">
        <w:r>
          <w:rPr>
            <w:rStyle w:val="Hyperlink"/>
            <w:rFonts w:ascii="Times New Roman" w:hAnsi="Times New Roman"/>
            <w:lang w:val="ro-RO"/>
          </w:rPr>
          <w:t>http://europa.eu/rapid/press-release_IP-18-2763_ro.htm</w:t>
        </w:r>
      </w:hyperlink>
      <w:r>
        <w:rPr>
          <w:rFonts w:ascii="Times New Roman" w:hAnsi="Times New Roman"/>
          <w:lang w:val="ro-RO"/>
        </w:rPr>
        <w:t>).</w:t>
      </w:r>
    </w:p>
  </w:footnote>
  <w:footnote w:id="34">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 xml:space="preserve">Marca de excelență certifică proiecte excelente la nivel internațional, dar </w:t>
      </w:r>
      <w:r>
        <w:rPr>
          <w:rFonts w:ascii="Times New Roman" w:hAnsi="Times New Roman"/>
          <w:lang w:val="ro-RO"/>
        </w:rPr>
        <w:t>nefinanțate, prezentate în cadrul programului „Orizont 2020”, astfel încât acestea să poată fi finanțate de fondurile structurale.</w:t>
      </w:r>
    </w:p>
  </w:footnote>
  <w:footnote w:id="35">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Principiul inovării este o parte integrantă a abordării UE privind o mai bună reglementare și asigură faptul că, de fiecare</w:t>
      </w:r>
      <w:r>
        <w:rPr>
          <w:rFonts w:ascii="Times New Roman" w:hAnsi="Times New Roman"/>
          <w:lang w:val="ro-RO"/>
        </w:rPr>
        <w:t xml:space="preserve"> dată când se elaborează politica și legislația, impactul asupra inovării este evaluat pe deplin.</w:t>
      </w:r>
    </w:p>
  </w:footnote>
  <w:footnote w:id="36">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Propunerea Comisiei Europene pentru o directivă privind cadrele de restructurare preventive, a doua șansă și măsurile de sporire a eficienței procedurilor d</w:t>
      </w:r>
      <w:r>
        <w:rPr>
          <w:rFonts w:ascii="Times New Roman" w:hAnsi="Times New Roman"/>
          <w:lang w:val="ro-RO"/>
        </w:rPr>
        <w:t>e restructurare, de insolvență și de remitere de datorie. (</w:t>
      </w:r>
      <w:hyperlink r:id="rId3" w:history="1">
        <w:r>
          <w:rPr>
            <w:rStyle w:val="Hyperlink"/>
            <w:rFonts w:ascii="Times New Roman" w:hAnsi="Times New Roman"/>
            <w:lang w:val="ro-RO"/>
          </w:rPr>
          <w:t>http://ec.europa.eu/information_society/newsroom/image/document/2016-48/proposal_40046.pdf</w:t>
        </w:r>
      </w:hyperlink>
      <w:r>
        <w:rPr>
          <w:rFonts w:ascii="Times New Roman" w:hAnsi="Times New Roman"/>
          <w:lang w:val="ro-RO"/>
        </w:rPr>
        <w:t>).</w:t>
      </w:r>
    </w:p>
  </w:footnote>
  <w:footnote w:id="37">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C(2018) 3051.</w:t>
      </w:r>
    </w:p>
  </w:footnote>
  <w:footnote w:id="38">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Style w:val="Hyperlink"/>
          <w:rFonts w:ascii="Times New Roman" w:hAnsi="Times New Roman" w:cs="Times New Roman"/>
          <w:lang w:val="ro-RO"/>
        </w:rPr>
        <w:tab/>
      </w:r>
      <w:hyperlink r:id="rId4" w:anchor="view=fit&amp;pagemod e=none" w:history="1">
        <w:r>
          <w:rPr>
            <w:rStyle w:val="Hyperlink"/>
            <w:rFonts w:ascii="Times New Roman" w:hAnsi="Times New Roman" w:cs="Times New Roman"/>
            <w:lang w:val="ro-RO"/>
          </w:rPr>
          <w:t>http://ec.europa.eu/research/industrial_technologies/pdf/re_finding_industry_022018.pdf#view=fit&amp;pagem</w:t>
        </w:r>
        <w:r>
          <w:rPr>
            <w:rStyle w:val="Hyperlink"/>
            <w:rFonts w:ascii="Times New Roman" w:hAnsi="Times New Roman" w:cs="Times New Roman"/>
            <w:lang w:val="ro-RO"/>
          </w:rPr>
          <w:t>od e=none</w:t>
        </w:r>
      </w:hyperlink>
    </w:p>
  </w:footnote>
  <w:footnote w:id="39">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Style w:val="Hyperlink"/>
          <w:rFonts w:ascii="Times New Roman" w:hAnsi="Times New Roman"/>
          <w:u w:val="none"/>
          <w:lang w:val="ro-RO"/>
        </w:rPr>
        <w:tab/>
      </w:r>
      <w:r>
        <w:rPr>
          <w:rFonts w:ascii="Times New Roman" w:hAnsi="Times New Roman" w:cs="Times New Roman"/>
          <w:lang w:val="ro-RO"/>
        </w:rPr>
        <w:t>Raportul „Regăsirea industriei – Definirea inovării”, elaborat de Grupul independent la înalt nivel al tehnologiilor industriale, Comisia Europeană, 2018.</w:t>
      </w:r>
    </w:p>
  </w:footnote>
  <w:footnote w:id="40">
    <w:p w:rsidR="00CB2B59" w:rsidRDefault="00034D70">
      <w:pPr>
        <w:pStyle w:val="FootnoteText"/>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Procentul firmelor care nu înregistrează nicio creștere sau care înregistrează o crește</w:t>
      </w:r>
      <w:r>
        <w:rPr>
          <w:rFonts w:ascii="Times New Roman" w:hAnsi="Times New Roman"/>
          <w:lang w:val="ro-RO"/>
        </w:rPr>
        <w:t xml:space="preserve">re mai mică de 5 % este de peste 45 % în Europa, comparativ cu 37 % în SUA. Parlamentul European (2017), </w:t>
      </w:r>
      <w:r>
        <w:rPr>
          <w:rFonts w:ascii="Times New Roman" w:hAnsi="Times New Roman"/>
          <w:i/>
          <w:lang w:val="ro-RO"/>
        </w:rPr>
        <w:t>Sprijin pentru creșterea IMM-urilor europene</w:t>
      </w:r>
      <w:r>
        <w:rPr>
          <w:rFonts w:ascii="Times New Roman" w:hAnsi="Times New Roman"/>
          <w:lang w:val="ro-RO"/>
        </w:rPr>
        <w:t>.</w:t>
      </w:r>
      <w:r>
        <w:rPr>
          <w:rFonts w:ascii="Times New Roman" w:hAnsi="Times New Roman" w:cs="Times New Roman"/>
          <w:lang w:val="ro-RO"/>
        </w:rPr>
        <w:t xml:space="preserve"> </w:t>
      </w:r>
    </w:p>
    <w:p w:rsidR="00CB2B59" w:rsidRDefault="00034D70">
      <w:pPr>
        <w:pStyle w:val="FootnoteText"/>
        <w:ind w:left="284" w:hanging="284"/>
        <w:jc w:val="both"/>
        <w:rPr>
          <w:rFonts w:ascii="Times New Roman" w:hAnsi="Times New Roman" w:cs="Times New Roman"/>
          <w:lang w:val="ro-RO"/>
        </w:rPr>
      </w:pPr>
      <w:r>
        <w:rPr>
          <w:rFonts w:ascii="Times New Roman" w:hAnsi="Times New Roman" w:cs="Times New Roman"/>
          <w:lang w:val="ro-RO"/>
        </w:rPr>
        <w:tab/>
      </w:r>
      <w:hyperlink r:id="rId5" w:history="1">
        <w:r>
          <w:rPr>
            <w:rStyle w:val="Hyperlink"/>
            <w:rFonts w:ascii="Times New Roman" w:hAnsi="Times New Roman" w:cs="Times New Roman"/>
            <w:lang w:val="ro-RO"/>
          </w:rPr>
          <w:t>http://www.europarl.europa.eu/thinktank/en/document.html?reference=EPRS_IDA(2017)603967</w:t>
        </w:r>
      </w:hyperlink>
      <w:r>
        <w:rPr>
          <w:rFonts w:ascii="Times New Roman" w:hAnsi="Times New Roman"/>
          <w:lang w:val="ro-RO"/>
        </w:rPr>
        <w:t xml:space="preserve">. </w:t>
      </w:r>
    </w:p>
  </w:footnote>
  <w:footnote w:id="41">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 xml:space="preserve">Deficiențele UE rezultă cu claritate din faptul că societățile cu sediul în UE lipsesc aproape în totalitate din rândul societăților din domeniul tehnologiei care </w:t>
      </w:r>
      <w:r>
        <w:rPr>
          <w:rFonts w:ascii="Times New Roman" w:hAnsi="Times New Roman"/>
          <w:lang w:val="ro-RO"/>
        </w:rPr>
        <w:t>ocupă o poziție de lider la nivel mondial.</w:t>
      </w:r>
    </w:p>
  </w:footnote>
  <w:footnote w:id="42">
    <w:p w:rsidR="00CB2B59" w:rsidRDefault="00034D70">
      <w:pPr>
        <w:pStyle w:val="FootnoteText"/>
        <w:ind w:left="284" w:hanging="284"/>
        <w:jc w:val="both"/>
        <w:rPr>
          <w:rFonts w:ascii="Times New Roman" w:hAnsi="Times New Roman" w:cs="Times New Roman"/>
          <w:i/>
          <w:lang w:val="ro-RO"/>
        </w:rPr>
      </w:pPr>
      <w:r>
        <w:rPr>
          <w:rStyle w:val="FootnoteReference"/>
          <w:rFonts w:ascii="Times New Roman" w:hAnsi="Times New Roman" w:cs="Times New Roman"/>
          <w:lang w:val="ro-RO"/>
        </w:rPr>
        <w:footnoteRef/>
      </w:r>
      <w:r>
        <w:rPr>
          <w:rFonts w:ascii="Times New Roman" w:hAnsi="Times New Roman"/>
          <w:lang w:val="ro-RO"/>
        </w:rPr>
        <w:tab/>
        <w:t>Grupul la nivel înalt al inovatorilor, în raportul său intitulat „Europa din nou pe poziție: accelerarea inovării revoluționare” (</w:t>
      </w:r>
      <w:hyperlink r:id="rId6" w:history="1">
        <w:r>
          <w:rPr>
            <w:rStyle w:val="Hyperlink"/>
            <w:rFonts w:ascii="Times New Roman" w:hAnsi="Times New Roman"/>
            <w:lang w:val="ro-RO"/>
          </w:rPr>
          <w:t>htt</w:t>
        </w:r>
        <w:r>
          <w:rPr>
            <w:rStyle w:val="Hyperlink"/>
            <w:rFonts w:ascii="Times New Roman" w:hAnsi="Times New Roman"/>
            <w:lang w:val="ro-RO"/>
          </w:rPr>
          <w:t>ps://ec.europa.eu/info/sites/info/files/eic_hlg_bz_web.pdf</w:t>
        </w:r>
      </w:hyperlink>
      <w:r>
        <w:rPr>
          <w:rFonts w:ascii="Times New Roman" w:hAnsi="Times New Roman"/>
          <w:lang w:val="ro-RO"/>
        </w:rPr>
        <w:t xml:space="preserve"> ).</w:t>
      </w:r>
    </w:p>
  </w:footnote>
  <w:footnote w:id="43">
    <w:p w:rsidR="00CB2B59" w:rsidRDefault="00034D70">
      <w:pPr>
        <w:pStyle w:val="FootnoteText"/>
        <w:tabs>
          <w:tab w:val="left" w:pos="284"/>
        </w:tabs>
        <w:ind w:left="284" w:hanging="284"/>
        <w:jc w:val="both"/>
        <w:rPr>
          <w:rFonts w:ascii="Times New Roman" w:hAnsi="Times New Roman" w:cs="Times New Roman"/>
          <w:lang w:val="ro-RO"/>
        </w:rPr>
      </w:pPr>
      <w:r>
        <w:rPr>
          <w:rFonts w:ascii="Times New Roman" w:hAnsi="Times New Roman" w:cs="Times New Roman"/>
          <w:vertAlign w:val="superscript"/>
          <w:lang w:val="ro-RO"/>
        </w:rPr>
        <w:footnoteRef/>
      </w:r>
      <w:r>
        <w:rPr>
          <w:rFonts w:ascii="Times New Roman" w:hAnsi="Times New Roman"/>
          <w:lang w:val="ro-RO"/>
        </w:rPr>
        <w:tab/>
        <w:t xml:space="preserve">„Grafen” este un proiect al programului „Orizont 2020” și a fost lansat de UE în 2013. Este una dintre cele mai mari inițiative de cercetare din Europa, care dorește să ducă grafenul (un </w:t>
      </w:r>
      <w:r>
        <w:rPr>
          <w:rFonts w:ascii="Times New Roman" w:hAnsi="Times New Roman"/>
          <w:lang w:val="ro-RO"/>
        </w:rPr>
        <w:t>material ultrasubțire din carbon, care ar putea înlocui siliciul) și materialele bidimensionale din laboratoare în societatea europeană. „Creierul uman” este un proiect al programului „Orizont 2020” lansat în 2013, care vizează să accelereze domeniile neur</w:t>
      </w:r>
      <w:r>
        <w:rPr>
          <w:rFonts w:ascii="Times New Roman" w:hAnsi="Times New Roman"/>
          <w:lang w:val="ro-RO"/>
        </w:rPr>
        <w:t>oștiințelor, calculului și medicamentelor pentru creier. Ambele sunt facilitate de investițiile Fondului european de dezvoltare, în cadrul Institutului grafenului din Manchester și, respectiv, al Institutului european pentru calcul neuromorfic din Heidelbe</w:t>
      </w:r>
      <w:r>
        <w:rPr>
          <w:rFonts w:ascii="Times New Roman" w:hAnsi="Times New Roman"/>
          <w:lang w:val="ro-RO"/>
        </w:rPr>
        <w:t>rg.</w:t>
      </w:r>
    </w:p>
  </w:footnote>
  <w:footnote w:id="44">
    <w:p w:rsidR="00CB2B59" w:rsidRDefault="00034D70">
      <w:pPr>
        <w:pStyle w:val="FootnoteText"/>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„Performanța UE în ceea ce privește știința, cercetarea și inovarea în 2018” (</w:t>
      </w:r>
      <w:hyperlink r:id="rId7" w:history="1">
        <w:r>
          <w:rPr>
            <w:rStyle w:val="Hyperlink"/>
            <w:rFonts w:ascii="Times New Roman" w:hAnsi="Times New Roman"/>
            <w:lang w:val="ro-RO"/>
          </w:rPr>
          <w:t>https://ec.europa.eu/info/support-policy-making-eu-a</w:t>
        </w:r>
        <w:r>
          <w:rPr>
            <w:rStyle w:val="Hyperlink"/>
            <w:rFonts w:ascii="Times New Roman" w:hAnsi="Times New Roman"/>
            <w:lang w:val="ro-RO"/>
          </w:rPr>
          <w:t>nd-horizon-2020-associated-countries/srip-report_en</w:t>
        </w:r>
      </w:hyperlink>
      <w:r>
        <w:rPr>
          <w:rFonts w:ascii="Times New Roman" w:hAnsi="Times New Roman"/>
          <w:lang w:val="ro-RO"/>
        </w:rPr>
        <w:t>).</w:t>
      </w:r>
    </w:p>
  </w:footnote>
  <w:footnote w:id="45">
    <w:p w:rsidR="00CB2B59" w:rsidRDefault="00034D70">
      <w:pPr>
        <w:spacing w:after="0" w:line="240" w:lineRule="auto"/>
        <w:ind w:left="284" w:hanging="284"/>
        <w:jc w:val="both"/>
        <w:rPr>
          <w:rFonts w:ascii="Times New Roman" w:hAnsi="Times New Roman" w:cs="Times New Roman"/>
          <w:sz w:val="20"/>
          <w:szCs w:val="20"/>
          <w:lang w:val="ro-RO"/>
        </w:rPr>
      </w:pPr>
      <w:r>
        <w:rPr>
          <w:rStyle w:val="FootnoteReference"/>
          <w:rFonts w:ascii="Times New Roman" w:hAnsi="Times New Roman" w:cs="Times New Roman"/>
          <w:sz w:val="20"/>
          <w:szCs w:val="20"/>
          <w:lang w:val="ro-RO"/>
        </w:rPr>
        <w:footnoteRef/>
      </w:r>
      <w:r>
        <w:rPr>
          <w:rFonts w:ascii="Times New Roman" w:hAnsi="Times New Roman"/>
          <w:sz w:val="20"/>
          <w:szCs w:val="20"/>
          <w:lang w:val="ro-RO"/>
        </w:rPr>
        <w:tab/>
        <w:t>Sursa: Comisia Europeană, Direcția Generală pentru Politică Regională și Urbană.</w:t>
      </w:r>
    </w:p>
  </w:footnote>
  <w:footnote w:id="46">
    <w:p w:rsidR="00CB2B59" w:rsidRDefault="00034D70">
      <w:pPr>
        <w:pStyle w:val="FootnoteText"/>
        <w:tabs>
          <w:tab w:val="left" w:pos="284"/>
        </w:tabs>
        <w:ind w:left="284" w:hanging="284"/>
        <w:contextualSpacing/>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COM (2017) 376.</w:t>
      </w:r>
    </w:p>
  </w:footnote>
  <w:footnote w:id="47">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Sursa: date din Tabloul de bord al Agendei digitale, Comisia Europeană.</w:t>
      </w:r>
    </w:p>
  </w:footnote>
  <w:footnote w:id="48">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r>
      <w:hyperlink r:id="rId8" w:history="1">
        <w:r>
          <w:rPr>
            <w:rStyle w:val="Hyperlink"/>
            <w:rFonts w:ascii="Times New Roman" w:hAnsi="Times New Roman"/>
            <w:lang w:val="ro-RO"/>
          </w:rPr>
          <w:t>https://heinnovate.eu/en</w:t>
        </w:r>
      </w:hyperlink>
      <w:r>
        <w:rPr>
          <w:rFonts w:ascii="Times New Roman" w:hAnsi="Times New Roman"/>
          <w:lang w:val="ro-RO"/>
        </w:rPr>
        <w:t xml:space="preserve"> </w:t>
      </w:r>
    </w:p>
  </w:footnote>
  <w:footnote w:id="49">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r>
      <w:hyperlink r:id="rId9" w:history="1">
        <w:r>
          <w:rPr>
            <w:rStyle w:val="Hyperlink"/>
            <w:rFonts w:ascii="Times New Roman" w:hAnsi="Times New Roman"/>
            <w:lang w:val="ro-RO"/>
          </w:rPr>
          <w:t>https://ec.europa.eu/commission/publications/eu-leaders-meeting-education-culture_en</w:t>
        </w:r>
      </w:hyperlink>
    </w:p>
  </w:footnote>
  <w:footnote w:id="50">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C</w:t>
      </w:r>
      <w:r>
        <w:rPr>
          <w:rFonts w:ascii="Times New Roman" w:hAnsi="Times New Roman"/>
          <w:lang w:val="ro-RO"/>
        </w:rPr>
        <w:t>onsiliul European din decembrie 2017. Ca răspuns, Comisia a prezentat, la 17 ianuarie 2018, un prim pachet de măsuri care vizează competențele-cheie, competențele digitale, precum și valorile comune și educația incluzivă. Un al doilea pachet privind facili</w:t>
      </w:r>
      <w:r>
        <w:rPr>
          <w:rFonts w:ascii="Times New Roman" w:hAnsi="Times New Roman"/>
          <w:lang w:val="ro-RO"/>
        </w:rPr>
        <w:t>tarea recunoașterii, stimularea învățării limbilor străine, sporirea calității educației și îngrijirii copiilor preșcolari și prezentarea progreselor înregistrate în universitățile europene și legitimația europeană de student a fost prezentat la 16 mai 201</w:t>
      </w:r>
      <w:r>
        <w:rPr>
          <w:rFonts w:ascii="Times New Roman" w:hAnsi="Times New Roman"/>
          <w:lang w:val="ro-RO"/>
        </w:rPr>
        <w:t>8, în cadrul COM (2018) 267-272.</w:t>
      </w:r>
    </w:p>
  </w:footnote>
  <w:footnote w:id="51">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Activitățile referitoare la „universitățile europene” au progresat rapid de la Concluziile Consiliului European și o primă cerere de proiecte-pilot va fi deja publicată în luna octombrie, în cadrul programului Erasmus +.</w:t>
      </w:r>
    </w:p>
  </w:footnote>
  <w:footnote w:id="52">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rPr>
        <w:footnoteRef/>
      </w:r>
      <w:r>
        <w:rPr>
          <w:rFonts w:ascii="Times New Roman" w:hAnsi="Times New Roman" w:cs="Times New Roman"/>
          <w:lang w:val="ro-RO"/>
        </w:rPr>
        <w:tab/>
      </w:r>
      <w:hyperlink r:id="rId10" w:history="1">
        <w:r>
          <w:rPr>
            <w:rStyle w:val="Hyperlink"/>
            <w:rFonts w:ascii="Times New Roman" w:hAnsi="Times New Roman" w:cs="Times New Roman"/>
            <w:lang w:val="ro-RO"/>
          </w:rPr>
          <w:t>https://ec.europa.eu/research/openscience/index.cfm?pg=home&amp;section=monitor</w:t>
        </w:r>
      </w:hyperlink>
    </w:p>
  </w:footnote>
  <w:footnote w:id="53">
    <w:p w:rsidR="00CB2B59" w:rsidRDefault="00034D70">
      <w:pPr>
        <w:pStyle w:val="FootnoteText"/>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 xml:space="preserve">Se va institui un pachet de stimulente, care să recunoască programele de succes </w:t>
      </w:r>
      <w:r>
        <w:rPr>
          <w:rFonts w:ascii="Times New Roman" w:hAnsi="Times New Roman"/>
          <w:lang w:val="ro-RO"/>
        </w:rPr>
        <w:t>existente și să susțină altele noi care să dezvolte competențe digitale și antreprenoriale, transferul de cunoștințe, programele de studiu inovatoare, stimulentele profesionale, mobilitatea transsectorială și transdisciplinaritatea.</w:t>
      </w:r>
    </w:p>
  </w:footnote>
  <w:footnote w:id="54">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Inițiativa „HEInnovat</w:t>
      </w:r>
      <w:r>
        <w:rPr>
          <w:rFonts w:ascii="Times New Roman" w:hAnsi="Times New Roman"/>
          <w:lang w:val="ro-RO"/>
        </w:rPr>
        <w:t>e” permite universităților să își evalueze capacitățile antreprenoriale și sprijină statele membre în consolidarea acestora.</w:t>
      </w:r>
    </w:p>
  </w:footnote>
  <w:footnote w:id="55">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t xml:space="preserve">COM (2016) 381. </w:t>
      </w:r>
    </w:p>
  </w:footnote>
  <w:footnote w:id="56">
    <w:p w:rsidR="00CB2B59" w:rsidRDefault="00034D70">
      <w:pPr>
        <w:pStyle w:val="FootnoteText"/>
        <w:tabs>
          <w:tab w:val="left" w:pos="284"/>
        </w:tabs>
        <w:ind w:left="284" w:hanging="284"/>
        <w:jc w:val="both"/>
        <w:rPr>
          <w:rFonts w:ascii="Times New Roman" w:hAnsi="Times New Roman" w:cs="Times New Roman"/>
          <w:lang w:val="ro-RO"/>
        </w:rPr>
      </w:pPr>
      <w:r>
        <w:rPr>
          <w:rStyle w:val="FootnoteReference"/>
          <w:rFonts w:ascii="Times New Roman" w:hAnsi="Times New Roman" w:cs="Times New Roman"/>
          <w:lang w:val="ro-RO"/>
        </w:rPr>
        <w:footnoteRef/>
      </w:r>
      <w:r>
        <w:rPr>
          <w:rFonts w:ascii="Times New Roman" w:hAnsi="Times New Roman"/>
          <w:lang w:val="ro-RO"/>
        </w:rPr>
        <w:tab/>
      </w:r>
      <w:hyperlink r:id="rId11" w:history="1">
        <w:r>
          <w:rPr>
            <w:rStyle w:val="Hyperlink"/>
            <w:rFonts w:ascii="Times New Roman" w:hAnsi="Times New Roman"/>
            <w:lang w:val="ro-RO"/>
          </w:rPr>
          <w:t>http://ec.europa.eu/social/main.jsp?c</w:t>
        </w:r>
        <w:r>
          <w:rPr>
            <w:rStyle w:val="Hyperlink"/>
            <w:rFonts w:ascii="Times New Roman" w:hAnsi="Times New Roman"/>
            <w:lang w:val="ro-RO"/>
          </w:rPr>
          <w:t>atId=1415&amp;langId=ro</w:t>
        </w:r>
      </w:hyperlink>
      <w:r>
        <w:rPr>
          <w:rFonts w:ascii="Times New Roman" w:hAnsi="Times New Roman"/>
          <w:lang w:val="ro-RO"/>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D70" w:rsidRPr="00034D70" w:rsidRDefault="00034D70" w:rsidP="00034D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D70" w:rsidRPr="00034D70" w:rsidRDefault="00034D70" w:rsidP="00034D70">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D70" w:rsidRPr="00034D70" w:rsidRDefault="00034D70" w:rsidP="00034D70">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B59" w:rsidRDefault="00CB2B5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B59" w:rsidRDefault="00CB2B5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B59" w:rsidRDefault="00CB2B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2415F"/>
    <w:multiLevelType w:val="hybridMultilevel"/>
    <w:tmpl w:val="C8B09DE8"/>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85D0A27"/>
    <w:multiLevelType w:val="hybridMultilevel"/>
    <w:tmpl w:val="53543E90"/>
    <w:lvl w:ilvl="0" w:tplc="94E47F1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FCA6AFF"/>
    <w:multiLevelType w:val="multilevel"/>
    <w:tmpl w:val="19B49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8D7F98"/>
    <w:multiLevelType w:val="hybridMultilevel"/>
    <w:tmpl w:val="9940D3F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nsid w:val="17927861"/>
    <w:multiLevelType w:val="hybridMultilevel"/>
    <w:tmpl w:val="C37A9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55158D"/>
    <w:multiLevelType w:val="hybridMultilevel"/>
    <w:tmpl w:val="F2380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BF8299D"/>
    <w:multiLevelType w:val="hybridMultilevel"/>
    <w:tmpl w:val="481E3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E0C79EA"/>
    <w:multiLevelType w:val="hybridMultilevel"/>
    <w:tmpl w:val="BA7A5E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460378E"/>
    <w:multiLevelType w:val="hybridMultilevel"/>
    <w:tmpl w:val="04B2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BC70E0"/>
    <w:multiLevelType w:val="multilevel"/>
    <w:tmpl w:val="38C41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5F76EF"/>
    <w:multiLevelType w:val="hybridMultilevel"/>
    <w:tmpl w:val="DDB63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F63DBE"/>
    <w:multiLevelType w:val="hybridMultilevel"/>
    <w:tmpl w:val="E3224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6B87707"/>
    <w:multiLevelType w:val="hybridMultilevel"/>
    <w:tmpl w:val="1E9E1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37AE59B7"/>
    <w:multiLevelType w:val="hybridMultilevel"/>
    <w:tmpl w:val="3A2AA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8E6B86"/>
    <w:multiLevelType w:val="hybridMultilevel"/>
    <w:tmpl w:val="69347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5D81F84"/>
    <w:multiLevelType w:val="hybridMultilevel"/>
    <w:tmpl w:val="71AE92F4"/>
    <w:lvl w:ilvl="0" w:tplc="87C4D08E">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463A6512"/>
    <w:multiLevelType w:val="hybridMultilevel"/>
    <w:tmpl w:val="7E305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B8F6B91"/>
    <w:multiLevelType w:val="hybridMultilevel"/>
    <w:tmpl w:val="D99A9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DC67BEF"/>
    <w:multiLevelType w:val="hybridMultilevel"/>
    <w:tmpl w:val="1936A688"/>
    <w:lvl w:ilvl="0" w:tplc="7AA2142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F8556DB"/>
    <w:multiLevelType w:val="hybridMultilevel"/>
    <w:tmpl w:val="A62EE10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0772D59"/>
    <w:multiLevelType w:val="hybridMultilevel"/>
    <w:tmpl w:val="CAE0ABA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524D1B5A"/>
    <w:multiLevelType w:val="hybridMultilevel"/>
    <w:tmpl w:val="9940D3F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2">
    <w:nsid w:val="52513A43"/>
    <w:multiLevelType w:val="hybridMultilevel"/>
    <w:tmpl w:val="DDB06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5F85DB9"/>
    <w:multiLevelType w:val="multilevel"/>
    <w:tmpl w:val="7BB09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C61E58"/>
    <w:multiLevelType w:val="hybridMultilevel"/>
    <w:tmpl w:val="A462AE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646E1288"/>
    <w:multiLevelType w:val="hybridMultilevel"/>
    <w:tmpl w:val="501E2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59A0B3A"/>
    <w:multiLevelType w:val="hybridMultilevel"/>
    <w:tmpl w:val="DB2A8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5D7287E"/>
    <w:multiLevelType w:val="hybridMultilevel"/>
    <w:tmpl w:val="0E147DC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C071001"/>
    <w:multiLevelType w:val="hybridMultilevel"/>
    <w:tmpl w:val="8A627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F322E72"/>
    <w:multiLevelType w:val="multilevel"/>
    <w:tmpl w:val="F92ED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29B6E7E"/>
    <w:multiLevelType w:val="hybridMultilevel"/>
    <w:tmpl w:val="667ABAE0"/>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31">
    <w:nsid w:val="79AA43BD"/>
    <w:multiLevelType w:val="hybridMultilevel"/>
    <w:tmpl w:val="E8C2EB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7BB05D5B"/>
    <w:multiLevelType w:val="hybridMultilevel"/>
    <w:tmpl w:val="0F92C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8"/>
  </w:num>
  <w:num w:numId="3">
    <w:abstractNumId w:val="32"/>
  </w:num>
  <w:num w:numId="4">
    <w:abstractNumId w:val="6"/>
  </w:num>
  <w:num w:numId="5">
    <w:abstractNumId w:val="30"/>
  </w:num>
  <w:num w:numId="6">
    <w:abstractNumId w:val="10"/>
  </w:num>
  <w:num w:numId="7">
    <w:abstractNumId w:val="25"/>
  </w:num>
  <w:num w:numId="8">
    <w:abstractNumId w:val="4"/>
  </w:num>
  <w:num w:numId="9">
    <w:abstractNumId w:val="24"/>
  </w:num>
  <w:num w:numId="10">
    <w:abstractNumId w:val="27"/>
  </w:num>
  <w:num w:numId="11">
    <w:abstractNumId w:val="29"/>
  </w:num>
  <w:num w:numId="12">
    <w:abstractNumId w:val="28"/>
  </w:num>
  <w:num w:numId="13">
    <w:abstractNumId w:val="26"/>
  </w:num>
  <w:num w:numId="14">
    <w:abstractNumId w:val="17"/>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5"/>
  </w:num>
  <w:num w:numId="19">
    <w:abstractNumId w:val="3"/>
  </w:num>
  <w:num w:numId="20">
    <w:abstractNumId w:val="16"/>
  </w:num>
  <w:num w:numId="21">
    <w:abstractNumId w:val="14"/>
  </w:num>
  <w:num w:numId="22">
    <w:abstractNumId w:val="13"/>
  </w:num>
  <w:num w:numId="23">
    <w:abstractNumId w:val="2"/>
  </w:num>
  <w:num w:numId="24">
    <w:abstractNumId w:val="8"/>
  </w:num>
  <w:num w:numId="25">
    <w:abstractNumId w:val="19"/>
  </w:num>
  <w:num w:numId="26">
    <w:abstractNumId w:val="0"/>
    <w:lvlOverride w:ilvl="0">
      <w:startOverride w:val="1"/>
    </w:lvlOverride>
    <w:lvlOverride w:ilvl="1"/>
    <w:lvlOverride w:ilvl="2"/>
    <w:lvlOverride w:ilvl="3"/>
    <w:lvlOverride w:ilvl="4"/>
    <w:lvlOverride w:ilvl="5"/>
    <w:lvlOverride w:ilvl="6"/>
    <w:lvlOverride w:ilvl="7"/>
    <w:lvlOverride w:ilvl="8"/>
  </w:num>
  <w:num w:numId="27">
    <w:abstractNumId w:val="0"/>
  </w:num>
  <w:num w:numId="28">
    <w:abstractNumId w:val="22"/>
  </w:num>
  <w:num w:numId="29">
    <w:abstractNumId w:val="20"/>
  </w:num>
  <w:num w:numId="30">
    <w:abstractNumId w:val="1"/>
  </w:num>
  <w:num w:numId="31">
    <w:abstractNumId w:val="31"/>
  </w:num>
  <w:num w:numId="32">
    <w:abstractNumId w:val="23"/>
  </w:num>
  <w:num w:numId="33">
    <w:abstractNumId w:val="11"/>
  </w:num>
  <w:num w:numId="34">
    <w:abstractNumId w:val="12"/>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3052A07-5E25-40FA-BC4B-ECC3089E3331"/>
    <w:docVar w:name="LW_COVERPAGE_TYPE" w:val="1"/>
    <w:docVar w:name="LW_CROSSREFERENCE" w:val="&lt;UNUSED&gt;"/>
    <w:docVar w:name="LW_DocType" w:val="NORMAL"/>
    <w:docVar w:name="LW_EMISSION" w:val="15.5.2018"/>
    <w:docVar w:name="LW_EMISSION_ISODATE" w:val="2018-05-15"/>
    <w:docVar w:name="LW_EMISSION_LOCATION" w:val="BRX"/>
    <w:docVar w:name="LW_EMISSION_PREFIX" w:val="Bruxelles,"/>
    <w:docVar w:name="LW_EMISSION_SUFFIX" w:val="&lt;EMPTY&gt;"/>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3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O agend\u259? european\u259? reînnoit\u259? pentru cercetare \u537?i inovare - \u537?ansa Europei de a-\u537?i modela viitorul_x000b__x000b_&lt;FMT:Italic&gt;Contribu\u539?ia Comisiei Europene la reuniunea informal\u259? a liderilor UE de la Sofia din data de 16 mai 2018&lt;/FMT&gt;"/>
    <w:docVar w:name="LW_TYPE.DOC.CP" w:val="COMUNICARE A COMISIEI"/>
    <w:docVar w:name="LW_TYPE.DOC.CP.USERTEXT" w:val="C\u258?TRE PARLAMENTUL EUROPEAN, CONSILIUL EUROPEAN, CONSILIU, COMITETUL ECONOMIC \u536?I SOCIAL EUROPEAN \u536?I COMITETUL REGIUNILOR"/>
  </w:docVars>
  <w:rsids>
    <w:rsidRoot w:val="00CB2B59"/>
    <w:rsid w:val="00034D70"/>
    <w:rsid w:val="00CB2B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
    <w:basedOn w:val="Normal"/>
    <w:link w:val="ListParagraphChar"/>
    <w:uiPriority w:val="34"/>
    <w:qFormat/>
    <w:pPr>
      <w:ind w:left="720"/>
      <w:contextualSpacing/>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Schriftart: 9 pt,o,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 BVI fnr"/>
    <w:basedOn w:val="DefaultParagraphFont"/>
    <w:link w:val="CharCharChar1"/>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rPr>
  </w:style>
  <w:style w:type="paragraph" w:customStyle="1" w:styleId="CharCharChar1">
    <w:name w:val="Char Char Char1"/>
    <w:basedOn w:val="Normal"/>
    <w:link w:val="FootnoteReference"/>
    <w:uiPriority w:val="99"/>
    <w:pPr>
      <w:spacing w:after="160" w:line="240" w:lineRule="exact"/>
      <w:jc w:val="both"/>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BodyText">
    <w:name w:val="Body Text"/>
    <w:basedOn w:val="Normal"/>
    <w:link w:val="BodyTextChar"/>
    <w:uiPriority w:val="99"/>
    <w:semiHidden/>
    <w:unhideWhenUsed/>
    <w:pPr>
      <w:spacing w:after="120" w:line="240" w:lineRule="auto"/>
      <w:jc w:val="both"/>
    </w:pPr>
    <w:rPr>
      <w:rFonts w:ascii="Times New Roman" w:eastAsia="Calibri" w:hAnsi="Times New Roman" w:cs="Times New Roman"/>
      <w:sz w:val="24"/>
      <w:szCs w:val="24"/>
    </w:rPr>
  </w:style>
  <w:style w:type="character" w:customStyle="1" w:styleId="BodyTextChar">
    <w:name w:val="Body Text Char"/>
    <w:basedOn w:val="DefaultParagraphFont"/>
    <w:link w:val="BodyText"/>
    <w:uiPriority w:val="99"/>
    <w:semiHidden/>
    <w:rPr>
      <w:rFonts w:ascii="Times New Roman" w:eastAsia="Calibri" w:hAnsi="Times New Roman" w:cs="Times New Roman"/>
      <w:sz w:val="24"/>
      <w:szCs w:val="24"/>
    </w:rPr>
  </w:style>
  <w:style w:type="character" w:customStyle="1" w:styleId="ListParagraphChar">
    <w:name w:val="List Paragraph Char"/>
    <w:aliases w:val="Fiche List Paragraph Char,Task Body Char,Viñetas (Inicio Parrafo) Char,3 Txt tabla Char,Zerrenda-paragrafoa Char,Lista multicolor - Énfasis 11 Char,Paragrafo elenco Char"/>
    <w:link w:val="ListParagraph"/>
    <w:uiPriority w:val="34"/>
    <w:locke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vertAlign w:val="superscript"/>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Pa4">
    <w:name w:val="Pa4"/>
    <w:basedOn w:val="Default"/>
    <w:next w:val="Default"/>
    <w:uiPriority w:val="99"/>
    <w:pPr>
      <w:spacing w:line="211" w:lineRule="atLeast"/>
    </w:pPr>
    <w:rPr>
      <w:rFonts w:cstheme="minorBidi"/>
      <w:color w:val="auto"/>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
    <w:basedOn w:val="Normal"/>
    <w:link w:val="ListParagraphChar"/>
    <w:uiPriority w:val="34"/>
    <w:qFormat/>
    <w:pPr>
      <w:ind w:left="720"/>
      <w:contextualSpacing/>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Schriftart: 9 pt,o,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 BVI fnr"/>
    <w:basedOn w:val="DefaultParagraphFont"/>
    <w:link w:val="CharCharChar1"/>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rPr>
  </w:style>
  <w:style w:type="paragraph" w:customStyle="1" w:styleId="CharCharChar1">
    <w:name w:val="Char Char Char1"/>
    <w:basedOn w:val="Normal"/>
    <w:link w:val="FootnoteReference"/>
    <w:uiPriority w:val="99"/>
    <w:pPr>
      <w:spacing w:after="160" w:line="240" w:lineRule="exact"/>
      <w:jc w:val="both"/>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BodyText">
    <w:name w:val="Body Text"/>
    <w:basedOn w:val="Normal"/>
    <w:link w:val="BodyTextChar"/>
    <w:uiPriority w:val="99"/>
    <w:semiHidden/>
    <w:unhideWhenUsed/>
    <w:pPr>
      <w:spacing w:after="120" w:line="240" w:lineRule="auto"/>
      <w:jc w:val="both"/>
    </w:pPr>
    <w:rPr>
      <w:rFonts w:ascii="Times New Roman" w:eastAsia="Calibri" w:hAnsi="Times New Roman" w:cs="Times New Roman"/>
      <w:sz w:val="24"/>
      <w:szCs w:val="24"/>
    </w:rPr>
  </w:style>
  <w:style w:type="character" w:customStyle="1" w:styleId="BodyTextChar">
    <w:name w:val="Body Text Char"/>
    <w:basedOn w:val="DefaultParagraphFont"/>
    <w:link w:val="BodyText"/>
    <w:uiPriority w:val="99"/>
    <w:semiHidden/>
    <w:rPr>
      <w:rFonts w:ascii="Times New Roman" w:eastAsia="Calibri" w:hAnsi="Times New Roman" w:cs="Times New Roman"/>
      <w:sz w:val="24"/>
      <w:szCs w:val="24"/>
    </w:rPr>
  </w:style>
  <w:style w:type="character" w:customStyle="1" w:styleId="ListParagraphChar">
    <w:name w:val="List Paragraph Char"/>
    <w:aliases w:val="Fiche List Paragraph Char,Task Body Char,Viñetas (Inicio Parrafo) Char,3 Txt tabla Char,Zerrenda-paragrafoa Char,Lista multicolor - Énfasis 11 Char,Paragrafo elenco Char"/>
    <w:link w:val="ListParagraph"/>
    <w:uiPriority w:val="34"/>
    <w:locke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vertAlign w:val="superscript"/>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Pa4">
    <w:name w:val="Pa4"/>
    <w:basedOn w:val="Default"/>
    <w:next w:val="Default"/>
    <w:uiPriority w:val="99"/>
    <w:pPr>
      <w:spacing w:line="211" w:lineRule="atLeast"/>
    </w:pPr>
    <w:rPr>
      <w:rFonts w:cstheme="minorBidi"/>
      <w:color w:val="auto"/>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341346">
      <w:bodyDiv w:val="1"/>
      <w:marLeft w:val="0"/>
      <w:marRight w:val="0"/>
      <w:marTop w:val="0"/>
      <w:marBottom w:val="0"/>
      <w:divBdr>
        <w:top w:val="none" w:sz="0" w:space="0" w:color="auto"/>
        <w:left w:val="none" w:sz="0" w:space="0" w:color="auto"/>
        <w:bottom w:val="none" w:sz="0" w:space="0" w:color="auto"/>
        <w:right w:val="none" w:sz="0" w:space="0" w:color="auto"/>
      </w:divBdr>
    </w:div>
    <w:div w:id="415636836">
      <w:bodyDiv w:val="1"/>
      <w:marLeft w:val="0"/>
      <w:marRight w:val="0"/>
      <w:marTop w:val="0"/>
      <w:marBottom w:val="0"/>
      <w:divBdr>
        <w:top w:val="none" w:sz="0" w:space="0" w:color="auto"/>
        <w:left w:val="none" w:sz="0" w:space="0" w:color="auto"/>
        <w:bottom w:val="none" w:sz="0" w:space="0" w:color="auto"/>
        <w:right w:val="none" w:sz="0" w:space="0" w:color="auto"/>
      </w:divBdr>
    </w:div>
    <w:div w:id="424498189">
      <w:bodyDiv w:val="1"/>
      <w:marLeft w:val="0"/>
      <w:marRight w:val="0"/>
      <w:marTop w:val="0"/>
      <w:marBottom w:val="0"/>
      <w:divBdr>
        <w:top w:val="none" w:sz="0" w:space="0" w:color="auto"/>
        <w:left w:val="none" w:sz="0" w:space="0" w:color="auto"/>
        <w:bottom w:val="none" w:sz="0" w:space="0" w:color="auto"/>
        <w:right w:val="none" w:sz="0" w:space="0" w:color="auto"/>
      </w:divBdr>
    </w:div>
    <w:div w:id="430472862">
      <w:bodyDiv w:val="1"/>
      <w:marLeft w:val="0"/>
      <w:marRight w:val="0"/>
      <w:marTop w:val="0"/>
      <w:marBottom w:val="0"/>
      <w:divBdr>
        <w:top w:val="none" w:sz="0" w:space="0" w:color="auto"/>
        <w:left w:val="none" w:sz="0" w:space="0" w:color="auto"/>
        <w:bottom w:val="none" w:sz="0" w:space="0" w:color="auto"/>
        <w:right w:val="none" w:sz="0" w:space="0" w:color="auto"/>
      </w:divBdr>
    </w:div>
    <w:div w:id="467477679">
      <w:bodyDiv w:val="1"/>
      <w:marLeft w:val="0"/>
      <w:marRight w:val="0"/>
      <w:marTop w:val="0"/>
      <w:marBottom w:val="0"/>
      <w:divBdr>
        <w:top w:val="none" w:sz="0" w:space="0" w:color="auto"/>
        <w:left w:val="none" w:sz="0" w:space="0" w:color="auto"/>
        <w:bottom w:val="none" w:sz="0" w:space="0" w:color="auto"/>
        <w:right w:val="none" w:sz="0" w:space="0" w:color="auto"/>
      </w:divBdr>
    </w:div>
    <w:div w:id="593586381">
      <w:bodyDiv w:val="1"/>
      <w:marLeft w:val="0"/>
      <w:marRight w:val="0"/>
      <w:marTop w:val="0"/>
      <w:marBottom w:val="0"/>
      <w:divBdr>
        <w:top w:val="none" w:sz="0" w:space="0" w:color="auto"/>
        <w:left w:val="none" w:sz="0" w:space="0" w:color="auto"/>
        <w:bottom w:val="none" w:sz="0" w:space="0" w:color="auto"/>
        <w:right w:val="none" w:sz="0" w:space="0" w:color="auto"/>
      </w:divBdr>
    </w:div>
    <w:div w:id="705637187">
      <w:bodyDiv w:val="1"/>
      <w:marLeft w:val="0"/>
      <w:marRight w:val="0"/>
      <w:marTop w:val="0"/>
      <w:marBottom w:val="0"/>
      <w:divBdr>
        <w:top w:val="none" w:sz="0" w:space="0" w:color="auto"/>
        <w:left w:val="none" w:sz="0" w:space="0" w:color="auto"/>
        <w:bottom w:val="none" w:sz="0" w:space="0" w:color="auto"/>
        <w:right w:val="none" w:sz="0" w:space="0" w:color="auto"/>
      </w:divBdr>
    </w:div>
    <w:div w:id="724643493">
      <w:bodyDiv w:val="1"/>
      <w:marLeft w:val="0"/>
      <w:marRight w:val="0"/>
      <w:marTop w:val="0"/>
      <w:marBottom w:val="0"/>
      <w:divBdr>
        <w:top w:val="none" w:sz="0" w:space="0" w:color="auto"/>
        <w:left w:val="none" w:sz="0" w:space="0" w:color="auto"/>
        <w:bottom w:val="none" w:sz="0" w:space="0" w:color="auto"/>
        <w:right w:val="none" w:sz="0" w:space="0" w:color="auto"/>
      </w:divBdr>
    </w:div>
    <w:div w:id="903829688">
      <w:bodyDiv w:val="1"/>
      <w:marLeft w:val="0"/>
      <w:marRight w:val="0"/>
      <w:marTop w:val="0"/>
      <w:marBottom w:val="0"/>
      <w:divBdr>
        <w:top w:val="none" w:sz="0" w:space="0" w:color="auto"/>
        <w:left w:val="none" w:sz="0" w:space="0" w:color="auto"/>
        <w:bottom w:val="none" w:sz="0" w:space="0" w:color="auto"/>
        <w:right w:val="none" w:sz="0" w:space="0" w:color="auto"/>
      </w:divBdr>
    </w:div>
    <w:div w:id="964045252">
      <w:bodyDiv w:val="1"/>
      <w:marLeft w:val="0"/>
      <w:marRight w:val="0"/>
      <w:marTop w:val="0"/>
      <w:marBottom w:val="0"/>
      <w:divBdr>
        <w:top w:val="none" w:sz="0" w:space="0" w:color="auto"/>
        <w:left w:val="none" w:sz="0" w:space="0" w:color="auto"/>
        <w:bottom w:val="none" w:sz="0" w:space="0" w:color="auto"/>
        <w:right w:val="none" w:sz="0" w:space="0" w:color="auto"/>
      </w:divBdr>
    </w:div>
    <w:div w:id="980882398">
      <w:bodyDiv w:val="1"/>
      <w:marLeft w:val="0"/>
      <w:marRight w:val="0"/>
      <w:marTop w:val="0"/>
      <w:marBottom w:val="0"/>
      <w:divBdr>
        <w:top w:val="none" w:sz="0" w:space="0" w:color="auto"/>
        <w:left w:val="none" w:sz="0" w:space="0" w:color="auto"/>
        <w:bottom w:val="none" w:sz="0" w:space="0" w:color="auto"/>
        <w:right w:val="none" w:sz="0" w:space="0" w:color="auto"/>
      </w:divBdr>
    </w:div>
    <w:div w:id="1101996297">
      <w:bodyDiv w:val="1"/>
      <w:marLeft w:val="0"/>
      <w:marRight w:val="0"/>
      <w:marTop w:val="0"/>
      <w:marBottom w:val="0"/>
      <w:divBdr>
        <w:top w:val="none" w:sz="0" w:space="0" w:color="auto"/>
        <w:left w:val="none" w:sz="0" w:space="0" w:color="auto"/>
        <w:bottom w:val="none" w:sz="0" w:space="0" w:color="auto"/>
        <w:right w:val="none" w:sz="0" w:space="0" w:color="auto"/>
      </w:divBdr>
    </w:div>
    <w:div w:id="1109206432">
      <w:bodyDiv w:val="1"/>
      <w:marLeft w:val="0"/>
      <w:marRight w:val="0"/>
      <w:marTop w:val="0"/>
      <w:marBottom w:val="0"/>
      <w:divBdr>
        <w:top w:val="none" w:sz="0" w:space="0" w:color="auto"/>
        <w:left w:val="none" w:sz="0" w:space="0" w:color="auto"/>
        <w:bottom w:val="none" w:sz="0" w:space="0" w:color="auto"/>
        <w:right w:val="none" w:sz="0" w:space="0" w:color="auto"/>
      </w:divBdr>
    </w:div>
    <w:div w:id="1184979315">
      <w:bodyDiv w:val="1"/>
      <w:marLeft w:val="0"/>
      <w:marRight w:val="0"/>
      <w:marTop w:val="0"/>
      <w:marBottom w:val="0"/>
      <w:divBdr>
        <w:top w:val="none" w:sz="0" w:space="0" w:color="auto"/>
        <w:left w:val="none" w:sz="0" w:space="0" w:color="auto"/>
        <w:bottom w:val="none" w:sz="0" w:space="0" w:color="auto"/>
        <w:right w:val="none" w:sz="0" w:space="0" w:color="auto"/>
      </w:divBdr>
      <w:divsChild>
        <w:div w:id="32773019">
          <w:marLeft w:val="0"/>
          <w:marRight w:val="0"/>
          <w:marTop w:val="0"/>
          <w:marBottom w:val="0"/>
          <w:divBdr>
            <w:top w:val="none" w:sz="0" w:space="0" w:color="auto"/>
            <w:left w:val="none" w:sz="0" w:space="0" w:color="auto"/>
            <w:bottom w:val="none" w:sz="0" w:space="0" w:color="auto"/>
            <w:right w:val="none" w:sz="0" w:space="0" w:color="auto"/>
          </w:divBdr>
        </w:div>
        <w:div w:id="87848989">
          <w:marLeft w:val="0"/>
          <w:marRight w:val="0"/>
          <w:marTop w:val="0"/>
          <w:marBottom w:val="0"/>
          <w:divBdr>
            <w:top w:val="none" w:sz="0" w:space="0" w:color="auto"/>
            <w:left w:val="none" w:sz="0" w:space="0" w:color="auto"/>
            <w:bottom w:val="none" w:sz="0" w:space="0" w:color="auto"/>
            <w:right w:val="none" w:sz="0" w:space="0" w:color="auto"/>
          </w:divBdr>
        </w:div>
        <w:div w:id="363792170">
          <w:marLeft w:val="0"/>
          <w:marRight w:val="0"/>
          <w:marTop w:val="0"/>
          <w:marBottom w:val="0"/>
          <w:divBdr>
            <w:top w:val="none" w:sz="0" w:space="0" w:color="auto"/>
            <w:left w:val="none" w:sz="0" w:space="0" w:color="auto"/>
            <w:bottom w:val="none" w:sz="0" w:space="0" w:color="auto"/>
            <w:right w:val="none" w:sz="0" w:space="0" w:color="auto"/>
          </w:divBdr>
        </w:div>
        <w:div w:id="511259503">
          <w:marLeft w:val="0"/>
          <w:marRight w:val="0"/>
          <w:marTop w:val="0"/>
          <w:marBottom w:val="0"/>
          <w:divBdr>
            <w:top w:val="none" w:sz="0" w:space="0" w:color="auto"/>
            <w:left w:val="none" w:sz="0" w:space="0" w:color="auto"/>
            <w:bottom w:val="none" w:sz="0" w:space="0" w:color="auto"/>
            <w:right w:val="none" w:sz="0" w:space="0" w:color="auto"/>
          </w:divBdr>
        </w:div>
        <w:div w:id="717826808">
          <w:marLeft w:val="0"/>
          <w:marRight w:val="0"/>
          <w:marTop w:val="0"/>
          <w:marBottom w:val="0"/>
          <w:divBdr>
            <w:top w:val="none" w:sz="0" w:space="0" w:color="auto"/>
            <w:left w:val="none" w:sz="0" w:space="0" w:color="auto"/>
            <w:bottom w:val="none" w:sz="0" w:space="0" w:color="auto"/>
            <w:right w:val="none" w:sz="0" w:space="0" w:color="auto"/>
          </w:divBdr>
        </w:div>
        <w:div w:id="997271842">
          <w:marLeft w:val="0"/>
          <w:marRight w:val="0"/>
          <w:marTop w:val="0"/>
          <w:marBottom w:val="0"/>
          <w:divBdr>
            <w:top w:val="none" w:sz="0" w:space="0" w:color="auto"/>
            <w:left w:val="none" w:sz="0" w:space="0" w:color="auto"/>
            <w:bottom w:val="none" w:sz="0" w:space="0" w:color="auto"/>
            <w:right w:val="none" w:sz="0" w:space="0" w:color="auto"/>
          </w:divBdr>
        </w:div>
        <w:div w:id="1214654909">
          <w:marLeft w:val="0"/>
          <w:marRight w:val="0"/>
          <w:marTop w:val="0"/>
          <w:marBottom w:val="0"/>
          <w:divBdr>
            <w:top w:val="none" w:sz="0" w:space="0" w:color="auto"/>
            <w:left w:val="none" w:sz="0" w:space="0" w:color="auto"/>
            <w:bottom w:val="none" w:sz="0" w:space="0" w:color="auto"/>
            <w:right w:val="none" w:sz="0" w:space="0" w:color="auto"/>
          </w:divBdr>
        </w:div>
        <w:div w:id="1347975252">
          <w:marLeft w:val="0"/>
          <w:marRight w:val="0"/>
          <w:marTop w:val="0"/>
          <w:marBottom w:val="0"/>
          <w:divBdr>
            <w:top w:val="none" w:sz="0" w:space="0" w:color="auto"/>
            <w:left w:val="none" w:sz="0" w:space="0" w:color="auto"/>
            <w:bottom w:val="none" w:sz="0" w:space="0" w:color="auto"/>
            <w:right w:val="none" w:sz="0" w:space="0" w:color="auto"/>
          </w:divBdr>
        </w:div>
        <w:div w:id="1533878045">
          <w:marLeft w:val="0"/>
          <w:marRight w:val="0"/>
          <w:marTop w:val="0"/>
          <w:marBottom w:val="0"/>
          <w:divBdr>
            <w:top w:val="none" w:sz="0" w:space="0" w:color="auto"/>
            <w:left w:val="none" w:sz="0" w:space="0" w:color="auto"/>
            <w:bottom w:val="none" w:sz="0" w:space="0" w:color="auto"/>
            <w:right w:val="none" w:sz="0" w:space="0" w:color="auto"/>
          </w:divBdr>
        </w:div>
        <w:div w:id="1694844968">
          <w:marLeft w:val="0"/>
          <w:marRight w:val="0"/>
          <w:marTop w:val="0"/>
          <w:marBottom w:val="0"/>
          <w:divBdr>
            <w:top w:val="none" w:sz="0" w:space="0" w:color="auto"/>
            <w:left w:val="none" w:sz="0" w:space="0" w:color="auto"/>
            <w:bottom w:val="none" w:sz="0" w:space="0" w:color="auto"/>
            <w:right w:val="none" w:sz="0" w:space="0" w:color="auto"/>
          </w:divBdr>
        </w:div>
        <w:div w:id="2087531297">
          <w:marLeft w:val="0"/>
          <w:marRight w:val="0"/>
          <w:marTop w:val="0"/>
          <w:marBottom w:val="0"/>
          <w:divBdr>
            <w:top w:val="none" w:sz="0" w:space="0" w:color="auto"/>
            <w:left w:val="none" w:sz="0" w:space="0" w:color="auto"/>
            <w:bottom w:val="none" w:sz="0" w:space="0" w:color="auto"/>
            <w:right w:val="none" w:sz="0" w:space="0" w:color="auto"/>
          </w:divBdr>
        </w:div>
      </w:divsChild>
    </w:div>
    <w:div w:id="1293712827">
      <w:bodyDiv w:val="1"/>
      <w:marLeft w:val="0"/>
      <w:marRight w:val="0"/>
      <w:marTop w:val="0"/>
      <w:marBottom w:val="0"/>
      <w:divBdr>
        <w:top w:val="none" w:sz="0" w:space="0" w:color="auto"/>
        <w:left w:val="none" w:sz="0" w:space="0" w:color="auto"/>
        <w:bottom w:val="none" w:sz="0" w:space="0" w:color="auto"/>
        <w:right w:val="none" w:sz="0" w:space="0" w:color="auto"/>
      </w:divBdr>
    </w:div>
    <w:div w:id="1387608775">
      <w:bodyDiv w:val="1"/>
      <w:marLeft w:val="0"/>
      <w:marRight w:val="0"/>
      <w:marTop w:val="0"/>
      <w:marBottom w:val="0"/>
      <w:divBdr>
        <w:top w:val="none" w:sz="0" w:space="0" w:color="auto"/>
        <w:left w:val="none" w:sz="0" w:space="0" w:color="auto"/>
        <w:bottom w:val="none" w:sz="0" w:space="0" w:color="auto"/>
        <w:right w:val="none" w:sz="0" w:space="0" w:color="auto"/>
      </w:divBdr>
    </w:div>
    <w:div w:id="1401249415">
      <w:bodyDiv w:val="1"/>
      <w:marLeft w:val="0"/>
      <w:marRight w:val="0"/>
      <w:marTop w:val="0"/>
      <w:marBottom w:val="0"/>
      <w:divBdr>
        <w:top w:val="none" w:sz="0" w:space="0" w:color="auto"/>
        <w:left w:val="none" w:sz="0" w:space="0" w:color="auto"/>
        <w:bottom w:val="none" w:sz="0" w:space="0" w:color="auto"/>
        <w:right w:val="none" w:sz="0" w:space="0" w:color="auto"/>
      </w:divBdr>
    </w:div>
    <w:div w:id="1424883786">
      <w:bodyDiv w:val="1"/>
      <w:marLeft w:val="0"/>
      <w:marRight w:val="0"/>
      <w:marTop w:val="0"/>
      <w:marBottom w:val="0"/>
      <w:divBdr>
        <w:top w:val="none" w:sz="0" w:space="0" w:color="auto"/>
        <w:left w:val="none" w:sz="0" w:space="0" w:color="auto"/>
        <w:bottom w:val="none" w:sz="0" w:space="0" w:color="auto"/>
        <w:right w:val="none" w:sz="0" w:space="0" w:color="auto"/>
      </w:divBdr>
    </w:div>
    <w:div w:id="1559827029">
      <w:bodyDiv w:val="1"/>
      <w:marLeft w:val="0"/>
      <w:marRight w:val="0"/>
      <w:marTop w:val="0"/>
      <w:marBottom w:val="0"/>
      <w:divBdr>
        <w:top w:val="none" w:sz="0" w:space="0" w:color="auto"/>
        <w:left w:val="none" w:sz="0" w:space="0" w:color="auto"/>
        <w:bottom w:val="none" w:sz="0" w:space="0" w:color="auto"/>
        <w:right w:val="none" w:sz="0" w:space="0" w:color="auto"/>
      </w:divBdr>
    </w:div>
    <w:div w:id="1590121254">
      <w:bodyDiv w:val="1"/>
      <w:marLeft w:val="0"/>
      <w:marRight w:val="0"/>
      <w:marTop w:val="0"/>
      <w:marBottom w:val="0"/>
      <w:divBdr>
        <w:top w:val="none" w:sz="0" w:space="0" w:color="auto"/>
        <w:left w:val="none" w:sz="0" w:space="0" w:color="auto"/>
        <w:bottom w:val="none" w:sz="0" w:space="0" w:color="auto"/>
        <w:right w:val="none" w:sz="0" w:space="0" w:color="auto"/>
      </w:divBdr>
    </w:div>
    <w:div w:id="178063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theme" Target="theme/theme1.xml"/><Relationship Id="rId36" Type="http://schemas.microsoft.com/office/2016/09/relationships/commentsIds" Target="commentsIds.xml"/><Relationship Id="rId10" Type="http://schemas.openxmlformats.org/officeDocument/2006/relationships/header" Target="header1.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ntTable" Target="fontTable.xml"/><Relationship Id="rId35" Type="http://schemas.microsoft.com/office/2011/relationships/commentsExtended" Target="commentsExtended.xml"/></Relationships>
</file>

<file path=word/_rels/footnotes.xml.rels><?xml version="1.0" encoding="UTF-8" standalone="yes"?>
<Relationships xmlns="http://schemas.openxmlformats.org/package/2006/relationships"><Relationship Id="rId8" Type="http://schemas.openxmlformats.org/officeDocument/2006/relationships/hyperlink" Target="https://heinnovate.eu/en" TargetMode="External"/><Relationship Id="rId3" Type="http://schemas.openxmlformats.org/officeDocument/2006/relationships/hyperlink" Target="http://ec.europa.eu/information_society/newsroom/image/document/2016-48/proposal_40046.pdf" TargetMode="External"/><Relationship Id="rId7" Type="http://schemas.openxmlformats.org/officeDocument/2006/relationships/hyperlink" Target="https://ec.europa.eu/info/support-policy-making-eu-and-horizon-2020-associated-countries/srip-report_en" TargetMode="External"/><Relationship Id="rId2" Type="http://schemas.openxmlformats.org/officeDocument/2006/relationships/hyperlink" Target="http://europa.eu/rapid/press-release_IP-18-2763_ro.htm" TargetMode="External"/><Relationship Id="rId1" Type="http://schemas.openxmlformats.org/officeDocument/2006/relationships/hyperlink" Target="http://www.consilium.europa.eu/ro/policies/investment-plan/" TargetMode="External"/><Relationship Id="rId6" Type="http://schemas.openxmlformats.org/officeDocument/2006/relationships/hyperlink" Target="https://ec.europa.eu/info/sites/info/files/eic_hlg_bz_web.pdf" TargetMode="External"/><Relationship Id="rId11" Type="http://schemas.openxmlformats.org/officeDocument/2006/relationships/hyperlink" Target="http://ec.europa.eu/social/main.jsp?catId=1415&amp;langId=ro" TargetMode="External"/><Relationship Id="rId5" Type="http://schemas.openxmlformats.org/officeDocument/2006/relationships/hyperlink" Target="http://www.europarl.europa.eu/thinktank/en/document.html?reference=EPRS_IDA(2017)603967" TargetMode="External"/><Relationship Id="rId10" Type="http://schemas.openxmlformats.org/officeDocument/2006/relationships/hyperlink" Target="https://ec.europa.eu/research/openscience/index.cfm?pg=home&amp;section=monitor" TargetMode="External"/><Relationship Id="rId4" Type="http://schemas.openxmlformats.org/officeDocument/2006/relationships/hyperlink" Target="http://ec.europa.eu/research/industrial_technologies/pdf/re_finding_industry_022018.pdf" TargetMode="External"/><Relationship Id="rId9" Type="http://schemas.openxmlformats.org/officeDocument/2006/relationships/hyperlink" Target="https://ec.europa.eu/commission/publications/eu-leaders-meeting-education-cultur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9E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7C2D3-9ED2-43DD-9B32-0B22C26B1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6581</Words>
  <Characters>38371</Characters>
  <Application>Microsoft Office Word</Application>
  <DocSecurity>0</DocSecurity>
  <Lines>572</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2018-05-14T16:15:00Z</dcterms:created>
  <dcterms:modified xsi:type="dcterms:W3CDTF">2018-05-15T07:42:00Z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